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napToGrid w:val="0"/>
        <w:spacing w:line="540" w:lineRule="exact"/>
        <w:rPr>
          <w:rFonts w:ascii="黑体" w:hAnsi="黑体" w:eastAsia="黑体" w:cs="仿宋_GB2312"/>
          <w:bCs/>
          <w:kern w:val="0"/>
          <w:szCs w:val="32"/>
        </w:rPr>
      </w:pPr>
      <w:bookmarkStart w:id="0" w:name="_GoBack"/>
      <w:bookmarkEnd w:id="0"/>
      <w:r>
        <w:rPr>
          <w:rFonts w:hint="eastAsia" w:ascii="黑体" w:hAnsi="黑体" w:eastAsia="黑体" w:cs="仿宋_GB2312"/>
          <w:bCs/>
          <w:kern w:val="0"/>
          <w:szCs w:val="32"/>
        </w:rPr>
        <w:t>附件1</w:t>
      </w:r>
    </w:p>
    <w:p>
      <w:pPr>
        <w:autoSpaceDE w:val="0"/>
        <w:autoSpaceDN w:val="0"/>
        <w:snapToGrid w:val="0"/>
        <w:spacing w:line="240" w:lineRule="exact"/>
        <w:jc w:val="center"/>
        <w:rPr>
          <w:rFonts w:ascii="小标宋" w:hAnsi="宋体" w:eastAsia="小标宋" w:cs="宋体"/>
          <w:bCs/>
          <w:kern w:val="0"/>
          <w:sz w:val="44"/>
          <w:szCs w:val="44"/>
        </w:rPr>
      </w:pPr>
    </w:p>
    <w:p>
      <w:pPr>
        <w:autoSpaceDE w:val="0"/>
        <w:autoSpaceDN w:val="0"/>
        <w:snapToGrid w:val="0"/>
        <w:spacing w:line="540" w:lineRule="exact"/>
        <w:jc w:val="center"/>
        <w:rPr>
          <w:rFonts w:ascii="小标宋" w:hAnsi="宋体" w:eastAsia="小标宋" w:cs="宋体"/>
          <w:bCs/>
          <w:kern w:val="0"/>
          <w:sz w:val="44"/>
          <w:szCs w:val="44"/>
        </w:rPr>
      </w:pPr>
      <w:r>
        <w:rPr>
          <w:rFonts w:hint="eastAsia" w:ascii="小标宋" w:hAnsi="宋体" w:eastAsia="小标宋" w:cs="宋体"/>
          <w:bCs/>
          <w:kern w:val="0"/>
          <w:sz w:val="44"/>
          <w:szCs w:val="44"/>
        </w:rPr>
        <w:t>劳动关系和谐企业评价细则</w:t>
      </w:r>
    </w:p>
    <w:tbl>
      <w:tblPr>
        <w:tblStyle w:val="6"/>
        <w:tblW w:w="13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837"/>
        <w:gridCol w:w="813"/>
        <w:gridCol w:w="7142"/>
        <w:gridCol w:w="1743"/>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blHeader/>
          <w:jc w:val="center"/>
        </w:trPr>
        <w:tc>
          <w:tcPr>
            <w:tcW w:w="1586" w:type="dxa"/>
            <w:vAlign w:val="center"/>
          </w:tcPr>
          <w:p>
            <w:pPr>
              <w:widowControl/>
              <w:snapToGrid w:val="0"/>
              <w:jc w:val="center"/>
              <w:rPr>
                <w:rFonts w:ascii="黑体" w:hAnsi="黑体" w:eastAsia="黑体" w:cs="方正黑体_GBK"/>
                <w:sz w:val="24"/>
              </w:rPr>
            </w:pPr>
            <w:r>
              <w:rPr>
                <w:rFonts w:hint="eastAsia" w:ascii="黑体" w:hAnsi="黑体" w:eastAsia="黑体" w:cs="方正黑体_GBK"/>
                <w:sz w:val="24"/>
              </w:rPr>
              <w:t>评价项目</w:t>
            </w:r>
          </w:p>
        </w:tc>
        <w:tc>
          <w:tcPr>
            <w:tcW w:w="1837" w:type="dxa"/>
            <w:vAlign w:val="center"/>
          </w:tcPr>
          <w:p>
            <w:pPr>
              <w:widowControl/>
              <w:snapToGrid w:val="0"/>
              <w:jc w:val="center"/>
              <w:rPr>
                <w:rFonts w:ascii="黑体" w:hAnsi="黑体" w:eastAsia="黑体" w:cs="方正黑体_GBK"/>
                <w:sz w:val="24"/>
              </w:rPr>
            </w:pPr>
            <w:r>
              <w:rPr>
                <w:rFonts w:hint="eastAsia" w:ascii="黑体" w:hAnsi="黑体" w:eastAsia="黑体" w:cs="方正黑体_GBK"/>
                <w:sz w:val="24"/>
              </w:rPr>
              <w:t>评价要素</w:t>
            </w:r>
          </w:p>
        </w:tc>
        <w:tc>
          <w:tcPr>
            <w:tcW w:w="813" w:type="dxa"/>
            <w:vAlign w:val="center"/>
          </w:tcPr>
          <w:p>
            <w:pPr>
              <w:widowControl/>
              <w:snapToGrid w:val="0"/>
              <w:jc w:val="center"/>
              <w:rPr>
                <w:rFonts w:ascii="黑体" w:hAnsi="黑体" w:eastAsia="黑体" w:cs="方正黑体_GBK"/>
                <w:sz w:val="24"/>
              </w:rPr>
            </w:pPr>
            <w:r>
              <w:rPr>
                <w:rFonts w:hint="eastAsia" w:ascii="黑体" w:hAnsi="黑体" w:eastAsia="黑体" w:cs="方正黑体_GBK"/>
                <w:sz w:val="24"/>
              </w:rPr>
              <w:t>分值</w:t>
            </w:r>
          </w:p>
        </w:tc>
        <w:tc>
          <w:tcPr>
            <w:tcW w:w="7142" w:type="dxa"/>
            <w:vAlign w:val="center"/>
          </w:tcPr>
          <w:p>
            <w:pPr>
              <w:widowControl/>
              <w:snapToGrid w:val="0"/>
              <w:jc w:val="center"/>
              <w:rPr>
                <w:rFonts w:ascii="黑体" w:hAnsi="黑体" w:eastAsia="黑体" w:cs="方正黑体_GBK"/>
                <w:sz w:val="24"/>
              </w:rPr>
            </w:pPr>
            <w:r>
              <w:rPr>
                <w:rFonts w:hint="eastAsia" w:ascii="黑体" w:hAnsi="黑体" w:eastAsia="黑体" w:cs="方正黑体_GBK"/>
                <w:sz w:val="24"/>
              </w:rPr>
              <w:t>评价内容</w:t>
            </w:r>
          </w:p>
        </w:tc>
        <w:tc>
          <w:tcPr>
            <w:tcW w:w="1743" w:type="dxa"/>
            <w:vAlign w:val="center"/>
          </w:tcPr>
          <w:p>
            <w:pPr>
              <w:widowControl/>
              <w:snapToGrid w:val="0"/>
              <w:jc w:val="center"/>
              <w:rPr>
                <w:rFonts w:ascii="黑体" w:hAnsi="黑体" w:eastAsia="黑体" w:cs="方正黑体_GBK"/>
                <w:sz w:val="24"/>
              </w:rPr>
            </w:pPr>
            <w:r>
              <w:rPr>
                <w:rFonts w:hint="eastAsia" w:ascii="黑体" w:hAnsi="黑体" w:eastAsia="黑体" w:cs="方正黑体_GBK"/>
                <w:sz w:val="24"/>
              </w:rPr>
              <w:t>评分细则</w:t>
            </w:r>
          </w:p>
        </w:tc>
        <w:tc>
          <w:tcPr>
            <w:tcW w:w="812" w:type="dxa"/>
            <w:vAlign w:val="center"/>
          </w:tcPr>
          <w:p>
            <w:pPr>
              <w:tabs>
                <w:tab w:val="center" w:pos="4201"/>
                <w:tab w:val="right" w:leader="dot" w:pos="9298"/>
              </w:tabs>
              <w:autoSpaceDE w:val="0"/>
              <w:autoSpaceDN w:val="0"/>
              <w:snapToGrid w:val="0"/>
              <w:jc w:val="center"/>
              <w:rPr>
                <w:rFonts w:ascii="黑体" w:hAnsi="黑体" w:eastAsia="黑体" w:cs="方正黑体_GBK"/>
                <w:sz w:val="24"/>
              </w:rPr>
            </w:pPr>
            <w:r>
              <w:rPr>
                <w:rFonts w:hint="eastAsia" w:ascii="黑体" w:hAnsi="黑体" w:eastAsia="黑体" w:cs="方正黑体_GBK"/>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86" w:type="dxa"/>
            <w:vMerge w:val="restart"/>
            <w:vAlign w:val="center"/>
          </w:tcPr>
          <w:p>
            <w:pPr>
              <w:widowControl/>
              <w:snapToGrid w:val="0"/>
              <w:rPr>
                <w:rFonts w:ascii="仿宋_GB2312"/>
                <w:sz w:val="24"/>
              </w:rPr>
            </w:pPr>
            <w:r>
              <w:rPr>
                <w:rFonts w:hint="eastAsia" w:ascii="仿宋_GB2312"/>
                <w:sz w:val="24"/>
              </w:rPr>
              <w:t>1劳动用工</w:t>
            </w:r>
          </w:p>
          <w:p>
            <w:pPr>
              <w:widowControl/>
              <w:snapToGrid w:val="0"/>
              <w:rPr>
                <w:rFonts w:ascii="仿宋_GB2312"/>
                <w:sz w:val="24"/>
              </w:rPr>
            </w:pPr>
            <w:r>
              <w:rPr>
                <w:rFonts w:hint="eastAsia" w:ascii="仿宋_GB2312"/>
                <w:sz w:val="24"/>
              </w:rPr>
              <w:t>（11分）</w:t>
            </w:r>
          </w:p>
        </w:tc>
        <w:tc>
          <w:tcPr>
            <w:tcW w:w="1837" w:type="dxa"/>
            <w:vAlign w:val="center"/>
          </w:tcPr>
          <w:p>
            <w:pPr>
              <w:widowControl/>
              <w:snapToGrid w:val="0"/>
              <w:rPr>
                <w:rFonts w:ascii="仿宋_GB2312"/>
                <w:sz w:val="24"/>
              </w:rPr>
            </w:pPr>
            <w:r>
              <w:rPr>
                <w:rFonts w:hint="eastAsia" w:ascii="仿宋_GB2312"/>
                <w:sz w:val="24"/>
              </w:rPr>
              <w:t>1.1职工招用</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①企业无就业歧视行为；②企业无就业欺诈行为。</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1.2合同签订</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①依法与劳动者签订劳动合同，劳动合同签订率达100% ；②企业和劳动者各执一份劳动合同文本。</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1.3合同履行</w:t>
            </w:r>
          </w:p>
        </w:tc>
        <w:tc>
          <w:tcPr>
            <w:tcW w:w="813" w:type="dxa"/>
            <w:vAlign w:val="center"/>
          </w:tcPr>
          <w:p>
            <w:pPr>
              <w:widowControl/>
              <w:snapToGrid w:val="0"/>
              <w:rPr>
                <w:rFonts w:ascii="仿宋_GB2312"/>
                <w:sz w:val="24"/>
              </w:rPr>
            </w:pPr>
            <w:r>
              <w:rPr>
                <w:rFonts w:hint="eastAsia" w:ascii="仿宋_GB2312"/>
                <w:sz w:val="24"/>
              </w:rPr>
              <w:t>3分</w:t>
            </w:r>
          </w:p>
        </w:tc>
        <w:tc>
          <w:tcPr>
            <w:tcW w:w="7142" w:type="dxa"/>
            <w:vAlign w:val="center"/>
          </w:tcPr>
          <w:p>
            <w:pPr>
              <w:widowControl/>
              <w:snapToGrid w:val="0"/>
              <w:rPr>
                <w:rFonts w:ascii="仿宋_GB2312"/>
                <w:sz w:val="24"/>
              </w:rPr>
            </w:pPr>
            <w:r>
              <w:rPr>
                <w:rFonts w:hint="eastAsia" w:ascii="仿宋_GB2312"/>
                <w:sz w:val="24"/>
              </w:rPr>
              <w:t>劳动合同的①履行、②变更、③解除、④终止，遵循合法、公平、平等自愿、协商一致、诚实信用的原则；⑤依法支付经济补偿。</w:t>
            </w:r>
          </w:p>
        </w:tc>
        <w:tc>
          <w:tcPr>
            <w:tcW w:w="1743" w:type="dxa"/>
            <w:vAlign w:val="center"/>
          </w:tcPr>
          <w:p>
            <w:pPr>
              <w:widowControl/>
              <w:snapToGrid w:val="0"/>
              <w:rPr>
                <w:rFonts w:ascii="仿宋_GB2312"/>
                <w:sz w:val="24"/>
              </w:rPr>
            </w:pPr>
            <w:r>
              <w:rPr>
                <w:rFonts w:hint="eastAsia" w:ascii="仿宋_GB2312"/>
                <w:sz w:val="24"/>
              </w:rPr>
              <w:t>①②③④各0.5分⑤1分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1.4建立名册</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①建立职工名册制度；②主动履行劳动用工备案义务。</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1.5劳务用工</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使用劳务派遣工符合劳动法律法规规定：①劳务派遣在临时性、辅助性或者替代性的工作岗位上实施，并不超过法定比例；②对被派遣劳动者实行同工同酬。</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586" w:type="dxa"/>
            <w:vMerge w:val="restart"/>
            <w:vAlign w:val="center"/>
          </w:tcPr>
          <w:p>
            <w:pPr>
              <w:widowControl/>
              <w:snapToGrid w:val="0"/>
              <w:rPr>
                <w:rFonts w:ascii="仿宋_GB2312"/>
                <w:sz w:val="24"/>
              </w:rPr>
            </w:pPr>
            <w:r>
              <w:rPr>
                <w:rFonts w:hint="eastAsia" w:ascii="仿宋_GB2312"/>
                <w:sz w:val="24"/>
              </w:rPr>
              <w:t>2劳动规章</w:t>
            </w:r>
          </w:p>
          <w:p>
            <w:pPr>
              <w:widowControl/>
              <w:snapToGrid w:val="0"/>
              <w:rPr>
                <w:rFonts w:ascii="仿宋_GB2312"/>
                <w:sz w:val="24"/>
              </w:rPr>
            </w:pPr>
            <w:r>
              <w:rPr>
                <w:rFonts w:hint="eastAsia" w:ascii="仿宋_GB2312"/>
                <w:sz w:val="24"/>
              </w:rPr>
              <w:t>（7分）</w:t>
            </w:r>
          </w:p>
        </w:tc>
        <w:tc>
          <w:tcPr>
            <w:tcW w:w="1837" w:type="dxa"/>
            <w:vAlign w:val="center"/>
          </w:tcPr>
          <w:p>
            <w:pPr>
              <w:widowControl/>
              <w:snapToGrid w:val="0"/>
              <w:rPr>
                <w:rFonts w:ascii="仿宋_GB2312"/>
                <w:sz w:val="24"/>
              </w:rPr>
            </w:pPr>
            <w:r>
              <w:rPr>
                <w:rFonts w:hint="eastAsia" w:ascii="仿宋_GB2312"/>
                <w:sz w:val="24"/>
              </w:rPr>
              <w:t>2.1制度健全</w:t>
            </w:r>
          </w:p>
        </w:tc>
        <w:tc>
          <w:tcPr>
            <w:tcW w:w="813" w:type="dxa"/>
            <w:vAlign w:val="center"/>
          </w:tcPr>
          <w:p>
            <w:pPr>
              <w:widowControl/>
              <w:snapToGrid w:val="0"/>
              <w:rPr>
                <w:rFonts w:ascii="仿宋_GB2312"/>
                <w:sz w:val="24"/>
              </w:rPr>
            </w:pPr>
            <w:r>
              <w:rPr>
                <w:rFonts w:hint="eastAsia" w:ascii="仿宋_GB2312"/>
                <w:sz w:val="24"/>
              </w:rPr>
              <w:t>4分</w:t>
            </w:r>
          </w:p>
        </w:tc>
        <w:tc>
          <w:tcPr>
            <w:tcW w:w="7142" w:type="dxa"/>
            <w:vAlign w:val="center"/>
          </w:tcPr>
          <w:p>
            <w:pPr>
              <w:widowControl/>
              <w:snapToGrid w:val="0"/>
              <w:rPr>
                <w:rFonts w:ascii="仿宋_GB2312"/>
                <w:sz w:val="24"/>
              </w:rPr>
            </w:pPr>
            <w:r>
              <w:rPr>
                <w:rFonts w:hint="eastAsia" w:ascii="仿宋_GB2312"/>
                <w:sz w:val="24"/>
              </w:rPr>
              <w:t>①建立和完善劳动报酬、工作时间、休息休假、保险福利、职工培训、劳动纪律等制度；②劳动规章制度的内容不得与法律、法规相抵触，且公平合理。</w:t>
            </w:r>
          </w:p>
        </w:tc>
        <w:tc>
          <w:tcPr>
            <w:tcW w:w="1743" w:type="dxa"/>
            <w:vAlign w:val="center"/>
          </w:tcPr>
          <w:p>
            <w:pPr>
              <w:widowControl/>
              <w:snapToGrid w:val="0"/>
              <w:rPr>
                <w:rFonts w:ascii="仿宋_GB2312"/>
                <w:sz w:val="24"/>
              </w:rPr>
            </w:pPr>
            <w:r>
              <w:rPr>
                <w:rFonts w:hint="eastAsia" w:ascii="仿宋_GB2312"/>
                <w:sz w:val="24"/>
              </w:rPr>
              <w:t>①②各2分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2.2程序合法</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①制定劳动规章制度和决定涉及职工切身利益的重大事项，应当经职工（代表）大会或者全体职工讨论，提出方案和意见；②与工会或者职工代表平等协商确定。</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2.3公示告知</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 xml:space="preserve">劳动规章制度、重大事项应当公示，或者告知职工。 </w:t>
            </w:r>
          </w:p>
        </w:tc>
        <w:tc>
          <w:tcPr>
            <w:tcW w:w="1743" w:type="dxa"/>
            <w:vAlign w:val="center"/>
          </w:tcPr>
          <w:p>
            <w:pPr>
              <w:widowControl/>
              <w:snapToGrid w:val="0"/>
              <w:rPr>
                <w:rFonts w:ascii="仿宋_GB2312"/>
                <w:sz w:val="24"/>
              </w:rPr>
            </w:pP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1586" w:type="dxa"/>
            <w:vMerge w:val="restart"/>
            <w:vAlign w:val="center"/>
          </w:tcPr>
          <w:p>
            <w:pPr>
              <w:widowControl/>
              <w:snapToGrid w:val="0"/>
              <w:rPr>
                <w:rFonts w:ascii="仿宋_GB2312"/>
                <w:sz w:val="24"/>
              </w:rPr>
            </w:pPr>
            <w:r>
              <w:rPr>
                <w:rFonts w:hint="eastAsia" w:ascii="仿宋_GB2312"/>
                <w:sz w:val="24"/>
              </w:rPr>
              <w:t>3工资分配</w:t>
            </w:r>
          </w:p>
          <w:p>
            <w:pPr>
              <w:widowControl/>
              <w:snapToGrid w:val="0"/>
              <w:rPr>
                <w:rFonts w:ascii="仿宋_GB2312"/>
                <w:sz w:val="24"/>
              </w:rPr>
            </w:pPr>
            <w:r>
              <w:rPr>
                <w:rFonts w:hint="eastAsia" w:ascii="仿宋_GB2312"/>
                <w:sz w:val="24"/>
              </w:rPr>
              <w:t>（12分）</w:t>
            </w:r>
          </w:p>
        </w:tc>
        <w:tc>
          <w:tcPr>
            <w:tcW w:w="1837" w:type="dxa"/>
            <w:vAlign w:val="center"/>
          </w:tcPr>
          <w:p>
            <w:pPr>
              <w:widowControl/>
              <w:snapToGrid w:val="0"/>
              <w:rPr>
                <w:rFonts w:ascii="仿宋_GB2312"/>
                <w:sz w:val="24"/>
              </w:rPr>
            </w:pPr>
            <w:r>
              <w:rPr>
                <w:rFonts w:hint="eastAsia" w:ascii="仿宋_GB2312"/>
                <w:sz w:val="24"/>
              </w:rPr>
              <w:t>3.1工资协商</w:t>
            </w:r>
          </w:p>
        </w:tc>
        <w:tc>
          <w:tcPr>
            <w:tcW w:w="813" w:type="dxa"/>
            <w:vAlign w:val="center"/>
          </w:tcPr>
          <w:p>
            <w:pPr>
              <w:widowControl/>
              <w:snapToGrid w:val="0"/>
              <w:rPr>
                <w:rFonts w:ascii="仿宋_GB2312"/>
                <w:sz w:val="24"/>
              </w:rPr>
            </w:pPr>
            <w:r>
              <w:rPr>
                <w:rFonts w:hint="eastAsia" w:ascii="仿宋_GB2312"/>
                <w:sz w:val="24"/>
              </w:rPr>
              <w:t>3分</w:t>
            </w:r>
          </w:p>
        </w:tc>
        <w:tc>
          <w:tcPr>
            <w:tcW w:w="7142" w:type="dxa"/>
            <w:vAlign w:val="center"/>
          </w:tcPr>
          <w:p>
            <w:pPr>
              <w:widowControl/>
              <w:snapToGrid w:val="0"/>
              <w:rPr>
                <w:rFonts w:ascii="仿宋_GB2312"/>
                <w:sz w:val="24"/>
              </w:rPr>
            </w:pPr>
            <w:r>
              <w:rPr>
                <w:rFonts w:hint="eastAsia" w:ascii="仿宋_GB2312"/>
                <w:sz w:val="24"/>
              </w:rPr>
              <w:t>①建立以工资集体协商为主要形式的工资分配决定机制和工资水平调整机制；②本企业工资标准高于最低工资标准；③企业生产经营严重困难时，劳资双方共同协商确定工资。</w:t>
            </w:r>
          </w:p>
        </w:tc>
        <w:tc>
          <w:tcPr>
            <w:tcW w:w="1743" w:type="dxa"/>
            <w:vAlign w:val="center"/>
          </w:tcPr>
          <w:p>
            <w:pPr>
              <w:widowControl/>
              <w:snapToGrid w:val="0"/>
              <w:rPr>
                <w:rFonts w:ascii="仿宋_GB2312"/>
                <w:sz w:val="24"/>
              </w:rPr>
            </w:pPr>
            <w:r>
              <w:rPr>
                <w:rFonts w:hint="eastAsia" w:ascii="仿宋_GB2312"/>
                <w:sz w:val="24"/>
              </w:rPr>
              <w:t>①②③各1分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3.2劳动定额</w:t>
            </w:r>
          </w:p>
        </w:tc>
        <w:tc>
          <w:tcPr>
            <w:tcW w:w="813" w:type="dxa"/>
            <w:vAlign w:val="center"/>
          </w:tcPr>
          <w:p>
            <w:pPr>
              <w:widowControl/>
              <w:snapToGrid w:val="0"/>
              <w:rPr>
                <w:rFonts w:ascii="仿宋_GB2312"/>
                <w:sz w:val="24"/>
              </w:rPr>
            </w:pPr>
            <w:r>
              <w:rPr>
                <w:rFonts w:hint="eastAsia" w:ascii="仿宋_GB2312"/>
                <w:sz w:val="24"/>
              </w:rPr>
              <w:t>2分</w:t>
            </w:r>
          </w:p>
          <w:p>
            <w:pPr>
              <w:widowControl/>
              <w:snapToGrid w:val="0"/>
              <w:rPr>
                <w:rFonts w:ascii="仿宋_GB2312"/>
                <w:sz w:val="24"/>
              </w:rPr>
            </w:pPr>
          </w:p>
        </w:tc>
        <w:tc>
          <w:tcPr>
            <w:tcW w:w="7142" w:type="dxa"/>
            <w:vAlign w:val="center"/>
          </w:tcPr>
          <w:p>
            <w:pPr>
              <w:widowControl/>
              <w:snapToGrid w:val="0"/>
              <w:rPr>
                <w:rFonts w:ascii="仿宋_GB2312"/>
                <w:sz w:val="24"/>
              </w:rPr>
            </w:pPr>
            <w:r>
              <w:rPr>
                <w:rFonts w:hint="eastAsia" w:ascii="仿宋_GB2312"/>
                <w:sz w:val="24"/>
              </w:rPr>
              <w:t>①依法确定、调整劳动定额或者计件报酬标准；②劳动定额标准能够确保同岗位90%以上劳动者在法定工作时间内完成。</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3.3工资增长</w:t>
            </w:r>
          </w:p>
        </w:tc>
        <w:tc>
          <w:tcPr>
            <w:tcW w:w="813" w:type="dxa"/>
            <w:vAlign w:val="center"/>
          </w:tcPr>
          <w:p>
            <w:pPr>
              <w:widowControl/>
              <w:snapToGrid w:val="0"/>
              <w:rPr>
                <w:rFonts w:ascii="仿宋_GB2312"/>
                <w:sz w:val="24"/>
              </w:rPr>
            </w:pPr>
            <w:r>
              <w:rPr>
                <w:rFonts w:hint="eastAsia" w:ascii="仿宋_GB2312"/>
                <w:sz w:val="24"/>
              </w:rPr>
              <w:t>4分</w:t>
            </w:r>
          </w:p>
          <w:p>
            <w:pPr>
              <w:widowControl/>
              <w:snapToGrid w:val="0"/>
              <w:rPr>
                <w:rFonts w:ascii="仿宋_GB2312"/>
                <w:sz w:val="24"/>
              </w:rPr>
            </w:pPr>
          </w:p>
        </w:tc>
        <w:tc>
          <w:tcPr>
            <w:tcW w:w="7142" w:type="dxa"/>
            <w:vAlign w:val="center"/>
          </w:tcPr>
          <w:p>
            <w:pPr>
              <w:widowControl/>
              <w:snapToGrid w:val="0"/>
              <w:rPr>
                <w:rFonts w:ascii="仿宋_GB2312"/>
                <w:sz w:val="24"/>
              </w:rPr>
            </w:pPr>
            <w:r>
              <w:rPr>
                <w:rFonts w:hint="eastAsia" w:ascii="仿宋_GB2312"/>
                <w:sz w:val="24"/>
              </w:rPr>
              <w:t>①参照工资指导线，职工工资增长与企业劳动生产率提高相协调，与经济效益挂钩；②一线职工、技能人才年收入增长水平高于企业职工平均工资增长水平。</w:t>
            </w:r>
          </w:p>
        </w:tc>
        <w:tc>
          <w:tcPr>
            <w:tcW w:w="1743" w:type="dxa"/>
            <w:vAlign w:val="center"/>
          </w:tcPr>
          <w:p>
            <w:pPr>
              <w:widowControl/>
              <w:snapToGrid w:val="0"/>
              <w:rPr>
                <w:rFonts w:ascii="仿宋_GB2312"/>
                <w:sz w:val="24"/>
              </w:rPr>
            </w:pPr>
            <w:r>
              <w:rPr>
                <w:rFonts w:hint="eastAsia" w:ascii="仿宋_GB2312"/>
                <w:sz w:val="24"/>
              </w:rPr>
              <w:t>①②各2分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3.4 工资支付</w:t>
            </w:r>
          </w:p>
        </w:tc>
        <w:tc>
          <w:tcPr>
            <w:tcW w:w="813" w:type="dxa"/>
          </w:tcPr>
          <w:p>
            <w:pPr>
              <w:widowControl/>
              <w:snapToGrid w:val="0"/>
              <w:rPr>
                <w:rFonts w:ascii="仿宋_GB2312"/>
                <w:sz w:val="24"/>
              </w:rPr>
            </w:pPr>
            <w:r>
              <w:rPr>
                <w:rFonts w:hint="eastAsia" w:ascii="仿宋_GB2312"/>
                <w:sz w:val="24"/>
              </w:rPr>
              <w:t xml:space="preserve"> 3分</w:t>
            </w:r>
          </w:p>
        </w:tc>
        <w:tc>
          <w:tcPr>
            <w:tcW w:w="7142" w:type="dxa"/>
            <w:vAlign w:val="center"/>
          </w:tcPr>
          <w:p>
            <w:pPr>
              <w:widowControl/>
              <w:snapToGrid w:val="0"/>
              <w:rPr>
                <w:rFonts w:ascii="仿宋_GB2312"/>
                <w:sz w:val="24"/>
              </w:rPr>
            </w:pPr>
            <w:r>
              <w:rPr>
                <w:rFonts w:hint="eastAsia" w:ascii="仿宋_GB2312"/>
                <w:sz w:val="24"/>
              </w:rPr>
              <w:t xml:space="preserve">以货币形式①按时、②足额支付职工工资；③依法发放各种津贴（有毒有害高温等）。 </w:t>
            </w:r>
          </w:p>
        </w:tc>
        <w:tc>
          <w:tcPr>
            <w:tcW w:w="1743" w:type="dxa"/>
            <w:vAlign w:val="center"/>
          </w:tcPr>
          <w:p>
            <w:pPr>
              <w:widowControl/>
              <w:snapToGrid w:val="0"/>
              <w:rPr>
                <w:rFonts w:ascii="仿宋_GB2312"/>
                <w:sz w:val="24"/>
              </w:rPr>
            </w:pPr>
            <w:r>
              <w:rPr>
                <w:rFonts w:hint="eastAsia" w:ascii="仿宋_GB2312"/>
                <w:sz w:val="24"/>
              </w:rPr>
              <w:t>①②③各1分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86" w:type="dxa"/>
            <w:vMerge w:val="restart"/>
            <w:vAlign w:val="center"/>
          </w:tcPr>
          <w:p>
            <w:pPr>
              <w:widowControl/>
              <w:snapToGrid w:val="0"/>
              <w:rPr>
                <w:rFonts w:ascii="仿宋_GB2312"/>
                <w:sz w:val="24"/>
              </w:rPr>
            </w:pPr>
            <w:r>
              <w:rPr>
                <w:rFonts w:hint="eastAsia" w:ascii="仿宋_GB2312"/>
                <w:sz w:val="24"/>
              </w:rPr>
              <w:t>4工作时间与休息休假（9分）</w:t>
            </w:r>
          </w:p>
        </w:tc>
        <w:tc>
          <w:tcPr>
            <w:tcW w:w="1837" w:type="dxa"/>
            <w:vAlign w:val="center"/>
          </w:tcPr>
          <w:p>
            <w:pPr>
              <w:widowControl/>
              <w:snapToGrid w:val="0"/>
              <w:rPr>
                <w:rFonts w:ascii="仿宋_GB2312"/>
                <w:sz w:val="24"/>
              </w:rPr>
            </w:pPr>
            <w:r>
              <w:rPr>
                <w:rFonts w:hint="eastAsia" w:ascii="仿宋_GB2312"/>
                <w:sz w:val="24"/>
              </w:rPr>
              <w:t>4.1工作时间</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①依法执行国家规定的工作时间；②执行特殊工时制的，应履行报批手续。</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4.2加班加点</w:t>
            </w:r>
          </w:p>
        </w:tc>
        <w:tc>
          <w:tcPr>
            <w:tcW w:w="813" w:type="dxa"/>
            <w:vAlign w:val="center"/>
          </w:tcPr>
          <w:p>
            <w:pPr>
              <w:widowControl/>
              <w:snapToGrid w:val="0"/>
              <w:rPr>
                <w:rFonts w:ascii="仿宋_GB2312"/>
                <w:sz w:val="24"/>
              </w:rPr>
            </w:pPr>
            <w:r>
              <w:rPr>
                <w:rFonts w:hint="eastAsia" w:ascii="仿宋_GB2312"/>
                <w:sz w:val="24"/>
              </w:rPr>
              <w:t>3分</w:t>
            </w:r>
          </w:p>
        </w:tc>
        <w:tc>
          <w:tcPr>
            <w:tcW w:w="7142" w:type="dxa"/>
            <w:vAlign w:val="center"/>
          </w:tcPr>
          <w:p>
            <w:pPr>
              <w:widowControl/>
              <w:snapToGrid w:val="0"/>
              <w:rPr>
                <w:rFonts w:ascii="仿宋_GB2312"/>
                <w:sz w:val="24"/>
              </w:rPr>
            </w:pPr>
            <w:r>
              <w:rPr>
                <w:rFonts w:hint="eastAsia" w:ascii="仿宋_GB2312"/>
                <w:sz w:val="24"/>
              </w:rPr>
              <w:t>①加班加点应事先与工会和职工协商；②延长工作时间符合法律法规规定；③依法足额发放加班加点工资报酬。</w:t>
            </w:r>
          </w:p>
        </w:tc>
        <w:tc>
          <w:tcPr>
            <w:tcW w:w="1743" w:type="dxa"/>
            <w:vAlign w:val="center"/>
          </w:tcPr>
          <w:p>
            <w:pPr>
              <w:widowControl/>
              <w:snapToGrid w:val="0"/>
              <w:rPr>
                <w:rFonts w:ascii="仿宋_GB2312"/>
                <w:sz w:val="24"/>
              </w:rPr>
            </w:pPr>
            <w:r>
              <w:rPr>
                <w:rFonts w:hint="eastAsia" w:ascii="仿宋_GB2312"/>
                <w:sz w:val="24"/>
              </w:rPr>
              <w:t>①②③各1分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4.3休息休假</w:t>
            </w:r>
          </w:p>
        </w:tc>
        <w:tc>
          <w:tcPr>
            <w:tcW w:w="813" w:type="dxa"/>
          </w:tcPr>
          <w:p>
            <w:pPr>
              <w:widowControl/>
              <w:snapToGrid w:val="0"/>
              <w:rPr>
                <w:rFonts w:ascii="仿宋_GB2312"/>
                <w:sz w:val="24"/>
              </w:rPr>
            </w:pPr>
            <w:r>
              <w:rPr>
                <w:rFonts w:hint="eastAsia" w:ascii="仿宋_GB2312"/>
                <w:sz w:val="24"/>
              </w:rPr>
              <w:t>4分</w:t>
            </w:r>
          </w:p>
        </w:tc>
        <w:tc>
          <w:tcPr>
            <w:tcW w:w="7142" w:type="dxa"/>
            <w:vAlign w:val="center"/>
          </w:tcPr>
          <w:p>
            <w:pPr>
              <w:widowControl/>
              <w:snapToGrid w:val="0"/>
              <w:rPr>
                <w:rFonts w:ascii="仿宋_GB2312"/>
                <w:sz w:val="24"/>
              </w:rPr>
            </w:pPr>
            <w:r>
              <w:rPr>
                <w:rFonts w:hint="eastAsia" w:ascii="仿宋_GB2312"/>
                <w:sz w:val="24"/>
              </w:rPr>
              <w:t>①依法执行休息和休假制度；②保障职工带薪年休假权利。</w:t>
            </w:r>
          </w:p>
        </w:tc>
        <w:tc>
          <w:tcPr>
            <w:tcW w:w="1743" w:type="dxa"/>
            <w:vAlign w:val="center"/>
          </w:tcPr>
          <w:p>
            <w:pPr>
              <w:widowControl/>
              <w:snapToGrid w:val="0"/>
              <w:rPr>
                <w:rFonts w:ascii="仿宋_GB2312"/>
                <w:sz w:val="24"/>
              </w:rPr>
            </w:pPr>
            <w:r>
              <w:rPr>
                <w:rFonts w:hint="eastAsia" w:ascii="仿宋_GB2312"/>
                <w:sz w:val="24"/>
              </w:rPr>
              <w:t>①②各2分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586" w:type="dxa"/>
            <w:vMerge w:val="restart"/>
            <w:vAlign w:val="center"/>
          </w:tcPr>
          <w:p>
            <w:pPr>
              <w:widowControl/>
              <w:snapToGrid w:val="0"/>
              <w:rPr>
                <w:rFonts w:ascii="仿宋_GB2312"/>
                <w:sz w:val="24"/>
              </w:rPr>
            </w:pPr>
            <w:r>
              <w:rPr>
                <w:rFonts w:hint="eastAsia" w:ascii="仿宋_GB2312"/>
                <w:sz w:val="24"/>
              </w:rPr>
              <w:t>5社会保险与福利</w:t>
            </w:r>
          </w:p>
          <w:p>
            <w:pPr>
              <w:widowControl/>
              <w:snapToGrid w:val="0"/>
              <w:rPr>
                <w:rFonts w:ascii="仿宋_GB2312"/>
                <w:sz w:val="24"/>
              </w:rPr>
            </w:pPr>
            <w:r>
              <w:rPr>
                <w:rFonts w:hint="eastAsia" w:ascii="仿宋_GB2312"/>
                <w:sz w:val="24"/>
              </w:rPr>
              <w:t>（8分）</w:t>
            </w:r>
          </w:p>
        </w:tc>
        <w:tc>
          <w:tcPr>
            <w:tcW w:w="1837" w:type="dxa"/>
            <w:vAlign w:val="center"/>
          </w:tcPr>
          <w:p>
            <w:pPr>
              <w:widowControl/>
              <w:snapToGrid w:val="0"/>
              <w:rPr>
                <w:rFonts w:ascii="仿宋_GB2312"/>
                <w:sz w:val="24"/>
              </w:rPr>
            </w:pPr>
            <w:r>
              <w:rPr>
                <w:rFonts w:hint="eastAsia" w:ascii="仿宋_GB2312"/>
                <w:sz w:val="24"/>
              </w:rPr>
              <w:t>5.1 登记申报</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①履行社会保险登记、申报义务；②依法足额申报参保人数和应缴纳的社会保险数额。</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5.2 缴纳费用</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①依法按时足额缴纳各项社会保险费；②按月向职工告知缴纳社会保险费明细情况。</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86" w:type="dxa"/>
            <w:vMerge w:val="restart"/>
            <w:vAlign w:val="center"/>
          </w:tcPr>
          <w:p>
            <w:pPr>
              <w:widowControl/>
              <w:snapToGrid w:val="0"/>
              <w:rPr>
                <w:rFonts w:ascii="仿宋_GB2312"/>
                <w:sz w:val="24"/>
              </w:rPr>
            </w:pPr>
            <w:r>
              <w:rPr>
                <w:rFonts w:hint="eastAsia" w:ascii="仿宋_GB2312"/>
                <w:sz w:val="24"/>
              </w:rPr>
              <w:t>5社会保险与福利</w:t>
            </w:r>
          </w:p>
          <w:p>
            <w:pPr>
              <w:widowControl/>
              <w:snapToGrid w:val="0"/>
              <w:rPr>
                <w:rFonts w:ascii="仿宋_GB2312"/>
                <w:sz w:val="24"/>
              </w:rPr>
            </w:pPr>
            <w:r>
              <w:rPr>
                <w:rFonts w:hint="eastAsia" w:ascii="仿宋_GB2312"/>
                <w:sz w:val="24"/>
              </w:rPr>
              <w:t>（8分）</w:t>
            </w:r>
          </w:p>
        </w:tc>
        <w:tc>
          <w:tcPr>
            <w:tcW w:w="1837" w:type="dxa"/>
            <w:vAlign w:val="center"/>
          </w:tcPr>
          <w:p>
            <w:pPr>
              <w:widowControl/>
              <w:snapToGrid w:val="0"/>
              <w:rPr>
                <w:rFonts w:ascii="仿宋_GB2312"/>
                <w:sz w:val="24"/>
              </w:rPr>
            </w:pPr>
            <w:r>
              <w:rPr>
                <w:rFonts w:hint="eastAsia" w:ascii="仿宋_GB2312"/>
                <w:sz w:val="24"/>
              </w:rPr>
              <w:t>5.3住房公积金</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①执行职工住房公积金规定；②及时为职工缴纳住房公积金。</w:t>
            </w:r>
          </w:p>
        </w:tc>
        <w:tc>
          <w:tcPr>
            <w:tcW w:w="1743" w:type="dxa"/>
            <w:vAlign w:val="center"/>
          </w:tcPr>
          <w:p>
            <w:pPr>
              <w:widowControl/>
              <w:numPr>
                <w:ilvl w:val="0"/>
                <w:numId w:val="2"/>
              </w:numPr>
              <w:snapToGrid w:val="0"/>
              <w:rPr>
                <w:rFonts w:ascii="仿宋_GB2312"/>
                <w:sz w:val="24"/>
              </w:rPr>
            </w:pPr>
            <w:r>
              <w:rPr>
                <w:rFonts w:hint="eastAsia" w:ascii="仿宋_GB2312"/>
                <w:sz w:val="24"/>
              </w:rPr>
              <w:t>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5.4补充保险</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具备条件的企业建立以企业年金、补充医疗为主要形式的补充保险制度。</w:t>
            </w:r>
          </w:p>
        </w:tc>
        <w:tc>
          <w:tcPr>
            <w:tcW w:w="1743" w:type="dxa"/>
            <w:vAlign w:val="center"/>
          </w:tcPr>
          <w:p>
            <w:pPr>
              <w:widowControl/>
              <w:snapToGrid w:val="0"/>
              <w:rPr>
                <w:rFonts w:ascii="仿宋_GB2312"/>
                <w:sz w:val="24"/>
              </w:rPr>
            </w:pP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5.5互助互济</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①建立职工互助互济保障制度；②开展困难职工帮扶工作并建立困难职工帮扶档案。</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5.6职工福利</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依法足额提取和使用职工福利费。</w:t>
            </w:r>
          </w:p>
        </w:tc>
        <w:tc>
          <w:tcPr>
            <w:tcW w:w="1743" w:type="dxa"/>
            <w:vAlign w:val="center"/>
          </w:tcPr>
          <w:p>
            <w:pPr>
              <w:widowControl/>
              <w:snapToGrid w:val="0"/>
              <w:rPr>
                <w:rFonts w:ascii="仿宋_GB2312"/>
                <w:sz w:val="24"/>
              </w:rPr>
            </w:pP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586" w:type="dxa"/>
            <w:vMerge w:val="restart"/>
            <w:vAlign w:val="center"/>
          </w:tcPr>
          <w:p>
            <w:pPr>
              <w:widowControl/>
              <w:snapToGrid w:val="0"/>
              <w:rPr>
                <w:rFonts w:ascii="仿宋_GB2312"/>
                <w:sz w:val="24"/>
              </w:rPr>
            </w:pPr>
            <w:r>
              <w:rPr>
                <w:rFonts w:hint="eastAsia" w:ascii="仿宋_GB2312"/>
                <w:sz w:val="24"/>
              </w:rPr>
              <w:t>6劳动安全卫生（6分）</w:t>
            </w:r>
          </w:p>
        </w:tc>
        <w:tc>
          <w:tcPr>
            <w:tcW w:w="1837" w:type="dxa"/>
            <w:vAlign w:val="center"/>
          </w:tcPr>
          <w:p>
            <w:pPr>
              <w:widowControl/>
              <w:snapToGrid w:val="0"/>
              <w:rPr>
                <w:rFonts w:ascii="仿宋_GB2312"/>
                <w:sz w:val="24"/>
              </w:rPr>
            </w:pPr>
            <w:r>
              <w:rPr>
                <w:rFonts w:hint="eastAsia" w:ascii="仿宋_GB2312"/>
                <w:sz w:val="24"/>
              </w:rPr>
              <w:t>6.1安全制度</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①建立健全安全生产规章制度、职业卫生管理制度和事故应急预案；②加大安全卫生投入。</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6.2安全生产条件</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①生产经营场所和设备、设施符合国家有关标准和规定，消防设施符合要求，安全警示标志明显；②按规定开展安全生产标准化建设。</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6.3职业卫生</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提供符合国家规定的劳动安全卫生条件和劳动保护用品；②组织有毒有害岗位职工定期进行健康体检；③尘毒浓度指标不超过国家卫生标准；④落实女职工和未成年工特殊保护措施，每年至少组织一次女职工妇女病普查。</w:t>
            </w:r>
          </w:p>
        </w:tc>
        <w:tc>
          <w:tcPr>
            <w:tcW w:w="1743" w:type="dxa"/>
            <w:vAlign w:val="center"/>
          </w:tcPr>
          <w:p>
            <w:pPr>
              <w:widowControl/>
              <w:snapToGrid w:val="0"/>
              <w:rPr>
                <w:rFonts w:ascii="仿宋_GB2312"/>
                <w:sz w:val="24"/>
              </w:rPr>
            </w:pPr>
            <w:r>
              <w:rPr>
                <w:rFonts w:hint="eastAsia" w:ascii="仿宋_GB2312"/>
                <w:sz w:val="24"/>
              </w:rPr>
              <w:t>①②③④各0.5分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6.4安全培训</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①开展职工安全教育；②企业主要负责人、安全管理人员、特种作业人员经过安全培训合格，取得相应资格上岗。</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6.5安全检查</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①建立和完善 “1+3”安全监控工作体系，对企业安全生产重点部位、重点设备和关键环节开展经常性安全检查，及时整改事故隐患；②开展“安康杯”竞赛，加强企业安全文化建设。</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86" w:type="dxa"/>
            <w:vMerge w:val="restart"/>
            <w:vAlign w:val="center"/>
          </w:tcPr>
          <w:p>
            <w:pPr>
              <w:widowControl/>
              <w:snapToGrid w:val="0"/>
              <w:rPr>
                <w:rFonts w:ascii="仿宋_GB2312"/>
                <w:sz w:val="24"/>
              </w:rPr>
            </w:pPr>
            <w:r>
              <w:rPr>
                <w:rFonts w:hint="eastAsia" w:ascii="仿宋_GB2312"/>
                <w:sz w:val="24"/>
              </w:rPr>
              <w:t>7职业培训</w:t>
            </w:r>
          </w:p>
          <w:p>
            <w:pPr>
              <w:widowControl/>
              <w:snapToGrid w:val="0"/>
              <w:rPr>
                <w:rFonts w:ascii="仿宋_GB2312"/>
                <w:sz w:val="24"/>
              </w:rPr>
            </w:pPr>
            <w:r>
              <w:rPr>
                <w:rFonts w:hint="eastAsia" w:ascii="仿宋_GB2312"/>
                <w:sz w:val="24"/>
              </w:rPr>
              <w:t>（4分）</w:t>
            </w:r>
          </w:p>
        </w:tc>
        <w:tc>
          <w:tcPr>
            <w:tcW w:w="1837" w:type="dxa"/>
            <w:vAlign w:val="center"/>
          </w:tcPr>
          <w:p>
            <w:pPr>
              <w:widowControl/>
              <w:snapToGrid w:val="0"/>
              <w:rPr>
                <w:rFonts w:ascii="仿宋_GB2312"/>
                <w:sz w:val="24"/>
              </w:rPr>
            </w:pPr>
            <w:r>
              <w:rPr>
                <w:rFonts w:hint="eastAsia" w:ascii="仿宋_GB2312"/>
                <w:sz w:val="24"/>
              </w:rPr>
              <w:t>7.1职工素质</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将建设知识型、技术型、创新型职工队伍纳入企业发展战略和重要管理目标。</w:t>
            </w:r>
          </w:p>
        </w:tc>
        <w:tc>
          <w:tcPr>
            <w:tcW w:w="1743" w:type="dxa"/>
            <w:vAlign w:val="center"/>
          </w:tcPr>
          <w:p>
            <w:pPr>
              <w:widowControl/>
              <w:snapToGrid w:val="0"/>
              <w:rPr>
                <w:rFonts w:ascii="仿宋_GB2312"/>
                <w:sz w:val="24"/>
              </w:rPr>
            </w:pP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7.2技能培训</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①组织开展在岗培训、脱产培训、业务研修、技能竞赛等形式多样的培训活动；②支持职工参加学历教育或继续教育。</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7.3经费使用</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依法提取和使用职工教育培训经费。</w:t>
            </w:r>
          </w:p>
        </w:tc>
        <w:tc>
          <w:tcPr>
            <w:tcW w:w="1743" w:type="dxa"/>
            <w:vAlign w:val="center"/>
          </w:tcPr>
          <w:p>
            <w:pPr>
              <w:widowControl/>
              <w:snapToGrid w:val="0"/>
              <w:rPr>
                <w:rFonts w:ascii="仿宋_GB2312"/>
                <w:sz w:val="24"/>
              </w:rPr>
            </w:pP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6" w:hRule="atLeast"/>
          <w:jc w:val="center"/>
        </w:trPr>
        <w:tc>
          <w:tcPr>
            <w:tcW w:w="1586" w:type="dxa"/>
            <w:vMerge w:val="restart"/>
            <w:vAlign w:val="center"/>
          </w:tcPr>
          <w:p>
            <w:pPr>
              <w:widowControl/>
              <w:snapToGrid w:val="0"/>
              <w:rPr>
                <w:rFonts w:ascii="仿宋_GB2312"/>
                <w:sz w:val="24"/>
              </w:rPr>
            </w:pPr>
            <w:r>
              <w:rPr>
                <w:rFonts w:hint="eastAsia" w:ascii="仿宋_GB2312"/>
                <w:sz w:val="24"/>
              </w:rPr>
              <w:t>8集体协商</w:t>
            </w:r>
          </w:p>
          <w:p>
            <w:pPr>
              <w:widowControl/>
              <w:snapToGrid w:val="0"/>
              <w:rPr>
                <w:rFonts w:ascii="仿宋_GB2312"/>
                <w:sz w:val="24"/>
              </w:rPr>
            </w:pPr>
            <w:r>
              <w:rPr>
                <w:rFonts w:hint="eastAsia" w:ascii="仿宋_GB2312"/>
                <w:sz w:val="24"/>
              </w:rPr>
              <w:t>与集体合同（13分）</w:t>
            </w:r>
          </w:p>
        </w:tc>
        <w:tc>
          <w:tcPr>
            <w:tcW w:w="1837" w:type="dxa"/>
            <w:vAlign w:val="center"/>
          </w:tcPr>
          <w:p>
            <w:pPr>
              <w:widowControl/>
              <w:snapToGrid w:val="0"/>
              <w:rPr>
                <w:rFonts w:ascii="仿宋_GB2312"/>
                <w:sz w:val="24"/>
              </w:rPr>
            </w:pPr>
            <w:r>
              <w:rPr>
                <w:rFonts w:hint="eastAsia" w:ascii="仿宋_GB2312"/>
                <w:sz w:val="24"/>
              </w:rPr>
              <w:t>8.1集体协商</w:t>
            </w:r>
          </w:p>
        </w:tc>
        <w:tc>
          <w:tcPr>
            <w:tcW w:w="813" w:type="dxa"/>
            <w:vAlign w:val="center"/>
          </w:tcPr>
          <w:p>
            <w:pPr>
              <w:widowControl/>
              <w:snapToGrid w:val="0"/>
              <w:rPr>
                <w:rFonts w:ascii="仿宋_GB2312"/>
                <w:sz w:val="24"/>
              </w:rPr>
            </w:pPr>
            <w:r>
              <w:rPr>
                <w:rFonts w:hint="eastAsia" w:ascii="仿宋_GB2312"/>
                <w:sz w:val="24"/>
              </w:rPr>
              <w:t>5分</w:t>
            </w:r>
          </w:p>
        </w:tc>
        <w:tc>
          <w:tcPr>
            <w:tcW w:w="7142" w:type="dxa"/>
            <w:vAlign w:val="center"/>
          </w:tcPr>
          <w:p>
            <w:pPr>
              <w:widowControl/>
              <w:snapToGrid w:val="0"/>
              <w:rPr>
                <w:rFonts w:ascii="仿宋_GB2312"/>
                <w:sz w:val="24"/>
              </w:rPr>
            </w:pPr>
            <w:r>
              <w:rPr>
                <w:rFonts w:hint="eastAsia" w:ascii="仿宋_GB2312"/>
                <w:sz w:val="24"/>
              </w:rPr>
              <w:t>①企业建立常态化集体协商机制，每年至少开展1次集体协商；②企业确定劳动报酬、劳动合同管理、奖惩与裁员事项均事先与职工进行集体协商；③协商结果和理由依法向职工公布；④企业发生重大劳动关系调整事项时能够开展集体协商；⑤企业发生矛盾纠纷等重大事项时能够开展集体协商。</w:t>
            </w:r>
          </w:p>
        </w:tc>
        <w:tc>
          <w:tcPr>
            <w:tcW w:w="1743" w:type="dxa"/>
            <w:vAlign w:val="center"/>
          </w:tcPr>
          <w:p>
            <w:pPr>
              <w:widowControl/>
              <w:snapToGrid w:val="0"/>
              <w:rPr>
                <w:rFonts w:ascii="仿宋_GB2312"/>
                <w:sz w:val="24"/>
              </w:rPr>
            </w:pPr>
            <w:r>
              <w:rPr>
                <w:rFonts w:hint="eastAsia" w:ascii="仿宋_GB2312"/>
                <w:sz w:val="24"/>
              </w:rPr>
              <w:t>①②③④⑤各1分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8.2集体合同</w:t>
            </w:r>
          </w:p>
        </w:tc>
        <w:tc>
          <w:tcPr>
            <w:tcW w:w="813" w:type="dxa"/>
            <w:vAlign w:val="center"/>
          </w:tcPr>
          <w:p>
            <w:pPr>
              <w:widowControl/>
              <w:snapToGrid w:val="0"/>
              <w:rPr>
                <w:rFonts w:ascii="仿宋_GB2312"/>
                <w:sz w:val="24"/>
              </w:rPr>
            </w:pPr>
            <w:r>
              <w:rPr>
                <w:rFonts w:hint="eastAsia" w:ascii="仿宋_GB2312"/>
                <w:sz w:val="24"/>
              </w:rPr>
              <w:t>4分</w:t>
            </w:r>
          </w:p>
        </w:tc>
        <w:tc>
          <w:tcPr>
            <w:tcW w:w="7142" w:type="dxa"/>
            <w:vAlign w:val="center"/>
          </w:tcPr>
          <w:p>
            <w:pPr>
              <w:widowControl/>
              <w:snapToGrid w:val="0"/>
              <w:rPr>
                <w:rFonts w:ascii="仿宋_GB2312"/>
                <w:sz w:val="24"/>
              </w:rPr>
            </w:pPr>
            <w:r>
              <w:rPr>
                <w:rFonts w:hint="eastAsia" w:ascii="仿宋_GB2312"/>
                <w:sz w:val="24"/>
              </w:rPr>
              <w:t>①依法签订集体合同（工资、劳动安全卫生、女职工特殊保护专项集体合同）；②依法全面履行集体合同。</w:t>
            </w:r>
          </w:p>
        </w:tc>
        <w:tc>
          <w:tcPr>
            <w:tcW w:w="1743" w:type="dxa"/>
            <w:vAlign w:val="center"/>
          </w:tcPr>
          <w:p>
            <w:pPr>
              <w:widowControl/>
              <w:snapToGrid w:val="0"/>
              <w:rPr>
                <w:rFonts w:ascii="仿宋_GB2312"/>
                <w:sz w:val="24"/>
              </w:rPr>
            </w:pPr>
            <w:r>
              <w:rPr>
                <w:rFonts w:hint="eastAsia" w:ascii="仿宋_GB2312"/>
                <w:sz w:val="24"/>
              </w:rPr>
              <w:t>①②各2分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8.3监督检查</w:t>
            </w:r>
          </w:p>
        </w:tc>
        <w:tc>
          <w:tcPr>
            <w:tcW w:w="813" w:type="dxa"/>
            <w:vAlign w:val="center"/>
          </w:tcPr>
          <w:p>
            <w:pPr>
              <w:widowControl/>
              <w:snapToGrid w:val="0"/>
              <w:rPr>
                <w:rFonts w:ascii="仿宋_GB2312"/>
                <w:sz w:val="24"/>
              </w:rPr>
            </w:pPr>
            <w:r>
              <w:rPr>
                <w:rFonts w:hint="eastAsia" w:ascii="仿宋_GB2312"/>
                <w:sz w:val="24"/>
              </w:rPr>
              <w:t>4分</w:t>
            </w:r>
          </w:p>
        </w:tc>
        <w:tc>
          <w:tcPr>
            <w:tcW w:w="7142" w:type="dxa"/>
            <w:vAlign w:val="center"/>
          </w:tcPr>
          <w:p>
            <w:pPr>
              <w:widowControl/>
              <w:snapToGrid w:val="0"/>
              <w:rPr>
                <w:rFonts w:ascii="仿宋_GB2312"/>
                <w:sz w:val="24"/>
              </w:rPr>
            </w:pPr>
            <w:r>
              <w:rPr>
                <w:rFonts w:hint="eastAsia" w:ascii="仿宋_GB2312"/>
                <w:sz w:val="24"/>
              </w:rPr>
              <w:t>①集体合同按照规定时限报送劳动行政部门审查；②生效的集体合同及时向职工公示；③每年至少一次将履行集体合同情况向职工（代表）大会报告；④工资专项集体合同、集体合同中的工资条款或者附件的履行情况每半年至少公布一次。</w:t>
            </w:r>
          </w:p>
        </w:tc>
        <w:tc>
          <w:tcPr>
            <w:tcW w:w="1743" w:type="dxa"/>
            <w:vAlign w:val="center"/>
          </w:tcPr>
          <w:p>
            <w:pPr>
              <w:widowControl/>
              <w:snapToGrid w:val="0"/>
              <w:rPr>
                <w:rFonts w:ascii="仿宋_GB2312"/>
                <w:sz w:val="24"/>
              </w:rPr>
            </w:pPr>
            <w:r>
              <w:rPr>
                <w:rFonts w:hint="eastAsia" w:ascii="仿宋_GB2312"/>
                <w:sz w:val="24"/>
              </w:rPr>
              <w:t>①②③④各1分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586" w:type="dxa"/>
            <w:vMerge w:val="restart"/>
            <w:vAlign w:val="center"/>
          </w:tcPr>
          <w:p>
            <w:pPr>
              <w:widowControl/>
              <w:snapToGrid w:val="0"/>
              <w:rPr>
                <w:rFonts w:ascii="仿宋_GB2312"/>
                <w:sz w:val="24"/>
              </w:rPr>
            </w:pPr>
            <w:r>
              <w:rPr>
                <w:rFonts w:hint="eastAsia" w:ascii="仿宋_GB2312"/>
                <w:sz w:val="24"/>
              </w:rPr>
              <w:t>9工会建设与民主管理（9分）</w:t>
            </w:r>
          </w:p>
        </w:tc>
        <w:tc>
          <w:tcPr>
            <w:tcW w:w="1837" w:type="dxa"/>
            <w:vAlign w:val="center"/>
          </w:tcPr>
          <w:p>
            <w:pPr>
              <w:widowControl/>
              <w:snapToGrid w:val="0"/>
              <w:rPr>
                <w:rFonts w:ascii="仿宋_GB2312"/>
                <w:sz w:val="24"/>
              </w:rPr>
            </w:pPr>
            <w:r>
              <w:rPr>
                <w:rFonts w:hint="eastAsia" w:ascii="仿宋_GB2312"/>
                <w:sz w:val="24"/>
              </w:rPr>
              <w:t>9.1组织健全</w:t>
            </w:r>
          </w:p>
        </w:tc>
        <w:tc>
          <w:tcPr>
            <w:tcW w:w="813" w:type="dxa"/>
            <w:vAlign w:val="center"/>
          </w:tcPr>
          <w:p>
            <w:pPr>
              <w:widowControl/>
              <w:snapToGrid w:val="0"/>
              <w:rPr>
                <w:rFonts w:ascii="仿宋_GB2312"/>
                <w:sz w:val="24"/>
              </w:rPr>
            </w:pPr>
            <w:r>
              <w:rPr>
                <w:rFonts w:hint="eastAsia" w:ascii="仿宋_GB2312"/>
                <w:sz w:val="24"/>
              </w:rPr>
              <w:t>3分</w:t>
            </w:r>
          </w:p>
        </w:tc>
        <w:tc>
          <w:tcPr>
            <w:tcW w:w="7142" w:type="dxa"/>
            <w:vAlign w:val="center"/>
          </w:tcPr>
          <w:p>
            <w:pPr>
              <w:widowControl/>
              <w:snapToGrid w:val="0"/>
              <w:rPr>
                <w:rFonts w:ascii="仿宋_GB2312"/>
                <w:sz w:val="24"/>
              </w:rPr>
            </w:pPr>
            <w:r>
              <w:rPr>
                <w:rFonts w:hint="eastAsia" w:ascii="仿宋_GB2312"/>
                <w:sz w:val="24"/>
              </w:rPr>
              <w:t>建立①工会委员会、②工会经费审查委员会、③工会女职工委员会、④工会劳动法律监督委员会；⑤工会具备社会团体法人资格。</w:t>
            </w:r>
          </w:p>
        </w:tc>
        <w:tc>
          <w:tcPr>
            <w:tcW w:w="1743" w:type="dxa"/>
            <w:vAlign w:val="center"/>
          </w:tcPr>
          <w:p>
            <w:pPr>
              <w:widowControl/>
              <w:snapToGrid w:val="0"/>
              <w:rPr>
                <w:rFonts w:ascii="仿宋_GB2312"/>
                <w:sz w:val="24"/>
              </w:rPr>
            </w:pPr>
            <w:r>
              <w:rPr>
                <w:rFonts w:hint="eastAsia" w:ascii="仿宋_GB2312"/>
                <w:sz w:val="24"/>
              </w:rPr>
              <w:t>①1分，②③④⑤各0.5分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9.2提供保障</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w:t>
            </w:r>
            <w:r>
              <w:rPr>
                <w:rFonts w:hint="eastAsia" w:ascii="仿宋_GB2312"/>
                <w:spacing w:val="-4"/>
                <w:sz w:val="24"/>
              </w:rPr>
              <w:t>依法保障工会工作的人员、时间、场所；②按时足额拨缴工会经费。</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 xml:space="preserve">9.3民主管理   </w:t>
            </w:r>
          </w:p>
        </w:tc>
        <w:tc>
          <w:tcPr>
            <w:tcW w:w="813" w:type="dxa"/>
            <w:vAlign w:val="center"/>
          </w:tcPr>
          <w:p>
            <w:pPr>
              <w:widowControl/>
              <w:snapToGrid w:val="0"/>
              <w:rPr>
                <w:rFonts w:ascii="仿宋_GB2312"/>
                <w:sz w:val="24"/>
              </w:rPr>
            </w:pPr>
            <w:r>
              <w:rPr>
                <w:rFonts w:hint="eastAsia" w:ascii="仿宋_GB2312"/>
                <w:sz w:val="24"/>
              </w:rPr>
              <w:t>4分</w:t>
            </w:r>
          </w:p>
        </w:tc>
        <w:tc>
          <w:tcPr>
            <w:tcW w:w="7142" w:type="dxa"/>
            <w:vAlign w:val="center"/>
          </w:tcPr>
          <w:p>
            <w:pPr>
              <w:widowControl/>
              <w:snapToGrid w:val="0"/>
              <w:rPr>
                <w:rFonts w:ascii="仿宋_GB2312"/>
                <w:sz w:val="24"/>
              </w:rPr>
            </w:pPr>
            <w:r>
              <w:rPr>
                <w:rFonts w:hint="eastAsia" w:ascii="仿宋_GB2312"/>
                <w:sz w:val="24"/>
              </w:rPr>
              <w:t>①建立职工（代表）大会制度；②职工（代表）大会每年至少召开1次，其决定决议得到落实；③建立厂务公开制度，有固定公开栏及其它公开形式；④公开内容全面、真实、及时；⑤公司制企业依法建立职工董事、职工监事制度。</w:t>
            </w:r>
          </w:p>
        </w:tc>
        <w:tc>
          <w:tcPr>
            <w:tcW w:w="1743" w:type="dxa"/>
            <w:vAlign w:val="center"/>
          </w:tcPr>
          <w:p>
            <w:pPr>
              <w:widowControl/>
              <w:snapToGrid w:val="0"/>
              <w:rPr>
                <w:rFonts w:ascii="仿宋_GB2312"/>
                <w:sz w:val="24"/>
              </w:rPr>
            </w:pPr>
            <w:r>
              <w:rPr>
                <w:rFonts w:hint="eastAsia" w:ascii="仿宋_GB2312"/>
                <w:sz w:val="24"/>
              </w:rPr>
              <w:t>①②③④各1分。⑤未建立的扣1分。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586" w:type="dxa"/>
            <w:vMerge w:val="restart"/>
            <w:vAlign w:val="center"/>
          </w:tcPr>
          <w:p>
            <w:pPr>
              <w:widowControl/>
              <w:snapToGrid w:val="0"/>
              <w:rPr>
                <w:rFonts w:ascii="仿宋_GB2312"/>
                <w:sz w:val="24"/>
              </w:rPr>
            </w:pPr>
            <w:r>
              <w:rPr>
                <w:rFonts w:hint="eastAsia" w:ascii="仿宋_GB2312"/>
                <w:sz w:val="24"/>
              </w:rPr>
              <w:t>10争议调处（5分）</w:t>
            </w:r>
          </w:p>
        </w:tc>
        <w:tc>
          <w:tcPr>
            <w:tcW w:w="1837" w:type="dxa"/>
            <w:vAlign w:val="center"/>
          </w:tcPr>
          <w:p>
            <w:pPr>
              <w:widowControl/>
              <w:snapToGrid w:val="0"/>
              <w:rPr>
                <w:rFonts w:ascii="仿宋_GB2312"/>
                <w:sz w:val="24"/>
              </w:rPr>
            </w:pPr>
            <w:r>
              <w:rPr>
                <w:rFonts w:hint="eastAsia" w:ascii="仿宋_GB2312"/>
                <w:sz w:val="24"/>
              </w:rPr>
              <w:t>10.1普法宣传</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①宣传普及劳动法律知识，定期组织开展劳动法律知识培训；②定期组织开展劳动法律实施情况的监督自查活动。</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10.2调解组织</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①建立劳动争议调解组织和制度；②调解组织人员组成结构合法。</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10.3沟通渠道</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职工诉求表达①制度健全、渠道畅通；②无企业原因引发的职工越级上访。</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10.4预警机制</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依法落实报告裁员、欠薪和重大劳动争议事项等预警制度。</w:t>
            </w:r>
          </w:p>
        </w:tc>
        <w:tc>
          <w:tcPr>
            <w:tcW w:w="1743" w:type="dxa"/>
            <w:vAlign w:val="center"/>
          </w:tcPr>
          <w:p>
            <w:pPr>
              <w:widowControl/>
              <w:snapToGrid w:val="0"/>
              <w:rPr>
                <w:rFonts w:ascii="仿宋_GB2312"/>
                <w:sz w:val="24"/>
              </w:rPr>
            </w:pP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10.5调处有效</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劳动争议调解及时有效，劳动争议调解率达80%以上。</w:t>
            </w:r>
          </w:p>
        </w:tc>
        <w:tc>
          <w:tcPr>
            <w:tcW w:w="1743" w:type="dxa"/>
            <w:vAlign w:val="center"/>
          </w:tcPr>
          <w:p>
            <w:pPr>
              <w:widowControl/>
              <w:snapToGrid w:val="0"/>
              <w:rPr>
                <w:rFonts w:ascii="仿宋_GB2312"/>
                <w:sz w:val="24"/>
              </w:rPr>
            </w:pP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1586" w:type="dxa"/>
            <w:vMerge w:val="restart"/>
            <w:vAlign w:val="center"/>
          </w:tcPr>
          <w:p>
            <w:pPr>
              <w:widowControl/>
              <w:snapToGrid w:val="0"/>
              <w:rPr>
                <w:rFonts w:ascii="仿宋_GB2312"/>
                <w:sz w:val="24"/>
              </w:rPr>
            </w:pPr>
            <w:r>
              <w:rPr>
                <w:rFonts w:hint="eastAsia" w:ascii="仿宋_GB2312"/>
                <w:sz w:val="24"/>
              </w:rPr>
              <w:t>11企业文化（3分）</w:t>
            </w:r>
          </w:p>
        </w:tc>
        <w:tc>
          <w:tcPr>
            <w:tcW w:w="1837" w:type="dxa"/>
            <w:vAlign w:val="center"/>
          </w:tcPr>
          <w:p>
            <w:pPr>
              <w:widowControl/>
              <w:snapToGrid w:val="0"/>
              <w:rPr>
                <w:rFonts w:ascii="仿宋_GB2312"/>
                <w:sz w:val="24"/>
              </w:rPr>
            </w:pPr>
            <w:r>
              <w:rPr>
                <w:rFonts w:hint="eastAsia" w:ascii="仿宋_GB2312"/>
                <w:sz w:val="24"/>
              </w:rPr>
              <w:t>11.1企业精神</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①体现合作共赢、敬业诚信、和谐发展的核心价值理念，企业文化在生产管理中有明确载体和具体体现；②企业加强诚信建设，劳动者和企业诚信履约。</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11.2职工文化</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①创建“模范职工之家”；②有职工文体活动场所并正常开放，定期集中组织开展职工文体活动。</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11.3人文关怀</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注重职工的精神需求和心理健康，建立心理危机干预预警机制。</w:t>
            </w:r>
          </w:p>
        </w:tc>
        <w:tc>
          <w:tcPr>
            <w:tcW w:w="1743" w:type="dxa"/>
            <w:vAlign w:val="center"/>
          </w:tcPr>
          <w:p>
            <w:pPr>
              <w:widowControl/>
              <w:snapToGrid w:val="0"/>
              <w:rPr>
                <w:rFonts w:ascii="仿宋_GB2312"/>
                <w:sz w:val="24"/>
              </w:rPr>
            </w:pP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86" w:type="dxa"/>
            <w:vMerge w:val="restart"/>
            <w:vAlign w:val="center"/>
          </w:tcPr>
          <w:p>
            <w:pPr>
              <w:widowControl/>
              <w:snapToGrid w:val="0"/>
              <w:rPr>
                <w:rFonts w:ascii="仿宋_GB2312"/>
                <w:sz w:val="24"/>
              </w:rPr>
            </w:pPr>
            <w:r>
              <w:rPr>
                <w:rFonts w:hint="eastAsia" w:ascii="仿宋_GB2312"/>
                <w:sz w:val="24"/>
              </w:rPr>
              <w:t>12社会责任（3分）</w:t>
            </w:r>
          </w:p>
        </w:tc>
        <w:tc>
          <w:tcPr>
            <w:tcW w:w="1837" w:type="dxa"/>
            <w:vAlign w:val="center"/>
          </w:tcPr>
          <w:p>
            <w:pPr>
              <w:widowControl/>
              <w:snapToGrid w:val="0"/>
              <w:rPr>
                <w:rFonts w:ascii="仿宋_GB2312"/>
                <w:sz w:val="24"/>
              </w:rPr>
            </w:pPr>
            <w:r>
              <w:rPr>
                <w:rFonts w:hint="eastAsia" w:ascii="仿宋_GB2312"/>
                <w:sz w:val="24"/>
              </w:rPr>
              <w:t>12.1环境保护</w:t>
            </w:r>
          </w:p>
        </w:tc>
        <w:tc>
          <w:tcPr>
            <w:tcW w:w="813" w:type="dxa"/>
            <w:vAlign w:val="center"/>
          </w:tcPr>
          <w:p>
            <w:pPr>
              <w:widowControl/>
              <w:snapToGrid w:val="0"/>
              <w:rPr>
                <w:rFonts w:ascii="仿宋_GB2312"/>
                <w:sz w:val="24"/>
              </w:rPr>
            </w:pPr>
            <w:r>
              <w:rPr>
                <w:rFonts w:hint="eastAsia" w:ascii="仿宋_GB2312"/>
                <w:sz w:val="24"/>
              </w:rPr>
              <w:t>1分</w:t>
            </w:r>
          </w:p>
        </w:tc>
        <w:tc>
          <w:tcPr>
            <w:tcW w:w="7142" w:type="dxa"/>
            <w:vAlign w:val="center"/>
          </w:tcPr>
          <w:p>
            <w:pPr>
              <w:widowControl/>
              <w:snapToGrid w:val="0"/>
              <w:rPr>
                <w:rFonts w:ascii="仿宋_GB2312"/>
                <w:sz w:val="24"/>
              </w:rPr>
            </w:pPr>
            <w:r>
              <w:rPr>
                <w:rFonts w:hint="eastAsia" w:ascii="仿宋_GB2312"/>
                <w:sz w:val="24"/>
              </w:rPr>
              <w:t>符合国家、行业和地方①环境保护、②节能减排规定。</w:t>
            </w:r>
          </w:p>
        </w:tc>
        <w:tc>
          <w:tcPr>
            <w:tcW w:w="1743" w:type="dxa"/>
            <w:vAlign w:val="center"/>
          </w:tcPr>
          <w:p>
            <w:pPr>
              <w:widowControl/>
              <w:snapToGrid w:val="0"/>
              <w:rPr>
                <w:rFonts w:ascii="仿宋_GB2312"/>
                <w:sz w:val="24"/>
              </w:rPr>
            </w:pPr>
            <w:r>
              <w:rPr>
                <w:rFonts w:hint="eastAsia" w:ascii="仿宋_GB2312"/>
                <w:sz w:val="24"/>
              </w:rPr>
              <w:t>①②各0.5分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86" w:type="dxa"/>
            <w:vMerge w:val="continue"/>
            <w:vAlign w:val="center"/>
          </w:tcPr>
          <w:p>
            <w:pPr>
              <w:widowControl/>
              <w:snapToGrid w:val="0"/>
              <w:rPr>
                <w:rFonts w:ascii="仿宋_GB2312"/>
                <w:sz w:val="24"/>
              </w:rPr>
            </w:pPr>
          </w:p>
        </w:tc>
        <w:tc>
          <w:tcPr>
            <w:tcW w:w="1837" w:type="dxa"/>
            <w:vAlign w:val="center"/>
          </w:tcPr>
          <w:p>
            <w:pPr>
              <w:widowControl/>
              <w:snapToGrid w:val="0"/>
              <w:rPr>
                <w:rFonts w:ascii="仿宋_GB2312"/>
                <w:sz w:val="24"/>
              </w:rPr>
            </w:pPr>
            <w:r>
              <w:rPr>
                <w:rFonts w:hint="eastAsia" w:ascii="仿宋_GB2312"/>
                <w:sz w:val="24"/>
              </w:rPr>
              <w:t>12.2社会形象</w:t>
            </w:r>
          </w:p>
        </w:tc>
        <w:tc>
          <w:tcPr>
            <w:tcW w:w="813" w:type="dxa"/>
            <w:vAlign w:val="center"/>
          </w:tcPr>
          <w:p>
            <w:pPr>
              <w:widowControl/>
              <w:snapToGrid w:val="0"/>
              <w:rPr>
                <w:rFonts w:ascii="仿宋_GB2312"/>
                <w:sz w:val="24"/>
              </w:rPr>
            </w:pPr>
            <w:r>
              <w:rPr>
                <w:rFonts w:hint="eastAsia" w:ascii="仿宋_GB2312"/>
                <w:sz w:val="24"/>
              </w:rPr>
              <w:t>2分</w:t>
            </w:r>
          </w:p>
        </w:tc>
        <w:tc>
          <w:tcPr>
            <w:tcW w:w="7142" w:type="dxa"/>
            <w:vAlign w:val="center"/>
          </w:tcPr>
          <w:p>
            <w:pPr>
              <w:widowControl/>
              <w:snapToGrid w:val="0"/>
              <w:rPr>
                <w:rFonts w:ascii="仿宋_GB2312"/>
                <w:sz w:val="24"/>
              </w:rPr>
            </w:pPr>
            <w:r>
              <w:rPr>
                <w:rFonts w:hint="eastAsia" w:ascii="仿宋_GB2312"/>
                <w:sz w:val="24"/>
              </w:rPr>
              <w:t>①参加慈善捐助和社会公益事业；②无损害企业形象的事件发生。</w:t>
            </w:r>
          </w:p>
        </w:tc>
        <w:tc>
          <w:tcPr>
            <w:tcW w:w="1743" w:type="dxa"/>
            <w:vAlign w:val="center"/>
          </w:tcPr>
          <w:p>
            <w:pPr>
              <w:widowControl/>
              <w:snapToGrid w:val="0"/>
              <w:rPr>
                <w:rFonts w:ascii="仿宋_GB2312"/>
                <w:sz w:val="24"/>
              </w:rPr>
            </w:pPr>
            <w:r>
              <w:rPr>
                <w:rFonts w:hint="eastAsia" w:ascii="仿宋_GB2312"/>
                <w:sz w:val="24"/>
              </w:rPr>
              <w:t>①②各1分</w:t>
            </w:r>
          </w:p>
        </w:tc>
        <w:tc>
          <w:tcPr>
            <w:tcW w:w="812" w:type="dxa"/>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86" w:type="dxa"/>
            <w:vMerge w:val="restart"/>
            <w:vAlign w:val="center"/>
          </w:tcPr>
          <w:p>
            <w:pPr>
              <w:widowControl/>
              <w:snapToGrid w:val="0"/>
              <w:rPr>
                <w:rFonts w:ascii="仿宋_GB2312"/>
                <w:sz w:val="24"/>
              </w:rPr>
            </w:pPr>
            <w:r>
              <w:rPr>
                <w:rFonts w:hint="eastAsia" w:ascii="仿宋_GB2312"/>
                <w:sz w:val="24"/>
              </w:rPr>
              <w:t>13职工综合满意度</w:t>
            </w:r>
          </w:p>
          <w:p>
            <w:pPr>
              <w:widowControl/>
              <w:snapToGrid w:val="0"/>
              <w:rPr>
                <w:rFonts w:ascii="仿宋_GB2312"/>
                <w:sz w:val="24"/>
              </w:rPr>
            </w:pPr>
            <w:r>
              <w:rPr>
                <w:rFonts w:hint="eastAsia" w:ascii="仿宋_GB2312"/>
                <w:sz w:val="24"/>
              </w:rPr>
              <w:t>（10分）</w:t>
            </w:r>
          </w:p>
        </w:tc>
        <w:tc>
          <w:tcPr>
            <w:tcW w:w="1837" w:type="dxa"/>
            <w:vMerge w:val="restart"/>
            <w:vAlign w:val="center"/>
          </w:tcPr>
          <w:p>
            <w:pPr>
              <w:widowControl/>
              <w:snapToGrid w:val="0"/>
              <w:rPr>
                <w:rFonts w:ascii="仿宋_GB2312"/>
                <w:sz w:val="24"/>
              </w:rPr>
            </w:pPr>
            <w:r>
              <w:rPr>
                <w:rFonts w:hint="eastAsia" w:ascii="仿宋_GB2312"/>
                <w:sz w:val="24"/>
              </w:rPr>
              <w:t>13.1民主测评</w:t>
            </w:r>
          </w:p>
        </w:tc>
        <w:tc>
          <w:tcPr>
            <w:tcW w:w="813" w:type="dxa"/>
            <w:vMerge w:val="restart"/>
            <w:vAlign w:val="center"/>
          </w:tcPr>
          <w:p>
            <w:pPr>
              <w:widowControl/>
              <w:snapToGrid w:val="0"/>
              <w:rPr>
                <w:rFonts w:ascii="仿宋_GB2312"/>
                <w:sz w:val="24"/>
              </w:rPr>
            </w:pPr>
            <w:r>
              <w:rPr>
                <w:rFonts w:hint="eastAsia" w:ascii="仿宋_GB2312"/>
                <w:sz w:val="24"/>
              </w:rPr>
              <w:t>10分</w:t>
            </w:r>
          </w:p>
        </w:tc>
        <w:tc>
          <w:tcPr>
            <w:tcW w:w="7142" w:type="dxa"/>
            <w:vAlign w:val="center"/>
          </w:tcPr>
          <w:p>
            <w:pPr>
              <w:widowControl/>
              <w:snapToGrid w:val="0"/>
              <w:rPr>
                <w:rFonts w:ascii="仿宋_GB2312"/>
                <w:sz w:val="24"/>
              </w:rPr>
            </w:pPr>
            <w:r>
              <w:rPr>
                <w:rFonts w:hint="eastAsia" w:ascii="仿宋_GB2312"/>
                <w:sz w:val="24"/>
              </w:rPr>
              <w:t>90%及以上职工对企业劳动关系状况满意。</w:t>
            </w:r>
          </w:p>
        </w:tc>
        <w:tc>
          <w:tcPr>
            <w:tcW w:w="1743" w:type="dxa"/>
            <w:vAlign w:val="center"/>
          </w:tcPr>
          <w:p>
            <w:pPr>
              <w:widowControl/>
              <w:snapToGrid w:val="0"/>
              <w:rPr>
                <w:rFonts w:ascii="仿宋_GB2312"/>
                <w:sz w:val="24"/>
              </w:rPr>
            </w:pPr>
            <w:r>
              <w:rPr>
                <w:rFonts w:hint="eastAsia" w:ascii="仿宋_GB2312"/>
                <w:sz w:val="24"/>
              </w:rPr>
              <w:t>10分</w:t>
            </w:r>
          </w:p>
        </w:tc>
        <w:tc>
          <w:tcPr>
            <w:tcW w:w="812" w:type="dxa"/>
            <w:vMerge w:val="restart"/>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86" w:type="dxa"/>
            <w:vMerge w:val="continue"/>
            <w:vAlign w:val="center"/>
          </w:tcPr>
          <w:p>
            <w:pPr>
              <w:widowControl/>
              <w:snapToGrid w:val="0"/>
              <w:rPr>
                <w:rFonts w:ascii="仿宋_GB2312"/>
                <w:sz w:val="24"/>
              </w:rPr>
            </w:pPr>
          </w:p>
        </w:tc>
        <w:tc>
          <w:tcPr>
            <w:tcW w:w="1837" w:type="dxa"/>
            <w:vMerge w:val="continue"/>
            <w:vAlign w:val="center"/>
          </w:tcPr>
          <w:p>
            <w:pPr>
              <w:widowControl/>
              <w:snapToGrid w:val="0"/>
              <w:rPr>
                <w:rFonts w:ascii="仿宋_GB2312"/>
                <w:sz w:val="24"/>
              </w:rPr>
            </w:pPr>
          </w:p>
        </w:tc>
        <w:tc>
          <w:tcPr>
            <w:tcW w:w="813" w:type="dxa"/>
            <w:vMerge w:val="continue"/>
            <w:vAlign w:val="center"/>
          </w:tcPr>
          <w:p>
            <w:pPr>
              <w:widowControl/>
              <w:snapToGrid w:val="0"/>
              <w:rPr>
                <w:rFonts w:ascii="仿宋_GB2312"/>
                <w:sz w:val="24"/>
              </w:rPr>
            </w:pPr>
          </w:p>
        </w:tc>
        <w:tc>
          <w:tcPr>
            <w:tcW w:w="7142" w:type="dxa"/>
            <w:vAlign w:val="center"/>
          </w:tcPr>
          <w:p>
            <w:pPr>
              <w:widowControl/>
              <w:snapToGrid w:val="0"/>
              <w:rPr>
                <w:rFonts w:ascii="仿宋_GB2312"/>
                <w:sz w:val="24"/>
              </w:rPr>
            </w:pPr>
            <w:r>
              <w:rPr>
                <w:rFonts w:hint="eastAsia" w:ascii="仿宋_GB2312"/>
                <w:sz w:val="24"/>
              </w:rPr>
              <w:t>80%-89%的职工对企业劳动关系状况满意。</w:t>
            </w:r>
          </w:p>
        </w:tc>
        <w:tc>
          <w:tcPr>
            <w:tcW w:w="1743" w:type="dxa"/>
            <w:vAlign w:val="center"/>
          </w:tcPr>
          <w:p>
            <w:pPr>
              <w:widowControl/>
              <w:snapToGrid w:val="0"/>
              <w:rPr>
                <w:rFonts w:ascii="仿宋_GB2312"/>
                <w:sz w:val="24"/>
              </w:rPr>
            </w:pPr>
            <w:r>
              <w:rPr>
                <w:rFonts w:hint="eastAsia" w:ascii="仿宋_GB2312"/>
                <w:sz w:val="24"/>
              </w:rPr>
              <w:t>8分</w:t>
            </w:r>
          </w:p>
        </w:tc>
        <w:tc>
          <w:tcPr>
            <w:tcW w:w="812" w:type="dxa"/>
            <w:vMerge w:val="continue"/>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86" w:type="dxa"/>
            <w:vMerge w:val="continue"/>
            <w:vAlign w:val="center"/>
          </w:tcPr>
          <w:p>
            <w:pPr>
              <w:widowControl/>
              <w:snapToGrid w:val="0"/>
              <w:rPr>
                <w:rFonts w:ascii="仿宋_GB2312"/>
                <w:sz w:val="24"/>
              </w:rPr>
            </w:pPr>
          </w:p>
        </w:tc>
        <w:tc>
          <w:tcPr>
            <w:tcW w:w="1837" w:type="dxa"/>
            <w:vMerge w:val="continue"/>
            <w:vAlign w:val="center"/>
          </w:tcPr>
          <w:p>
            <w:pPr>
              <w:widowControl/>
              <w:snapToGrid w:val="0"/>
              <w:rPr>
                <w:rFonts w:ascii="仿宋_GB2312"/>
                <w:sz w:val="24"/>
              </w:rPr>
            </w:pPr>
          </w:p>
        </w:tc>
        <w:tc>
          <w:tcPr>
            <w:tcW w:w="813" w:type="dxa"/>
            <w:vMerge w:val="continue"/>
            <w:vAlign w:val="center"/>
          </w:tcPr>
          <w:p>
            <w:pPr>
              <w:widowControl/>
              <w:snapToGrid w:val="0"/>
              <w:rPr>
                <w:rFonts w:ascii="仿宋_GB2312"/>
                <w:sz w:val="24"/>
              </w:rPr>
            </w:pPr>
          </w:p>
        </w:tc>
        <w:tc>
          <w:tcPr>
            <w:tcW w:w="7142" w:type="dxa"/>
            <w:vAlign w:val="center"/>
          </w:tcPr>
          <w:p>
            <w:pPr>
              <w:widowControl/>
              <w:snapToGrid w:val="0"/>
              <w:rPr>
                <w:rFonts w:ascii="仿宋_GB2312"/>
                <w:sz w:val="24"/>
              </w:rPr>
            </w:pPr>
            <w:r>
              <w:rPr>
                <w:rFonts w:hint="eastAsia" w:ascii="仿宋_GB2312"/>
                <w:sz w:val="24"/>
              </w:rPr>
              <w:t>70%-79%的职工对企业劳动关系状况满意。</w:t>
            </w:r>
          </w:p>
        </w:tc>
        <w:tc>
          <w:tcPr>
            <w:tcW w:w="1743" w:type="dxa"/>
            <w:vAlign w:val="center"/>
          </w:tcPr>
          <w:p>
            <w:pPr>
              <w:widowControl/>
              <w:snapToGrid w:val="0"/>
              <w:rPr>
                <w:rFonts w:ascii="仿宋_GB2312"/>
                <w:sz w:val="24"/>
              </w:rPr>
            </w:pPr>
            <w:r>
              <w:rPr>
                <w:rFonts w:hint="eastAsia" w:ascii="仿宋_GB2312"/>
                <w:sz w:val="24"/>
              </w:rPr>
              <w:t>5分</w:t>
            </w:r>
          </w:p>
        </w:tc>
        <w:tc>
          <w:tcPr>
            <w:tcW w:w="812" w:type="dxa"/>
            <w:vMerge w:val="continue"/>
          </w:tcPr>
          <w:p>
            <w:pPr>
              <w:tabs>
                <w:tab w:val="center" w:pos="4201"/>
                <w:tab w:val="right" w:leader="dot" w:pos="9298"/>
              </w:tabs>
              <w:autoSpaceDE w:val="0"/>
              <w:autoSpaceDN w:val="0"/>
              <w:snapToGrid w:val="0"/>
              <w:ind w:firstLine="480" w:firstLineChars="200"/>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86" w:type="dxa"/>
            <w:vMerge w:val="continue"/>
            <w:vAlign w:val="center"/>
          </w:tcPr>
          <w:p>
            <w:pPr>
              <w:widowControl/>
              <w:snapToGrid w:val="0"/>
              <w:rPr>
                <w:rFonts w:ascii="仿宋_GB2312"/>
                <w:sz w:val="24"/>
              </w:rPr>
            </w:pPr>
          </w:p>
        </w:tc>
        <w:tc>
          <w:tcPr>
            <w:tcW w:w="1837" w:type="dxa"/>
            <w:vMerge w:val="continue"/>
            <w:vAlign w:val="center"/>
          </w:tcPr>
          <w:p>
            <w:pPr>
              <w:widowControl/>
              <w:snapToGrid w:val="0"/>
              <w:rPr>
                <w:rFonts w:ascii="仿宋_GB2312"/>
                <w:sz w:val="24"/>
              </w:rPr>
            </w:pPr>
          </w:p>
        </w:tc>
        <w:tc>
          <w:tcPr>
            <w:tcW w:w="813" w:type="dxa"/>
            <w:vMerge w:val="continue"/>
            <w:vAlign w:val="center"/>
          </w:tcPr>
          <w:p>
            <w:pPr>
              <w:widowControl/>
              <w:snapToGrid w:val="0"/>
              <w:rPr>
                <w:rFonts w:ascii="仿宋_GB2312"/>
                <w:sz w:val="24"/>
              </w:rPr>
            </w:pPr>
          </w:p>
        </w:tc>
        <w:tc>
          <w:tcPr>
            <w:tcW w:w="7142" w:type="dxa"/>
            <w:vAlign w:val="center"/>
          </w:tcPr>
          <w:p>
            <w:pPr>
              <w:widowControl/>
              <w:snapToGrid w:val="0"/>
              <w:rPr>
                <w:rFonts w:ascii="仿宋_GB2312"/>
                <w:sz w:val="24"/>
              </w:rPr>
            </w:pPr>
            <w:r>
              <w:rPr>
                <w:rFonts w:hint="eastAsia" w:ascii="仿宋_GB2312"/>
                <w:sz w:val="24"/>
              </w:rPr>
              <w:t>70%以下职工对企业劳动关系状况满意。</w:t>
            </w:r>
          </w:p>
        </w:tc>
        <w:tc>
          <w:tcPr>
            <w:tcW w:w="1743" w:type="dxa"/>
            <w:vAlign w:val="center"/>
          </w:tcPr>
          <w:p>
            <w:pPr>
              <w:widowControl/>
              <w:snapToGrid w:val="0"/>
              <w:rPr>
                <w:rFonts w:ascii="仿宋_GB2312"/>
                <w:sz w:val="24"/>
              </w:rPr>
            </w:pPr>
            <w:r>
              <w:rPr>
                <w:rFonts w:hint="eastAsia" w:ascii="仿宋_GB2312"/>
                <w:sz w:val="24"/>
              </w:rPr>
              <w:t>0分</w:t>
            </w:r>
          </w:p>
        </w:tc>
        <w:tc>
          <w:tcPr>
            <w:tcW w:w="812" w:type="dxa"/>
            <w:vMerge w:val="continue"/>
          </w:tcPr>
          <w:p>
            <w:pPr>
              <w:tabs>
                <w:tab w:val="center" w:pos="4201"/>
                <w:tab w:val="right" w:leader="dot" w:pos="9298"/>
              </w:tabs>
              <w:autoSpaceDE w:val="0"/>
              <w:autoSpaceDN w:val="0"/>
              <w:snapToGrid w:val="0"/>
              <w:ind w:firstLine="480" w:firstLineChars="200"/>
              <w:rPr>
                <w:rFonts w:ascii="仿宋_GB2312"/>
                <w:sz w:val="24"/>
              </w:rPr>
            </w:pPr>
          </w:p>
        </w:tc>
      </w:tr>
    </w:tbl>
    <w:p>
      <w:pPr>
        <w:autoSpaceDE w:val="0"/>
        <w:autoSpaceDN w:val="0"/>
        <w:snapToGrid w:val="0"/>
        <w:spacing w:line="540" w:lineRule="exact"/>
        <w:rPr>
          <w:rFonts w:ascii="黑体" w:hAnsi="黑体" w:eastAsia="黑体" w:cs="宋体"/>
          <w:bCs/>
          <w:kern w:val="0"/>
          <w:szCs w:val="32"/>
        </w:rPr>
      </w:pPr>
      <w:r>
        <w:rPr>
          <w:rFonts w:hint="eastAsia" w:ascii="仿宋_GB2312"/>
          <w:sz w:val="24"/>
        </w:rPr>
        <w:t>备注：企业自评分在80分及以上的，可向相应的协调劳动关系三方办公室申报劳动关系和谐企业。</w:t>
      </w:r>
      <w:r>
        <w:rPr>
          <w:rFonts w:hint="eastAsia" w:ascii="仿宋_GB2312"/>
          <w:sz w:val="24"/>
        </w:rPr>
        <w:br w:type="page"/>
      </w:r>
      <w:r>
        <w:rPr>
          <w:rFonts w:hint="eastAsia" w:ascii="黑体" w:hAnsi="黑体" w:eastAsia="黑体" w:cs="仿宋_GB2312"/>
          <w:bCs/>
          <w:kern w:val="0"/>
          <w:szCs w:val="32"/>
        </w:rPr>
        <w:t>附件2</w:t>
      </w:r>
    </w:p>
    <w:p>
      <w:pPr>
        <w:widowControl/>
        <w:spacing w:line="240" w:lineRule="exact"/>
        <w:jc w:val="center"/>
        <w:rPr>
          <w:rFonts w:ascii="小标宋" w:hAnsi="宋体" w:eastAsia="小标宋" w:cs="宋体"/>
          <w:bCs/>
          <w:kern w:val="0"/>
          <w:sz w:val="44"/>
          <w:szCs w:val="44"/>
        </w:rPr>
      </w:pPr>
    </w:p>
    <w:p>
      <w:pPr>
        <w:widowControl/>
        <w:spacing w:line="580" w:lineRule="exact"/>
        <w:jc w:val="center"/>
        <w:rPr>
          <w:rFonts w:ascii="小标宋" w:hAnsi="宋体" w:eastAsia="小标宋" w:cs="宋体"/>
          <w:bCs/>
          <w:kern w:val="0"/>
          <w:sz w:val="44"/>
          <w:szCs w:val="44"/>
        </w:rPr>
      </w:pPr>
      <w:r>
        <w:rPr>
          <w:rFonts w:hint="eastAsia" w:ascii="小标宋" w:hAnsi="宋体" w:eastAsia="小标宋" w:cs="宋体"/>
          <w:bCs/>
          <w:kern w:val="0"/>
          <w:sz w:val="44"/>
          <w:szCs w:val="44"/>
        </w:rPr>
        <w:t>和谐劳动关系工业园区、乡镇（街道）评价细则</w:t>
      </w:r>
    </w:p>
    <w:p>
      <w:pPr>
        <w:widowControl/>
        <w:spacing w:line="240" w:lineRule="exact"/>
        <w:jc w:val="center"/>
        <w:rPr>
          <w:rFonts w:ascii="小标宋" w:hAnsi="宋体" w:eastAsia="小标宋" w:cs="宋体"/>
          <w:bCs/>
          <w:kern w:val="0"/>
          <w:sz w:val="44"/>
          <w:szCs w:val="44"/>
        </w:rPr>
      </w:pPr>
    </w:p>
    <w:tbl>
      <w:tblPr>
        <w:tblStyle w:val="6"/>
        <w:tblW w:w="1434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282"/>
        <w:gridCol w:w="10787"/>
        <w:gridCol w:w="127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blHeader/>
          <w:jc w:val="center"/>
        </w:trPr>
        <w:tc>
          <w:tcPr>
            <w:tcW w:w="2282" w:type="dxa"/>
            <w:tcMar>
              <w:top w:w="0" w:type="dxa"/>
              <w:left w:w="108" w:type="dxa"/>
              <w:bottom w:w="0" w:type="dxa"/>
              <w:right w:w="108" w:type="dxa"/>
            </w:tcMar>
            <w:vAlign w:val="center"/>
          </w:tcPr>
          <w:p>
            <w:pPr>
              <w:widowControl/>
              <w:spacing w:line="580" w:lineRule="exact"/>
              <w:jc w:val="center"/>
              <w:rPr>
                <w:rFonts w:ascii="黑体" w:hAnsi="黑体" w:eastAsia="黑体" w:cs="宋体"/>
                <w:kern w:val="0"/>
                <w:sz w:val="24"/>
              </w:rPr>
            </w:pPr>
            <w:r>
              <w:rPr>
                <w:rFonts w:hint="eastAsia" w:ascii="黑体" w:hAnsi="黑体" w:eastAsia="黑体" w:cs="宋体"/>
                <w:kern w:val="0"/>
                <w:sz w:val="24"/>
              </w:rPr>
              <w:t>评价项目</w:t>
            </w:r>
          </w:p>
        </w:tc>
        <w:tc>
          <w:tcPr>
            <w:tcW w:w="10787" w:type="dxa"/>
            <w:tcMar>
              <w:top w:w="0" w:type="dxa"/>
              <w:left w:w="108" w:type="dxa"/>
              <w:bottom w:w="0" w:type="dxa"/>
              <w:right w:w="108" w:type="dxa"/>
            </w:tcMar>
            <w:vAlign w:val="center"/>
          </w:tcPr>
          <w:p>
            <w:pPr>
              <w:widowControl/>
              <w:spacing w:line="580" w:lineRule="exact"/>
              <w:jc w:val="center"/>
              <w:rPr>
                <w:rFonts w:ascii="黑体" w:hAnsi="黑体" w:eastAsia="黑体" w:cs="宋体"/>
                <w:kern w:val="0"/>
                <w:sz w:val="24"/>
              </w:rPr>
            </w:pPr>
            <w:r>
              <w:rPr>
                <w:rFonts w:hint="eastAsia" w:ascii="黑体" w:hAnsi="黑体" w:eastAsia="黑体" w:cs="宋体"/>
                <w:kern w:val="0"/>
                <w:sz w:val="24"/>
              </w:rPr>
              <w:t>评价内容</w:t>
            </w:r>
          </w:p>
        </w:tc>
        <w:tc>
          <w:tcPr>
            <w:tcW w:w="1276" w:type="dxa"/>
            <w:tcMar>
              <w:top w:w="0" w:type="dxa"/>
              <w:left w:w="108" w:type="dxa"/>
              <w:bottom w:w="0" w:type="dxa"/>
              <w:right w:w="108" w:type="dxa"/>
            </w:tcMar>
            <w:vAlign w:val="center"/>
          </w:tcPr>
          <w:p>
            <w:pPr>
              <w:widowControl/>
              <w:spacing w:line="580" w:lineRule="exact"/>
              <w:jc w:val="center"/>
              <w:rPr>
                <w:rFonts w:ascii="黑体" w:hAnsi="黑体" w:eastAsia="黑体" w:cs="宋体"/>
                <w:kern w:val="0"/>
                <w:sz w:val="24"/>
              </w:rPr>
            </w:pPr>
            <w:r>
              <w:rPr>
                <w:rFonts w:hint="eastAsia" w:ascii="黑体" w:hAnsi="黑体" w:eastAsia="黑体" w:cs="宋体"/>
                <w:kern w:val="0"/>
                <w:sz w:val="24"/>
              </w:rPr>
              <w:t>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restart"/>
            <w:tcMar>
              <w:top w:w="0" w:type="dxa"/>
              <w:left w:w="108" w:type="dxa"/>
              <w:bottom w:w="0" w:type="dxa"/>
              <w:right w:w="108" w:type="dxa"/>
            </w:tcMar>
            <w:vAlign w:val="center"/>
          </w:tcPr>
          <w:p>
            <w:pPr>
              <w:widowControl/>
              <w:spacing w:line="460" w:lineRule="exact"/>
              <w:rPr>
                <w:rFonts w:ascii="仿宋_GB2312"/>
                <w:sz w:val="24"/>
              </w:rPr>
            </w:pPr>
            <w:r>
              <w:rPr>
                <w:rFonts w:hint="eastAsia" w:ascii="仿宋_GB2312"/>
                <w:sz w:val="24"/>
              </w:rPr>
              <w:t>一、组织和机构建设（22分）</w:t>
            </w:r>
          </w:p>
        </w:tc>
        <w:tc>
          <w:tcPr>
            <w:tcW w:w="10787" w:type="dxa"/>
            <w:tcMar>
              <w:top w:w="0" w:type="dxa"/>
              <w:left w:w="108" w:type="dxa"/>
              <w:bottom w:w="0" w:type="dxa"/>
              <w:right w:w="108" w:type="dxa"/>
            </w:tcMar>
          </w:tcPr>
          <w:p>
            <w:pPr>
              <w:widowControl/>
              <w:spacing w:line="320" w:lineRule="exact"/>
              <w:rPr>
                <w:rFonts w:ascii="仿宋_GB2312"/>
                <w:sz w:val="24"/>
              </w:rPr>
            </w:pPr>
            <w:r>
              <w:rPr>
                <w:rFonts w:hint="eastAsia" w:ascii="仿宋_GB2312"/>
                <w:sz w:val="24"/>
              </w:rPr>
              <w:t>1、区域内党委政府建立健全了构建和谐劳动关系的领导协调和工作联动机制，制订创建工作方案。（2分）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460" w:lineRule="exact"/>
              <w:rPr>
                <w:rFonts w:ascii="仿宋_GB2312"/>
                <w:sz w:val="24"/>
              </w:rPr>
            </w:pPr>
          </w:p>
        </w:tc>
        <w:tc>
          <w:tcPr>
            <w:tcW w:w="10787" w:type="dxa"/>
            <w:tcMar>
              <w:top w:w="0" w:type="dxa"/>
              <w:left w:w="108" w:type="dxa"/>
              <w:bottom w:w="0" w:type="dxa"/>
              <w:right w:w="108" w:type="dxa"/>
            </w:tcMar>
          </w:tcPr>
          <w:p>
            <w:pPr>
              <w:widowControl/>
              <w:spacing w:line="320" w:lineRule="exact"/>
              <w:rPr>
                <w:rFonts w:ascii="仿宋_GB2312"/>
                <w:sz w:val="24"/>
              </w:rPr>
            </w:pPr>
            <w:r>
              <w:rPr>
                <w:rFonts w:hint="eastAsia" w:ascii="仿宋_GB2312"/>
                <w:sz w:val="24"/>
              </w:rPr>
              <w:t>2、区域内党委政府把构建和谐劳动关系的总体工作要求纳入本地经济社会发展规划（1分），把劳动合同覆盖、集体协商建制、职工工资增长、社会保险扩面、劳动安全卫生保护、协调劳动关系工作体系建设等纳入目标考核体系，（1分）并在政府重大工程项目实施前引入劳动关系风险评估和研判机制。（1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460" w:lineRule="exact"/>
              <w:rPr>
                <w:rFonts w:ascii="仿宋_GB2312"/>
                <w:sz w:val="24"/>
              </w:rPr>
            </w:pPr>
          </w:p>
        </w:tc>
        <w:tc>
          <w:tcPr>
            <w:tcW w:w="10787" w:type="dxa"/>
            <w:tcMar>
              <w:top w:w="0" w:type="dxa"/>
              <w:left w:w="108" w:type="dxa"/>
              <w:bottom w:w="0" w:type="dxa"/>
              <w:right w:w="108" w:type="dxa"/>
            </w:tcMar>
          </w:tcPr>
          <w:p>
            <w:pPr>
              <w:widowControl/>
              <w:spacing w:line="320" w:lineRule="exact"/>
              <w:rPr>
                <w:rFonts w:ascii="仿宋_GB2312"/>
                <w:sz w:val="24"/>
              </w:rPr>
            </w:pPr>
            <w:r>
              <w:rPr>
                <w:rFonts w:hint="eastAsia" w:ascii="仿宋_GB2312"/>
                <w:sz w:val="24"/>
              </w:rPr>
              <w:t>3、健全协调劳动关系三方机制。建立完善的协调劳动关系三方机制组织体系，建立由人力资源社会保障部门、工会和企业联合会、工商业联合会等企业代表组织组成的协调劳动关系三方委员会，由同级政府领导担任委员会主任，区域内建立健全三方机制专业委员会或工作小组。（2分）充分发挥政府、工会和企业代表组织研究制定劳动关系重大政策措施、协调处理劳动关系重要事项和重大劳动争议等方面的作用。（1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460" w:lineRule="exact"/>
              <w:rPr>
                <w:rFonts w:ascii="仿宋_GB2312"/>
                <w:sz w:val="24"/>
              </w:rPr>
            </w:pPr>
          </w:p>
        </w:tc>
        <w:tc>
          <w:tcPr>
            <w:tcW w:w="10787" w:type="dxa"/>
            <w:tcMar>
              <w:top w:w="0" w:type="dxa"/>
              <w:left w:w="108" w:type="dxa"/>
              <w:bottom w:w="0" w:type="dxa"/>
              <w:right w:w="108" w:type="dxa"/>
            </w:tcMar>
          </w:tcPr>
          <w:p>
            <w:pPr>
              <w:widowControl/>
              <w:spacing w:line="320" w:lineRule="exact"/>
              <w:rPr>
                <w:rFonts w:ascii="仿宋_GB2312"/>
                <w:sz w:val="24"/>
              </w:rPr>
            </w:pPr>
            <w:r>
              <w:rPr>
                <w:rFonts w:hint="eastAsia" w:ascii="仿宋_GB2312"/>
                <w:sz w:val="24"/>
              </w:rPr>
              <w:t>4、基层人力资源社会保障公共服务平台全部加载劳动关系协调、劳动争议调解和劳动保障监察工作职能，（2分）打造一站式、智能化、标准化基层劳动关系公共服务站点，配备专职、兼职从事劳动关系协调工作的人员。（2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460" w:lineRule="exact"/>
              <w:rPr>
                <w:rFonts w:ascii="仿宋_GB2312"/>
                <w:sz w:val="24"/>
              </w:rPr>
            </w:pPr>
          </w:p>
        </w:tc>
        <w:tc>
          <w:tcPr>
            <w:tcW w:w="10787" w:type="dxa"/>
            <w:tcMar>
              <w:top w:w="0" w:type="dxa"/>
              <w:left w:w="108" w:type="dxa"/>
              <w:bottom w:w="0" w:type="dxa"/>
              <w:right w:w="108" w:type="dxa"/>
            </w:tcMar>
          </w:tcPr>
          <w:p>
            <w:pPr>
              <w:widowControl/>
              <w:spacing w:line="320" w:lineRule="exact"/>
              <w:rPr>
                <w:rFonts w:ascii="仿宋_GB2312"/>
                <w:sz w:val="24"/>
              </w:rPr>
            </w:pPr>
            <w:r>
              <w:rPr>
                <w:rFonts w:hint="eastAsia" w:ascii="仿宋_GB2312"/>
                <w:sz w:val="24"/>
              </w:rPr>
              <w:t>5、区域内党委政府充分利用新闻媒体和网站大力开展构建和谐劳动关系工作和劳动保障法律法规普法宣传，开展了相应的宣传活动。（2分）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460" w:lineRule="exact"/>
              <w:rPr>
                <w:rFonts w:ascii="仿宋_GB2312"/>
                <w:sz w:val="24"/>
              </w:rPr>
            </w:pPr>
          </w:p>
        </w:tc>
        <w:tc>
          <w:tcPr>
            <w:tcW w:w="10787" w:type="dxa"/>
            <w:tcMar>
              <w:top w:w="0" w:type="dxa"/>
              <w:left w:w="108" w:type="dxa"/>
              <w:bottom w:w="0" w:type="dxa"/>
              <w:right w:w="108" w:type="dxa"/>
            </w:tcMar>
          </w:tcPr>
          <w:p>
            <w:pPr>
              <w:widowControl/>
              <w:spacing w:line="320" w:lineRule="exact"/>
              <w:rPr>
                <w:rFonts w:ascii="仿宋_GB2312"/>
                <w:sz w:val="24"/>
              </w:rPr>
            </w:pPr>
            <w:r>
              <w:rPr>
                <w:rFonts w:hint="eastAsia" w:ascii="仿宋_GB2312"/>
                <w:sz w:val="24"/>
              </w:rPr>
              <w:t>6、经常性对辖区内企业创建活动进行指导，定期开展宣传培训、交流、（2分）。形成地域行业性创建服务品牌。（1分）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460" w:lineRule="exact"/>
              <w:rPr>
                <w:rFonts w:ascii="仿宋_GB2312"/>
                <w:sz w:val="24"/>
              </w:rPr>
            </w:pPr>
          </w:p>
        </w:tc>
        <w:tc>
          <w:tcPr>
            <w:tcW w:w="10787" w:type="dxa"/>
            <w:tcMar>
              <w:top w:w="0" w:type="dxa"/>
              <w:left w:w="108" w:type="dxa"/>
              <w:bottom w:w="0" w:type="dxa"/>
              <w:right w:w="108" w:type="dxa"/>
            </w:tcMar>
          </w:tcPr>
          <w:p>
            <w:pPr>
              <w:widowControl/>
              <w:spacing w:line="320" w:lineRule="exact"/>
              <w:rPr>
                <w:rFonts w:ascii="仿宋_GB2312"/>
                <w:sz w:val="24"/>
              </w:rPr>
            </w:pPr>
            <w:r>
              <w:rPr>
                <w:rFonts w:hint="eastAsia" w:ascii="仿宋_GB2312"/>
                <w:sz w:val="24"/>
              </w:rPr>
              <w:t>7、区域内企业普遍开展和谐劳动关系创建活动，基本符合劳动关系和谐标准的企业数占已建工会企业数的60%以上。（5分，50%以上至60%为3分，50%以下不得分）</w:t>
            </w:r>
          </w:p>
        </w:tc>
        <w:tc>
          <w:tcPr>
            <w:tcW w:w="1276" w:type="dxa"/>
            <w:tcMar>
              <w:top w:w="0" w:type="dxa"/>
              <w:left w:w="108" w:type="dxa"/>
              <w:bottom w:w="0" w:type="dxa"/>
              <w:right w:w="108" w:type="dxa"/>
            </w:tcMar>
          </w:tcPr>
          <w:p>
            <w:pPr>
              <w:widowControl/>
              <w:spacing w:line="580" w:lineRule="exact"/>
              <w:ind w:firstLine="600" w:firstLineChars="250"/>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8" w:hRule="atLeast"/>
          <w:jc w:val="center"/>
        </w:trPr>
        <w:tc>
          <w:tcPr>
            <w:tcW w:w="2282" w:type="dxa"/>
            <w:vMerge w:val="restart"/>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二、职工基本权益的维护（26分）</w:t>
            </w: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b/>
                <w:bCs/>
                <w:sz w:val="24"/>
              </w:rPr>
              <w:t>（一）职工劳动报酬权利（10分）</w:t>
            </w:r>
          </w:p>
        </w:tc>
        <w:tc>
          <w:tcPr>
            <w:tcW w:w="1276" w:type="dxa"/>
            <w:tcMar>
              <w:top w:w="0" w:type="dxa"/>
              <w:left w:w="108" w:type="dxa"/>
              <w:bottom w:w="0" w:type="dxa"/>
              <w:right w:w="108" w:type="dxa"/>
            </w:tcMar>
          </w:tcPr>
          <w:p>
            <w:pPr>
              <w:widowControl/>
              <w:spacing w:line="580" w:lineRule="exact"/>
              <w:jc w:val="center"/>
              <w:rPr>
                <w:rFonts w:ascii="仿宋_GB2312" w:hAnsi="宋体" w:cs="宋体"/>
                <w:b/>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39" w:hRule="atLeast"/>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00" w:lineRule="exact"/>
              <w:contextualSpacing/>
              <w:rPr>
                <w:rFonts w:ascii="仿宋_GB2312"/>
                <w:sz w:val="24"/>
              </w:rPr>
            </w:pPr>
            <w:r>
              <w:rPr>
                <w:rFonts w:hint="eastAsia" w:ascii="仿宋_GB2312"/>
                <w:sz w:val="24"/>
              </w:rPr>
              <w:t>1、区域内企业全面执行最低工资标准，工资及加班工资支付依法及时规范。（2分）区域内所有企业依法制定工资支付制度， 100%按时足额发放工资。（1分）依法开展了工资集体协商，职工工资调整幅度符合政府公布的工资指导线要求。（1分）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2、区域内相关职能部门定期组织开展企业薪酬调查，及时发布工资指导线、人力资源市场工资指导价位和人工成本信息。（2分）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5" w:hRule="atLeast"/>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3、区域内建立工资支付、工资保证金和欠薪应急周转金等工资支付保障制度。（2分）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4、区域内相关职能部门建立完善拖欠工资的预警和监测报告制度，加强监察执法和争议调处，有关工资纠纷得到及时处理。（2分）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b/>
                <w:bCs/>
                <w:sz w:val="24"/>
              </w:rPr>
              <w:t>（二）职工休息休假权利（4分）</w:t>
            </w:r>
          </w:p>
        </w:tc>
        <w:tc>
          <w:tcPr>
            <w:tcW w:w="1276" w:type="dxa"/>
            <w:tcMar>
              <w:top w:w="0" w:type="dxa"/>
              <w:left w:w="108" w:type="dxa"/>
              <w:bottom w:w="0" w:type="dxa"/>
              <w:right w:w="108" w:type="dxa"/>
            </w:tcMar>
          </w:tcPr>
          <w:p>
            <w:pPr>
              <w:widowControl/>
              <w:spacing w:line="580" w:lineRule="exact"/>
              <w:jc w:val="center"/>
              <w:rPr>
                <w:rFonts w:ascii="仿宋_GB2312" w:hAnsi="宋体" w:cs="宋体"/>
                <w:b/>
                <w:bCs/>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54" w:hRule="exact"/>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1、</w:t>
            </w:r>
            <w:r>
              <w:rPr>
                <w:rFonts w:hint="eastAsia" w:ascii="仿宋_GB2312"/>
                <w:spacing w:val="-10"/>
                <w:sz w:val="24"/>
              </w:rPr>
              <w:t>区域内相关职能部门指导企业制定实施科学合理的劳动定额定员标准，保障职工的休息休假权利。（2分）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54" w:hRule="exact"/>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2、区域内企业基本遵守国家工作时间和休息休假规定，履行各项休假制度。（2分）</w:t>
            </w:r>
          </w:p>
        </w:tc>
        <w:tc>
          <w:tcPr>
            <w:tcW w:w="1276" w:type="dxa"/>
            <w:tcMar>
              <w:top w:w="0" w:type="dxa"/>
              <w:left w:w="108" w:type="dxa"/>
              <w:bottom w:w="0" w:type="dxa"/>
              <w:right w:w="108" w:type="dxa"/>
            </w:tcMar>
          </w:tcPr>
          <w:p>
            <w:pPr>
              <w:widowControl/>
              <w:spacing w:line="580" w:lineRule="exact"/>
              <w:jc w:val="center"/>
              <w:rPr>
                <w:rFonts w:ascii="仿宋_GB2312" w:hAnsi="宋体"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54" w:hRule="exact"/>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b/>
                <w:bCs/>
                <w:sz w:val="24"/>
              </w:rPr>
              <w:t>（三）职工劳动安全卫生保护权利（4分）</w:t>
            </w:r>
          </w:p>
        </w:tc>
        <w:tc>
          <w:tcPr>
            <w:tcW w:w="1276" w:type="dxa"/>
            <w:tcMar>
              <w:top w:w="0" w:type="dxa"/>
              <w:left w:w="108" w:type="dxa"/>
              <w:bottom w:w="0" w:type="dxa"/>
              <w:right w:w="108" w:type="dxa"/>
            </w:tcMar>
          </w:tcPr>
          <w:p>
            <w:pPr>
              <w:widowControl/>
              <w:spacing w:line="580" w:lineRule="exact"/>
              <w:jc w:val="center"/>
              <w:rPr>
                <w:rFonts w:ascii="仿宋_GB2312" w:hAnsi="宋体"/>
                <w:b/>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1、区域内企业遵守女职工和未成年工特殊劳动保护规定，按法律法规定期对女职工、未成年工进行健康检查，无违法使用童工、损害女职工特殊权益和未成年工合法权益的行为。（1分）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2、区域内职工作业场所劳动保护措施和劳动安全卫生条件符合国家规定标准的企业达到100%。（1分）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3、区域内企业积极采取措施防范安全生产责任事故和职业危害事故的发生。（1分）区域内企业从事特殊工种人员和技术人员全部持证上岗。（1分）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0" w:hRule="exact"/>
          <w:jc w:val="center"/>
        </w:trPr>
        <w:tc>
          <w:tcPr>
            <w:tcW w:w="2282" w:type="dxa"/>
            <w:vMerge w:val="restart"/>
            <w:vAlign w:val="center"/>
          </w:tcPr>
          <w:p>
            <w:pPr>
              <w:widowControl/>
              <w:spacing w:line="360" w:lineRule="exact"/>
              <w:contextualSpacing/>
              <w:rPr>
                <w:rFonts w:ascii="仿宋_GB2312"/>
                <w:sz w:val="24"/>
              </w:rPr>
            </w:pPr>
            <w:r>
              <w:rPr>
                <w:rFonts w:hint="eastAsia" w:ascii="仿宋_GB2312"/>
                <w:sz w:val="24"/>
              </w:rPr>
              <w:t>二、职工基本权益的维护（26分）</w:t>
            </w: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b/>
                <w:bCs/>
                <w:sz w:val="24"/>
              </w:rPr>
              <w:t>（四）职工社会保险权利（4分）</w:t>
            </w:r>
          </w:p>
        </w:tc>
        <w:tc>
          <w:tcPr>
            <w:tcW w:w="1276" w:type="dxa"/>
            <w:tcMar>
              <w:top w:w="0" w:type="dxa"/>
              <w:left w:w="108" w:type="dxa"/>
              <w:bottom w:w="0" w:type="dxa"/>
              <w:right w:w="108" w:type="dxa"/>
            </w:tcMar>
          </w:tcPr>
          <w:p>
            <w:pPr>
              <w:widowControl/>
              <w:spacing w:line="580" w:lineRule="exact"/>
              <w:jc w:val="center"/>
              <w:rPr>
                <w:rFonts w:ascii="仿宋_GB2312" w:hAnsi="宋体" w:cs="宋体"/>
                <w:b/>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0" w:hRule="exact"/>
          <w:jc w:val="center"/>
        </w:trPr>
        <w:tc>
          <w:tcPr>
            <w:tcW w:w="2282" w:type="dxa"/>
            <w:vMerge w:val="continue"/>
          </w:tcPr>
          <w:p>
            <w:pPr>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1、区域内企业主动依法缴纳社会保险费，依法参加各项社会保险的。（2分）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0" w:hRule="exact"/>
          <w:jc w:val="center"/>
        </w:trPr>
        <w:tc>
          <w:tcPr>
            <w:tcW w:w="2282" w:type="dxa"/>
            <w:vMerge w:val="continue"/>
          </w:tcPr>
          <w:p>
            <w:pPr>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2、区域内企业无欠缴漏缴社会保险费的情况。（2分）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0" w:hRule="exact"/>
          <w:jc w:val="center"/>
        </w:trPr>
        <w:tc>
          <w:tcPr>
            <w:tcW w:w="2282" w:type="dxa"/>
            <w:vMerge w:val="continue"/>
          </w:tcPr>
          <w:p>
            <w:pPr>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b/>
                <w:bCs/>
                <w:sz w:val="24"/>
              </w:rPr>
              <w:t>（五）职工职业培训权利（4分）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8" w:hRule="atLeast"/>
          <w:jc w:val="center"/>
        </w:trPr>
        <w:tc>
          <w:tcPr>
            <w:tcW w:w="2282" w:type="dxa"/>
            <w:vMerge w:val="continue"/>
          </w:tcPr>
          <w:p>
            <w:pPr>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1、根据区域经济特点，有针对性地开展职工技能培训，开设职业教育。（1分）区域内企业均组织开展岗位培训，提升职工素质。（1分）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72" w:hRule="atLeast"/>
          <w:jc w:val="center"/>
        </w:trPr>
        <w:tc>
          <w:tcPr>
            <w:tcW w:w="2282" w:type="dxa"/>
            <w:vMerge w:val="continue"/>
          </w:tcPr>
          <w:p>
            <w:pPr>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2、区域内企业依法按员工工资总额的2.5%提取职工教育经费，企业职代会或工会组织参与确定企业职工教育经费的使用范围和使用方式，区域内企业的70%以上的职工教育经费向一线员工倾斜。（1分）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4" w:hRule="atLeast"/>
          <w:jc w:val="center"/>
        </w:trPr>
        <w:tc>
          <w:tcPr>
            <w:tcW w:w="2282" w:type="dxa"/>
            <w:vMerge w:val="continue"/>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3、区域内企业严格执行就业准入制度，国家规定持《职业资格证书》的工种持证率达到100%。（1分）</w:t>
            </w:r>
          </w:p>
        </w:tc>
        <w:tc>
          <w:tcPr>
            <w:tcW w:w="1276" w:type="dxa"/>
            <w:tcMar>
              <w:top w:w="0" w:type="dxa"/>
              <w:left w:w="108" w:type="dxa"/>
              <w:bottom w:w="0" w:type="dxa"/>
              <w:right w:w="108" w:type="dxa"/>
            </w:tcMar>
          </w:tcPr>
          <w:p>
            <w:pPr>
              <w:widowControl/>
              <w:spacing w:line="58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restart"/>
            <w:vAlign w:val="center"/>
          </w:tcPr>
          <w:p>
            <w:pPr>
              <w:widowControl/>
              <w:spacing w:line="360" w:lineRule="exact"/>
              <w:contextualSpacing/>
              <w:rPr>
                <w:rFonts w:ascii="仿宋_GB2312"/>
                <w:sz w:val="24"/>
              </w:rPr>
            </w:pPr>
          </w:p>
          <w:p>
            <w:pPr>
              <w:widowControl/>
              <w:spacing w:line="360" w:lineRule="exact"/>
              <w:contextualSpacing/>
              <w:rPr>
                <w:rFonts w:ascii="仿宋_GB2312"/>
                <w:sz w:val="24"/>
              </w:rPr>
            </w:pPr>
          </w:p>
          <w:p>
            <w:pPr>
              <w:widowControl/>
              <w:spacing w:line="360" w:lineRule="exact"/>
              <w:contextualSpacing/>
              <w:rPr>
                <w:rFonts w:ascii="仿宋_GB2312"/>
                <w:sz w:val="24"/>
              </w:rPr>
            </w:pPr>
          </w:p>
          <w:p>
            <w:pPr>
              <w:widowControl/>
              <w:spacing w:line="360" w:lineRule="exact"/>
              <w:contextualSpacing/>
              <w:rPr>
                <w:rFonts w:ascii="仿宋_GB2312"/>
                <w:sz w:val="24"/>
              </w:rPr>
            </w:pPr>
            <w:r>
              <w:rPr>
                <w:rFonts w:hint="eastAsia" w:ascii="仿宋_GB2312"/>
                <w:sz w:val="24"/>
              </w:rPr>
              <w:t>三、劳动关系协调机制建设（14分）</w:t>
            </w:r>
          </w:p>
          <w:p>
            <w:pPr>
              <w:widowControl/>
              <w:spacing w:line="360" w:lineRule="exact"/>
              <w:contextualSpacing/>
              <w:rPr>
                <w:rFonts w:ascii="仿宋_GB2312"/>
                <w:sz w:val="24"/>
              </w:rPr>
            </w:pPr>
          </w:p>
          <w:p>
            <w:pPr>
              <w:widowControl/>
              <w:spacing w:line="360" w:lineRule="exact"/>
              <w:contextualSpacing/>
              <w:rPr>
                <w:rFonts w:ascii="仿宋_GB2312"/>
                <w:sz w:val="24"/>
              </w:rPr>
            </w:pPr>
          </w:p>
          <w:p>
            <w:pPr>
              <w:widowControl/>
              <w:spacing w:line="360" w:lineRule="exact"/>
              <w:contextualSpacing/>
              <w:rPr>
                <w:rFonts w:ascii="仿宋_GB2312"/>
                <w:sz w:val="24"/>
              </w:rPr>
            </w:pPr>
          </w:p>
          <w:p>
            <w:pPr>
              <w:widowControl/>
              <w:spacing w:line="360" w:lineRule="exact"/>
              <w:contextualSpacing/>
              <w:rPr>
                <w:rFonts w:ascii="仿宋_GB2312"/>
                <w:sz w:val="24"/>
              </w:rPr>
            </w:pPr>
          </w:p>
          <w:p>
            <w:pPr>
              <w:widowControl/>
              <w:spacing w:line="360" w:lineRule="exact"/>
              <w:contextualSpacing/>
              <w:rPr>
                <w:rFonts w:ascii="仿宋_GB2312"/>
                <w:sz w:val="24"/>
              </w:rPr>
            </w:pPr>
          </w:p>
          <w:p>
            <w:pPr>
              <w:widowControl/>
              <w:spacing w:line="360" w:lineRule="exact"/>
              <w:contextualSpacing/>
              <w:rPr>
                <w:rFonts w:ascii="仿宋_GB2312"/>
                <w:sz w:val="24"/>
              </w:rPr>
            </w:pPr>
          </w:p>
          <w:p>
            <w:pPr>
              <w:widowControl/>
              <w:spacing w:line="360" w:lineRule="exact"/>
              <w:contextualSpacing/>
              <w:rPr>
                <w:rFonts w:ascii="仿宋_GB2312"/>
                <w:sz w:val="24"/>
              </w:rPr>
            </w:pPr>
            <w:r>
              <w:rPr>
                <w:rFonts w:hint="eastAsia" w:ascii="仿宋_GB2312"/>
                <w:sz w:val="24"/>
              </w:rPr>
              <w:t>三、劳动关系协调机制建设（14分）</w:t>
            </w: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b/>
                <w:bCs/>
                <w:sz w:val="24"/>
              </w:rPr>
              <w:t>（一）全面实行劳动合同制度（6分）</w:t>
            </w:r>
          </w:p>
        </w:tc>
        <w:tc>
          <w:tcPr>
            <w:tcW w:w="1276" w:type="dxa"/>
            <w:tcMar>
              <w:top w:w="0" w:type="dxa"/>
              <w:left w:w="108" w:type="dxa"/>
              <w:bottom w:w="0" w:type="dxa"/>
              <w:right w:w="108" w:type="dxa"/>
            </w:tcMar>
          </w:tcPr>
          <w:p>
            <w:pPr>
              <w:widowControl/>
              <w:spacing w:line="640" w:lineRule="exact"/>
              <w:jc w:val="center"/>
              <w:rPr>
                <w:rFonts w:ascii="仿宋_GB2312" w:hAnsi="宋体"/>
                <w:b/>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1、区域内企业用工普遍合法、合规。（1分）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2、区域内企业劳务派遣用工范围和用工比例符合规定，劳动合同依法规范签订及履行，按照同工同酬原则支付劳动报酬。（1分）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3、建立劳动用工信息申报备案制度，全面动态掌握企业劳动用工状况。（2分）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4、定期加强对企业实行劳动合同制度的监督、指导和服务，劳动用工管理规范科学，区域内企业人力资源管理人员持证上岗率达90%以上。（2分）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b/>
                <w:bCs/>
                <w:sz w:val="24"/>
              </w:rPr>
              <w:t>（二）大力实施集体协商和集体合同制度（8分）</w:t>
            </w:r>
          </w:p>
        </w:tc>
        <w:tc>
          <w:tcPr>
            <w:tcW w:w="1276" w:type="dxa"/>
            <w:tcMar>
              <w:top w:w="0" w:type="dxa"/>
              <w:left w:w="108" w:type="dxa"/>
              <w:bottom w:w="0" w:type="dxa"/>
              <w:right w:w="108" w:type="dxa"/>
            </w:tcMar>
          </w:tcPr>
          <w:p>
            <w:pPr>
              <w:widowControl/>
              <w:spacing w:line="640" w:lineRule="exact"/>
              <w:jc w:val="center"/>
              <w:rPr>
                <w:rFonts w:ascii="仿宋_GB2312"/>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1、区域内规模企业建立集体协商、集体合同制度。针对工资报酬和休息休假等基本权益充分协商，（2分）并在充分协商的基础上签订内容具体、量化标准、可操作性强的集体合同，企业集体合同及时报送人力资源社会保障行政部门审查并得到有效履行。（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18" w:hRule="atLeast"/>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2、</w:t>
            </w:r>
            <w:r>
              <w:rPr>
                <w:rFonts w:hint="eastAsia" w:ascii="仿宋_GB2312"/>
                <w:spacing w:val="-4"/>
                <w:sz w:val="24"/>
              </w:rPr>
              <w:t>区域内建立了区域性或行业性集体协商制度，并依法签订了区域性或行业性集体合同。（2分）区域性或行业性集体合同及时报送人力资源社会保障行政部门审查并得到有效履行。（2分）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restart"/>
            <w:vAlign w:val="center"/>
          </w:tcPr>
          <w:p>
            <w:pPr>
              <w:widowControl/>
              <w:spacing w:line="360" w:lineRule="exact"/>
              <w:contextualSpacing/>
              <w:rPr>
                <w:rFonts w:ascii="仿宋_GB2312"/>
                <w:sz w:val="24"/>
              </w:rPr>
            </w:pPr>
            <w:r>
              <w:rPr>
                <w:rFonts w:hint="eastAsia" w:ascii="仿宋_GB2312"/>
                <w:sz w:val="24"/>
              </w:rPr>
              <w:t>四、企业民主管理制度建设（8分）</w:t>
            </w: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1、区域内企业依法建立工会组织，区域内符合条件的企业工会组建率达到100%。（2分）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2、区域内企业职工入会率达到100%。（2分）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Borders>
              <w:bottom w:val="single" w:color="auto" w:sz="4" w:space="0"/>
            </w:tcBorders>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3、</w:t>
            </w:r>
            <w:r>
              <w:rPr>
                <w:rFonts w:hint="eastAsia" w:ascii="仿宋_GB2312" w:hAnsi="宋体" w:cs="宋体"/>
                <w:spacing w:val="-4"/>
                <w:kern w:val="0"/>
                <w:sz w:val="24"/>
              </w:rPr>
              <w:t>区域内企业普遍建立职工代表大会制度，</w:t>
            </w:r>
            <w:r>
              <w:rPr>
                <w:rFonts w:hint="eastAsia" w:ascii="仿宋_GB2312"/>
                <w:spacing w:val="-4"/>
                <w:sz w:val="24"/>
              </w:rPr>
              <w:t>符合条件的企业全部建立了区域性或行业性职代会制度。（2分）区内企业规章制度的制定经过了民主程序并向社会公示，企业厂务公开制度化、规范化。（2分）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restart"/>
            <w:vAlign w:val="center"/>
          </w:tcPr>
          <w:p>
            <w:pPr>
              <w:widowControl/>
              <w:spacing w:line="360" w:lineRule="exact"/>
              <w:contextualSpacing/>
              <w:rPr>
                <w:rFonts w:ascii="仿宋_GB2312"/>
                <w:sz w:val="24"/>
              </w:rPr>
            </w:pPr>
            <w:r>
              <w:rPr>
                <w:rFonts w:hint="eastAsia" w:ascii="仿宋_GB2312"/>
                <w:sz w:val="24"/>
              </w:rPr>
              <w:t>五、劳动关系矛盾调处机制建设（20分）</w:t>
            </w:r>
          </w:p>
        </w:tc>
        <w:tc>
          <w:tcPr>
            <w:tcW w:w="10787" w:type="dxa"/>
            <w:tcMar>
              <w:top w:w="0" w:type="dxa"/>
              <w:left w:w="108" w:type="dxa"/>
              <w:bottom w:w="0" w:type="dxa"/>
              <w:right w:w="108" w:type="dxa"/>
            </w:tcMar>
            <w:vAlign w:val="center"/>
          </w:tcPr>
          <w:p>
            <w:pPr>
              <w:widowControl/>
              <w:spacing w:line="360" w:lineRule="exact"/>
              <w:contextualSpacing/>
              <w:rPr>
                <w:rFonts w:ascii="仿宋_GB2312"/>
                <w:b/>
                <w:sz w:val="24"/>
              </w:rPr>
            </w:pPr>
            <w:r>
              <w:rPr>
                <w:rFonts w:hint="eastAsia" w:ascii="仿宋_GB2312"/>
                <w:b/>
                <w:sz w:val="24"/>
              </w:rPr>
              <w:t>（一）健全劳动保障监察制度（6分）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1、依法建立劳动保障监察机构，区内劳动保障监察机构设置规范、执法力量充足、职能配置合理、制度机制完善、执法保障有力，执法能力得到明显提升。（2分）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hAnsi="??" w:cs="宋体"/>
                <w:kern w:val="0"/>
                <w:sz w:val="24"/>
              </w:rPr>
            </w:pPr>
            <w:r>
              <w:rPr>
                <w:rFonts w:hint="eastAsia" w:ascii="仿宋_GB2312" w:hAnsi="宋体" w:cs="宋体"/>
                <w:bCs/>
                <w:kern w:val="0"/>
                <w:sz w:val="24"/>
              </w:rPr>
              <w:t>2、园区内全面推行劳动保障监察</w:t>
            </w:r>
            <w:r>
              <w:rPr>
                <w:rFonts w:hint="eastAsia" w:ascii="仿宋_GB2312"/>
                <w:bCs/>
                <w:kern w:val="0"/>
                <w:sz w:val="24"/>
              </w:rPr>
              <w:t>“</w:t>
            </w:r>
            <w:r>
              <w:rPr>
                <w:rFonts w:hint="eastAsia" w:ascii="仿宋_GB2312" w:hAnsi="宋体" w:cs="宋体"/>
                <w:bCs/>
                <w:kern w:val="0"/>
                <w:sz w:val="24"/>
              </w:rPr>
              <w:t>网格化、网络化</w:t>
            </w:r>
            <w:r>
              <w:rPr>
                <w:rFonts w:hint="eastAsia" w:ascii="仿宋_GB2312"/>
                <w:bCs/>
                <w:kern w:val="0"/>
                <w:sz w:val="24"/>
              </w:rPr>
              <w:t>”</w:t>
            </w:r>
            <w:r>
              <w:rPr>
                <w:rFonts w:hint="eastAsia" w:ascii="仿宋_GB2312" w:hAnsi="宋体" w:cs="宋体"/>
                <w:bCs/>
                <w:kern w:val="0"/>
                <w:sz w:val="24"/>
              </w:rPr>
              <w:t>管理工作，</w:t>
            </w:r>
            <w:r>
              <w:rPr>
                <w:rFonts w:hint="eastAsia" w:ascii="仿宋_GB2312"/>
                <w:sz w:val="24"/>
              </w:rPr>
              <w:t>劳动保障监察“两网化”管理覆盖率达到100%。（2分）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60" w:lineRule="exact"/>
              <w:contextualSpacing/>
              <w:rPr>
                <w:rFonts w:ascii="仿宋_GB2312"/>
                <w:sz w:val="24"/>
              </w:rPr>
            </w:pPr>
            <w:r>
              <w:rPr>
                <w:rFonts w:hint="eastAsia" w:ascii="仿宋_GB2312"/>
                <w:sz w:val="24"/>
              </w:rPr>
              <w:t>3、区域内人社部门及时受理查处劳动保障监察举报投诉案件，联动平台举报投诉动态录入率和案件按期运行率均在95%以上。建立企业违法行为预警防控机制，完善多部门综合治理和监察执法与刑事司法联动机制。（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restart"/>
            <w:vAlign w:val="center"/>
          </w:tcPr>
          <w:p>
            <w:pPr>
              <w:widowControl/>
              <w:spacing w:line="360" w:lineRule="exact"/>
              <w:contextualSpacing/>
              <w:rPr>
                <w:rFonts w:ascii="仿宋_GB2312"/>
                <w:sz w:val="24"/>
              </w:rPr>
            </w:pPr>
            <w:r>
              <w:rPr>
                <w:rFonts w:hint="eastAsia" w:ascii="仿宋_GB2312"/>
                <w:sz w:val="24"/>
              </w:rPr>
              <w:t>五、劳动关系矛盾调处机制建设（20分）</w:t>
            </w:r>
          </w:p>
        </w:tc>
        <w:tc>
          <w:tcPr>
            <w:tcW w:w="10787" w:type="dxa"/>
            <w:tcMar>
              <w:top w:w="0" w:type="dxa"/>
              <w:left w:w="108" w:type="dxa"/>
              <w:bottom w:w="0" w:type="dxa"/>
              <w:right w:w="108" w:type="dxa"/>
            </w:tcMar>
            <w:vAlign w:val="center"/>
          </w:tcPr>
          <w:p>
            <w:pPr>
              <w:widowControl/>
              <w:spacing w:line="360" w:lineRule="exact"/>
              <w:contextualSpacing/>
              <w:rPr>
                <w:rFonts w:ascii="仿宋_GB2312"/>
                <w:b/>
                <w:sz w:val="24"/>
              </w:rPr>
            </w:pPr>
            <w:r>
              <w:rPr>
                <w:rFonts w:hint="eastAsia" w:ascii="仿宋_GB2312"/>
                <w:b/>
                <w:sz w:val="24"/>
              </w:rPr>
              <w:t>（二）健全劳动争议调解仲裁机制（6分）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vAlign w:val="center"/>
          </w:tcPr>
          <w:p>
            <w:pPr>
              <w:widowControl/>
              <w:spacing w:line="360" w:lineRule="exact"/>
              <w:contextualSpacing/>
              <w:rPr>
                <w:rFonts w:ascii="仿宋_GB2312"/>
                <w:sz w:val="24"/>
              </w:rPr>
            </w:pPr>
          </w:p>
        </w:tc>
        <w:tc>
          <w:tcPr>
            <w:tcW w:w="10787" w:type="dxa"/>
            <w:tcMar>
              <w:top w:w="0" w:type="dxa"/>
              <w:left w:w="108" w:type="dxa"/>
              <w:bottom w:w="0" w:type="dxa"/>
              <w:right w:w="108" w:type="dxa"/>
            </w:tcMar>
            <w:vAlign w:val="center"/>
          </w:tcPr>
          <w:p>
            <w:pPr>
              <w:widowControl/>
              <w:spacing w:line="300" w:lineRule="exact"/>
              <w:contextualSpacing/>
              <w:rPr>
                <w:rFonts w:ascii="仿宋_GB2312"/>
                <w:sz w:val="24"/>
              </w:rPr>
            </w:pPr>
            <w:r>
              <w:rPr>
                <w:rFonts w:hint="eastAsia" w:ascii="仿宋_GB2312"/>
                <w:sz w:val="24"/>
              </w:rPr>
              <w:t>1、区域内规模企业全部建立专业性的劳动争议调解委员会，区域内企业全部建立内部劳动争议协商调解机制</w:t>
            </w:r>
            <w:r>
              <w:rPr>
                <w:rFonts w:hint="eastAsia" w:ascii="仿宋_GB2312" w:hAnsi="宋体" w:cs="宋体"/>
                <w:bCs/>
                <w:kern w:val="0"/>
                <w:sz w:val="24"/>
              </w:rPr>
              <w:t>。（2分）</w:t>
            </w:r>
          </w:p>
        </w:tc>
        <w:tc>
          <w:tcPr>
            <w:tcW w:w="1276" w:type="dxa"/>
            <w:tcMar>
              <w:top w:w="0" w:type="dxa"/>
              <w:left w:w="108" w:type="dxa"/>
              <w:bottom w:w="0" w:type="dxa"/>
              <w:right w:w="108" w:type="dxa"/>
            </w:tcMar>
          </w:tcPr>
          <w:p>
            <w:pPr>
              <w:widowControl/>
              <w:spacing w:line="640" w:lineRule="exact"/>
              <w:jc w:val="center"/>
              <w:rPr>
                <w:rFonts w:ascii="仿宋_GB2312" w:hAnsi="楷体"/>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5" w:hRule="atLeast"/>
          <w:jc w:val="center"/>
        </w:trPr>
        <w:tc>
          <w:tcPr>
            <w:tcW w:w="2282" w:type="dxa"/>
            <w:vMerge w:val="continue"/>
            <w:vAlign w:val="center"/>
          </w:tcPr>
          <w:p>
            <w:pPr>
              <w:widowControl/>
              <w:spacing w:line="360" w:lineRule="exact"/>
              <w:contextualSpacing/>
              <w:rPr>
                <w:rFonts w:ascii="仿宋_GB2312"/>
                <w:sz w:val="24"/>
              </w:rPr>
            </w:pPr>
          </w:p>
        </w:tc>
        <w:tc>
          <w:tcPr>
            <w:tcW w:w="10787" w:type="dxa"/>
            <w:tcBorders>
              <w:left w:val="single" w:color="auto" w:sz="4" w:space="0"/>
            </w:tcBorders>
            <w:tcMar>
              <w:top w:w="0" w:type="dxa"/>
              <w:left w:w="108" w:type="dxa"/>
              <w:bottom w:w="0" w:type="dxa"/>
              <w:right w:w="108" w:type="dxa"/>
            </w:tcMar>
            <w:vAlign w:val="center"/>
          </w:tcPr>
          <w:p>
            <w:pPr>
              <w:widowControl/>
              <w:spacing w:line="300" w:lineRule="exact"/>
              <w:contextualSpacing/>
              <w:rPr>
                <w:rFonts w:ascii="仿宋_GB2312"/>
                <w:sz w:val="24"/>
              </w:rPr>
            </w:pPr>
            <w:r>
              <w:rPr>
                <w:rFonts w:hint="eastAsia" w:ascii="仿宋_GB2312"/>
                <w:sz w:val="24"/>
              </w:rPr>
              <w:t>2、</w:t>
            </w:r>
            <w:r>
              <w:rPr>
                <w:rFonts w:hint="eastAsia" w:ascii="仿宋_GB2312"/>
                <w:spacing w:val="-4"/>
                <w:sz w:val="24"/>
              </w:rPr>
              <w:t>区域内乡镇（街道）、村（社区）专业性劳动争议调解组织建设率达100%。支持工会、商（协）会依法建立行业性、区域性劳动争议调解组织，调解组织调解成功率达60%以上。（2分）</w:t>
            </w:r>
          </w:p>
        </w:tc>
        <w:tc>
          <w:tcPr>
            <w:tcW w:w="1276"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8" w:hRule="atLeast"/>
          <w:jc w:val="center"/>
        </w:trPr>
        <w:tc>
          <w:tcPr>
            <w:tcW w:w="2282" w:type="dxa"/>
            <w:vMerge w:val="continue"/>
          </w:tcPr>
          <w:p>
            <w:pPr>
              <w:widowControl/>
              <w:spacing w:line="360" w:lineRule="exact"/>
              <w:contextualSpacing/>
              <w:rPr>
                <w:rFonts w:ascii="仿宋_GB2312"/>
                <w:sz w:val="24"/>
              </w:rPr>
            </w:pPr>
          </w:p>
        </w:tc>
        <w:tc>
          <w:tcPr>
            <w:tcW w:w="10787" w:type="dxa"/>
            <w:tcBorders>
              <w:left w:val="single" w:color="auto" w:sz="4" w:space="0"/>
            </w:tcBorders>
            <w:vAlign w:val="center"/>
          </w:tcPr>
          <w:p>
            <w:pPr>
              <w:widowControl/>
              <w:spacing w:line="300" w:lineRule="exact"/>
              <w:contextualSpacing/>
              <w:rPr>
                <w:rFonts w:ascii="仿宋_GB2312"/>
                <w:sz w:val="24"/>
              </w:rPr>
            </w:pPr>
            <w:r>
              <w:rPr>
                <w:rFonts w:hint="eastAsia" w:ascii="仿宋_GB2312"/>
                <w:sz w:val="24"/>
              </w:rPr>
              <w:t>3、区域内劳动人事争议仲裁机构及时调处劳动争议案件，仲裁结案率达到94%以上。区域内劳动争议仲裁机构规范化建设符合上级要求。（2分）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Pr>
          <w:p>
            <w:pPr>
              <w:widowControl/>
              <w:spacing w:line="360" w:lineRule="exact"/>
              <w:contextualSpacing/>
              <w:rPr>
                <w:rFonts w:ascii="仿宋_GB2312"/>
                <w:sz w:val="24"/>
              </w:rPr>
            </w:pPr>
          </w:p>
        </w:tc>
        <w:tc>
          <w:tcPr>
            <w:tcW w:w="10787" w:type="dxa"/>
            <w:tcBorders>
              <w:left w:val="single" w:color="auto" w:sz="4" w:space="0"/>
            </w:tcBorders>
            <w:vAlign w:val="center"/>
          </w:tcPr>
          <w:p>
            <w:pPr>
              <w:spacing w:line="360" w:lineRule="exact"/>
              <w:contextualSpacing/>
              <w:rPr>
                <w:rFonts w:ascii="仿宋_GB2312"/>
                <w:b/>
                <w:sz w:val="24"/>
              </w:rPr>
            </w:pPr>
            <w:r>
              <w:rPr>
                <w:rFonts w:hint="eastAsia" w:ascii="仿宋_GB2312"/>
                <w:b/>
                <w:sz w:val="24"/>
              </w:rPr>
              <w:t>（三）完善劳动关系群体性事件预防和应急处置机制（8分）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Pr>
          <w:p>
            <w:pPr>
              <w:widowControl/>
              <w:spacing w:line="360" w:lineRule="exact"/>
              <w:contextualSpacing/>
              <w:rPr>
                <w:rFonts w:ascii="仿宋_GB2312"/>
                <w:sz w:val="24"/>
              </w:rPr>
            </w:pPr>
          </w:p>
        </w:tc>
        <w:tc>
          <w:tcPr>
            <w:tcW w:w="10787" w:type="dxa"/>
            <w:tcBorders>
              <w:left w:val="single" w:color="auto" w:sz="4" w:space="0"/>
            </w:tcBorders>
            <w:vAlign w:val="center"/>
          </w:tcPr>
          <w:p>
            <w:pPr>
              <w:spacing w:line="360" w:lineRule="exact"/>
              <w:contextualSpacing/>
              <w:rPr>
                <w:rFonts w:ascii="仿宋_GB2312"/>
                <w:bCs/>
                <w:kern w:val="0"/>
                <w:sz w:val="24"/>
              </w:rPr>
            </w:pPr>
            <w:r>
              <w:rPr>
                <w:rFonts w:hint="eastAsia" w:ascii="仿宋_GB2312"/>
                <w:sz w:val="24"/>
              </w:rPr>
              <w:t>1、</w:t>
            </w:r>
            <w:r>
              <w:rPr>
                <w:rFonts w:hint="eastAsia" w:ascii="仿宋_GB2312"/>
                <w:spacing w:val="-6"/>
                <w:sz w:val="24"/>
              </w:rPr>
              <w:t>建立</w:t>
            </w:r>
            <w:r>
              <w:rPr>
                <w:rFonts w:hint="eastAsia" w:ascii="仿宋_GB2312"/>
                <w:bCs/>
                <w:spacing w:val="-6"/>
                <w:kern w:val="0"/>
                <w:sz w:val="24"/>
              </w:rPr>
              <w:t>维权服务机制，区内建立电话、网络信箱及手机短信申诉等多渠道信息沟通机制、职工诉求机制与协调联动机制，能及时协调解决企业和职工合法合理的诉求，及时处理劳资矛盾。（3分）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Pr>
          <w:p>
            <w:pPr>
              <w:widowControl/>
              <w:spacing w:line="360" w:lineRule="exact"/>
              <w:contextualSpacing/>
              <w:rPr>
                <w:rFonts w:ascii="仿宋_GB2312"/>
                <w:sz w:val="24"/>
              </w:rPr>
            </w:pPr>
          </w:p>
        </w:tc>
        <w:tc>
          <w:tcPr>
            <w:tcW w:w="10787" w:type="dxa"/>
            <w:vAlign w:val="center"/>
          </w:tcPr>
          <w:p>
            <w:pPr>
              <w:spacing w:line="300" w:lineRule="exact"/>
              <w:contextualSpacing/>
              <w:rPr>
                <w:rFonts w:ascii="仿宋_GB2312"/>
                <w:sz w:val="24"/>
              </w:rPr>
            </w:pPr>
            <w:r>
              <w:rPr>
                <w:rFonts w:hint="eastAsia" w:ascii="仿宋_GB2312"/>
                <w:sz w:val="24"/>
              </w:rPr>
              <w:t>2、建立劳动关系群体性事件的监测预警、事前预防及应急处置工作机制。区域内劳动关系群体性事件应急预案完善，明确分级响应、处置程序和处置措施，统计制度健全，报告及时，发生问题后能够及时妥善应对。（3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Pr>
          <w:p>
            <w:pPr>
              <w:widowControl/>
              <w:spacing w:line="360" w:lineRule="exact"/>
              <w:contextualSpacing/>
              <w:rPr>
                <w:rFonts w:ascii="仿宋_GB2312"/>
                <w:sz w:val="24"/>
              </w:rPr>
            </w:pPr>
          </w:p>
        </w:tc>
        <w:tc>
          <w:tcPr>
            <w:tcW w:w="10787" w:type="dxa"/>
            <w:vAlign w:val="center"/>
          </w:tcPr>
          <w:p>
            <w:pPr>
              <w:widowControl/>
              <w:spacing w:line="360" w:lineRule="exact"/>
              <w:contextualSpacing/>
              <w:rPr>
                <w:rFonts w:ascii="仿宋_GB2312" w:hAnsi="宋体" w:cs="宋体"/>
                <w:kern w:val="0"/>
                <w:sz w:val="24"/>
              </w:rPr>
            </w:pPr>
            <w:r>
              <w:rPr>
                <w:rFonts w:hint="eastAsia" w:ascii="仿宋_GB2312"/>
                <w:bCs/>
                <w:kern w:val="0"/>
                <w:sz w:val="24"/>
              </w:rPr>
              <w:t>3、区域内基层劳动关系协调组织的劳资矛盾化解率达60%以上。（2分）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restart"/>
            <w:tcBorders>
              <w:left w:val="single" w:color="auto" w:sz="4" w:space="0"/>
              <w:right w:val="single" w:color="auto" w:sz="4" w:space="0"/>
            </w:tcBorders>
            <w:vAlign w:val="center"/>
          </w:tcPr>
          <w:p>
            <w:pPr>
              <w:widowControl/>
              <w:spacing w:line="360" w:lineRule="exact"/>
              <w:contextualSpacing/>
              <w:rPr>
                <w:rFonts w:ascii="仿宋_GB2312"/>
                <w:sz w:val="24"/>
              </w:rPr>
            </w:pPr>
            <w:r>
              <w:rPr>
                <w:rFonts w:hint="eastAsia" w:ascii="仿宋_GB2312"/>
                <w:sz w:val="24"/>
              </w:rPr>
              <w:t>六、构建和谐劳动关系氛围的营造（10分）</w:t>
            </w:r>
          </w:p>
        </w:tc>
        <w:tc>
          <w:tcPr>
            <w:tcW w:w="10787" w:type="dxa"/>
            <w:vAlign w:val="center"/>
          </w:tcPr>
          <w:p>
            <w:pPr>
              <w:widowControl/>
              <w:spacing w:line="360" w:lineRule="exact"/>
              <w:contextualSpacing/>
              <w:rPr>
                <w:rFonts w:ascii="仿宋_GB2312"/>
                <w:sz w:val="24"/>
              </w:rPr>
            </w:pPr>
            <w:r>
              <w:rPr>
                <w:rFonts w:hint="eastAsia" w:ascii="仿宋_GB2312" w:hAnsi="宋体" w:cs="宋体"/>
                <w:kern w:val="0"/>
                <w:sz w:val="24"/>
              </w:rPr>
              <w:t>1、区域企业能够积极承担社会责任，注重加强企业文化建设，强化对员工的人文关怀，定期开展教育培训活动，提高职工素质和企业竞争力取得明显成效。（1分）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Borders>
              <w:left w:val="single" w:color="auto" w:sz="4" w:space="0"/>
              <w:right w:val="single" w:color="auto" w:sz="4" w:space="0"/>
            </w:tcBorders>
          </w:tcPr>
          <w:p>
            <w:pPr>
              <w:widowControl/>
              <w:spacing w:line="360" w:lineRule="exact"/>
              <w:contextualSpacing/>
              <w:rPr>
                <w:rFonts w:ascii="仿宋_GB2312"/>
                <w:sz w:val="24"/>
              </w:rPr>
            </w:pPr>
          </w:p>
        </w:tc>
        <w:tc>
          <w:tcPr>
            <w:tcW w:w="10787" w:type="dxa"/>
            <w:vAlign w:val="center"/>
          </w:tcPr>
          <w:p>
            <w:pPr>
              <w:spacing w:line="360" w:lineRule="exact"/>
              <w:contextualSpacing/>
              <w:rPr>
                <w:rFonts w:ascii="仿宋_GB2312"/>
                <w:bCs/>
                <w:kern w:val="0"/>
                <w:sz w:val="24"/>
              </w:rPr>
            </w:pPr>
            <w:r>
              <w:rPr>
                <w:rFonts w:hint="eastAsia" w:ascii="仿宋_GB2312" w:hAnsi="宋体" w:cs="宋体"/>
                <w:kern w:val="0"/>
                <w:sz w:val="24"/>
              </w:rPr>
              <w:t>2、区域内企业职工能够合法合理表达利益诉求，企业职</w:t>
            </w:r>
            <w:r>
              <w:rPr>
                <w:rFonts w:hint="eastAsia" w:ascii="仿宋_GB2312"/>
                <w:bCs/>
                <w:kern w:val="0"/>
                <w:sz w:val="24"/>
              </w:rPr>
              <w:t>工对企业劳动关系和谐情况的满意度达90%以上。（</w:t>
            </w:r>
            <w:r>
              <w:rPr>
                <w:rFonts w:hint="eastAsia" w:ascii="仿宋_GB2312" w:hAnsi="宋体" w:cs="宋体"/>
                <w:kern w:val="0"/>
                <w:sz w:val="24"/>
              </w:rPr>
              <w:t>5分，满意度达80%—90%得4分，达70%—80%得2分，70%以下不得分。）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Borders>
              <w:left w:val="single" w:color="auto" w:sz="4" w:space="0"/>
              <w:right w:val="single" w:color="auto" w:sz="4" w:space="0"/>
            </w:tcBorders>
          </w:tcPr>
          <w:p>
            <w:pPr>
              <w:widowControl/>
              <w:spacing w:line="360" w:lineRule="exact"/>
              <w:contextualSpacing/>
              <w:rPr>
                <w:rFonts w:ascii="仿宋_GB2312"/>
                <w:sz w:val="24"/>
              </w:rPr>
            </w:pPr>
          </w:p>
        </w:tc>
        <w:tc>
          <w:tcPr>
            <w:tcW w:w="10787" w:type="dxa"/>
            <w:vAlign w:val="center"/>
          </w:tcPr>
          <w:p>
            <w:pPr>
              <w:spacing w:line="360" w:lineRule="exact"/>
              <w:contextualSpacing/>
              <w:rPr>
                <w:rFonts w:ascii="仿宋_GB2312"/>
                <w:sz w:val="24"/>
              </w:rPr>
            </w:pPr>
            <w:r>
              <w:rPr>
                <w:rFonts w:hint="eastAsia" w:ascii="仿宋_GB2312"/>
                <w:sz w:val="24"/>
              </w:rPr>
              <w:t>3、定期开展针对企业经营者尤其是中小企业经营管理人员的劳动保障法律法规教育培训，不断提高企业依法用工意识。（2分）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Borders>
              <w:left w:val="single" w:color="auto" w:sz="4" w:space="0"/>
              <w:right w:val="single" w:color="auto" w:sz="4" w:space="0"/>
            </w:tcBorders>
          </w:tcPr>
          <w:p>
            <w:pPr>
              <w:widowControl/>
              <w:spacing w:line="360" w:lineRule="exact"/>
              <w:contextualSpacing/>
              <w:rPr>
                <w:rFonts w:ascii="仿宋_GB2312"/>
                <w:sz w:val="24"/>
              </w:rPr>
            </w:pPr>
          </w:p>
        </w:tc>
        <w:tc>
          <w:tcPr>
            <w:tcW w:w="10787" w:type="dxa"/>
            <w:vAlign w:val="center"/>
          </w:tcPr>
          <w:p>
            <w:pPr>
              <w:widowControl/>
              <w:spacing w:line="360" w:lineRule="exact"/>
              <w:contextualSpacing/>
              <w:rPr>
                <w:rFonts w:ascii="仿宋_GB2312"/>
                <w:sz w:val="24"/>
              </w:rPr>
            </w:pPr>
            <w:r>
              <w:rPr>
                <w:rFonts w:hint="eastAsia" w:ascii="仿宋_GB2312"/>
                <w:sz w:val="24"/>
              </w:rPr>
              <w:t>4、强化优化企业服务，支持企业发展，行政审批效率高，各项政策措施到位。（2分）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restart"/>
            <w:vAlign w:val="center"/>
          </w:tcPr>
          <w:p>
            <w:pPr>
              <w:widowControl/>
              <w:spacing w:line="360" w:lineRule="exact"/>
              <w:contextualSpacing/>
              <w:jc w:val="center"/>
              <w:rPr>
                <w:rFonts w:ascii="仿宋_GB2312"/>
                <w:sz w:val="24"/>
              </w:rPr>
            </w:pPr>
            <w:r>
              <w:rPr>
                <w:rFonts w:hint="eastAsia" w:ascii="仿宋_GB2312"/>
                <w:sz w:val="24"/>
              </w:rPr>
              <w:t>七、一票否决项目</w:t>
            </w:r>
          </w:p>
        </w:tc>
        <w:tc>
          <w:tcPr>
            <w:tcW w:w="10787" w:type="dxa"/>
            <w:vAlign w:val="center"/>
          </w:tcPr>
          <w:p>
            <w:pPr>
              <w:widowControl/>
              <w:spacing w:line="360" w:lineRule="exact"/>
              <w:ind w:firstLine="624"/>
              <w:contextualSpacing/>
              <w:rPr>
                <w:rFonts w:ascii="仿宋_GB2312"/>
                <w:sz w:val="24"/>
              </w:rPr>
            </w:pPr>
            <w:r>
              <w:rPr>
                <w:rFonts w:hint="eastAsia" w:ascii="仿宋_GB2312"/>
                <w:sz w:val="24"/>
              </w:rPr>
              <w:t>1、区域内企业当年发生恶性劳动保障违法犯罪案件。（-100分）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Pr>
          <w:p>
            <w:pPr>
              <w:widowControl/>
              <w:spacing w:line="360" w:lineRule="exact"/>
              <w:contextualSpacing/>
              <w:rPr>
                <w:rFonts w:ascii="仿宋_GB2312"/>
                <w:sz w:val="24"/>
              </w:rPr>
            </w:pPr>
          </w:p>
        </w:tc>
        <w:tc>
          <w:tcPr>
            <w:tcW w:w="10787" w:type="dxa"/>
            <w:vAlign w:val="center"/>
          </w:tcPr>
          <w:p>
            <w:pPr>
              <w:widowControl/>
              <w:spacing w:line="360" w:lineRule="exact"/>
              <w:ind w:firstLine="624"/>
              <w:contextualSpacing/>
              <w:rPr>
                <w:rFonts w:ascii="仿宋_GB2312" w:hAnsi="宋体" w:cs="宋体"/>
                <w:bCs/>
                <w:kern w:val="0"/>
                <w:sz w:val="24"/>
              </w:rPr>
            </w:pPr>
            <w:r>
              <w:rPr>
                <w:rFonts w:hint="eastAsia" w:ascii="仿宋_GB2312"/>
                <w:sz w:val="24"/>
              </w:rPr>
              <w:t>2、区域内企业当年发生</w:t>
            </w:r>
            <w:r>
              <w:rPr>
                <w:rFonts w:hint="eastAsia" w:ascii="仿宋_GB2312" w:hAnsi="宋体" w:cs="宋体"/>
                <w:bCs/>
                <w:kern w:val="0"/>
                <w:sz w:val="24"/>
              </w:rPr>
              <w:t>重大安全责任事故或职业病危害事故。（</w:t>
            </w:r>
            <w:r>
              <w:rPr>
                <w:rFonts w:hint="eastAsia" w:ascii="仿宋_GB2312"/>
                <w:sz w:val="24"/>
              </w:rPr>
              <w:t>-100分）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Pr>
          <w:p>
            <w:pPr>
              <w:widowControl/>
              <w:spacing w:line="360" w:lineRule="exact"/>
              <w:contextualSpacing/>
              <w:rPr>
                <w:rFonts w:ascii="仿宋_GB2312"/>
                <w:sz w:val="24"/>
              </w:rPr>
            </w:pPr>
          </w:p>
        </w:tc>
        <w:tc>
          <w:tcPr>
            <w:tcW w:w="10787" w:type="dxa"/>
            <w:vAlign w:val="center"/>
          </w:tcPr>
          <w:p>
            <w:pPr>
              <w:widowControl/>
              <w:spacing w:line="360" w:lineRule="exact"/>
              <w:ind w:firstLine="624"/>
              <w:contextualSpacing/>
              <w:rPr>
                <w:rFonts w:ascii="仿宋_GB2312"/>
                <w:sz w:val="24"/>
              </w:rPr>
            </w:pPr>
            <w:r>
              <w:rPr>
                <w:rFonts w:hint="eastAsia" w:ascii="仿宋_GB2312" w:hAnsi="宋体" w:cs="宋体"/>
                <w:bCs/>
                <w:kern w:val="0"/>
                <w:sz w:val="24"/>
              </w:rPr>
              <w:t>3、区域内企业当年发生因恶意欠薪导致的重大集体劳动争议案件。（</w:t>
            </w:r>
            <w:r>
              <w:rPr>
                <w:rFonts w:hint="eastAsia" w:ascii="仿宋_GB2312"/>
                <w:sz w:val="24"/>
              </w:rPr>
              <w:t>-100分）</w:t>
            </w:r>
          </w:p>
        </w:tc>
        <w:tc>
          <w:tcPr>
            <w:tcW w:w="1276" w:type="dxa"/>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2282" w:type="dxa"/>
            <w:vMerge w:val="continue"/>
          </w:tcPr>
          <w:p>
            <w:pPr>
              <w:widowControl/>
              <w:spacing w:line="360" w:lineRule="exact"/>
              <w:contextualSpacing/>
              <w:rPr>
                <w:rFonts w:ascii="仿宋_GB2312"/>
                <w:sz w:val="24"/>
              </w:rPr>
            </w:pPr>
          </w:p>
        </w:tc>
        <w:tc>
          <w:tcPr>
            <w:tcW w:w="10787" w:type="dxa"/>
            <w:vAlign w:val="center"/>
          </w:tcPr>
          <w:p>
            <w:pPr>
              <w:widowControl/>
              <w:spacing w:line="360" w:lineRule="exact"/>
              <w:ind w:firstLine="624"/>
              <w:contextualSpacing/>
              <w:rPr>
                <w:rFonts w:ascii="仿宋_GB2312" w:hAnsi="宋体" w:cs="宋体"/>
                <w:kern w:val="0"/>
                <w:sz w:val="24"/>
              </w:rPr>
            </w:pPr>
            <w:r>
              <w:rPr>
                <w:rFonts w:hint="eastAsia" w:ascii="仿宋_GB2312"/>
                <w:sz w:val="24"/>
              </w:rPr>
              <w:t>4、区域内企业当年发生造成严重社会影响的群体性事件。（-100分）</w:t>
            </w:r>
          </w:p>
        </w:tc>
        <w:tc>
          <w:tcPr>
            <w:tcW w:w="1276" w:type="dxa"/>
          </w:tcPr>
          <w:p>
            <w:pPr>
              <w:widowControl/>
              <w:spacing w:line="460" w:lineRule="exact"/>
              <w:jc w:val="center"/>
              <w:rPr>
                <w:rFonts w:ascii="仿宋_GB2312"/>
                <w:sz w:val="24"/>
              </w:rPr>
            </w:pPr>
          </w:p>
        </w:tc>
      </w:tr>
    </w:tbl>
    <w:p>
      <w:pPr>
        <w:autoSpaceDE w:val="0"/>
        <w:autoSpaceDN w:val="0"/>
        <w:snapToGrid w:val="0"/>
        <w:spacing w:line="540" w:lineRule="exact"/>
        <w:rPr>
          <w:rFonts w:ascii="黑体" w:hAnsi="黑体" w:eastAsia="黑体" w:cs="宋体"/>
          <w:bCs/>
          <w:kern w:val="0"/>
          <w:szCs w:val="32"/>
        </w:rPr>
      </w:pPr>
      <w:r>
        <w:rPr>
          <w:rFonts w:hint="eastAsia" w:ascii="仿宋_GB2312"/>
          <w:sz w:val="24"/>
        </w:rPr>
        <w:t>备注：工业园区、乡镇（街道）自评分在80分及以上的，可向相应的协调劳动关系三方委员会申报和谐劳动关系工业园区、乡镇（街道）。</w:t>
      </w:r>
      <w:r>
        <w:rPr>
          <w:rFonts w:hint="eastAsia" w:ascii="仿宋_GB2312" w:hAnsi="仿宋_GB2312" w:cs="仿宋_GB2312"/>
          <w:bCs/>
          <w:kern w:val="0"/>
          <w:szCs w:val="32"/>
        </w:rPr>
        <w:br w:type="page"/>
      </w:r>
      <w:r>
        <w:rPr>
          <w:rFonts w:hint="eastAsia" w:ascii="黑体" w:hAnsi="黑体" w:eastAsia="黑体" w:cs="仿宋_GB2312"/>
          <w:bCs/>
          <w:kern w:val="0"/>
          <w:szCs w:val="32"/>
        </w:rPr>
        <w:t>附件3</w:t>
      </w:r>
    </w:p>
    <w:p>
      <w:pPr>
        <w:widowControl/>
        <w:spacing w:line="240" w:lineRule="exact"/>
        <w:jc w:val="center"/>
        <w:rPr>
          <w:rFonts w:ascii="小标宋" w:hAnsi="宋体" w:eastAsia="小标宋" w:cs="宋体"/>
          <w:bCs/>
          <w:kern w:val="0"/>
          <w:sz w:val="44"/>
          <w:szCs w:val="44"/>
        </w:rPr>
      </w:pPr>
    </w:p>
    <w:p>
      <w:pPr>
        <w:widowControl/>
        <w:spacing w:line="580" w:lineRule="exact"/>
        <w:jc w:val="center"/>
        <w:rPr>
          <w:rFonts w:ascii="小标宋" w:hAnsi="宋体" w:eastAsia="小标宋" w:cs="宋体"/>
          <w:bCs/>
          <w:kern w:val="0"/>
          <w:sz w:val="44"/>
          <w:szCs w:val="44"/>
        </w:rPr>
      </w:pPr>
      <w:r>
        <w:rPr>
          <w:rFonts w:hint="eastAsia" w:ascii="小标宋" w:hAnsi="宋体" w:eastAsia="小标宋" w:cs="宋体"/>
          <w:bCs/>
          <w:kern w:val="0"/>
          <w:sz w:val="44"/>
          <w:szCs w:val="44"/>
        </w:rPr>
        <w:t>和谐劳动关系行业评价细则</w:t>
      </w:r>
    </w:p>
    <w:tbl>
      <w:tblPr>
        <w:tblStyle w:val="6"/>
        <w:tblW w:w="1386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259"/>
        <w:gridCol w:w="9884"/>
        <w:gridCol w:w="172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blHeader/>
          <w:jc w:val="center"/>
        </w:trPr>
        <w:tc>
          <w:tcPr>
            <w:tcW w:w="2259" w:type="dxa"/>
            <w:tcMar>
              <w:top w:w="0" w:type="dxa"/>
              <w:left w:w="108" w:type="dxa"/>
              <w:bottom w:w="0" w:type="dxa"/>
              <w:right w:w="108" w:type="dxa"/>
            </w:tcMar>
            <w:vAlign w:val="center"/>
          </w:tcPr>
          <w:p>
            <w:pPr>
              <w:widowControl/>
              <w:spacing w:line="580" w:lineRule="exact"/>
              <w:jc w:val="center"/>
              <w:rPr>
                <w:rFonts w:ascii="黑体" w:hAnsi="黑体" w:eastAsia="黑体" w:cs="宋体"/>
                <w:kern w:val="0"/>
                <w:sz w:val="24"/>
              </w:rPr>
            </w:pPr>
            <w:r>
              <w:rPr>
                <w:rFonts w:hint="eastAsia" w:ascii="黑体" w:hAnsi="黑体" w:eastAsia="黑体" w:cs="宋体"/>
                <w:kern w:val="0"/>
                <w:sz w:val="24"/>
              </w:rPr>
              <w:t>评价项目</w:t>
            </w:r>
          </w:p>
        </w:tc>
        <w:tc>
          <w:tcPr>
            <w:tcW w:w="9884" w:type="dxa"/>
            <w:tcMar>
              <w:top w:w="0" w:type="dxa"/>
              <w:left w:w="108" w:type="dxa"/>
              <w:bottom w:w="0" w:type="dxa"/>
              <w:right w:w="108" w:type="dxa"/>
            </w:tcMar>
            <w:vAlign w:val="center"/>
          </w:tcPr>
          <w:p>
            <w:pPr>
              <w:widowControl/>
              <w:spacing w:line="580" w:lineRule="exact"/>
              <w:jc w:val="center"/>
              <w:rPr>
                <w:rFonts w:ascii="黑体" w:hAnsi="黑体" w:eastAsia="黑体" w:cs="宋体"/>
                <w:kern w:val="0"/>
                <w:sz w:val="24"/>
              </w:rPr>
            </w:pPr>
            <w:r>
              <w:rPr>
                <w:rFonts w:hint="eastAsia" w:ascii="黑体" w:hAnsi="黑体" w:eastAsia="黑体" w:cs="宋体"/>
                <w:kern w:val="0"/>
                <w:sz w:val="24"/>
              </w:rPr>
              <w:t>评价内容</w:t>
            </w:r>
          </w:p>
        </w:tc>
        <w:tc>
          <w:tcPr>
            <w:tcW w:w="1725" w:type="dxa"/>
            <w:tcMar>
              <w:top w:w="0" w:type="dxa"/>
              <w:left w:w="108" w:type="dxa"/>
              <w:bottom w:w="0" w:type="dxa"/>
              <w:right w:w="108" w:type="dxa"/>
            </w:tcMar>
            <w:vAlign w:val="center"/>
          </w:tcPr>
          <w:p>
            <w:pPr>
              <w:widowControl/>
              <w:spacing w:line="580" w:lineRule="exact"/>
              <w:jc w:val="center"/>
              <w:rPr>
                <w:rFonts w:ascii="黑体" w:hAnsi="黑体" w:eastAsia="黑体" w:cs="宋体"/>
                <w:kern w:val="0"/>
                <w:sz w:val="24"/>
              </w:rPr>
            </w:pPr>
            <w:r>
              <w:rPr>
                <w:rFonts w:hint="eastAsia" w:ascii="黑体" w:hAnsi="黑体" w:eastAsia="黑体" w:cs="宋体"/>
                <w:kern w:val="0"/>
                <w:sz w:val="24"/>
              </w:rPr>
              <w:t>评分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restart"/>
            <w:vAlign w:val="center"/>
          </w:tcPr>
          <w:p>
            <w:pPr>
              <w:widowControl/>
              <w:spacing w:line="460" w:lineRule="exact"/>
              <w:rPr>
                <w:rFonts w:ascii="仿宋_GB2312"/>
                <w:sz w:val="24"/>
              </w:rPr>
            </w:pPr>
            <w:r>
              <w:rPr>
                <w:rFonts w:hint="eastAsia" w:ascii="仿宋_GB2312"/>
                <w:sz w:val="24"/>
              </w:rPr>
              <w:t>一、工作机制建设（15分）</w:t>
            </w:r>
          </w:p>
        </w:tc>
        <w:tc>
          <w:tcPr>
            <w:tcW w:w="9884" w:type="dxa"/>
            <w:tcMar>
              <w:top w:w="0" w:type="dxa"/>
              <w:left w:w="108" w:type="dxa"/>
              <w:bottom w:w="0" w:type="dxa"/>
              <w:right w:w="108" w:type="dxa"/>
            </w:tcMar>
            <w:vAlign w:val="center"/>
          </w:tcPr>
          <w:p>
            <w:pPr>
              <w:widowControl/>
              <w:spacing w:line="360" w:lineRule="exact"/>
              <w:rPr>
                <w:rFonts w:ascii="仿宋_GB2312"/>
                <w:sz w:val="24"/>
              </w:rPr>
            </w:pPr>
            <w:r>
              <w:rPr>
                <w:rFonts w:hint="eastAsia" w:ascii="仿宋_GB2312"/>
                <w:sz w:val="24"/>
              </w:rPr>
              <w:t>1、行业组织建立健全构建和谐劳动关系的工作联动机制，制订创建工作规划（3分）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41"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2、建立健全行业协调劳动关系三方机制。（3分）行业代表组织关注分析本区域内的行业劳动关系状况及发展趋势，研究提出劳动关系政策建议、在法律政策框架内协商规范本行业劳动关系事项，协调劳动争议。（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3、行业内企业全面开展和谐劳动关系创建活动，符合劳动关系和谐标准的企业占本行业企业50%以上。（6分，80%及以上为6分，60%及以上至80%为4分，50%及以上至60%为2分，50%以下不得分）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restart"/>
            <w:vAlign w:val="center"/>
          </w:tcPr>
          <w:p>
            <w:pPr>
              <w:widowControl/>
              <w:spacing w:line="460" w:lineRule="exact"/>
              <w:rPr>
                <w:rFonts w:ascii="仿宋_GB2312"/>
                <w:sz w:val="24"/>
              </w:rPr>
            </w:pPr>
            <w:r>
              <w:rPr>
                <w:rFonts w:hint="eastAsia" w:ascii="仿宋_GB2312"/>
                <w:sz w:val="24"/>
              </w:rPr>
              <w:t>二、和谐劳动关系创建的组织发动（15分）</w:t>
            </w:r>
          </w:p>
        </w:tc>
        <w:tc>
          <w:tcPr>
            <w:tcW w:w="9884" w:type="dxa"/>
            <w:tcMar>
              <w:top w:w="0" w:type="dxa"/>
              <w:left w:w="108" w:type="dxa"/>
              <w:bottom w:w="0" w:type="dxa"/>
              <w:right w:w="108" w:type="dxa"/>
            </w:tcMar>
            <w:vAlign w:val="center"/>
          </w:tcPr>
          <w:p>
            <w:pPr>
              <w:widowControl/>
              <w:spacing w:line="360" w:lineRule="exact"/>
              <w:rPr>
                <w:rFonts w:ascii="仿宋_GB2312"/>
                <w:sz w:val="24"/>
              </w:rPr>
            </w:pPr>
            <w:r>
              <w:rPr>
                <w:rFonts w:hint="eastAsia" w:ascii="仿宋_GB2312"/>
                <w:sz w:val="24"/>
              </w:rPr>
              <w:t>1、行业组织以本地区行业龙头企业、规模企业为切入点，组织发动本行业开展和谐劳动关系企业创建活动，选树宣传推广和谐劳动关系企业。（2分）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3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2、以中小微企业和非公企业为重点，开展劳动关系和谐企业培育共同行动，重点针对培育企业开展现场调研、用工指导服务，为企业制定和谐劳动关系诊断培育方案，开展和谐劳动关系创建能力提升培训，推动企业劳动用工状况持续改善。（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3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60" w:lineRule="exact"/>
              <w:rPr>
                <w:rFonts w:ascii="仿宋_GB2312"/>
                <w:sz w:val="24"/>
              </w:rPr>
            </w:pPr>
            <w:r>
              <w:rPr>
                <w:rFonts w:hint="eastAsia" w:ascii="仿宋_GB2312"/>
                <w:sz w:val="24"/>
              </w:rPr>
              <w:t>3、行业内企业能够积极承担社会责任，注重加强企业文化建设，强化对职工的人文关怀，定期开展教育培训活动，提高职工素质和企业竞争力取得明显成效。（2分）</w:t>
            </w:r>
          </w:p>
        </w:tc>
        <w:tc>
          <w:tcPr>
            <w:tcW w:w="1725" w:type="dxa"/>
            <w:tcMar>
              <w:top w:w="0" w:type="dxa"/>
              <w:left w:w="108" w:type="dxa"/>
              <w:bottom w:w="0" w:type="dxa"/>
              <w:right w:w="108" w:type="dxa"/>
            </w:tcMar>
          </w:tcPr>
          <w:p>
            <w:pPr>
              <w:widowControl/>
              <w:spacing w:line="580" w:lineRule="exact"/>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3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60" w:lineRule="exact"/>
              <w:rPr>
                <w:rFonts w:ascii="仿宋_GB2312"/>
                <w:sz w:val="24"/>
              </w:rPr>
            </w:pPr>
            <w:r>
              <w:rPr>
                <w:rFonts w:hint="eastAsia" w:ascii="仿宋_GB2312"/>
                <w:sz w:val="24"/>
              </w:rPr>
              <w:t>4、职工对劳动关系和谐情况满意度达90%的企业，占本行业企业70%以上。（5分，占比达80%及以上得5分，达70%及以上至80%得2分，70%以下不得分。）</w:t>
            </w:r>
          </w:p>
        </w:tc>
        <w:tc>
          <w:tcPr>
            <w:tcW w:w="1725" w:type="dxa"/>
            <w:tcMar>
              <w:top w:w="0" w:type="dxa"/>
              <w:left w:w="108" w:type="dxa"/>
              <w:bottom w:w="0" w:type="dxa"/>
              <w:right w:w="108" w:type="dxa"/>
            </w:tcMar>
          </w:tcPr>
          <w:p>
            <w:pPr>
              <w:widowControl/>
              <w:spacing w:line="580" w:lineRule="exact"/>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54" w:hRule="exac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60" w:lineRule="exact"/>
              <w:rPr>
                <w:rFonts w:ascii="仿宋_GB2312"/>
                <w:spacing w:val="-10"/>
                <w:sz w:val="24"/>
              </w:rPr>
            </w:pPr>
            <w:r>
              <w:rPr>
                <w:rFonts w:hint="eastAsia" w:ascii="仿宋_GB2312"/>
                <w:spacing w:val="-10"/>
                <w:sz w:val="24"/>
              </w:rPr>
              <w:t>5、</w:t>
            </w:r>
            <w:r>
              <w:rPr>
                <w:rFonts w:hint="eastAsia" w:ascii="仿宋_GB2312"/>
                <w:spacing w:val="-14"/>
                <w:sz w:val="24"/>
              </w:rPr>
              <w:t>行业组织定期开展针对企业经营者的劳动保障法律法规教育培训，不断提高企业依法用工意识。（2分）</w:t>
            </w:r>
          </w:p>
        </w:tc>
        <w:tc>
          <w:tcPr>
            <w:tcW w:w="1725" w:type="dxa"/>
            <w:tcMar>
              <w:top w:w="0" w:type="dxa"/>
              <w:left w:w="108" w:type="dxa"/>
              <w:bottom w:w="0" w:type="dxa"/>
              <w:right w:w="108" w:type="dxa"/>
            </w:tcMar>
          </w:tcPr>
          <w:p>
            <w:pPr>
              <w:widowControl/>
              <w:spacing w:line="580" w:lineRule="exact"/>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54" w:hRule="exac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60" w:lineRule="exact"/>
              <w:rPr>
                <w:rFonts w:ascii="仿宋_GB2312"/>
                <w:spacing w:val="-10"/>
                <w:sz w:val="24"/>
              </w:rPr>
            </w:pPr>
            <w:r>
              <w:rPr>
                <w:rFonts w:hint="eastAsia" w:ascii="仿宋_GB2312"/>
                <w:spacing w:val="-10"/>
                <w:sz w:val="24"/>
              </w:rPr>
              <w:t>6、加强行业劳动关系协调员、集体协商指导员队伍建设，壮大和谐创建的基本骨干力量。（1分）</w:t>
            </w:r>
          </w:p>
        </w:tc>
        <w:tc>
          <w:tcPr>
            <w:tcW w:w="1725" w:type="dxa"/>
            <w:tcMar>
              <w:top w:w="0" w:type="dxa"/>
              <w:left w:w="108" w:type="dxa"/>
              <w:bottom w:w="0" w:type="dxa"/>
              <w:right w:w="108" w:type="dxa"/>
            </w:tcMar>
          </w:tcPr>
          <w:p>
            <w:pPr>
              <w:widowControl/>
              <w:spacing w:line="580" w:lineRule="exact"/>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89" w:hRule="atLeast"/>
          <w:jc w:val="center"/>
        </w:trPr>
        <w:tc>
          <w:tcPr>
            <w:tcW w:w="2259" w:type="dxa"/>
            <w:vMerge w:val="restart"/>
            <w:vAlign w:val="center"/>
          </w:tcPr>
          <w:p>
            <w:pPr>
              <w:widowControl/>
              <w:spacing w:line="460" w:lineRule="exact"/>
              <w:rPr>
                <w:rFonts w:ascii="仿宋_GB2312"/>
                <w:sz w:val="24"/>
              </w:rPr>
            </w:pPr>
            <w:r>
              <w:rPr>
                <w:rFonts w:hint="eastAsia" w:ascii="仿宋_GB2312"/>
                <w:sz w:val="24"/>
              </w:rPr>
              <w:t>三、劳动关系协调机制建设（30分）</w:t>
            </w: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1、建立行业性集体协商制度，并依法签订行业性集体合同。（5分）行业性集体合同及时报送人力资源社会保障行政部门审查。（2分）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43"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2、行业内企业严格履行行业集体合同，或者在行业集体合同的基础上与职工方进行充分协商，签订企业集体合同或者补充协议，依法报送并有效履行。（3分）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9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3、行业内企业与职工依法规范签订、履行、变更、解除、终止和续订劳动合同并有效履行。新就业形态行业企业依法规范用工，企业招用劳动者，符合确立劳动关系条件的依法订立劳动合同，不完全符合劳动关系情形但企业对新业态劳动者进行劳动过程管理的协商订立书面用工协议。（4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8"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4、行业内企业劳务派遣用工范围和用工比例符合规定，劳动合同依法规范签订及履行，按照同工同酬原则支付劳动报酬。（3分）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4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5、行业内企业依法建立工会组织，行业内企业工会组建率达到100%。（3分）行业内企业职工入会率达到100%。（3分）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4"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6、行业内企业普遍建立职工代表大会制度。（3分）行业内企业规章制度的制定经过民主程序，企业厂务公开制度化、规范化。（2分）符合条件的企业建立职工董事、职工监事制度。（2分）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36" w:hRule="atLeast"/>
          <w:jc w:val="center"/>
        </w:trPr>
        <w:tc>
          <w:tcPr>
            <w:tcW w:w="2259" w:type="dxa"/>
            <w:vMerge w:val="restart"/>
            <w:vAlign w:val="center"/>
          </w:tcPr>
          <w:p>
            <w:pPr>
              <w:widowControl/>
              <w:spacing w:line="460" w:lineRule="exact"/>
              <w:rPr>
                <w:rFonts w:ascii="仿宋_GB2312"/>
                <w:sz w:val="24"/>
              </w:rPr>
            </w:pPr>
            <w:r>
              <w:rPr>
                <w:rFonts w:hint="eastAsia" w:ascii="仿宋_GB2312"/>
                <w:sz w:val="24"/>
              </w:rPr>
              <w:t>四、职工基本权益的维护（30分）</w:t>
            </w: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1、行业内企业全面执行最低工资标准，工资及加班工资支付依法及时规范。（3分）行业内所有企业依法制定工资支付制度，按时足额发放工资。（3分）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2、行业内企业遵守国家工作时间和休息休假规定，履行各项休假制度。（3分）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81"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3、行业内企业遵守女职工和未成年工特殊劳动保护规定，按法律法规定期对女职工、未成年工进行健康检查，无违法使用童工、损害女职工特殊权益和未成年工合法权益的行为。（3分）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0" w:hRule="atLeast"/>
          <w:jc w:val="center"/>
        </w:trPr>
        <w:tc>
          <w:tcPr>
            <w:tcW w:w="2259" w:type="dxa"/>
            <w:vMerge w:val="restart"/>
            <w:vAlign w:val="center"/>
          </w:tcPr>
          <w:p>
            <w:pPr>
              <w:widowControl/>
              <w:spacing w:line="460" w:lineRule="exact"/>
              <w:rPr>
                <w:rFonts w:ascii="仿宋_GB2312"/>
                <w:sz w:val="24"/>
              </w:rPr>
            </w:pPr>
            <w:r>
              <w:rPr>
                <w:rFonts w:hint="eastAsia" w:ascii="仿宋_GB2312"/>
                <w:sz w:val="24"/>
              </w:rPr>
              <w:t>四、职工基本权益的维护（30分）</w:t>
            </w: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4、行业内企业职工作业场所劳动保护措施和劳动安全卫生条件符合国家规定标准的企业达到100%。（3分）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89"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5、行业内企业积极采取措施防范安全生产责任事故和职业危害事故的发生。（2分）行业内企业从事特殊工种人员和技术人员全部持证上岗。（2分）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01"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6、行业内企业依法参加各项社会保险，及时缴纳社会保险费。（3分）无欠缴漏缴社会保险费的情况。（2分）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1"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7、根据行业经济特点，有针对性地开展职工技能培训、职业教育。（2分）行业内企业均组织开展岗位培训，提升职工素质。（2分）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92"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8、行业内企业严格执行就业准入制度，国家规定持《职业资格证书》的工种持证率达到100%。（2分）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81" w:hRule="atLeast"/>
          <w:jc w:val="center"/>
        </w:trPr>
        <w:tc>
          <w:tcPr>
            <w:tcW w:w="2259" w:type="dxa"/>
            <w:vMerge w:val="restart"/>
            <w:vAlign w:val="center"/>
          </w:tcPr>
          <w:p>
            <w:pPr>
              <w:widowControl/>
              <w:spacing w:line="460" w:lineRule="exact"/>
              <w:rPr>
                <w:rFonts w:ascii="仿宋_GB2312"/>
                <w:sz w:val="24"/>
              </w:rPr>
            </w:pPr>
            <w:r>
              <w:rPr>
                <w:rFonts w:hint="eastAsia" w:ascii="仿宋_GB2312"/>
                <w:sz w:val="24"/>
              </w:rPr>
              <w:t>五、劳动关系矛盾调处机制建设（10分）</w:t>
            </w: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1、行业组织内部建立维权服务机制，建立行业劳动争议调解组织。（2分）建立电话、网络信箱及手机短信申诉等多渠道信息沟通机制、职工诉求机制与协调联动机制，能及时协调解决企业和职工合法合理的诉求，及时处理劳资矛盾。（3分）</w:t>
            </w:r>
            <w:r>
              <w:rPr>
                <w:rFonts w:hint="eastAsia" w:ascii="仿宋_GB2312"/>
                <w:sz w:val="24"/>
              </w:rPr>
              <w:tab/>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2、行业内规模企业普遍建立劳动争议调解委员会和内部劳动争议协商调解机制。（5分）</w:t>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restart"/>
            <w:vAlign w:val="center"/>
          </w:tcPr>
          <w:p>
            <w:pPr>
              <w:widowControl/>
              <w:spacing w:line="460" w:lineRule="exact"/>
              <w:rPr>
                <w:rFonts w:ascii="仿宋_GB2312"/>
                <w:sz w:val="24"/>
              </w:rPr>
            </w:pPr>
            <w:r>
              <w:rPr>
                <w:rFonts w:hint="eastAsia" w:ascii="仿宋_GB2312"/>
                <w:sz w:val="24"/>
              </w:rPr>
              <w:t>六、一票否决项目</w:t>
            </w: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1、行业内企业当年发生恶性劳动保障违法犯罪案件。（-100分）</w:t>
            </w:r>
            <w:r>
              <w:rPr>
                <w:rFonts w:hint="eastAsia" w:ascii="仿宋_GB2312"/>
                <w:sz w:val="24"/>
              </w:rPr>
              <w:tab/>
            </w:r>
            <w:r>
              <w:rPr>
                <w:rFonts w:hint="eastAsia" w:ascii="仿宋_GB2312"/>
                <w:sz w:val="24"/>
              </w:rPr>
              <w:tab/>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2、行业内企业当年发生重大安全责任事故或职业病危害事故。（-100分）</w:t>
            </w:r>
            <w:r>
              <w:rPr>
                <w:rFonts w:hint="eastAsia" w:ascii="仿宋_GB2312"/>
                <w:sz w:val="24"/>
              </w:rPr>
              <w:tab/>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3、行业内企业当年发生因恶意欠薪导致的重大集体劳动争议案件。（-100分）</w:t>
            </w:r>
            <w:r>
              <w:rPr>
                <w:rFonts w:hint="eastAsia" w:ascii="仿宋_GB2312"/>
                <w:sz w:val="24"/>
              </w:rPr>
              <w:tab/>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4、未开展行业集体协商、签订行业集体合同。（-100分）</w:t>
            </w:r>
            <w:r>
              <w:rPr>
                <w:rFonts w:hint="eastAsia" w:ascii="仿宋_GB2312"/>
                <w:sz w:val="24"/>
              </w:rPr>
              <w:tab/>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2259" w:type="dxa"/>
            <w:vMerge w:val="continue"/>
            <w:vAlign w:val="center"/>
          </w:tcPr>
          <w:p>
            <w:pPr>
              <w:widowControl/>
              <w:spacing w:line="460" w:lineRule="exact"/>
              <w:rPr>
                <w:rFonts w:ascii="仿宋_GB2312"/>
                <w:sz w:val="24"/>
              </w:rPr>
            </w:pPr>
          </w:p>
        </w:tc>
        <w:tc>
          <w:tcPr>
            <w:tcW w:w="9884" w:type="dxa"/>
            <w:tcMar>
              <w:top w:w="0" w:type="dxa"/>
              <w:left w:w="108" w:type="dxa"/>
              <w:bottom w:w="0" w:type="dxa"/>
              <w:right w:w="108" w:type="dxa"/>
            </w:tcMar>
            <w:vAlign w:val="center"/>
          </w:tcPr>
          <w:p>
            <w:pPr>
              <w:widowControl/>
              <w:spacing w:line="300" w:lineRule="exact"/>
              <w:rPr>
                <w:rFonts w:ascii="仿宋_GB2312"/>
                <w:sz w:val="24"/>
              </w:rPr>
            </w:pPr>
            <w:r>
              <w:rPr>
                <w:rFonts w:hint="eastAsia" w:ascii="仿宋_GB2312"/>
                <w:sz w:val="24"/>
              </w:rPr>
              <w:t>5、行业内企业当年发生造成严重社会影响的群体性事件。（-100分）</w:t>
            </w:r>
            <w:r>
              <w:rPr>
                <w:rFonts w:hint="eastAsia" w:ascii="仿宋_GB2312"/>
                <w:sz w:val="24"/>
              </w:rPr>
              <w:tab/>
            </w:r>
          </w:p>
        </w:tc>
        <w:tc>
          <w:tcPr>
            <w:tcW w:w="1725" w:type="dxa"/>
            <w:tcMar>
              <w:top w:w="0" w:type="dxa"/>
              <w:left w:w="108" w:type="dxa"/>
              <w:bottom w:w="0" w:type="dxa"/>
              <w:right w:w="108" w:type="dxa"/>
            </w:tcMar>
          </w:tcPr>
          <w:p>
            <w:pPr>
              <w:widowControl/>
              <w:spacing w:line="460" w:lineRule="exact"/>
              <w:jc w:val="center"/>
              <w:rPr>
                <w:rFonts w:ascii="仿宋_GB2312"/>
                <w:sz w:val="24"/>
              </w:rPr>
            </w:pPr>
          </w:p>
        </w:tc>
      </w:tr>
    </w:tbl>
    <w:p>
      <w:pPr>
        <w:spacing w:line="567" w:lineRule="exact"/>
        <w:rPr>
          <w:rFonts w:ascii="仿宋_GB2312"/>
          <w:sz w:val="24"/>
        </w:rPr>
      </w:pPr>
      <w:r>
        <w:rPr>
          <w:rFonts w:hint="eastAsia" w:ascii="仿宋_GB2312"/>
          <w:sz w:val="24"/>
        </w:rPr>
        <w:t>备注：行业自评分在80分及以上的，可向相应的协调劳动关系三方委员会申报和谐劳动关系行业。</w:t>
      </w:r>
    </w:p>
    <w:p>
      <w:pPr>
        <w:spacing w:line="567" w:lineRule="exact"/>
        <w:rPr>
          <w:rFonts w:eastAsia="方正仿宋_GBK"/>
          <w:szCs w:val="32"/>
        </w:rPr>
        <w:sectPr>
          <w:footerReference r:id="rId3" w:type="default"/>
          <w:pgSz w:w="16838" w:h="11906" w:orient="landscape"/>
          <w:pgMar w:top="1588" w:right="2098" w:bottom="1474" w:left="1985" w:header="851" w:footer="992" w:gutter="0"/>
          <w:cols w:space="425" w:num="1"/>
          <w:docGrid w:linePitch="312" w:charSpace="0"/>
        </w:sectPr>
      </w:pPr>
    </w:p>
    <w:p>
      <w:pPr>
        <w:spacing w:line="560" w:lineRule="exact"/>
        <w:ind w:firstLine="600" w:firstLineChars="200"/>
        <w:jc w:val="right"/>
        <w:rPr>
          <w:rFonts w:ascii="仿宋_GB2312" w:eastAsia="仿宋_GB2312"/>
          <w:sz w:val="30"/>
          <w:szCs w:val="30"/>
        </w:rPr>
      </w:pPr>
    </w:p>
    <w:p>
      <w:pPr>
        <w:spacing w:line="560" w:lineRule="exact"/>
        <w:ind w:firstLine="600" w:firstLineChars="200"/>
        <w:jc w:val="right"/>
        <w:rPr>
          <w:rFonts w:ascii="仿宋_GB2312" w:eastAsia="仿宋_GB2312"/>
          <w:sz w:val="30"/>
          <w:szCs w:val="30"/>
        </w:rPr>
      </w:pPr>
    </w:p>
    <w:p>
      <w:pPr>
        <w:spacing w:line="560" w:lineRule="exact"/>
        <w:ind w:firstLine="600" w:firstLineChars="200"/>
        <w:jc w:val="right"/>
        <w:rPr>
          <w:rFonts w:ascii="仿宋_GB2312" w:eastAsia="仿宋_GB2312"/>
          <w:sz w:val="30"/>
          <w:szCs w:val="30"/>
        </w:rPr>
      </w:pPr>
    </w:p>
    <w:p>
      <w:pPr>
        <w:spacing w:line="560" w:lineRule="exact"/>
        <w:ind w:firstLine="600" w:firstLineChars="200"/>
        <w:jc w:val="right"/>
        <w:rPr>
          <w:rFonts w:ascii="仿宋_GB2312" w:eastAsia="仿宋_GB2312"/>
          <w:sz w:val="30"/>
          <w:szCs w:val="30"/>
        </w:rPr>
      </w:pPr>
    </w:p>
    <w:p>
      <w:pPr>
        <w:spacing w:line="560" w:lineRule="exact"/>
        <w:ind w:firstLine="600" w:firstLineChars="200"/>
        <w:jc w:val="right"/>
        <w:rPr>
          <w:rFonts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hint="eastAsia" w:ascii="仿宋_GB2312" w:eastAsia="仿宋_GB2312"/>
          <w:sz w:val="30"/>
          <w:szCs w:val="30"/>
        </w:rPr>
      </w:pPr>
    </w:p>
    <w:p>
      <w:pPr>
        <w:spacing w:line="560" w:lineRule="exact"/>
        <w:ind w:firstLine="600" w:firstLineChars="200"/>
        <w:jc w:val="right"/>
        <w:rPr>
          <w:rFonts w:ascii="仿宋_GB2312" w:eastAsia="仿宋_GB2312"/>
          <w:sz w:val="30"/>
          <w:szCs w:val="30"/>
        </w:rPr>
      </w:pPr>
    </w:p>
    <w:p>
      <w:pPr>
        <w:spacing w:line="560" w:lineRule="exact"/>
        <w:ind w:firstLine="600" w:firstLineChars="200"/>
        <w:jc w:val="right"/>
        <w:rPr>
          <w:rFonts w:ascii="仿宋_GB2312" w:eastAsia="仿宋_GB2312"/>
          <w:sz w:val="30"/>
          <w:szCs w:val="30"/>
        </w:rPr>
      </w:pPr>
    </w:p>
    <w:p>
      <w:pPr>
        <w:spacing w:line="360" w:lineRule="exact"/>
        <w:rPr>
          <w:rFonts w:ascii="仿宋_GB2312" w:eastAsia="仿宋_GB2312"/>
          <w:sz w:val="30"/>
          <w:szCs w:val="30"/>
          <w:u w:val="single"/>
        </w:rPr>
      </w:pPr>
      <w:r>
        <w:rPr>
          <w:rFonts w:hint="eastAsia" w:ascii="黑体" w:eastAsia="黑体"/>
          <w:bCs/>
          <w:sz w:val="30"/>
          <w:szCs w:val="30"/>
          <w:u w:val="single"/>
        </w:rPr>
        <w:t xml:space="preserve">      </w:t>
      </w:r>
      <w:r>
        <w:rPr>
          <w:rFonts w:hint="eastAsia" w:ascii="仿宋_GB2312" w:eastAsia="仿宋_GB2312"/>
          <w:sz w:val="30"/>
          <w:szCs w:val="30"/>
          <w:u w:val="single"/>
        </w:rPr>
        <w:t xml:space="preserve">                                                         </w:t>
      </w:r>
    </w:p>
    <w:p>
      <w:pPr>
        <w:spacing w:line="360" w:lineRule="exact"/>
        <w:rPr>
          <w:rFonts w:ascii="仿宋_GB2312" w:eastAsia="仿宋_GB2312"/>
          <w:sz w:val="28"/>
          <w:szCs w:val="28"/>
          <w:u w:val="single"/>
        </w:rPr>
      </w:pPr>
      <w:r>
        <w:rPr>
          <w:rFonts w:hint="eastAsia" w:ascii="仿宋_GB2312" w:eastAsia="仿宋_GB2312"/>
          <w:sz w:val="28"/>
          <w:szCs w:val="28"/>
          <w:u w:val="single"/>
          <w:lang w:eastAsia="zh-CN"/>
        </w:rPr>
        <w:t>高安</w:t>
      </w:r>
      <w:r>
        <w:rPr>
          <w:rFonts w:hint="eastAsia" w:ascii="仿宋_GB2312" w:eastAsia="仿宋_GB2312"/>
          <w:sz w:val="28"/>
          <w:szCs w:val="28"/>
          <w:u w:val="single"/>
        </w:rPr>
        <w:t>市人力资源和社会保障局                    2023年</w:t>
      </w:r>
      <w:r>
        <w:rPr>
          <w:rFonts w:hint="eastAsia" w:ascii="仿宋_GB2312" w:eastAsia="仿宋_GB2312"/>
          <w:sz w:val="28"/>
          <w:szCs w:val="28"/>
          <w:u w:val="single"/>
          <w:lang w:val="en-US" w:eastAsia="zh-CN"/>
        </w:rPr>
        <w:t>7</w:t>
      </w:r>
      <w:r>
        <w:rPr>
          <w:rFonts w:hint="eastAsia" w:ascii="仿宋_GB2312" w:eastAsia="仿宋_GB2312"/>
          <w:sz w:val="28"/>
          <w:szCs w:val="28"/>
          <w:u w:val="single"/>
        </w:rPr>
        <w:t>月</w:t>
      </w:r>
      <w:r>
        <w:rPr>
          <w:rFonts w:hint="eastAsia" w:ascii="仿宋_GB2312" w:eastAsia="仿宋_GB2312"/>
          <w:sz w:val="28"/>
          <w:szCs w:val="28"/>
          <w:u w:val="single"/>
          <w:lang w:val="en-US" w:eastAsia="zh-CN"/>
        </w:rPr>
        <w:t>3</w:t>
      </w:r>
      <w:r>
        <w:rPr>
          <w:rFonts w:hint="eastAsia" w:ascii="仿宋_GB2312" w:eastAsia="仿宋_GB2312"/>
          <w:sz w:val="28"/>
          <w:szCs w:val="28"/>
          <w:u w:val="single"/>
        </w:rPr>
        <w:t xml:space="preserve">日印发   </w:t>
      </w:r>
    </w:p>
    <w:sectPr>
      <w:headerReference r:id="rId4" w:type="default"/>
      <w:footerReference r:id="rId5" w:type="default"/>
      <w:footerReference r:id="rId6" w:type="even"/>
      <w:pgSz w:w="11906" w:h="16838"/>
      <w:pgMar w:top="1701" w:right="1247" w:bottom="1134" w:left="1247" w:header="851" w:footer="992"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MingLiU">
    <w:altName w:val="Microsoft JhengHei"/>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小标宋">
    <w:altName w:val="微软雅黑"/>
    <w:panose1 w:val="00000000000000000000"/>
    <w:charset w:val="00"/>
    <w:family w:val="script"/>
    <w:pitch w:val="default"/>
    <w:sig w:usb0="00000000" w:usb1="00000000" w:usb2="00000010" w:usb3="00000000" w:csb0="00040000" w:csb1="00000000"/>
  </w:font>
  <w:font w:name="方正黑体_GBK">
    <w:altName w:val="Arial Unicode MS"/>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1" w:csb1="00000000"/>
  </w:font>
  <w:font w:name="方正仿宋_GBK">
    <w:altName w:val="微软雅黑"/>
    <w:panose1 w:val="00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Microsoft JhengHei">
    <w:panose1 w:val="020B0604030504040204"/>
    <w:charset w:val="88"/>
    <w:family w:val="auto"/>
    <w:pitch w:val="default"/>
    <w:sig w:usb0="00000087" w:usb1="28AF4000" w:usb2="00000016" w:usb3="00000000" w:csb0="00100009"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rPr>
        <w:rFonts w:ascii="宋体" w:hAnsi="宋体"/>
        <w:sz w:val="28"/>
        <w:szCs w:val="28"/>
      </w:rPr>
    </w:pPr>
    <w:r>
      <w:rPr>
        <w:rFonts w:ascii="宋体" w:hAnsi="宋体"/>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3"/>
                            <w:rPr>
                              <w:rStyle w:val="8"/>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Style w:val="8"/>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8"/>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TK2dTWAQAAsQ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qlC5GWYcBKncfZkxWE3TIR2&#10;rj0hzx4XoqEW958S/cmi3ml3ZiPMxm42Dj6ofZeXK/UC/+EQcbg8c+owwiLX5OBLZtbT1qVVeern&#10;qsc/bfM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HTK2dTWAQAAsQMAAA4AAAAAAAAAAQAg&#10;AAAAIgEAAGRycy9lMm9Eb2MueG1sUEsFBgAAAAAGAAYAWQEAAGoFAAAAAA==&#10;">
              <v:fill on="f" focussize="0,0"/>
              <v:stroke on="f" weight="1.25pt"/>
              <v:imagedata o:title=""/>
              <o:lock v:ext="edit" aspectratio="f"/>
              <v:textbox inset="0mm,0mm,0mm,0mm" style="mso-fit-shape-to-text:t;">
                <w:txbxContent>
                  <w:p>
                    <w:pPr>
                      <w:pStyle w:val="3"/>
                      <w:rPr>
                        <w:rStyle w:val="8"/>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Style w:val="8"/>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8"/>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sz w:val="28"/>
        <w:szCs w:val="28"/>
      </w:rPr>
    </w:pPr>
    <w:r>
      <w:rPr>
        <w:rStyle w:val="8"/>
        <w:sz w:val="28"/>
        <w:szCs w:val="28"/>
      </w:rPr>
      <w:fldChar w:fldCharType="begin"/>
    </w:r>
    <w:r>
      <w:rPr>
        <w:rStyle w:val="8"/>
        <w:sz w:val="28"/>
        <w:szCs w:val="28"/>
      </w:rPr>
      <w:instrText xml:space="preserve">PAGE  </w:instrText>
    </w:r>
    <w:r>
      <w:rPr>
        <w:rStyle w:val="8"/>
        <w:sz w:val="28"/>
        <w:szCs w:val="28"/>
      </w:rPr>
      <w:fldChar w:fldCharType="separate"/>
    </w:r>
    <w:r>
      <w:rPr>
        <w:rStyle w:val="8"/>
        <w:sz w:val="28"/>
        <w:szCs w:val="28"/>
      </w:rPr>
      <w:t>- 23 -</w:t>
    </w:r>
    <w:r>
      <w:rPr>
        <w:rStyle w:val="8"/>
        <w:sz w:val="28"/>
        <w:szCs w:val="28"/>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927A35"/>
    <w:multiLevelType w:val="multilevel"/>
    <w:tmpl w:val="5D927A35"/>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B55DC2"/>
    <w:multiLevelType w:val="multilevel"/>
    <w:tmpl w:val="60B55DC2"/>
    <w:lvl w:ilvl="0" w:tentative="0">
      <w:start w:val="1"/>
      <w:numFmt w:val="upperLetter"/>
      <w:pStyle w:val="10"/>
      <w:lvlText w:val="%1"/>
      <w:lvlJc w:val="left"/>
      <w:pPr>
        <w:tabs>
          <w:tab w:val="left" w:pos="0"/>
        </w:tabs>
        <w:ind w:left="0" w:hanging="425"/>
      </w:pPr>
      <w:rPr>
        <w:rFonts w:hint="eastAsia"/>
      </w:rPr>
    </w:lvl>
    <w:lvl w:ilvl="1" w:tentative="0">
      <w:start w:val="1"/>
      <w:numFmt w:val="decimal"/>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xNmEyY2VjY2ExZjdiMjFjNjQ2NTg4NmQ0MTllMGYifQ=="/>
  </w:docVars>
  <w:rsids>
    <w:rsidRoot w:val="009B6BA1"/>
    <w:rsid w:val="00014FE8"/>
    <w:rsid w:val="0002091D"/>
    <w:rsid w:val="00032187"/>
    <w:rsid w:val="000367C8"/>
    <w:rsid w:val="00044C3F"/>
    <w:rsid w:val="00052F8F"/>
    <w:rsid w:val="00055BA0"/>
    <w:rsid w:val="00077A38"/>
    <w:rsid w:val="000857D0"/>
    <w:rsid w:val="000A73B2"/>
    <w:rsid w:val="000C3F89"/>
    <w:rsid w:val="000D3D36"/>
    <w:rsid w:val="00101087"/>
    <w:rsid w:val="00115EB9"/>
    <w:rsid w:val="00132538"/>
    <w:rsid w:val="0015154A"/>
    <w:rsid w:val="00151E30"/>
    <w:rsid w:val="00160335"/>
    <w:rsid w:val="0016097D"/>
    <w:rsid w:val="0016285E"/>
    <w:rsid w:val="00167570"/>
    <w:rsid w:val="001820EB"/>
    <w:rsid w:val="001923AF"/>
    <w:rsid w:val="001C57D7"/>
    <w:rsid w:val="001C5B27"/>
    <w:rsid w:val="001C69C5"/>
    <w:rsid w:val="001D07D4"/>
    <w:rsid w:val="00200A90"/>
    <w:rsid w:val="00217C83"/>
    <w:rsid w:val="002310DE"/>
    <w:rsid w:val="00240D8A"/>
    <w:rsid w:val="00255E7D"/>
    <w:rsid w:val="0026724D"/>
    <w:rsid w:val="00273B00"/>
    <w:rsid w:val="002777C9"/>
    <w:rsid w:val="00283A6D"/>
    <w:rsid w:val="00284578"/>
    <w:rsid w:val="00286E24"/>
    <w:rsid w:val="00294498"/>
    <w:rsid w:val="002A78CB"/>
    <w:rsid w:val="002B2C9F"/>
    <w:rsid w:val="002E0867"/>
    <w:rsid w:val="002F19EA"/>
    <w:rsid w:val="003216DB"/>
    <w:rsid w:val="0032224A"/>
    <w:rsid w:val="00327F3C"/>
    <w:rsid w:val="003422D9"/>
    <w:rsid w:val="00392A6F"/>
    <w:rsid w:val="00392D69"/>
    <w:rsid w:val="003A2124"/>
    <w:rsid w:val="003A4F2A"/>
    <w:rsid w:val="003A6B68"/>
    <w:rsid w:val="003B456B"/>
    <w:rsid w:val="003C071B"/>
    <w:rsid w:val="003C7D7D"/>
    <w:rsid w:val="003D338E"/>
    <w:rsid w:val="003D4043"/>
    <w:rsid w:val="003D75B0"/>
    <w:rsid w:val="003E6A2D"/>
    <w:rsid w:val="00425DDA"/>
    <w:rsid w:val="00430FD8"/>
    <w:rsid w:val="0045786E"/>
    <w:rsid w:val="00460605"/>
    <w:rsid w:val="004743F6"/>
    <w:rsid w:val="004967F9"/>
    <w:rsid w:val="004A55ED"/>
    <w:rsid w:val="004C2DC7"/>
    <w:rsid w:val="004E196F"/>
    <w:rsid w:val="004F1AC0"/>
    <w:rsid w:val="00501459"/>
    <w:rsid w:val="0051115A"/>
    <w:rsid w:val="005174CF"/>
    <w:rsid w:val="00576E16"/>
    <w:rsid w:val="00591C39"/>
    <w:rsid w:val="00593829"/>
    <w:rsid w:val="005A415C"/>
    <w:rsid w:val="005C0682"/>
    <w:rsid w:val="005C3BBD"/>
    <w:rsid w:val="005F542D"/>
    <w:rsid w:val="00604613"/>
    <w:rsid w:val="00610306"/>
    <w:rsid w:val="00617A97"/>
    <w:rsid w:val="006372B4"/>
    <w:rsid w:val="00652DE8"/>
    <w:rsid w:val="006610D6"/>
    <w:rsid w:val="00671602"/>
    <w:rsid w:val="00672BB2"/>
    <w:rsid w:val="00675056"/>
    <w:rsid w:val="00683ED0"/>
    <w:rsid w:val="00692CE6"/>
    <w:rsid w:val="0069337E"/>
    <w:rsid w:val="006B7F70"/>
    <w:rsid w:val="006E07D9"/>
    <w:rsid w:val="007066CA"/>
    <w:rsid w:val="007132C5"/>
    <w:rsid w:val="0071419E"/>
    <w:rsid w:val="0071776C"/>
    <w:rsid w:val="007639B0"/>
    <w:rsid w:val="007639C5"/>
    <w:rsid w:val="0077638D"/>
    <w:rsid w:val="007908AF"/>
    <w:rsid w:val="007917A0"/>
    <w:rsid w:val="00793B8C"/>
    <w:rsid w:val="007A2F62"/>
    <w:rsid w:val="007C30D9"/>
    <w:rsid w:val="007C5940"/>
    <w:rsid w:val="007D15C1"/>
    <w:rsid w:val="007D649C"/>
    <w:rsid w:val="007E2019"/>
    <w:rsid w:val="007F4677"/>
    <w:rsid w:val="007F5CB2"/>
    <w:rsid w:val="008156F2"/>
    <w:rsid w:val="008309E0"/>
    <w:rsid w:val="0085764F"/>
    <w:rsid w:val="00864303"/>
    <w:rsid w:val="008812C5"/>
    <w:rsid w:val="008828E8"/>
    <w:rsid w:val="00885318"/>
    <w:rsid w:val="00896EAF"/>
    <w:rsid w:val="008B14EF"/>
    <w:rsid w:val="008B4D0C"/>
    <w:rsid w:val="008C1887"/>
    <w:rsid w:val="008C3EB8"/>
    <w:rsid w:val="008F0C55"/>
    <w:rsid w:val="0090225C"/>
    <w:rsid w:val="00935E15"/>
    <w:rsid w:val="00942CE1"/>
    <w:rsid w:val="00947338"/>
    <w:rsid w:val="00947AE6"/>
    <w:rsid w:val="00963DEE"/>
    <w:rsid w:val="00967363"/>
    <w:rsid w:val="0098124B"/>
    <w:rsid w:val="0099056D"/>
    <w:rsid w:val="009B1706"/>
    <w:rsid w:val="009B6BA1"/>
    <w:rsid w:val="009D1994"/>
    <w:rsid w:val="009D38C9"/>
    <w:rsid w:val="009E36DB"/>
    <w:rsid w:val="009E6DF7"/>
    <w:rsid w:val="00A02595"/>
    <w:rsid w:val="00A55AC0"/>
    <w:rsid w:val="00A753E4"/>
    <w:rsid w:val="00AD3DC8"/>
    <w:rsid w:val="00AD44C1"/>
    <w:rsid w:val="00AE512B"/>
    <w:rsid w:val="00AE546A"/>
    <w:rsid w:val="00B6634C"/>
    <w:rsid w:val="00B83A8C"/>
    <w:rsid w:val="00BD624A"/>
    <w:rsid w:val="00BE2557"/>
    <w:rsid w:val="00C2389C"/>
    <w:rsid w:val="00C26F15"/>
    <w:rsid w:val="00C2785B"/>
    <w:rsid w:val="00C334C7"/>
    <w:rsid w:val="00C72332"/>
    <w:rsid w:val="00C7246E"/>
    <w:rsid w:val="00C9711A"/>
    <w:rsid w:val="00CA3AD4"/>
    <w:rsid w:val="00CB0AC0"/>
    <w:rsid w:val="00CB596E"/>
    <w:rsid w:val="00CE050A"/>
    <w:rsid w:val="00D072C9"/>
    <w:rsid w:val="00D07388"/>
    <w:rsid w:val="00D07CF1"/>
    <w:rsid w:val="00D15C45"/>
    <w:rsid w:val="00D5553D"/>
    <w:rsid w:val="00D620A9"/>
    <w:rsid w:val="00D641EF"/>
    <w:rsid w:val="00D75F54"/>
    <w:rsid w:val="00DA10E5"/>
    <w:rsid w:val="00DA3DF5"/>
    <w:rsid w:val="00DB0C6A"/>
    <w:rsid w:val="00E064E4"/>
    <w:rsid w:val="00E24C0E"/>
    <w:rsid w:val="00E51BC7"/>
    <w:rsid w:val="00E744D4"/>
    <w:rsid w:val="00EA2EB6"/>
    <w:rsid w:val="00EA3F16"/>
    <w:rsid w:val="00EA6BF1"/>
    <w:rsid w:val="00EB06D4"/>
    <w:rsid w:val="00EC3779"/>
    <w:rsid w:val="00F112F6"/>
    <w:rsid w:val="00F17413"/>
    <w:rsid w:val="00F26BAF"/>
    <w:rsid w:val="00F312BB"/>
    <w:rsid w:val="00F32C9D"/>
    <w:rsid w:val="00F41A61"/>
    <w:rsid w:val="00F619AB"/>
    <w:rsid w:val="00F628F7"/>
    <w:rsid w:val="00F6478B"/>
    <w:rsid w:val="00F73D03"/>
    <w:rsid w:val="00F772B4"/>
    <w:rsid w:val="00F95007"/>
    <w:rsid w:val="00FA2536"/>
    <w:rsid w:val="00FC7520"/>
    <w:rsid w:val="00FD5923"/>
    <w:rsid w:val="00FE32FE"/>
    <w:rsid w:val="04C66C1A"/>
    <w:rsid w:val="09B07E99"/>
    <w:rsid w:val="126807AF"/>
    <w:rsid w:val="1351449B"/>
    <w:rsid w:val="148E215F"/>
    <w:rsid w:val="1B9E3FF5"/>
    <w:rsid w:val="1DAD585F"/>
    <w:rsid w:val="20D3029D"/>
    <w:rsid w:val="21DE514B"/>
    <w:rsid w:val="21F04E7F"/>
    <w:rsid w:val="246F29D3"/>
    <w:rsid w:val="247C0C4C"/>
    <w:rsid w:val="27FF406E"/>
    <w:rsid w:val="2CF27769"/>
    <w:rsid w:val="2D4E7724"/>
    <w:rsid w:val="2DE0049D"/>
    <w:rsid w:val="2EE61FCD"/>
    <w:rsid w:val="31932498"/>
    <w:rsid w:val="31D06F21"/>
    <w:rsid w:val="32377571"/>
    <w:rsid w:val="34A42225"/>
    <w:rsid w:val="34F860CC"/>
    <w:rsid w:val="367C4B66"/>
    <w:rsid w:val="36851BE2"/>
    <w:rsid w:val="38A345A1"/>
    <w:rsid w:val="39F33306"/>
    <w:rsid w:val="412768F5"/>
    <w:rsid w:val="43A37B4B"/>
    <w:rsid w:val="45097E82"/>
    <w:rsid w:val="47CF0F0F"/>
    <w:rsid w:val="4B5005B9"/>
    <w:rsid w:val="4EC217CD"/>
    <w:rsid w:val="4F4977F9"/>
    <w:rsid w:val="516B614C"/>
    <w:rsid w:val="544E225B"/>
    <w:rsid w:val="57032983"/>
    <w:rsid w:val="57272B15"/>
    <w:rsid w:val="577E46FF"/>
    <w:rsid w:val="5C121B82"/>
    <w:rsid w:val="60310561"/>
    <w:rsid w:val="64CA4AE0"/>
    <w:rsid w:val="64D70FAB"/>
    <w:rsid w:val="652A37D1"/>
    <w:rsid w:val="66684A7D"/>
    <w:rsid w:val="68FD2B71"/>
    <w:rsid w:val="6A731776"/>
    <w:rsid w:val="6BF16DF6"/>
    <w:rsid w:val="6DC9002B"/>
    <w:rsid w:val="6E697118"/>
    <w:rsid w:val="72784BE7"/>
    <w:rsid w:val="729624A5"/>
    <w:rsid w:val="753C02EF"/>
    <w:rsid w:val="77DB72D8"/>
    <w:rsid w:val="789C633C"/>
    <w:rsid w:val="7A8F43AA"/>
    <w:rsid w:val="7BB120FE"/>
    <w:rsid w:val="7BFC41AE"/>
    <w:rsid w:val="7C501917"/>
    <w:rsid w:val="7D1E37C3"/>
    <w:rsid w:val="7D697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ascii="Calibri" w:hAnsi="Calibri"/>
      <w:kern w:val="0"/>
      <w:sz w:val="24"/>
    </w:rPr>
  </w:style>
  <w:style w:type="character" w:styleId="8">
    <w:name w:val="page number"/>
    <w:basedOn w:val="7"/>
    <w:qFormat/>
    <w:uiPriority w:val="0"/>
  </w:style>
  <w:style w:type="character" w:styleId="9">
    <w:name w:val="Hyperlink"/>
    <w:basedOn w:val="7"/>
    <w:qFormat/>
    <w:uiPriority w:val="0"/>
    <w:rPr>
      <w:color w:val="0000FF"/>
      <w:u w:val="single"/>
    </w:rPr>
  </w:style>
  <w:style w:type="paragraph" w:customStyle="1" w:styleId="10">
    <w:name w:val="附录表标号"/>
    <w:next w:val="1"/>
    <w:qFormat/>
    <w:uiPriority w:val="0"/>
    <w:pPr>
      <w:widowControl w:val="0"/>
      <w:numPr>
        <w:ilvl w:val="0"/>
        <w:numId w:val="1"/>
      </w:numPr>
      <w:tabs>
        <w:tab w:val="clear" w:pos="0"/>
      </w:tabs>
      <w:spacing w:line="14" w:lineRule="exact"/>
      <w:ind w:left="811" w:hanging="448"/>
      <w:jc w:val="center"/>
      <w:outlineLvl w:val="0"/>
    </w:pPr>
    <w:rPr>
      <w:rFonts w:ascii="Times New Roman" w:hAnsi="Times New Roman" w:eastAsia="仿宋_GB2312" w:cs="Times New Roman"/>
      <w:color w:val="FFFFFF"/>
      <w:kern w:val="2"/>
      <w:sz w:val="32"/>
      <w:szCs w:val="32"/>
      <w:lang w:val="en-US" w:eastAsia="zh-CN" w:bidi="ar-SA"/>
    </w:rPr>
  </w:style>
  <w:style w:type="character" w:customStyle="1" w:styleId="11">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23452;&#20154;&#31038;&#23383;%5b2022%5d%20%20&#21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宜人社字[2022]  号.dotx</Template>
  <Company>JXYC</Company>
  <Pages>23</Pages>
  <Words>12104</Words>
  <Characters>12520</Characters>
  <Lines>96</Lines>
  <Paragraphs>27</Paragraphs>
  <TotalTime>6</TotalTime>
  <ScaleCrop>false</ScaleCrop>
  <LinksUpToDate>false</LinksUpToDate>
  <CharactersWithSpaces>12671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2023-06-29T07:39:00Z</dcterms:created>
  <dc:creator>Administrator</dc:creator>
  <cp:lastModifiedBy>Administrator</cp:lastModifiedBy>
  <cp:lastPrinted>2022-01-10T02:59:00Z</cp:lastPrinted>
  <dcterms:modified xsi:type="dcterms:W3CDTF">2023-07-17T02:10:19Z</dcterms:modified>
  <dc:title>通 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B82715F1868A49F486ED5BFB4C3D3499_13</vt:lpwstr>
  </property>
</Properties>
</file>