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0FA14E">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360" w:lineRule="auto"/>
        <w:ind w:left="0" w:right="0" w:firstLine="560" w:firstLineChars="200"/>
        <w:jc w:val="left"/>
        <w:textAlignment w:val="auto"/>
      </w:pPr>
      <w:r>
        <w:rPr>
          <w:rFonts w:hint="eastAsia" w:ascii="宋体" w:hAnsi="宋体" w:eastAsia="宋体" w:cs="宋体"/>
          <w:kern w:val="0"/>
          <w:sz w:val="28"/>
          <w:szCs w:val="28"/>
          <w:lang w:val="en-US" w:eastAsia="zh-CN" w:bidi="ar"/>
        </w:rPr>
        <w:t>本报告依据《中华人民共和国政府信息公开条例》（国务院令第</w:t>
      </w:r>
      <w:r>
        <w:rPr>
          <w:rFonts w:ascii="Calibri" w:hAnsi="Calibri" w:cs="Calibri" w:eastAsiaTheme="minorEastAsia"/>
          <w:kern w:val="0"/>
          <w:sz w:val="28"/>
          <w:szCs w:val="28"/>
          <w:lang w:val="en-US" w:eastAsia="zh-CN" w:bidi="ar"/>
        </w:rPr>
        <w:t>711</w:t>
      </w:r>
      <w:r>
        <w:rPr>
          <w:rFonts w:hint="eastAsia" w:ascii="宋体" w:hAnsi="宋体" w:eastAsia="宋体" w:cs="宋体"/>
          <w:kern w:val="0"/>
          <w:sz w:val="28"/>
          <w:szCs w:val="28"/>
          <w:lang w:val="en-US" w:eastAsia="zh-CN" w:bidi="ar"/>
        </w:rPr>
        <w:t>号，以下简称新《条例》）和《国务院办公厅政府信息与政务公开办公室关于印发中华人民共和国政府信息公开工作年度报告格式的通知》（国办公开办函〔</w:t>
      </w:r>
      <w:r>
        <w:rPr>
          <w:rFonts w:hint="default" w:ascii="Calibri" w:hAnsi="Calibri" w:cs="Calibri" w:eastAsiaTheme="minorEastAsia"/>
          <w:kern w:val="0"/>
          <w:sz w:val="28"/>
          <w:szCs w:val="28"/>
          <w:lang w:val="en-US" w:eastAsia="zh-CN" w:bidi="ar"/>
        </w:rPr>
        <w:t>2021</w:t>
      </w:r>
      <w:r>
        <w:rPr>
          <w:rFonts w:hint="eastAsia" w:ascii="宋体" w:hAnsi="宋体" w:eastAsia="宋体" w:cs="宋体"/>
          <w:kern w:val="0"/>
          <w:sz w:val="28"/>
          <w:szCs w:val="28"/>
          <w:lang w:val="en-US" w:eastAsia="zh-CN" w:bidi="ar"/>
        </w:rPr>
        <w:t>〕</w:t>
      </w:r>
      <w:r>
        <w:rPr>
          <w:rFonts w:hint="default" w:ascii="Calibri" w:hAnsi="Calibri" w:cs="Calibri" w:eastAsiaTheme="minorEastAsia"/>
          <w:kern w:val="0"/>
          <w:sz w:val="28"/>
          <w:szCs w:val="28"/>
          <w:lang w:val="en-US" w:eastAsia="zh-CN" w:bidi="ar"/>
        </w:rPr>
        <w:t>30</w:t>
      </w:r>
      <w:r>
        <w:rPr>
          <w:rFonts w:hint="eastAsia" w:ascii="宋体" w:hAnsi="宋体" w:eastAsia="宋体" w:cs="宋体"/>
          <w:kern w:val="0"/>
          <w:sz w:val="28"/>
          <w:szCs w:val="28"/>
          <w:lang w:val="en-US" w:eastAsia="zh-CN" w:bidi="ar"/>
        </w:rPr>
        <w:t>号）文件要求编制而成。本报告中所列数据的统计期限自</w:t>
      </w:r>
      <w:r>
        <w:rPr>
          <w:rFonts w:hint="default" w:ascii="Calibri" w:hAnsi="Calibri" w:cs="Calibri" w:eastAsiaTheme="minorEastAsia"/>
          <w:kern w:val="0"/>
          <w:sz w:val="28"/>
          <w:szCs w:val="28"/>
          <w:lang w:val="en-US" w:eastAsia="zh-CN" w:bidi="ar"/>
        </w:rPr>
        <w:t>2025</w:t>
      </w:r>
      <w:r>
        <w:rPr>
          <w:rFonts w:hint="eastAsia" w:ascii="宋体" w:hAnsi="宋体" w:eastAsia="宋体" w:cs="宋体"/>
          <w:kern w:val="0"/>
          <w:sz w:val="28"/>
          <w:szCs w:val="28"/>
          <w:lang w:val="en-US" w:eastAsia="zh-CN" w:bidi="ar"/>
        </w:rPr>
        <w:t>年</w:t>
      </w:r>
      <w:r>
        <w:rPr>
          <w:rFonts w:hint="default" w:ascii="Calibri" w:hAnsi="Calibri" w:cs="Calibri" w:eastAsiaTheme="minorEastAsia"/>
          <w:kern w:val="0"/>
          <w:sz w:val="28"/>
          <w:szCs w:val="28"/>
          <w:lang w:val="en-US" w:eastAsia="zh-CN" w:bidi="ar"/>
        </w:rPr>
        <w:t>1</w:t>
      </w:r>
      <w:r>
        <w:rPr>
          <w:rFonts w:hint="eastAsia" w:ascii="宋体" w:hAnsi="宋体" w:eastAsia="宋体" w:cs="宋体"/>
          <w:kern w:val="0"/>
          <w:sz w:val="28"/>
          <w:szCs w:val="28"/>
          <w:lang w:val="en-US" w:eastAsia="zh-CN" w:bidi="ar"/>
        </w:rPr>
        <w:t>月</w:t>
      </w:r>
      <w:r>
        <w:rPr>
          <w:rFonts w:hint="default" w:ascii="Calibri" w:hAnsi="Calibri" w:cs="Calibri" w:eastAsiaTheme="minorEastAsia"/>
          <w:kern w:val="0"/>
          <w:sz w:val="28"/>
          <w:szCs w:val="28"/>
          <w:lang w:val="en-US" w:eastAsia="zh-CN" w:bidi="ar"/>
        </w:rPr>
        <w:t>1</w:t>
      </w:r>
      <w:r>
        <w:rPr>
          <w:rFonts w:hint="eastAsia" w:ascii="宋体" w:hAnsi="宋体" w:eastAsia="宋体" w:cs="宋体"/>
          <w:kern w:val="0"/>
          <w:sz w:val="28"/>
          <w:szCs w:val="28"/>
          <w:lang w:val="en-US" w:eastAsia="zh-CN" w:bidi="ar"/>
        </w:rPr>
        <w:t>日起至</w:t>
      </w:r>
      <w:r>
        <w:rPr>
          <w:rFonts w:hint="default" w:ascii="Calibri" w:hAnsi="Calibri" w:cs="Calibri" w:eastAsiaTheme="minorEastAsia"/>
          <w:kern w:val="0"/>
          <w:sz w:val="28"/>
          <w:szCs w:val="28"/>
          <w:lang w:val="en-US" w:eastAsia="zh-CN" w:bidi="ar"/>
        </w:rPr>
        <w:t>2025</w:t>
      </w:r>
      <w:r>
        <w:rPr>
          <w:rFonts w:hint="eastAsia" w:ascii="宋体" w:hAnsi="宋体" w:eastAsia="宋体" w:cs="宋体"/>
          <w:kern w:val="0"/>
          <w:sz w:val="28"/>
          <w:szCs w:val="28"/>
          <w:lang w:val="en-US" w:eastAsia="zh-CN" w:bidi="ar"/>
        </w:rPr>
        <w:t>年</w:t>
      </w:r>
      <w:r>
        <w:rPr>
          <w:rFonts w:hint="default" w:ascii="Calibri" w:hAnsi="Calibri" w:cs="Calibri" w:eastAsiaTheme="minorEastAsia"/>
          <w:kern w:val="0"/>
          <w:sz w:val="28"/>
          <w:szCs w:val="28"/>
          <w:lang w:val="en-US" w:eastAsia="zh-CN" w:bidi="ar"/>
        </w:rPr>
        <w:t>12</w:t>
      </w:r>
      <w:r>
        <w:rPr>
          <w:rFonts w:hint="eastAsia" w:ascii="宋体" w:hAnsi="宋体" w:eastAsia="宋体" w:cs="宋体"/>
          <w:kern w:val="0"/>
          <w:sz w:val="28"/>
          <w:szCs w:val="28"/>
          <w:lang w:val="en-US" w:eastAsia="zh-CN" w:bidi="ar"/>
        </w:rPr>
        <w:t>月</w:t>
      </w:r>
      <w:r>
        <w:rPr>
          <w:rFonts w:hint="default" w:ascii="Calibri" w:hAnsi="Calibri" w:cs="Calibri" w:eastAsiaTheme="minorEastAsia"/>
          <w:kern w:val="0"/>
          <w:sz w:val="28"/>
          <w:szCs w:val="28"/>
          <w:lang w:val="en-US" w:eastAsia="zh-CN" w:bidi="ar"/>
        </w:rPr>
        <w:t>31</w:t>
      </w:r>
      <w:r>
        <w:rPr>
          <w:rFonts w:hint="eastAsia" w:ascii="宋体" w:hAnsi="宋体" w:eastAsia="宋体" w:cs="宋体"/>
          <w:kern w:val="0"/>
          <w:sz w:val="28"/>
          <w:szCs w:val="28"/>
          <w:lang w:val="en-US" w:eastAsia="zh-CN" w:bidi="ar"/>
        </w:rPr>
        <w:t>日止。全文包括总体情况、主动公开政府信息情况、收到和处理政府信息公开申请情况、政府信息公开行政复议行政诉讼情况、存在的主要问题及改进情况、其他需要报告的事项。如对本报告有任何疑问，请与高安市财政局办公室联系（电话：</w:t>
      </w:r>
      <w:r>
        <w:rPr>
          <w:rFonts w:hint="default" w:ascii="Calibri" w:hAnsi="Calibri" w:cs="Calibri" w:eastAsiaTheme="minorEastAsia"/>
          <w:kern w:val="0"/>
          <w:sz w:val="28"/>
          <w:szCs w:val="28"/>
          <w:lang w:val="en-US" w:eastAsia="zh-CN" w:bidi="ar"/>
        </w:rPr>
        <w:t>0795-5212381</w:t>
      </w:r>
      <w:r>
        <w:rPr>
          <w:rFonts w:hint="eastAsia" w:ascii="宋体" w:hAnsi="宋体" w:eastAsia="宋体" w:cs="宋体"/>
          <w:kern w:val="0"/>
          <w:sz w:val="28"/>
          <w:szCs w:val="28"/>
          <w:lang w:val="en-US" w:eastAsia="zh-CN" w:bidi="ar"/>
        </w:rPr>
        <w:t>，邮编：</w:t>
      </w:r>
      <w:r>
        <w:rPr>
          <w:rFonts w:hint="default" w:ascii="Calibri" w:hAnsi="Calibri" w:cs="Calibri" w:eastAsiaTheme="minorEastAsia"/>
          <w:kern w:val="0"/>
          <w:sz w:val="28"/>
          <w:szCs w:val="28"/>
          <w:lang w:val="en-US" w:eastAsia="zh-CN" w:bidi="ar"/>
        </w:rPr>
        <w:t>330800</w:t>
      </w:r>
      <w:r>
        <w:rPr>
          <w:rFonts w:hint="eastAsia" w:ascii="宋体" w:hAnsi="宋体" w:eastAsia="宋体" w:cs="宋体"/>
          <w:kern w:val="0"/>
          <w:sz w:val="28"/>
          <w:szCs w:val="28"/>
          <w:lang w:val="en-US" w:eastAsia="zh-CN" w:bidi="ar"/>
        </w:rPr>
        <w:t>）。</w:t>
      </w:r>
    </w:p>
    <w:p w14:paraId="49C46E98">
      <w:pPr>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adjustRightInd/>
        <w:snapToGrid/>
        <w:spacing w:before="0" w:beforeAutospacing="0" w:after="0" w:afterAutospacing="0" w:line="360" w:lineRule="auto"/>
        <w:ind w:left="0" w:leftChars="0" w:right="0" w:firstLine="640" w:firstLineChars="200"/>
        <w:jc w:val="both"/>
        <w:textAlignment w:val="auto"/>
      </w:pPr>
      <w:r>
        <w:rPr>
          <w:rFonts w:ascii="黑体" w:hAnsi="宋体" w:eastAsia="黑体" w:cs="黑体"/>
          <w:b w:val="0"/>
          <w:bCs w:val="0"/>
          <w:kern w:val="2"/>
          <w:sz w:val="32"/>
          <w:szCs w:val="32"/>
          <w:bdr w:val="none" w:color="auto" w:sz="0" w:space="0"/>
          <w:shd w:val="clear" w:fill="FFFFFF"/>
          <w:lang w:val="en-US" w:eastAsia="zh-CN" w:bidi="ar"/>
        </w:rPr>
        <w:t>一、</w:t>
      </w:r>
      <w:r>
        <w:rPr>
          <w:rFonts w:hint="eastAsia" w:ascii="黑体" w:hAnsi="宋体" w:eastAsia="黑体" w:cs="黑体"/>
          <w:b w:val="0"/>
          <w:bCs w:val="0"/>
          <w:kern w:val="2"/>
          <w:sz w:val="32"/>
          <w:szCs w:val="32"/>
          <w:bdr w:val="none" w:color="auto" w:sz="0" w:space="0"/>
          <w:shd w:val="clear" w:fill="FFFFFF"/>
          <w:lang w:val="en-US" w:eastAsia="zh-CN" w:bidi="ar"/>
        </w:rPr>
        <w:t>总体情况</w:t>
      </w:r>
    </w:p>
    <w:p w14:paraId="457D308E">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auto"/>
        <w:ind w:left="0" w:right="0" w:firstLine="560" w:firstLineChars="200"/>
        <w:jc w:val="left"/>
        <w:textAlignment w:val="auto"/>
      </w:pPr>
      <w:r>
        <w:rPr>
          <w:rFonts w:hint="default" w:ascii="Calibri" w:hAnsi="Calibri" w:eastAsia="宋体" w:cs="Calibri"/>
          <w:kern w:val="2"/>
          <w:sz w:val="28"/>
          <w:szCs w:val="28"/>
          <w:lang w:val="en-US" w:eastAsia="zh-CN" w:bidi="ar"/>
        </w:rPr>
        <w:t>2025</w:t>
      </w:r>
      <w:r>
        <w:rPr>
          <w:rFonts w:hint="eastAsia" w:ascii="宋体" w:hAnsi="宋体" w:eastAsia="宋体" w:cs="宋体"/>
          <w:kern w:val="2"/>
          <w:sz w:val="28"/>
          <w:szCs w:val="28"/>
          <w:lang w:val="en-US" w:eastAsia="zh-CN" w:bidi="ar"/>
        </w:rPr>
        <w:t>年，我局在市委、市政府的正确领导下,深入学习贯彻习近平新时代中国特色社会主义思想、党的二十大和二十届三中全会精神，坚持围绕中心、服务大局，认真落实《中华人民共和国政府信息公开条例》等文件要求，结合实际，面向社会公众，深化政务公开，优化政务服务，强化交流互动,推进我局政务公开标准化规范化建设。</w:t>
      </w:r>
    </w:p>
    <w:p w14:paraId="2B0233E1">
      <w:pPr>
        <w:pStyle w:val="2"/>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adjustRightInd/>
        <w:snapToGrid/>
        <w:spacing w:before="0" w:beforeAutospacing="0" w:after="0" w:afterAutospacing="0" w:line="360" w:lineRule="auto"/>
        <w:ind w:left="0" w:leftChars="0" w:right="0" w:rightChars="0" w:firstLine="643" w:firstLineChars="200"/>
        <w:jc w:val="both"/>
        <w:textAlignment w:val="auto"/>
      </w:pPr>
      <w:r>
        <w:rPr>
          <w:rFonts w:ascii="楷体_GB2312" w:eastAsia="楷体_GB2312" w:cs="楷体_GB2312"/>
          <w:b/>
          <w:bCs/>
          <w:i w:val="0"/>
          <w:caps w:val="0"/>
          <w:color w:val="000000"/>
          <w:spacing w:val="0"/>
          <w:kern w:val="0"/>
          <w:sz w:val="32"/>
          <w:szCs w:val="32"/>
          <w:bdr w:val="none" w:color="auto" w:sz="0" w:space="0"/>
          <w:shd w:val="clear" w:fill="FFFFFF"/>
        </w:rPr>
        <w:t>（一）</w:t>
      </w:r>
      <w:r>
        <w:rPr>
          <w:rFonts w:hint="default" w:ascii="楷体_GB2312" w:eastAsia="楷体_GB2312" w:cs="楷体_GB2312"/>
          <w:b/>
          <w:bCs/>
          <w:i w:val="0"/>
          <w:caps w:val="0"/>
          <w:color w:val="000000"/>
          <w:spacing w:val="0"/>
          <w:kern w:val="0"/>
          <w:sz w:val="32"/>
          <w:szCs w:val="32"/>
          <w:bdr w:val="none" w:color="auto" w:sz="0" w:space="0"/>
          <w:shd w:val="clear" w:fill="FFFFFF"/>
        </w:rPr>
        <w:t>主动公开</w:t>
      </w:r>
    </w:p>
    <w:p w14:paraId="46F65800">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360" w:lineRule="auto"/>
        <w:ind w:left="0" w:right="0" w:firstLine="560" w:firstLineChars="200"/>
        <w:jc w:val="left"/>
        <w:textAlignment w:val="auto"/>
      </w:pPr>
      <w:r>
        <w:rPr>
          <w:rFonts w:asciiTheme="minorHAnsi" w:hAnsiTheme="minorHAnsi" w:eastAsiaTheme="minorEastAsia" w:cstheme="minorBidi"/>
          <w:kern w:val="0"/>
          <w:sz w:val="28"/>
          <w:szCs w:val="28"/>
          <w:lang w:val="en-US" w:eastAsia="zh-CN" w:bidi="ar"/>
        </w:rPr>
        <w:t>    高安市财政局根据上级部门的相关要求，围绕财政政策落实、国资监管、财政信息等方面，对标法定主动公开内容要求，不断加强政府信息公开工作。2025</w:t>
      </w:r>
      <w:r>
        <w:rPr>
          <w:rFonts w:hint="eastAsia" w:ascii="宋体" w:hAnsi="宋体" w:eastAsia="宋体" w:cs="宋体"/>
          <w:kern w:val="0"/>
          <w:sz w:val="28"/>
          <w:szCs w:val="28"/>
          <w:lang w:val="en-US" w:eastAsia="zh-CN" w:bidi="ar"/>
        </w:rPr>
        <w:t>年我局在政府网站主动公开信息</w:t>
      </w:r>
      <w:r>
        <w:rPr>
          <w:rFonts w:asciiTheme="minorHAnsi" w:hAnsiTheme="minorHAnsi" w:eastAsiaTheme="minorEastAsia" w:cstheme="minorBidi"/>
          <w:kern w:val="0"/>
          <w:sz w:val="28"/>
          <w:szCs w:val="28"/>
          <w:lang w:val="en-US" w:eastAsia="zh-CN" w:bidi="ar"/>
        </w:rPr>
        <w:t>144</w:t>
      </w:r>
      <w:r>
        <w:rPr>
          <w:rFonts w:hint="eastAsia" w:ascii="宋体" w:hAnsi="宋体" w:eastAsia="宋体" w:cs="宋体"/>
          <w:kern w:val="0"/>
          <w:sz w:val="28"/>
          <w:szCs w:val="28"/>
          <w:lang w:val="en-US" w:eastAsia="zh-CN" w:bidi="ar"/>
        </w:rPr>
        <w:t>篇。其中政策公开</w:t>
      </w:r>
      <w:r>
        <w:rPr>
          <w:rFonts w:hint="default" w:ascii="Calibri" w:hAnsi="Calibri" w:cs="Calibri" w:eastAsiaTheme="minorEastAsia"/>
          <w:kern w:val="0"/>
          <w:sz w:val="28"/>
          <w:szCs w:val="28"/>
          <w:lang w:val="en-US" w:eastAsia="zh-CN" w:bidi="ar"/>
        </w:rPr>
        <w:t>10</w:t>
      </w:r>
      <w:r>
        <w:rPr>
          <w:rFonts w:hint="eastAsia" w:ascii="宋体" w:hAnsi="宋体" w:eastAsia="宋体" w:cs="宋体"/>
          <w:kern w:val="0"/>
          <w:sz w:val="28"/>
          <w:szCs w:val="28"/>
          <w:lang w:val="en-US" w:eastAsia="zh-CN" w:bidi="ar"/>
        </w:rPr>
        <w:t>条、监管公开</w:t>
      </w:r>
      <w:r>
        <w:rPr>
          <w:rFonts w:hint="default" w:ascii="Calibri" w:hAnsi="Calibri" w:cs="Calibri" w:eastAsiaTheme="minorEastAsia"/>
          <w:kern w:val="0"/>
          <w:sz w:val="28"/>
          <w:szCs w:val="28"/>
          <w:lang w:val="en-US" w:eastAsia="zh-CN" w:bidi="ar"/>
        </w:rPr>
        <w:t>15</w:t>
      </w:r>
      <w:r>
        <w:rPr>
          <w:rFonts w:hint="eastAsia" w:ascii="宋体" w:hAnsi="宋体" w:eastAsia="宋体" w:cs="宋体"/>
          <w:kern w:val="0"/>
          <w:sz w:val="28"/>
          <w:szCs w:val="28"/>
          <w:lang w:val="en-US" w:eastAsia="zh-CN" w:bidi="ar"/>
        </w:rPr>
        <w:t>条、综合公开</w:t>
      </w:r>
      <w:r>
        <w:rPr>
          <w:rFonts w:hint="default" w:ascii="Calibri" w:hAnsi="Calibri" w:cs="Calibri" w:eastAsiaTheme="minorEastAsia"/>
          <w:kern w:val="0"/>
          <w:sz w:val="28"/>
          <w:szCs w:val="28"/>
          <w:lang w:val="en-US" w:eastAsia="zh-CN" w:bidi="ar"/>
        </w:rPr>
        <w:t>118</w:t>
      </w:r>
      <w:r>
        <w:rPr>
          <w:rFonts w:hint="eastAsia" w:ascii="宋体" w:hAnsi="宋体" w:eastAsia="宋体" w:cs="宋体"/>
          <w:kern w:val="0"/>
          <w:sz w:val="28"/>
          <w:szCs w:val="28"/>
          <w:lang w:val="en-US" w:eastAsia="zh-CN" w:bidi="ar"/>
        </w:rPr>
        <w:t>条、服务公开</w:t>
      </w:r>
      <w:r>
        <w:rPr>
          <w:rFonts w:hint="default" w:ascii="Calibri" w:hAnsi="Calibri" w:cs="Calibri" w:eastAsiaTheme="minorEastAsia"/>
          <w:kern w:val="0"/>
          <w:sz w:val="28"/>
          <w:szCs w:val="28"/>
          <w:lang w:val="en-US" w:eastAsia="zh-CN" w:bidi="ar"/>
        </w:rPr>
        <w:t>1</w:t>
      </w:r>
      <w:r>
        <w:rPr>
          <w:rFonts w:hint="eastAsia" w:ascii="宋体" w:hAnsi="宋体" w:eastAsia="宋体" w:cs="宋体"/>
          <w:kern w:val="0"/>
          <w:sz w:val="28"/>
          <w:szCs w:val="28"/>
          <w:lang w:val="en-US" w:eastAsia="zh-CN" w:bidi="ar"/>
        </w:rPr>
        <w:t>条等。同时，根据工作要求和人事调整及时更新机关职能、机构设置、办公地址、办公时间、联系方式和工作指南。</w:t>
      </w:r>
    </w:p>
    <w:p w14:paraId="15581FA7">
      <w:pPr>
        <w:pStyle w:val="2"/>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adjustRightInd/>
        <w:snapToGrid/>
        <w:spacing w:before="0" w:beforeAutospacing="0" w:after="0" w:afterAutospacing="0" w:line="360" w:lineRule="auto"/>
        <w:ind w:left="0" w:leftChars="0" w:right="0" w:rightChars="0" w:firstLine="643" w:firstLineChars="200"/>
        <w:jc w:val="both"/>
        <w:textAlignment w:val="auto"/>
      </w:pPr>
      <w:r>
        <w:rPr>
          <w:rFonts w:hint="default" w:ascii="楷体_GB2312" w:eastAsia="楷体_GB2312" w:cs="楷体_GB2312"/>
          <w:b/>
          <w:bCs/>
          <w:i w:val="0"/>
          <w:caps w:val="0"/>
          <w:color w:val="000000"/>
          <w:spacing w:val="0"/>
          <w:kern w:val="0"/>
          <w:sz w:val="32"/>
          <w:szCs w:val="32"/>
          <w:bdr w:val="none" w:color="auto" w:sz="0" w:space="0"/>
          <w:shd w:val="clear" w:fill="FFFFFF"/>
        </w:rPr>
        <w:t>（二）依申请公开</w:t>
      </w:r>
    </w:p>
    <w:p w14:paraId="38E9FB45">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auto"/>
        <w:ind w:left="0" w:right="0" w:firstLine="560" w:firstLineChars="200"/>
        <w:jc w:val="left"/>
        <w:textAlignment w:val="auto"/>
      </w:pPr>
      <w:r>
        <w:rPr>
          <w:rFonts w:hint="default" w:ascii="Calibri" w:hAnsi="Calibri" w:eastAsia="宋体" w:cs="Calibri"/>
          <w:kern w:val="2"/>
          <w:sz w:val="28"/>
          <w:szCs w:val="28"/>
          <w:lang w:val="en-US" w:eastAsia="zh-CN" w:bidi="ar"/>
        </w:rPr>
        <w:t>2025</w:t>
      </w:r>
      <w:r>
        <w:rPr>
          <w:rFonts w:hint="eastAsia" w:ascii="宋体" w:hAnsi="宋体" w:eastAsia="宋体" w:cs="宋体"/>
          <w:kern w:val="2"/>
          <w:sz w:val="28"/>
          <w:szCs w:val="28"/>
          <w:lang w:val="en-US" w:eastAsia="zh-CN" w:bidi="ar"/>
        </w:rPr>
        <w:t>年，我局依申请公开</w:t>
      </w:r>
      <w:r>
        <w:rPr>
          <w:rFonts w:hint="default" w:ascii="Calibri" w:hAnsi="Calibri" w:eastAsia="宋体" w:cs="Calibri"/>
          <w:kern w:val="2"/>
          <w:sz w:val="28"/>
          <w:szCs w:val="28"/>
          <w:lang w:val="en-US" w:eastAsia="zh-CN" w:bidi="ar"/>
        </w:rPr>
        <w:t>0</w:t>
      </w:r>
      <w:r>
        <w:rPr>
          <w:rFonts w:hint="eastAsia" w:ascii="宋体" w:hAnsi="宋体" w:eastAsia="宋体" w:cs="宋体"/>
          <w:kern w:val="2"/>
          <w:sz w:val="28"/>
          <w:szCs w:val="28"/>
          <w:lang w:val="en-US" w:eastAsia="zh-CN" w:bidi="ar"/>
        </w:rPr>
        <w:t>条，未出现行政复议，未出现行政诉讼。</w:t>
      </w:r>
    </w:p>
    <w:p w14:paraId="1CC5A2DC">
      <w:pPr>
        <w:pStyle w:val="2"/>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adjustRightInd/>
        <w:snapToGrid/>
        <w:spacing w:before="0" w:beforeAutospacing="0" w:after="0" w:afterAutospacing="0" w:line="360" w:lineRule="auto"/>
        <w:ind w:left="0" w:leftChars="0" w:right="0" w:rightChars="0" w:firstLine="643" w:firstLineChars="200"/>
        <w:jc w:val="both"/>
        <w:textAlignment w:val="auto"/>
      </w:pPr>
      <w:r>
        <w:rPr>
          <w:rFonts w:hint="default" w:ascii="楷体_GB2312" w:eastAsia="楷体_GB2312" w:cs="楷体_GB2312"/>
          <w:b/>
          <w:bCs/>
          <w:i w:val="0"/>
          <w:caps w:val="0"/>
          <w:color w:val="000000"/>
          <w:spacing w:val="0"/>
          <w:kern w:val="0"/>
          <w:sz w:val="32"/>
          <w:szCs w:val="32"/>
          <w:bdr w:val="none" w:color="auto" w:sz="0" w:space="0"/>
          <w:shd w:val="clear" w:fill="FFFFFF"/>
        </w:rPr>
        <w:t>（三）政府信息管理</w:t>
      </w:r>
    </w:p>
    <w:p w14:paraId="100F18B5">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auto"/>
        <w:ind w:left="0" w:right="0" w:firstLine="560" w:firstLineChars="200"/>
        <w:jc w:val="left"/>
        <w:textAlignment w:val="auto"/>
      </w:pPr>
      <w:r>
        <w:rPr>
          <w:rFonts w:asciiTheme="minorHAnsi" w:hAnsiTheme="minorHAnsi" w:eastAsiaTheme="minorEastAsia" w:cstheme="minorBidi"/>
          <w:kern w:val="0"/>
          <w:sz w:val="28"/>
          <w:szCs w:val="28"/>
          <w:lang w:val="en-US" w:eastAsia="zh-CN" w:bidi="ar"/>
        </w:rPr>
        <w:t>2025</w:t>
      </w:r>
      <w:r>
        <w:rPr>
          <w:rFonts w:hint="eastAsia" w:ascii="宋体" w:hAnsi="宋体" w:eastAsia="宋体" w:cs="宋体"/>
          <w:kern w:val="0"/>
          <w:sz w:val="28"/>
          <w:szCs w:val="28"/>
          <w:lang w:val="en-US" w:eastAsia="zh-CN" w:bidi="ar"/>
        </w:rPr>
        <w:t>年，我局严格执行《高安市政府信息公开管理制度</w:t>
      </w:r>
      <w:r>
        <w:rPr>
          <w:rFonts w:hint="eastAsia" w:ascii="宋体" w:hAnsi="宋体" w:eastAsia="宋体" w:cs="宋体"/>
          <w:color w:val="000000"/>
          <w:kern w:val="0"/>
          <w:sz w:val="28"/>
          <w:szCs w:val="28"/>
          <w:lang w:val="en-US" w:eastAsia="zh-CN" w:bidi="ar"/>
        </w:rPr>
        <w:t>》、《高安市政府信息主动公开制度》</w:t>
      </w:r>
      <w:r>
        <w:rPr>
          <w:rFonts w:hint="eastAsia" w:ascii="宋体" w:hAnsi="宋体" w:eastAsia="宋体" w:cs="宋体"/>
          <w:kern w:val="0"/>
          <w:sz w:val="28"/>
          <w:szCs w:val="28"/>
          <w:lang w:val="en-US" w:eastAsia="zh-CN" w:bidi="ar"/>
        </w:rPr>
        <w:t>和《政府信息公开审核发布管理制度》，根据政务公开的相关要求，对单位内需公开稿件，落实好发布信息的“三审三校制”，加强信息发布审核把关，严格执行“分级审核、先审后发”程序，确保信息内容符合国家政策方针和相关法律法规。</w:t>
      </w:r>
    </w:p>
    <w:p w14:paraId="66FE8E85">
      <w:pPr>
        <w:pStyle w:val="2"/>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adjustRightInd/>
        <w:snapToGrid/>
        <w:spacing w:before="0" w:beforeAutospacing="0" w:after="0" w:afterAutospacing="0" w:line="360" w:lineRule="auto"/>
        <w:ind w:left="0" w:leftChars="0" w:right="0" w:rightChars="0" w:firstLine="643" w:firstLineChars="200"/>
        <w:jc w:val="both"/>
        <w:textAlignment w:val="auto"/>
      </w:pPr>
      <w:r>
        <w:rPr>
          <w:rFonts w:hint="default" w:ascii="楷体_GB2312" w:eastAsia="楷体_GB2312" w:cs="楷体_GB2312"/>
          <w:b/>
          <w:bCs/>
          <w:i w:val="0"/>
          <w:caps w:val="0"/>
          <w:color w:val="000000"/>
          <w:spacing w:val="0"/>
          <w:kern w:val="0"/>
          <w:sz w:val="32"/>
          <w:szCs w:val="32"/>
          <w:bdr w:val="none" w:color="auto" w:sz="0" w:space="0"/>
          <w:shd w:val="clear" w:fill="FFFFFF"/>
        </w:rPr>
        <w:t>（四）政府信息公开平台建设</w:t>
      </w:r>
    </w:p>
    <w:p w14:paraId="2C4096CE">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auto"/>
        <w:ind w:left="0" w:right="0" w:firstLine="560" w:firstLineChars="200"/>
        <w:jc w:val="left"/>
        <w:textAlignment w:val="auto"/>
      </w:pPr>
      <w:r>
        <w:rPr>
          <w:rFonts w:hint="default" w:ascii="Calibri" w:hAnsi="Calibri" w:eastAsia="宋体" w:cs="Calibri"/>
          <w:kern w:val="2"/>
          <w:sz w:val="28"/>
          <w:szCs w:val="28"/>
          <w:lang w:val="en-US" w:eastAsia="zh-CN" w:bidi="ar"/>
        </w:rPr>
        <w:t>2025</w:t>
      </w:r>
      <w:r>
        <w:rPr>
          <w:rFonts w:hint="eastAsia" w:ascii="宋体" w:hAnsi="宋体" w:eastAsia="宋体" w:cs="宋体"/>
          <w:kern w:val="2"/>
          <w:sz w:val="28"/>
          <w:szCs w:val="28"/>
          <w:lang w:val="en-US" w:eastAsia="zh-CN" w:bidi="ar"/>
        </w:rPr>
        <w:t>年，我局参照相关部门的要求高度重视平台建设，政务信息发布工作由专人负责，专人管理，根据主动公开内容和栏目，持续完善更新政府网站各栏目信息。按照市委市政府要求，积极组织政务公开业务培训会，将股室职责与信息公开栏目相匹配，严格落实政务公开任务，严肃公开纪律。</w:t>
      </w:r>
    </w:p>
    <w:p w14:paraId="75E47010">
      <w:pPr>
        <w:keepNext w:val="0"/>
        <w:keepLines w:val="0"/>
        <w:pageBreakBefore w:val="0"/>
        <w:widowControl w:val="0"/>
        <w:numPr>
          <w:numId w:val="0"/>
        </w:numPr>
        <w:suppressLineNumbers w:val="0"/>
        <w:kinsoku/>
        <w:wordWrap/>
        <w:overflowPunct/>
        <w:topLinePunct w:val="0"/>
        <w:autoSpaceDE w:val="0"/>
        <w:autoSpaceDN/>
        <w:bidi w:val="0"/>
        <w:adjustRightInd/>
        <w:snapToGrid/>
        <w:spacing w:before="0" w:beforeAutospacing="0" w:after="0" w:afterAutospacing="0" w:line="360" w:lineRule="auto"/>
        <w:ind w:left="0" w:leftChars="0" w:right="0" w:firstLine="643" w:firstLineChars="200"/>
        <w:jc w:val="left"/>
        <w:textAlignment w:val="auto"/>
      </w:pPr>
      <w:r>
        <w:rPr>
          <w:rFonts w:hint="default" w:ascii="楷体_GB2312" w:eastAsia="楷体_GB2312" w:cs="楷体_GB2312" w:hAnsiTheme="minorHAnsi"/>
          <w:b/>
          <w:bCs/>
          <w:i w:val="0"/>
          <w:caps w:val="0"/>
          <w:color w:val="000000"/>
          <w:spacing w:val="0"/>
          <w:kern w:val="2"/>
          <w:sz w:val="32"/>
          <w:szCs w:val="32"/>
          <w:shd w:val="clear" w:fill="FFFFFF"/>
          <w:lang w:val="en-US" w:eastAsia="zh-CN" w:bidi="ar"/>
        </w:rPr>
        <w:t>（五）监督保障</w:t>
      </w:r>
    </w:p>
    <w:p w14:paraId="75606D3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auto"/>
        <w:ind w:left="0" w:right="0" w:firstLine="560" w:firstLineChars="200"/>
        <w:jc w:val="left"/>
        <w:textAlignment w:val="auto"/>
      </w:pPr>
      <w:r>
        <w:rPr>
          <w:rFonts w:hint="eastAsia" w:ascii="宋体" w:hAnsi="宋体" w:eastAsia="宋体" w:cs="宋体"/>
          <w:kern w:val="2"/>
          <w:sz w:val="28"/>
          <w:szCs w:val="28"/>
          <w:lang w:val="en-US" w:eastAsia="zh-CN" w:bidi="ar"/>
        </w:rPr>
        <w:t>一是根据相关部门要求，将新规划的栏目与具体股室职责相对应，重新制定局政务公开重点工作任务分解表，及时组织业务股室经办及相关人员认真学习《中华人民共和国政府信息公开条例》，强化责任落实到人，严防推诿、信息发布不及时等现象。</w:t>
      </w:r>
    </w:p>
    <w:p w14:paraId="19FD0EA4">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auto"/>
        <w:ind w:left="0" w:right="0" w:firstLine="560" w:firstLineChars="200"/>
        <w:jc w:val="left"/>
        <w:textAlignment w:val="auto"/>
      </w:pPr>
      <w:r>
        <w:rPr>
          <w:rFonts w:hint="eastAsia" w:ascii="宋体" w:hAnsi="宋体" w:eastAsia="宋体" w:cs="宋体"/>
          <w:kern w:val="0"/>
          <w:sz w:val="28"/>
          <w:szCs w:val="28"/>
          <w:lang w:val="en-US" w:eastAsia="zh-CN" w:bidi="ar"/>
        </w:rPr>
        <w:t>二是认真贯彻落实政务公开自查工作要求，对测评所发现的问题及时整改，</w:t>
      </w:r>
      <w:r>
        <w:rPr>
          <w:rFonts w:hint="eastAsia" w:ascii="宋体" w:hAnsi="宋体" w:eastAsia="宋体" w:cs="宋体"/>
          <w:caps w:val="0"/>
          <w:color w:val="000000"/>
          <w:spacing w:val="0"/>
          <w:kern w:val="0"/>
          <w:sz w:val="28"/>
          <w:szCs w:val="28"/>
          <w:shd w:val="clear" w:fill="FFFFFF"/>
          <w:lang w:val="en-US" w:eastAsia="zh-CN" w:bidi="ar"/>
        </w:rPr>
        <w:t>及时更新栏目、修改错敏字、删除暗链错链，保障信息公开内容规范安全</w:t>
      </w:r>
      <w:r>
        <w:rPr>
          <w:rFonts w:hint="eastAsia" w:ascii="宋体" w:hAnsi="宋体" w:eastAsia="宋体" w:cs="宋体"/>
          <w:kern w:val="0"/>
          <w:sz w:val="28"/>
          <w:szCs w:val="28"/>
          <w:lang w:val="en-US" w:eastAsia="zh-CN" w:bidi="ar"/>
        </w:rPr>
        <w:t>。</w:t>
      </w:r>
    </w:p>
    <w:p w14:paraId="5F5F8CCC">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auto"/>
        <w:ind w:left="0" w:right="0" w:firstLine="560" w:firstLineChars="200"/>
        <w:jc w:val="left"/>
        <w:textAlignment w:val="auto"/>
      </w:pPr>
      <w:r>
        <w:rPr>
          <w:rFonts w:hint="eastAsia" w:ascii="宋体" w:hAnsi="宋体" w:eastAsia="宋体" w:cs="宋体"/>
          <w:kern w:val="2"/>
          <w:sz w:val="28"/>
          <w:szCs w:val="28"/>
          <w:lang w:val="en-US" w:eastAsia="zh-CN" w:bidi="ar"/>
        </w:rPr>
        <w:t>三是根据政务公开新要求，完善政务公开管理制度。建立健全政务公开责任考核制度，认真落实《高安市财政局预算信息公开制度》、《高安市财政局政府信息公开实施办法》、《高安市财政局宣传工作管理暂行办法》，全年未发生违反政府信息公开有关规定行为。</w:t>
      </w:r>
    </w:p>
    <w:p w14:paraId="688CFF61">
      <w:pPr>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line="560" w:lineRule="exact"/>
        <w:ind w:left="0" w:leftChars="0" w:right="0" w:firstLine="640" w:firstLineChars="200"/>
        <w:jc w:val="both"/>
      </w:pPr>
      <w:r>
        <w:rPr>
          <w:rFonts w:hint="eastAsia" w:ascii="黑体" w:hAnsi="宋体" w:eastAsia="黑体" w:cs="黑体"/>
          <w:b w:val="0"/>
          <w:bCs w:val="0"/>
          <w:kern w:val="2"/>
          <w:sz w:val="32"/>
          <w:szCs w:val="32"/>
          <w:bdr w:val="none" w:color="auto" w:sz="0" w:space="0"/>
          <w:shd w:val="clear" w:fill="FFFFFF"/>
          <w:lang w:val="en-US" w:eastAsia="zh-CN" w:bidi="ar"/>
        </w:rPr>
        <w:t>二、主动公开政府信息情况</w:t>
      </w:r>
    </w:p>
    <w:tbl>
      <w:tblPr>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2455"/>
        <w:gridCol w:w="2455"/>
        <w:gridCol w:w="2455"/>
        <w:gridCol w:w="2455"/>
      </w:tblGrid>
      <w:tr w14:paraId="731F75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cMar>
              <w:left w:w="57" w:type="dxa"/>
              <w:right w:w="57" w:type="dxa"/>
            </w:tcMar>
            <w:vAlign w:val="center"/>
          </w:tcPr>
          <w:p w14:paraId="663D1813">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仿宋_GB2312" w:eastAsia="仿宋_GB2312" w:cs="仿宋_GB2312" w:hAnsiTheme="minorHAnsi"/>
                <w:color w:val="000000"/>
                <w:kern w:val="0"/>
                <w:sz w:val="32"/>
                <w:szCs w:val="32"/>
                <w:bdr w:val="none" w:color="auto" w:sz="0" w:space="0"/>
                <w:lang w:val="en-US" w:eastAsia="zh-CN" w:bidi="ar"/>
              </w:rPr>
              <w:t>第二十条第（一）项</w:t>
            </w:r>
          </w:p>
        </w:tc>
      </w:tr>
      <w:tr w14:paraId="6EF86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41F281C0">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信息内容</w:t>
            </w:r>
          </w:p>
        </w:tc>
        <w:tc>
          <w:tcPr>
            <w:tcW w:w="2455" w:type="dxa"/>
            <w:tcBorders>
              <w:top w:val="single" w:color="auto" w:sz="8" w:space="0"/>
              <w:left w:val="nil"/>
              <w:bottom w:val="single" w:color="auto" w:sz="8" w:space="0"/>
              <w:right w:val="single" w:color="auto" w:sz="8" w:space="0"/>
            </w:tcBorders>
            <w:shd w:val="clear"/>
            <w:tcMar>
              <w:left w:w="57" w:type="dxa"/>
              <w:right w:w="57" w:type="dxa"/>
            </w:tcMar>
            <w:vAlign w:val="center"/>
          </w:tcPr>
          <w:p w14:paraId="22F6D745">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本年</w:t>
            </w:r>
            <w:r>
              <w:rPr>
                <w:rFonts w:hint="default" w:ascii="楷体_GB2312" w:eastAsia="楷体_GB2312" w:cs="楷体_GB2312" w:hAnsiTheme="minorHAnsi"/>
                <w:b/>
                <w:bCs/>
                <w:kern w:val="0"/>
                <w:sz w:val="32"/>
                <w:szCs w:val="32"/>
                <w:bdr w:val="none" w:color="auto" w:sz="0" w:space="0"/>
                <w:lang w:val="en-US" w:eastAsia="zh-CN" w:bidi="ar"/>
              </w:rPr>
              <w:t>制发件数</w:t>
            </w:r>
          </w:p>
        </w:tc>
        <w:tc>
          <w:tcPr>
            <w:tcW w:w="2455" w:type="dxa"/>
            <w:tcBorders>
              <w:top w:val="single" w:color="auto" w:sz="8" w:space="0"/>
              <w:left w:val="nil"/>
              <w:bottom w:val="single" w:color="auto" w:sz="8" w:space="0"/>
              <w:right w:val="single" w:color="auto" w:sz="8" w:space="0"/>
            </w:tcBorders>
            <w:shd w:val="clear"/>
            <w:tcMar>
              <w:left w:w="57" w:type="dxa"/>
              <w:right w:w="57" w:type="dxa"/>
            </w:tcMar>
            <w:vAlign w:val="center"/>
          </w:tcPr>
          <w:p w14:paraId="42AAFBFB">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tcMar>
              <w:left w:w="57" w:type="dxa"/>
              <w:right w:w="57" w:type="dxa"/>
            </w:tcMar>
            <w:vAlign w:val="center"/>
          </w:tcPr>
          <w:p w14:paraId="3864D400">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现行有效件</w:t>
            </w:r>
            <w:r>
              <w:rPr>
                <w:rFonts w:hint="default" w:ascii="楷体_GB2312" w:eastAsia="楷体_GB2312" w:cs="楷体_GB2312" w:hAnsiTheme="minorHAnsi"/>
                <w:b/>
                <w:bCs/>
                <w:kern w:val="0"/>
                <w:sz w:val="32"/>
                <w:szCs w:val="32"/>
                <w:bdr w:val="none" w:color="auto" w:sz="0" w:space="0"/>
                <w:lang w:val="en-US" w:eastAsia="zh-CN" w:bidi="ar"/>
              </w:rPr>
              <w:t>数</w:t>
            </w:r>
          </w:p>
        </w:tc>
      </w:tr>
      <w:tr w14:paraId="46AF75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30773C6E">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规   章</w:t>
            </w:r>
          </w:p>
        </w:tc>
        <w:tc>
          <w:tcPr>
            <w:tcW w:w="2455" w:type="dxa"/>
            <w:tcBorders>
              <w:top w:val="nil"/>
              <w:left w:val="nil"/>
              <w:bottom w:val="single" w:color="auto" w:sz="8" w:space="0"/>
              <w:right w:val="single" w:color="auto" w:sz="8" w:space="0"/>
            </w:tcBorders>
            <w:shd w:val="clear"/>
            <w:tcMar>
              <w:left w:w="57" w:type="dxa"/>
              <w:right w:w="57" w:type="dxa"/>
            </w:tcMar>
            <w:vAlign w:val="center"/>
          </w:tcPr>
          <w:p w14:paraId="3D0EF7C1">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eastAsia" w:ascii="仿宋_GB2312" w:eastAsia="仿宋_GB2312" w:cs="仿宋_GB2312" w:hAnsiTheme="minorHAnsi"/>
                <w:b w:val="0"/>
                <w:bCs w:val="0"/>
                <w:kern w:val="2"/>
                <w:sz w:val="32"/>
                <w:szCs w:val="32"/>
                <w:bdr w:val="none" w:color="auto" w:sz="0" w:space="0"/>
                <w:lang w:val="en-US" w:eastAsia="zh-CN" w:bidi="ar"/>
              </w:rPr>
              <w:t>0</w:t>
            </w:r>
          </w:p>
        </w:tc>
        <w:tc>
          <w:tcPr>
            <w:tcW w:w="2455" w:type="dxa"/>
            <w:tcBorders>
              <w:top w:val="nil"/>
              <w:left w:val="nil"/>
              <w:bottom w:val="single" w:color="auto" w:sz="8" w:space="0"/>
              <w:right w:val="single" w:color="auto" w:sz="8" w:space="0"/>
            </w:tcBorders>
            <w:shd w:val="clear"/>
            <w:tcMar>
              <w:left w:w="57" w:type="dxa"/>
              <w:right w:w="57" w:type="dxa"/>
            </w:tcMar>
            <w:vAlign w:val="center"/>
          </w:tcPr>
          <w:p w14:paraId="7A1A1B34">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eastAsia" w:ascii="仿宋_GB2312" w:eastAsia="仿宋_GB2312" w:cs="仿宋_GB2312" w:hAnsiTheme="minorHAnsi"/>
                <w:b w:val="0"/>
                <w:bCs w:val="0"/>
                <w:kern w:val="2"/>
                <w:sz w:val="32"/>
                <w:szCs w:val="32"/>
                <w:bdr w:val="none" w:color="auto" w:sz="0" w:space="0"/>
                <w:lang w:val="en-US" w:eastAsia="zh-CN" w:bidi="ar"/>
              </w:rPr>
              <w:t>0</w:t>
            </w:r>
          </w:p>
        </w:tc>
        <w:tc>
          <w:tcPr>
            <w:tcW w:w="2455" w:type="dxa"/>
            <w:tcBorders>
              <w:top w:val="nil"/>
              <w:left w:val="nil"/>
              <w:bottom w:val="single" w:color="auto" w:sz="8" w:space="0"/>
              <w:right w:val="single" w:color="auto" w:sz="8" w:space="0"/>
            </w:tcBorders>
            <w:shd w:val="clear"/>
            <w:tcMar>
              <w:left w:w="57" w:type="dxa"/>
              <w:right w:w="57" w:type="dxa"/>
            </w:tcMar>
            <w:vAlign w:val="center"/>
          </w:tcPr>
          <w:p w14:paraId="3B237805">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eastAsia" w:ascii="仿宋_GB2312" w:eastAsia="仿宋_GB2312" w:cs="仿宋_GB2312" w:hAnsiTheme="minorHAnsi"/>
                <w:b w:val="0"/>
                <w:bCs w:val="0"/>
                <w:kern w:val="2"/>
                <w:sz w:val="32"/>
                <w:szCs w:val="32"/>
                <w:bdr w:val="none" w:color="auto" w:sz="0" w:space="0"/>
                <w:lang w:val="en-US" w:eastAsia="zh-CN" w:bidi="ar"/>
              </w:rPr>
              <w:t>0</w:t>
            </w:r>
          </w:p>
        </w:tc>
      </w:tr>
      <w:tr w14:paraId="3EAE8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497A3192">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行政规范性文件</w:t>
            </w:r>
          </w:p>
        </w:tc>
        <w:tc>
          <w:tcPr>
            <w:tcW w:w="2455" w:type="dxa"/>
            <w:tcBorders>
              <w:top w:val="nil"/>
              <w:left w:val="nil"/>
              <w:bottom w:val="single" w:color="auto" w:sz="8" w:space="0"/>
              <w:right w:val="single" w:color="auto" w:sz="8" w:space="0"/>
            </w:tcBorders>
            <w:shd w:val="clear"/>
            <w:tcMar>
              <w:left w:w="57" w:type="dxa"/>
              <w:right w:w="57" w:type="dxa"/>
            </w:tcMar>
            <w:vAlign w:val="center"/>
          </w:tcPr>
          <w:p w14:paraId="2B261C19">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eastAsia" w:ascii="仿宋_GB2312" w:eastAsia="仿宋_GB2312" w:cs="仿宋_GB2312" w:hAnsiTheme="minorHAnsi"/>
                <w:b w:val="0"/>
                <w:bCs w:val="0"/>
                <w:color w:val="000000"/>
                <w:kern w:val="0"/>
                <w:sz w:val="32"/>
                <w:szCs w:val="32"/>
                <w:bdr w:val="none" w:color="auto" w:sz="0" w:space="0"/>
                <w:lang w:val="en-US" w:eastAsia="zh-CN" w:bidi="ar"/>
              </w:rPr>
              <w:t>0　　</w:t>
            </w:r>
          </w:p>
        </w:tc>
        <w:tc>
          <w:tcPr>
            <w:tcW w:w="2455" w:type="dxa"/>
            <w:tcBorders>
              <w:top w:val="nil"/>
              <w:left w:val="nil"/>
              <w:bottom w:val="single" w:color="auto" w:sz="8" w:space="0"/>
              <w:right w:val="single" w:color="auto" w:sz="8" w:space="0"/>
            </w:tcBorders>
            <w:shd w:val="clear"/>
            <w:tcMar>
              <w:left w:w="57" w:type="dxa"/>
              <w:right w:w="57" w:type="dxa"/>
            </w:tcMar>
            <w:vAlign w:val="center"/>
          </w:tcPr>
          <w:p w14:paraId="214CA672">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eastAsia" w:ascii="仿宋_GB2312" w:eastAsia="仿宋_GB2312" w:cs="仿宋_GB2312" w:hAnsiTheme="minorHAnsi"/>
                <w:b w:val="0"/>
                <w:bCs w:val="0"/>
                <w:color w:val="000000"/>
                <w:kern w:val="0"/>
                <w:sz w:val="32"/>
                <w:szCs w:val="32"/>
                <w:bdr w:val="none" w:color="auto" w:sz="0" w:space="0"/>
                <w:lang w:val="en-US" w:eastAsia="zh-CN" w:bidi="ar"/>
              </w:rPr>
              <w:t>0</w:t>
            </w:r>
          </w:p>
        </w:tc>
        <w:tc>
          <w:tcPr>
            <w:tcW w:w="2455" w:type="dxa"/>
            <w:tcBorders>
              <w:top w:val="nil"/>
              <w:left w:val="nil"/>
              <w:bottom w:val="single" w:color="auto" w:sz="8" w:space="0"/>
              <w:right w:val="single" w:color="auto" w:sz="8" w:space="0"/>
            </w:tcBorders>
            <w:shd w:val="clear"/>
            <w:tcMar>
              <w:left w:w="57" w:type="dxa"/>
              <w:right w:w="57" w:type="dxa"/>
            </w:tcMar>
            <w:vAlign w:val="center"/>
          </w:tcPr>
          <w:p w14:paraId="1F9EC0E0">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eastAsia" w:ascii="仿宋_GB2312" w:eastAsia="仿宋_GB2312" w:cs="仿宋_GB2312" w:hAnsiTheme="minorHAnsi"/>
                <w:b w:val="0"/>
                <w:bCs w:val="0"/>
                <w:kern w:val="0"/>
                <w:sz w:val="32"/>
                <w:szCs w:val="32"/>
                <w:bdr w:val="none" w:color="auto" w:sz="0" w:space="0"/>
                <w:lang w:val="en-US" w:eastAsia="zh-CN" w:bidi="ar"/>
              </w:rPr>
              <w:t> 0</w:t>
            </w:r>
          </w:p>
        </w:tc>
      </w:tr>
      <w:tr w14:paraId="51929D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14:paraId="2995916B">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第二十条第（五）项</w:t>
            </w:r>
          </w:p>
        </w:tc>
      </w:tr>
      <w:tr w14:paraId="5F916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74BF04FC">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信息内容</w:t>
            </w:r>
          </w:p>
        </w:tc>
        <w:tc>
          <w:tcPr>
            <w:tcW w:w="7365" w:type="dxa"/>
            <w:gridSpan w:val="3"/>
            <w:tcBorders>
              <w:top w:val="nil"/>
              <w:left w:val="nil"/>
              <w:bottom w:val="single" w:color="auto" w:sz="8" w:space="0"/>
              <w:right w:val="single" w:color="auto" w:sz="8" w:space="0"/>
            </w:tcBorders>
            <w:shd w:val="clear"/>
            <w:tcMar>
              <w:left w:w="57" w:type="dxa"/>
              <w:right w:w="57" w:type="dxa"/>
            </w:tcMar>
            <w:vAlign w:val="center"/>
          </w:tcPr>
          <w:p w14:paraId="3E483C58">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本年处理决定数量</w:t>
            </w:r>
          </w:p>
        </w:tc>
      </w:tr>
      <w:tr w14:paraId="32289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5839033A">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行政许可</w:t>
            </w:r>
          </w:p>
        </w:tc>
        <w:tc>
          <w:tcPr>
            <w:tcW w:w="7365" w:type="dxa"/>
            <w:gridSpan w:val="3"/>
            <w:tcBorders>
              <w:top w:val="nil"/>
              <w:left w:val="nil"/>
              <w:bottom w:val="single" w:color="auto" w:sz="8" w:space="0"/>
              <w:right w:val="single" w:color="auto" w:sz="8" w:space="0"/>
            </w:tcBorders>
            <w:shd w:val="clear"/>
            <w:tcMar>
              <w:left w:w="57" w:type="dxa"/>
              <w:right w:w="57" w:type="dxa"/>
            </w:tcMar>
            <w:vAlign w:val="center"/>
          </w:tcPr>
          <w:p w14:paraId="64E86FB5">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 5</w:t>
            </w:r>
          </w:p>
        </w:tc>
      </w:tr>
      <w:tr w14:paraId="3F584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14:paraId="5768647E">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第二十条第（六）项</w:t>
            </w:r>
          </w:p>
        </w:tc>
      </w:tr>
      <w:tr w14:paraId="0B745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6FFF0979">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tcMar>
              <w:left w:w="57" w:type="dxa"/>
              <w:right w:w="57" w:type="dxa"/>
            </w:tcMar>
            <w:vAlign w:val="center"/>
          </w:tcPr>
          <w:p w14:paraId="264547D1">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本年处理决定数量</w:t>
            </w:r>
          </w:p>
        </w:tc>
      </w:tr>
      <w:tr w14:paraId="56C08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5F5FB48A">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行政处罚</w:t>
            </w:r>
          </w:p>
        </w:tc>
        <w:tc>
          <w:tcPr>
            <w:tcW w:w="7365" w:type="dxa"/>
            <w:gridSpan w:val="3"/>
            <w:tcBorders>
              <w:top w:val="nil"/>
              <w:left w:val="nil"/>
              <w:bottom w:val="single" w:color="auto" w:sz="8" w:space="0"/>
              <w:right w:val="single" w:color="auto" w:sz="8" w:space="0"/>
            </w:tcBorders>
            <w:shd w:val="clear"/>
            <w:tcMar>
              <w:left w:w="57" w:type="dxa"/>
              <w:right w:w="57" w:type="dxa"/>
            </w:tcMar>
            <w:vAlign w:val="center"/>
          </w:tcPr>
          <w:p w14:paraId="7B13FA14">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eastAsia" w:ascii="仿宋_GB2312" w:eastAsia="仿宋_GB2312" w:cs="仿宋_GB2312" w:hAnsiTheme="minorHAnsi"/>
                <w:b w:val="0"/>
                <w:bCs w:val="0"/>
                <w:color w:val="000000"/>
                <w:kern w:val="0"/>
                <w:sz w:val="32"/>
                <w:szCs w:val="32"/>
                <w:bdr w:val="none" w:color="auto" w:sz="0" w:space="0"/>
                <w:lang w:val="en-US" w:eastAsia="zh-CN" w:bidi="ar"/>
              </w:rPr>
              <w:t>0</w:t>
            </w:r>
          </w:p>
        </w:tc>
      </w:tr>
      <w:tr w14:paraId="1D2B33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053F2AD6">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行政强制</w:t>
            </w:r>
          </w:p>
        </w:tc>
        <w:tc>
          <w:tcPr>
            <w:tcW w:w="7365" w:type="dxa"/>
            <w:gridSpan w:val="3"/>
            <w:tcBorders>
              <w:top w:val="nil"/>
              <w:left w:val="nil"/>
              <w:bottom w:val="single" w:color="auto" w:sz="8" w:space="0"/>
              <w:right w:val="single" w:color="auto" w:sz="8" w:space="0"/>
            </w:tcBorders>
            <w:shd w:val="clear"/>
            <w:tcMar>
              <w:left w:w="57" w:type="dxa"/>
              <w:right w:w="57" w:type="dxa"/>
            </w:tcMar>
            <w:vAlign w:val="center"/>
          </w:tcPr>
          <w:p w14:paraId="70FF391C">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eastAsia" w:ascii="仿宋_GB2312" w:eastAsia="仿宋_GB2312" w:cs="仿宋_GB2312" w:hAnsiTheme="minorHAnsi"/>
                <w:b w:val="0"/>
                <w:bCs w:val="0"/>
                <w:color w:val="000000"/>
                <w:kern w:val="0"/>
                <w:sz w:val="32"/>
                <w:szCs w:val="32"/>
                <w:bdr w:val="none" w:color="auto" w:sz="0" w:space="0"/>
                <w:lang w:val="en-US" w:eastAsia="zh-CN" w:bidi="ar"/>
              </w:rPr>
              <w:t>0</w:t>
            </w:r>
          </w:p>
        </w:tc>
      </w:tr>
      <w:tr w14:paraId="3D398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14:paraId="57282471">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第二十条第（八）项</w:t>
            </w:r>
          </w:p>
        </w:tc>
      </w:tr>
      <w:tr w14:paraId="3B3383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65B1AE7E">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信息内容</w:t>
            </w:r>
          </w:p>
        </w:tc>
        <w:tc>
          <w:tcPr>
            <w:tcW w:w="7365" w:type="dxa"/>
            <w:gridSpan w:val="3"/>
            <w:tcBorders>
              <w:top w:val="nil"/>
              <w:left w:val="nil"/>
              <w:bottom w:val="single" w:color="auto" w:sz="8" w:space="0"/>
              <w:right w:val="single" w:color="000000" w:sz="8" w:space="0"/>
            </w:tcBorders>
            <w:shd w:val="clear"/>
            <w:tcMar>
              <w:left w:w="57" w:type="dxa"/>
              <w:right w:w="57" w:type="dxa"/>
            </w:tcMar>
            <w:vAlign w:val="center"/>
          </w:tcPr>
          <w:p w14:paraId="58B70E95">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本年收费金额（单位：万元）</w:t>
            </w:r>
          </w:p>
        </w:tc>
      </w:tr>
      <w:tr w14:paraId="7EF85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0870272D">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行政事业性收费</w:t>
            </w:r>
          </w:p>
        </w:tc>
        <w:tc>
          <w:tcPr>
            <w:tcW w:w="7365" w:type="dxa"/>
            <w:gridSpan w:val="3"/>
            <w:tcBorders>
              <w:top w:val="nil"/>
              <w:left w:val="nil"/>
              <w:bottom w:val="single" w:color="auto" w:sz="8" w:space="0"/>
              <w:right w:val="single" w:color="000000" w:sz="8" w:space="0"/>
            </w:tcBorders>
            <w:shd w:val="clear"/>
            <w:tcMar>
              <w:left w:w="57" w:type="dxa"/>
              <w:right w:w="57" w:type="dxa"/>
            </w:tcMar>
            <w:vAlign w:val="center"/>
          </w:tcPr>
          <w:p w14:paraId="124E6246">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eastAsia" w:ascii="仿宋_GB2312" w:eastAsia="仿宋_GB2312" w:cs="仿宋_GB2312" w:hAnsiTheme="minorHAnsi"/>
                <w:b w:val="0"/>
                <w:bCs w:val="0"/>
                <w:kern w:val="2"/>
                <w:sz w:val="32"/>
                <w:szCs w:val="32"/>
                <w:bdr w:val="none" w:color="auto" w:sz="0" w:space="0"/>
                <w:lang w:val="en-US" w:eastAsia="zh-CN" w:bidi="ar"/>
              </w:rPr>
              <w:t>0</w:t>
            </w:r>
          </w:p>
        </w:tc>
      </w:tr>
    </w:tbl>
    <w:p w14:paraId="62CB320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pPr>
      <w:r>
        <w:rPr>
          <w:rFonts w:hint="eastAsia" w:ascii="黑体" w:hAnsi="宋体" w:eastAsia="黑体" w:cs="黑体"/>
          <w:b w:val="0"/>
          <w:bCs w:val="0"/>
          <w:kern w:val="2"/>
          <w:sz w:val="32"/>
          <w:szCs w:val="32"/>
          <w:bdr w:val="none" w:color="auto" w:sz="0" w:space="0"/>
          <w:shd w:val="clear" w:fill="FFFFFF"/>
          <w:lang w:val="en-US" w:eastAsia="zh-CN" w:bidi="ar"/>
        </w:rPr>
        <w:t>三、收到和处理政府信息公开申请情况</w:t>
      </w:r>
    </w:p>
    <w:tbl>
      <w:tblPr>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14:paraId="4F370A2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tcMar>
              <w:left w:w="108" w:type="dxa"/>
              <w:right w:w="108" w:type="dxa"/>
            </w:tcMar>
            <w:vAlign w:val="center"/>
          </w:tcPr>
          <w:p w14:paraId="3D5303AC">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tcMar>
              <w:left w:w="57" w:type="dxa"/>
              <w:right w:w="57" w:type="dxa"/>
            </w:tcMar>
            <w:vAlign w:val="center"/>
          </w:tcPr>
          <w:p w14:paraId="595179AF">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申请人情况</w:t>
            </w:r>
          </w:p>
        </w:tc>
      </w:tr>
      <w:tr w14:paraId="32E98CF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tcMar>
              <w:left w:w="108" w:type="dxa"/>
              <w:right w:w="108" w:type="dxa"/>
            </w:tcMar>
            <w:vAlign w:val="center"/>
          </w:tcPr>
          <w:p w14:paraId="55ABACC1">
            <w:pPr>
              <w:rPr>
                <w:rFonts w:hint="eastAsia" w:ascii="宋体"/>
                <w:sz w:val="24"/>
                <w:szCs w:val="24"/>
              </w:rPr>
            </w:pPr>
          </w:p>
        </w:tc>
        <w:tc>
          <w:tcPr>
            <w:tcW w:w="439" w:type="dxa"/>
            <w:vMerge w:val="restart"/>
            <w:tcBorders>
              <w:top w:val="nil"/>
              <w:left w:val="nil"/>
              <w:bottom w:val="single" w:color="auto" w:sz="8" w:space="0"/>
              <w:right w:val="single" w:color="auto" w:sz="8" w:space="0"/>
            </w:tcBorders>
            <w:shd w:val="clear"/>
            <w:tcMar>
              <w:left w:w="57" w:type="dxa"/>
              <w:right w:w="57" w:type="dxa"/>
            </w:tcMar>
            <w:vAlign w:val="center"/>
          </w:tcPr>
          <w:p w14:paraId="51CE7853">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自</w:t>
            </w:r>
          </w:p>
          <w:p w14:paraId="24031427">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 </w:t>
            </w:r>
          </w:p>
          <w:p w14:paraId="51DD03B0">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然</w:t>
            </w:r>
          </w:p>
          <w:p w14:paraId="46CF50A0">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 </w:t>
            </w:r>
          </w:p>
          <w:p w14:paraId="1A32A54D">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tcMar>
              <w:left w:w="57" w:type="dxa"/>
              <w:right w:w="57" w:type="dxa"/>
            </w:tcMar>
            <w:vAlign w:val="center"/>
          </w:tcPr>
          <w:p w14:paraId="72FEE196">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tcMar>
              <w:left w:w="57" w:type="dxa"/>
              <w:right w:w="57" w:type="dxa"/>
            </w:tcMar>
            <w:vAlign w:val="center"/>
          </w:tcPr>
          <w:p w14:paraId="5F8CDF33">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总计</w:t>
            </w:r>
          </w:p>
        </w:tc>
      </w:tr>
      <w:tr w14:paraId="1267913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tcMar>
              <w:left w:w="108" w:type="dxa"/>
              <w:right w:w="108" w:type="dxa"/>
            </w:tcMar>
            <w:vAlign w:val="center"/>
          </w:tcPr>
          <w:p w14:paraId="2ACB1265">
            <w:pPr>
              <w:rPr>
                <w:rFonts w:hint="eastAsia" w:ascii="宋体"/>
                <w:sz w:val="24"/>
                <w:szCs w:val="24"/>
              </w:rPr>
            </w:pPr>
          </w:p>
        </w:tc>
        <w:tc>
          <w:tcPr>
            <w:tcW w:w="439" w:type="dxa"/>
            <w:vMerge w:val="continue"/>
            <w:tcBorders>
              <w:top w:val="nil"/>
              <w:left w:val="nil"/>
              <w:bottom w:val="single" w:color="auto" w:sz="8" w:space="0"/>
              <w:right w:val="single" w:color="auto" w:sz="8" w:space="0"/>
            </w:tcBorders>
            <w:shd w:val="clear"/>
            <w:tcMar>
              <w:left w:w="57" w:type="dxa"/>
              <w:right w:w="57" w:type="dxa"/>
            </w:tcMar>
            <w:vAlign w:val="center"/>
          </w:tcPr>
          <w:p w14:paraId="12C19AB6">
            <w:pPr>
              <w:rPr>
                <w:rFonts w:hint="eastAsia" w:ascii="宋体"/>
                <w:sz w:val="24"/>
                <w:szCs w:val="24"/>
              </w:rPr>
            </w:pP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0CC2B979">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商业</w:t>
            </w:r>
          </w:p>
          <w:p w14:paraId="5F18B2DB">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企业</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3F267D72">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科研</w:t>
            </w:r>
          </w:p>
          <w:p w14:paraId="0C9F29C2">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机构</w:t>
            </w:r>
          </w:p>
        </w:tc>
        <w:tc>
          <w:tcPr>
            <w:tcW w:w="497" w:type="dxa"/>
            <w:tcBorders>
              <w:top w:val="single" w:color="auto" w:sz="8" w:space="0"/>
              <w:left w:val="nil"/>
              <w:bottom w:val="single" w:color="auto" w:sz="8" w:space="0"/>
              <w:right w:val="single" w:color="auto" w:sz="8" w:space="0"/>
            </w:tcBorders>
            <w:shd w:val="clear"/>
            <w:tcMar>
              <w:left w:w="57" w:type="dxa"/>
              <w:right w:w="57" w:type="dxa"/>
            </w:tcMar>
            <w:vAlign w:val="center"/>
          </w:tcPr>
          <w:p w14:paraId="2D6EB6BF">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tcMar>
              <w:left w:w="57" w:type="dxa"/>
              <w:right w:w="57" w:type="dxa"/>
            </w:tcMar>
            <w:vAlign w:val="center"/>
          </w:tcPr>
          <w:p w14:paraId="168722EF">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tcMar>
              <w:left w:w="57" w:type="dxa"/>
              <w:right w:w="57" w:type="dxa"/>
            </w:tcMar>
            <w:vAlign w:val="center"/>
          </w:tcPr>
          <w:p w14:paraId="6FDF6773">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tcMar>
              <w:left w:w="57" w:type="dxa"/>
              <w:right w:w="57" w:type="dxa"/>
            </w:tcMar>
            <w:vAlign w:val="center"/>
          </w:tcPr>
          <w:p w14:paraId="0FB3CBB2">
            <w:pPr>
              <w:rPr>
                <w:rFonts w:hint="eastAsia" w:ascii="宋体"/>
                <w:sz w:val="24"/>
                <w:szCs w:val="24"/>
              </w:rPr>
            </w:pPr>
          </w:p>
        </w:tc>
      </w:tr>
      <w:tr w14:paraId="029DACE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tcMar>
              <w:left w:w="57" w:type="dxa"/>
              <w:right w:w="57" w:type="dxa"/>
            </w:tcMar>
            <w:vAlign w:val="center"/>
          </w:tcPr>
          <w:p w14:paraId="514A9A75">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04573F5B">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7CC435F1">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0822B378">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0F5EF8EE">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35975172">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1093E316">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6097BD85">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r>
      <w:tr w14:paraId="5181018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tcMar>
              <w:left w:w="57" w:type="dxa"/>
              <w:right w:w="57" w:type="dxa"/>
            </w:tcMar>
            <w:vAlign w:val="center"/>
          </w:tcPr>
          <w:p w14:paraId="522F905B">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6D0BE533">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62BA75E7">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6E307E87">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4BA507A6">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4FF14EA3">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1B4BE91A">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2AB015DB">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r>
      <w:tr w14:paraId="27A2E3B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tcMar>
              <w:left w:w="57" w:type="dxa"/>
              <w:right w:w="57" w:type="dxa"/>
            </w:tcMar>
            <w:vAlign w:val="center"/>
          </w:tcPr>
          <w:p w14:paraId="3843A947">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三、本年度办理结果</w:t>
            </w:r>
          </w:p>
        </w:tc>
        <w:tc>
          <w:tcPr>
            <w:tcW w:w="5820" w:type="dxa"/>
            <w:gridSpan w:val="2"/>
            <w:tcBorders>
              <w:top w:val="nil"/>
              <w:left w:val="nil"/>
              <w:bottom w:val="single" w:color="auto" w:sz="8" w:space="0"/>
              <w:right w:val="single" w:color="auto" w:sz="8" w:space="0"/>
            </w:tcBorders>
            <w:shd w:val="clear"/>
            <w:tcMar>
              <w:left w:w="57" w:type="dxa"/>
              <w:right w:w="57" w:type="dxa"/>
            </w:tcMar>
            <w:vAlign w:val="center"/>
          </w:tcPr>
          <w:p w14:paraId="62EB7105">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（一）予以公开</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1B824081">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403F42E7">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6DABEFB2">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6B805D56">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4E3CB200">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5BBD4BF6">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71" w:type="dxa"/>
            <w:tcBorders>
              <w:top w:val="single" w:color="auto" w:sz="8" w:space="0"/>
              <w:left w:val="nil"/>
              <w:bottom w:val="single" w:color="auto" w:sz="8" w:space="0"/>
              <w:right w:val="single" w:color="auto" w:sz="8" w:space="0"/>
            </w:tcBorders>
            <w:shd w:val="clear"/>
            <w:tcMar>
              <w:left w:w="57" w:type="dxa"/>
              <w:right w:w="57" w:type="dxa"/>
            </w:tcMar>
            <w:vAlign w:val="top"/>
          </w:tcPr>
          <w:p w14:paraId="13F285C2">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r>
      <w:tr w14:paraId="746F75B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2CD6C5E7">
            <w:pPr>
              <w:rPr>
                <w:rFonts w:hint="eastAsia" w:ascii="宋体"/>
                <w:sz w:val="24"/>
                <w:szCs w:val="24"/>
              </w:rPr>
            </w:pPr>
          </w:p>
        </w:tc>
        <w:tc>
          <w:tcPr>
            <w:tcW w:w="5820" w:type="dxa"/>
            <w:gridSpan w:val="2"/>
            <w:tcBorders>
              <w:top w:val="nil"/>
              <w:left w:val="nil"/>
              <w:bottom w:val="single" w:color="auto" w:sz="8" w:space="0"/>
              <w:right w:val="single" w:color="auto" w:sz="8" w:space="0"/>
            </w:tcBorders>
            <w:shd w:val="clear"/>
            <w:tcMar>
              <w:left w:w="57" w:type="dxa"/>
              <w:right w:w="57" w:type="dxa"/>
            </w:tcMar>
            <w:vAlign w:val="center"/>
          </w:tcPr>
          <w:p w14:paraId="60229D7A">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38A357DB">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6535E67E">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159B95FB">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6B57B894">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0B5AD54C">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6ABC4DEE">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center"/>
          </w:tcPr>
          <w:p w14:paraId="4B1E1C1A">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r>
      <w:tr w14:paraId="0498C1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268C866D">
            <w:pPr>
              <w:rPr>
                <w:rFonts w:hint="eastAsia" w:ascii="宋体"/>
                <w:sz w:val="24"/>
                <w:szCs w:val="24"/>
              </w:rPr>
            </w:pPr>
          </w:p>
        </w:tc>
        <w:tc>
          <w:tcPr>
            <w:tcW w:w="997" w:type="dxa"/>
            <w:vMerge w:val="restart"/>
            <w:tcBorders>
              <w:top w:val="nil"/>
              <w:left w:val="nil"/>
              <w:bottom w:val="outset" w:color="auto" w:sz="8" w:space="0"/>
              <w:right w:val="single" w:color="auto" w:sz="8" w:space="0"/>
            </w:tcBorders>
            <w:shd w:val="clear"/>
            <w:tcMar>
              <w:left w:w="57" w:type="dxa"/>
              <w:right w:w="57" w:type="dxa"/>
            </w:tcMar>
            <w:vAlign w:val="center"/>
          </w:tcPr>
          <w:p w14:paraId="7B3EDC50">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（三）不予公开</w:t>
            </w:r>
          </w:p>
        </w:tc>
        <w:tc>
          <w:tcPr>
            <w:tcW w:w="4823" w:type="dxa"/>
            <w:tcBorders>
              <w:top w:val="nil"/>
              <w:left w:val="nil"/>
              <w:bottom w:val="single" w:color="auto" w:sz="8" w:space="0"/>
              <w:right w:val="single" w:color="auto" w:sz="8" w:space="0"/>
            </w:tcBorders>
            <w:shd w:val="clear"/>
            <w:tcMar>
              <w:left w:w="57" w:type="dxa"/>
              <w:right w:w="57" w:type="dxa"/>
            </w:tcMar>
            <w:vAlign w:val="top"/>
          </w:tcPr>
          <w:p w14:paraId="3E198339">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1.属于国家秘密</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3256DE3C">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53545EE0">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0D550F6E">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2422FDF8">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0D4C763B">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67426BA2">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71" w:type="dxa"/>
            <w:tcBorders>
              <w:top w:val="single" w:color="auto" w:sz="8" w:space="0"/>
              <w:left w:val="nil"/>
              <w:bottom w:val="single" w:color="auto" w:sz="8" w:space="0"/>
              <w:right w:val="single" w:color="auto" w:sz="8" w:space="0"/>
            </w:tcBorders>
            <w:shd w:val="clear"/>
            <w:tcMar>
              <w:left w:w="57" w:type="dxa"/>
              <w:right w:w="57" w:type="dxa"/>
            </w:tcMar>
            <w:vAlign w:val="top"/>
          </w:tcPr>
          <w:p w14:paraId="4CAF57C6">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r>
      <w:tr w14:paraId="7F575AF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6EDA34EA">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14:paraId="3D817C04">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70C8ACCB">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2.其他法律行政法规禁止公开</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365B21A4">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6238D61B">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27420761">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57379AF9">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2BBFC2EF">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4AD7208C">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0BE17E16">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r>
      <w:tr w14:paraId="5AA2747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6A3DC3A7">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14:paraId="026A9B4E">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03F536E1">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3.危及“三安全一稳定”</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56C06191">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77299F1A">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065014B5">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61E84BDC">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14144D60">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25CAAE8B">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61767228">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r>
      <w:tr w14:paraId="0657C6F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51AA04A1">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14:paraId="366AF9ED">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6A1968B7">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4.保护第三方合法权益</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50F7B1A7">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0BE0E423">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27D57191">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2E380DF9">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25FFE1F9">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3CBE4C5B">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54521C41">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r>
      <w:tr w14:paraId="70CE87C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4820E642">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14:paraId="6B5E4E0B">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23BA33BF">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5.属于三类内部事务信息</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42058EA5">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0C380302">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2BF91A47">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49740935">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0BB77FBA">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1AA1153F">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37E8E8B5">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r>
      <w:tr w14:paraId="1270871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78B3CCC5">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14:paraId="1B2BB16C">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1DD84B3D">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6.属于四类过程性信息</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20057B3C">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6897CE52">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3E174E88">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4497BB1D">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6898538D">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3757498D">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3B32B88C">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r>
      <w:tr w14:paraId="5DFBE99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19C25643">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14:paraId="45554FD2">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69CA6DDC">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7.属于行政执法案卷</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74C53563">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297C094B">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38042120">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3E711ED3">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7D788D08">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59C9BF74">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32AF6028">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r>
      <w:tr w14:paraId="53D63A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4917DC65">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14:paraId="1C047DDF">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7CE017F3">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8.属于行政查询事项</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4DABE0DB">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3CA29DDF">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07526EA5">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5AA923E2">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07795F5F">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19DDDFC2">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52BCF394">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r>
      <w:tr w14:paraId="67B08EC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08FE5FA7">
            <w:pPr>
              <w:rPr>
                <w:rFonts w:hint="eastAsia" w:ascii="宋体"/>
                <w:sz w:val="24"/>
                <w:szCs w:val="24"/>
              </w:rPr>
            </w:pPr>
          </w:p>
        </w:tc>
        <w:tc>
          <w:tcPr>
            <w:tcW w:w="997" w:type="dxa"/>
            <w:vMerge w:val="restart"/>
            <w:tcBorders>
              <w:top w:val="nil"/>
              <w:left w:val="nil"/>
              <w:bottom w:val="outset" w:color="auto" w:sz="8" w:space="0"/>
              <w:right w:val="single" w:color="auto" w:sz="8" w:space="0"/>
            </w:tcBorders>
            <w:shd w:val="clear"/>
            <w:tcMar>
              <w:left w:w="57" w:type="dxa"/>
              <w:right w:w="57" w:type="dxa"/>
            </w:tcMar>
            <w:vAlign w:val="center"/>
          </w:tcPr>
          <w:p w14:paraId="3E5373C5">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（四）无法提供</w:t>
            </w:r>
          </w:p>
        </w:tc>
        <w:tc>
          <w:tcPr>
            <w:tcW w:w="4823" w:type="dxa"/>
            <w:tcBorders>
              <w:top w:val="nil"/>
              <w:left w:val="nil"/>
              <w:bottom w:val="single" w:color="auto" w:sz="8" w:space="0"/>
              <w:right w:val="single" w:color="auto" w:sz="8" w:space="0"/>
            </w:tcBorders>
            <w:shd w:val="clear"/>
            <w:tcMar>
              <w:left w:w="57" w:type="dxa"/>
              <w:right w:w="57" w:type="dxa"/>
            </w:tcMar>
            <w:vAlign w:val="top"/>
          </w:tcPr>
          <w:p w14:paraId="54F53DE7">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1.本机关不掌握相关政府信息</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458D2450">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7124395B">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3DE9DA69">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40C0C970">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029BC305">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2BB630BB">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07E4382A">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r>
      <w:tr w14:paraId="6B97FB5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20F06487">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14:paraId="4E8BA4DC">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15E0F13F">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2.没有现成信息需要另行制作</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6027BC65">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2A009B1E">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10507BE6">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5F97AE08">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7A541A4D">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20FDF7AC">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30298E93">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r>
      <w:tr w14:paraId="0082547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42B8B521">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14:paraId="172C7D8C">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029C130E">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3.补正后申请内容仍不明确</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2BF50B54">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46CD21DC">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644B56DF">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041A32B6">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28CB71D7">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109098EA">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6317B7DE">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r>
      <w:tr w14:paraId="53F5D27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152C24BD">
            <w:pPr>
              <w:rPr>
                <w:rFonts w:hint="eastAsia" w:ascii="宋体"/>
                <w:sz w:val="24"/>
                <w:szCs w:val="24"/>
              </w:rPr>
            </w:pPr>
          </w:p>
        </w:tc>
        <w:tc>
          <w:tcPr>
            <w:tcW w:w="997" w:type="dxa"/>
            <w:vMerge w:val="restart"/>
            <w:tcBorders>
              <w:top w:val="nil"/>
              <w:left w:val="nil"/>
              <w:bottom w:val="outset" w:color="auto" w:sz="8" w:space="0"/>
              <w:right w:val="single" w:color="auto" w:sz="8" w:space="0"/>
            </w:tcBorders>
            <w:shd w:val="clear"/>
            <w:tcMar>
              <w:left w:w="57" w:type="dxa"/>
              <w:right w:w="57" w:type="dxa"/>
            </w:tcMar>
            <w:vAlign w:val="center"/>
          </w:tcPr>
          <w:p w14:paraId="7A1C3A44">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（五）不予处理</w:t>
            </w:r>
          </w:p>
        </w:tc>
        <w:tc>
          <w:tcPr>
            <w:tcW w:w="4823" w:type="dxa"/>
            <w:tcBorders>
              <w:top w:val="nil"/>
              <w:left w:val="nil"/>
              <w:bottom w:val="single" w:color="auto" w:sz="8" w:space="0"/>
              <w:right w:val="single" w:color="auto" w:sz="8" w:space="0"/>
            </w:tcBorders>
            <w:shd w:val="clear"/>
            <w:tcMar>
              <w:left w:w="57" w:type="dxa"/>
              <w:right w:w="57" w:type="dxa"/>
            </w:tcMar>
            <w:vAlign w:val="top"/>
          </w:tcPr>
          <w:p w14:paraId="00E2E707">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1.信访举报投诉类申请</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54324895">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70A2EE51">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1D5AB562">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74BB6D00">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2F85D9D5">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5FC2334C">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0D3D970C">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r>
      <w:tr w14:paraId="22F274A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34A3E8A7">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14:paraId="67BCFCF0">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65A36F95">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2.重复申请</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1BF177AA">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4E5C9461">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66F4E750">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7D60E49D">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4381708E">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0990BCAE">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0051EC78">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r>
      <w:tr w14:paraId="2A9D375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63D156AB">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14:paraId="63F4A6F4">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6BB76066">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3.要求提供公开出版物</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01578D42">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78AD58CF">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4E063D19">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717061C2">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31051764">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09025EE0">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7E67962F">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r>
      <w:tr w14:paraId="6CA4212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72DE0381">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14:paraId="33FC2130">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62C36C43">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4.无正当理由大量反复申请</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79891965">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5E103EE9">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2B16CF0D">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53B167E3">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72E5ED60">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6CAC78F9">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14:paraId="0C1B8B96">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r>
      <w:tr w14:paraId="07CDF49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5C9E5E17">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14:paraId="6F7D7DD8">
            <w:pPr>
              <w:rPr>
                <w:rFonts w:hint="eastAsia" w:ascii="宋体"/>
                <w:sz w:val="24"/>
                <w:szCs w:val="24"/>
              </w:rPr>
            </w:pPr>
          </w:p>
        </w:tc>
        <w:tc>
          <w:tcPr>
            <w:tcW w:w="4823" w:type="dxa"/>
            <w:tcBorders>
              <w:top w:val="nil"/>
              <w:left w:val="nil"/>
              <w:bottom w:val="single" w:color="auto" w:sz="4" w:space="0"/>
              <w:right w:val="single" w:color="auto" w:sz="8" w:space="0"/>
            </w:tcBorders>
            <w:shd w:val="clear"/>
            <w:tcMar>
              <w:left w:w="57" w:type="dxa"/>
              <w:right w:w="57" w:type="dxa"/>
            </w:tcMar>
            <w:vAlign w:val="center"/>
          </w:tcPr>
          <w:p w14:paraId="5464F0D0">
            <w:pPr>
              <w:keepNext w:val="0"/>
              <w:keepLines w:val="0"/>
              <w:widowControl/>
              <w:suppressLineNumbers w:val="0"/>
              <w:autoSpaceDE w:val="0"/>
              <w:autoSpaceDN/>
              <w:spacing w:before="0" w:beforeAutospacing="0" w:after="0" w:afterAutospacing="0" w:line="400" w:lineRule="exact"/>
              <w:ind w:left="0" w:right="0" w:firstLine="0" w:firstLineChars="0"/>
              <w:jc w:val="both"/>
            </w:pPr>
            <w:r>
              <w:rPr>
                <w:rFonts w:hint="default" w:ascii="楷体_GB2312" w:eastAsia="楷体_GB2312" w:cs="楷体_GB2312" w:hAnsiTheme="minorHAnsi"/>
                <w:b/>
                <w:bCs/>
                <w:kern w:val="0"/>
                <w:sz w:val="32"/>
                <w:szCs w:val="32"/>
                <w:bdr w:val="none" w:color="auto" w:sz="0" w:space="0"/>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tcMar>
              <w:left w:w="57" w:type="dxa"/>
              <w:right w:w="57" w:type="dxa"/>
            </w:tcMar>
            <w:vAlign w:val="center"/>
          </w:tcPr>
          <w:p w14:paraId="084F3AAB">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4" w:space="0"/>
              <w:right w:val="single" w:color="auto" w:sz="8" w:space="0"/>
            </w:tcBorders>
            <w:shd w:val="clear"/>
            <w:tcMar>
              <w:left w:w="57" w:type="dxa"/>
              <w:right w:w="57" w:type="dxa"/>
            </w:tcMar>
            <w:vAlign w:val="center"/>
          </w:tcPr>
          <w:p w14:paraId="30E8185A">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380" w:type="dxa"/>
            <w:tcBorders>
              <w:top w:val="nil"/>
              <w:left w:val="nil"/>
              <w:bottom w:val="single" w:color="auto" w:sz="4" w:space="0"/>
              <w:right w:val="single" w:color="auto" w:sz="8" w:space="0"/>
            </w:tcBorders>
            <w:shd w:val="clear"/>
            <w:tcMar>
              <w:left w:w="57" w:type="dxa"/>
              <w:right w:w="57" w:type="dxa"/>
            </w:tcMar>
            <w:vAlign w:val="center"/>
          </w:tcPr>
          <w:p w14:paraId="5BE36CCB">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97" w:type="dxa"/>
            <w:tcBorders>
              <w:top w:val="nil"/>
              <w:left w:val="nil"/>
              <w:bottom w:val="single" w:color="auto" w:sz="4" w:space="0"/>
              <w:right w:val="single" w:color="auto" w:sz="8" w:space="0"/>
            </w:tcBorders>
            <w:shd w:val="clear"/>
            <w:tcMar>
              <w:left w:w="57" w:type="dxa"/>
              <w:right w:w="57" w:type="dxa"/>
            </w:tcMar>
            <w:vAlign w:val="center"/>
          </w:tcPr>
          <w:p w14:paraId="6BB5F1A0">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38" w:type="dxa"/>
            <w:tcBorders>
              <w:top w:val="nil"/>
              <w:left w:val="nil"/>
              <w:bottom w:val="single" w:color="auto" w:sz="4" w:space="0"/>
              <w:right w:val="single" w:color="auto" w:sz="8" w:space="0"/>
            </w:tcBorders>
            <w:shd w:val="clear"/>
            <w:tcMar>
              <w:left w:w="57" w:type="dxa"/>
              <w:right w:w="57" w:type="dxa"/>
            </w:tcMar>
            <w:vAlign w:val="center"/>
          </w:tcPr>
          <w:p w14:paraId="5AEB8BD6">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50" w:type="dxa"/>
            <w:tcBorders>
              <w:top w:val="nil"/>
              <w:left w:val="nil"/>
              <w:bottom w:val="single" w:color="auto" w:sz="4" w:space="0"/>
              <w:right w:val="single" w:color="auto" w:sz="8" w:space="0"/>
            </w:tcBorders>
            <w:shd w:val="clear"/>
            <w:tcMar>
              <w:left w:w="57" w:type="dxa"/>
              <w:right w:w="57" w:type="dxa"/>
            </w:tcMar>
            <w:vAlign w:val="center"/>
          </w:tcPr>
          <w:p w14:paraId="16CAD656">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71" w:type="dxa"/>
            <w:tcBorders>
              <w:top w:val="nil"/>
              <w:left w:val="nil"/>
              <w:bottom w:val="single" w:color="auto" w:sz="4" w:space="0"/>
              <w:right w:val="single" w:color="auto" w:sz="8" w:space="0"/>
            </w:tcBorders>
            <w:shd w:val="clear"/>
            <w:tcMar>
              <w:left w:w="57" w:type="dxa"/>
              <w:right w:w="57" w:type="dxa"/>
            </w:tcMar>
            <w:vAlign w:val="center"/>
          </w:tcPr>
          <w:p w14:paraId="58E24091">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r>
      <w:tr w14:paraId="6D27154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60565FB9">
            <w:pPr>
              <w:rPr>
                <w:rFonts w:hint="eastAsia" w:ascii="宋体"/>
                <w:sz w:val="24"/>
                <w:szCs w:val="24"/>
              </w:rPr>
            </w:pPr>
          </w:p>
        </w:tc>
        <w:tc>
          <w:tcPr>
            <w:tcW w:w="997" w:type="dxa"/>
            <w:vMerge w:val="restart"/>
            <w:tcBorders>
              <w:top w:val="nil"/>
              <w:left w:val="nil"/>
              <w:bottom w:val="single" w:color="auto" w:sz="4" w:space="0"/>
              <w:right w:val="single" w:color="auto" w:sz="4" w:space="0"/>
            </w:tcBorders>
            <w:shd w:val="clear"/>
            <w:tcMar>
              <w:left w:w="57" w:type="dxa"/>
              <w:right w:w="57" w:type="dxa"/>
            </w:tcMar>
            <w:vAlign w:val="center"/>
          </w:tcPr>
          <w:p w14:paraId="146B5DC4">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（六）其他处理</w:t>
            </w:r>
          </w:p>
        </w:tc>
        <w:tc>
          <w:tcPr>
            <w:tcW w:w="4823" w:type="dxa"/>
            <w:tcBorders>
              <w:top w:val="single" w:color="auto" w:sz="4" w:space="0"/>
              <w:left w:val="nil"/>
              <w:bottom w:val="single" w:color="auto" w:sz="4" w:space="0"/>
              <w:right w:val="single" w:color="auto" w:sz="4" w:space="0"/>
            </w:tcBorders>
            <w:shd w:val="clear"/>
            <w:tcMar>
              <w:left w:w="57" w:type="dxa"/>
              <w:right w:w="57" w:type="dxa"/>
            </w:tcMar>
            <w:vAlign w:val="center"/>
          </w:tcPr>
          <w:p w14:paraId="43CC940E">
            <w:pPr>
              <w:keepNext w:val="0"/>
              <w:keepLines w:val="0"/>
              <w:widowControl/>
              <w:suppressLineNumbers w:val="0"/>
              <w:autoSpaceDE w:val="0"/>
              <w:autoSpaceDN/>
              <w:spacing w:before="0" w:beforeAutospacing="0" w:after="0" w:afterAutospacing="0" w:line="400" w:lineRule="exact"/>
              <w:ind w:left="0" w:right="0" w:firstLine="0" w:firstLineChars="0"/>
              <w:jc w:val="both"/>
            </w:pPr>
            <w:r>
              <w:rPr>
                <w:rFonts w:hint="default" w:ascii="楷体_GB2312" w:eastAsia="楷体_GB2312" w:cs="楷体_GB2312" w:hAnsiTheme="minorHAnsi"/>
                <w:b/>
                <w:bCs/>
                <w:kern w:val="0"/>
                <w:sz w:val="32"/>
                <w:szCs w:val="32"/>
                <w:bdr w:val="none" w:color="auto" w:sz="0" w:space="0"/>
                <w:lang w:val="en-US" w:eastAsia="zh-CN" w:bidi="ar"/>
              </w:rPr>
              <w:t>1.申请人无正当理由逾期不补正、行政机关不再处理其政府信息公开申请</w:t>
            </w:r>
          </w:p>
        </w:tc>
        <w:tc>
          <w:tcPr>
            <w:tcW w:w="439" w:type="dxa"/>
            <w:tcBorders>
              <w:top w:val="single" w:color="auto" w:sz="4" w:space="0"/>
              <w:left w:val="nil"/>
              <w:bottom w:val="single" w:color="auto" w:sz="4" w:space="0"/>
              <w:right w:val="single" w:color="auto" w:sz="4" w:space="0"/>
            </w:tcBorders>
            <w:shd w:val="clear"/>
            <w:tcMar>
              <w:left w:w="57" w:type="dxa"/>
              <w:right w:w="57" w:type="dxa"/>
            </w:tcMar>
            <w:vAlign w:val="center"/>
          </w:tcPr>
          <w:p w14:paraId="613148E2">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single" w:color="auto" w:sz="4" w:space="0"/>
              <w:left w:val="nil"/>
              <w:bottom w:val="single" w:color="auto" w:sz="4" w:space="0"/>
              <w:right w:val="single" w:color="auto" w:sz="4" w:space="0"/>
            </w:tcBorders>
            <w:shd w:val="clear"/>
            <w:tcMar>
              <w:left w:w="57" w:type="dxa"/>
              <w:right w:w="57" w:type="dxa"/>
            </w:tcMar>
            <w:vAlign w:val="center"/>
          </w:tcPr>
          <w:p w14:paraId="3B9DB105">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380" w:type="dxa"/>
            <w:tcBorders>
              <w:top w:val="single" w:color="auto" w:sz="4" w:space="0"/>
              <w:left w:val="nil"/>
              <w:bottom w:val="single" w:color="auto" w:sz="4" w:space="0"/>
              <w:right w:val="single" w:color="auto" w:sz="4" w:space="0"/>
            </w:tcBorders>
            <w:shd w:val="clear"/>
            <w:tcMar>
              <w:left w:w="57" w:type="dxa"/>
              <w:right w:w="57" w:type="dxa"/>
            </w:tcMar>
            <w:vAlign w:val="center"/>
          </w:tcPr>
          <w:p w14:paraId="6AF85EB7">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97" w:type="dxa"/>
            <w:tcBorders>
              <w:top w:val="single" w:color="auto" w:sz="4" w:space="0"/>
              <w:left w:val="nil"/>
              <w:bottom w:val="single" w:color="auto" w:sz="4" w:space="0"/>
              <w:right w:val="single" w:color="auto" w:sz="4" w:space="0"/>
            </w:tcBorders>
            <w:shd w:val="clear"/>
            <w:tcMar>
              <w:left w:w="57" w:type="dxa"/>
              <w:right w:w="57" w:type="dxa"/>
            </w:tcMar>
            <w:vAlign w:val="center"/>
          </w:tcPr>
          <w:p w14:paraId="4C6E342A">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38" w:type="dxa"/>
            <w:tcBorders>
              <w:top w:val="single" w:color="auto" w:sz="4" w:space="0"/>
              <w:left w:val="nil"/>
              <w:bottom w:val="single" w:color="auto" w:sz="4" w:space="0"/>
              <w:right w:val="single" w:color="auto" w:sz="4" w:space="0"/>
            </w:tcBorders>
            <w:shd w:val="clear"/>
            <w:tcMar>
              <w:left w:w="57" w:type="dxa"/>
              <w:right w:w="57" w:type="dxa"/>
            </w:tcMar>
            <w:vAlign w:val="center"/>
          </w:tcPr>
          <w:p w14:paraId="6DCDDA99">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50" w:type="dxa"/>
            <w:tcBorders>
              <w:top w:val="single" w:color="auto" w:sz="4" w:space="0"/>
              <w:left w:val="nil"/>
              <w:bottom w:val="single" w:color="auto" w:sz="4" w:space="0"/>
              <w:right w:val="single" w:color="auto" w:sz="4" w:space="0"/>
            </w:tcBorders>
            <w:shd w:val="clear"/>
            <w:tcMar>
              <w:left w:w="57" w:type="dxa"/>
              <w:right w:w="57" w:type="dxa"/>
            </w:tcMar>
            <w:vAlign w:val="center"/>
          </w:tcPr>
          <w:p w14:paraId="1DA50D05">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71" w:type="dxa"/>
            <w:tcBorders>
              <w:top w:val="single" w:color="auto" w:sz="4" w:space="0"/>
              <w:left w:val="nil"/>
              <w:bottom w:val="single" w:color="auto" w:sz="4" w:space="0"/>
              <w:right w:val="single" w:color="auto" w:sz="4" w:space="0"/>
            </w:tcBorders>
            <w:shd w:val="clear"/>
            <w:tcMar>
              <w:left w:w="57" w:type="dxa"/>
              <w:right w:w="57" w:type="dxa"/>
            </w:tcMar>
            <w:vAlign w:val="center"/>
          </w:tcPr>
          <w:p w14:paraId="56641D69">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r>
      <w:tr w14:paraId="58DBD7F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6C312730">
            <w:pPr>
              <w:rPr>
                <w:rFonts w:hint="eastAsia" w:ascii="宋体"/>
                <w:sz w:val="24"/>
                <w:szCs w:val="24"/>
              </w:rPr>
            </w:pPr>
          </w:p>
        </w:tc>
        <w:tc>
          <w:tcPr>
            <w:tcW w:w="997" w:type="dxa"/>
            <w:vMerge w:val="continue"/>
            <w:tcBorders>
              <w:top w:val="nil"/>
              <w:left w:val="nil"/>
              <w:bottom w:val="single" w:color="auto" w:sz="4" w:space="0"/>
              <w:right w:val="single" w:color="auto" w:sz="4" w:space="0"/>
            </w:tcBorders>
            <w:shd w:val="clear"/>
            <w:tcMar>
              <w:left w:w="57" w:type="dxa"/>
              <w:right w:w="57" w:type="dxa"/>
            </w:tcMar>
            <w:vAlign w:val="center"/>
          </w:tcPr>
          <w:p w14:paraId="74799988">
            <w:pPr>
              <w:rPr>
                <w:rFonts w:hint="eastAsia" w:ascii="宋体"/>
                <w:sz w:val="24"/>
                <w:szCs w:val="24"/>
              </w:rPr>
            </w:pPr>
          </w:p>
        </w:tc>
        <w:tc>
          <w:tcPr>
            <w:tcW w:w="4823" w:type="dxa"/>
            <w:tcBorders>
              <w:top w:val="single" w:color="auto" w:sz="4" w:space="0"/>
              <w:left w:val="nil"/>
              <w:bottom w:val="single" w:color="auto" w:sz="4" w:space="0"/>
              <w:right w:val="single" w:color="auto" w:sz="4" w:space="0"/>
            </w:tcBorders>
            <w:shd w:val="clear"/>
            <w:tcMar>
              <w:left w:w="57" w:type="dxa"/>
              <w:right w:w="57" w:type="dxa"/>
            </w:tcMar>
            <w:vAlign w:val="center"/>
          </w:tcPr>
          <w:p w14:paraId="050D0CC9">
            <w:pPr>
              <w:keepNext w:val="0"/>
              <w:keepLines w:val="0"/>
              <w:widowControl/>
              <w:suppressLineNumbers w:val="0"/>
              <w:autoSpaceDE w:val="0"/>
              <w:autoSpaceDN/>
              <w:spacing w:before="0" w:beforeAutospacing="0" w:after="0" w:afterAutospacing="0" w:line="400" w:lineRule="exact"/>
              <w:ind w:left="0" w:right="0" w:firstLine="0" w:firstLineChars="0"/>
              <w:jc w:val="both"/>
            </w:pPr>
            <w:r>
              <w:rPr>
                <w:rFonts w:hint="default" w:ascii="楷体_GB2312" w:eastAsia="楷体_GB2312" w:cs="楷体_GB2312" w:hAnsiTheme="minorHAnsi"/>
                <w:b/>
                <w:bCs/>
                <w:kern w:val="0"/>
                <w:sz w:val="32"/>
                <w:szCs w:val="32"/>
                <w:bdr w:val="none" w:color="auto" w:sz="0" w:space="0"/>
                <w:lang w:val="en-US" w:eastAsia="zh-CN" w:bidi="ar"/>
              </w:rPr>
              <w:t>2.申请人逾期未按收费通知要求缴纳费用、行政机关不再处理其政府信息公开申请</w:t>
            </w:r>
          </w:p>
        </w:tc>
        <w:tc>
          <w:tcPr>
            <w:tcW w:w="439" w:type="dxa"/>
            <w:tcBorders>
              <w:top w:val="single" w:color="auto" w:sz="4" w:space="0"/>
              <w:left w:val="nil"/>
              <w:bottom w:val="single" w:color="auto" w:sz="4" w:space="0"/>
              <w:right w:val="single" w:color="auto" w:sz="4" w:space="0"/>
            </w:tcBorders>
            <w:shd w:val="clear"/>
            <w:tcMar>
              <w:left w:w="57" w:type="dxa"/>
              <w:right w:w="57" w:type="dxa"/>
            </w:tcMar>
            <w:vAlign w:val="center"/>
          </w:tcPr>
          <w:p w14:paraId="54A86A2D">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single" w:color="auto" w:sz="4" w:space="0"/>
              <w:left w:val="nil"/>
              <w:bottom w:val="single" w:color="auto" w:sz="4" w:space="0"/>
              <w:right w:val="single" w:color="auto" w:sz="4" w:space="0"/>
            </w:tcBorders>
            <w:shd w:val="clear"/>
            <w:tcMar>
              <w:left w:w="57" w:type="dxa"/>
              <w:right w:w="57" w:type="dxa"/>
            </w:tcMar>
            <w:vAlign w:val="center"/>
          </w:tcPr>
          <w:p w14:paraId="6948F7CA">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380" w:type="dxa"/>
            <w:tcBorders>
              <w:top w:val="single" w:color="auto" w:sz="4" w:space="0"/>
              <w:left w:val="nil"/>
              <w:bottom w:val="single" w:color="auto" w:sz="4" w:space="0"/>
              <w:right w:val="single" w:color="auto" w:sz="4" w:space="0"/>
            </w:tcBorders>
            <w:shd w:val="clear"/>
            <w:tcMar>
              <w:left w:w="57" w:type="dxa"/>
              <w:right w:w="57" w:type="dxa"/>
            </w:tcMar>
            <w:vAlign w:val="center"/>
          </w:tcPr>
          <w:p w14:paraId="3442E465">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97" w:type="dxa"/>
            <w:tcBorders>
              <w:top w:val="single" w:color="auto" w:sz="4" w:space="0"/>
              <w:left w:val="nil"/>
              <w:bottom w:val="single" w:color="auto" w:sz="4" w:space="0"/>
              <w:right w:val="single" w:color="auto" w:sz="4" w:space="0"/>
            </w:tcBorders>
            <w:shd w:val="clear"/>
            <w:tcMar>
              <w:left w:w="57" w:type="dxa"/>
              <w:right w:w="57" w:type="dxa"/>
            </w:tcMar>
            <w:vAlign w:val="center"/>
          </w:tcPr>
          <w:p w14:paraId="0050100F">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38" w:type="dxa"/>
            <w:tcBorders>
              <w:top w:val="single" w:color="auto" w:sz="4" w:space="0"/>
              <w:left w:val="nil"/>
              <w:bottom w:val="single" w:color="auto" w:sz="4" w:space="0"/>
              <w:right w:val="single" w:color="auto" w:sz="4" w:space="0"/>
            </w:tcBorders>
            <w:shd w:val="clear"/>
            <w:tcMar>
              <w:left w:w="57" w:type="dxa"/>
              <w:right w:w="57" w:type="dxa"/>
            </w:tcMar>
            <w:vAlign w:val="center"/>
          </w:tcPr>
          <w:p w14:paraId="6C53F8D7">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50" w:type="dxa"/>
            <w:tcBorders>
              <w:top w:val="single" w:color="auto" w:sz="4" w:space="0"/>
              <w:left w:val="nil"/>
              <w:bottom w:val="single" w:color="auto" w:sz="4" w:space="0"/>
              <w:right w:val="single" w:color="auto" w:sz="4" w:space="0"/>
            </w:tcBorders>
            <w:shd w:val="clear"/>
            <w:tcMar>
              <w:left w:w="57" w:type="dxa"/>
              <w:right w:w="57" w:type="dxa"/>
            </w:tcMar>
            <w:vAlign w:val="center"/>
          </w:tcPr>
          <w:p w14:paraId="2458DFF7">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71" w:type="dxa"/>
            <w:tcBorders>
              <w:top w:val="single" w:color="auto" w:sz="4" w:space="0"/>
              <w:left w:val="nil"/>
              <w:bottom w:val="single" w:color="auto" w:sz="4" w:space="0"/>
              <w:right w:val="single" w:color="auto" w:sz="4" w:space="0"/>
            </w:tcBorders>
            <w:shd w:val="clear"/>
            <w:tcMar>
              <w:left w:w="57" w:type="dxa"/>
              <w:right w:w="57" w:type="dxa"/>
            </w:tcMar>
            <w:vAlign w:val="center"/>
          </w:tcPr>
          <w:p w14:paraId="6BB7E06E">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r>
      <w:tr w14:paraId="1B0ED98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0F9F24DB">
            <w:pPr>
              <w:rPr>
                <w:rFonts w:hint="eastAsia" w:ascii="宋体"/>
                <w:sz w:val="24"/>
                <w:szCs w:val="24"/>
              </w:rPr>
            </w:pPr>
          </w:p>
        </w:tc>
        <w:tc>
          <w:tcPr>
            <w:tcW w:w="997" w:type="dxa"/>
            <w:vMerge w:val="continue"/>
            <w:tcBorders>
              <w:top w:val="nil"/>
              <w:left w:val="nil"/>
              <w:bottom w:val="single" w:color="auto" w:sz="4" w:space="0"/>
              <w:right w:val="single" w:color="auto" w:sz="4" w:space="0"/>
            </w:tcBorders>
            <w:shd w:val="clear"/>
            <w:tcMar>
              <w:left w:w="57" w:type="dxa"/>
              <w:right w:w="57" w:type="dxa"/>
            </w:tcMar>
            <w:vAlign w:val="center"/>
          </w:tcPr>
          <w:p w14:paraId="24695EE4">
            <w:pPr>
              <w:rPr>
                <w:rFonts w:hint="eastAsia" w:ascii="宋体"/>
                <w:sz w:val="24"/>
                <w:szCs w:val="24"/>
              </w:rPr>
            </w:pPr>
          </w:p>
        </w:tc>
        <w:tc>
          <w:tcPr>
            <w:tcW w:w="4823" w:type="dxa"/>
            <w:tcBorders>
              <w:top w:val="single" w:color="auto" w:sz="4" w:space="0"/>
              <w:left w:val="nil"/>
              <w:bottom w:val="single" w:color="auto" w:sz="4" w:space="0"/>
              <w:right w:val="single" w:color="auto" w:sz="4" w:space="0"/>
            </w:tcBorders>
            <w:shd w:val="clear"/>
            <w:tcMar>
              <w:left w:w="57" w:type="dxa"/>
              <w:right w:w="57" w:type="dxa"/>
            </w:tcMar>
            <w:vAlign w:val="center"/>
          </w:tcPr>
          <w:p w14:paraId="24A5DFBE">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3.其他</w:t>
            </w:r>
          </w:p>
        </w:tc>
        <w:tc>
          <w:tcPr>
            <w:tcW w:w="439" w:type="dxa"/>
            <w:tcBorders>
              <w:top w:val="single" w:color="auto" w:sz="4" w:space="0"/>
              <w:left w:val="nil"/>
              <w:bottom w:val="single" w:color="auto" w:sz="4" w:space="0"/>
              <w:right w:val="single" w:color="auto" w:sz="4" w:space="0"/>
            </w:tcBorders>
            <w:shd w:val="clear"/>
            <w:tcMar>
              <w:left w:w="57" w:type="dxa"/>
              <w:right w:w="57" w:type="dxa"/>
            </w:tcMar>
            <w:vAlign w:val="center"/>
          </w:tcPr>
          <w:p w14:paraId="2316085A">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single" w:color="auto" w:sz="4" w:space="0"/>
              <w:left w:val="nil"/>
              <w:bottom w:val="single" w:color="auto" w:sz="4" w:space="0"/>
              <w:right w:val="single" w:color="auto" w:sz="4" w:space="0"/>
            </w:tcBorders>
            <w:shd w:val="clear"/>
            <w:tcMar>
              <w:left w:w="57" w:type="dxa"/>
              <w:right w:w="57" w:type="dxa"/>
            </w:tcMar>
            <w:vAlign w:val="center"/>
          </w:tcPr>
          <w:p w14:paraId="784D4269">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380" w:type="dxa"/>
            <w:tcBorders>
              <w:top w:val="single" w:color="auto" w:sz="4" w:space="0"/>
              <w:left w:val="nil"/>
              <w:bottom w:val="single" w:color="auto" w:sz="4" w:space="0"/>
              <w:right w:val="single" w:color="auto" w:sz="4" w:space="0"/>
            </w:tcBorders>
            <w:shd w:val="clear"/>
            <w:tcMar>
              <w:left w:w="57" w:type="dxa"/>
              <w:right w:w="57" w:type="dxa"/>
            </w:tcMar>
            <w:vAlign w:val="center"/>
          </w:tcPr>
          <w:p w14:paraId="6A5F9012">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97" w:type="dxa"/>
            <w:tcBorders>
              <w:top w:val="single" w:color="auto" w:sz="4" w:space="0"/>
              <w:left w:val="nil"/>
              <w:bottom w:val="single" w:color="auto" w:sz="4" w:space="0"/>
              <w:right w:val="single" w:color="auto" w:sz="4" w:space="0"/>
            </w:tcBorders>
            <w:shd w:val="clear"/>
            <w:tcMar>
              <w:left w:w="57" w:type="dxa"/>
              <w:right w:w="57" w:type="dxa"/>
            </w:tcMar>
            <w:vAlign w:val="center"/>
          </w:tcPr>
          <w:p w14:paraId="2726887A">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38" w:type="dxa"/>
            <w:tcBorders>
              <w:top w:val="single" w:color="auto" w:sz="4" w:space="0"/>
              <w:left w:val="nil"/>
              <w:bottom w:val="single" w:color="auto" w:sz="4" w:space="0"/>
              <w:right w:val="single" w:color="auto" w:sz="4" w:space="0"/>
            </w:tcBorders>
            <w:shd w:val="clear"/>
            <w:tcMar>
              <w:left w:w="57" w:type="dxa"/>
              <w:right w:w="57" w:type="dxa"/>
            </w:tcMar>
            <w:vAlign w:val="center"/>
          </w:tcPr>
          <w:p w14:paraId="48840914">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50" w:type="dxa"/>
            <w:tcBorders>
              <w:top w:val="single" w:color="auto" w:sz="4" w:space="0"/>
              <w:left w:val="nil"/>
              <w:bottom w:val="single" w:color="auto" w:sz="4" w:space="0"/>
              <w:right w:val="single" w:color="auto" w:sz="4" w:space="0"/>
            </w:tcBorders>
            <w:shd w:val="clear"/>
            <w:tcMar>
              <w:left w:w="57" w:type="dxa"/>
              <w:right w:w="57" w:type="dxa"/>
            </w:tcMar>
            <w:vAlign w:val="center"/>
          </w:tcPr>
          <w:p w14:paraId="30072F57">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71" w:type="dxa"/>
            <w:tcBorders>
              <w:top w:val="single" w:color="auto" w:sz="4" w:space="0"/>
              <w:left w:val="nil"/>
              <w:bottom w:val="single" w:color="auto" w:sz="4" w:space="0"/>
              <w:right w:val="single" w:color="auto" w:sz="4" w:space="0"/>
            </w:tcBorders>
            <w:shd w:val="clear"/>
            <w:tcMar>
              <w:left w:w="57" w:type="dxa"/>
              <w:right w:w="57" w:type="dxa"/>
            </w:tcMar>
            <w:vAlign w:val="top"/>
          </w:tcPr>
          <w:p w14:paraId="416F8148">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r>
      <w:tr w14:paraId="2185DD6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75A19416">
            <w:pPr>
              <w:rPr>
                <w:rFonts w:hint="eastAsia" w:ascii="宋体"/>
                <w:sz w:val="24"/>
                <w:szCs w:val="24"/>
              </w:rPr>
            </w:pPr>
          </w:p>
        </w:tc>
        <w:tc>
          <w:tcPr>
            <w:tcW w:w="5820"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14:paraId="32A55403">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（七）总计</w:t>
            </w:r>
          </w:p>
        </w:tc>
        <w:tc>
          <w:tcPr>
            <w:tcW w:w="439" w:type="dxa"/>
            <w:tcBorders>
              <w:top w:val="single" w:color="auto" w:sz="4" w:space="0"/>
              <w:left w:val="nil"/>
              <w:bottom w:val="single" w:color="auto" w:sz="4" w:space="0"/>
              <w:right w:val="single" w:color="auto" w:sz="4" w:space="0"/>
            </w:tcBorders>
            <w:shd w:val="clear"/>
            <w:tcMar>
              <w:left w:w="57" w:type="dxa"/>
              <w:right w:w="57" w:type="dxa"/>
            </w:tcMar>
            <w:vAlign w:val="center"/>
          </w:tcPr>
          <w:p w14:paraId="27935102">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single" w:color="auto" w:sz="4" w:space="0"/>
              <w:left w:val="nil"/>
              <w:bottom w:val="single" w:color="auto" w:sz="4" w:space="0"/>
              <w:right w:val="single" w:color="auto" w:sz="4" w:space="0"/>
            </w:tcBorders>
            <w:shd w:val="clear"/>
            <w:tcMar>
              <w:left w:w="57" w:type="dxa"/>
              <w:right w:w="57" w:type="dxa"/>
            </w:tcMar>
            <w:vAlign w:val="center"/>
          </w:tcPr>
          <w:p w14:paraId="23D5E2E5">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380" w:type="dxa"/>
            <w:tcBorders>
              <w:top w:val="single" w:color="auto" w:sz="4" w:space="0"/>
              <w:left w:val="nil"/>
              <w:bottom w:val="single" w:color="auto" w:sz="4" w:space="0"/>
              <w:right w:val="single" w:color="auto" w:sz="4" w:space="0"/>
            </w:tcBorders>
            <w:shd w:val="clear"/>
            <w:tcMar>
              <w:left w:w="57" w:type="dxa"/>
              <w:right w:w="57" w:type="dxa"/>
            </w:tcMar>
            <w:vAlign w:val="center"/>
          </w:tcPr>
          <w:p w14:paraId="4B41DD41">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97" w:type="dxa"/>
            <w:tcBorders>
              <w:top w:val="single" w:color="auto" w:sz="4" w:space="0"/>
              <w:left w:val="nil"/>
              <w:bottom w:val="single" w:color="auto" w:sz="4" w:space="0"/>
              <w:right w:val="single" w:color="auto" w:sz="4" w:space="0"/>
            </w:tcBorders>
            <w:shd w:val="clear"/>
            <w:tcMar>
              <w:left w:w="57" w:type="dxa"/>
              <w:right w:w="57" w:type="dxa"/>
            </w:tcMar>
            <w:vAlign w:val="center"/>
          </w:tcPr>
          <w:p w14:paraId="70AD77B1">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38" w:type="dxa"/>
            <w:tcBorders>
              <w:top w:val="single" w:color="auto" w:sz="4" w:space="0"/>
              <w:left w:val="nil"/>
              <w:bottom w:val="single" w:color="auto" w:sz="4" w:space="0"/>
              <w:right w:val="single" w:color="auto" w:sz="4" w:space="0"/>
            </w:tcBorders>
            <w:shd w:val="clear"/>
            <w:tcMar>
              <w:left w:w="57" w:type="dxa"/>
              <w:right w:w="57" w:type="dxa"/>
            </w:tcMar>
            <w:vAlign w:val="center"/>
          </w:tcPr>
          <w:p w14:paraId="1862C688">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50" w:type="dxa"/>
            <w:tcBorders>
              <w:top w:val="single" w:color="auto" w:sz="4" w:space="0"/>
              <w:left w:val="nil"/>
              <w:bottom w:val="single" w:color="auto" w:sz="4" w:space="0"/>
              <w:right w:val="single" w:color="auto" w:sz="4" w:space="0"/>
            </w:tcBorders>
            <w:shd w:val="clear"/>
            <w:tcMar>
              <w:left w:w="57" w:type="dxa"/>
              <w:right w:w="57" w:type="dxa"/>
            </w:tcMar>
            <w:vAlign w:val="center"/>
          </w:tcPr>
          <w:p w14:paraId="6ECE52B8">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71" w:type="dxa"/>
            <w:tcBorders>
              <w:top w:val="single" w:color="auto" w:sz="4" w:space="0"/>
              <w:left w:val="nil"/>
              <w:bottom w:val="single" w:color="auto" w:sz="4" w:space="0"/>
              <w:right w:val="single" w:color="auto" w:sz="4" w:space="0"/>
            </w:tcBorders>
            <w:shd w:val="clear"/>
            <w:tcMar>
              <w:left w:w="57" w:type="dxa"/>
              <w:right w:w="57" w:type="dxa"/>
            </w:tcMar>
            <w:vAlign w:val="top"/>
          </w:tcPr>
          <w:p w14:paraId="5FCA1972">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r>
      <w:tr w14:paraId="28AAFF1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tcMar>
              <w:left w:w="57" w:type="dxa"/>
              <w:right w:w="57" w:type="dxa"/>
            </w:tcMar>
            <w:vAlign w:val="center"/>
          </w:tcPr>
          <w:p w14:paraId="1433329A">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四、结转下年度继续办理</w:t>
            </w:r>
          </w:p>
        </w:tc>
        <w:tc>
          <w:tcPr>
            <w:tcW w:w="439" w:type="dxa"/>
            <w:tcBorders>
              <w:top w:val="single" w:color="auto" w:sz="4" w:space="0"/>
              <w:left w:val="nil"/>
              <w:bottom w:val="single" w:color="auto" w:sz="4" w:space="0"/>
              <w:right w:val="single" w:color="auto" w:sz="4" w:space="0"/>
            </w:tcBorders>
            <w:shd w:val="clear"/>
            <w:tcMar>
              <w:left w:w="57" w:type="dxa"/>
              <w:right w:w="57" w:type="dxa"/>
            </w:tcMar>
            <w:vAlign w:val="center"/>
          </w:tcPr>
          <w:p w14:paraId="7A37371A">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single" w:color="auto" w:sz="4" w:space="0"/>
              <w:left w:val="nil"/>
              <w:bottom w:val="single" w:color="auto" w:sz="4" w:space="0"/>
              <w:right w:val="single" w:color="auto" w:sz="4" w:space="0"/>
            </w:tcBorders>
            <w:shd w:val="clear"/>
            <w:tcMar>
              <w:left w:w="57" w:type="dxa"/>
              <w:right w:w="57" w:type="dxa"/>
            </w:tcMar>
            <w:vAlign w:val="center"/>
          </w:tcPr>
          <w:p w14:paraId="4E114D77">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380" w:type="dxa"/>
            <w:tcBorders>
              <w:top w:val="single" w:color="auto" w:sz="4" w:space="0"/>
              <w:left w:val="nil"/>
              <w:bottom w:val="single" w:color="auto" w:sz="4" w:space="0"/>
              <w:right w:val="single" w:color="auto" w:sz="4" w:space="0"/>
            </w:tcBorders>
            <w:shd w:val="clear"/>
            <w:tcMar>
              <w:left w:w="57" w:type="dxa"/>
              <w:right w:w="57" w:type="dxa"/>
            </w:tcMar>
            <w:vAlign w:val="center"/>
          </w:tcPr>
          <w:p w14:paraId="1F401EE4">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97" w:type="dxa"/>
            <w:tcBorders>
              <w:top w:val="single" w:color="auto" w:sz="4" w:space="0"/>
              <w:left w:val="nil"/>
              <w:bottom w:val="single" w:color="auto" w:sz="4" w:space="0"/>
              <w:right w:val="single" w:color="auto" w:sz="4" w:space="0"/>
            </w:tcBorders>
            <w:shd w:val="clear"/>
            <w:tcMar>
              <w:left w:w="57" w:type="dxa"/>
              <w:right w:w="57" w:type="dxa"/>
            </w:tcMar>
            <w:vAlign w:val="center"/>
          </w:tcPr>
          <w:p w14:paraId="4628AE7B">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38" w:type="dxa"/>
            <w:tcBorders>
              <w:top w:val="single" w:color="auto" w:sz="4" w:space="0"/>
              <w:left w:val="nil"/>
              <w:bottom w:val="single" w:color="auto" w:sz="4" w:space="0"/>
              <w:right w:val="single" w:color="auto" w:sz="4" w:space="0"/>
            </w:tcBorders>
            <w:shd w:val="clear"/>
            <w:tcMar>
              <w:left w:w="57" w:type="dxa"/>
              <w:right w:w="57" w:type="dxa"/>
            </w:tcMar>
            <w:vAlign w:val="center"/>
          </w:tcPr>
          <w:p w14:paraId="7C3E86DB">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50" w:type="dxa"/>
            <w:tcBorders>
              <w:top w:val="single" w:color="auto" w:sz="4" w:space="0"/>
              <w:left w:val="nil"/>
              <w:bottom w:val="single" w:color="auto" w:sz="4" w:space="0"/>
              <w:right w:val="single" w:color="auto" w:sz="4" w:space="0"/>
            </w:tcBorders>
            <w:shd w:val="clear"/>
            <w:tcMar>
              <w:left w:w="57" w:type="dxa"/>
              <w:right w:w="57" w:type="dxa"/>
            </w:tcMar>
            <w:vAlign w:val="center"/>
          </w:tcPr>
          <w:p w14:paraId="4F7CE4A3">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471" w:type="dxa"/>
            <w:tcBorders>
              <w:top w:val="single" w:color="auto" w:sz="4" w:space="0"/>
              <w:left w:val="nil"/>
              <w:bottom w:val="single" w:color="auto" w:sz="4" w:space="0"/>
              <w:right w:val="single" w:color="auto" w:sz="4" w:space="0"/>
            </w:tcBorders>
            <w:shd w:val="clear"/>
            <w:tcMar>
              <w:left w:w="57" w:type="dxa"/>
              <w:right w:w="57" w:type="dxa"/>
            </w:tcMar>
            <w:vAlign w:val="top"/>
          </w:tcPr>
          <w:p w14:paraId="48E70844">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r>
    </w:tbl>
    <w:p w14:paraId="43D8AB07">
      <w:pPr>
        <w:keepNext w:val="0"/>
        <w:keepLines w:val="0"/>
        <w:widowControl w:val="0"/>
        <w:suppressLineNumbers w:val="0"/>
        <w:autoSpaceDE w:val="0"/>
        <w:autoSpaceDN/>
        <w:spacing w:before="0" w:beforeAutospacing="1" w:after="0" w:afterAutospacing="1"/>
        <w:ind w:left="0" w:leftChars="0" w:right="0" w:firstLine="640" w:firstLineChars="200"/>
        <w:jc w:val="left"/>
      </w:pPr>
      <w:r>
        <w:rPr>
          <w:rFonts w:hint="eastAsia" w:ascii="黑体" w:hAnsi="宋体" w:eastAsia="黑体" w:cs="黑体"/>
          <w:b w:val="0"/>
          <w:bCs w:val="0"/>
          <w:kern w:val="2"/>
          <w:sz w:val="32"/>
          <w:szCs w:val="32"/>
          <w:shd w:val="clear" w:fill="FFFFFF"/>
          <w:lang w:val="en-US" w:eastAsia="zh-CN" w:bidi="ar"/>
        </w:rPr>
        <w:t>四、政府信息公开行政复议、行政诉讼情况</w:t>
      </w:r>
    </w:p>
    <w:tbl>
      <w:tblPr>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12C1256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14:paraId="17957E6A">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行政复议</w:t>
            </w:r>
          </w:p>
        </w:tc>
        <w:tc>
          <w:tcPr>
            <w:tcW w:w="6503" w:type="dxa"/>
            <w:gridSpan w:val="10"/>
            <w:tcBorders>
              <w:top w:val="single" w:color="auto" w:sz="8" w:space="0"/>
              <w:left w:val="nil"/>
              <w:bottom w:val="single" w:color="auto" w:sz="8" w:space="0"/>
              <w:right w:val="single" w:color="auto" w:sz="8" w:space="0"/>
            </w:tcBorders>
            <w:shd w:val="clear"/>
            <w:tcMar>
              <w:left w:w="108" w:type="dxa"/>
              <w:right w:w="108" w:type="dxa"/>
            </w:tcMar>
            <w:vAlign w:val="center"/>
          </w:tcPr>
          <w:p w14:paraId="23F2BFA5">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行政诉讼</w:t>
            </w:r>
          </w:p>
        </w:tc>
      </w:tr>
      <w:tr w14:paraId="52941A7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14:paraId="0D7F84C8">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结果维持</w:t>
            </w:r>
          </w:p>
        </w:tc>
        <w:tc>
          <w:tcPr>
            <w:tcW w:w="649" w:type="dxa"/>
            <w:vMerge w:val="restart"/>
            <w:tcBorders>
              <w:top w:val="nil"/>
              <w:left w:val="nil"/>
              <w:bottom w:val="single" w:color="auto" w:sz="8" w:space="0"/>
              <w:right w:val="single" w:color="auto" w:sz="8" w:space="0"/>
            </w:tcBorders>
            <w:shd w:val="clear"/>
            <w:tcMar>
              <w:left w:w="108" w:type="dxa"/>
              <w:right w:w="108" w:type="dxa"/>
            </w:tcMar>
            <w:vAlign w:val="center"/>
          </w:tcPr>
          <w:p w14:paraId="709882E3">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结果</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纠正</w:t>
            </w:r>
          </w:p>
        </w:tc>
        <w:tc>
          <w:tcPr>
            <w:tcW w:w="649"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14:paraId="29A68A45">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其他</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结果</w:t>
            </w:r>
          </w:p>
        </w:tc>
        <w:tc>
          <w:tcPr>
            <w:tcW w:w="649"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14:paraId="1995D57B">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尚未</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审结</w:t>
            </w:r>
          </w:p>
        </w:tc>
        <w:tc>
          <w:tcPr>
            <w:tcW w:w="649"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14:paraId="0EDEE7D7">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总计</w:t>
            </w:r>
          </w:p>
        </w:tc>
        <w:tc>
          <w:tcPr>
            <w:tcW w:w="3248" w:type="dxa"/>
            <w:gridSpan w:val="5"/>
            <w:tcBorders>
              <w:top w:val="single" w:color="auto" w:sz="8" w:space="0"/>
              <w:left w:val="nil"/>
              <w:bottom w:val="single" w:color="auto" w:sz="8" w:space="0"/>
              <w:right w:val="single" w:color="auto" w:sz="8" w:space="0"/>
            </w:tcBorders>
            <w:shd w:val="clear"/>
            <w:tcMar>
              <w:left w:w="108" w:type="dxa"/>
              <w:right w:w="108" w:type="dxa"/>
            </w:tcMar>
            <w:vAlign w:val="center"/>
          </w:tcPr>
          <w:p w14:paraId="5F1D996C">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未经复议直接起诉</w:t>
            </w:r>
          </w:p>
        </w:tc>
        <w:tc>
          <w:tcPr>
            <w:tcW w:w="3255" w:type="dxa"/>
            <w:gridSpan w:val="5"/>
            <w:tcBorders>
              <w:top w:val="single" w:color="auto" w:sz="8" w:space="0"/>
              <w:left w:val="nil"/>
              <w:bottom w:val="single" w:color="auto" w:sz="8" w:space="0"/>
              <w:right w:val="single" w:color="auto" w:sz="8" w:space="0"/>
            </w:tcBorders>
            <w:shd w:val="clear"/>
            <w:tcMar>
              <w:left w:w="108" w:type="dxa"/>
              <w:right w:w="108" w:type="dxa"/>
            </w:tcMar>
            <w:vAlign w:val="center"/>
          </w:tcPr>
          <w:p w14:paraId="73427AF4">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复议后起诉</w:t>
            </w:r>
          </w:p>
        </w:tc>
      </w:tr>
      <w:tr w14:paraId="5CDC82B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14:paraId="617C5A47">
            <w:pPr>
              <w:rPr>
                <w:rFonts w:hint="eastAsia" w:ascii="宋体"/>
                <w:sz w:val="24"/>
                <w:szCs w:val="24"/>
              </w:rPr>
            </w:pPr>
          </w:p>
        </w:tc>
        <w:tc>
          <w:tcPr>
            <w:tcW w:w="649" w:type="dxa"/>
            <w:vMerge w:val="continue"/>
            <w:tcBorders>
              <w:top w:val="nil"/>
              <w:left w:val="nil"/>
              <w:bottom w:val="single" w:color="auto" w:sz="8" w:space="0"/>
              <w:right w:val="single" w:color="auto" w:sz="8" w:space="0"/>
            </w:tcBorders>
            <w:shd w:val="clear"/>
            <w:tcMar>
              <w:left w:w="108" w:type="dxa"/>
              <w:right w:w="108" w:type="dxa"/>
            </w:tcMar>
            <w:vAlign w:val="center"/>
          </w:tcPr>
          <w:p w14:paraId="2E214A1A">
            <w:pPr>
              <w:rPr>
                <w:rFonts w:hint="eastAsia" w:ascii="宋体"/>
                <w:sz w:val="24"/>
                <w:szCs w:val="24"/>
              </w:rPr>
            </w:pPr>
          </w:p>
        </w:tc>
        <w:tc>
          <w:tcPr>
            <w:tcW w:w="649"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14:paraId="4C1AF523">
            <w:pPr>
              <w:rPr>
                <w:rFonts w:hint="eastAsia" w:ascii="宋体"/>
                <w:sz w:val="24"/>
                <w:szCs w:val="24"/>
              </w:rPr>
            </w:pPr>
          </w:p>
        </w:tc>
        <w:tc>
          <w:tcPr>
            <w:tcW w:w="649"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14:paraId="6108D0F5">
            <w:pPr>
              <w:rPr>
                <w:rFonts w:hint="eastAsia" w:ascii="宋体"/>
                <w:sz w:val="24"/>
                <w:szCs w:val="24"/>
              </w:rPr>
            </w:pPr>
          </w:p>
        </w:tc>
        <w:tc>
          <w:tcPr>
            <w:tcW w:w="649"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14:paraId="67E15549">
            <w:pPr>
              <w:rPr>
                <w:rFonts w:hint="eastAsia" w:ascii="宋体"/>
                <w:sz w:val="24"/>
                <w:szCs w:val="24"/>
              </w:rPr>
            </w:pPr>
          </w:p>
        </w:tc>
        <w:tc>
          <w:tcPr>
            <w:tcW w:w="649" w:type="dxa"/>
            <w:tcBorders>
              <w:top w:val="nil"/>
              <w:left w:val="nil"/>
              <w:bottom w:val="single" w:color="auto" w:sz="8" w:space="0"/>
              <w:right w:val="single" w:color="auto" w:sz="8" w:space="0"/>
            </w:tcBorders>
            <w:shd w:val="clear"/>
            <w:tcMar>
              <w:left w:w="108" w:type="dxa"/>
              <w:right w:w="108" w:type="dxa"/>
            </w:tcMar>
            <w:vAlign w:val="center"/>
          </w:tcPr>
          <w:p w14:paraId="21912DD5">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结果</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维持</w:t>
            </w:r>
          </w:p>
        </w:tc>
        <w:tc>
          <w:tcPr>
            <w:tcW w:w="649" w:type="dxa"/>
            <w:tcBorders>
              <w:top w:val="nil"/>
              <w:left w:val="nil"/>
              <w:bottom w:val="single" w:color="auto" w:sz="8" w:space="0"/>
              <w:right w:val="single" w:color="auto" w:sz="8" w:space="0"/>
            </w:tcBorders>
            <w:shd w:val="clear"/>
            <w:tcMar>
              <w:left w:w="108" w:type="dxa"/>
              <w:right w:w="108" w:type="dxa"/>
            </w:tcMar>
            <w:vAlign w:val="center"/>
          </w:tcPr>
          <w:p w14:paraId="05F18C7E">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结果</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纠正</w:t>
            </w:r>
          </w:p>
        </w:tc>
        <w:tc>
          <w:tcPr>
            <w:tcW w:w="650"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7ED7E2E5">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其他</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结果</w:t>
            </w:r>
          </w:p>
        </w:tc>
        <w:tc>
          <w:tcPr>
            <w:tcW w:w="650"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1351C755">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尚未</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审结</w:t>
            </w:r>
          </w:p>
        </w:tc>
        <w:tc>
          <w:tcPr>
            <w:tcW w:w="650"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4BD1D520">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总计</w:t>
            </w:r>
          </w:p>
        </w:tc>
        <w:tc>
          <w:tcPr>
            <w:tcW w:w="651"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25ED5180">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结果</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维持</w:t>
            </w:r>
          </w:p>
        </w:tc>
        <w:tc>
          <w:tcPr>
            <w:tcW w:w="651"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6793EA29">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结果</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纠正</w:t>
            </w:r>
          </w:p>
        </w:tc>
        <w:tc>
          <w:tcPr>
            <w:tcW w:w="651"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255B1723">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其他</w:t>
            </w:r>
            <w:r>
              <w:rPr>
                <w:rFonts w:hint="default" w:ascii="楷体_GB2312" w:eastAsia="楷体_GB2312" w:cs="楷体_GB2312" w:hAnsiTheme="minorHAnsi"/>
                <w:b/>
                <w:bCs/>
                <w:color w:val="000000"/>
                <w:kern w:val="0"/>
                <w:sz w:val="32"/>
                <w:szCs w:val="32"/>
                <w:bdr w:val="none" w:color="auto" w:sz="0" w:space="0"/>
                <w:lang w:val="en-US" w:eastAsia="zh-CN" w:bidi="ar"/>
              </w:rPr>
              <w:br w:type="textWrapping"/>
            </w:r>
            <w:r>
              <w:rPr>
                <w:rFonts w:hint="default" w:ascii="楷体_GB2312" w:eastAsia="楷体_GB2312" w:cs="楷体_GB2312" w:hAnsiTheme="minorHAnsi"/>
                <w:b/>
                <w:bCs/>
                <w:color w:val="000000"/>
                <w:kern w:val="0"/>
                <w:sz w:val="32"/>
                <w:szCs w:val="32"/>
                <w:bdr w:val="none" w:color="auto" w:sz="0" w:space="0"/>
                <w:lang w:val="en-US" w:eastAsia="zh-CN" w:bidi="ar"/>
              </w:rPr>
              <w:t>结果</w:t>
            </w:r>
          </w:p>
        </w:tc>
        <w:tc>
          <w:tcPr>
            <w:tcW w:w="651"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3A375AA3">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尚未</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审结</w:t>
            </w:r>
          </w:p>
        </w:tc>
        <w:tc>
          <w:tcPr>
            <w:tcW w:w="651"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50A255CE">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总计</w:t>
            </w:r>
          </w:p>
        </w:tc>
      </w:tr>
      <w:tr w14:paraId="2D004DC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0EDE89B1">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649" w:type="dxa"/>
            <w:tcBorders>
              <w:top w:val="nil"/>
              <w:left w:val="nil"/>
              <w:bottom w:val="single" w:color="auto" w:sz="8" w:space="0"/>
              <w:right w:val="single" w:color="auto" w:sz="8" w:space="0"/>
            </w:tcBorders>
            <w:shd w:val="clear"/>
            <w:tcMar>
              <w:left w:w="108" w:type="dxa"/>
              <w:right w:w="108" w:type="dxa"/>
            </w:tcMar>
            <w:vAlign w:val="center"/>
          </w:tcPr>
          <w:p w14:paraId="2FE40B43">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649" w:type="dxa"/>
            <w:tcBorders>
              <w:top w:val="nil"/>
              <w:left w:val="nil"/>
              <w:bottom w:val="single" w:color="auto" w:sz="8" w:space="0"/>
              <w:right w:val="single" w:color="auto" w:sz="8" w:space="0"/>
            </w:tcBorders>
            <w:shd w:val="clear"/>
            <w:tcMar>
              <w:left w:w="108" w:type="dxa"/>
              <w:right w:w="108" w:type="dxa"/>
            </w:tcMar>
            <w:vAlign w:val="center"/>
          </w:tcPr>
          <w:p w14:paraId="40DC92C1">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649" w:type="dxa"/>
            <w:tcBorders>
              <w:top w:val="nil"/>
              <w:left w:val="nil"/>
              <w:bottom w:val="single" w:color="auto" w:sz="8" w:space="0"/>
              <w:right w:val="single" w:color="auto" w:sz="8" w:space="0"/>
            </w:tcBorders>
            <w:shd w:val="clear"/>
            <w:tcMar>
              <w:left w:w="108" w:type="dxa"/>
              <w:right w:w="108" w:type="dxa"/>
            </w:tcMar>
            <w:vAlign w:val="center"/>
          </w:tcPr>
          <w:p w14:paraId="404BA102">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649" w:type="dxa"/>
            <w:tcBorders>
              <w:top w:val="nil"/>
              <w:left w:val="nil"/>
              <w:bottom w:val="single" w:color="auto" w:sz="8" w:space="0"/>
              <w:right w:val="single" w:color="auto" w:sz="8" w:space="0"/>
            </w:tcBorders>
            <w:shd w:val="clear"/>
            <w:tcMar>
              <w:left w:w="108" w:type="dxa"/>
              <w:right w:w="108" w:type="dxa"/>
            </w:tcMar>
            <w:vAlign w:val="center"/>
          </w:tcPr>
          <w:p w14:paraId="2E464014">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649" w:type="dxa"/>
            <w:tcBorders>
              <w:top w:val="nil"/>
              <w:left w:val="nil"/>
              <w:bottom w:val="single" w:color="auto" w:sz="8" w:space="0"/>
              <w:right w:val="single" w:color="auto" w:sz="8" w:space="0"/>
            </w:tcBorders>
            <w:shd w:val="clear"/>
            <w:tcMar>
              <w:left w:w="108" w:type="dxa"/>
              <w:right w:w="108" w:type="dxa"/>
            </w:tcMar>
            <w:vAlign w:val="center"/>
          </w:tcPr>
          <w:p w14:paraId="483FB77C">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649" w:type="dxa"/>
            <w:tcBorders>
              <w:top w:val="nil"/>
              <w:left w:val="nil"/>
              <w:bottom w:val="single" w:color="auto" w:sz="8" w:space="0"/>
              <w:right w:val="single" w:color="auto" w:sz="8" w:space="0"/>
            </w:tcBorders>
            <w:shd w:val="clear"/>
            <w:tcMar>
              <w:left w:w="108" w:type="dxa"/>
              <w:right w:w="108" w:type="dxa"/>
            </w:tcMar>
            <w:vAlign w:val="center"/>
          </w:tcPr>
          <w:p w14:paraId="3FBDEF24">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650" w:type="dxa"/>
            <w:tcBorders>
              <w:top w:val="nil"/>
              <w:left w:val="nil"/>
              <w:bottom w:val="single" w:color="auto" w:sz="8" w:space="0"/>
              <w:right w:val="single" w:color="auto" w:sz="8" w:space="0"/>
            </w:tcBorders>
            <w:shd w:val="clear"/>
            <w:tcMar>
              <w:left w:w="108" w:type="dxa"/>
              <w:right w:w="108" w:type="dxa"/>
            </w:tcMar>
            <w:vAlign w:val="center"/>
          </w:tcPr>
          <w:p w14:paraId="67552E4B">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650" w:type="dxa"/>
            <w:tcBorders>
              <w:top w:val="nil"/>
              <w:left w:val="nil"/>
              <w:bottom w:val="single" w:color="auto" w:sz="8" w:space="0"/>
              <w:right w:val="single" w:color="auto" w:sz="8" w:space="0"/>
            </w:tcBorders>
            <w:shd w:val="clear"/>
            <w:tcMar>
              <w:left w:w="108" w:type="dxa"/>
              <w:right w:w="108" w:type="dxa"/>
            </w:tcMar>
            <w:vAlign w:val="center"/>
          </w:tcPr>
          <w:p w14:paraId="6432C1FB">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650" w:type="dxa"/>
            <w:tcBorders>
              <w:top w:val="nil"/>
              <w:left w:val="nil"/>
              <w:bottom w:val="single" w:color="auto" w:sz="8" w:space="0"/>
              <w:right w:val="single" w:color="auto" w:sz="8" w:space="0"/>
            </w:tcBorders>
            <w:shd w:val="clear"/>
            <w:tcMar>
              <w:left w:w="108" w:type="dxa"/>
              <w:right w:w="108" w:type="dxa"/>
            </w:tcMar>
            <w:vAlign w:val="center"/>
          </w:tcPr>
          <w:p w14:paraId="52A98F77">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651" w:type="dxa"/>
            <w:tcBorders>
              <w:top w:val="nil"/>
              <w:left w:val="nil"/>
              <w:bottom w:val="single" w:color="auto" w:sz="8" w:space="0"/>
              <w:right w:val="single" w:color="auto" w:sz="8" w:space="0"/>
            </w:tcBorders>
            <w:shd w:val="clear"/>
            <w:tcMar>
              <w:left w:w="108" w:type="dxa"/>
              <w:right w:w="108" w:type="dxa"/>
            </w:tcMar>
            <w:vAlign w:val="center"/>
          </w:tcPr>
          <w:p w14:paraId="7F9AD43E">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651" w:type="dxa"/>
            <w:tcBorders>
              <w:top w:val="nil"/>
              <w:left w:val="nil"/>
              <w:bottom w:val="single" w:color="auto" w:sz="8" w:space="0"/>
              <w:right w:val="single" w:color="auto" w:sz="8" w:space="0"/>
            </w:tcBorders>
            <w:shd w:val="clear"/>
            <w:tcMar>
              <w:left w:w="108" w:type="dxa"/>
              <w:right w:w="108" w:type="dxa"/>
            </w:tcMar>
            <w:vAlign w:val="center"/>
          </w:tcPr>
          <w:p w14:paraId="54F5025C">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651" w:type="dxa"/>
            <w:tcBorders>
              <w:top w:val="nil"/>
              <w:left w:val="nil"/>
              <w:bottom w:val="single" w:color="auto" w:sz="8" w:space="0"/>
              <w:right w:val="single" w:color="auto" w:sz="8" w:space="0"/>
            </w:tcBorders>
            <w:shd w:val="clear"/>
            <w:tcMar>
              <w:left w:w="108" w:type="dxa"/>
              <w:right w:w="108" w:type="dxa"/>
            </w:tcMar>
            <w:vAlign w:val="center"/>
          </w:tcPr>
          <w:p w14:paraId="65707221">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651" w:type="dxa"/>
            <w:tcBorders>
              <w:top w:val="nil"/>
              <w:left w:val="nil"/>
              <w:bottom w:val="single" w:color="auto" w:sz="8" w:space="0"/>
              <w:right w:val="single" w:color="auto" w:sz="8" w:space="0"/>
            </w:tcBorders>
            <w:shd w:val="clear"/>
            <w:tcMar>
              <w:left w:w="108" w:type="dxa"/>
              <w:right w:w="108" w:type="dxa"/>
            </w:tcMar>
            <w:vAlign w:val="center"/>
          </w:tcPr>
          <w:p w14:paraId="1263CCA4">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c>
          <w:tcPr>
            <w:tcW w:w="651" w:type="dxa"/>
            <w:tcBorders>
              <w:top w:val="nil"/>
              <w:left w:val="nil"/>
              <w:bottom w:val="single" w:color="auto" w:sz="8" w:space="0"/>
              <w:right w:val="single" w:color="auto" w:sz="8" w:space="0"/>
            </w:tcBorders>
            <w:shd w:val="clear"/>
            <w:tcMar>
              <w:left w:w="108" w:type="dxa"/>
              <w:right w:w="108" w:type="dxa"/>
            </w:tcMar>
            <w:vAlign w:val="center"/>
          </w:tcPr>
          <w:p w14:paraId="6E1C5DB9">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2"/>
                <w:sz w:val="32"/>
                <w:szCs w:val="32"/>
                <w:bdr w:val="none" w:color="auto" w:sz="0" w:space="0"/>
                <w:lang w:val="en-US" w:eastAsia="zh-CN" w:bidi="ar"/>
              </w:rPr>
              <w:t>0</w:t>
            </w:r>
          </w:p>
        </w:tc>
      </w:tr>
    </w:tbl>
    <w:p w14:paraId="7C944DFE">
      <w:pPr>
        <w:keepNext w:val="0"/>
        <w:keepLines w:val="0"/>
        <w:widowControl/>
        <w:suppressLineNumbers w:val="0"/>
        <w:spacing w:before="0" w:beforeAutospacing="1" w:after="0" w:afterAutospacing="1"/>
        <w:ind w:left="0" w:right="0" w:firstLine="0" w:firstLineChars="0"/>
        <w:jc w:val="left"/>
      </w:pPr>
      <w:r>
        <w:rPr>
          <w:rFonts w:hint="default" w:ascii="Calibri" w:hAnsi="Calibri" w:eastAsia="宋体" w:cs="Times New Roman"/>
          <w:kern w:val="2"/>
          <w:sz w:val="21"/>
          <w:szCs w:val="21"/>
          <w:lang w:val="en-US" w:eastAsia="zh-CN" w:bidi="ar"/>
        </w:rPr>
        <w:t> </w:t>
      </w:r>
    </w:p>
    <w:p w14:paraId="2181EBC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N/>
        <w:bidi w:val="0"/>
        <w:adjustRightInd/>
        <w:snapToGrid/>
        <w:spacing w:before="0" w:beforeAutospacing="0" w:after="0" w:afterAutospacing="0" w:line="360" w:lineRule="auto"/>
        <w:ind w:left="0" w:right="0" w:firstLine="420"/>
        <w:jc w:val="both"/>
        <w:textAlignment w:val="auto"/>
      </w:pPr>
      <w:bookmarkStart w:id="0" w:name="_GoBack"/>
      <w:r>
        <w:rPr>
          <w:rFonts w:hint="eastAsia" w:ascii="黑体" w:hAnsi="宋体" w:eastAsia="黑体" w:cs="黑体"/>
          <w:b w:val="0"/>
          <w:bCs w:val="0"/>
          <w:kern w:val="2"/>
          <w:sz w:val="32"/>
          <w:szCs w:val="32"/>
          <w:bdr w:val="none" w:color="auto" w:sz="0" w:space="0"/>
          <w:shd w:val="clear" w:fill="FFFFFF"/>
          <w:lang w:val="en-US" w:eastAsia="zh-CN" w:bidi="ar"/>
        </w:rPr>
        <w:t>五、存在的主要问题及改进情况</w:t>
      </w:r>
    </w:p>
    <w:p w14:paraId="110AE5F5">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auto"/>
        <w:ind w:left="0" w:right="0" w:firstLine="560" w:firstLineChars="200"/>
        <w:jc w:val="left"/>
        <w:textAlignment w:val="auto"/>
      </w:pPr>
      <w:r>
        <w:rPr>
          <w:rFonts w:hint="default" w:ascii="Calibri" w:hAnsi="Calibri" w:eastAsia="宋体" w:cs="Calibri"/>
          <w:kern w:val="2"/>
          <w:sz w:val="28"/>
          <w:szCs w:val="28"/>
          <w:lang w:val="en-US" w:eastAsia="zh-CN" w:bidi="ar"/>
        </w:rPr>
        <w:t>2025</w:t>
      </w:r>
      <w:r>
        <w:rPr>
          <w:rFonts w:hint="eastAsia" w:ascii="宋体" w:hAnsi="宋体" w:eastAsia="宋体" w:cs="宋体"/>
          <w:kern w:val="2"/>
          <w:sz w:val="28"/>
          <w:szCs w:val="28"/>
          <w:lang w:val="en-US" w:eastAsia="zh-CN" w:bidi="ar"/>
        </w:rPr>
        <w:t>年，我局政务公开取得较大的改进，但根据定期的自查整改过程中，仍存在以下几点不足：首先是随着发布栏目的变动，公开信息内容较少，政策性文件不多，涉及公众切身利益、需要公众广泛知晓的政策解读公开内容与形式不丰富；其次是部分栏目存在一些历史稿件未及时整改，政务公开不够及时，公开渠道较少，公众参与度不高等问；最后就是公开栏目的更新，政务公开的要求和规范也越来越高，也要求政务公开人员业务水平还需提升。</w:t>
      </w:r>
    </w:p>
    <w:p w14:paraId="1F67109F">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auto"/>
        <w:ind w:left="0" w:right="0" w:firstLine="560" w:firstLineChars="200"/>
        <w:jc w:val="left"/>
        <w:textAlignment w:val="auto"/>
      </w:pPr>
      <w:r>
        <w:rPr>
          <w:rFonts w:hint="eastAsia" w:ascii="宋体" w:hAnsi="宋体" w:eastAsia="宋体" w:cs="宋体"/>
          <w:kern w:val="2"/>
          <w:sz w:val="28"/>
          <w:szCs w:val="28"/>
          <w:lang w:val="en-US" w:eastAsia="zh-CN" w:bidi="ar"/>
        </w:rPr>
        <w:t>后阶段，我局将继续贯彻落实《中华人民共和国政府信息公开条例》，加强政务公开业务培训，</w:t>
      </w:r>
      <w:r>
        <w:rPr>
          <w:rFonts w:hint="eastAsia" w:ascii="宋体" w:hAnsi="宋体" w:eastAsia="宋体" w:cs="宋体"/>
          <w:i w:val="0"/>
          <w:iCs w:val="0"/>
          <w:caps w:val="0"/>
          <w:color w:val="000000"/>
          <w:spacing w:val="0"/>
          <w:kern w:val="2"/>
          <w:sz w:val="28"/>
          <w:szCs w:val="28"/>
          <w:shd w:val="clear" w:fill="FFFFFF"/>
          <w:lang w:val="en-US" w:eastAsia="zh-CN" w:bidi="ar"/>
        </w:rPr>
        <w:t>不断强化单位人员信息公开意识</w:t>
      </w:r>
      <w:r>
        <w:rPr>
          <w:rFonts w:hint="eastAsia" w:ascii="宋体" w:hAnsi="宋体" w:eastAsia="宋体" w:cs="宋体"/>
          <w:kern w:val="2"/>
          <w:sz w:val="28"/>
          <w:szCs w:val="28"/>
          <w:lang w:val="en-US" w:eastAsia="zh-CN" w:bidi="ar"/>
        </w:rPr>
        <w:t>，围绕群众关心的重点领域，及时发布信息、加强政策解读、落实信息整改工作，不断提升政府信息公开工作质量和水平。</w:t>
      </w:r>
    </w:p>
    <w:p w14:paraId="59C9F25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N/>
        <w:bidi w:val="0"/>
        <w:adjustRightInd/>
        <w:snapToGrid/>
        <w:spacing w:before="0" w:beforeAutospacing="0" w:after="0" w:afterAutospacing="0" w:line="360" w:lineRule="auto"/>
        <w:ind w:left="0" w:right="0" w:firstLine="420"/>
        <w:jc w:val="both"/>
        <w:textAlignment w:val="auto"/>
      </w:pPr>
      <w:r>
        <w:rPr>
          <w:rFonts w:hint="eastAsia" w:ascii="黑体" w:hAnsi="宋体" w:eastAsia="黑体" w:cs="黑体"/>
          <w:b w:val="0"/>
          <w:bCs w:val="0"/>
          <w:kern w:val="2"/>
          <w:sz w:val="32"/>
          <w:szCs w:val="32"/>
          <w:bdr w:val="none" w:color="auto" w:sz="0" w:space="0"/>
          <w:shd w:val="clear" w:fill="FFFFFF"/>
          <w:lang w:val="en-US" w:eastAsia="zh-CN" w:bidi="ar"/>
        </w:rPr>
        <w:t>六、其他需要报告的事项</w:t>
      </w:r>
    </w:p>
    <w:p w14:paraId="7046FA8F">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auto"/>
        <w:ind w:left="0" w:right="0" w:firstLine="560" w:firstLineChars="200"/>
        <w:jc w:val="left"/>
        <w:textAlignment w:val="auto"/>
      </w:pPr>
      <w:r>
        <w:rPr>
          <w:rFonts w:hint="default" w:ascii="Calibri" w:hAnsi="Calibri" w:eastAsia="宋体" w:cs="Calibri"/>
          <w:kern w:val="2"/>
          <w:sz w:val="28"/>
          <w:szCs w:val="28"/>
          <w:lang w:val="en-US" w:eastAsia="zh-CN" w:bidi="ar"/>
        </w:rPr>
        <w:t>2025</w:t>
      </w:r>
      <w:r>
        <w:rPr>
          <w:rFonts w:hint="eastAsia" w:ascii="宋体" w:hAnsi="宋体" w:eastAsia="宋体" w:cs="宋体"/>
          <w:kern w:val="2"/>
          <w:sz w:val="28"/>
          <w:szCs w:val="28"/>
          <w:lang w:val="en-US" w:eastAsia="zh-CN" w:bidi="ar"/>
        </w:rPr>
        <w:t>年度，本机关无收取信息处理费的情况。</w:t>
      </w:r>
    </w:p>
    <w:bookmarkEnd w:id="0"/>
    <w:p w14:paraId="7F4C6154">
      <w:pPr>
        <w:keepNext w:val="0"/>
        <w:keepLines w:val="0"/>
        <w:widowControl w:val="0"/>
        <w:suppressLineNumbers w:val="0"/>
        <w:autoSpaceDE w:val="0"/>
        <w:autoSpaceDN/>
        <w:spacing w:before="0" w:beforeAutospacing="1" w:after="0" w:afterAutospacing="1"/>
        <w:ind w:left="0" w:right="0" w:firstLine="560" w:firstLineChars="200"/>
        <w:jc w:val="left"/>
      </w:pPr>
      <w:r>
        <w:rPr>
          <w:rFonts w:hint="default" w:ascii="Calibri" w:hAnsi="Calibri" w:eastAsia="宋体" w:cs="Times New Roman"/>
          <w:kern w:val="2"/>
          <w:sz w:val="28"/>
          <w:szCs w:val="28"/>
          <w:lang w:val="en-US" w:eastAsia="zh-CN" w:bidi="ar"/>
        </w:rPr>
        <w:t> </w:t>
      </w:r>
    </w:p>
    <w:p w14:paraId="48DCF0BF"/>
    <w:sectPr>
      <w:footnotePr>
        <w:numFmt w:val="decimal"/>
      </w:footnotePr>
      <w:pgSz w:w="11900" w:h="16840"/>
      <w:pgMar w:top="2058" w:right="1578" w:bottom="2058" w:left="1578" w:header="13780" w:footer="6" w:gutter="505"/>
      <w:cols w:space="425" w:num="1"/>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1047B2"/>
    <w:rsid w:val="41085080"/>
    <w:rsid w:val="51AA79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paragraph" w:customStyle="1" w:styleId="5">
    <w:name w:val="样式1"/>
    <w:basedOn w:val="1"/>
    <w:qFormat/>
    <w:uiPriority w:val="0"/>
    <w:rPr>
      <w:rFonts w:asciiTheme="minorAscii" w:hAnsiTheme="minorAsci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3</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明月照我影。</cp:lastModifiedBy>
  <dcterms:modified xsi:type="dcterms:W3CDTF">2026-01-04T08:06:40Z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9775D9E3A9EC44BD8988F45BEBF88169_12</vt:lpwstr>
  </property>
  <property fmtid="{D5CDD505-2E9C-101B-9397-08002B2CF9AE}" pid="4" name="KSOTemplateDocerSaveRecord">
    <vt:lpwstr>eyJoZGlkIjoiNThmYThkNDdjNjViYmY4MDQwMzIyNjJmYmU1NGRkYjQiLCJ1c2VySWQiOiI4Njg2Mjc1MTgifQ==</vt:lpwstr>
  </property>
</Properties>
</file>