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2E65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ascii="微软雅黑" w:hAnsi="微软雅黑" w:eastAsia="微软雅黑" w:cs="微软雅黑"/>
          <w:i w:val="0"/>
          <w:iCs w:val="0"/>
          <w:caps w:val="0"/>
          <w:color w:val="000000"/>
          <w:spacing w:val="0"/>
          <w:sz w:val="21"/>
          <w:szCs w:val="21"/>
        </w:rPr>
      </w:pPr>
      <w:r>
        <w:rPr>
          <w:rFonts w:ascii="仿宋_GB2312" w:hAnsi="微软雅黑" w:eastAsia="仿宋_GB2312" w:cs="仿宋_GB2312"/>
          <w:i w:val="0"/>
          <w:iCs w:val="0"/>
          <w:caps w:val="0"/>
          <w:color w:val="000000"/>
          <w:spacing w:val="0"/>
          <w:sz w:val="32"/>
          <w:szCs w:val="32"/>
          <w:bdr w:val="none" w:color="auto" w:sz="0" w:space="0"/>
          <w:shd w:val="clear" w:fill="FFFFFF"/>
        </w:rPr>
        <w:t>本报告依据《中华人民共和国政府信息公开条例》（国务院令第</w:t>
      </w:r>
      <w:r>
        <w:rPr>
          <w:rFonts w:hint="default" w:ascii="仿宋_GB2312" w:hAnsi="微软雅黑" w:eastAsia="仿宋_GB2312" w:cs="仿宋_GB2312"/>
          <w:i w:val="0"/>
          <w:iCs w:val="0"/>
          <w:caps w:val="0"/>
          <w:color w:val="000000"/>
          <w:spacing w:val="0"/>
          <w:sz w:val="32"/>
          <w:szCs w:val="32"/>
          <w:bdr w:val="none" w:color="auto" w:sz="0" w:space="0"/>
          <w:shd w:val="clear" w:fill="FFFFFF"/>
        </w:rPr>
        <w:t>711号）和《江西省人民政府政务公开办公室关于转发国办公开办函〔2021〕30号文件做好年度报告编制发布工作的通知》（赣府公开办字〔2021〕8号）要求，结合高安市应急管理局信息公开工作有关统计数据撰写。报告主要包括：总体情况、主动公开政府信息情况、收到和处理政府信息公开申请情况、存在的主要问题及改进情况和其他需要报告的事项。本报告中使用数据统计期限为2023年1月1日至12月31日。本年度报告的电子版可以通过高安市人民政府门户网站(www.gaoan.gov.cn)下载。如对本报告有任何疑问，请与胡睿联系（地址：高安市瑞泰广场C座9楼应急管理局，电话：0795—5296188，邮编：330800）。</w:t>
      </w:r>
    </w:p>
    <w:p w14:paraId="07A983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一、总体情况</w:t>
      </w:r>
    </w:p>
    <w:p w14:paraId="32498C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 w:beforeAutospacing="0" w:after="0" w:afterAutospacing="0" w:line="444" w:lineRule="atLeast"/>
        <w:ind w:left="0" w:right="0" w:firstLine="516"/>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sz w:val="32"/>
          <w:szCs w:val="32"/>
          <w:bdr w:val="none" w:color="auto" w:sz="0" w:space="0"/>
          <w:shd w:val="clear" w:fill="FFFFFF"/>
        </w:rPr>
        <w:t>2023年，高安市应急管理局坚持以习近平新时代中国特色社会主义思想为指导，全面贯彻落实党的二十大精神，深入学习贯彻习近平总书记考察江西时的重要讲话精神和关于应急管理重要论述，严格落实相关文件要求，围绕应急管理职责职能，全面推进政务公开工作，不断提升工作精准度和透明度。</w:t>
      </w:r>
    </w:p>
    <w:p w14:paraId="05F1E8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ascii="楷体_GB2312" w:hAnsi="微软雅黑" w:eastAsia="楷体_GB2312" w:cs="楷体_GB2312"/>
          <w:b w:val="0"/>
          <w:bCs w:val="0"/>
          <w:i w:val="0"/>
          <w:iCs w:val="0"/>
          <w:caps w:val="0"/>
          <w:color w:val="000000"/>
          <w:spacing w:val="0"/>
          <w:sz w:val="32"/>
          <w:szCs w:val="32"/>
          <w:bdr w:val="none" w:color="auto" w:sz="0" w:space="0"/>
          <w:shd w:val="clear" w:fill="FFFFFF"/>
        </w:rPr>
        <w:t>（</w:t>
      </w:r>
      <w:r>
        <w:rPr>
          <w:rFonts w:hint="default" w:ascii="楷体_GB2312" w:hAnsi="微软雅黑" w:eastAsia="楷体_GB2312" w:cs="楷体_GB2312"/>
          <w:b w:val="0"/>
          <w:bCs w:val="0"/>
          <w:i w:val="0"/>
          <w:iCs w:val="0"/>
          <w:caps w:val="0"/>
          <w:color w:val="000000"/>
          <w:spacing w:val="0"/>
          <w:sz w:val="32"/>
          <w:szCs w:val="32"/>
          <w:bdr w:val="none" w:color="auto" w:sz="0" w:space="0"/>
          <w:shd w:val="clear" w:fill="FFFFFF"/>
        </w:rPr>
        <w:t>一）主动公开</w:t>
      </w:r>
    </w:p>
    <w:p w14:paraId="385308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 w:beforeAutospacing="0" w:after="0" w:afterAutospacing="0" w:line="444" w:lineRule="atLeast"/>
        <w:ind w:left="0" w:right="0" w:firstLine="516"/>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sz w:val="32"/>
          <w:szCs w:val="32"/>
          <w:bdr w:val="none" w:color="auto" w:sz="0" w:space="0"/>
          <w:shd w:val="clear" w:fill="FFFFFF"/>
        </w:rPr>
        <w:t>我局以公开、便民、及时、高效为基本要求，不断完善政务公开工作，今年定期发布了工作动态、重点领域、应急管理等方面的信息，主动公开的政府信息16条，方便广大群众及时了解相关动态，并对我局工作进行监督。</w:t>
      </w:r>
    </w:p>
    <w:p w14:paraId="398D15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楷体_GB2312" w:hAnsi="微软雅黑" w:eastAsia="楷体_GB2312" w:cs="楷体_GB2312"/>
          <w:b w:val="0"/>
          <w:bCs w:val="0"/>
          <w:i w:val="0"/>
          <w:iCs w:val="0"/>
          <w:caps w:val="0"/>
          <w:color w:val="000000"/>
          <w:spacing w:val="0"/>
          <w:sz w:val="32"/>
          <w:szCs w:val="32"/>
          <w:bdr w:val="none" w:color="auto" w:sz="0" w:space="0"/>
          <w:shd w:val="clear" w:fill="FFFFFF"/>
        </w:rPr>
        <w:t>（二）依申请公开</w:t>
      </w:r>
    </w:p>
    <w:p w14:paraId="18186A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sz w:val="32"/>
          <w:szCs w:val="32"/>
          <w:bdr w:val="none" w:color="auto" w:sz="0" w:space="0"/>
          <w:shd w:val="clear" w:fill="FFFFFF"/>
        </w:rPr>
        <w:t>没有受理依申请公开的情况。</w:t>
      </w:r>
    </w:p>
    <w:p w14:paraId="33AFFA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楷体_GB2312" w:hAnsi="微软雅黑" w:eastAsia="楷体_GB2312" w:cs="楷体_GB2312"/>
          <w:b w:val="0"/>
          <w:bCs w:val="0"/>
          <w:i w:val="0"/>
          <w:iCs w:val="0"/>
          <w:caps w:val="0"/>
          <w:color w:val="000000"/>
          <w:spacing w:val="0"/>
          <w:sz w:val="32"/>
          <w:szCs w:val="32"/>
          <w:bdr w:val="none" w:color="auto" w:sz="0" w:space="0"/>
          <w:shd w:val="clear" w:fill="FFFFFF"/>
        </w:rPr>
        <w:t>（三）政府信息管理</w:t>
      </w:r>
    </w:p>
    <w:p w14:paraId="74C272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楷体_GB2312" w:hAnsi="微软雅黑" w:eastAsia="楷体_GB2312" w:cs="楷体_GB2312"/>
          <w:b w:val="0"/>
          <w:bCs w:val="0"/>
          <w:i w:val="0"/>
          <w:iCs w:val="0"/>
          <w:caps w:val="0"/>
          <w:color w:val="000000"/>
          <w:spacing w:val="0"/>
          <w:sz w:val="32"/>
          <w:szCs w:val="32"/>
          <w:bdr w:val="none" w:color="auto" w:sz="0" w:space="0"/>
          <w:shd w:val="clear" w:fill="FFFFFF"/>
        </w:rPr>
        <w:t>  </w:t>
      </w:r>
      <w:r>
        <w:rPr>
          <w:rFonts w:hint="default" w:ascii="仿宋_GB2312" w:hAnsi="微软雅黑" w:eastAsia="仿宋_GB2312" w:cs="仿宋_GB2312"/>
          <w:b/>
          <w:bCs/>
          <w:i w:val="0"/>
          <w:iCs w:val="0"/>
          <w:caps w:val="0"/>
          <w:color w:val="000000"/>
          <w:spacing w:val="0"/>
          <w:sz w:val="32"/>
          <w:szCs w:val="32"/>
          <w:bdr w:val="none" w:color="auto" w:sz="0" w:space="0"/>
          <w:shd w:val="clear" w:fill="FFFFFF"/>
        </w:rPr>
        <w:t>一是</w:t>
      </w:r>
      <w:r>
        <w:rPr>
          <w:rFonts w:hint="default" w:ascii="仿宋_GB2312" w:hAnsi="微软雅黑" w:eastAsia="仿宋_GB2312" w:cs="仿宋_GB2312"/>
          <w:i w:val="0"/>
          <w:iCs w:val="0"/>
          <w:caps w:val="0"/>
          <w:color w:val="000000"/>
          <w:spacing w:val="0"/>
          <w:sz w:val="32"/>
          <w:szCs w:val="32"/>
          <w:bdr w:val="none" w:color="auto" w:sz="0" w:space="0"/>
          <w:shd w:val="clear" w:fill="FFFFFF"/>
        </w:rPr>
        <w:t>规范化标准化建设。坚持政务公开一把手负责制，主要领导任政务公开领导小组组长，分管领导为副组长，各股室负责人为成员，办公室主任兼任领导小组办公室主任。具体工作由办公室牵头组织，并确定具体负责人。各股室负责具体落实，建立了齐抓共管、狠抓落实的政务公开工作领导格局。</w:t>
      </w:r>
    </w:p>
    <w:p w14:paraId="40C8AA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b/>
          <w:bCs/>
          <w:i w:val="0"/>
          <w:iCs w:val="0"/>
          <w:caps w:val="0"/>
          <w:color w:val="000000"/>
          <w:spacing w:val="0"/>
          <w:sz w:val="32"/>
          <w:szCs w:val="32"/>
          <w:bdr w:val="none" w:color="auto" w:sz="0" w:space="0"/>
          <w:shd w:val="clear" w:fill="FFFFFF"/>
        </w:rPr>
        <w:t>二是</w:t>
      </w:r>
      <w:r>
        <w:rPr>
          <w:rFonts w:hint="default" w:ascii="仿宋_GB2312" w:hAnsi="微软雅黑" w:eastAsia="仿宋_GB2312" w:cs="仿宋_GB2312"/>
          <w:i w:val="0"/>
          <w:iCs w:val="0"/>
          <w:caps w:val="0"/>
          <w:color w:val="000000"/>
          <w:spacing w:val="0"/>
          <w:sz w:val="32"/>
          <w:szCs w:val="32"/>
          <w:bdr w:val="none" w:color="auto" w:sz="0" w:space="0"/>
          <w:shd w:val="clear" w:fill="FFFFFF"/>
        </w:rPr>
        <w:t>数字化管理。政府信息根据时间、对象和内容等分门别类及时录入，定期或不定期公开，加大数据公开力度。</w:t>
      </w:r>
    </w:p>
    <w:p w14:paraId="07BFFB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b/>
          <w:bCs/>
          <w:i w:val="0"/>
          <w:iCs w:val="0"/>
          <w:caps w:val="0"/>
          <w:color w:val="000000"/>
          <w:spacing w:val="0"/>
          <w:sz w:val="32"/>
          <w:szCs w:val="32"/>
          <w:bdr w:val="none" w:color="auto" w:sz="0" w:space="0"/>
          <w:shd w:val="clear" w:fill="FFFFFF"/>
        </w:rPr>
        <w:t>三是</w:t>
      </w:r>
      <w:r>
        <w:rPr>
          <w:rFonts w:hint="default" w:ascii="仿宋_GB2312" w:hAnsi="微软雅黑" w:eastAsia="仿宋_GB2312" w:cs="仿宋_GB2312"/>
          <w:i w:val="0"/>
          <w:iCs w:val="0"/>
          <w:caps w:val="0"/>
          <w:color w:val="000000"/>
          <w:spacing w:val="0"/>
          <w:sz w:val="32"/>
          <w:szCs w:val="32"/>
          <w:bdr w:val="none" w:color="auto" w:sz="0" w:space="0"/>
          <w:shd w:val="clear" w:fill="FFFFFF"/>
        </w:rPr>
        <w:t>规范信息审核发布机制。把主动公开政府信息作为工作重点，采取多种形式及时把社会关注的热点、焦点内容予以公开，积极打造阳光政务。把行政行为始终置于社会各界的监督之下，促进依法行政、科学行政、高效行政。</w:t>
      </w:r>
    </w:p>
    <w:p w14:paraId="315298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b/>
          <w:bCs/>
          <w:i w:val="0"/>
          <w:iCs w:val="0"/>
          <w:caps w:val="0"/>
          <w:color w:val="000000"/>
          <w:spacing w:val="0"/>
          <w:sz w:val="32"/>
          <w:szCs w:val="32"/>
          <w:bdr w:val="none" w:color="auto" w:sz="0" w:space="0"/>
          <w:shd w:val="clear" w:fill="FFFFFF"/>
        </w:rPr>
        <w:t>四是</w:t>
      </w:r>
      <w:r>
        <w:rPr>
          <w:rFonts w:hint="default" w:ascii="仿宋_GB2312" w:hAnsi="微软雅黑" w:eastAsia="仿宋_GB2312" w:cs="仿宋_GB2312"/>
          <w:i w:val="0"/>
          <w:iCs w:val="0"/>
          <w:caps w:val="0"/>
          <w:color w:val="000000"/>
          <w:spacing w:val="0"/>
          <w:sz w:val="32"/>
          <w:szCs w:val="32"/>
          <w:bdr w:val="none" w:color="auto" w:sz="0" w:space="0"/>
          <w:shd w:val="clear" w:fill="FFFFFF"/>
        </w:rPr>
        <w:t>规范性文件清理。2023年规范性文件清零。</w:t>
      </w:r>
    </w:p>
    <w:p w14:paraId="6EC73B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楷体_GB2312" w:hAnsi="微软雅黑" w:eastAsia="楷体_GB2312" w:cs="楷体_GB2312"/>
          <w:b w:val="0"/>
          <w:bCs w:val="0"/>
          <w:i w:val="0"/>
          <w:iCs w:val="0"/>
          <w:caps w:val="0"/>
          <w:color w:val="000000"/>
          <w:spacing w:val="0"/>
          <w:sz w:val="32"/>
          <w:szCs w:val="32"/>
          <w:bdr w:val="none" w:color="auto" w:sz="0" w:space="0"/>
          <w:shd w:val="clear" w:fill="FFFFFF"/>
        </w:rPr>
        <w:t>（四）政府信息公开平台建设</w:t>
      </w:r>
    </w:p>
    <w:p w14:paraId="7643E5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sz w:val="32"/>
          <w:szCs w:val="32"/>
          <w:bdr w:val="none" w:color="auto" w:sz="0" w:space="0"/>
          <w:shd w:val="clear" w:fill="FFFFFF"/>
        </w:rPr>
        <w:t>坚持做好了信息公开平台的维护、梳理和更新，深入推进本局政府信息公开工作，确保人民群众能及时、准确地获得相关信息。</w:t>
      </w:r>
    </w:p>
    <w:p w14:paraId="64FCD8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楷体_GB2312" w:hAnsi="微软雅黑" w:eastAsia="楷体_GB2312" w:cs="楷体_GB2312"/>
          <w:b w:val="0"/>
          <w:bCs w:val="0"/>
          <w:i w:val="0"/>
          <w:iCs w:val="0"/>
          <w:caps w:val="0"/>
          <w:color w:val="000000"/>
          <w:spacing w:val="0"/>
          <w:sz w:val="32"/>
          <w:szCs w:val="32"/>
          <w:bdr w:val="none" w:color="auto" w:sz="0" w:space="0"/>
          <w:shd w:val="clear" w:fill="FFFFFF"/>
        </w:rPr>
        <w:t>（五）监督保障</w:t>
      </w:r>
    </w:p>
    <w:p w14:paraId="7F2F8A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sz w:val="32"/>
          <w:szCs w:val="32"/>
          <w:bdr w:val="none" w:color="auto" w:sz="0" w:space="0"/>
          <w:shd w:val="clear" w:fill="FFFFFF"/>
        </w:rPr>
        <w:t>在政府信息公开网平台上，我局不断加强日常维护和运行，凡拟上网公开的信息均由主要领导进行信息审核，相关人员再进行信息发布，确保信息及时、准确地发布到网站上。认真组织学习政府信息公开工作有关条例，提高业务水平，确保政府信息公开工作有效开展。</w:t>
      </w:r>
    </w:p>
    <w:p w14:paraId="4C43B9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 </w:t>
      </w:r>
    </w:p>
    <w:p w14:paraId="638A30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二、主动公开政府信息情况</w:t>
      </w:r>
    </w:p>
    <w:tbl>
      <w:tblPr>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455"/>
        <w:gridCol w:w="2455"/>
        <w:gridCol w:w="2455"/>
        <w:gridCol w:w="2455"/>
      </w:tblGrid>
      <w:tr w14:paraId="5FD19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CCE8CF"/>
            <w:tcMar>
              <w:top w:w="0" w:type="dxa"/>
              <w:left w:w="57" w:type="dxa"/>
              <w:bottom w:w="0" w:type="dxa"/>
              <w:right w:w="57" w:type="dxa"/>
            </w:tcMar>
            <w:vAlign w:val="center"/>
          </w:tcPr>
          <w:p w14:paraId="556C191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color w:val="000000"/>
                <w:kern w:val="0"/>
                <w:sz w:val="32"/>
                <w:szCs w:val="32"/>
                <w:bdr w:val="none" w:color="auto" w:sz="0" w:space="0"/>
                <w:lang w:val="en-US" w:eastAsia="zh-CN" w:bidi="ar"/>
              </w:rPr>
              <w:t>第二十条第（一）项</w:t>
            </w:r>
          </w:p>
        </w:tc>
      </w:tr>
      <w:tr w14:paraId="15BDF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60F3A2A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2455"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120C7E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w:t>
            </w:r>
            <w:r>
              <w:rPr>
                <w:rFonts w:hint="default" w:ascii="楷体_GB2312" w:eastAsia="楷体_GB2312" w:cs="楷体_GB2312" w:hAnsiTheme="minorHAnsi"/>
                <w:b/>
                <w:bCs/>
                <w:kern w:val="0"/>
                <w:sz w:val="32"/>
                <w:szCs w:val="32"/>
                <w:bdr w:val="none" w:color="auto" w:sz="0" w:space="0"/>
                <w:lang w:val="en-US" w:eastAsia="zh-CN" w:bidi="ar"/>
              </w:rPr>
              <w:t>制发件数</w:t>
            </w:r>
          </w:p>
        </w:tc>
        <w:tc>
          <w:tcPr>
            <w:tcW w:w="2455"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771FEB4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4D6326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现行有效件</w:t>
            </w:r>
            <w:r>
              <w:rPr>
                <w:rFonts w:hint="default" w:ascii="楷体_GB2312" w:eastAsia="楷体_GB2312" w:cs="楷体_GB2312" w:hAnsiTheme="minorHAnsi"/>
                <w:b/>
                <w:bCs/>
                <w:kern w:val="0"/>
                <w:sz w:val="32"/>
                <w:szCs w:val="32"/>
                <w:bdr w:val="none" w:color="auto" w:sz="0" w:space="0"/>
                <w:lang w:val="en-US" w:eastAsia="zh-CN" w:bidi="ar"/>
              </w:rPr>
              <w:t>数</w:t>
            </w:r>
          </w:p>
        </w:tc>
      </w:tr>
      <w:tr w14:paraId="34BE3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163F0DD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规   章</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34183B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kern w:val="0"/>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1CA60D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kern w:val="0"/>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41B150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kern w:val="0"/>
                <w:sz w:val="32"/>
                <w:szCs w:val="32"/>
                <w:bdr w:val="none" w:color="auto" w:sz="0" w:space="0"/>
                <w:lang w:val="en-US" w:eastAsia="zh-CN" w:bidi="ar"/>
              </w:rPr>
              <w:t>0</w:t>
            </w:r>
          </w:p>
        </w:tc>
      </w:tr>
      <w:tr w14:paraId="389C0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2A66EF3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行政规范性文件</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82050A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color w:val="000000"/>
                <w:kern w:val="0"/>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85313F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color w:val="000000"/>
                <w:kern w:val="0"/>
                <w:sz w:val="32"/>
                <w:szCs w:val="32"/>
                <w:bdr w:val="none" w:color="auto" w:sz="0" w:space="0"/>
                <w:lang w:val="en-US" w:eastAsia="zh-CN" w:bidi="ar"/>
              </w:rPr>
              <w:t>0</w:t>
            </w:r>
          </w:p>
        </w:tc>
        <w:tc>
          <w:tcPr>
            <w:tcW w:w="2455"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D2ED24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kern w:val="0"/>
                <w:sz w:val="32"/>
                <w:szCs w:val="32"/>
                <w:bdr w:val="none" w:color="auto" w:sz="0" w:space="0"/>
                <w:lang w:val="en-US" w:eastAsia="zh-CN" w:bidi="ar"/>
              </w:rPr>
              <w:t>0</w:t>
            </w:r>
          </w:p>
        </w:tc>
      </w:tr>
      <w:tr w14:paraId="01B3E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CE8CF"/>
            <w:tcMar>
              <w:top w:w="0" w:type="dxa"/>
              <w:left w:w="57" w:type="dxa"/>
              <w:bottom w:w="0" w:type="dxa"/>
              <w:right w:w="57" w:type="dxa"/>
            </w:tcMar>
            <w:vAlign w:val="center"/>
          </w:tcPr>
          <w:p w14:paraId="5B3D144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第二十条第（五）项</w:t>
            </w:r>
          </w:p>
        </w:tc>
      </w:tr>
      <w:tr w14:paraId="00D82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3B6D9CC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5510EC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本年处理决定数量</w:t>
            </w:r>
          </w:p>
        </w:tc>
      </w:tr>
      <w:tr w14:paraId="7DB4C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5C09D7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行政许可</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5334F3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0</w:t>
            </w:r>
          </w:p>
        </w:tc>
      </w:tr>
      <w:tr w14:paraId="6E815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CE8CF"/>
            <w:tcMar>
              <w:top w:w="0" w:type="dxa"/>
              <w:left w:w="57" w:type="dxa"/>
              <w:bottom w:w="0" w:type="dxa"/>
              <w:right w:w="57" w:type="dxa"/>
            </w:tcMar>
            <w:vAlign w:val="center"/>
          </w:tcPr>
          <w:p w14:paraId="43FCD99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第二十条第（六）项</w:t>
            </w:r>
          </w:p>
        </w:tc>
      </w:tr>
      <w:tr w14:paraId="2D1DF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3420604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6E9AFD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本年处理决定数量</w:t>
            </w:r>
          </w:p>
        </w:tc>
      </w:tr>
      <w:tr w14:paraId="22142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3A50FBF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行政处罚</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028890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color w:val="000000"/>
                <w:kern w:val="0"/>
                <w:sz w:val="32"/>
                <w:szCs w:val="32"/>
                <w:bdr w:val="none" w:color="auto" w:sz="0" w:space="0"/>
                <w:lang w:val="en-US" w:eastAsia="zh-CN" w:bidi="ar"/>
              </w:rPr>
              <w:t>62</w:t>
            </w:r>
          </w:p>
        </w:tc>
      </w:tr>
      <w:tr w14:paraId="0AA6A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432A3EC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行政强制</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78F8DA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color w:val="000000"/>
                <w:kern w:val="0"/>
                <w:sz w:val="32"/>
                <w:szCs w:val="32"/>
                <w:bdr w:val="none" w:color="auto" w:sz="0" w:space="0"/>
                <w:lang w:val="en-US" w:eastAsia="zh-CN" w:bidi="ar"/>
              </w:rPr>
              <w:t>0</w:t>
            </w:r>
          </w:p>
        </w:tc>
      </w:tr>
      <w:tr w14:paraId="4D3F3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CCE8CF"/>
            <w:tcMar>
              <w:top w:w="0" w:type="dxa"/>
              <w:left w:w="57" w:type="dxa"/>
              <w:bottom w:w="0" w:type="dxa"/>
              <w:right w:w="57" w:type="dxa"/>
            </w:tcMar>
            <w:vAlign w:val="center"/>
          </w:tcPr>
          <w:p w14:paraId="1F5D212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第二十条第（八）项</w:t>
            </w:r>
          </w:p>
        </w:tc>
      </w:tr>
      <w:tr w14:paraId="12633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1D455C6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信息内容</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56209D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本年收费金额（单位：万元）</w:t>
            </w:r>
          </w:p>
        </w:tc>
      </w:tr>
      <w:tr w14:paraId="5BC7C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7F67DE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行政事业性收费</w:t>
            </w:r>
          </w:p>
        </w:tc>
        <w:tc>
          <w:tcPr>
            <w:tcW w:w="7365" w:type="dxa"/>
            <w:gridSpan w:val="3"/>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3A1867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b w:val="0"/>
                <w:bCs w:val="0"/>
                <w:kern w:val="0"/>
                <w:sz w:val="32"/>
                <w:szCs w:val="32"/>
                <w:bdr w:val="none" w:color="auto" w:sz="0" w:space="0"/>
                <w:lang w:val="en-US" w:eastAsia="zh-CN" w:bidi="ar"/>
              </w:rPr>
              <w:t>0</w:t>
            </w:r>
          </w:p>
        </w:tc>
      </w:tr>
    </w:tbl>
    <w:p w14:paraId="686802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三、收到和处理政府信息公开申请情况</w:t>
      </w:r>
    </w:p>
    <w:tbl>
      <w:tblPr>
        <w:tblW w:w="974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795A2E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tcMar>
              <w:top w:w="0" w:type="dxa"/>
              <w:left w:w="108" w:type="dxa"/>
              <w:bottom w:w="0" w:type="dxa"/>
              <w:right w:w="108" w:type="dxa"/>
            </w:tcMar>
            <w:vAlign w:val="center"/>
          </w:tcPr>
          <w:p w14:paraId="63A4C55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3C2BADA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申请人情况</w:t>
            </w:r>
          </w:p>
        </w:tc>
      </w:tr>
      <w:tr w14:paraId="54FBB3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tcMar>
              <w:top w:w="0" w:type="dxa"/>
              <w:left w:w="108" w:type="dxa"/>
              <w:bottom w:w="0" w:type="dxa"/>
              <w:right w:w="108" w:type="dxa"/>
            </w:tcMar>
            <w:vAlign w:val="center"/>
          </w:tcPr>
          <w:p w14:paraId="42CA58D2">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2054A7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自</w:t>
            </w:r>
          </w:p>
          <w:p w14:paraId="4316827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 </w:t>
            </w:r>
          </w:p>
          <w:p w14:paraId="4682246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然</w:t>
            </w:r>
          </w:p>
          <w:p w14:paraId="57DC79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 </w:t>
            </w:r>
          </w:p>
          <w:p w14:paraId="6AC1ECC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199B16C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tcMar>
              <w:top w:w="0" w:type="dxa"/>
              <w:left w:w="57" w:type="dxa"/>
              <w:bottom w:w="0" w:type="dxa"/>
              <w:right w:w="57" w:type="dxa"/>
            </w:tcMar>
            <w:vAlign w:val="center"/>
          </w:tcPr>
          <w:p w14:paraId="41C1731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总计</w:t>
            </w:r>
          </w:p>
        </w:tc>
      </w:tr>
      <w:tr w14:paraId="1FF9E81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tcMar>
              <w:top w:w="0" w:type="dxa"/>
              <w:left w:w="108" w:type="dxa"/>
              <w:bottom w:w="0" w:type="dxa"/>
              <w:right w:w="108" w:type="dxa"/>
            </w:tcMar>
            <w:vAlign w:val="center"/>
          </w:tcPr>
          <w:p w14:paraId="5C8E8521">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04C8E84">
            <w:pPr>
              <w:rPr>
                <w:rFonts w:hint="eastAsia" w:ascii="宋体"/>
                <w:sz w:val="24"/>
                <w:szCs w:val="24"/>
              </w:rPr>
            </w:pP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51D4B3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商业</w:t>
            </w:r>
          </w:p>
          <w:p w14:paraId="7EA9B23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企业</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8E2FAB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科研</w:t>
            </w:r>
          </w:p>
          <w:p w14:paraId="22778DB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机构</w:t>
            </w:r>
          </w:p>
        </w:tc>
        <w:tc>
          <w:tcPr>
            <w:tcW w:w="497"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27A736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274D9C9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708F57A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tcMar>
              <w:top w:w="0" w:type="dxa"/>
              <w:left w:w="57" w:type="dxa"/>
              <w:bottom w:w="0" w:type="dxa"/>
              <w:right w:w="57" w:type="dxa"/>
            </w:tcMar>
            <w:vAlign w:val="center"/>
          </w:tcPr>
          <w:p w14:paraId="7BCE365C">
            <w:pPr>
              <w:rPr>
                <w:rFonts w:hint="eastAsia" w:ascii="宋体"/>
                <w:sz w:val="24"/>
                <w:szCs w:val="24"/>
              </w:rPr>
            </w:pPr>
          </w:p>
        </w:tc>
      </w:tr>
      <w:tr w14:paraId="6412260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3B4E19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25BD8D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A1B1AA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BED72E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437C81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DA42EE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A99B0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2852C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r>
      <w:tr w14:paraId="36070F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626F53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D0364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BEAA95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F7170F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D69B12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8F497C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2AF281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92FD9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r>
      <w:tr w14:paraId="1546E3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0CE234A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三、本年度办理结果</w:t>
            </w:r>
          </w:p>
        </w:tc>
        <w:tc>
          <w:tcPr>
            <w:tcW w:w="5820" w:type="dxa"/>
            <w:gridSpan w:val="2"/>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884840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（一）予以公开</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738F9C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20B921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0F8360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96BBEC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F77A24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0361A0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1"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78575F3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r>
      <w:tr w14:paraId="21B03A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4FAD1AA9">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F2352E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0F4FE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F3FB3C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AB9CE5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3299E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7195AF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6E96D0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118B3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r>
      <w:tr w14:paraId="5404DDE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49BCD02C">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38385B4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（三）不予公开</w:t>
            </w: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50EAE90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1.属于国家秘密</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EE331B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5F5CDD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D693FE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3DBAB0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50F770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52123E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single" w:color="auto" w:sz="8" w:space="0"/>
              <w:left w:val="nil"/>
              <w:bottom w:val="single" w:color="auto" w:sz="8" w:space="0"/>
              <w:right w:val="single" w:color="auto" w:sz="8" w:space="0"/>
            </w:tcBorders>
            <w:shd w:val="clear"/>
            <w:tcMar>
              <w:top w:w="0" w:type="dxa"/>
              <w:left w:w="57" w:type="dxa"/>
              <w:bottom w:w="0" w:type="dxa"/>
              <w:right w:w="57" w:type="dxa"/>
            </w:tcMar>
            <w:vAlign w:val="center"/>
          </w:tcPr>
          <w:p w14:paraId="515B31F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39610C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5F012274">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2BDE6881">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1F3ABF1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2.其他法律行政法规禁止公开</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8E0FB8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0BD787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AB5088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F7B6B1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FDAC85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04B3D9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79B06A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46C9EB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01E40759">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6088E40F">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217A503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3.危及“三安全一稳定”</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DC1EAE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CB3A3B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E941E2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090782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45AFB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813BEA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79233F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6788AD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52BE0AE0">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02D1DB03">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5A8456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4.保护第三方合法权益</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C04530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6337C6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8C1E6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DC37F0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77E11F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989073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282D01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725DBB8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4A65936E">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78239089">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0B3D7D2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5.属于三类内部事务信息</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D67477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6449F8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948F9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6B4597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36EC54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81AE19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557CD2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26D5FA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768411E5">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1DD40535">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4F445B0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6.属于四类过程性信息</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0C1CB1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3E0E3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5B0F22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AA0017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7CACE6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D27A7D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F32F03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17747E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0140AB73">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69F3367E">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7B081B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7.属于行政执法案卷</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C1171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1F45DC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B15167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66EBB1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9804A0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B3BA05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01E24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5F7038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2AB1A26B">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3A03CF68">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26B5FCB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8.属于行政查询事项</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ACCECE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2D1CFF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F93486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D5F70B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FF1509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EF3275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6B8FAF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381EC0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582521CE">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551ADA5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（四）无法提供</w:t>
            </w: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40466C8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1.本机关不掌握相关政府信息</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BF8D0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4A77F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1EE453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B5A489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112B05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CED872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481DFB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4A5750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2C52B3D6">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3D8D5E8D">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1B733A9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2.没有现成信息需要另行制作</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4069FB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9455FD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05910B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9C2984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55D952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8F8C7E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E64D27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323851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420CEC86">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7360A31F">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175B2DC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3.补正后申请内容仍不明确</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EB87E2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D37EC5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6CABD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577A91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F9B04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30635A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A4FF0D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4590C8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1469D920">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3AA158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（五）不予处理</w:t>
            </w: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4BE4F8C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1.信访举报投诉类申请</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F72397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615612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C08624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15A7A6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1BCA4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ED223D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7DC23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277DA8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1F5A074C">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66D56644">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3C8DFED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2.重复申请</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64B5D1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861A96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410161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AEB2F2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D4411B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406EAD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424ED1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3704401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4E774E91">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73231195">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1FD4785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3.要求提供公开出版物</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0577F0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BF1568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381CDF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9CAAD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799F8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7231B2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E15D07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59517E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5886B62C">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0CC90B06">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top"/>
          </w:tcPr>
          <w:p w14:paraId="16AF59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4.无正当理由大量反复申请</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3D0805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B2017C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8CB9B23">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EECEB1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B63D9A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4C75A9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E900F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75118F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5155BFB4">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tcMar>
              <w:top w:w="0" w:type="dxa"/>
              <w:left w:w="57" w:type="dxa"/>
              <w:bottom w:w="0" w:type="dxa"/>
              <w:right w:w="57" w:type="dxa"/>
            </w:tcMar>
            <w:vAlign w:val="center"/>
          </w:tcPr>
          <w:p w14:paraId="383AC32F">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275B54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default" w:ascii="楷体_GB2312" w:eastAsia="楷体_GB2312" w:cs="楷体_GB2312" w:hAnsiTheme="minorHAnsi"/>
                <w:b/>
                <w:bCs/>
                <w:kern w:val="0"/>
                <w:sz w:val="32"/>
                <w:szCs w:val="32"/>
                <w:bdr w:val="none" w:color="auto" w:sz="0" w:space="0"/>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70A27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F1C846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03E7B7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E02C1E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77A51D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10078E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130A6B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2DD264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3BA5FA90">
            <w:pPr>
              <w:rPr>
                <w:rFonts w:hint="eastAsia" w:ascii="宋体"/>
                <w:sz w:val="24"/>
                <w:szCs w:val="24"/>
              </w:rPr>
            </w:pPr>
          </w:p>
        </w:tc>
        <w:tc>
          <w:tcPr>
            <w:tcW w:w="997" w:type="dxa"/>
            <w:vMerge w:val="restart"/>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5AF785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（六）其他处理</w:t>
            </w: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A909F9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default" w:ascii="楷体_GB2312" w:eastAsia="楷体_GB2312" w:cs="楷体_GB2312" w:hAnsiTheme="minorHAnsi"/>
                <w:b/>
                <w:bCs/>
                <w:kern w:val="0"/>
                <w:sz w:val="32"/>
                <w:szCs w:val="32"/>
                <w:bdr w:val="none" w:color="auto" w:sz="0" w:space="0"/>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474EE4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0A31D6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112BA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238CD6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F08945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536144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E9F89F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098514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7601ECFC">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4D67349">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1C8445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both"/>
            </w:pPr>
            <w:r>
              <w:rPr>
                <w:rFonts w:hint="default" w:ascii="楷体_GB2312" w:eastAsia="楷体_GB2312" w:cs="楷体_GB2312" w:hAnsiTheme="minorHAnsi"/>
                <w:b/>
                <w:bCs/>
                <w:kern w:val="0"/>
                <w:sz w:val="32"/>
                <w:szCs w:val="32"/>
                <w:bdr w:val="none" w:color="auto" w:sz="0" w:space="0"/>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012FA0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205B14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5999A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03E8B2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F95EF8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047BE3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B50D0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380512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2B283F08">
            <w:pPr>
              <w:rPr>
                <w:rFonts w:hint="eastAsia" w:ascii="宋体"/>
                <w:sz w:val="24"/>
                <w:szCs w:val="24"/>
              </w:rPr>
            </w:pPr>
          </w:p>
        </w:tc>
        <w:tc>
          <w:tcPr>
            <w:tcW w:w="997" w:type="dxa"/>
            <w:vMerge w:val="continue"/>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4CC7ACC">
            <w:pPr>
              <w:rPr>
                <w:rFonts w:hint="eastAsia" w:ascii="宋体"/>
                <w:sz w:val="24"/>
                <w:szCs w:val="24"/>
              </w:rPr>
            </w:pPr>
          </w:p>
        </w:tc>
        <w:tc>
          <w:tcPr>
            <w:tcW w:w="482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5FB541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3.其他</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9A901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4FB37B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0F8C1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BECB5E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DB88B7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B3E818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183BA8E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3D45A4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tcMar>
              <w:top w:w="0" w:type="dxa"/>
              <w:left w:w="57" w:type="dxa"/>
              <w:bottom w:w="0" w:type="dxa"/>
              <w:right w:w="57" w:type="dxa"/>
            </w:tcMar>
            <w:vAlign w:val="center"/>
          </w:tcPr>
          <w:p w14:paraId="0024CB90">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DDC39D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（七）总计</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77765F7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AA5703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00907B9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6FDF9EC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AC92E2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10BA9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087F50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r w14:paraId="67E767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00" w:type="dxa"/>
            <w:gridSpan w:val="3"/>
            <w:tcBorders>
              <w:top w:val="single" w:color="auto" w:sz="8" w:space="0"/>
              <w:left w:val="single" w:color="auto" w:sz="8" w:space="0"/>
              <w:bottom w:val="single" w:color="auto" w:sz="8" w:space="0"/>
              <w:right w:val="single" w:color="auto" w:sz="8" w:space="0"/>
            </w:tcBorders>
            <w:shd w:val="clear"/>
            <w:tcMar>
              <w:top w:w="0" w:type="dxa"/>
              <w:left w:w="57" w:type="dxa"/>
              <w:bottom w:w="0" w:type="dxa"/>
              <w:right w:w="57" w:type="dxa"/>
            </w:tcMar>
            <w:vAlign w:val="center"/>
          </w:tcPr>
          <w:p w14:paraId="0C67A37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left"/>
            </w:pPr>
            <w:r>
              <w:rPr>
                <w:rFonts w:hint="default" w:ascii="楷体_GB2312" w:eastAsia="楷体_GB2312" w:cs="楷体_GB2312" w:hAnsiTheme="minorHAnsi"/>
                <w:b/>
                <w:bCs/>
                <w:kern w:val="0"/>
                <w:sz w:val="32"/>
                <w:szCs w:val="32"/>
                <w:bdr w:val="none" w:color="auto" w:sz="0" w:space="0"/>
                <w:lang w:val="en-US" w:eastAsia="zh-CN" w:bidi="ar"/>
              </w:rPr>
              <w:t>四、结转下年度继续办理</w:t>
            </w:r>
          </w:p>
        </w:tc>
        <w:tc>
          <w:tcPr>
            <w:tcW w:w="439"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180C0A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73"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BEC2F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38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668819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97"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32E99BE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w:t>
            </w:r>
          </w:p>
        </w:tc>
        <w:tc>
          <w:tcPr>
            <w:tcW w:w="438"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4CEC01F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c>
          <w:tcPr>
            <w:tcW w:w="450"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2AD3F16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 0</w:t>
            </w:r>
          </w:p>
        </w:tc>
        <w:tc>
          <w:tcPr>
            <w:tcW w:w="471" w:type="dxa"/>
            <w:tcBorders>
              <w:top w:val="nil"/>
              <w:left w:val="nil"/>
              <w:bottom w:val="single" w:color="auto" w:sz="8" w:space="0"/>
              <w:right w:val="single" w:color="auto" w:sz="8" w:space="0"/>
            </w:tcBorders>
            <w:shd w:val="clear"/>
            <w:tcMar>
              <w:top w:w="0" w:type="dxa"/>
              <w:left w:w="57" w:type="dxa"/>
              <w:bottom w:w="0" w:type="dxa"/>
              <w:right w:w="57" w:type="dxa"/>
            </w:tcMar>
            <w:vAlign w:val="center"/>
          </w:tcPr>
          <w:p w14:paraId="5719E54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00" w:lineRule="atLeast"/>
              <w:ind w:left="0" w:right="0" w:firstLine="0"/>
              <w:jc w:val="center"/>
            </w:pPr>
            <w:r>
              <w:rPr>
                <w:rFonts w:hint="default" w:ascii="仿宋_GB2312" w:eastAsia="仿宋_GB2312" w:cs="仿宋_GB2312" w:hAnsiTheme="minorHAnsi"/>
                <w:kern w:val="0"/>
                <w:sz w:val="32"/>
                <w:szCs w:val="32"/>
                <w:bdr w:val="none" w:color="auto" w:sz="0" w:space="0"/>
                <w:lang w:val="en-US" w:eastAsia="zh-CN" w:bidi="ar"/>
              </w:rPr>
              <w:t>0 </w:t>
            </w:r>
          </w:p>
        </w:tc>
      </w:tr>
    </w:tbl>
    <w:p w14:paraId="3A1246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ind w:left="0" w:right="0" w:firstLine="640"/>
        <w:jc w:val="left"/>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四、政府信息公开行政复议、行政诉讼情况</w:t>
      </w:r>
    </w:p>
    <w:tbl>
      <w:tblPr>
        <w:tblW w:w="974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A0C08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865E14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行政复议</w:t>
            </w:r>
          </w:p>
        </w:tc>
        <w:tc>
          <w:tcPr>
            <w:tcW w:w="6428" w:type="dxa"/>
            <w:gridSpan w:val="10"/>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00EB2B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行政诉讼</w:t>
            </w:r>
          </w:p>
        </w:tc>
      </w:tr>
      <w:tr w14:paraId="6A2557D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98AF95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结果维持</w:t>
            </w:r>
          </w:p>
        </w:tc>
        <w:tc>
          <w:tcPr>
            <w:tcW w:w="642"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773FEA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42"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547E5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其他</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结果</w:t>
            </w:r>
          </w:p>
        </w:tc>
        <w:tc>
          <w:tcPr>
            <w:tcW w:w="642"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0B3D0FD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42"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09B35F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总计</w:t>
            </w:r>
          </w:p>
        </w:tc>
        <w:tc>
          <w:tcPr>
            <w:tcW w:w="3213"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BA5120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未经复议直接起诉</w:t>
            </w:r>
          </w:p>
        </w:tc>
        <w:tc>
          <w:tcPr>
            <w:tcW w:w="3215"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27CEBA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复议后起诉</w:t>
            </w:r>
          </w:p>
        </w:tc>
      </w:tr>
      <w:tr w14:paraId="4813DE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FCAFD96">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2582A8F">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65DADBF6">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166AE3BD">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0E8445C3">
            <w:pPr>
              <w:rPr>
                <w:rFonts w:hint="eastAsia" w:ascii="宋体"/>
                <w:sz w:val="24"/>
                <w:szCs w:val="24"/>
              </w:rPr>
            </w:pPr>
          </w:p>
        </w:tc>
        <w:tc>
          <w:tcPr>
            <w:tcW w:w="6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BFA3BA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维持</w:t>
            </w:r>
          </w:p>
        </w:tc>
        <w:tc>
          <w:tcPr>
            <w:tcW w:w="6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80D720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FC1D2A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其他</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结果</w:t>
            </w:r>
          </w:p>
        </w:tc>
        <w:tc>
          <w:tcPr>
            <w:tcW w:w="6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94EDF1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38414A6">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总计</w:t>
            </w:r>
          </w:p>
        </w:tc>
        <w:tc>
          <w:tcPr>
            <w:tcW w:w="6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6E94EDC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维持</w:t>
            </w:r>
          </w:p>
        </w:tc>
        <w:tc>
          <w:tcPr>
            <w:tcW w:w="6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25DA7BF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结果</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纠正</w:t>
            </w:r>
          </w:p>
        </w:tc>
        <w:tc>
          <w:tcPr>
            <w:tcW w:w="6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3AE92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其他</w:t>
            </w:r>
            <w:r>
              <w:rPr>
                <w:rFonts w:hint="default" w:ascii="楷体_GB2312" w:eastAsia="楷体_GB2312" w:cs="楷体_GB2312" w:hAnsiTheme="minorHAnsi"/>
                <w:b/>
                <w:bCs/>
                <w:color w:val="000000"/>
                <w:kern w:val="0"/>
                <w:sz w:val="32"/>
                <w:szCs w:val="32"/>
                <w:bdr w:val="none" w:color="auto" w:sz="0" w:space="0"/>
                <w:lang w:val="en-US" w:eastAsia="zh-CN" w:bidi="ar"/>
              </w:rPr>
              <w:br w:type="textWrapping"/>
            </w:r>
            <w:r>
              <w:rPr>
                <w:rFonts w:hint="default" w:ascii="楷体_GB2312" w:eastAsia="楷体_GB2312" w:cs="楷体_GB2312" w:hAnsiTheme="minorHAnsi"/>
                <w:b/>
                <w:bCs/>
                <w:color w:val="000000"/>
                <w:kern w:val="0"/>
                <w:sz w:val="32"/>
                <w:szCs w:val="32"/>
                <w:bdr w:val="none" w:color="auto" w:sz="0" w:space="0"/>
                <w:lang w:val="en-US" w:eastAsia="zh-CN" w:bidi="ar"/>
              </w:rPr>
              <w:t>结果</w:t>
            </w:r>
          </w:p>
        </w:tc>
        <w:tc>
          <w:tcPr>
            <w:tcW w:w="6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3DDA9CB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kern w:val="0"/>
                <w:sz w:val="32"/>
                <w:szCs w:val="32"/>
                <w:bdr w:val="none" w:color="auto" w:sz="0" w:space="0"/>
                <w:lang w:val="en-US" w:eastAsia="zh-CN" w:bidi="ar"/>
              </w:rPr>
              <w:t>尚未</w:t>
            </w:r>
            <w:r>
              <w:rPr>
                <w:rFonts w:hint="default" w:ascii="楷体_GB2312" w:eastAsia="楷体_GB2312" w:cs="楷体_GB2312" w:hAnsiTheme="minorHAnsi"/>
                <w:b/>
                <w:bCs/>
                <w:kern w:val="0"/>
                <w:sz w:val="32"/>
                <w:szCs w:val="32"/>
                <w:bdr w:val="none" w:color="auto" w:sz="0" w:space="0"/>
                <w:lang w:val="en-US" w:eastAsia="zh-CN" w:bidi="ar"/>
              </w:rPr>
              <w:br w:type="textWrapping"/>
            </w:r>
            <w:r>
              <w:rPr>
                <w:rFonts w:hint="default" w:ascii="楷体_GB2312" w:eastAsia="楷体_GB2312" w:cs="楷体_GB2312" w:hAnsiTheme="minorHAnsi"/>
                <w:b/>
                <w:bCs/>
                <w:kern w:val="0"/>
                <w:sz w:val="32"/>
                <w:szCs w:val="32"/>
                <w:bdr w:val="none" w:color="auto" w:sz="0" w:space="0"/>
                <w:lang w:val="en-US" w:eastAsia="zh-CN" w:bidi="ar"/>
              </w:rPr>
              <w:t>审结</w:t>
            </w:r>
          </w:p>
        </w:tc>
        <w:tc>
          <w:tcPr>
            <w:tcW w:w="64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169A5ECA">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楷体_GB2312" w:eastAsia="楷体_GB2312" w:cs="楷体_GB2312" w:hAnsiTheme="minorHAnsi"/>
                <w:b/>
                <w:bCs/>
                <w:color w:val="000000"/>
                <w:kern w:val="0"/>
                <w:sz w:val="32"/>
                <w:szCs w:val="32"/>
                <w:bdr w:val="none" w:color="auto" w:sz="0" w:space="0"/>
                <w:lang w:val="en-US" w:eastAsia="zh-CN" w:bidi="ar"/>
              </w:rPr>
              <w:t>总计</w:t>
            </w:r>
          </w:p>
        </w:tc>
      </w:tr>
      <w:tr w14:paraId="60A2927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2C3A0D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5B9ABC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970106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DFC5C8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59A184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1091CB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0 </w:t>
            </w:r>
          </w:p>
        </w:tc>
        <w:tc>
          <w:tcPr>
            <w:tcW w:w="6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3CE609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0 </w:t>
            </w:r>
          </w:p>
        </w:tc>
        <w:tc>
          <w:tcPr>
            <w:tcW w:w="6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A95AD4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0 </w:t>
            </w:r>
          </w:p>
        </w:tc>
        <w:tc>
          <w:tcPr>
            <w:tcW w:w="6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CC27F2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47DCCE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19F6AA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786B8C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6B6F07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 0</w:t>
            </w:r>
          </w:p>
        </w:tc>
        <w:tc>
          <w:tcPr>
            <w:tcW w:w="6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E014B5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Fonts w:hint="default" w:ascii="仿宋_GB2312" w:eastAsia="仿宋_GB2312" w:cs="仿宋_GB2312" w:hAnsiTheme="minorHAnsi"/>
                <w:kern w:val="0"/>
                <w:sz w:val="24"/>
                <w:szCs w:val="24"/>
                <w:bdr w:val="none" w:color="auto" w:sz="0" w:space="0"/>
                <w:lang w:val="en-US" w:eastAsia="zh-CN" w:bidi="ar"/>
              </w:rPr>
              <w:t>0 </w:t>
            </w:r>
          </w:p>
        </w:tc>
        <w:tc>
          <w:tcPr>
            <w:tcW w:w="6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34787B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180" w:beforeAutospacing="0" w:after="180" w:afterAutospacing="0"/>
              <w:ind w:left="0" w:right="0" w:firstLine="0"/>
              <w:jc w:val="left"/>
            </w:pPr>
            <w:r>
              <w:rPr>
                <w:rFonts w:hint="default" w:ascii="仿宋_GB2312" w:eastAsia="仿宋_GB2312" w:cs="仿宋_GB2312" w:hAnsiTheme="minorHAnsi"/>
                <w:kern w:val="0"/>
                <w:sz w:val="24"/>
                <w:szCs w:val="24"/>
                <w:bdr w:val="none" w:color="auto" w:sz="0" w:space="0"/>
                <w:lang w:val="en-US" w:eastAsia="zh-CN" w:bidi="ar"/>
              </w:rPr>
              <w:t>0</w:t>
            </w:r>
          </w:p>
        </w:tc>
      </w:tr>
    </w:tbl>
    <w:p w14:paraId="145F5B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ind w:left="0" w:right="0" w:firstLine="0"/>
        <w:jc w:val="left"/>
        <w:rPr>
          <w:rFonts w:hint="eastAsia" w:ascii="微软雅黑" w:hAnsi="微软雅黑" w:eastAsia="微软雅黑" w:cs="微软雅黑"/>
          <w:i w:val="0"/>
          <w:iCs w:val="0"/>
          <w:caps w:val="0"/>
          <w:color w:val="000000"/>
          <w:spacing w:val="0"/>
          <w:sz w:val="21"/>
          <w:szCs w:val="21"/>
        </w:rPr>
      </w:pPr>
      <w:r>
        <w:rPr>
          <w:rFonts w:ascii="Calibri" w:hAnsi="Calibri" w:eastAsia="微软雅黑" w:cs="Calibri"/>
          <w:i w:val="0"/>
          <w:iCs w:val="0"/>
          <w:caps w:val="0"/>
          <w:color w:val="000000"/>
          <w:spacing w:val="0"/>
          <w:kern w:val="0"/>
          <w:sz w:val="21"/>
          <w:szCs w:val="21"/>
          <w:bdr w:val="none" w:color="auto" w:sz="0" w:space="0"/>
          <w:shd w:val="clear" w:fill="FFFFFF"/>
          <w:lang w:val="en-US" w:eastAsia="zh-CN" w:bidi="ar"/>
        </w:rPr>
        <w:t> </w:t>
      </w:r>
    </w:p>
    <w:p w14:paraId="29D9433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五、存在的主要问题及改进情况</w:t>
      </w:r>
    </w:p>
    <w:p w14:paraId="6687BD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ind w:left="0" w:right="0" w:firstLine="0"/>
        <w:jc w:val="left"/>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2023年在政府信息公开工作中，取得了一定的成效，但是信息公开内容质量有待提高，信息公开数量还有待提升，针对该问题，市应急管理局将继续按照国家、省、市工作部署和要求，全面推进政务公开工作，用好网站、政务新媒体，确保公开渠道畅通，不断提升公开的覆盖面和透明度，切实提升政民互动的便捷性。</w:t>
      </w:r>
    </w:p>
    <w:p w14:paraId="5653D0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b w:val="0"/>
          <w:bCs w:val="0"/>
          <w:i w:val="0"/>
          <w:iCs w:val="0"/>
          <w:caps w:val="0"/>
          <w:color w:val="000000"/>
          <w:spacing w:val="0"/>
          <w:kern w:val="0"/>
          <w:sz w:val="32"/>
          <w:szCs w:val="32"/>
          <w:bdr w:val="none" w:color="auto" w:sz="0" w:space="0"/>
          <w:shd w:val="clear" w:fill="FFFFFF"/>
          <w:lang w:val="en-US" w:eastAsia="zh-CN" w:bidi="ar"/>
        </w:rPr>
        <w:t>六、其他需要报告的事项</w:t>
      </w:r>
    </w:p>
    <w:p w14:paraId="796B633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ind w:left="0" w:right="0" w:firstLine="0"/>
        <w:jc w:val="left"/>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 无其他需要报告的事项，</w:t>
      </w:r>
      <w:r>
        <w:rPr>
          <w:rFonts w:hint="default" w:ascii="仿宋" w:hAnsi="仿宋" w:eastAsia="仿宋" w:cs="仿宋"/>
          <w:i w:val="0"/>
          <w:iCs w:val="0"/>
          <w:caps w:val="0"/>
          <w:color w:val="171A1D"/>
          <w:spacing w:val="0"/>
          <w:kern w:val="0"/>
          <w:sz w:val="32"/>
          <w:szCs w:val="32"/>
          <w:u w:val="none"/>
          <w:bdr w:val="none" w:color="auto" w:sz="0" w:space="0"/>
          <w:shd w:val="clear" w:fill="FFFFFF"/>
          <w:vertAlign w:val="baseline"/>
          <w:lang w:val="en-US" w:eastAsia="zh-CN" w:bidi="ar"/>
        </w:rPr>
        <w:t>2023年度，本机关无收取信息处理费情况。</w:t>
      </w:r>
    </w:p>
    <w:p w14:paraId="1C01FFF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hMmJlNWYwY2EzOTM3NGViNjBlNzY1ZTdjMzgwZGMifQ=="/>
  </w:docVars>
  <w:rsids>
    <w:rsidRoot w:val="00000000"/>
    <w:rsid w:val="38431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2024-10-23T03:05:06Z</dcterms:created>
  <dc:creator>易秋斌</dc:creator>
  <cp:lastModifiedBy>WPS_1591327309</cp:lastModifiedBy>
  <dcterms:modified xsi:type="dcterms:W3CDTF">2024-10-23T03:05:42Z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44626E6FF01E49468B421A118C9B19ED_12</vt:lpwstr>
  </property>
</Properties>
</file>