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C94238">
      <w:pPr>
        <w:keepNext w:val="0"/>
        <w:keepLines w:val="0"/>
        <w:pageBreakBefore w:val="0"/>
        <w:widowControl w:val="0"/>
        <w:kinsoku/>
        <w:wordWrap/>
        <w:overflowPunct/>
        <w:topLinePunct w:val="0"/>
        <w:autoSpaceDE/>
        <w:autoSpaceDN/>
        <w:bidi w:val="0"/>
        <w:adjustRightInd/>
        <w:snapToGrid/>
        <w:spacing w:before="157" w:beforeLines="50" w:after="157" w:afterLines="50" w:line="6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高安市</w:t>
      </w:r>
      <w:r>
        <w:rPr>
          <w:rFonts w:hint="eastAsia" w:ascii="方正小标宋简体" w:hAnsi="方正小标宋简体" w:eastAsia="方正小标宋简体" w:cs="方正小标宋简体"/>
          <w:sz w:val="44"/>
          <w:szCs w:val="44"/>
        </w:rPr>
        <w:t>华林山镇人民政府2024年政府信息公开工作年度报</w:t>
      </w:r>
      <w:r>
        <w:rPr>
          <w:rFonts w:hint="eastAsia" w:ascii="方正小标宋简体" w:hAnsi="方正小标宋简体" w:eastAsia="方正小标宋简体" w:cs="方正小标宋简体"/>
          <w:sz w:val="44"/>
          <w:szCs w:val="44"/>
          <w:lang w:eastAsia="zh-CN"/>
        </w:rPr>
        <w:t>告</w:t>
      </w:r>
    </w:p>
    <w:p w14:paraId="6721EE8A">
      <w:pPr>
        <w:keepNext w:val="0"/>
        <w:keepLines w:val="0"/>
        <w:pageBreakBefore w:val="0"/>
        <w:widowControl w:val="0"/>
        <w:kinsoku/>
        <w:wordWrap/>
        <w:overflowPunct/>
        <w:topLinePunct w:val="0"/>
        <w:autoSpaceDE/>
        <w:autoSpaceDN/>
        <w:bidi w:val="0"/>
        <w:adjustRightInd/>
        <w:snapToGrid/>
        <w:spacing w:before="313" w:beforeLines="100" w:after="157" w:afterLines="5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根据《中华人民共和国政府信息公开条例》及省市市有关政府信息公开年报编制要求，结合202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年度本单位政府信息公开工作推进落实情况和有关统计数据撰写本报告。本年度报告中所列数据的统计期限自202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年1月1日起至202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年12月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lang w:eastAsia="zh-CN"/>
        </w:rPr>
        <w:t>日止。如对本年度报告有疑问，请与高安市华林山镇人民政府联系（地址：高安市华林山镇下观街，电话：0795-</w:t>
      </w:r>
      <w:r>
        <w:rPr>
          <w:rFonts w:hint="eastAsia" w:ascii="仿宋_GB2312" w:hAnsi="仿宋_GB2312" w:eastAsia="仿宋_GB2312" w:cs="仿宋_GB2312"/>
          <w:sz w:val="32"/>
          <w:szCs w:val="32"/>
          <w:lang w:val="en-US" w:eastAsia="zh-CN"/>
        </w:rPr>
        <w:t>5682108</w:t>
      </w:r>
      <w:r>
        <w:rPr>
          <w:rFonts w:hint="eastAsia" w:ascii="仿宋_GB2312" w:hAnsi="仿宋_GB2312" w:eastAsia="仿宋_GB2312" w:cs="仿宋_GB2312"/>
          <w:sz w:val="32"/>
          <w:szCs w:val="32"/>
          <w:lang w:eastAsia="zh-CN"/>
        </w:rPr>
        <w:t>，邮编：</w:t>
      </w:r>
      <w:r>
        <w:rPr>
          <w:rFonts w:hint="eastAsia" w:ascii="仿宋_GB2312" w:hAnsi="仿宋_GB2312" w:eastAsia="仿宋_GB2312" w:cs="仿宋_GB2312"/>
          <w:sz w:val="32"/>
          <w:szCs w:val="32"/>
          <w:lang w:val="en-US" w:eastAsia="zh-CN"/>
        </w:rPr>
        <w:t>330823</w:t>
      </w:r>
      <w:r>
        <w:rPr>
          <w:rFonts w:hint="eastAsia" w:ascii="仿宋_GB2312" w:hAnsi="仿宋_GB2312" w:eastAsia="仿宋_GB2312" w:cs="仿宋_GB2312"/>
          <w:sz w:val="32"/>
          <w:szCs w:val="32"/>
          <w:lang w:eastAsia="zh-CN"/>
        </w:rPr>
        <w:t>）。</w:t>
      </w:r>
    </w:p>
    <w:p w14:paraId="7157BBC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sz w:val="32"/>
          <w:szCs w:val="32"/>
        </w:rPr>
      </w:pPr>
      <w:r>
        <w:rPr>
          <w:rFonts w:hint="eastAsia" w:ascii="黑体" w:hAnsi="黑体" w:eastAsia="黑体" w:cs="黑体"/>
          <w:b w:val="0"/>
          <w:bCs w:val="0"/>
          <w:i w:val="0"/>
          <w:iCs w:val="0"/>
          <w:caps w:val="0"/>
          <w:color w:val="000000"/>
          <w:spacing w:val="0"/>
          <w:kern w:val="0"/>
          <w:sz w:val="32"/>
          <w:szCs w:val="32"/>
          <w:shd w:val="clear" w:fill="FFFFFF"/>
          <w:lang w:val="en-US" w:eastAsia="zh-CN" w:bidi="ar"/>
        </w:rPr>
        <w:t>一、总体情况</w:t>
      </w:r>
    </w:p>
    <w:p w14:paraId="30F21E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2024年，华林山镇政务公开工作在镇党委、政府的领导下，按照上级部门的统一要求和部署，本着“实事求是、公开透明”的原则，认真贯彻落实，把政务公开与政府各项工作联系起来，自觉接受广大群众监督。</w:t>
      </w:r>
    </w:p>
    <w:p w14:paraId="52172D3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i w:val="0"/>
          <w:iCs w:val="0"/>
          <w:caps w:val="0"/>
          <w:color w:val="000000"/>
          <w:spacing w:val="0"/>
          <w:sz w:val="32"/>
          <w:szCs w:val="32"/>
        </w:rPr>
      </w:pPr>
      <w:r>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t>（一）主动公开</w:t>
      </w:r>
    </w:p>
    <w:p w14:paraId="61571F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华林山镇人民政府网站公开各类政府信息921条，其中执行公开10条，会议公开5条，政务信息30条，财政信息7条，人事信息2条，村（居）务公开744条，社会公益事业与重点民生领域111条，以及其他信息12条。</w:t>
      </w:r>
      <w:r>
        <w:rPr>
          <w:rFonts w:hint="eastAsia" w:ascii="仿宋_GB2312" w:hAnsi="仿宋_GB2312" w:eastAsia="仿宋_GB2312" w:cs="仿宋_GB2312"/>
          <w:sz w:val="32"/>
          <w:szCs w:val="32"/>
          <w:lang w:val="en-US" w:eastAsia="zh-CN"/>
        </w:rPr>
        <w:t>政府信息公开工作紧紧围绕市委、市政府中心工作，依托政府信息公开网站，及时公开政策解读、养老服务、社会救助等多方面信息，确保信息公开内容的准确性、权威性、时效性。</w:t>
      </w:r>
    </w:p>
    <w:p w14:paraId="1A4247E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t>（二）依申请公开</w:t>
      </w:r>
    </w:p>
    <w:p w14:paraId="2CFCAF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年度本镇无依申请公开信息。</w:t>
      </w:r>
    </w:p>
    <w:p w14:paraId="7C099FA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t>（三）政府信息管理</w:t>
      </w:r>
    </w:p>
    <w:p w14:paraId="4397AC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2024年，我镇严格按照《条例》要求，进一步规范信息管理，明确专人负责日常政府信息公开工作，维护政府网站信息；严格落实信息发布三审三校制度，确保信息的真实性和规范性；认真开展问题排查整改，保障发布信息内容准确、严谨，形式规范。</w:t>
      </w:r>
    </w:p>
    <w:p w14:paraId="469D07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t>（四）政府信息公开平台建设</w:t>
      </w:r>
    </w:p>
    <w:p w14:paraId="18CCF0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持续优化线上网站栏目。加强政务公开网目录建设，及时更新栏目内容，让群众更直观地了解更多基层政府信息；二是利用好线下政务公开平台。在政务公开专区、政务信息公开栏等平台公开重点领域相关的政府信息。在12个村（居）委会的便民公示栏，及时公示公开人事信息、重大民生项目等信息，全面促进政务公开向村（居）延伸。</w:t>
      </w:r>
    </w:p>
    <w:p w14:paraId="23C6CF4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t>（五）监督保障</w:t>
      </w:r>
    </w:p>
    <w:p w14:paraId="61E68F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遵守和贯彻落实《条例》，确保职责明确，责任到人。建立主要领导参与，分管领导负责的定期检查、不定期抽查相结合的检查制度，对政务信息公开工作统筹指导、审核把关，明确专人负责政府网站管理，保证了公开内容真实有效。2024年我镇未发生政务公开责任追究情况。</w:t>
      </w:r>
    </w:p>
    <w:p w14:paraId="27C9DFC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p>
    <w:p w14:paraId="2B71149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p>
    <w:p w14:paraId="67E4D21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p>
    <w:p w14:paraId="68EE53A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r>
        <w:rPr>
          <w:rFonts w:hint="eastAsia" w:ascii="黑体" w:hAnsi="黑体" w:eastAsia="黑体" w:cs="黑体"/>
          <w:b w:val="0"/>
          <w:bCs w:val="0"/>
          <w:i w:val="0"/>
          <w:iCs w:val="0"/>
          <w:caps w:val="0"/>
          <w:color w:val="000000"/>
          <w:spacing w:val="0"/>
          <w:kern w:val="0"/>
          <w:sz w:val="32"/>
          <w:szCs w:val="32"/>
          <w:shd w:val="clear" w:fill="FFFFFF"/>
          <w:lang w:val="en-US" w:eastAsia="zh-CN" w:bidi="ar"/>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54712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45D4533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hAnsi="仿宋_GB2312" w:eastAsia="仿宋_GB2312" w:cs="仿宋_GB2312"/>
                <w:sz w:val="32"/>
                <w:szCs w:val="32"/>
                <w:lang w:val="en-US" w:eastAsia="zh-CN"/>
              </w:rPr>
              <w:t>第二十条第（一）项</w:t>
            </w:r>
          </w:p>
        </w:tc>
      </w:tr>
      <w:tr w14:paraId="07320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CBF8F1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ascii="楷体_GB2312" w:eastAsia="楷体_GB2312" w:cs="楷体_GB2312" w:hAnsiTheme="minorHAnsi"/>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4FD87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w:t>
            </w:r>
            <w:r>
              <w:rPr>
                <w:rFonts w:hint="eastAsia" w:ascii="楷体_GB2312" w:eastAsia="楷体_GB2312" w:cs="楷体_GB2312" w:hAnsiTheme="minorHAnsi"/>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A5D87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5409D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现行有效件</w:t>
            </w:r>
            <w:r>
              <w:rPr>
                <w:rFonts w:hint="eastAsia" w:ascii="楷体_GB2312" w:eastAsia="楷体_GB2312" w:cs="楷体_GB2312" w:hAnsiTheme="minorHAnsi"/>
                <w:b/>
                <w:bCs/>
                <w:kern w:val="0"/>
                <w:sz w:val="32"/>
                <w:szCs w:val="32"/>
                <w:lang w:val="en-US" w:eastAsia="zh-CN" w:bidi="ar"/>
              </w:rPr>
              <w:t>数</w:t>
            </w:r>
          </w:p>
        </w:tc>
      </w:tr>
      <w:tr w14:paraId="58AD2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F1B7D8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2C91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61EFD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E772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r w14:paraId="4BE1D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47C486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55A4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2703C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0E8A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r w14:paraId="10BF6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3870A5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第二十条第（五）项</w:t>
            </w:r>
          </w:p>
        </w:tc>
      </w:tr>
      <w:tr w14:paraId="1CBAF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8C4B1F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02F04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本年处理决定数量</w:t>
            </w:r>
          </w:p>
        </w:tc>
      </w:tr>
      <w:tr w14:paraId="52752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592A4A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35E5D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lang w:val="en-US"/>
              </w:rPr>
            </w:pPr>
            <w:r>
              <w:rPr>
                <w:rFonts w:hint="eastAsia" w:ascii="楷体_GB2312" w:eastAsia="楷体_GB2312" w:cs="楷体_GB2312"/>
                <w:b/>
                <w:bCs/>
                <w:kern w:val="0"/>
                <w:sz w:val="32"/>
                <w:szCs w:val="32"/>
                <w:lang w:val="en-US" w:eastAsia="zh-CN" w:bidi="ar"/>
              </w:rPr>
              <w:t>12</w:t>
            </w:r>
          </w:p>
        </w:tc>
      </w:tr>
      <w:tr w14:paraId="751CB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34D90C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第二十条第（六）项</w:t>
            </w:r>
          </w:p>
        </w:tc>
      </w:tr>
      <w:tr w14:paraId="20C27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B5CA33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A34D0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本年处理决定数量</w:t>
            </w:r>
          </w:p>
        </w:tc>
      </w:tr>
      <w:tr w14:paraId="62F00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B1A48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9786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b w:val="0"/>
                <w:bCs w:val="0"/>
                <w:color w:val="000000"/>
                <w:kern w:val="0"/>
                <w:sz w:val="32"/>
                <w:szCs w:val="32"/>
                <w:lang w:val="en-US" w:eastAsia="zh-CN" w:bidi="ar"/>
              </w:rPr>
              <w:t>4</w:t>
            </w:r>
          </w:p>
        </w:tc>
      </w:tr>
      <w:tr w14:paraId="12830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D91B2B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D1403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bookmarkStart w:id="0" w:name="_GoBack"/>
            <w:bookmarkEnd w:id="0"/>
          </w:p>
        </w:tc>
      </w:tr>
      <w:tr w14:paraId="03F15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620D5E3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第二十条第（八）项</w:t>
            </w:r>
          </w:p>
        </w:tc>
      </w:tr>
      <w:tr w14:paraId="4B72B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CEBE9A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386E91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本年收费金额（单位：万元）</w:t>
            </w:r>
          </w:p>
        </w:tc>
      </w:tr>
      <w:tr w14:paraId="04B4B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A6D666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07535F0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bl>
    <w:p w14:paraId="6EC9F84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p>
    <w:p w14:paraId="3568BA1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r>
        <w:rPr>
          <w:rFonts w:hint="eastAsia" w:ascii="黑体" w:hAnsi="黑体" w:eastAsia="黑体" w:cs="黑体"/>
          <w:b w:val="0"/>
          <w:bCs w:val="0"/>
          <w:i w:val="0"/>
          <w:iCs w:val="0"/>
          <w:caps w:val="0"/>
          <w:color w:val="000000"/>
          <w:spacing w:val="0"/>
          <w:kern w:val="0"/>
          <w:sz w:val="32"/>
          <w:szCs w:val="32"/>
          <w:shd w:val="clear" w:fill="FFFFFF"/>
          <w:lang w:val="en-US" w:eastAsia="zh-CN" w:bidi="ar"/>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0180CF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4" w:hRule="atLeast"/>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26F670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2247D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申请人情况</w:t>
            </w:r>
          </w:p>
        </w:tc>
      </w:tr>
      <w:tr w14:paraId="5D1BCF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93" w:hRule="atLeast"/>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2BC2FBA0">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C0FFE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自</w:t>
            </w:r>
          </w:p>
          <w:p w14:paraId="74C15D1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 </w:t>
            </w:r>
          </w:p>
          <w:p w14:paraId="3D2917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然</w:t>
            </w:r>
          </w:p>
          <w:p w14:paraId="6D115B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 </w:t>
            </w:r>
          </w:p>
          <w:p w14:paraId="03C92FA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19996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30583E8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总计</w:t>
            </w:r>
          </w:p>
        </w:tc>
      </w:tr>
      <w:tr w14:paraId="6D872B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538937F1">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AF35F0">
            <w:pPr>
              <w:rPr>
                <w:rFonts w:hint="eastAsia" w:ascii="宋体"/>
                <w:sz w:val="24"/>
                <w:szCs w:val="24"/>
              </w:rPr>
            </w:pP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EF71E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商业</w:t>
            </w:r>
          </w:p>
          <w:p w14:paraId="461297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AC32F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科研</w:t>
            </w:r>
          </w:p>
          <w:p w14:paraId="7EF192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C6209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7C91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76F1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1E32C2BD">
            <w:pPr>
              <w:rPr>
                <w:rFonts w:hint="eastAsia" w:ascii="宋体"/>
                <w:sz w:val="24"/>
                <w:szCs w:val="24"/>
              </w:rPr>
            </w:pPr>
          </w:p>
        </w:tc>
      </w:tr>
      <w:tr w14:paraId="403400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DD67BA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AF15D2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FD2C2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EDF716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7E05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DAAE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1F21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797D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44EB83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44C8E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744FC0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28A75B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0958EC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D4F099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3CD43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EFBC70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9396D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77E74B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AAB08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6403E6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31C3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0D4AF6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9D92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77EE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AD4A3D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4818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001CF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1439747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E8A67A3">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BA71D3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D221FA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2A01F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EECD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D5E7F2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4AC3C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7BFB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2FCB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0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2473F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A24862D">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6E0FA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AD5AD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EE744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7627D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C70553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07D5B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48F74F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960F22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6B970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751766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8CE9F1F">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883C61E">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0A8A8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3F4EF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85B44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34033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73FA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549A7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DEB8C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DA12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400" w:lineRule="atLeast"/>
              <w:ind w:left="0" w:right="0"/>
              <w:jc w:val="center"/>
            </w:pPr>
            <w:r>
              <w:rPr>
                <w:rFonts w:hint="eastAsia" w:ascii="仿宋_GB2312" w:eastAsia="仿宋_GB2312" w:cs="仿宋_GB2312" w:hAnsiTheme="minorHAnsi"/>
                <w:kern w:val="0"/>
                <w:sz w:val="32"/>
                <w:szCs w:val="32"/>
                <w:lang w:val="en-US" w:eastAsia="zh-CN" w:bidi="ar"/>
              </w:rPr>
              <w:t>0</w:t>
            </w:r>
          </w:p>
        </w:tc>
      </w:tr>
      <w:tr w14:paraId="0683CE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ED5EED6">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F2554D5">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4CA82A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B9EA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C31D4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2328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E612C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11708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48D73C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9D58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F0872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72D1E2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3846A5E">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86F29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4C7A1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3F5946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F2573E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19A1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EF42F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15268E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C4B9E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1A985F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F0456F3">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4584900">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32E78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008E0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7DDC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D52D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3CE4C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553DB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AB9B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9B10A8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783B24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3B5DF1C">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15CF26E">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50346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F99D1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510DA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74DBA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66EBA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52094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9A86EF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86C69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A7057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36C289D">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D8727D3">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FEEE4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C03075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D4E08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533CEB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67340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DFB70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FCF0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7A5F3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069B31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4A7EF2F">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7F47274">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40F1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C75AF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788FB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9480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7EC70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1C265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9C46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2CFD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52E9A6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7A493C6">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051692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E3425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839B2C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02B15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48C57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9270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35FB3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3568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62DF7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400" w:lineRule="atLeast"/>
              <w:ind w:left="0" w:right="0"/>
              <w:jc w:val="center"/>
            </w:pPr>
            <w:r>
              <w:rPr>
                <w:rFonts w:hint="eastAsia" w:ascii="仿宋_GB2312" w:eastAsia="仿宋_GB2312" w:cs="仿宋_GB2312" w:hAnsiTheme="minorHAnsi"/>
                <w:kern w:val="0"/>
                <w:sz w:val="32"/>
                <w:szCs w:val="32"/>
                <w:lang w:val="en-US" w:eastAsia="zh-CN" w:bidi="ar"/>
              </w:rPr>
              <w:t>0</w:t>
            </w:r>
          </w:p>
        </w:tc>
      </w:tr>
      <w:tr w14:paraId="78D52A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2DC034F">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52D4184">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D6B90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5BD08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CB9AB1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5FF53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673BD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7471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C34097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34F90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850C8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33"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3FE78CA">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09F1BD1">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ACA61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08980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4D9F12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186A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7395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A4B3A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DBCAED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BC95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509884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2E4909D">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7B44E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1ED3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257CBD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A2961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6119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2A10F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8F36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7D936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0180D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6050B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4F903AC">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8908F42">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76F2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0B13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EAFAA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5A2E9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508B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812D6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F66D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0D206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47ECD23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D52C800">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8E72CE8">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B245C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E9EF7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4EA91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B870C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AA0C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4FD5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CE260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32CA1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20F1AA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82"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EE5CE64">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24C4465">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2142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823F82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6AEE5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7E0A8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53F4CF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5B0FA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12F5D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B0174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64879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131"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BA48A01">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962DD74">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E6C876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EC199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DACBE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9FA9BD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212F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5820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331148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3ACF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0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1BD956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7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01580D9">
            <w:pPr>
              <w:rPr>
                <w:rFonts w:hint="eastAsia" w:ascii="宋体"/>
                <w:sz w:val="24"/>
                <w:szCs w:val="24"/>
              </w:rPr>
            </w:pPr>
          </w:p>
        </w:tc>
        <w:tc>
          <w:tcPr>
            <w:tcW w:w="997"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9B77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（六）其他处理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56F68E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E2FDA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4D3DB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3642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2846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FDEB38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FF631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4D26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90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D93E7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805"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FAD688F">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322C59">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579B2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450E3D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3C0C7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49832C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466FD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11C7C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2F31D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36B78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0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52DB07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BDDCED0">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4D93BAE">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C32054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DE6930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9708A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241C2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29DC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419F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23DA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308B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257E0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C6F5D98">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DEF67F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381D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2B724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00E5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CA67D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8C620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2BF1B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7EDD8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163525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6C81CE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B393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A97C9A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A882E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F4358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476F80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227D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1B1C20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bl>
    <w:p w14:paraId="1F2791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b w:val="0"/>
          <w:bCs w:val="0"/>
          <w:i w:val="0"/>
          <w:iCs w:val="0"/>
          <w:caps w:val="0"/>
          <w:color w:val="000000"/>
          <w:spacing w:val="0"/>
          <w:kern w:val="0"/>
          <w:sz w:val="32"/>
          <w:szCs w:val="32"/>
          <w:shd w:val="clear" w:fill="FFFFFF"/>
          <w:lang w:val="en-US" w:eastAsia="zh-CN" w:bidi="ar"/>
        </w:rPr>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 </w:t>
      </w:r>
    </w:p>
    <w:p w14:paraId="262B7E4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黑体" w:eastAsia="黑体" w:cs="黑体"/>
          <w:b w:val="0"/>
          <w:bCs w:val="0"/>
          <w:i w:val="0"/>
          <w:iCs w:val="0"/>
          <w:caps w:val="0"/>
          <w:color w:val="000000"/>
          <w:spacing w:val="0"/>
          <w:kern w:val="0"/>
          <w:sz w:val="32"/>
          <w:szCs w:val="32"/>
          <w:shd w:val="clear" w:fill="FFFFFF"/>
          <w:lang w:val="en-US" w:eastAsia="zh-CN" w:bidi="ar"/>
        </w:rPr>
      </w:pPr>
      <w:r>
        <w:rPr>
          <w:rFonts w:hint="eastAsia" w:ascii="黑体" w:hAnsi="黑体" w:eastAsia="黑体" w:cs="黑体"/>
          <w:b w:val="0"/>
          <w:bCs w:val="0"/>
          <w:i w:val="0"/>
          <w:iCs w:val="0"/>
          <w:caps w:val="0"/>
          <w:color w:val="000000"/>
          <w:spacing w:val="0"/>
          <w:kern w:val="0"/>
          <w:sz w:val="32"/>
          <w:szCs w:val="32"/>
          <w:shd w:val="clear" w:fill="FFFFFF"/>
          <w:lang w:val="en-US" w:eastAsia="zh-CN" w:bidi="ar"/>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F6014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36D3E5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660398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行政诉讼</w:t>
            </w:r>
          </w:p>
        </w:tc>
      </w:tr>
      <w:tr w14:paraId="2EA82E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19"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F8DC7C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结果维持</w:t>
            </w:r>
          </w:p>
        </w:tc>
        <w:tc>
          <w:tcPr>
            <w:tcW w:w="642"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604A0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纠正</w:t>
            </w:r>
          </w:p>
        </w:tc>
        <w:tc>
          <w:tcPr>
            <w:tcW w:w="642"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590B7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其他</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结果</w:t>
            </w:r>
          </w:p>
        </w:tc>
        <w:tc>
          <w:tcPr>
            <w:tcW w:w="642"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EB63E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审结</w:t>
            </w:r>
          </w:p>
        </w:tc>
        <w:tc>
          <w:tcPr>
            <w:tcW w:w="642"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703768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总计</w:t>
            </w:r>
          </w:p>
        </w:tc>
        <w:tc>
          <w:tcPr>
            <w:tcW w:w="3213"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AE9DE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未经复议直接起诉</w:t>
            </w:r>
          </w:p>
        </w:tc>
        <w:tc>
          <w:tcPr>
            <w:tcW w:w="321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91B0BF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复议后起诉</w:t>
            </w:r>
          </w:p>
        </w:tc>
      </w:tr>
      <w:tr w14:paraId="66916A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EC62E0C">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AEE4959">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BCCBB03">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8AAE6BC">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5C513B5">
            <w:pPr>
              <w:rPr>
                <w:rFonts w:hint="eastAsia" w:ascii="宋体"/>
                <w:sz w:val="24"/>
                <w:szCs w:val="24"/>
              </w:rPr>
            </w:pP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5D0955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维持</w:t>
            </w: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67387E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纠正</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A2CE91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其他</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结果</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2820A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审结</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9EE8C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总计</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49731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维持</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07AD7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纠正</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3E6F0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其他</w:t>
            </w:r>
            <w:r>
              <w:rPr>
                <w:rFonts w:hint="eastAsia" w:ascii="楷体_GB2312" w:eastAsia="楷体_GB2312" w:cs="楷体_GB2312" w:hAnsiTheme="minorHAnsi"/>
                <w:b/>
                <w:bCs/>
                <w:color w:val="000000"/>
                <w:kern w:val="0"/>
                <w:sz w:val="32"/>
                <w:szCs w:val="32"/>
                <w:lang w:val="en-US" w:eastAsia="zh-CN" w:bidi="ar"/>
              </w:rPr>
              <w:br w:type="textWrapping"/>
            </w:r>
            <w:r>
              <w:rPr>
                <w:rFonts w:hint="eastAsia" w:ascii="楷体_GB2312" w:eastAsia="楷体_GB2312" w:cs="楷体_GB2312" w:hAnsiTheme="minorHAnsi"/>
                <w:b/>
                <w:bCs/>
                <w:color w:val="000000"/>
                <w:kern w:val="0"/>
                <w:sz w:val="32"/>
                <w:szCs w:val="32"/>
                <w:lang w:val="en-US" w:eastAsia="zh-CN" w:bidi="ar"/>
              </w:rPr>
              <w:t>结果</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3C583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审结</w:t>
            </w:r>
          </w:p>
        </w:tc>
        <w:tc>
          <w:tcPr>
            <w:tcW w:w="6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B1111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总计</w:t>
            </w:r>
          </w:p>
        </w:tc>
      </w:tr>
      <w:tr w14:paraId="313D78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87" w:hRule="atLeast"/>
          <w:jc w:val="center"/>
        </w:trPr>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F4DCA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AEB5EB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854563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926EB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DFCF01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753A15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88394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58E49A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51EF5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06E04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2F8559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59BDA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5050F6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DCFA80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c>
          <w:tcPr>
            <w:tcW w:w="6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41B63B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firstLine="0"/>
              <w:jc w:val="center"/>
            </w:pPr>
            <w:r>
              <w:rPr>
                <w:rFonts w:hint="eastAsia" w:ascii="仿宋_GB2312" w:eastAsia="仿宋_GB2312" w:cs="仿宋_GB2312" w:hAnsiTheme="minorHAnsi"/>
                <w:kern w:val="0"/>
                <w:sz w:val="24"/>
                <w:szCs w:val="24"/>
                <w:lang w:val="en-US" w:eastAsia="zh-CN" w:bidi="ar"/>
              </w:rPr>
              <w:t>0</w:t>
            </w:r>
          </w:p>
        </w:tc>
      </w:tr>
    </w:tbl>
    <w:p w14:paraId="6625A92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p>
    <w:p w14:paraId="7B5FBD5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r>
        <w:rPr>
          <w:rFonts w:hint="eastAsia" w:ascii="黑体" w:hAnsi="黑体" w:eastAsia="黑体" w:cs="黑体"/>
          <w:b w:val="0"/>
          <w:bCs w:val="0"/>
          <w:i w:val="0"/>
          <w:iCs w:val="0"/>
          <w:caps w:val="0"/>
          <w:color w:val="000000"/>
          <w:spacing w:val="0"/>
          <w:kern w:val="0"/>
          <w:sz w:val="32"/>
          <w:szCs w:val="32"/>
          <w:shd w:val="clear" w:fill="FFFFFF"/>
          <w:lang w:val="en-US" w:eastAsia="zh-CN" w:bidi="ar"/>
        </w:rPr>
        <w:t>五、存在的主要问题及改进情况</w:t>
      </w:r>
    </w:p>
    <w:p w14:paraId="3C1CFD5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t>（一）存在的问题和不足</w:t>
      </w:r>
    </w:p>
    <w:p w14:paraId="09D933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全面总结2024年工作的基础上，我们也清醒地看到了我镇在政务公开工作中存在的问题和不足。一是政务公开广度深度有待拓展。在目录梳理过程中发现存在信息少发漏发现象，部分信息公开内容较为简单。二是政策解读形式单一。当前我镇针对本级政策解读数量较少，解读回应的社会效果还有待提升。</w:t>
      </w:r>
    </w:p>
    <w:p w14:paraId="44C0E3A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bCs/>
          <w:i w:val="0"/>
          <w:iCs w:val="0"/>
          <w:caps w:val="0"/>
          <w:color w:val="000000"/>
          <w:spacing w:val="0"/>
          <w:kern w:val="0"/>
          <w:sz w:val="32"/>
          <w:szCs w:val="32"/>
          <w:shd w:val="clear" w:fill="FFFFFF"/>
          <w:lang w:val="en-US" w:eastAsia="zh-CN" w:bidi="ar"/>
        </w:rPr>
        <w:t>（二）下一步改进措施</w:t>
      </w:r>
    </w:p>
    <w:p w14:paraId="1FF59E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一步，我镇将做到以下几点，一是加强政务公开专区管理水平。认真落实各项制度，依托政府信息公开网站，进一步加大信息公开的力度，坚决做到“应公开，尽公开”，杜绝少发漏发现象。二是进一步提高政策解读质量。解读内容注重政策背景、出台目的、重要举措等方面的实质性解读，全面提升解读工作质量。三是加大政务公开工作人员培训力度。提高政务公开队伍的公开能力和水平，不断提高政府信息公开工作效率。</w:t>
      </w:r>
    </w:p>
    <w:p w14:paraId="1975798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p>
    <w:p w14:paraId="0FAC676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黑体" w:hAnsi="黑体" w:eastAsia="黑体" w:cs="黑体"/>
          <w:b w:val="0"/>
          <w:bCs w:val="0"/>
          <w:i w:val="0"/>
          <w:iCs w:val="0"/>
          <w:caps w:val="0"/>
          <w:color w:val="000000"/>
          <w:spacing w:val="0"/>
          <w:kern w:val="0"/>
          <w:sz w:val="32"/>
          <w:szCs w:val="32"/>
          <w:shd w:val="clear" w:fill="FFFFFF"/>
          <w:lang w:val="en-US" w:eastAsia="zh-CN" w:bidi="ar"/>
        </w:rPr>
      </w:pPr>
      <w:r>
        <w:rPr>
          <w:rFonts w:hint="eastAsia" w:ascii="黑体" w:hAnsi="黑体" w:eastAsia="黑体" w:cs="黑体"/>
          <w:b w:val="0"/>
          <w:bCs w:val="0"/>
          <w:i w:val="0"/>
          <w:iCs w:val="0"/>
          <w:caps w:val="0"/>
          <w:color w:val="000000"/>
          <w:spacing w:val="0"/>
          <w:kern w:val="0"/>
          <w:sz w:val="32"/>
          <w:szCs w:val="32"/>
          <w:shd w:val="clear" w:fill="FFFFFF"/>
          <w:lang w:val="en-US" w:eastAsia="zh-CN" w:bidi="ar"/>
        </w:rPr>
        <w:t>六、其他需要报告的事项</w:t>
      </w:r>
    </w:p>
    <w:p w14:paraId="365EA0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lang w:val="en-US" w:eastAsia="zh-CN"/>
        </w:rPr>
        <w:t>4年度，我镇无收取信息处理费情况。</w:t>
      </w:r>
    </w:p>
    <w:p w14:paraId="440692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仿宋" w:hAnsi="仿宋" w:eastAsia="仿宋" w:cs="仿宋"/>
          <w:i w:val="0"/>
          <w:iCs w:val="0"/>
          <w:caps w:val="0"/>
          <w:color w:val="000000"/>
          <w:spacing w:val="0"/>
          <w:kern w:val="0"/>
          <w:sz w:val="32"/>
          <w:szCs w:val="32"/>
          <w:shd w:val="clear" w:fill="FFFFFF"/>
          <w:lang w:val="en-US" w:eastAsia="zh-CN" w:bidi="ar"/>
        </w:rPr>
      </w:pPr>
    </w:p>
    <w:sectPr>
      <w:pgSz w:w="11906" w:h="16838"/>
      <w:pgMar w:top="1383" w:right="1746" w:bottom="1383"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73AC"/>
    <w:rsid w:val="166C159B"/>
    <w:rsid w:val="180B4E39"/>
    <w:rsid w:val="18510AEB"/>
    <w:rsid w:val="4A8F4985"/>
    <w:rsid w:val="5D0134C1"/>
    <w:rsid w:val="67D72CA3"/>
    <w:rsid w:val="6C7A4858"/>
    <w:rsid w:val="6CBC0B1D"/>
    <w:rsid w:val="731D3DCF"/>
    <w:rsid w:val="7DD97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1118</Words>
  <Characters>1174</Characters>
  <Lines>0</Lines>
  <Paragraphs>0</Paragraphs>
  <TotalTime>225</TotalTime>
  <ScaleCrop>false</ScaleCrop>
  <LinksUpToDate>false</LinksUpToDate>
  <CharactersWithSpaces>1175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2024-12-26T03:03:00Z</dcterms:created>
  <dc:creator>Administrator</dc:creator>
  <cp:lastModifiedBy>Administrator</cp:lastModifiedBy>
  <dcterms:modified xsi:type="dcterms:W3CDTF">2025-02-26T08:41:30Z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6C46AEA09C074FDE97CBD92C54E9AB88_12</vt:lpwstr>
  </property>
  <property fmtid="{D5CDD505-2E9C-101B-9397-08002B2CF9AE}" pid="4" name="KSOTemplateDocerSaveRecord">
    <vt:lpwstr>eyJoZGlkIjoiMWJjZDU1ZDQzYTE2MWY2OTk0Njk3NmZiOTA3Mzg4ZmYifQ==</vt:lpwstr>
  </property>
</Properties>
</file>