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EE0E50">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sz w:val="40"/>
          <w:szCs w:val="40"/>
        </w:rPr>
      </w:pPr>
      <w:r>
        <w:rPr>
          <w:rFonts w:hint="eastAsia" w:ascii="方正小标宋简体" w:hAnsi="方正小标宋简体" w:eastAsia="方正小标宋简体" w:cs="Times New Roman"/>
          <w:sz w:val="40"/>
          <w:szCs w:val="40"/>
          <w:lang w:val="en-US" w:eastAsia="zh-CN"/>
        </w:rPr>
        <w:t>高安市大城镇2024年</w:t>
      </w:r>
      <w:r>
        <w:rPr>
          <w:rFonts w:hint="eastAsia" w:ascii="方正小标宋简体" w:hAnsi="方正小标宋简体" w:eastAsia="方正小标宋简体" w:cs="Times New Roman"/>
          <w:sz w:val="40"/>
          <w:szCs w:val="40"/>
        </w:rPr>
        <w:t>政府信息公开工作年度报告</w:t>
      </w:r>
    </w:p>
    <w:p w14:paraId="299B883B">
      <w:pPr>
        <w:pStyle w:val="7"/>
        <w:pageBreakBefore w:val="0"/>
        <w:kinsoku/>
        <w:wordWrap/>
        <w:overflowPunct/>
        <w:topLinePunct w:val="0"/>
        <w:autoSpaceDE/>
        <w:autoSpaceDN/>
        <w:bidi w:val="0"/>
        <w:adjustRightInd/>
        <w:snapToGrid/>
        <w:spacing w:line="560" w:lineRule="atLeast"/>
        <w:ind w:left="0" w:leftChars="0" w:firstLine="0" w:firstLineChars="0"/>
        <w:textAlignment w:val="auto"/>
        <w:rPr>
          <w:rFonts w:hint="eastAsia" w:ascii="宋体" w:hAnsi="宋体" w:eastAsia="宋体" w:cs="宋体"/>
          <w:i w:val="0"/>
          <w:iCs w:val="0"/>
          <w:caps w:val="0"/>
          <w:color w:val="000000"/>
          <w:spacing w:val="0"/>
          <w:sz w:val="32"/>
          <w:szCs w:val="32"/>
          <w:shd w:val="clear" w:fill="FFFFFF"/>
        </w:rPr>
      </w:pPr>
    </w:p>
    <w:p w14:paraId="7996A226">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总体情况</w:t>
      </w:r>
    </w:p>
    <w:p w14:paraId="5A2CA35F">
      <w:pPr>
        <w:pStyle w:val="7"/>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宋体" w:hAnsi="宋体" w:eastAsia="宋体" w:cs="宋体"/>
          <w:i w:val="0"/>
          <w:iCs w:val="0"/>
          <w:caps w:val="0"/>
          <w:color w:val="000000"/>
          <w:spacing w:val="0"/>
          <w:sz w:val="32"/>
          <w:szCs w:val="32"/>
          <w:shd w:val="clear" w:fill="FFFFFF"/>
          <w:lang w:val="en-US" w:eastAsia="zh-CN"/>
        </w:rPr>
      </w:pPr>
      <w:r>
        <w:rPr>
          <w:rFonts w:hint="eastAsia" w:ascii="宋体" w:hAnsi="宋体" w:eastAsia="宋体" w:cs="宋体"/>
          <w:i w:val="0"/>
          <w:iCs w:val="0"/>
          <w:caps w:val="0"/>
          <w:color w:val="000000"/>
          <w:spacing w:val="0"/>
          <w:sz w:val="32"/>
          <w:szCs w:val="32"/>
          <w:shd w:val="clear" w:fill="FFFFFF"/>
          <w:lang w:eastAsia="zh-CN"/>
        </w:rPr>
        <w:t>2024</w:t>
      </w:r>
      <w:r>
        <w:rPr>
          <w:rFonts w:hint="eastAsia" w:ascii="宋体" w:hAnsi="宋体" w:eastAsia="宋体" w:cs="宋体"/>
          <w:i w:val="0"/>
          <w:iCs w:val="0"/>
          <w:caps w:val="0"/>
          <w:color w:val="000000"/>
          <w:spacing w:val="0"/>
          <w:sz w:val="32"/>
          <w:szCs w:val="32"/>
          <w:shd w:val="clear" w:fill="FFFFFF"/>
        </w:rPr>
        <w:t>年大城镇坚持以习近平新时代中国特色社会主义思想为指导，深入贯彻党</w:t>
      </w:r>
      <w:r>
        <w:rPr>
          <w:rFonts w:hint="eastAsia" w:ascii="宋体" w:hAnsi="宋体" w:eastAsia="宋体" w:cs="宋体"/>
          <w:i w:val="0"/>
          <w:iCs w:val="0"/>
          <w:caps w:val="0"/>
          <w:color w:val="000000"/>
          <w:spacing w:val="0"/>
          <w:sz w:val="32"/>
          <w:szCs w:val="32"/>
          <w:shd w:val="clear" w:fill="FFFFFF"/>
          <w:lang w:eastAsia="zh-CN"/>
        </w:rPr>
        <w:t>的</w:t>
      </w:r>
      <w:r>
        <w:rPr>
          <w:rFonts w:hint="eastAsia" w:ascii="宋体" w:hAnsi="宋体" w:eastAsia="宋体" w:cs="宋体"/>
          <w:i w:val="0"/>
          <w:iCs w:val="0"/>
          <w:caps w:val="0"/>
          <w:color w:val="000000"/>
          <w:spacing w:val="0"/>
          <w:sz w:val="32"/>
          <w:szCs w:val="32"/>
          <w:shd w:val="clear" w:fill="FFFFFF"/>
          <w:lang w:val="en-US" w:eastAsia="zh-CN"/>
        </w:rPr>
        <w:t>二十大</w:t>
      </w:r>
      <w:r>
        <w:rPr>
          <w:rFonts w:hint="eastAsia" w:ascii="宋体" w:hAnsi="宋体" w:eastAsia="宋体" w:cs="宋体"/>
          <w:i w:val="0"/>
          <w:iCs w:val="0"/>
          <w:caps w:val="0"/>
          <w:color w:val="000000"/>
          <w:spacing w:val="0"/>
          <w:sz w:val="32"/>
          <w:szCs w:val="32"/>
          <w:shd w:val="clear" w:fill="FFFFFF"/>
        </w:rPr>
        <w:t>精神，</w:t>
      </w:r>
      <w:r>
        <w:rPr>
          <w:rFonts w:hint="eastAsia" w:ascii="宋体" w:hAnsi="宋体" w:eastAsia="宋体" w:cs="宋体"/>
          <w:i w:val="0"/>
          <w:iCs w:val="0"/>
          <w:caps w:val="0"/>
          <w:color w:val="000000"/>
          <w:spacing w:val="0"/>
          <w:sz w:val="32"/>
          <w:szCs w:val="32"/>
          <w:shd w:val="clear" w:fill="FFFFFF"/>
          <w:lang w:eastAsia="zh-CN"/>
        </w:rPr>
        <w:t>根据</w:t>
      </w:r>
      <w:r>
        <w:rPr>
          <w:rFonts w:hint="eastAsia" w:ascii="宋体" w:hAnsi="宋体" w:eastAsia="宋体" w:cs="宋体"/>
          <w:i w:val="0"/>
          <w:iCs w:val="0"/>
          <w:caps w:val="0"/>
          <w:color w:val="000000"/>
          <w:spacing w:val="0"/>
          <w:sz w:val="32"/>
          <w:szCs w:val="32"/>
          <w:shd w:val="clear" w:fill="FFFFFF"/>
        </w:rPr>
        <w:t>《中华人民共和国政府信息公开条例</w:t>
      </w:r>
      <w:r>
        <w:rPr>
          <w:rFonts w:hint="eastAsia" w:ascii="宋体" w:hAnsi="宋体" w:eastAsia="宋体" w:cs="宋体"/>
          <w:i w:val="0"/>
          <w:iCs w:val="0"/>
          <w:caps w:val="0"/>
          <w:color w:val="000000"/>
          <w:spacing w:val="0"/>
          <w:sz w:val="32"/>
          <w:szCs w:val="32"/>
          <w:shd w:val="clear" w:fill="FFFFFF"/>
          <w:lang w:val="en-US" w:eastAsia="zh-CN"/>
        </w:rPr>
        <w:t>》（国务院令第711号）、宜春市政府信息公开工作年报和高安市政府信息公开工作年报等有关安排</w:t>
      </w:r>
      <w:r>
        <w:rPr>
          <w:rFonts w:hint="eastAsia" w:ascii="宋体" w:hAnsi="宋体" w:eastAsia="宋体" w:cs="宋体"/>
          <w:i w:val="0"/>
          <w:iCs w:val="0"/>
          <w:caps w:val="0"/>
          <w:color w:val="000000"/>
          <w:spacing w:val="0"/>
          <w:sz w:val="32"/>
          <w:szCs w:val="32"/>
          <w:shd w:val="clear" w:fill="FFFFFF"/>
        </w:rPr>
        <w:t>要求，</w:t>
      </w:r>
      <w:r>
        <w:rPr>
          <w:rFonts w:hint="eastAsia" w:ascii="宋体" w:hAnsi="宋体" w:eastAsia="宋体" w:cs="宋体"/>
          <w:i w:val="0"/>
          <w:iCs w:val="0"/>
          <w:caps w:val="0"/>
          <w:color w:val="000000"/>
          <w:spacing w:val="0"/>
          <w:sz w:val="32"/>
          <w:szCs w:val="32"/>
          <w:shd w:val="clear" w:fill="FFFFFF"/>
          <w:lang w:val="en-US" w:eastAsia="zh-CN"/>
        </w:rPr>
        <w:t>明确目标任务，</w:t>
      </w:r>
      <w:r>
        <w:rPr>
          <w:rFonts w:hint="eastAsia" w:ascii="宋体" w:hAnsi="宋体" w:eastAsia="宋体" w:cs="宋体"/>
          <w:i w:val="0"/>
          <w:iCs w:val="0"/>
          <w:caps w:val="0"/>
          <w:color w:val="000000"/>
          <w:spacing w:val="0"/>
          <w:sz w:val="32"/>
          <w:szCs w:val="32"/>
          <w:shd w:val="clear" w:fill="FFFFFF"/>
        </w:rPr>
        <w:t>紧紧围绕</w:t>
      </w:r>
      <w:r>
        <w:rPr>
          <w:rFonts w:hint="eastAsia" w:ascii="宋体" w:hAnsi="宋体" w:eastAsia="宋体" w:cs="宋体"/>
          <w:i w:val="0"/>
          <w:iCs w:val="0"/>
          <w:caps w:val="0"/>
          <w:color w:val="000000"/>
          <w:spacing w:val="0"/>
          <w:sz w:val="32"/>
          <w:szCs w:val="32"/>
          <w:shd w:val="clear" w:fill="FFFFFF"/>
          <w:lang w:val="en-US" w:eastAsia="zh-CN"/>
        </w:rPr>
        <w:t>高安</w:t>
      </w:r>
      <w:r>
        <w:rPr>
          <w:rFonts w:hint="eastAsia" w:ascii="宋体" w:hAnsi="宋体" w:eastAsia="宋体" w:cs="宋体"/>
          <w:i w:val="0"/>
          <w:iCs w:val="0"/>
          <w:caps w:val="0"/>
          <w:color w:val="000000"/>
          <w:spacing w:val="0"/>
          <w:sz w:val="32"/>
          <w:szCs w:val="32"/>
          <w:shd w:val="clear" w:fill="FFFFFF"/>
        </w:rPr>
        <w:t>市委、市政府中心工作要求</w:t>
      </w:r>
      <w:r>
        <w:rPr>
          <w:rFonts w:hint="eastAsia" w:ascii="宋体" w:hAnsi="宋体" w:eastAsia="宋体" w:cs="宋体"/>
          <w:i w:val="0"/>
          <w:iCs w:val="0"/>
          <w:caps w:val="0"/>
          <w:color w:val="000000"/>
          <w:spacing w:val="0"/>
          <w:sz w:val="32"/>
          <w:szCs w:val="32"/>
          <w:shd w:val="clear" w:fill="FFFFFF"/>
          <w:lang w:val="en-US" w:eastAsia="zh-CN"/>
        </w:rPr>
        <w:t>及社会群众关注关切，着力提升政府信息公开质量，拓宽政府信息公开渠道，不断增强政府信息公开实效。</w:t>
      </w:r>
    </w:p>
    <w:p w14:paraId="28CC6004">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主动公开</w:t>
      </w:r>
    </w:p>
    <w:p w14:paraId="51C4D49D">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宋体" w:hAnsi="宋体" w:eastAsia="宋体" w:cs="宋体"/>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i w:val="0"/>
          <w:iCs w:val="0"/>
          <w:caps w:val="0"/>
          <w:color w:val="auto"/>
          <w:spacing w:val="0"/>
          <w:sz w:val="32"/>
          <w:szCs w:val="32"/>
          <w:shd w:val="clear" w:color="auto" w:fill="FFFFFF"/>
          <w:lang w:eastAsia="zh-CN"/>
        </w:rPr>
        <w:t>2024</w:t>
      </w:r>
      <w:r>
        <w:rPr>
          <w:rFonts w:hint="eastAsia" w:ascii="宋体" w:hAnsi="宋体" w:eastAsia="宋体" w:cs="宋体"/>
          <w:i w:val="0"/>
          <w:iCs w:val="0"/>
          <w:caps w:val="0"/>
          <w:color w:val="auto"/>
          <w:spacing w:val="0"/>
          <w:sz w:val="32"/>
          <w:szCs w:val="32"/>
          <w:shd w:val="clear" w:color="auto" w:fill="FFFFFF"/>
        </w:rPr>
        <w:t>年我镇通过高安市人民政府门户网站主动向社会公开各类信息共</w:t>
      </w:r>
      <w:r>
        <w:rPr>
          <w:rFonts w:hint="eastAsia" w:ascii="宋体" w:hAnsi="宋体" w:eastAsia="宋体" w:cs="宋体"/>
          <w:i w:val="0"/>
          <w:iCs w:val="0"/>
          <w:caps w:val="0"/>
          <w:color w:val="auto"/>
          <w:spacing w:val="0"/>
          <w:sz w:val="32"/>
          <w:szCs w:val="32"/>
          <w:shd w:val="clear" w:color="auto" w:fill="FFFFFF"/>
          <w:lang w:val="en-US" w:eastAsia="zh-CN"/>
        </w:rPr>
        <w:t>203</w:t>
      </w:r>
      <w:r>
        <w:rPr>
          <w:rFonts w:hint="eastAsia" w:ascii="宋体" w:hAnsi="宋体" w:eastAsia="宋体" w:cs="宋体"/>
          <w:i w:val="0"/>
          <w:iCs w:val="0"/>
          <w:caps w:val="0"/>
          <w:color w:val="auto"/>
          <w:spacing w:val="0"/>
          <w:sz w:val="32"/>
          <w:szCs w:val="32"/>
          <w:shd w:val="clear" w:color="auto" w:fill="FFFFFF"/>
        </w:rPr>
        <w:t>条，公开的政府信息中均未涉及国家秘密、商业秘密和个人隐私。公开内容上，按照“以公开为原则，不公开为例外”的要求，重点公开了我镇的政务动态、惠民便民政策措施等信息。</w:t>
      </w:r>
    </w:p>
    <w:p w14:paraId="34C87B09">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依申请公开</w:t>
      </w:r>
    </w:p>
    <w:p w14:paraId="6495D4B1">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Chars="0" w:right="0" w:rightChars="0" w:firstLine="640" w:firstLineChars="20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eastAsia="zh-CN"/>
        </w:rPr>
        <w:t>2024</w:t>
      </w:r>
      <w:r>
        <w:rPr>
          <w:rFonts w:hint="eastAsia" w:ascii="宋体" w:hAnsi="宋体" w:eastAsia="宋体" w:cs="宋体"/>
          <w:i w:val="0"/>
          <w:iCs w:val="0"/>
          <w:caps w:val="0"/>
          <w:color w:val="auto"/>
          <w:spacing w:val="0"/>
          <w:sz w:val="32"/>
          <w:szCs w:val="32"/>
          <w:shd w:val="clear" w:color="auto" w:fill="FFFFFF"/>
        </w:rPr>
        <w:t>年度我镇认真做好依申请公开工作。建立健全政府信息公开申请接收、登记、办理、审核、答复、归档等环节的制度规范。进一步拓展依申请公开受理渠道，更好地发挥互联网和各级行政服务中心作用，在规定时间内为申请人提供便捷服务</w:t>
      </w:r>
      <w:r>
        <w:rPr>
          <w:rFonts w:hint="eastAsia" w:ascii="宋体" w:hAnsi="宋体" w:eastAsia="宋体" w:cs="宋体"/>
          <w:i w:val="0"/>
          <w:iCs w:val="0"/>
          <w:caps w:val="0"/>
          <w:color w:val="auto"/>
          <w:spacing w:val="0"/>
          <w:sz w:val="32"/>
          <w:szCs w:val="32"/>
          <w:shd w:val="clear" w:color="auto" w:fill="FFFFFF"/>
          <w:lang w:eastAsia="zh-CN"/>
        </w:rPr>
        <w:t>。2024</w:t>
      </w:r>
      <w:r>
        <w:rPr>
          <w:rFonts w:hint="eastAsia" w:ascii="宋体" w:hAnsi="宋体" w:eastAsia="宋体" w:cs="宋体"/>
          <w:i w:val="0"/>
          <w:iCs w:val="0"/>
          <w:caps w:val="0"/>
          <w:color w:val="auto"/>
          <w:spacing w:val="0"/>
          <w:sz w:val="32"/>
          <w:szCs w:val="32"/>
          <w:shd w:val="clear" w:color="auto" w:fill="FFFFFF"/>
        </w:rPr>
        <w:t>年度</w:t>
      </w:r>
      <w:r>
        <w:rPr>
          <w:rFonts w:hint="eastAsia" w:ascii="宋体" w:hAnsi="宋体" w:eastAsia="宋体" w:cs="宋体"/>
          <w:i w:val="0"/>
          <w:iCs w:val="0"/>
          <w:caps w:val="0"/>
          <w:color w:val="auto"/>
          <w:spacing w:val="0"/>
          <w:sz w:val="32"/>
          <w:szCs w:val="32"/>
          <w:shd w:val="clear" w:color="auto" w:fill="FFFFFF"/>
          <w:lang w:val="en-US" w:eastAsia="zh-CN"/>
        </w:rPr>
        <w:t>我镇共收到政府信息公开申请0件。</w:t>
      </w:r>
    </w:p>
    <w:p w14:paraId="1D910E16">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政府信息管理</w:t>
      </w:r>
    </w:p>
    <w:p w14:paraId="1BA758DC">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b w:val="0"/>
          <w:bCs w:val="0"/>
          <w:i w:val="0"/>
          <w:caps w:val="0"/>
          <w:color w:val="auto"/>
          <w:spacing w:val="0"/>
          <w:sz w:val="32"/>
          <w:szCs w:val="32"/>
          <w:shd w:val="clear" w:color="auto" w:fill="FFFFFF"/>
          <w:lang w:eastAsia="zh-CN"/>
        </w:rPr>
        <w:t>我镇为规范政府信息发布流程，</w:t>
      </w:r>
      <w:r>
        <w:rPr>
          <w:rFonts w:hint="eastAsia" w:ascii="宋体" w:hAnsi="宋体" w:eastAsia="宋体" w:cs="宋体"/>
          <w:i w:val="0"/>
          <w:iCs w:val="0"/>
          <w:caps w:val="0"/>
          <w:color w:val="auto"/>
          <w:spacing w:val="0"/>
          <w:sz w:val="32"/>
          <w:szCs w:val="32"/>
          <w:shd w:val="clear" w:color="auto" w:fill="FFFFFF"/>
        </w:rPr>
        <w:t>加强信息发布前审查，强化网站信息安全管理</w:t>
      </w:r>
      <w:r>
        <w:rPr>
          <w:rFonts w:hint="eastAsia" w:ascii="宋体" w:hAnsi="宋体" w:eastAsia="宋体" w:cs="宋体"/>
          <w:i w:val="0"/>
          <w:iCs w:val="0"/>
          <w:caps w:val="0"/>
          <w:color w:val="auto"/>
          <w:spacing w:val="0"/>
          <w:sz w:val="32"/>
          <w:szCs w:val="32"/>
          <w:shd w:val="clear" w:color="auto" w:fill="FFFFFF"/>
          <w:lang w:eastAsia="zh-CN"/>
        </w:rPr>
        <w:t>，特制定如下措施：一方面设立专人专岗，特派</w:t>
      </w:r>
      <w:r>
        <w:rPr>
          <w:rFonts w:hint="eastAsia" w:ascii="宋体" w:hAnsi="宋体" w:eastAsia="宋体" w:cs="宋体"/>
          <w:i w:val="0"/>
          <w:iCs w:val="0"/>
          <w:caps w:val="0"/>
          <w:color w:val="auto"/>
          <w:spacing w:val="0"/>
          <w:sz w:val="32"/>
          <w:szCs w:val="32"/>
          <w:shd w:val="clear" w:color="auto" w:fill="FFFFFF"/>
          <w:lang w:val="en-US" w:eastAsia="zh-CN"/>
        </w:rPr>
        <w:t>三</w:t>
      </w:r>
      <w:r>
        <w:rPr>
          <w:rFonts w:hint="eastAsia" w:ascii="宋体" w:hAnsi="宋体" w:eastAsia="宋体" w:cs="宋体"/>
          <w:i w:val="0"/>
          <w:iCs w:val="0"/>
          <w:caps w:val="0"/>
          <w:color w:val="auto"/>
          <w:spacing w:val="0"/>
          <w:sz w:val="32"/>
          <w:szCs w:val="32"/>
          <w:shd w:val="clear" w:color="auto" w:fill="FFFFFF"/>
          <w:lang w:eastAsia="zh-CN"/>
        </w:rPr>
        <w:t>名干事负责政务公开撰写、审核、发布。另一方面规范信息发布流程，三名</w:t>
      </w:r>
      <w:r>
        <w:rPr>
          <w:rFonts w:hint="eastAsia" w:ascii="宋体" w:hAnsi="宋体" w:eastAsia="宋体" w:cs="宋体"/>
          <w:i w:val="0"/>
          <w:iCs w:val="0"/>
          <w:caps w:val="0"/>
          <w:color w:val="auto"/>
          <w:spacing w:val="0"/>
          <w:sz w:val="32"/>
          <w:szCs w:val="32"/>
          <w:shd w:val="clear" w:color="auto" w:fill="FFFFFF"/>
          <w:lang w:val="en-US" w:eastAsia="zh-CN"/>
        </w:rPr>
        <w:t>干事</w:t>
      </w:r>
      <w:r>
        <w:rPr>
          <w:rFonts w:hint="eastAsia" w:ascii="宋体" w:hAnsi="宋体" w:eastAsia="宋体" w:cs="宋体"/>
          <w:i w:val="0"/>
          <w:iCs w:val="0"/>
          <w:caps w:val="0"/>
          <w:color w:val="auto"/>
          <w:spacing w:val="0"/>
          <w:sz w:val="32"/>
          <w:szCs w:val="32"/>
          <w:shd w:val="clear" w:color="auto" w:fill="FFFFFF"/>
          <w:lang w:eastAsia="zh-CN"/>
        </w:rPr>
        <w:t>分别负责政务公开经办、校稿及审核，确保发布的信息准确无误。我镇</w:t>
      </w:r>
      <w:r>
        <w:rPr>
          <w:rFonts w:hint="eastAsia" w:ascii="宋体" w:hAnsi="宋体" w:eastAsia="宋体" w:cs="宋体"/>
          <w:i w:val="0"/>
          <w:iCs w:val="0"/>
          <w:caps w:val="0"/>
          <w:color w:val="auto"/>
          <w:spacing w:val="0"/>
          <w:sz w:val="32"/>
          <w:szCs w:val="32"/>
          <w:shd w:val="clear" w:color="auto" w:fill="FFFFFF"/>
          <w:lang w:val="en-US" w:eastAsia="zh-CN"/>
        </w:rPr>
        <w:t>本着“谁报送、谁负责，谁承诺、谁办理”的原则，认真做好信息公开审核，促进信息公开工作走上制度化、规范化的轨道。</w:t>
      </w:r>
    </w:p>
    <w:p w14:paraId="5365089F">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val="en-US" w:eastAsia="zh-CN"/>
          <w14:textFill>
            <w14:solidFill>
              <w14:schemeClr w14:val="tx1"/>
            </w14:solidFill>
          </w14:textFill>
        </w:rPr>
        <w:t>政府信息公开</w:t>
      </w: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平台建设</w:t>
      </w:r>
    </w:p>
    <w:p w14:paraId="299C2F4A">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i w:val="0"/>
          <w:iCs w:val="0"/>
          <w:caps w:val="0"/>
          <w:color w:val="auto"/>
          <w:spacing w:val="0"/>
          <w:sz w:val="32"/>
          <w:szCs w:val="32"/>
          <w:shd w:val="clear" w:color="auto" w:fill="FFFFFF"/>
        </w:rPr>
        <w:t>为加强政府信息资源的规范化、标准化、信息化管理，我镇依托政府门户网站为第一平台作用，同时还通过传统方法和网络技术相结合的方式进行政务公开，利用信息公示栏、村民微信群等方式让群众能够随时了解我镇的工作动态。</w:t>
      </w:r>
      <w:r>
        <w:rPr>
          <w:rFonts w:hint="eastAsia" w:ascii="宋体" w:hAnsi="宋体" w:eastAsia="宋体" w:cs="宋体"/>
          <w:i w:val="0"/>
          <w:iCs w:val="0"/>
          <w:caps w:val="0"/>
          <w:color w:val="auto"/>
          <w:spacing w:val="0"/>
          <w:sz w:val="32"/>
          <w:szCs w:val="32"/>
          <w:shd w:val="clear" w:color="auto" w:fill="FFFFFF"/>
          <w:lang w:eastAsia="zh-CN"/>
        </w:rPr>
        <w:t>我镇</w:t>
      </w:r>
      <w:r>
        <w:rPr>
          <w:rFonts w:hint="eastAsia" w:ascii="宋体" w:hAnsi="宋体" w:eastAsia="宋体" w:cs="宋体"/>
          <w:i w:val="0"/>
          <w:iCs w:val="0"/>
          <w:caps w:val="0"/>
          <w:color w:val="auto"/>
          <w:spacing w:val="0"/>
          <w:sz w:val="32"/>
          <w:szCs w:val="32"/>
          <w:shd w:val="clear" w:color="auto" w:fill="FFFFFF"/>
          <w:lang w:val="en-US" w:eastAsia="zh-CN"/>
        </w:rPr>
        <w:t>2024年上半年通过</w:t>
      </w:r>
      <w:r>
        <w:rPr>
          <w:rFonts w:hint="eastAsia" w:ascii="宋体" w:hAnsi="宋体" w:eastAsia="宋体" w:cs="宋体"/>
          <w:i w:val="0"/>
          <w:iCs w:val="0"/>
          <w:caps w:val="0"/>
          <w:color w:val="auto"/>
          <w:spacing w:val="0"/>
          <w:sz w:val="32"/>
          <w:szCs w:val="32"/>
          <w:shd w:val="clear" w:color="auto" w:fill="FFFFFF"/>
          <w:lang w:eastAsia="zh-CN"/>
        </w:rPr>
        <w:t>开展“固定开放月”活动，</w:t>
      </w:r>
      <w:r>
        <w:rPr>
          <w:rFonts w:hint="eastAsia" w:asciiTheme="minorEastAsia" w:hAnsiTheme="minorEastAsia" w:eastAsiaTheme="minorEastAsia" w:cstheme="minorEastAsia"/>
          <w:i w:val="0"/>
          <w:iCs w:val="0"/>
          <w:caps w:val="0"/>
          <w:color w:val="000000"/>
          <w:spacing w:val="0"/>
          <w:sz w:val="32"/>
          <w:szCs w:val="32"/>
          <w:shd w:val="clear" w:fill="FFFFFF"/>
          <w:lang w:val="en-US" w:eastAsia="zh-CN"/>
        </w:rPr>
        <w:t>不断提升群众对政府工作的知晓度、参与度和满意度</w:t>
      </w:r>
      <w:r>
        <w:rPr>
          <w:rFonts w:hint="eastAsia" w:asciiTheme="minorEastAsia" w:hAnsiTheme="minorEastAsia" w:eastAsiaTheme="minorEastAsia" w:cstheme="minorEastAsia"/>
          <w:i w:val="0"/>
          <w:iCs w:val="0"/>
          <w:caps w:val="0"/>
          <w:color w:val="000000"/>
          <w:spacing w:val="0"/>
          <w:sz w:val="32"/>
          <w:szCs w:val="32"/>
          <w:shd w:val="clear" w:fill="FFFFFF"/>
        </w:rPr>
        <w:t>，全面提升政务公开质量和实效</w:t>
      </w:r>
      <w:r>
        <w:rPr>
          <w:rFonts w:hint="eastAsia" w:asciiTheme="minorEastAsia" w:hAnsiTheme="minorEastAsia" w:cstheme="minorEastAsia"/>
          <w:i w:val="0"/>
          <w:iCs w:val="0"/>
          <w:caps w:val="0"/>
          <w:color w:val="000000"/>
          <w:spacing w:val="0"/>
          <w:sz w:val="32"/>
          <w:szCs w:val="32"/>
          <w:shd w:val="clear" w:fill="FFFFFF"/>
          <w:lang w:eastAsia="zh-CN"/>
        </w:rPr>
        <w:t>。</w:t>
      </w:r>
      <w:r>
        <w:rPr>
          <w:rFonts w:hint="eastAsia" w:ascii="宋体" w:hAnsi="宋体" w:eastAsia="宋体" w:cs="宋体"/>
          <w:i w:val="0"/>
          <w:iCs w:val="0"/>
          <w:caps w:val="0"/>
          <w:color w:val="auto"/>
          <w:spacing w:val="0"/>
          <w:sz w:val="32"/>
          <w:szCs w:val="32"/>
          <w:shd w:val="clear" w:color="auto" w:fill="FFFFFF"/>
        </w:rPr>
        <w:t>坚持“以公开为原则，不公开为例外”的要求，不断拓展信息公开渠道，积极推进公开平台建设，不断加强新媒体矩阵建设，优化完善政府门户网站。</w:t>
      </w:r>
    </w:p>
    <w:p w14:paraId="28699A3D">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pPr>
      <w:r>
        <w:rPr>
          <w:rFonts w:hint="eastAsia" w:ascii="宋体" w:hAnsi="宋体" w:eastAsia="宋体" w:cs="宋体"/>
          <w:b/>
          <w:bCs/>
          <w:i w:val="0"/>
          <w:caps w:val="0"/>
          <w:color w:val="000000" w:themeColor="text1"/>
          <w:spacing w:val="0"/>
          <w:sz w:val="32"/>
          <w:szCs w:val="32"/>
          <w:shd w:val="clear" w:fill="FFFFFF"/>
          <w:lang w:eastAsia="zh-CN"/>
          <w14:textFill>
            <w14:solidFill>
              <w14:schemeClr w14:val="tx1"/>
            </w14:solidFill>
          </w14:textFill>
        </w:rPr>
        <w:t>监督保障</w:t>
      </w:r>
    </w:p>
    <w:p w14:paraId="7B05DE49">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rightChars="0" w:firstLine="640" w:firstLineChars="200"/>
        <w:jc w:val="both"/>
        <w:textAlignment w:val="auto"/>
        <w:rPr>
          <w:rFonts w:hint="eastAsia" w:ascii="宋体" w:hAnsi="宋体" w:eastAsia="宋体" w:cs="宋体"/>
          <w:b w:val="0"/>
          <w:bCs w:val="0"/>
          <w:i w:val="0"/>
          <w:caps w:val="0"/>
          <w:color w:val="000000" w:themeColor="text1"/>
          <w:spacing w:val="0"/>
          <w:sz w:val="32"/>
          <w:szCs w:val="32"/>
          <w:shd w:val="clear" w:fill="FFFFFF"/>
          <w:lang w:val="en-US" w:eastAsia="zh-CN"/>
          <w14:textFill>
            <w14:solidFill>
              <w14:schemeClr w14:val="tx1"/>
            </w14:solidFill>
          </w14:textFill>
        </w:rPr>
      </w:pPr>
      <w:r>
        <w:rPr>
          <w:rFonts w:hint="eastAsia" w:ascii="宋体" w:hAnsi="宋体" w:eastAsia="宋体" w:cs="宋体"/>
          <w:i w:val="0"/>
          <w:iCs w:val="0"/>
          <w:caps w:val="0"/>
          <w:color w:val="auto"/>
          <w:spacing w:val="0"/>
          <w:sz w:val="32"/>
          <w:szCs w:val="32"/>
          <w:shd w:val="clear" w:color="auto" w:fill="FFFFFF"/>
          <w:lang w:val="en-US" w:eastAsia="zh-CN"/>
        </w:rPr>
        <w:t>2024</w:t>
      </w:r>
      <w:r>
        <w:rPr>
          <w:rFonts w:hint="eastAsia" w:ascii="宋体" w:hAnsi="宋体" w:eastAsia="宋体" w:cs="宋体"/>
          <w:i w:val="0"/>
          <w:iCs w:val="0"/>
          <w:caps w:val="0"/>
          <w:color w:val="auto"/>
          <w:spacing w:val="0"/>
          <w:sz w:val="32"/>
          <w:szCs w:val="32"/>
          <w:shd w:val="clear" w:color="auto" w:fill="FFFFFF"/>
        </w:rPr>
        <w:t>年我镇严格落实政府信息公开保密审查制度，确保政府信息公开真实、及时、有效、安全，上级部门反映的问题，我镇都能做到及时整改、举一反三、不断改进。</w:t>
      </w:r>
    </w:p>
    <w:p w14:paraId="0490DC4E">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黑体" w:hAnsi="黑体" w:eastAsia="黑体" w:cs="黑体"/>
          <w:b w:val="0"/>
          <w:bCs w:val="0"/>
          <w:kern w:val="2"/>
          <w:sz w:val="32"/>
          <w:szCs w:val="32"/>
          <w:shd w:val="clear" w:color="auto" w:fill="FFFFFF"/>
          <w:lang w:val="en-US" w:eastAsia="zh-CN" w:bidi="ar-SA"/>
        </w:rPr>
      </w:pPr>
      <w:r>
        <w:rPr>
          <w:rFonts w:hint="eastAsia" w:ascii="黑体" w:hAnsi="黑体" w:eastAsia="黑体" w:cs="黑体"/>
          <w:b w:val="0"/>
          <w:bCs w:val="0"/>
          <w:kern w:val="2"/>
          <w:sz w:val="32"/>
          <w:szCs w:val="32"/>
          <w:shd w:val="clear" w:color="auto" w:fill="FFFFFF"/>
          <w:lang w:val="en-US" w:eastAsia="zh-CN" w:bidi="ar-SA"/>
        </w:rPr>
        <w:t>二、主动公开政府信息情况</w:t>
      </w:r>
    </w:p>
    <w:tbl>
      <w:tblPr>
        <w:tblStyle w:val="5"/>
        <w:tblW w:w="98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2455"/>
        <w:gridCol w:w="2455"/>
        <w:gridCol w:w="2455"/>
        <w:gridCol w:w="2455"/>
      </w:tblGrid>
      <w:tr w14:paraId="5E90B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l2br w:val="nil"/>
              <w:tr2bl w:val="nil"/>
            </w:tcBorders>
            <w:shd w:val="clear" w:color="auto" w:fill="FFFFFF" w:themeFill="background1"/>
            <w:tcMar>
              <w:left w:w="57" w:type="dxa"/>
              <w:right w:w="57" w:type="dxa"/>
            </w:tcMar>
            <w:vAlign w:val="center"/>
          </w:tcPr>
          <w:p w14:paraId="4A1EE3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bCs/>
                <w:color w:val="000000"/>
                <w:kern w:val="0"/>
                <w:sz w:val="32"/>
                <w:szCs w:val="32"/>
                <w:lang w:val="en-US" w:eastAsia="zh-CN" w:bidi="ar"/>
              </w:rPr>
              <w:t>第二十条第（一）项</w:t>
            </w:r>
          </w:p>
        </w:tc>
      </w:tr>
      <w:tr w14:paraId="26219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3" w:hRule="atLeast"/>
          <w:jc w:val="center"/>
        </w:trPr>
        <w:tc>
          <w:tcPr>
            <w:tcW w:w="2455" w:type="dxa"/>
            <w:tcBorders>
              <w:tl2br w:val="nil"/>
              <w:tr2bl w:val="nil"/>
            </w:tcBorders>
            <w:shd w:val="clear" w:color="auto" w:fill="auto"/>
            <w:tcMar>
              <w:left w:w="57" w:type="dxa"/>
              <w:right w:w="57" w:type="dxa"/>
            </w:tcMar>
            <w:vAlign w:val="center"/>
          </w:tcPr>
          <w:p w14:paraId="0894C4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2455" w:type="dxa"/>
            <w:tcBorders>
              <w:tl2br w:val="nil"/>
              <w:tr2bl w:val="nil"/>
            </w:tcBorders>
            <w:shd w:val="clear" w:color="auto" w:fill="auto"/>
            <w:tcMar>
              <w:left w:w="57" w:type="dxa"/>
              <w:right w:w="57" w:type="dxa"/>
            </w:tcMar>
            <w:vAlign w:val="center"/>
          </w:tcPr>
          <w:p w14:paraId="4E3AE3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w:t>
            </w:r>
            <w:r>
              <w:rPr>
                <w:rFonts w:hint="eastAsia" w:ascii="楷体_GB2312" w:hAnsi="楷体_GB2312" w:eastAsia="楷体_GB2312" w:cs="楷体_GB2312"/>
                <w:b/>
                <w:bCs/>
                <w:kern w:val="0"/>
                <w:sz w:val="32"/>
                <w:szCs w:val="32"/>
                <w:lang w:val="en-US" w:eastAsia="zh-CN" w:bidi="ar"/>
              </w:rPr>
              <w:t>制发件数</w:t>
            </w:r>
          </w:p>
        </w:tc>
        <w:tc>
          <w:tcPr>
            <w:tcW w:w="2455" w:type="dxa"/>
            <w:tcBorders>
              <w:tl2br w:val="nil"/>
              <w:tr2bl w:val="nil"/>
            </w:tcBorders>
            <w:shd w:val="clear" w:color="auto" w:fill="auto"/>
            <w:tcMar>
              <w:left w:w="57" w:type="dxa"/>
              <w:right w:w="57" w:type="dxa"/>
            </w:tcMar>
            <w:vAlign w:val="center"/>
          </w:tcPr>
          <w:p w14:paraId="55C1B28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本年废止件数</w:t>
            </w:r>
          </w:p>
        </w:tc>
        <w:tc>
          <w:tcPr>
            <w:tcW w:w="2455" w:type="dxa"/>
            <w:tcBorders>
              <w:tl2br w:val="nil"/>
              <w:tr2bl w:val="nil"/>
            </w:tcBorders>
            <w:shd w:val="clear" w:color="auto" w:fill="auto"/>
            <w:tcMar>
              <w:left w:w="57" w:type="dxa"/>
              <w:right w:w="57" w:type="dxa"/>
            </w:tcMar>
            <w:vAlign w:val="center"/>
          </w:tcPr>
          <w:p w14:paraId="6B1A33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现行有效件</w:t>
            </w:r>
            <w:r>
              <w:rPr>
                <w:rFonts w:hint="eastAsia" w:ascii="楷体_GB2312" w:hAnsi="楷体_GB2312" w:eastAsia="楷体_GB2312" w:cs="楷体_GB2312"/>
                <w:b/>
                <w:bCs/>
                <w:kern w:val="0"/>
                <w:sz w:val="32"/>
                <w:szCs w:val="32"/>
                <w:lang w:val="en-US" w:eastAsia="zh-CN" w:bidi="ar"/>
              </w:rPr>
              <w:t>数</w:t>
            </w:r>
          </w:p>
        </w:tc>
      </w:tr>
      <w:tr w14:paraId="353A8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4A20F1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规   章</w:t>
            </w:r>
          </w:p>
        </w:tc>
        <w:tc>
          <w:tcPr>
            <w:tcW w:w="2455" w:type="dxa"/>
            <w:tcBorders>
              <w:tl2br w:val="nil"/>
              <w:tr2bl w:val="nil"/>
            </w:tcBorders>
            <w:shd w:val="clear" w:color="auto" w:fill="auto"/>
            <w:tcMar>
              <w:left w:w="57" w:type="dxa"/>
              <w:right w:w="57" w:type="dxa"/>
            </w:tcMar>
            <w:vAlign w:val="center"/>
          </w:tcPr>
          <w:p w14:paraId="1441FDC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l2br w:val="nil"/>
              <w:tr2bl w:val="nil"/>
            </w:tcBorders>
            <w:shd w:val="clear" w:color="auto" w:fill="auto"/>
            <w:tcMar>
              <w:left w:w="57" w:type="dxa"/>
              <w:right w:w="57" w:type="dxa"/>
            </w:tcMar>
            <w:vAlign w:val="center"/>
          </w:tcPr>
          <w:p w14:paraId="1DCF98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c>
          <w:tcPr>
            <w:tcW w:w="2455" w:type="dxa"/>
            <w:tcBorders>
              <w:tl2br w:val="nil"/>
              <w:tr2bl w:val="nil"/>
            </w:tcBorders>
            <w:shd w:val="clear" w:color="auto" w:fill="auto"/>
            <w:tcMar>
              <w:left w:w="57" w:type="dxa"/>
              <w:right w:w="57" w:type="dxa"/>
            </w:tcMar>
            <w:vAlign w:val="center"/>
          </w:tcPr>
          <w:p w14:paraId="3E18E9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r w14:paraId="528CDA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21526E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行政规范性文件</w:t>
            </w:r>
          </w:p>
        </w:tc>
        <w:tc>
          <w:tcPr>
            <w:tcW w:w="2455" w:type="dxa"/>
            <w:tcBorders>
              <w:tl2br w:val="nil"/>
              <w:tr2bl w:val="nil"/>
            </w:tcBorders>
            <w:shd w:val="clear" w:color="auto" w:fill="auto"/>
            <w:tcMar>
              <w:left w:w="57" w:type="dxa"/>
              <w:right w:w="57" w:type="dxa"/>
            </w:tcMar>
            <w:vAlign w:val="center"/>
          </w:tcPr>
          <w:p w14:paraId="091A44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l2br w:val="nil"/>
              <w:tr2bl w:val="nil"/>
            </w:tcBorders>
            <w:shd w:val="clear" w:color="auto" w:fill="auto"/>
            <w:tcMar>
              <w:left w:w="57" w:type="dxa"/>
              <w:right w:w="57" w:type="dxa"/>
            </w:tcMar>
            <w:vAlign w:val="center"/>
          </w:tcPr>
          <w:p w14:paraId="4AEAD8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color w:val="000000"/>
                <w:kern w:val="0"/>
                <w:sz w:val="32"/>
                <w:szCs w:val="32"/>
                <w:lang w:val="en-US" w:eastAsia="zh-CN" w:bidi="ar"/>
              </w:rPr>
              <w:t>0</w:t>
            </w:r>
          </w:p>
        </w:tc>
        <w:tc>
          <w:tcPr>
            <w:tcW w:w="2455" w:type="dxa"/>
            <w:tcBorders>
              <w:tl2br w:val="nil"/>
              <w:tr2bl w:val="nil"/>
            </w:tcBorders>
            <w:shd w:val="clear" w:color="auto" w:fill="auto"/>
            <w:tcMar>
              <w:left w:w="57" w:type="dxa"/>
              <w:right w:w="57" w:type="dxa"/>
            </w:tcMar>
            <w:vAlign w:val="center"/>
          </w:tcPr>
          <w:p w14:paraId="116E56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仿宋_GB2312" w:hAnsi="仿宋_GB2312" w:cs="仿宋_GB2312"/>
                <w:b w:val="0"/>
                <w:bCs w:val="0"/>
                <w:kern w:val="0"/>
                <w:sz w:val="32"/>
                <w:szCs w:val="32"/>
                <w:lang w:val="en-US" w:eastAsia="zh-CN" w:bidi="ar"/>
              </w:rPr>
              <w:t>0</w:t>
            </w:r>
          </w:p>
        </w:tc>
      </w:tr>
      <w:tr w14:paraId="50500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9820" w:type="dxa"/>
            <w:gridSpan w:val="4"/>
            <w:tcBorders>
              <w:tl2br w:val="nil"/>
              <w:tr2bl w:val="nil"/>
            </w:tcBorders>
            <w:shd w:val="clear" w:color="auto" w:fill="FFFFFF" w:themeFill="background1"/>
            <w:tcMar>
              <w:left w:w="57" w:type="dxa"/>
              <w:right w:w="57" w:type="dxa"/>
            </w:tcMar>
            <w:vAlign w:val="center"/>
          </w:tcPr>
          <w:p w14:paraId="2841BC7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第二十条第（五）项</w:t>
            </w:r>
          </w:p>
        </w:tc>
      </w:tr>
      <w:tr w14:paraId="1602E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3854A7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l2br w:val="nil"/>
              <w:tr2bl w:val="nil"/>
            </w:tcBorders>
            <w:shd w:val="clear" w:color="auto" w:fill="auto"/>
            <w:tcMar>
              <w:left w:w="57" w:type="dxa"/>
              <w:right w:w="57" w:type="dxa"/>
            </w:tcMar>
            <w:vAlign w:val="center"/>
          </w:tcPr>
          <w:p w14:paraId="04C789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67146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15F5EA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行政许可</w:t>
            </w:r>
          </w:p>
        </w:tc>
        <w:tc>
          <w:tcPr>
            <w:tcW w:w="7365" w:type="dxa"/>
            <w:gridSpan w:val="3"/>
            <w:tcBorders>
              <w:tl2br w:val="nil"/>
              <w:tr2bl w:val="nil"/>
            </w:tcBorders>
            <w:shd w:val="clear" w:color="auto" w:fill="auto"/>
            <w:tcMar>
              <w:left w:w="57" w:type="dxa"/>
              <w:right w:w="57" w:type="dxa"/>
            </w:tcMar>
            <w:vAlign w:val="center"/>
          </w:tcPr>
          <w:p w14:paraId="6AF59B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sz w:val="32"/>
                <w:szCs w:val="32"/>
                <w:lang w:val="en-US"/>
              </w:rPr>
            </w:pPr>
            <w:r>
              <w:rPr>
                <w:rFonts w:hint="eastAsia" w:ascii="楷体_GB2312" w:hAnsi="楷体_GB2312" w:eastAsia="楷体_GB2312" w:cs="楷体_GB2312"/>
                <w:b w:val="0"/>
                <w:bCs w:val="0"/>
                <w:kern w:val="0"/>
                <w:sz w:val="32"/>
                <w:szCs w:val="32"/>
                <w:lang w:val="en-US" w:eastAsia="zh-CN" w:bidi="ar"/>
              </w:rPr>
              <w:t>0</w:t>
            </w:r>
          </w:p>
        </w:tc>
      </w:tr>
      <w:tr w14:paraId="41C37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9820" w:type="dxa"/>
            <w:gridSpan w:val="4"/>
            <w:tcBorders>
              <w:tl2br w:val="nil"/>
              <w:tr2bl w:val="nil"/>
            </w:tcBorders>
            <w:shd w:val="clear" w:color="auto" w:fill="FFFFFF" w:themeFill="background1"/>
            <w:tcMar>
              <w:left w:w="57" w:type="dxa"/>
              <w:right w:w="57" w:type="dxa"/>
            </w:tcMar>
            <w:vAlign w:val="center"/>
          </w:tcPr>
          <w:p w14:paraId="08D644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第二十条第（六）项</w:t>
            </w:r>
          </w:p>
        </w:tc>
      </w:tr>
      <w:tr w14:paraId="3E2578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5F7CB4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l2br w:val="nil"/>
              <w:tr2bl w:val="nil"/>
            </w:tcBorders>
            <w:shd w:val="clear" w:color="auto" w:fill="auto"/>
            <w:tcMar>
              <w:left w:w="57" w:type="dxa"/>
              <w:right w:w="57" w:type="dxa"/>
            </w:tcMar>
            <w:vAlign w:val="center"/>
          </w:tcPr>
          <w:p w14:paraId="7513EE4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本年处理决定数量</w:t>
            </w:r>
          </w:p>
        </w:tc>
      </w:tr>
      <w:tr w14:paraId="53945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42E9C6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行政处罚</w:t>
            </w:r>
          </w:p>
        </w:tc>
        <w:tc>
          <w:tcPr>
            <w:tcW w:w="7365" w:type="dxa"/>
            <w:gridSpan w:val="3"/>
            <w:tcBorders>
              <w:tl2br w:val="nil"/>
              <w:tr2bl w:val="nil"/>
            </w:tcBorders>
            <w:shd w:val="clear" w:color="auto" w:fill="auto"/>
            <w:tcMar>
              <w:left w:w="57" w:type="dxa"/>
              <w:right w:w="57" w:type="dxa"/>
            </w:tcMar>
            <w:vAlign w:val="center"/>
          </w:tcPr>
          <w:p w14:paraId="7281EA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3</w:t>
            </w:r>
            <w:bookmarkStart w:id="0" w:name="_GoBack"/>
            <w:bookmarkEnd w:id="0"/>
          </w:p>
        </w:tc>
      </w:tr>
      <w:tr w14:paraId="144E9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28901A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color w:val="000000"/>
                <w:kern w:val="0"/>
                <w:sz w:val="32"/>
                <w:szCs w:val="32"/>
                <w:lang w:val="en-US" w:eastAsia="zh-CN" w:bidi="ar"/>
              </w:rPr>
            </w:pPr>
            <w:r>
              <w:rPr>
                <w:rFonts w:hint="eastAsia" w:ascii="楷体_GB2312" w:hAnsi="楷体_GB2312" w:eastAsia="楷体_GB2312" w:cs="楷体_GB2312"/>
                <w:b/>
                <w:bCs/>
                <w:color w:val="000000"/>
                <w:kern w:val="0"/>
                <w:sz w:val="32"/>
                <w:szCs w:val="32"/>
                <w:lang w:val="en-US" w:eastAsia="zh-CN" w:bidi="ar"/>
              </w:rPr>
              <w:t>行政强制</w:t>
            </w:r>
          </w:p>
        </w:tc>
        <w:tc>
          <w:tcPr>
            <w:tcW w:w="7365" w:type="dxa"/>
            <w:gridSpan w:val="3"/>
            <w:tcBorders>
              <w:tl2br w:val="nil"/>
              <w:tr2bl w:val="nil"/>
            </w:tcBorders>
            <w:shd w:val="clear" w:color="auto" w:fill="auto"/>
            <w:tcMar>
              <w:left w:w="57" w:type="dxa"/>
              <w:right w:w="57" w:type="dxa"/>
            </w:tcMar>
            <w:vAlign w:val="center"/>
          </w:tcPr>
          <w:p w14:paraId="130B77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b w:val="0"/>
                <w:bCs w:val="0"/>
                <w:color w:val="000000"/>
                <w:kern w:val="0"/>
                <w:sz w:val="32"/>
                <w:szCs w:val="32"/>
                <w:lang w:val="en-US" w:eastAsia="zh-CN" w:bidi="ar"/>
              </w:rPr>
            </w:pPr>
            <w:r>
              <w:rPr>
                <w:rFonts w:hint="eastAsia" w:ascii="仿宋_GB2312" w:hAnsi="仿宋_GB2312" w:cs="仿宋_GB2312"/>
                <w:b w:val="0"/>
                <w:bCs w:val="0"/>
                <w:color w:val="000000"/>
                <w:kern w:val="0"/>
                <w:sz w:val="32"/>
                <w:szCs w:val="32"/>
                <w:lang w:val="en-US" w:eastAsia="zh-CN" w:bidi="ar"/>
              </w:rPr>
              <w:t>0</w:t>
            </w:r>
          </w:p>
        </w:tc>
      </w:tr>
      <w:tr w14:paraId="4A28D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9820" w:type="dxa"/>
            <w:gridSpan w:val="4"/>
            <w:tcBorders>
              <w:tl2br w:val="nil"/>
              <w:tr2bl w:val="nil"/>
            </w:tcBorders>
            <w:shd w:val="clear" w:color="auto" w:fill="FFFFFF" w:themeFill="background1"/>
            <w:tcMar>
              <w:left w:w="57" w:type="dxa"/>
              <w:right w:w="57" w:type="dxa"/>
            </w:tcMar>
            <w:vAlign w:val="center"/>
          </w:tcPr>
          <w:p w14:paraId="24413C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第二十条第（八）项</w:t>
            </w:r>
          </w:p>
        </w:tc>
      </w:tr>
      <w:tr w14:paraId="6A8816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2" w:hRule="atLeast"/>
          <w:jc w:val="center"/>
        </w:trPr>
        <w:tc>
          <w:tcPr>
            <w:tcW w:w="2455" w:type="dxa"/>
            <w:tcBorders>
              <w:tl2br w:val="nil"/>
              <w:tr2bl w:val="nil"/>
            </w:tcBorders>
            <w:shd w:val="clear" w:color="auto" w:fill="auto"/>
            <w:tcMar>
              <w:left w:w="57" w:type="dxa"/>
              <w:right w:w="57" w:type="dxa"/>
            </w:tcMar>
            <w:vAlign w:val="center"/>
          </w:tcPr>
          <w:p w14:paraId="172CFCD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信息内容</w:t>
            </w:r>
          </w:p>
        </w:tc>
        <w:tc>
          <w:tcPr>
            <w:tcW w:w="7365" w:type="dxa"/>
            <w:gridSpan w:val="3"/>
            <w:tcBorders>
              <w:tl2br w:val="nil"/>
              <w:tr2bl w:val="nil"/>
            </w:tcBorders>
            <w:shd w:val="clear" w:color="auto" w:fill="auto"/>
            <w:tcMar>
              <w:left w:w="57" w:type="dxa"/>
              <w:right w:w="57" w:type="dxa"/>
            </w:tcMar>
            <w:vAlign w:val="center"/>
          </w:tcPr>
          <w:p w14:paraId="00AC11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本年收费金额（单位：万元）</w:t>
            </w:r>
          </w:p>
        </w:tc>
      </w:tr>
      <w:tr w14:paraId="44F59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jc w:val="center"/>
        </w:trPr>
        <w:tc>
          <w:tcPr>
            <w:tcW w:w="2455" w:type="dxa"/>
            <w:tcBorders>
              <w:tl2br w:val="nil"/>
              <w:tr2bl w:val="nil"/>
            </w:tcBorders>
            <w:shd w:val="clear" w:color="auto" w:fill="auto"/>
            <w:tcMar>
              <w:left w:w="57" w:type="dxa"/>
              <w:right w:w="57" w:type="dxa"/>
            </w:tcMar>
            <w:vAlign w:val="center"/>
          </w:tcPr>
          <w:p w14:paraId="1BB8D9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color w:val="000000"/>
                <w:kern w:val="0"/>
                <w:sz w:val="32"/>
                <w:szCs w:val="32"/>
                <w:lang w:val="en-US" w:eastAsia="zh-CN" w:bidi="ar"/>
              </w:rPr>
              <w:t>行政事业性收费</w:t>
            </w:r>
          </w:p>
        </w:tc>
        <w:tc>
          <w:tcPr>
            <w:tcW w:w="7365" w:type="dxa"/>
            <w:gridSpan w:val="3"/>
            <w:tcBorders>
              <w:tl2br w:val="nil"/>
              <w:tr2bl w:val="nil"/>
            </w:tcBorders>
            <w:shd w:val="clear" w:color="auto" w:fill="auto"/>
            <w:tcMar>
              <w:left w:w="57" w:type="dxa"/>
              <w:right w:w="57" w:type="dxa"/>
            </w:tcMar>
            <w:vAlign w:val="center"/>
          </w:tcPr>
          <w:p w14:paraId="49AE42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cs="仿宋_GB2312"/>
                <w:b w:val="0"/>
                <w:bCs w:val="0"/>
                <w:sz w:val="32"/>
                <w:szCs w:val="32"/>
                <w:lang w:val="en-US" w:eastAsia="zh-CN"/>
              </w:rPr>
              <w:t>0</w:t>
            </w:r>
          </w:p>
        </w:tc>
      </w:tr>
    </w:tbl>
    <w:p w14:paraId="44A5B9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80"/>
        <w:gridCol w:w="997"/>
        <w:gridCol w:w="4823"/>
        <w:gridCol w:w="439"/>
        <w:gridCol w:w="473"/>
        <w:gridCol w:w="466"/>
        <w:gridCol w:w="411"/>
        <w:gridCol w:w="438"/>
        <w:gridCol w:w="450"/>
        <w:gridCol w:w="471"/>
      </w:tblGrid>
      <w:tr w14:paraId="1175429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600" w:type="dxa"/>
            <w:gridSpan w:val="3"/>
            <w:vMerge w:val="restart"/>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57C745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（本列数据的勾稽关系为：第一项加第二项之和，等于第三项加第四项之和）</w:t>
            </w:r>
          </w:p>
        </w:tc>
        <w:tc>
          <w:tcPr>
            <w:tcW w:w="3148" w:type="dxa"/>
            <w:gridSpan w:val="7"/>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9864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申请人情况</w:t>
            </w:r>
          </w:p>
        </w:tc>
      </w:tr>
      <w:tr w14:paraId="5D7A55C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6600" w:type="dxa"/>
            <w:gridSpan w:val="3"/>
            <w:vMerge w:val="continue"/>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340535D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49AAA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自</w:t>
            </w:r>
          </w:p>
          <w:p w14:paraId="4EBF20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73D95C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然</w:t>
            </w:r>
          </w:p>
          <w:p w14:paraId="6F3E98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kern w:val="0"/>
                <w:sz w:val="32"/>
                <w:szCs w:val="32"/>
                <w:lang w:val="en-US" w:eastAsia="zh-CN" w:bidi="ar"/>
              </w:rPr>
            </w:pPr>
          </w:p>
          <w:p w14:paraId="3FB110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人</w:t>
            </w:r>
          </w:p>
        </w:tc>
        <w:tc>
          <w:tcPr>
            <w:tcW w:w="2238" w:type="dxa"/>
            <w:gridSpan w:val="5"/>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BECB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法人或其他组织</w:t>
            </w:r>
          </w:p>
        </w:tc>
        <w:tc>
          <w:tcPr>
            <w:tcW w:w="471"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946C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总计</w:t>
            </w:r>
          </w:p>
        </w:tc>
      </w:tr>
      <w:tr w14:paraId="5FCF8F7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vMerge w:val="continue"/>
            <w:tcBorders>
              <w:top w:val="single" w:color="auto" w:sz="4" w:space="0"/>
              <w:left w:val="single" w:color="auto" w:sz="4" w:space="0"/>
              <w:bottom w:val="single" w:color="auto" w:sz="4" w:space="0"/>
              <w:right w:val="single" w:color="auto" w:sz="4" w:space="0"/>
            </w:tcBorders>
            <w:shd w:val="clear" w:color="auto" w:fill="auto"/>
            <w:tcMar>
              <w:left w:w="108" w:type="dxa"/>
              <w:right w:w="108" w:type="dxa"/>
            </w:tcMar>
            <w:vAlign w:val="center"/>
          </w:tcPr>
          <w:p w14:paraId="045CD58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39"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5689B4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61E68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商业</w:t>
            </w:r>
          </w:p>
          <w:p w14:paraId="2CCF8F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企业</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A3B9A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科研</w:t>
            </w:r>
          </w:p>
          <w:p w14:paraId="3EB682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机构</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A8708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社会公益组织</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8A5C2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法律服务机构</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9F43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其他</w:t>
            </w:r>
          </w:p>
        </w:tc>
        <w:tc>
          <w:tcPr>
            <w:tcW w:w="471"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63C0D4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仿宋_GB2312" w:hAnsi="仿宋_GB2312" w:eastAsia="仿宋_GB2312" w:cs="仿宋_GB2312"/>
                <w:sz w:val="32"/>
                <w:szCs w:val="32"/>
              </w:rPr>
            </w:pPr>
          </w:p>
        </w:tc>
      </w:tr>
      <w:tr w14:paraId="5052F93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36D5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一、本年新收政府信息公开申请数量</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AF04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2D95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E1E4F6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BFE2A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8F67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B727B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0F4D5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14:paraId="75C3A83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8E04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二、上年结转政府信息公开申请数量</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EBCF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7A1B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62CA5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60DC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25EA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E6381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ED71F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cs="仿宋_GB2312"/>
                <w:kern w:val="0"/>
                <w:sz w:val="32"/>
                <w:szCs w:val="32"/>
                <w:lang w:val="en-US" w:eastAsia="zh-CN" w:bidi="ar"/>
              </w:rPr>
              <w:t>0</w:t>
            </w:r>
            <w:r>
              <w:rPr>
                <w:rFonts w:hint="eastAsia" w:ascii="仿宋_GB2312" w:hAnsi="仿宋_GB2312" w:eastAsia="仿宋_GB2312" w:cs="仿宋_GB2312"/>
                <w:kern w:val="0"/>
                <w:sz w:val="32"/>
                <w:szCs w:val="32"/>
                <w:lang w:val="en-US" w:eastAsia="zh-CN" w:bidi="ar"/>
              </w:rPr>
              <w:t> </w:t>
            </w:r>
          </w:p>
        </w:tc>
      </w:tr>
      <w:tr w14:paraId="6789765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6C0F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三、本年度办理结果</w:t>
            </w: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4C89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（一）予以公开</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B1859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7639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9ED8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1ACC3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1497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CB8E4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47F6A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55CF00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BCB43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C6C1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（二）部分公开（区分处理的，只计这一情形，不计其他情形）</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D1B635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284E4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21A28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2F54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802C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8F26C5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CCFD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764B21D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E164B1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80F60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（三）不予公开</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2AD2FF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1.属于国家秘密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A4DE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113D84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9CC7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ABA6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F704C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D9A7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0BEE7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27D8569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68A93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30D04E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278C0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2.其他法律行政法规禁止公开</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93693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A3CCF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9D10C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3EE13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077CE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C577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D7D39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5E6D50C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703D2D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83C6C9">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B5D6C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3.危及“三安全一稳定”</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BCB34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B928EA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FC55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F847C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8AC7D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9272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F92E8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523AAC5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98A31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18D352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FEA53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4.保护第三方合法权益</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A729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70CF6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E1C48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3B61A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662F0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C60AA6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7DD05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6F3B680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2558B4">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013CD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6CD41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5.属于三类内部事务信息</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3DD3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20E82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D3A8C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7A3FB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195B6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A117F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F8176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4B5A03B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C468C7B">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98447E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A4854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6.属于四类过程性信息</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D641A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57EA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741A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11BC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1BCBA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30B68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0E5C55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692E59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4F90BA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0ADDD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8A726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7.属于行政执法案卷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4E284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A1B9A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D9747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18EA3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8A711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ECB7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7ABA7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6A7950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C7C97E">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2DB398">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3CA4EA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8.属于行政查询事项</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C770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9C75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897E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9314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1386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D344C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39AF20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4924911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08A4DD">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1E2A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（四）无法提供</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A811D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1.本机关不掌握相关政府信息</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5A1C77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37D31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7989D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C53C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E9A0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5824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8AC38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4FB3159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68" w:hRule="atLeast"/>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6DC62B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791323">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A4485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2.没有现成信息需要另行制作</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3A967B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94B4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DA3E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CC7EB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B6283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5FD0C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43CDB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12D343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1AA8DA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70362F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B9402C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3.补正后申请内容仍不明确</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E95B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1673A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EF324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F757B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A11478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F36A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B7FCD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7545A4B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EFBD5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965BC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（五）不予处理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6B2A762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1.信访举报投诉类申请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7F53C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7B646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826F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08382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F1A8D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D8A6E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8472E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2BFB830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90099D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C0B97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0E028B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2.重复申请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E346DC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776C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EF86E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BC478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A487B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7D84E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53479F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0B03C8C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1D140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ECA8B2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156A35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3.要求提供公开出版物</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00EB3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B24012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812C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3DA1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252B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C4BC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B8C56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047DF1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649E6A">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4A7BA8C">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0195E8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4.无正当理由大量反复申请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6C053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C92F7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C558D7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0C4D4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4CE7E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A26F1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742BA27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629907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779" w:hRule="atLeast"/>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1A02F2">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A2071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F2CC2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5.要求行政机关确认或重新出具已获取信息</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718AB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481759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73A6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19F83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4FCDD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555CD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B6B92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6B3F58C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2166" w:hRule="atLeast"/>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F67C5D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restart"/>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9D6AA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（六）其他处理</w:t>
            </w: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A6220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1.申请人无正当理由逾期不补正、行政机关不再处理其政府信息公开申请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6B3E2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8040FC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1A3F18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098B3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642ABF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0DB74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07B4DE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14:paraId="2898A1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eastAsia" w:ascii="仿宋_GB2312" w:hAnsi="仿宋_GB2312" w:cs="仿宋_GB2312"/>
                <w:kern w:val="0"/>
                <w:sz w:val="32"/>
                <w:szCs w:val="32"/>
                <w:lang w:val="en-US" w:eastAsia="zh-CN" w:bidi="ar"/>
              </w:rPr>
            </w:pPr>
          </w:p>
          <w:p w14:paraId="38D857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148D0F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D22483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7D6BF7">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6F89F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both"/>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2.申请人逾期未按收费通知要求缴纳费用、行政机关不再处理其政府信息公开申请</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FDC8F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DE1F0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5B35A3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2AC5E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2186F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BA32C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3BB74E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cs="仿宋_GB2312"/>
                <w:kern w:val="0"/>
                <w:sz w:val="32"/>
                <w:szCs w:val="32"/>
                <w:lang w:val="en-US" w:eastAsia="zh-CN" w:bidi="ar"/>
              </w:rPr>
              <w:t>0</w:t>
            </w:r>
          </w:p>
        </w:tc>
      </w:tr>
      <w:tr w14:paraId="180D93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99AAA76">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997"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317FF4F">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482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6FA4F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3.其他</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13740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41F97C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B20AB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AFDBC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1261C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D1E97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22C7758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207BC40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80" w:type="dxa"/>
            <w:vMerge w:val="continue"/>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99DB31">
            <w:pPr>
              <w:keepNext w:val="0"/>
              <w:keepLines w:val="0"/>
              <w:pageBreakBefore w:val="0"/>
              <w:widowControl/>
              <w:kinsoku/>
              <w:wordWrap/>
              <w:overflowPunct/>
              <w:topLinePunct w:val="0"/>
              <w:autoSpaceDE/>
              <w:autoSpaceDN/>
              <w:bidi w:val="0"/>
              <w:adjustRightInd/>
              <w:snapToGrid/>
              <w:spacing w:line="400" w:lineRule="exact"/>
              <w:ind w:firstLine="0" w:firstLineChars="0"/>
              <w:textAlignment w:val="auto"/>
              <w:rPr>
                <w:rFonts w:hint="eastAsia" w:ascii="楷体_GB2312" w:hAnsi="楷体_GB2312" w:eastAsia="楷体_GB2312" w:cs="楷体_GB2312"/>
                <w:b/>
                <w:bCs/>
                <w:sz w:val="32"/>
                <w:szCs w:val="32"/>
              </w:rPr>
            </w:pPr>
          </w:p>
        </w:tc>
        <w:tc>
          <w:tcPr>
            <w:tcW w:w="5820" w:type="dxa"/>
            <w:gridSpan w:val="2"/>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0C2F7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（七）总计</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70107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B4E839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483D1C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729354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095A4AD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9BB97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top"/>
          </w:tcPr>
          <w:p w14:paraId="4AE541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kern w:val="0"/>
                <w:sz w:val="32"/>
                <w:szCs w:val="32"/>
                <w:lang w:val="en-US" w:eastAsia="zh-CN" w:bidi="ar"/>
              </w:rPr>
              <w:t> </w:t>
            </w:r>
            <w:r>
              <w:rPr>
                <w:rFonts w:hint="eastAsia" w:ascii="仿宋_GB2312" w:hAnsi="仿宋_GB2312" w:cs="仿宋_GB2312"/>
                <w:kern w:val="0"/>
                <w:sz w:val="32"/>
                <w:szCs w:val="32"/>
                <w:lang w:val="en-US" w:eastAsia="zh-CN" w:bidi="ar"/>
              </w:rPr>
              <w:t>0</w:t>
            </w:r>
          </w:p>
        </w:tc>
      </w:tr>
      <w:tr w14:paraId="5E79BB8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600" w:type="dxa"/>
            <w:gridSpan w:val="3"/>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156084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right="0" w:firstLine="0" w:firstLineChars="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四、结转下年度继续办理</w:t>
            </w:r>
          </w:p>
        </w:tc>
        <w:tc>
          <w:tcPr>
            <w:tcW w:w="439"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83887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3"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BE710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66"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1829E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1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4C73A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38"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2F47064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50"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668727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471" w:type="dxa"/>
            <w:tcBorders>
              <w:top w:val="single" w:color="auto" w:sz="4" w:space="0"/>
              <w:left w:val="single" w:color="auto" w:sz="4" w:space="0"/>
              <w:bottom w:val="single" w:color="auto" w:sz="4" w:space="0"/>
              <w:right w:val="single" w:color="auto" w:sz="4" w:space="0"/>
            </w:tcBorders>
            <w:shd w:val="clear" w:color="auto" w:fill="auto"/>
            <w:tcMar>
              <w:left w:w="57" w:type="dxa"/>
              <w:right w:w="57" w:type="dxa"/>
            </w:tcMar>
            <w:vAlign w:val="center"/>
          </w:tcPr>
          <w:p w14:paraId="5EC087C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cs="仿宋_GB2312"/>
                <w:kern w:val="0"/>
                <w:sz w:val="32"/>
                <w:szCs w:val="32"/>
                <w:lang w:val="en-US" w:eastAsia="zh-CN" w:bidi="ar"/>
              </w:rPr>
              <w:t>0</w:t>
            </w:r>
          </w:p>
        </w:tc>
      </w:tr>
    </w:tbl>
    <w:p w14:paraId="26ECD0FF">
      <w:pPr>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四、政府信息公开行政复议、行政诉讼情况</w:t>
      </w:r>
    </w:p>
    <w:tbl>
      <w:tblPr>
        <w:tblStyle w:val="5"/>
        <w:tblW w:w="9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46E9C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0" w:type="dxa"/>
            <w:bottom w:w="0" w:type="dxa"/>
            <w:right w:w="0" w:type="dxa"/>
          </w:tblCellMar>
        </w:tblPrEx>
        <w:trPr>
          <w:jc w:val="center"/>
        </w:trPr>
        <w:tc>
          <w:tcPr>
            <w:tcW w:w="3245" w:type="dxa"/>
            <w:gridSpan w:val="5"/>
            <w:shd w:val="clear" w:color="auto" w:fill="auto"/>
            <w:tcMar>
              <w:left w:w="108" w:type="dxa"/>
              <w:right w:w="108" w:type="dxa"/>
            </w:tcMar>
            <w:vAlign w:val="center"/>
          </w:tcPr>
          <w:p w14:paraId="29D0CD4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行政复议</w:t>
            </w:r>
          </w:p>
        </w:tc>
        <w:tc>
          <w:tcPr>
            <w:tcW w:w="6503" w:type="dxa"/>
            <w:gridSpan w:val="10"/>
            <w:shd w:val="clear" w:color="auto" w:fill="auto"/>
            <w:tcMar>
              <w:left w:w="108" w:type="dxa"/>
              <w:right w:w="108" w:type="dxa"/>
            </w:tcMar>
            <w:vAlign w:val="center"/>
          </w:tcPr>
          <w:p w14:paraId="1AD2EA34">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sz w:val="32"/>
                <w:szCs w:val="32"/>
              </w:rPr>
            </w:pPr>
            <w:r>
              <w:rPr>
                <w:rFonts w:hint="eastAsia" w:ascii="楷体_GB2312" w:hAnsi="楷体_GB2312" w:eastAsia="楷体_GB2312" w:cs="楷体_GB2312"/>
                <w:b/>
                <w:bCs/>
                <w:kern w:val="0"/>
                <w:sz w:val="32"/>
                <w:szCs w:val="32"/>
                <w:lang w:val="en-US" w:eastAsia="zh-CN" w:bidi="ar"/>
              </w:rPr>
              <w:t>行政诉讼</w:t>
            </w:r>
          </w:p>
        </w:tc>
      </w:tr>
      <w:tr w14:paraId="7CDC0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9" w:type="dxa"/>
            <w:vMerge w:val="restart"/>
            <w:shd w:val="clear" w:color="auto" w:fill="auto"/>
            <w:tcMar>
              <w:left w:w="108" w:type="dxa"/>
              <w:right w:w="108" w:type="dxa"/>
            </w:tcMar>
            <w:vAlign w:val="center"/>
          </w:tcPr>
          <w:p w14:paraId="749E2EE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结果维持</w:t>
            </w:r>
          </w:p>
        </w:tc>
        <w:tc>
          <w:tcPr>
            <w:tcW w:w="649" w:type="dxa"/>
            <w:vMerge w:val="restart"/>
            <w:shd w:val="clear" w:color="auto" w:fill="auto"/>
            <w:tcMar>
              <w:left w:w="108" w:type="dxa"/>
              <w:right w:w="108" w:type="dxa"/>
            </w:tcMar>
            <w:vAlign w:val="center"/>
          </w:tcPr>
          <w:p w14:paraId="630ABF5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49" w:type="dxa"/>
            <w:vMerge w:val="restart"/>
            <w:shd w:val="clear" w:color="auto" w:fill="auto"/>
            <w:tcMar>
              <w:left w:w="108" w:type="dxa"/>
              <w:right w:w="108" w:type="dxa"/>
            </w:tcMar>
            <w:vAlign w:val="center"/>
          </w:tcPr>
          <w:p w14:paraId="059E6D2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49" w:type="dxa"/>
            <w:vMerge w:val="restart"/>
            <w:shd w:val="clear" w:color="auto" w:fill="auto"/>
            <w:tcMar>
              <w:left w:w="108" w:type="dxa"/>
              <w:right w:w="108" w:type="dxa"/>
            </w:tcMar>
            <w:vAlign w:val="center"/>
          </w:tcPr>
          <w:p w14:paraId="4F4DF46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49" w:type="dxa"/>
            <w:vMerge w:val="restart"/>
            <w:shd w:val="clear" w:color="auto" w:fill="auto"/>
            <w:tcMar>
              <w:left w:w="108" w:type="dxa"/>
              <w:right w:w="108" w:type="dxa"/>
            </w:tcMar>
            <w:vAlign w:val="center"/>
          </w:tcPr>
          <w:p w14:paraId="18A4619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总计</w:t>
            </w:r>
          </w:p>
        </w:tc>
        <w:tc>
          <w:tcPr>
            <w:tcW w:w="3248" w:type="dxa"/>
            <w:gridSpan w:val="5"/>
            <w:shd w:val="clear" w:color="auto" w:fill="auto"/>
            <w:tcMar>
              <w:left w:w="108" w:type="dxa"/>
              <w:right w:w="108" w:type="dxa"/>
            </w:tcMar>
            <w:vAlign w:val="center"/>
          </w:tcPr>
          <w:p w14:paraId="2F74629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未经复议直接起诉</w:t>
            </w:r>
          </w:p>
        </w:tc>
        <w:tc>
          <w:tcPr>
            <w:tcW w:w="3255" w:type="dxa"/>
            <w:gridSpan w:val="5"/>
            <w:shd w:val="clear" w:color="auto" w:fill="auto"/>
            <w:tcMar>
              <w:left w:w="108" w:type="dxa"/>
              <w:right w:w="108" w:type="dxa"/>
            </w:tcMar>
            <w:vAlign w:val="center"/>
          </w:tcPr>
          <w:p w14:paraId="6DBCE5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复议后起诉</w:t>
            </w:r>
          </w:p>
        </w:tc>
      </w:tr>
      <w:tr w14:paraId="501BC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649" w:type="dxa"/>
            <w:vMerge w:val="continue"/>
            <w:shd w:val="clear" w:color="auto" w:fill="auto"/>
            <w:tcMar>
              <w:left w:w="108" w:type="dxa"/>
              <w:right w:w="108" w:type="dxa"/>
            </w:tcMar>
            <w:vAlign w:val="center"/>
          </w:tcPr>
          <w:p w14:paraId="4F32D14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p>
        </w:tc>
        <w:tc>
          <w:tcPr>
            <w:tcW w:w="649" w:type="dxa"/>
            <w:vMerge w:val="continue"/>
            <w:shd w:val="clear" w:color="auto" w:fill="auto"/>
            <w:tcMar>
              <w:left w:w="108" w:type="dxa"/>
              <w:right w:w="108" w:type="dxa"/>
            </w:tcMar>
            <w:vAlign w:val="center"/>
          </w:tcPr>
          <w:p w14:paraId="28ABE0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p>
        </w:tc>
        <w:tc>
          <w:tcPr>
            <w:tcW w:w="649" w:type="dxa"/>
            <w:vMerge w:val="continue"/>
            <w:shd w:val="clear" w:color="auto" w:fill="auto"/>
            <w:tcMar>
              <w:left w:w="108" w:type="dxa"/>
              <w:right w:w="108" w:type="dxa"/>
            </w:tcMar>
            <w:vAlign w:val="center"/>
          </w:tcPr>
          <w:p w14:paraId="73C3BB5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p>
        </w:tc>
        <w:tc>
          <w:tcPr>
            <w:tcW w:w="649" w:type="dxa"/>
            <w:vMerge w:val="continue"/>
            <w:shd w:val="clear" w:color="auto" w:fill="auto"/>
            <w:tcMar>
              <w:left w:w="108" w:type="dxa"/>
              <w:right w:w="108" w:type="dxa"/>
            </w:tcMar>
            <w:vAlign w:val="center"/>
          </w:tcPr>
          <w:p w14:paraId="2418200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p>
        </w:tc>
        <w:tc>
          <w:tcPr>
            <w:tcW w:w="649" w:type="dxa"/>
            <w:vMerge w:val="continue"/>
            <w:shd w:val="clear" w:color="auto" w:fill="auto"/>
            <w:tcMar>
              <w:left w:w="108" w:type="dxa"/>
              <w:right w:w="108" w:type="dxa"/>
            </w:tcMar>
            <w:vAlign w:val="center"/>
          </w:tcPr>
          <w:p w14:paraId="703B69C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p>
        </w:tc>
        <w:tc>
          <w:tcPr>
            <w:tcW w:w="649" w:type="dxa"/>
            <w:shd w:val="clear" w:color="auto" w:fill="auto"/>
            <w:tcMar>
              <w:left w:w="108" w:type="dxa"/>
              <w:right w:w="108" w:type="dxa"/>
            </w:tcMar>
            <w:vAlign w:val="center"/>
          </w:tcPr>
          <w:p w14:paraId="142BF2B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49" w:type="dxa"/>
            <w:shd w:val="clear" w:color="auto" w:fill="auto"/>
            <w:tcMar>
              <w:left w:w="108" w:type="dxa"/>
              <w:right w:w="108" w:type="dxa"/>
            </w:tcMar>
            <w:vAlign w:val="center"/>
          </w:tcPr>
          <w:p w14:paraId="5A5E200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0" w:type="dxa"/>
            <w:shd w:val="clear" w:color="auto" w:fill="auto"/>
            <w:tcMar>
              <w:left w:w="108" w:type="dxa"/>
              <w:right w:w="108" w:type="dxa"/>
            </w:tcMar>
            <w:vAlign w:val="center"/>
          </w:tcPr>
          <w:p w14:paraId="268E504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50" w:type="dxa"/>
            <w:shd w:val="clear" w:color="auto" w:fill="auto"/>
            <w:tcMar>
              <w:left w:w="108" w:type="dxa"/>
              <w:right w:w="108" w:type="dxa"/>
            </w:tcMar>
            <w:vAlign w:val="center"/>
          </w:tcPr>
          <w:p w14:paraId="4DDB97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0" w:type="dxa"/>
            <w:shd w:val="clear" w:color="auto" w:fill="auto"/>
            <w:tcMar>
              <w:left w:w="108" w:type="dxa"/>
              <w:right w:w="108" w:type="dxa"/>
            </w:tcMar>
            <w:vAlign w:val="center"/>
          </w:tcPr>
          <w:p w14:paraId="29B58B8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总计</w:t>
            </w:r>
          </w:p>
        </w:tc>
        <w:tc>
          <w:tcPr>
            <w:tcW w:w="651" w:type="dxa"/>
            <w:shd w:val="clear" w:color="auto" w:fill="auto"/>
            <w:tcMar>
              <w:left w:w="108" w:type="dxa"/>
              <w:right w:w="108" w:type="dxa"/>
            </w:tcMar>
            <w:vAlign w:val="center"/>
          </w:tcPr>
          <w:p w14:paraId="290F56A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维持</w:t>
            </w:r>
          </w:p>
        </w:tc>
        <w:tc>
          <w:tcPr>
            <w:tcW w:w="651" w:type="dxa"/>
            <w:shd w:val="clear" w:color="auto" w:fill="auto"/>
            <w:tcMar>
              <w:left w:w="108" w:type="dxa"/>
              <w:right w:w="108" w:type="dxa"/>
            </w:tcMar>
            <w:vAlign w:val="center"/>
          </w:tcPr>
          <w:p w14:paraId="51A244B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结果</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纠正</w:t>
            </w:r>
          </w:p>
        </w:tc>
        <w:tc>
          <w:tcPr>
            <w:tcW w:w="651" w:type="dxa"/>
            <w:shd w:val="clear" w:color="auto" w:fill="auto"/>
            <w:tcMar>
              <w:left w:w="108" w:type="dxa"/>
              <w:right w:w="108" w:type="dxa"/>
            </w:tcMar>
            <w:vAlign w:val="center"/>
          </w:tcPr>
          <w:p w14:paraId="230CF37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其他</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结果</w:t>
            </w:r>
          </w:p>
        </w:tc>
        <w:tc>
          <w:tcPr>
            <w:tcW w:w="651" w:type="dxa"/>
            <w:shd w:val="clear" w:color="auto" w:fill="auto"/>
            <w:tcMar>
              <w:left w:w="108" w:type="dxa"/>
              <w:right w:w="108" w:type="dxa"/>
            </w:tcMar>
            <w:vAlign w:val="center"/>
          </w:tcPr>
          <w:p w14:paraId="0AFD30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尚未</w:t>
            </w:r>
            <w:r>
              <w:rPr>
                <w:rFonts w:hint="eastAsia" w:ascii="楷体_GB2312" w:hAnsi="楷体_GB2312" w:eastAsia="楷体_GB2312" w:cs="楷体_GB2312"/>
                <w:b/>
                <w:bCs/>
                <w:kern w:val="0"/>
                <w:sz w:val="32"/>
                <w:szCs w:val="32"/>
                <w:lang w:val="en-US" w:eastAsia="zh-CN" w:bidi="ar"/>
              </w:rPr>
              <w:br w:type="textWrapping"/>
            </w:r>
            <w:r>
              <w:rPr>
                <w:rFonts w:hint="eastAsia" w:ascii="楷体_GB2312" w:hAnsi="楷体_GB2312" w:eastAsia="楷体_GB2312" w:cs="楷体_GB2312"/>
                <w:b/>
                <w:bCs/>
                <w:kern w:val="0"/>
                <w:sz w:val="32"/>
                <w:szCs w:val="32"/>
                <w:lang w:val="en-US" w:eastAsia="zh-CN" w:bidi="ar"/>
              </w:rPr>
              <w:t>审结</w:t>
            </w:r>
          </w:p>
        </w:tc>
        <w:tc>
          <w:tcPr>
            <w:tcW w:w="651" w:type="dxa"/>
            <w:shd w:val="clear" w:color="auto" w:fill="auto"/>
            <w:tcMar>
              <w:left w:w="108" w:type="dxa"/>
              <w:right w:w="108" w:type="dxa"/>
            </w:tcMar>
            <w:vAlign w:val="center"/>
          </w:tcPr>
          <w:p w14:paraId="757DF9F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firstLine="0" w:firstLineChars="0"/>
              <w:jc w:val="center"/>
              <w:rPr>
                <w:rFonts w:hint="eastAsia" w:ascii="楷体_GB2312" w:hAnsi="楷体_GB2312" w:eastAsia="楷体_GB2312" w:cs="楷体_GB2312"/>
                <w:b/>
                <w:bCs/>
                <w:kern w:val="0"/>
                <w:sz w:val="32"/>
                <w:szCs w:val="32"/>
                <w:lang w:val="en-US" w:eastAsia="zh-CN" w:bidi="ar"/>
              </w:rPr>
            </w:pPr>
            <w:r>
              <w:rPr>
                <w:rFonts w:hint="eastAsia" w:ascii="楷体_GB2312" w:hAnsi="楷体_GB2312" w:eastAsia="楷体_GB2312" w:cs="楷体_GB2312"/>
                <w:b/>
                <w:bCs/>
                <w:kern w:val="0"/>
                <w:sz w:val="32"/>
                <w:szCs w:val="32"/>
                <w:lang w:val="en-US" w:eastAsia="zh-CN" w:bidi="ar"/>
              </w:rPr>
              <w:t>总计</w:t>
            </w:r>
          </w:p>
        </w:tc>
      </w:tr>
      <w:tr w14:paraId="3B2EC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2" w:hRule="atLeast"/>
          <w:jc w:val="center"/>
        </w:trPr>
        <w:tc>
          <w:tcPr>
            <w:tcW w:w="649" w:type="dxa"/>
            <w:shd w:val="clear" w:color="auto" w:fill="auto"/>
            <w:tcMar>
              <w:left w:w="108" w:type="dxa"/>
              <w:right w:w="108" w:type="dxa"/>
            </w:tcMar>
            <w:vAlign w:val="center"/>
          </w:tcPr>
          <w:p w14:paraId="5207C7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4372404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52954C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7BD49D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1EDCC14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789A810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49" w:type="dxa"/>
            <w:shd w:val="clear" w:color="auto" w:fill="auto"/>
            <w:tcMar>
              <w:left w:w="108" w:type="dxa"/>
              <w:right w:w="108" w:type="dxa"/>
            </w:tcMar>
            <w:vAlign w:val="center"/>
          </w:tcPr>
          <w:p w14:paraId="71C313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0" w:type="dxa"/>
            <w:shd w:val="clear" w:color="auto" w:fill="auto"/>
            <w:tcMar>
              <w:left w:w="108" w:type="dxa"/>
              <w:right w:w="108" w:type="dxa"/>
            </w:tcMar>
            <w:vAlign w:val="center"/>
          </w:tcPr>
          <w:p w14:paraId="36A8F83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0" w:type="dxa"/>
            <w:shd w:val="clear" w:color="auto" w:fill="auto"/>
            <w:tcMar>
              <w:left w:w="108" w:type="dxa"/>
              <w:right w:w="108" w:type="dxa"/>
            </w:tcMar>
            <w:vAlign w:val="center"/>
          </w:tcPr>
          <w:p w14:paraId="090FFE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0" w:type="dxa"/>
            <w:shd w:val="clear" w:color="auto" w:fill="auto"/>
            <w:tcMar>
              <w:left w:w="108" w:type="dxa"/>
              <w:right w:w="108" w:type="dxa"/>
            </w:tcMar>
            <w:vAlign w:val="center"/>
          </w:tcPr>
          <w:p w14:paraId="06A7E8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shd w:val="clear" w:color="auto" w:fill="auto"/>
            <w:tcMar>
              <w:left w:w="108" w:type="dxa"/>
              <w:right w:w="108" w:type="dxa"/>
            </w:tcMar>
            <w:vAlign w:val="center"/>
          </w:tcPr>
          <w:p w14:paraId="4307B57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shd w:val="clear" w:color="auto" w:fill="auto"/>
            <w:tcMar>
              <w:left w:w="108" w:type="dxa"/>
              <w:right w:w="108" w:type="dxa"/>
            </w:tcMar>
            <w:vAlign w:val="center"/>
          </w:tcPr>
          <w:p w14:paraId="583276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shd w:val="clear" w:color="auto" w:fill="auto"/>
            <w:tcMar>
              <w:left w:w="108" w:type="dxa"/>
              <w:right w:w="108" w:type="dxa"/>
            </w:tcMar>
            <w:vAlign w:val="center"/>
          </w:tcPr>
          <w:p w14:paraId="452AFD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shd w:val="clear" w:color="auto" w:fill="auto"/>
            <w:tcMar>
              <w:left w:w="108" w:type="dxa"/>
              <w:right w:w="108" w:type="dxa"/>
            </w:tcMar>
            <w:vAlign w:val="center"/>
          </w:tcPr>
          <w:p w14:paraId="424CDF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c>
          <w:tcPr>
            <w:tcW w:w="651" w:type="dxa"/>
            <w:shd w:val="clear" w:color="auto" w:fill="auto"/>
            <w:tcMar>
              <w:left w:w="108" w:type="dxa"/>
              <w:right w:w="108" w:type="dxa"/>
            </w:tcMar>
            <w:vAlign w:val="center"/>
          </w:tcPr>
          <w:p w14:paraId="7C7D465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cs="仿宋_GB2312"/>
                <w:kern w:val="0"/>
                <w:sz w:val="32"/>
                <w:szCs w:val="32"/>
                <w:lang w:val="en-US" w:eastAsia="zh-CN" w:bidi="ar"/>
              </w:rPr>
              <w:t>0</w:t>
            </w:r>
          </w:p>
        </w:tc>
      </w:tr>
    </w:tbl>
    <w:p w14:paraId="61A2916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640" w:firstLineChars="200"/>
        <w:jc w:val="both"/>
        <w:textAlignment w:val="auto"/>
        <w:rPr>
          <w:rFonts w:hint="eastAsia" w:ascii="宋体" w:hAnsi="宋体" w:eastAsia="宋体" w:cs="宋体"/>
          <w:b w:val="0"/>
          <w:bCs w:val="0"/>
          <w:i w:val="0"/>
          <w:iCs w:val="0"/>
          <w:caps w:val="0"/>
          <w:color w:val="333333"/>
          <w:spacing w:val="0"/>
          <w:kern w:val="0"/>
          <w:sz w:val="32"/>
          <w:szCs w:val="32"/>
          <w:lang w:val="en-US" w:eastAsia="zh-CN" w:bidi="ar"/>
        </w:rPr>
      </w:pPr>
      <w:r>
        <w:rPr>
          <w:rFonts w:hint="eastAsia" w:ascii="黑体" w:hAnsi="黑体" w:eastAsia="黑体" w:cs="黑体"/>
          <w:b w:val="0"/>
          <w:bCs w:val="0"/>
          <w:kern w:val="2"/>
          <w:sz w:val="32"/>
          <w:szCs w:val="32"/>
          <w:shd w:val="clear" w:color="auto" w:fill="FFFFFF"/>
          <w:lang w:val="en-US" w:eastAsia="zh-CN" w:bidi="ar-SA"/>
        </w:rPr>
        <w:t>五、存在的主要问题及改进情况</w:t>
      </w:r>
    </w:p>
    <w:p w14:paraId="31CDB018">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val="en-US" w:eastAsia="zh-CN"/>
        </w:rPr>
        <w:t>2024年我镇在政府信息公开工作虽然上取得了一定成效，但离市委、市政府和人民群众的要求还有一定的差距。</w:t>
      </w:r>
    </w:p>
    <w:p w14:paraId="4BE9E2D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val="en-US" w:eastAsia="zh-CN"/>
        </w:rPr>
        <w:t>主要存在问题：一是政务公开的质量不高，不够规范，对政务公开的重点事项工作流程把握不够精准；二是平台建设理解不够透彻，公开信息内容无法对应栏目设置内容，造成部分信息公开模块超时发布；三是没有与群众有效互动，群众对信息公开的注度低，没有收到反馈信息。</w:t>
      </w:r>
    </w:p>
    <w:p w14:paraId="5ED0F367">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eastAsia="zh-CN"/>
        </w:rPr>
      </w:pPr>
      <w:r>
        <w:rPr>
          <w:rFonts w:hint="eastAsia" w:ascii="宋体" w:hAnsi="宋体" w:eastAsia="宋体" w:cs="宋体"/>
          <w:i w:val="0"/>
          <w:iCs w:val="0"/>
          <w:caps w:val="0"/>
          <w:color w:val="auto"/>
          <w:spacing w:val="0"/>
          <w:sz w:val="32"/>
          <w:szCs w:val="32"/>
          <w:shd w:val="clear" w:color="auto" w:fill="FFFFFF"/>
          <w:lang w:val="en-US" w:eastAsia="zh-CN"/>
        </w:rPr>
        <w:t>改进做法有：一是制定信息公开工作计划，优化规范工作流程，加强信息公开内容审核，保证公开信息的完整性和准确性；二是组织学习，积极参与线上线下各类学习培训，积极对接上级部门，遇到问题及时请教咨询，确保将信息公开的内容正确和及时发布；三是继续</w:t>
      </w:r>
      <w:r>
        <w:rPr>
          <w:rFonts w:hint="eastAsia" w:ascii="宋体" w:hAnsi="宋体" w:eastAsia="宋体" w:cs="宋体"/>
          <w:i w:val="0"/>
          <w:iCs w:val="0"/>
          <w:caps w:val="0"/>
          <w:color w:val="auto"/>
          <w:spacing w:val="0"/>
          <w:sz w:val="32"/>
          <w:szCs w:val="32"/>
          <w:shd w:val="clear" w:color="auto" w:fill="FFFFFF"/>
          <w:lang w:eastAsia="zh-CN"/>
        </w:rPr>
        <w:t>开展“固定开放月”活动</w:t>
      </w:r>
      <w:r>
        <w:rPr>
          <w:rFonts w:hint="eastAsia" w:ascii="宋体" w:hAnsi="宋体" w:eastAsia="宋体" w:cs="宋体"/>
          <w:i w:val="0"/>
          <w:iCs w:val="0"/>
          <w:caps w:val="0"/>
          <w:color w:val="auto"/>
          <w:spacing w:val="0"/>
          <w:sz w:val="32"/>
          <w:szCs w:val="32"/>
          <w:shd w:val="clear" w:color="auto" w:fill="FFFFFF"/>
          <w:lang w:val="en-US" w:eastAsia="zh-CN"/>
        </w:rPr>
        <w:t>，让群众知晓信息公开流程，积极收集群众意见，拓宽信息公开覆盖面。</w:t>
      </w:r>
    </w:p>
    <w:p w14:paraId="3F76618D">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黑体" w:hAnsi="黑体" w:eastAsia="黑体" w:cs="黑体"/>
          <w:i w:val="0"/>
          <w:iCs w:val="0"/>
          <w:caps w:val="0"/>
          <w:color w:val="auto"/>
          <w:spacing w:val="0"/>
          <w:sz w:val="32"/>
          <w:szCs w:val="32"/>
          <w:shd w:val="clear" w:color="auto" w:fill="FFFFFF"/>
          <w:lang w:val="en-US" w:eastAsia="zh-CN"/>
        </w:rPr>
      </w:pPr>
      <w:r>
        <w:rPr>
          <w:rFonts w:hint="eastAsia" w:ascii="黑体" w:hAnsi="黑体" w:eastAsia="黑体" w:cs="黑体"/>
          <w:i w:val="0"/>
          <w:iCs w:val="0"/>
          <w:caps w:val="0"/>
          <w:color w:val="auto"/>
          <w:spacing w:val="0"/>
          <w:sz w:val="32"/>
          <w:szCs w:val="32"/>
          <w:shd w:val="clear" w:color="auto" w:fill="FFFFFF"/>
          <w:lang w:val="en-US" w:eastAsia="zh-CN"/>
        </w:rPr>
        <w:t>六、其他需要报告的事项</w:t>
      </w:r>
    </w:p>
    <w:p w14:paraId="45D1BF6C">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eastAsia" w:ascii="宋体" w:hAnsi="宋体" w:eastAsia="宋体" w:cs="宋体"/>
          <w:i w:val="0"/>
          <w:iCs w:val="0"/>
          <w:caps w:val="0"/>
          <w:color w:val="auto"/>
          <w:spacing w:val="0"/>
          <w:sz w:val="32"/>
          <w:szCs w:val="32"/>
          <w:shd w:val="clear" w:color="auto" w:fill="FFFFFF"/>
          <w:lang w:val="en-US"/>
        </w:rPr>
      </w:pPr>
      <w:r>
        <w:rPr>
          <w:rFonts w:hint="eastAsia" w:ascii="宋体" w:hAnsi="宋体" w:eastAsia="宋体" w:cs="宋体"/>
          <w:i w:val="0"/>
          <w:iCs w:val="0"/>
          <w:caps w:val="0"/>
          <w:color w:val="auto"/>
          <w:spacing w:val="0"/>
          <w:sz w:val="32"/>
          <w:szCs w:val="32"/>
          <w:shd w:val="clear" w:color="auto" w:fill="FFFFFF"/>
          <w:lang w:val="en-US" w:eastAsia="zh-CN"/>
        </w:rPr>
        <w:t>2024年度，我镇无收取信息处理费情况。</w:t>
      </w:r>
    </w:p>
    <w:p w14:paraId="6429384C">
      <w:pPr>
        <w:keepNext w:val="0"/>
        <w:keepLines w:val="0"/>
        <w:pageBreakBefore w:val="0"/>
        <w:kinsoku/>
        <w:wordWrap/>
        <w:overflowPunct/>
        <w:topLinePunct w:val="0"/>
        <w:autoSpaceDE/>
        <w:autoSpaceDN/>
        <w:bidi w:val="0"/>
        <w:adjustRightInd/>
        <w:snapToGrid/>
        <w:spacing w:line="560" w:lineRule="exact"/>
        <w:ind w:firstLine="636" w:firstLineChars="199"/>
        <w:textAlignment w:val="auto"/>
      </w:pPr>
    </w:p>
    <w:sectPr>
      <w:headerReference r:id="rId7" w:type="first"/>
      <w:footerReference r:id="rId10" w:type="first"/>
      <w:headerReference r:id="rId5" w:type="default"/>
      <w:footerReference r:id="rId8" w:type="default"/>
      <w:headerReference r:id="rId6" w:type="even"/>
      <w:footerReference r:id="rId9" w:type="even"/>
      <w:pgSz w:w="11906" w:h="16838"/>
      <w:pgMar w:top="1417" w:right="1417" w:bottom="1417" w:left="1417" w:header="851" w:footer="1417" w:gutter="0"/>
      <w:pgBorders>
        <w:top w:val="none" w:sz="0" w:space="0"/>
        <w:left w:val="none" w:sz="0" w:space="0"/>
        <w:bottom w:val="none" w:sz="0" w:space="0"/>
        <w:right w:val="none" w:sz="0" w:space="0"/>
      </w:pgBorders>
      <w:pgNumType w:fmt="decimal"/>
      <w:cols w:space="0" w:num="1"/>
      <w:titlePg/>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354808">
    <w:pPr>
      <w:pStyle w:val="3"/>
      <w:ind w:firstLine="360"/>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5B7ECEB">
                          <w:pPr>
                            <w:pStyle w:val="3"/>
                          </w:pPr>
                          <w:r>
                            <w:t xml:space="preserve">— </w:t>
                          </w:r>
                          <w:r>
                            <w:fldChar w:fldCharType="begin"/>
                          </w:r>
                          <w:r>
                            <w:instrText xml:space="preserve"> PAGE  \* MERGEFORMAT </w:instrText>
                          </w:r>
                          <w:r>
                            <w:fldChar w:fldCharType="separate"/>
                          </w:r>
                          <w:r>
                            <w:t>2</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75B7ECEB">
                    <w:pPr>
                      <w:pStyle w:val="3"/>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31B964">
    <w:pPr>
      <w:pStyle w:val="3"/>
      <w:ind w:firstLine="280" w:firstLineChars="100"/>
    </w:pP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F08996">
    <w:pPr>
      <w:pStyle w:val="3"/>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E1E2C7">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34E1E2C7">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91E6BB">
    <w:pPr>
      <w:ind w:firstLine="6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DDE405">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09592">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983D74"/>
    <w:multiLevelType w:val="singleLevel"/>
    <w:tmpl w:val="AA983D74"/>
    <w:lvl w:ilvl="0" w:tentative="0">
      <w:start w:val="1"/>
      <w:numFmt w:val="chineseCounting"/>
      <w:suff w:val="nothing"/>
      <w:lvlText w:val="%1、"/>
      <w:lvlJc w:val="left"/>
      <w:rPr>
        <w:rFonts w:hint="eastAsia"/>
      </w:rPr>
    </w:lvl>
  </w:abstractNum>
  <w:abstractNum w:abstractNumId="1">
    <w:nsid w:val="0EEC76EE"/>
    <w:multiLevelType w:val="singleLevel"/>
    <w:tmpl w:val="0EEC76EE"/>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3ZjMyMTBkY2M3NmQwYWVmMzVjYTdkMmE5MmRiMWUifQ=="/>
  </w:docVars>
  <w:rsids>
    <w:rsidRoot w:val="1A5811E8"/>
    <w:rsid w:val="0158167D"/>
    <w:rsid w:val="02161DDD"/>
    <w:rsid w:val="087A664E"/>
    <w:rsid w:val="09E66DCB"/>
    <w:rsid w:val="0B544AF8"/>
    <w:rsid w:val="0CD52552"/>
    <w:rsid w:val="0E606BBD"/>
    <w:rsid w:val="0FE43B51"/>
    <w:rsid w:val="154F2B4A"/>
    <w:rsid w:val="16545BDD"/>
    <w:rsid w:val="16C23ECA"/>
    <w:rsid w:val="18315BE9"/>
    <w:rsid w:val="1A5811E8"/>
    <w:rsid w:val="1AD31D3E"/>
    <w:rsid w:val="1D623DC5"/>
    <w:rsid w:val="1F2549A5"/>
    <w:rsid w:val="1FCB7065"/>
    <w:rsid w:val="228523DB"/>
    <w:rsid w:val="25A655E2"/>
    <w:rsid w:val="268A3AF3"/>
    <w:rsid w:val="27D7484C"/>
    <w:rsid w:val="2D5D7EB2"/>
    <w:rsid w:val="30D37F39"/>
    <w:rsid w:val="33CC4759"/>
    <w:rsid w:val="3621472C"/>
    <w:rsid w:val="3677705B"/>
    <w:rsid w:val="3728666B"/>
    <w:rsid w:val="379108E4"/>
    <w:rsid w:val="39E519D2"/>
    <w:rsid w:val="3BEB3E33"/>
    <w:rsid w:val="3E28404F"/>
    <w:rsid w:val="41C11B4F"/>
    <w:rsid w:val="462C207A"/>
    <w:rsid w:val="473D65F2"/>
    <w:rsid w:val="4B7305B4"/>
    <w:rsid w:val="50A32F39"/>
    <w:rsid w:val="51383D23"/>
    <w:rsid w:val="52E1093B"/>
    <w:rsid w:val="56180C0B"/>
    <w:rsid w:val="56B934B6"/>
    <w:rsid w:val="59C93ECC"/>
    <w:rsid w:val="5B4B2442"/>
    <w:rsid w:val="5F2C2272"/>
    <w:rsid w:val="60E23AF9"/>
    <w:rsid w:val="60EA0710"/>
    <w:rsid w:val="63772494"/>
    <w:rsid w:val="66386EBE"/>
    <w:rsid w:val="73E3206A"/>
    <w:rsid w:val="7530098F"/>
    <w:rsid w:val="7542133C"/>
    <w:rsid w:val="77332045"/>
    <w:rsid w:val="797C3E46"/>
    <w:rsid w:val="7CD54A38"/>
    <w:rsid w:val="7E607AEB"/>
    <w:rsid w:val="7FA16E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600" w:lineRule="exact"/>
      <w:ind w:firstLine="200" w:firstLineChars="200"/>
      <w:jc w:val="both"/>
    </w:pPr>
    <w:rPr>
      <w:rFonts w:ascii="Times New Roman" w:hAnsi="Times New Roman" w:eastAsia="仿宋_GB2312" w:cs="Times New Roman"/>
      <w:kern w:val="2"/>
      <w:sz w:val="32"/>
      <w:szCs w:val="32"/>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autoRedefine/>
    <w:unhideWhenUsed/>
    <w:qFormat/>
    <w:uiPriority w:val="99"/>
    <w:pPr>
      <w:tabs>
        <w:tab w:val="center" w:pos="4153"/>
        <w:tab w:val="right" w:pos="8306"/>
      </w:tabs>
      <w:snapToGrid w:val="0"/>
      <w:spacing w:line="240" w:lineRule="atLeast"/>
      <w:jc w:val="left"/>
    </w:pPr>
    <w:rPr>
      <w:sz w:val="18"/>
      <w:szCs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customStyle="1" w:styleId="7">
    <w:name w:val="样式 行距: 固定值 28.9 磅"/>
    <w:basedOn w:val="1"/>
    <w:autoRedefine/>
    <w:unhideWhenUsed/>
    <w:qFormat/>
    <w:uiPriority w:val="0"/>
    <w:pPr>
      <w:spacing w:line="578" w:lineRule="exact"/>
    </w:pPr>
    <w:rPr>
      <w:rFonts w:hint="eastAsia" w:cs="宋体"/>
      <w:sz w:val="21"/>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1142</Words>
  <Characters>1167</Characters>
  <Lines>0</Lines>
  <Paragraphs>0</Paragraphs>
  <TotalTime>3</TotalTime>
  <ScaleCrop>false</ScaleCrop>
  <LinksUpToDate>false</LinksUpToDate>
  <CharactersWithSpaces>1170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2022-01-05T02:51:00Z</dcterms:created>
  <dc:creator>Mayday.</dc:creator>
  <cp:lastModifiedBy>金粉世家集成墙顶，谢18779151648</cp:lastModifiedBy>
  <cp:lastPrinted>2025-01-03T06:45:00Z</cp:lastPrinted>
  <dcterms:modified xsi:type="dcterms:W3CDTF">2025-02-27T00:36:14Z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8E01FDA88065427DB1C84B8D39D2976B_13</vt:lpwstr>
  </property>
  <property fmtid="{D5CDD505-2E9C-101B-9397-08002B2CF9AE}" pid="4" name="KSOTemplateDocerSaveRecord">
    <vt:lpwstr>eyJoZGlkIjoiZTU3ZjMyMTBkY2M3NmQwYWVmMzVjYTdkMmE5MmRiMWUiLCJ1c2VySWQiOiI0OTI2Nzk0MzkifQ==</vt:lpwstr>
  </property>
</Properties>
</file>