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8B75B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default" w:ascii="Times New Roman" w:hAnsi="Times New Roman" w:cs="Times New Roman"/>
          <w:i w:val="0"/>
          <w:iCs w:val="0"/>
          <w:caps w:val="0"/>
          <w:color w:val="000000"/>
          <w:spacing w:val="0"/>
          <w:sz w:val="32"/>
          <w:szCs w:val="32"/>
        </w:rPr>
      </w:pPr>
      <w:r>
        <w:rPr>
          <w:rFonts w:ascii="方正小标宋简体" w:hAnsi="方正小标宋简体" w:eastAsia="方正小标宋简体" w:cs="方正小标宋简体"/>
          <w:i w:val="0"/>
          <w:iCs w:val="0"/>
          <w:caps w:val="0"/>
          <w:color w:val="000000"/>
          <w:spacing w:val="0"/>
          <w:sz w:val="44"/>
          <w:szCs w:val="44"/>
          <w:bdr w:val="none" w:color="auto" w:sz="0" w:space="0"/>
          <w:shd w:val="clear" w:fill="FFFFFF"/>
        </w:rPr>
        <w:t>高安市灰埠镇人民政府</w:t>
      </w:r>
      <w:r>
        <w:rPr>
          <w:rFonts w:hint="default" w:ascii="方正小标宋简体" w:hAnsi="方正小标宋简体" w:eastAsia="方正小标宋简体" w:cs="方正小标宋简体"/>
          <w:i w:val="0"/>
          <w:iCs w:val="0"/>
          <w:caps w:val="0"/>
          <w:color w:val="000000"/>
          <w:spacing w:val="0"/>
          <w:sz w:val="44"/>
          <w:szCs w:val="44"/>
          <w:bdr w:val="none" w:color="auto" w:sz="0" w:space="0"/>
          <w:shd w:val="clear" w:fill="FFFFFF"/>
        </w:rPr>
        <w:t>2023年政府信息公开</w:t>
      </w:r>
      <w:bookmarkStart w:id="0" w:name="_GoBack"/>
      <w:bookmarkEnd w:id="0"/>
    </w:p>
    <w:p w14:paraId="415738D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default" w:ascii="Times New Roman" w:hAnsi="Times New Roman" w:cs="Times New Roman"/>
          <w:i w:val="0"/>
          <w:iCs w:val="0"/>
          <w:caps w:val="0"/>
          <w:color w:val="000000"/>
          <w:spacing w:val="0"/>
          <w:sz w:val="32"/>
          <w:szCs w:val="32"/>
        </w:rPr>
      </w:pPr>
      <w:r>
        <w:rPr>
          <w:rFonts w:hint="default" w:ascii="方正小标宋简体" w:hAnsi="方正小标宋简体" w:eastAsia="方正小标宋简体" w:cs="方正小标宋简体"/>
          <w:i w:val="0"/>
          <w:iCs w:val="0"/>
          <w:caps w:val="0"/>
          <w:color w:val="000000"/>
          <w:spacing w:val="0"/>
          <w:sz w:val="44"/>
          <w:szCs w:val="44"/>
          <w:bdr w:val="none" w:color="auto" w:sz="0" w:space="0"/>
          <w:shd w:val="clear" w:fill="FFFFFF"/>
        </w:rPr>
        <w:t>工作年度报告</w:t>
      </w:r>
    </w:p>
    <w:p w14:paraId="0D3879B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600" w:lineRule="atLeast"/>
        <w:ind w:left="0" w:right="0" w:firstLine="0"/>
        <w:jc w:val="both"/>
        <w:rPr>
          <w:rFonts w:hint="default" w:ascii="Times New Roman" w:hAnsi="Times New Roman" w:cs="Times New Roman"/>
          <w:i w:val="0"/>
          <w:iCs w:val="0"/>
          <w:caps w:val="0"/>
          <w:color w:val="000000"/>
          <w:spacing w:val="0"/>
          <w:sz w:val="24"/>
          <w:szCs w:val="24"/>
        </w:rPr>
      </w:pPr>
      <w:r>
        <w:rPr>
          <w:rFonts w:ascii="仿宋" w:hAnsi="仿宋" w:eastAsia="仿宋" w:cs="仿宋"/>
          <w:i w:val="0"/>
          <w:iCs w:val="0"/>
          <w:caps w:val="0"/>
          <w:color w:val="000000"/>
          <w:spacing w:val="0"/>
          <w:sz w:val="32"/>
          <w:szCs w:val="32"/>
          <w:bdr w:val="none" w:color="auto" w:sz="0" w:space="0"/>
          <w:shd w:val="clear" w:fill="FFFFFF"/>
        </w:rPr>
        <w:t> </w:t>
      </w:r>
    </w:p>
    <w:p w14:paraId="2FDD9FA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560" w:lineRule="atLeast"/>
        <w:ind w:left="0" w:right="0" w:firstLine="640"/>
        <w:jc w:val="both"/>
        <w:rPr>
          <w:rFonts w:hint="default" w:ascii="Times New Roman" w:hAnsi="Times New Roman" w:cs="Times New Roman"/>
          <w:i w:val="0"/>
          <w:iCs w:val="0"/>
          <w:caps w:val="0"/>
          <w:color w:val="000000"/>
          <w:spacing w:val="0"/>
          <w:sz w:val="24"/>
          <w:szCs w:val="24"/>
        </w:rPr>
      </w:pPr>
      <w:r>
        <w:rPr>
          <w:rFonts w:hint="eastAsia" w:ascii="仿宋" w:hAnsi="仿宋" w:eastAsia="仿宋" w:cs="仿宋"/>
          <w:i w:val="0"/>
          <w:iCs w:val="0"/>
          <w:caps w:val="0"/>
          <w:color w:val="000000"/>
          <w:spacing w:val="0"/>
          <w:sz w:val="32"/>
          <w:szCs w:val="32"/>
          <w:bdr w:val="none" w:color="auto" w:sz="0" w:space="0"/>
          <w:shd w:val="clear" w:fill="FFFFFF"/>
        </w:rPr>
        <w:t>本报告依据《中华人民共和国政府信息公开条例》（国务院令第711号，以下简称新《条例》）、《高安市政府信息公开年度报告制度》要求，由灰埠镇结合有关统计数据编制。本年度报告中所列数据的统计期限自2023年1月1日起至2023年12月31日止。全文主要包括总体情况、主动公开政府信息情况、收到和处理政府信息公开申请情况、政府信息公开行政复议行政诉讼情况、存在的主要问题及改进情况以及其他需要报告的事项。如对本年度工作报告有任何疑问，请与灰埠镇人民政府办公室联系（地址：高安市灰埠镇前进路169号，电话：0795-5782102，邮编：330804）。</w:t>
      </w:r>
    </w:p>
    <w:p w14:paraId="4E33521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560" w:lineRule="atLeast"/>
        <w:ind w:left="0" w:right="0" w:firstLine="640"/>
        <w:jc w:val="both"/>
        <w:rPr>
          <w:rFonts w:hint="default" w:ascii="Times New Roman" w:hAnsi="Times New Roman" w:cs="Times New Roman"/>
          <w:i w:val="0"/>
          <w:iCs w:val="0"/>
          <w:caps w:val="0"/>
          <w:color w:val="000000"/>
          <w:spacing w:val="0"/>
          <w:sz w:val="24"/>
          <w:szCs w:val="24"/>
        </w:rPr>
      </w:pPr>
      <w:r>
        <w:rPr>
          <w:rFonts w:ascii="黑体" w:hAnsi="宋体" w:eastAsia="黑体" w:cs="黑体"/>
          <w:i w:val="0"/>
          <w:iCs w:val="0"/>
          <w:caps w:val="0"/>
          <w:color w:val="000000"/>
          <w:spacing w:val="0"/>
          <w:sz w:val="32"/>
          <w:szCs w:val="32"/>
          <w:bdr w:val="none" w:color="auto" w:sz="0" w:space="0"/>
          <w:shd w:val="clear" w:fill="FFFFFF"/>
        </w:rPr>
        <w:t>一、</w:t>
      </w:r>
      <w:r>
        <w:rPr>
          <w:rFonts w:hint="eastAsia" w:ascii="黑体" w:hAnsi="宋体" w:eastAsia="黑体" w:cs="黑体"/>
          <w:i w:val="0"/>
          <w:iCs w:val="0"/>
          <w:caps w:val="0"/>
          <w:color w:val="000000"/>
          <w:spacing w:val="0"/>
          <w:sz w:val="32"/>
          <w:szCs w:val="32"/>
          <w:bdr w:val="none" w:color="auto" w:sz="0" w:space="0"/>
          <w:shd w:val="clear" w:fill="FFFFFF"/>
        </w:rPr>
        <w:t>总体情况</w:t>
      </w:r>
    </w:p>
    <w:p w14:paraId="5B05776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560" w:lineRule="atLeast"/>
        <w:ind w:left="0" w:right="0" w:firstLine="640"/>
        <w:jc w:val="both"/>
        <w:rPr>
          <w:rFonts w:hint="default" w:ascii="Times New Roman" w:hAnsi="Times New Roman" w:cs="Times New Roman"/>
          <w:i w:val="0"/>
          <w:iCs w:val="0"/>
          <w:caps w:val="0"/>
          <w:color w:val="000000"/>
          <w:spacing w:val="0"/>
          <w:sz w:val="24"/>
          <w:szCs w:val="24"/>
        </w:rPr>
      </w:pPr>
      <w:r>
        <w:rPr>
          <w:rFonts w:hint="eastAsia" w:ascii="仿宋" w:hAnsi="仿宋" w:eastAsia="仿宋" w:cs="仿宋"/>
          <w:i w:val="0"/>
          <w:iCs w:val="0"/>
          <w:caps w:val="0"/>
          <w:color w:val="000000"/>
          <w:spacing w:val="0"/>
          <w:sz w:val="32"/>
          <w:szCs w:val="32"/>
          <w:bdr w:val="none" w:color="auto" w:sz="0" w:space="0"/>
          <w:shd w:val="clear" w:fill="FFFFFF"/>
        </w:rPr>
        <w:t>2023年灰埠镇在市委、市政府的正确领导下，坚持以习近平新时代中国特色社会主义思想为指导，深入贯彻党的二十大精神，严格落实《国务院办公厅印发〈关于全面推进政务公开工作的意见〉实施细则的通知》（国办发〔2016〕80号）的要求，明确目标任务，紧紧围绕市委、市政府工作精神，抓住中心工作及社会群众关注关切问题，着力提升信息公开质量，不断增强“阳光政务”打造。</w:t>
      </w:r>
    </w:p>
    <w:p w14:paraId="068C39A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560" w:lineRule="atLeast"/>
        <w:ind w:left="640" w:right="0" w:firstLine="0"/>
        <w:jc w:val="both"/>
        <w:rPr>
          <w:rFonts w:hint="default" w:ascii="Times New Roman" w:hAnsi="Times New Roman" w:cs="Times New Roman"/>
          <w:i w:val="0"/>
          <w:iCs w:val="0"/>
          <w:caps w:val="0"/>
          <w:color w:val="000000"/>
          <w:spacing w:val="0"/>
          <w:sz w:val="24"/>
          <w:szCs w:val="24"/>
        </w:rPr>
      </w:pPr>
      <w:r>
        <w:rPr>
          <w:rFonts w:ascii="楷体" w:hAnsi="楷体" w:eastAsia="楷体" w:cs="楷体"/>
          <w:i w:val="0"/>
          <w:iCs w:val="0"/>
          <w:caps w:val="0"/>
          <w:color w:val="000000"/>
          <w:spacing w:val="0"/>
          <w:sz w:val="32"/>
          <w:szCs w:val="32"/>
          <w:bdr w:val="none" w:color="auto" w:sz="0" w:space="0"/>
          <w:shd w:val="clear" w:fill="FFFFFF"/>
        </w:rPr>
        <w:t>（一）主动公开</w:t>
      </w:r>
    </w:p>
    <w:p w14:paraId="3AB8275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560" w:lineRule="atLeast"/>
        <w:ind w:left="0" w:right="0" w:firstLine="640"/>
        <w:jc w:val="both"/>
        <w:rPr>
          <w:rFonts w:hint="default" w:ascii="Times New Roman" w:hAnsi="Times New Roman" w:cs="Times New Roman"/>
          <w:i w:val="0"/>
          <w:iCs w:val="0"/>
          <w:caps w:val="0"/>
          <w:color w:val="000000"/>
          <w:spacing w:val="0"/>
          <w:sz w:val="24"/>
          <w:szCs w:val="24"/>
        </w:rPr>
      </w:pPr>
      <w:r>
        <w:rPr>
          <w:rFonts w:hint="eastAsia" w:ascii="仿宋" w:hAnsi="仿宋" w:eastAsia="仿宋" w:cs="仿宋"/>
          <w:i w:val="0"/>
          <w:iCs w:val="0"/>
          <w:caps w:val="0"/>
          <w:color w:val="000000"/>
          <w:spacing w:val="0"/>
          <w:sz w:val="32"/>
          <w:szCs w:val="32"/>
          <w:bdr w:val="none" w:color="auto" w:sz="0" w:space="0"/>
          <w:shd w:val="clear" w:fill="FFFFFF"/>
        </w:rPr>
        <w:t>2023年，灰埠镇紧紧围绕市委、市政府工作要求，围绕灰埠镇经济发展，民生、教育、巩固拓展脱贫攻坚及乡村振兴以及“放管服”改革等重点领域的信息公开工作。2023年，在政府信息公开平台上，通过市政府门户网站发布政务动态、六稳六保、部门财政预决算等政务信息62条。</w:t>
      </w:r>
    </w:p>
    <w:p w14:paraId="0AC8F0D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560" w:lineRule="atLeast"/>
        <w:ind w:left="640" w:right="0" w:firstLine="0"/>
        <w:jc w:val="both"/>
        <w:rPr>
          <w:rFonts w:hint="default" w:ascii="Times New Roman" w:hAnsi="Times New Roman" w:cs="Times New Roman"/>
          <w:i w:val="0"/>
          <w:iCs w:val="0"/>
          <w:caps w:val="0"/>
          <w:color w:val="000000"/>
          <w:spacing w:val="0"/>
          <w:sz w:val="24"/>
          <w:szCs w:val="24"/>
        </w:rPr>
      </w:pPr>
      <w:r>
        <w:rPr>
          <w:rFonts w:hint="eastAsia" w:ascii="楷体" w:hAnsi="楷体" w:eastAsia="楷体" w:cs="楷体"/>
          <w:i w:val="0"/>
          <w:iCs w:val="0"/>
          <w:caps w:val="0"/>
          <w:color w:val="000000"/>
          <w:spacing w:val="0"/>
          <w:sz w:val="32"/>
          <w:szCs w:val="32"/>
          <w:bdr w:val="none" w:color="auto" w:sz="0" w:space="0"/>
          <w:shd w:val="clear" w:fill="FFFFFF"/>
        </w:rPr>
        <w:t>（二）依申请公开</w:t>
      </w:r>
    </w:p>
    <w:p w14:paraId="30B04F9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default" w:ascii="Times New Roman" w:hAnsi="Times New Roman" w:cs="Times New Roman"/>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2023年度，本镇全年没有收到一件信息公开申请。</w:t>
      </w:r>
    </w:p>
    <w:p w14:paraId="5424734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560" w:lineRule="atLeast"/>
        <w:ind w:left="640" w:right="0" w:firstLine="0"/>
        <w:jc w:val="both"/>
        <w:rPr>
          <w:rFonts w:hint="default" w:ascii="Times New Roman" w:hAnsi="Times New Roman" w:cs="Times New Roman"/>
          <w:i w:val="0"/>
          <w:iCs w:val="0"/>
          <w:caps w:val="0"/>
          <w:color w:val="000000"/>
          <w:spacing w:val="0"/>
          <w:sz w:val="24"/>
          <w:szCs w:val="24"/>
        </w:rPr>
      </w:pPr>
      <w:r>
        <w:rPr>
          <w:rFonts w:hint="eastAsia" w:ascii="楷体" w:hAnsi="楷体" w:eastAsia="楷体" w:cs="楷体"/>
          <w:i w:val="0"/>
          <w:iCs w:val="0"/>
          <w:caps w:val="0"/>
          <w:color w:val="000000"/>
          <w:spacing w:val="0"/>
          <w:sz w:val="32"/>
          <w:szCs w:val="32"/>
          <w:bdr w:val="none" w:color="auto" w:sz="0" w:space="0"/>
          <w:shd w:val="clear" w:fill="FFFFFF"/>
        </w:rPr>
        <w:t>（三）政府信息管理</w:t>
      </w:r>
    </w:p>
    <w:p w14:paraId="51491BC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560" w:lineRule="atLeast"/>
        <w:ind w:left="0" w:right="0" w:firstLine="640"/>
        <w:rPr>
          <w:rFonts w:hint="default" w:ascii="Times New Roman" w:hAnsi="Times New Roman" w:cs="Times New Roman"/>
          <w:i w:val="0"/>
          <w:iCs w:val="0"/>
          <w:caps w:val="0"/>
          <w:color w:val="000000"/>
          <w:spacing w:val="0"/>
          <w:sz w:val="24"/>
          <w:szCs w:val="24"/>
        </w:rPr>
      </w:pPr>
      <w:r>
        <w:rPr>
          <w:rFonts w:hint="eastAsia" w:ascii="仿宋" w:hAnsi="仿宋" w:eastAsia="仿宋" w:cs="仿宋"/>
          <w:i w:val="0"/>
          <w:iCs w:val="0"/>
          <w:caps w:val="0"/>
          <w:color w:val="000000"/>
          <w:spacing w:val="0"/>
          <w:sz w:val="32"/>
          <w:szCs w:val="32"/>
          <w:bdr w:val="none" w:color="auto" w:sz="0" w:space="0"/>
          <w:shd w:val="clear" w:fill="FFFFFF"/>
        </w:rPr>
        <w:t>我镇围绕深入贯彻落实《工作要点》，不断强化政府信息公开工作。强化组织领导和机构队伍建设，将政府信息公开工作纳入重要议事日程，与经济社会管理工作紧密结合，主要负责同志要主动听取信息公开工作情况汇报，研究解决突出问题，同时明确一位负责同志分管信息公开工作。</w:t>
      </w:r>
    </w:p>
    <w:p w14:paraId="767121F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560" w:lineRule="atLeast"/>
        <w:ind w:left="640" w:right="0" w:firstLine="0"/>
        <w:jc w:val="both"/>
        <w:rPr>
          <w:rFonts w:hint="default" w:ascii="Times New Roman" w:hAnsi="Times New Roman" w:cs="Times New Roman"/>
          <w:i w:val="0"/>
          <w:iCs w:val="0"/>
          <w:caps w:val="0"/>
          <w:color w:val="000000"/>
          <w:spacing w:val="0"/>
          <w:sz w:val="24"/>
          <w:szCs w:val="24"/>
        </w:rPr>
      </w:pPr>
      <w:r>
        <w:rPr>
          <w:rFonts w:hint="eastAsia" w:ascii="楷体" w:hAnsi="楷体" w:eastAsia="楷体" w:cs="楷体"/>
          <w:i w:val="0"/>
          <w:iCs w:val="0"/>
          <w:caps w:val="0"/>
          <w:color w:val="000000"/>
          <w:spacing w:val="0"/>
          <w:sz w:val="32"/>
          <w:szCs w:val="32"/>
          <w:bdr w:val="none" w:color="auto" w:sz="0" w:space="0"/>
          <w:shd w:val="clear" w:fill="FFFFFF"/>
        </w:rPr>
        <w:t>（四）政府信息公开平台建设</w:t>
      </w:r>
    </w:p>
    <w:p w14:paraId="58F3C16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560" w:lineRule="atLeast"/>
        <w:ind w:left="0" w:right="0" w:firstLine="640"/>
        <w:rPr>
          <w:rFonts w:hint="default" w:ascii="Times New Roman" w:hAnsi="Times New Roman" w:cs="Times New Roman"/>
          <w:i w:val="0"/>
          <w:iCs w:val="0"/>
          <w:caps w:val="0"/>
          <w:color w:val="000000"/>
          <w:spacing w:val="0"/>
          <w:sz w:val="24"/>
          <w:szCs w:val="24"/>
        </w:rPr>
      </w:pPr>
      <w:r>
        <w:rPr>
          <w:rFonts w:hint="eastAsia" w:ascii="仿宋" w:hAnsi="仿宋" w:eastAsia="仿宋" w:cs="仿宋"/>
          <w:i w:val="0"/>
          <w:iCs w:val="0"/>
          <w:caps w:val="0"/>
          <w:color w:val="000000"/>
          <w:spacing w:val="0"/>
          <w:sz w:val="32"/>
          <w:szCs w:val="32"/>
          <w:bdr w:val="none" w:color="auto" w:sz="0" w:space="0"/>
          <w:shd w:val="clear" w:fill="FFFFFF"/>
        </w:rPr>
        <w:t>2023年我镇依托政府门户网站为第一平台作用，同时还通过传统方法和网络技术相结合的方式进行政务公开，利用镇政府信息公示栏、微信公众号、村民微信群等方式让进行信息公开，让镇村居民能够以多种方式了解我镇工作情况。</w:t>
      </w:r>
    </w:p>
    <w:p w14:paraId="0C15C86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560" w:lineRule="atLeast"/>
        <w:ind w:left="640" w:right="0" w:firstLine="0"/>
        <w:jc w:val="both"/>
        <w:rPr>
          <w:rFonts w:hint="default" w:ascii="Times New Roman" w:hAnsi="Times New Roman" w:cs="Times New Roman"/>
          <w:i w:val="0"/>
          <w:iCs w:val="0"/>
          <w:caps w:val="0"/>
          <w:color w:val="000000"/>
          <w:spacing w:val="0"/>
          <w:sz w:val="24"/>
          <w:szCs w:val="24"/>
        </w:rPr>
      </w:pPr>
      <w:r>
        <w:rPr>
          <w:rFonts w:hint="eastAsia" w:ascii="楷体" w:hAnsi="楷体" w:eastAsia="楷体" w:cs="楷体"/>
          <w:i w:val="0"/>
          <w:iCs w:val="0"/>
          <w:caps w:val="0"/>
          <w:color w:val="000000"/>
          <w:spacing w:val="0"/>
          <w:sz w:val="32"/>
          <w:szCs w:val="32"/>
          <w:bdr w:val="none" w:color="auto" w:sz="0" w:space="0"/>
          <w:shd w:val="clear" w:fill="FFFFFF"/>
        </w:rPr>
        <w:t>（五）监督保障</w:t>
      </w:r>
    </w:p>
    <w:p w14:paraId="06104D7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560" w:lineRule="atLeast"/>
        <w:ind w:left="0" w:right="0" w:firstLine="640"/>
        <w:jc w:val="both"/>
        <w:rPr>
          <w:rFonts w:hint="default" w:ascii="Times New Roman" w:hAnsi="Times New Roman" w:cs="Times New Roman"/>
          <w:i w:val="0"/>
          <w:iCs w:val="0"/>
          <w:caps w:val="0"/>
          <w:color w:val="000000"/>
          <w:spacing w:val="0"/>
          <w:sz w:val="24"/>
          <w:szCs w:val="24"/>
        </w:rPr>
      </w:pPr>
      <w:r>
        <w:rPr>
          <w:rFonts w:hint="eastAsia" w:ascii="仿宋" w:hAnsi="仿宋" w:eastAsia="仿宋" w:cs="仿宋"/>
          <w:i w:val="0"/>
          <w:iCs w:val="0"/>
          <w:caps w:val="0"/>
          <w:color w:val="000000"/>
          <w:spacing w:val="0"/>
          <w:sz w:val="32"/>
          <w:szCs w:val="32"/>
          <w:bdr w:val="none" w:color="auto" w:sz="0" w:space="0"/>
          <w:shd w:val="clear" w:fill="FFFFFF"/>
        </w:rPr>
        <w:t>一是对照第三方测评反馈问题和市政府网站内容监测结果及时进行整改并分析原因，高度重视政务公开考核工作；二是建立健全政府信息公开工作考核评议制度，强化问责制度，定期开展社会调查评议，了解社情民意，不断改进信息公开工作；三是严格落实责任追究制度，对违反制度责任人进行约谈问责，2023年我镇未出现此类情况。</w:t>
      </w:r>
    </w:p>
    <w:p w14:paraId="06E9D28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shd w:val="clear" w:fill="FFFFFF"/>
        </w:rPr>
        <w:t>二、主动公开政府信息情况</w:t>
      </w:r>
    </w:p>
    <w:tbl>
      <w:tblPr>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2455"/>
        <w:gridCol w:w="2455"/>
        <w:gridCol w:w="2455"/>
        <w:gridCol w:w="2455"/>
      </w:tblGrid>
      <w:tr w14:paraId="745207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cMar>
              <w:left w:w="57" w:type="dxa"/>
              <w:right w:w="57" w:type="dxa"/>
            </w:tcMar>
            <w:vAlign w:val="center"/>
          </w:tcPr>
          <w:p w14:paraId="6BD7720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仿宋" w:hAnsi="仿宋" w:eastAsia="仿宋" w:cs="仿宋"/>
                <w:color w:val="000000"/>
                <w:sz w:val="32"/>
                <w:szCs w:val="32"/>
                <w:bdr w:val="none" w:color="auto" w:sz="0" w:space="0"/>
              </w:rPr>
              <w:t>第二十条第（一）项</w:t>
            </w:r>
          </w:p>
        </w:tc>
      </w:tr>
      <w:tr w14:paraId="3869A7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tcMar>
              <w:left w:w="57" w:type="dxa"/>
              <w:right w:w="57" w:type="dxa"/>
            </w:tcMar>
            <w:vAlign w:val="center"/>
          </w:tcPr>
          <w:p w14:paraId="750F798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楷体" w:hAnsi="楷体" w:eastAsia="楷体" w:cs="楷体"/>
                <w:b/>
                <w:bCs/>
                <w:color w:val="000000"/>
                <w:sz w:val="32"/>
                <w:szCs w:val="32"/>
                <w:bdr w:val="none" w:color="auto" w:sz="0" w:space="0"/>
              </w:rPr>
              <w:t>信息内容</w:t>
            </w:r>
          </w:p>
        </w:tc>
        <w:tc>
          <w:tcPr>
            <w:tcW w:w="2455" w:type="dxa"/>
            <w:tcBorders>
              <w:top w:val="nil"/>
              <w:left w:val="nil"/>
              <w:bottom w:val="single" w:color="auto" w:sz="8" w:space="0"/>
              <w:right w:val="single" w:color="auto" w:sz="8" w:space="0"/>
            </w:tcBorders>
            <w:shd w:val="clear"/>
            <w:tcMar>
              <w:left w:w="57" w:type="dxa"/>
              <w:right w:w="57" w:type="dxa"/>
            </w:tcMar>
            <w:vAlign w:val="center"/>
          </w:tcPr>
          <w:p w14:paraId="14B281C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楷体" w:hAnsi="楷体" w:eastAsia="楷体" w:cs="楷体"/>
                <w:b/>
                <w:bCs/>
                <w:color w:val="000000"/>
                <w:sz w:val="32"/>
                <w:szCs w:val="32"/>
                <w:bdr w:val="none" w:color="auto" w:sz="0" w:space="0"/>
              </w:rPr>
              <w:t>本年</w:t>
            </w:r>
            <w:r>
              <w:rPr>
                <w:rFonts w:hint="eastAsia" w:ascii="楷体" w:hAnsi="楷体" w:eastAsia="楷体" w:cs="楷体"/>
                <w:b/>
                <w:bCs/>
                <w:sz w:val="32"/>
                <w:szCs w:val="32"/>
                <w:bdr w:val="none" w:color="auto" w:sz="0" w:space="0"/>
              </w:rPr>
              <w:t>制发件数</w:t>
            </w:r>
          </w:p>
        </w:tc>
        <w:tc>
          <w:tcPr>
            <w:tcW w:w="2455" w:type="dxa"/>
            <w:tcBorders>
              <w:top w:val="nil"/>
              <w:left w:val="nil"/>
              <w:bottom w:val="single" w:color="auto" w:sz="8" w:space="0"/>
              <w:right w:val="single" w:color="auto" w:sz="8" w:space="0"/>
            </w:tcBorders>
            <w:shd w:val="clear"/>
            <w:tcMar>
              <w:left w:w="57" w:type="dxa"/>
              <w:right w:w="57" w:type="dxa"/>
            </w:tcMar>
            <w:vAlign w:val="center"/>
          </w:tcPr>
          <w:p w14:paraId="735D0E7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楷体" w:hAnsi="楷体" w:eastAsia="楷体" w:cs="楷体"/>
                <w:b/>
                <w:bCs/>
                <w:color w:val="000000"/>
                <w:sz w:val="32"/>
                <w:szCs w:val="32"/>
                <w:bdr w:val="none" w:color="auto" w:sz="0" w:space="0"/>
              </w:rPr>
              <w:t>本年废止件数</w:t>
            </w:r>
          </w:p>
        </w:tc>
        <w:tc>
          <w:tcPr>
            <w:tcW w:w="2455" w:type="dxa"/>
            <w:tcBorders>
              <w:top w:val="nil"/>
              <w:left w:val="nil"/>
              <w:bottom w:val="single" w:color="auto" w:sz="8" w:space="0"/>
              <w:right w:val="single" w:color="auto" w:sz="8" w:space="0"/>
            </w:tcBorders>
            <w:shd w:val="clear"/>
            <w:tcMar>
              <w:left w:w="57" w:type="dxa"/>
              <w:right w:w="57" w:type="dxa"/>
            </w:tcMar>
            <w:vAlign w:val="center"/>
          </w:tcPr>
          <w:p w14:paraId="5B4CE79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楷体" w:hAnsi="楷体" w:eastAsia="楷体" w:cs="楷体"/>
                <w:b/>
                <w:bCs/>
                <w:color w:val="000000"/>
                <w:sz w:val="32"/>
                <w:szCs w:val="32"/>
                <w:bdr w:val="none" w:color="auto" w:sz="0" w:space="0"/>
              </w:rPr>
              <w:t>现行有效件</w:t>
            </w:r>
            <w:r>
              <w:rPr>
                <w:rFonts w:hint="eastAsia" w:ascii="楷体" w:hAnsi="楷体" w:eastAsia="楷体" w:cs="楷体"/>
                <w:b/>
                <w:bCs/>
                <w:sz w:val="32"/>
                <w:szCs w:val="32"/>
                <w:bdr w:val="none" w:color="auto" w:sz="0" w:space="0"/>
              </w:rPr>
              <w:t>数</w:t>
            </w:r>
          </w:p>
        </w:tc>
      </w:tr>
      <w:tr w14:paraId="3201D9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tcMar>
              <w:left w:w="57" w:type="dxa"/>
              <w:right w:w="57" w:type="dxa"/>
            </w:tcMar>
            <w:vAlign w:val="center"/>
          </w:tcPr>
          <w:p w14:paraId="24C4743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楷体" w:hAnsi="楷体" w:eastAsia="楷体" w:cs="楷体"/>
                <w:b/>
                <w:bCs/>
                <w:color w:val="000000"/>
                <w:sz w:val="32"/>
                <w:szCs w:val="32"/>
                <w:bdr w:val="none" w:color="auto" w:sz="0" w:space="0"/>
              </w:rPr>
              <w:t>规   章</w:t>
            </w:r>
          </w:p>
        </w:tc>
        <w:tc>
          <w:tcPr>
            <w:tcW w:w="2455" w:type="dxa"/>
            <w:tcBorders>
              <w:top w:val="nil"/>
              <w:left w:val="nil"/>
              <w:bottom w:val="single" w:color="auto" w:sz="8" w:space="0"/>
              <w:right w:val="single" w:color="auto" w:sz="8" w:space="0"/>
            </w:tcBorders>
            <w:shd w:val="clear"/>
            <w:tcMar>
              <w:left w:w="57" w:type="dxa"/>
              <w:right w:w="57" w:type="dxa"/>
            </w:tcMar>
            <w:vAlign w:val="center"/>
          </w:tcPr>
          <w:p w14:paraId="4ADBABD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仿宋" w:hAnsi="仿宋" w:eastAsia="仿宋" w:cs="仿宋"/>
                <w:sz w:val="32"/>
                <w:szCs w:val="32"/>
                <w:bdr w:val="none" w:color="auto" w:sz="0" w:space="0"/>
              </w:rPr>
              <w:t>0</w:t>
            </w:r>
          </w:p>
        </w:tc>
        <w:tc>
          <w:tcPr>
            <w:tcW w:w="2455" w:type="dxa"/>
            <w:tcBorders>
              <w:top w:val="nil"/>
              <w:left w:val="nil"/>
              <w:bottom w:val="single" w:color="auto" w:sz="8" w:space="0"/>
              <w:right w:val="single" w:color="auto" w:sz="8" w:space="0"/>
            </w:tcBorders>
            <w:shd w:val="clear"/>
            <w:tcMar>
              <w:left w:w="57" w:type="dxa"/>
              <w:right w:w="57" w:type="dxa"/>
            </w:tcMar>
            <w:vAlign w:val="center"/>
          </w:tcPr>
          <w:p w14:paraId="4DE6988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仿宋" w:hAnsi="仿宋" w:eastAsia="仿宋" w:cs="仿宋"/>
                <w:sz w:val="32"/>
                <w:szCs w:val="32"/>
                <w:bdr w:val="none" w:color="auto" w:sz="0" w:space="0"/>
              </w:rPr>
              <w:t>0</w:t>
            </w:r>
          </w:p>
        </w:tc>
        <w:tc>
          <w:tcPr>
            <w:tcW w:w="2455" w:type="dxa"/>
            <w:tcBorders>
              <w:top w:val="nil"/>
              <w:left w:val="nil"/>
              <w:bottom w:val="single" w:color="auto" w:sz="8" w:space="0"/>
              <w:right w:val="single" w:color="auto" w:sz="8" w:space="0"/>
            </w:tcBorders>
            <w:shd w:val="clear"/>
            <w:tcMar>
              <w:left w:w="57" w:type="dxa"/>
              <w:right w:w="57" w:type="dxa"/>
            </w:tcMar>
            <w:vAlign w:val="center"/>
          </w:tcPr>
          <w:p w14:paraId="3D4E805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仿宋" w:hAnsi="仿宋" w:eastAsia="仿宋" w:cs="仿宋"/>
                <w:sz w:val="32"/>
                <w:szCs w:val="32"/>
                <w:bdr w:val="none" w:color="auto" w:sz="0" w:space="0"/>
              </w:rPr>
              <w:t>0</w:t>
            </w:r>
          </w:p>
        </w:tc>
      </w:tr>
      <w:tr w14:paraId="5F006E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tcMar>
              <w:left w:w="57" w:type="dxa"/>
              <w:right w:w="57" w:type="dxa"/>
            </w:tcMar>
            <w:vAlign w:val="center"/>
          </w:tcPr>
          <w:p w14:paraId="4CB9541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楷体" w:hAnsi="楷体" w:eastAsia="楷体" w:cs="楷体"/>
                <w:b/>
                <w:bCs/>
                <w:color w:val="000000"/>
                <w:sz w:val="32"/>
                <w:szCs w:val="32"/>
                <w:bdr w:val="none" w:color="auto" w:sz="0" w:space="0"/>
              </w:rPr>
              <w:t>行政规范性文件</w:t>
            </w:r>
          </w:p>
        </w:tc>
        <w:tc>
          <w:tcPr>
            <w:tcW w:w="2455" w:type="dxa"/>
            <w:tcBorders>
              <w:top w:val="nil"/>
              <w:left w:val="nil"/>
              <w:bottom w:val="single" w:color="auto" w:sz="8" w:space="0"/>
              <w:right w:val="single" w:color="auto" w:sz="8" w:space="0"/>
            </w:tcBorders>
            <w:shd w:val="clear"/>
            <w:tcMar>
              <w:left w:w="57" w:type="dxa"/>
              <w:right w:w="57" w:type="dxa"/>
            </w:tcMar>
            <w:vAlign w:val="center"/>
          </w:tcPr>
          <w:p w14:paraId="6427506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仿宋" w:hAnsi="仿宋" w:eastAsia="仿宋" w:cs="仿宋"/>
                <w:color w:val="000000"/>
                <w:sz w:val="32"/>
                <w:szCs w:val="32"/>
                <w:bdr w:val="none" w:color="auto" w:sz="0" w:space="0"/>
              </w:rPr>
              <w:t>0</w:t>
            </w:r>
          </w:p>
        </w:tc>
        <w:tc>
          <w:tcPr>
            <w:tcW w:w="2455" w:type="dxa"/>
            <w:tcBorders>
              <w:top w:val="nil"/>
              <w:left w:val="nil"/>
              <w:bottom w:val="single" w:color="auto" w:sz="8" w:space="0"/>
              <w:right w:val="single" w:color="auto" w:sz="8" w:space="0"/>
            </w:tcBorders>
            <w:shd w:val="clear"/>
            <w:tcMar>
              <w:left w:w="57" w:type="dxa"/>
              <w:right w:w="57" w:type="dxa"/>
            </w:tcMar>
            <w:vAlign w:val="center"/>
          </w:tcPr>
          <w:p w14:paraId="5EBA1FB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color w:val="000000"/>
                <w:sz w:val="32"/>
                <w:szCs w:val="32"/>
                <w:bdr w:val="none" w:color="auto" w:sz="0" w:space="0"/>
              </w:rPr>
              <w:t>0</w:t>
            </w:r>
          </w:p>
        </w:tc>
        <w:tc>
          <w:tcPr>
            <w:tcW w:w="2455" w:type="dxa"/>
            <w:tcBorders>
              <w:top w:val="nil"/>
              <w:left w:val="nil"/>
              <w:bottom w:val="single" w:color="auto" w:sz="8" w:space="0"/>
              <w:right w:val="single" w:color="auto" w:sz="8" w:space="0"/>
            </w:tcBorders>
            <w:shd w:val="clear"/>
            <w:tcMar>
              <w:left w:w="57" w:type="dxa"/>
              <w:right w:w="57" w:type="dxa"/>
            </w:tcMar>
            <w:vAlign w:val="center"/>
          </w:tcPr>
          <w:p w14:paraId="697C398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r>
      <w:tr w14:paraId="40279E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14:paraId="61A078B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楷体" w:hAnsi="楷体" w:eastAsia="楷体" w:cs="楷体"/>
                <w:b/>
                <w:bCs/>
                <w:color w:val="000000"/>
                <w:sz w:val="32"/>
                <w:szCs w:val="32"/>
                <w:bdr w:val="none" w:color="auto" w:sz="0" w:space="0"/>
              </w:rPr>
              <w:t>第二十条第（五）项</w:t>
            </w:r>
          </w:p>
        </w:tc>
      </w:tr>
      <w:tr w14:paraId="6AFE55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tcMar>
              <w:left w:w="57" w:type="dxa"/>
              <w:right w:w="57" w:type="dxa"/>
            </w:tcMar>
            <w:vAlign w:val="center"/>
          </w:tcPr>
          <w:p w14:paraId="0C84E62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楷体" w:hAnsi="楷体" w:eastAsia="楷体" w:cs="楷体"/>
                <w:b/>
                <w:bCs/>
                <w:color w:val="000000"/>
                <w:sz w:val="32"/>
                <w:szCs w:val="32"/>
                <w:bdr w:val="none" w:color="auto" w:sz="0" w:space="0"/>
              </w:rPr>
              <w:t>信息内容</w:t>
            </w:r>
          </w:p>
        </w:tc>
        <w:tc>
          <w:tcPr>
            <w:tcW w:w="7365" w:type="dxa"/>
            <w:gridSpan w:val="3"/>
            <w:tcBorders>
              <w:top w:val="nil"/>
              <w:left w:val="nil"/>
              <w:bottom w:val="single" w:color="auto" w:sz="8" w:space="0"/>
              <w:right w:val="single" w:color="auto" w:sz="8" w:space="0"/>
            </w:tcBorders>
            <w:shd w:val="clear"/>
            <w:tcMar>
              <w:left w:w="57" w:type="dxa"/>
              <w:right w:w="57" w:type="dxa"/>
            </w:tcMar>
            <w:vAlign w:val="center"/>
          </w:tcPr>
          <w:p w14:paraId="6BBAE55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楷体" w:hAnsi="楷体" w:eastAsia="楷体" w:cs="楷体"/>
                <w:b/>
                <w:bCs/>
                <w:color w:val="000000"/>
                <w:sz w:val="32"/>
                <w:szCs w:val="32"/>
                <w:bdr w:val="none" w:color="auto" w:sz="0" w:space="0"/>
              </w:rPr>
              <w:t>本年处理决定数量</w:t>
            </w:r>
          </w:p>
        </w:tc>
      </w:tr>
      <w:tr w14:paraId="1EB7FB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tcMar>
              <w:left w:w="57" w:type="dxa"/>
              <w:right w:w="57" w:type="dxa"/>
            </w:tcMar>
            <w:vAlign w:val="center"/>
          </w:tcPr>
          <w:p w14:paraId="2D11B63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楷体" w:hAnsi="楷体" w:eastAsia="楷体" w:cs="楷体"/>
                <w:b/>
                <w:bCs/>
                <w:color w:val="000000"/>
                <w:sz w:val="32"/>
                <w:szCs w:val="32"/>
                <w:bdr w:val="none" w:color="auto" w:sz="0" w:space="0"/>
              </w:rPr>
              <w:t>行政许可</w:t>
            </w:r>
          </w:p>
        </w:tc>
        <w:tc>
          <w:tcPr>
            <w:tcW w:w="7365" w:type="dxa"/>
            <w:gridSpan w:val="3"/>
            <w:tcBorders>
              <w:top w:val="nil"/>
              <w:left w:val="nil"/>
              <w:bottom w:val="single" w:color="auto" w:sz="8" w:space="0"/>
              <w:right w:val="single" w:color="auto" w:sz="8" w:space="0"/>
            </w:tcBorders>
            <w:shd w:val="clear"/>
            <w:tcMar>
              <w:left w:w="57" w:type="dxa"/>
              <w:right w:w="57" w:type="dxa"/>
            </w:tcMar>
            <w:vAlign w:val="center"/>
          </w:tcPr>
          <w:p w14:paraId="007C018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b/>
                <w:bCs/>
                <w:sz w:val="32"/>
                <w:szCs w:val="32"/>
                <w:bdr w:val="none" w:color="auto" w:sz="0" w:space="0"/>
              </w:rPr>
              <w:t>0</w:t>
            </w:r>
          </w:p>
        </w:tc>
      </w:tr>
      <w:tr w14:paraId="4111D2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14:paraId="0976D63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楷体" w:hAnsi="楷体" w:eastAsia="楷体" w:cs="楷体"/>
                <w:b/>
                <w:bCs/>
                <w:color w:val="000000"/>
                <w:sz w:val="32"/>
                <w:szCs w:val="32"/>
                <w:bdr w:val="none" w:color="auto" w:sz="0" w:space="0"/>
              </w:rPr>
              <w:t>第二十条第（六）项</w:t>
            </w:r>
          </w:p>
        </w:tc>
      </w:tr>
      <w:tr w14:paraId="24E0CA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tcMar>
              <w:left w:w="57" w:type="dxa"/>
              <w:right w:w="57" w:type="dxa"/>
            </w:tcMar>
            <w:vAlign w:val="center"/>
          </w:tcPr>
          <w:p w14:paraId="061E3A6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楷体" w:hAnsi="楷体" w:eastAsia="楷体" w:cs="楷体"/>
                <w:b/>
                <w:bCs/>
                <w:color w:val="000000"/>
                <w:sz w:val="32"/>
                <w:szCs w:val="32"/>
                <w:bdr w:val="none" w:color="auto" w:sz="0" w:space="0"/>
              </w:rPr>
              <w:t>信息内容</w:t>
            </w:r>
          </w:p>
        </w:tc>
        <w:tc>
          <w:tcPr>
            <w:tcW w:w="7365" w:type="dxa"/>
            <w:gridSpan w:val="3"/>
            <w:tcBorders>
              <w:top w:val="nil"/>
              <w:left w:val="nil"/>
              <w:bottom w:val="single" w:color="auto" w:sz="8" w:space="0"/>
              <w:right w:val="single" w:color="auto" w:sz="8" w:space="0"/>
            </w:tcBorders>
            <w:shd w:val="clear"/>
            <w:tcMar>
              <w:left w:w="57" w:type="dxa"/>
              <w:right w:w="57" w:type="dxa"/>
            </w:tcMar>
            <w:vAlign w:val="center"/>
          </w:tcPr>
          <w:p w14:paraId="2063713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楷体" w:hAnsi="楷体" w:eastAsia="楷体" w:cs="楷体"/>
                <w:b/>
                <w:bCs/>
                <w:color w:val="000000"/>
                <w:sz w:val="32"/>
                <w:szCs w:val="32"/>
                <w:bdr w:val="none" w:color="auto" w:sz="0" w:space="0"/>
              </w:rPr>
              <w:t>本年处理决定数量</w:t>
            </w:r>
          </w:p>
        </w:tc>
      </w:tr>
      <w:tr w14:paraId="075142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tcMar>
              <w:left w:w="57" w:type="dxa"/>
              <w:right w:w="57" w:type="dxa"/>
            </w:tcMar>
            <w:vAlign w:val="center"/>
          </w:tcPr>
          <w:p w14:paraId="5039226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楷体" w:hAnsi="楷体" w:eastAsia="楷体" w:cs="楷体"/>
                <w:b/>
                <w:bCs/>
                <w:color w:val="000000"/>
                <w:sz w:val="32"/>
                <w:szCs w:val="32"/>
                <w:bdr w:val="none" w:color="auto" w:sz="0" w:space="0"/>
              </w:rPr>
              <w:t>行政处罚</w:t>
            </w:r>
          </w:p>
        </w:tc>
        <w:tc>
          <w:tcPr>
            <w:tcW w:w="7365" w:type="dxa"/>
            <w:gridSpan w:val="3"/>
            <w:tcBorders>
              <w:top w:val="nil"/>
              <w:left w:val="nil"/>
              <w:bottom w:val="single" w:color="auto" w:sz="8" w:space="0"/>
              <w:right w:val="single" w:color="auto" w:sz="8" w:space="0"/>
            </w:tcBorders>
            <w:shd w:val="clear"/>
            <w:tcMar>
              <w:left w:w="57" w:type="dxa"/>
              <w:right w:w="57" w:type="dxa"/>
            </w:tcMar>
            <w:vAlign w:val="center"/>
          </w:tcPr>
          <w:p w14:paraId="229EDDC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仿宋" w:hAnsi="仿宋" w:eastAsia="仿宋" w:cs="仿宋"/>
                <w:color w:val="000000"/>
                <w:sz w:val="32"/>
                <w:szCs w:val="32"/>
                <w:bdr w:val="none" w:color="auto" w:sz="0" w:space="0"/>
              </w:rPr>
              <w:t>0</w:t>
            </w:r>
          </w:p>
        </w:tc>
      </w:tr>
      <w:tr w14:paraId="3BF535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tcMar>
              <w:left w:w="57" w:type="dxa"/>
              <w:right w:w="57" w:type="dxa"/>
            </w:tcMar>
            <w:vAlign w:val="center"/>
          </w:tcPr>
          <w:p w14:paraId="210CD55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楷体" w:hAnsi="楷体" w:eastAsia="楷体" w:cs="楷体"/>
                <w:b/>
                <w:bCs/>
                <w:color w:val="000000"/>
                <w:sz w:val="32"/>
                <w:szCs w:val="32"/>
                <w:bdr w:val="none" w:color="auto" w:sz="0" w:space="0"/>
              </w:rPr>
              <w:t>行政强制</w:t>
            </w:r>
          </w:p>
        </w:tc>
        <w:tc>
          <w:tcPr>
            <w:tcW w:w="7365" w:type="dxa"/>
            <w:gridSpan w:val="3"/>
            <w:tcBorders>
              <w:top w:val="nil"/>
              <w:left w:val="nil"/>
              <w:bottom w:val="single" w:color="auto" w:sz="8" w:space="0"/>
              <w:right w:val="single" w:color="auto" w:sz="8" w:space="0"/>
            </w:tcBorders>
            <w:shd w:val="clear"/>
            <w:tcMar>
              <w:left w:w="57" w:type="dxa"/>
              <w:right w:w="57" w:type="dxa"/>
            </w:tcMar>
            <w:vAlign w:val="center"/>
          </w:tcPr>
          <w:p w14:paraId="5196EB3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仿宋" w:hAnsi="仿宋" w:eastAsia="仿宋" w:cs="仿宋"/>
                <w:color w:val="000000"/>
                <w:sz w:val="32"/>
                <w:szCs w:val="32"/>
                <w:bdr w:val="none" w:color="auto" w:sz="0" w:space="0"/>
              </w:rPr>
              <w:t>0</w:t>
            </w:r>
          </w:p>
        </w:tc>
      </w:tr>
      <w:tr w14:paraId="64264F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14:paraId="7DAC7A4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楷体" w:hAnsi="楷体" w:eastAsia="楷体" w:cs="楷体"/>
                <w:b/>
                <w:bCs/>
                <w:color w:val="000000"/>
                <w:sz w:val="32"/>
                <w:szCs w:val="32"/>
                <w:bdr w:val="none" w:color="auto" w:sz="0" w:space="0"/>
              </w:rPr>
              <w:t>第二十条第（八）项</w:t>
            </w:r>
          </w:p>
        </w:tc>
      </w:tr>
      <w:tr w14:paraId="3FEB8D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tcMar>
              <w:left w:w="57" w:type="dxa"/>
              <w:right w:w="57" w:type="dxa"/>
            </w:tcMar>
            <w:vAlign w:val="center"/>
          </w:tcPr>
          <w:p w14:paraId="2F6719B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楷体" w:hAnsi="楷体" w:eastAsia="楷体" w:cs="楷体"/>
                <w:b/>
                <w:bCs/>
                <w:color w:val="000000"/>
                <w:sz w:val="32"/>
                <w:szCs w:val="32"/>
                <w:bdr w:val="none" w:color="auto" w:sz="0" w:space="0"/>
              </w:rPr>
              <w:t>信息内容</w:t>
            </w:r>
          </w:p>
        </w:tc>
        <w:tc>
          <w:tcPr>
            <w:tcW w:w="7365" w:type="dxa"/>
            <w:gridSpan w:val="3"/>
            <w:tcBorders>
              <w:top w:val="nil"/>
              <w:left w:val="nil"/>
              <w:bottom w:val="single" w:color="auto" w:sz="8" w:space="0"/>
              <w:right w:val="single" w:color="000000" w:sz="8" w:space="0"/>
            </w:tcBorders>
            <w:shd w:val="clear"/>
            <w:tcMar>
              <w:left w:w="57" w:type="dxa"/>
              <w:right w:w="57" w:type="dxa"/>
            </w:tcMar>
            <w:vAlign w:val="center"/>
          </w:tcPr>
          <w:p w14:paraId="503FA57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楷体" w:hAnsi="楷体" w:eastAsia="楷体" w:cs="楷体"/>
                <w:b/>
                <w:bCs/>
                <w:color w:val="000000"/>
                <w:sz w:val="32"/>
                <w:szCs w:val="32"/>
                <w:bdr w:val="none" w:color="auto" w:sz="0" w:space="0"/>
              </w:rPr>
              <w:t>本年收费金额（单位：万元）</w:t>
            </w:r>
          </w:p>
        </w:tc>
      </w:tr>
      <w:tr w14:paraId="5C3778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tcMar>
              <w:left w:w="57" w:type="dxa"/>
              <w:right w:w="57" w:type="dxa"/>
            </w:tcMar>
            <w:vAlign w:val="center"/>
          </w:tcPr>
          <w:p w14:paraId="226AA90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楷体" w:hAnsi="楷体" w:eastAsia="楷体" w:cs="楷体"/>
                <w:b/>
                <w:bCs/>
                <w:color w:val="000000"/>
                <w:sz w:val="32"/>
                <w:szCs w:val="32"/>
                <w:bdr w:val="none" w:color="auto" w:sz="0" w:space="0"/>
              </w:rPr>
              <w:t>行政事业性收费</w:t>
            </w:r>
          </w:p>
        </w:tc>
        <w:tc>
          <w:tcPr>
            <w:tcW w:w="7365" w:type="dxa"/>
            <w:gridSpan w:val="3"/>
            <w:tcBorders>
              <w:top w:val="nil"/>
              <w:left w:val="nil"/>
              <w:bottom w:val="single" w:color="auto" w:sz="8" w:space="0"/>
              <w:right w:val="single" w:color="000000" w:sz="8" w:space="0"/>
            </w:tcBorders>
            <w:shd w:val="clear"/>
            <w:tcMar>
              <w:left w:w="57" w:type="dxa"/>
              <w:right w:w="57" w:type="dxa"/>
            </w:tcMar>
            <w:vAlign w:val="center"/>
          </w:tcPr>
          <w:p w14:paraId="08716D2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仿宋" w:hAnsi="仿宋" w:eastAsia="仿宋" w:cs="仿宋"/>
                <w:sz w:val="32"/>
                <w:szCs w:val="32"/>
                <w:bdr w:val="none" w:color="auto" w:sz="0" w:space="0"/>
              </w:rPr>
              <w:t>0</w:t>
            </w:r>
          </w:p>
        </w:tc>
      </w:tr>
    </w:tbl>
    <w:p w14:paraId="327F149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both"/>
        <w:rPr>
          <w:rFonts w:hint="default" w:ascii="Times New Roman" w:hAnsi="Times New Roman" w:cs="Times New Roman"/>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shd w:val="clear" w:fill="FFFFFF"/>
        </w:rPr>
        <w:t> </w:t>
      </w:r>
    </w:p>
    <w:p w14:paraId="6B7AA61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both"/>
        <w:rPr>
          <w:rFonts w:hint="default" w:ascii="Times New Roman" w:hAnsi="Times New Roman" w:cs="Times New Roman"/>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shd w:val="clear" w:fill="FFFFFF"/>
        </w:rPr>
        <w:t> </w:t>
      </w:r>
    </w:p>
    <w:p w14:paraId="52325C0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both"/>
        <w:rPr>
          <w:rFonts w:hint="default" w:ascii="Times New Roman" w:hAnsi="Times New Roman" w:cs="Times New Roman"/>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shd w:val="clear" w:fill="FFFFFF"/>
        </w:rPr>
        <w:t>三、收到和处理政府信息公开申请情况</w:t>
      </w:r>
    </w:p>
    <w:tbl>
      <w:tblPr>
        <w:tblW w:w="780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768"/>
        <w:gridCol w:w="1078"/>
        <w:gridCol w:w="2824"/>
        <w:gridCol w:w="438"/>
        <w:gridCol w:w="455"/>
        <w:gridCol w:w="436"/>
        <w:gridCol w:w="467"/>
        <w:gridCol w:w="437"/>
        <w:gridCol w:w="443"/>
        <w:gridCol w:w="454"/>
      </w:tblGrid>
      <w:tr w14:paraId="56FB035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inset" w:color="auto" w:sz="8" w:space="0"/>
              <w:right w:val="single" w:color="auto" w:sz="8" w:space="0"/>
            </w:tcBorders>
            <w:shd w:val="clear"/>
            <w:tcMar>
              <w:left w:w="108" w:type="dxa"/>
              <w:right w:w="108" w:type="dxa"/>
            </w:tcMar>
            <w:vAlign w:val="center"/>
          </w:tcPr>
          <w:p w14:paraId="5FB0D30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tcMar>
              <w:left w:w="57" w:type="dxa"/>
              <w:right w:w="57" w:type="dxa"/>
            </w:tcMar>
            <w:vAlign w:val="center"/>
          </w:tcPr>
          <w:p w14:paraId="54FC3DB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申请人情况</w:t>
            </w:r>
          </w:p>
        </w:tc>
      </w:tr>
      <w:tr w14:paraId="65CAF2C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inset" w:color="auto" w:sz="8" w:space="0"/>
              <w:right w:val="single" w:color="auto" w:sz="8" w:space="0"/>
            </w:tcBorders>
            <w:shd w:val="clear"/>
            <w:tcMar>
              <w:left w:w="108" w:type="dxa"/>
              <w:right w:w="108" w:type="dxa"/>
            </w:tcMar>
            <w:vAlign w:val="center"/>
          </w:tcPr>
          <w:p w14:paraId="1B96B996">
            <w:pPr>
              <w:rPr>
                <w:rFonts w:hint="eastAsia" w:ascii="宋体"/>
                <w:sz w:val="24"/>
                <w:szCs w:val="24"/>
              </w:rPr>
            </w:pPr>
          </w:p>
        </w:tc>
        <w:tc>
          <w:tcPr>
            <w:tcW w:w="439" w:type="dxa"/>
            <w:vMerge w:val="restart"/>
            <w:tcBorders>
              <w:top w:val="nil"/>
              <w:left w:val="nil"/>
              <w:bottom w:val="single" w:color="auto" w:sz="8" w:space="0"/>
              <w:right w:val="single" w:color="auto" w:sz="8" w:space="0"/>
            </w:tcBorders>
            <w:shd w:val="clear"/>
            <w:tcMar>
              <w:left w:w="57" w:type="dxa"/>
              <w:right w:w="57" w:type="dxa"/>
            </w:tcMar>
            <w:vAlign w:val="center"/>
          </w:tcPr>
          <w:p w14:paraId="3E04081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自</w:t>
            </w:r>
          </w:p>
          <w:p w14:paraId="30AA74E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 </w:t>
            </w:r>
          </w:p>
          <w:p w14:paraId="6EDD39F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然</w:t>
            </w:r>
          </w:p>
          <w:p w14:paraId="4F93A3E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 </w:t>
            </w:r>
          </w:p>
          <w:p w14:paraId="1086975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人</w:t>
            </w:r>
          </w:p>
        </w:tc>
        <w:tc>
          <w:tcPr>
            <w:tcW w:w="2238" w:type="dxa"/>
            <w:gridSpan w:val="5"/>
            <w:tcBorders>
              <w:top w:val="nil"/>
              <w:left w:val="nil"/>
              <w:bottom w:val="single" w:color="auto" w:sz="8" w:space="0"/>
              <w:right w:val="single" w:color="auto" w:sz="8" w:space="0"/>
            </w:tcBorders>
            <w:shd w:val="clear"/>
            <w:tcMar>
              <w:left w:w="57" w:type="dxa"/>
              <w:right w:w="57" w:type="dxa"/>
            </w:tcMar>
            <w:vAlign w:val="center"/>
          </w:tcPr>
          <w:p w14:paraId="2F22C74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法人或其他组织</w:t>
            </w:r>
          </w:p>
        </w:tc>
        <w:tc>
          <w:tcPr>
            <w:tcW w:w="471" w:type="dxa"/>
            <w:vMerge w:val="restart"/>
            <w:tcBorders>
              <w:top w:val="nil"/>
              <w:left w:val="nil"/>
              <w:bottom w:val="inset" w:color="auto" w:sz="8" w:space="0"/>
              <w:right w:val="single" w:color="auto" w:sz="8" w:space="0"/>
            </w:tcBorders>
            <w:shd w:val="clear"/>
            <w:tcMar>
              <w:left w:w="57" w:type="dxa"/>
              <w:right w:w="57" w:type="dxa"/>
            </w:tcMar>
            <w:vAlign w:val="center"/>
          </w:tcPr>
          <w:p w14:paraId="7E80B2E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总计</w:t>
            </w:r>
          </w:p>
        </w:tc>
      </w:tr>
      <w:tr w14:paraId="4816414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inset" w:color="auto" w:sz="8" w:space="0"/>
              <w:right w:val="single" w:color="auto" w:sz="8" w:space="0"/>
            </w:tcBorders>
            <w:shd w:val="clear"/>
            <w:tcMar>
              <w:left w:w="108" w:type="dxa"/>
              <w:right w:w="108" w:type="dxa"/>
            </w:tcMar>
            <w:vAlign w:val="center"/>
          </w:tcPr>
          <w:p w14:paraId="66603CBF">
            <w:pPr>
              <w:rPr>
                <w:rFonts w:hint="eastAsia" w:ascii="宋体"/>
                <w:sz w:val="24"/>
                <w:szCs w:val="24"/>
              </w:rPr>
            </w:pPr>
          </w:p>
        </w:tc>
        <w:tc>
          <w:tcPr>
            <w:tcW w:w="439" w:type="dxa"/>
            <w:vMerge w:val="continue"/>
            <w:tcBorders>
              <w:top w:val="nil"/>
              <w:left w:val="nil"/>
              <w:bottom w:val="single" w:color="auto" w:sz="8" w:space="0"/>
              <w:right w:val="single" w:color="auto" w:sz="8" w:space="0"/>
            </w:tcBorders>
            <w:shd w:val="clear"/>
            <w:tcMar>
              <w:left w:w="57" w:type="dxa"/>
              <w:right w:w="57" w:type="dxa"/>
            </w:tcMar>
            <w:vAlign w:val="center"/>
          </w:tcPr>
          <w:p w14:paraId="649992BF">
            <w:pPr>
              <w:rPr>
                <w:rFonts w:hint="eastAsia" w:ascii="宋体"/>
                <w:sz w:val="24"/>
                <w:szCs w:val="24"/>
              </w:rPr>
            </w:pP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062D2D5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商业</w:t>
            </w:r>
          </w:p>
          <w:p w14:paraId="75573F9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企业</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176D4DB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科研</w:t>
            </w:r>
          </w:p>
          <w:p w14:paraId="3754261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机构</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064AB9D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社会公益组织</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27E63AA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法律服务机构</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59D8FF1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其他</w:t>
            </w:r>
          </w:p>
        </w:tc>
        <w:tc>
          <w:tcPr>
            <w:tcW w:w="471" w:type="dxa"/>
            <w:vMerge w:val="continue"/>
            <w:tcBorders>
              <w:top w:val="nil"/>
              <w:left w:val="nil"/>
              <w:bottom w:val="inset" w:color="auto" w:sz="8" w:space="0"/>
              <w:right w:val="single" w:color="auto" w:sz="8" w:space="0"/>
            </w:tcBorders>
            <w:shd w:val="clear"/>
            <w:tcMar>
              <w:left w:w="57" w:type="dxa"/>
              <w:right w:w="57" w:type="dxa"/>
            </w:tcMar>
            <w:vAlign w:val="center"/>
          </w:tcPr>
          <w:p w14:paraId="6C588814">
            <w:pPr>
              <w:rPr>
                <w:rFonts w:hint="eastAsia" w:ascii="宋体"/>
                <w:sz w:val="24"/>
                <w:szCs w:val="24"/>
              </w:rPr>
            </w:pPr>
          </w:p>
        </w:tc>
      </w:tr>
      <w:tr w14:paraId="4AB6AC1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tcMar>
              <w:left w:w="57" w:type="dxa"/>
              <w:right w:w="57" w:type="dxa"/>
            </w:tcMar>
            <w:vAlign w:val="center"/>
          </w:tcPr>
          <w:p w14:paraId="7DBB850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一、本年新收政府信息公开申请数量</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7EC2E9A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34F02C9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0855ED1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184347F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19152A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6282CD4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7361CDB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r>
      <w:tr w14:paraId="2C62E75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tcMar>
              <w:left w:w="57" w:type="dxa"/>
              <w:right w:w="57" w:type="dxa"/>
            </w:tcMar>
            <w:vAlign w:val="center"/>
          </w:tcPr>
          <w:p w14:paraId="3409B3B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二、上年结转政府信息公开申请数量</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1651821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17FA1DB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6F26649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4ABDA0E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755EF45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3604AA0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2E7B6FF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r>
      <w:tr w14:paraId="4F32ABD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restart"/>
            <w:tcBorders>
              <w:top w:val="nil"/>
              <w:left w:val="single" w:color="auto" w:sz="8" w:space="0"/>
              <w:bottom w:val="inset" w:color="auto" w:sz="8" w:space="0"/>
              <w:right w:val="single" w:color="auto" w:sz="8" w:space="0"/>
            </w:tcBorders>
            <w:shd w:val="clear"/>
            <w:tcMar>
              <w:left w:w="57" w:type="dxa"/>
              <w:right w:w="57" w:type="dxa"/>
            </w:tcMar>
            <w:vAlign w:val="center"/>
          </w:tcPr>
          <w:p w14:paraId="5B2EDE8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三、本年度办理结果</w:t>
            </w:r>
          </w:p>
        </w:tc>
        <w:tc>
          <w:tcPr>
            <w:tcW w:w="5820" w:type="dxa"/>
            <w:gridSpan w:val="2"/>
            <w:tcBorders>
              <w:top w:val="nil"/>
              <w:left w:val="nil"/>
              <w:bottom w:val="single" w:color="auto" w:sz="8" w:space="0"/>
              <w:right w:val="single" w:color="auto" w:sz="8" w:space="0"/>
            </w:tcBorders>
            <w:shd w:val="clear"/>
            <w:tcMar>
              <w:left w:w="57" w:type="dxa"/>
              <w:right w:w="57" w:type="dxa"/>
            </w:tcMar>
            <w:vAlign w:val="center"/>
          </w:tcPr>
          <w:p w14:paraId="4373C1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（一）予以公开</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6D4BCB7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67E1375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6E5CE8B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5CA6565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093221A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3895D21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4078FDC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r>
      <w:tr w14:paraId="64578A9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inset" w:color="auto" w:sz="8" w:space="0"/>
              <w:right w:val="single" w:color="auto" w:sz="8" w:space="0"/>
            </w:tcBorders>
            <w:shd w:val="clear"/>
            <w:tcMar>
              <w:left w:w="57" w:type="dxa"/>
              <w:right w:w="57" w:type="dxa"/>
            </w:tcMar>
            <w:vAlign w:val="center"/>
          </w:tcPr>
          <w:p w14:paraId="554D5933">
            <w:pPr>
              <w:rPr>
                <w:rFonts w:hint="eastAsia" w:ascii="宋体"/>
                <w:sz w:val="24"/>
                <w:szCs w:val="24"/>
              </w:rPr>
            </w:pPr>
          </w:p>
        </w:tc>
        <w:tc>
          <w:tcPr>
            <w:tcW w:w="5820" w:type="dxa"/>
            <w:gridSpan w:val="2"/>
            <w:tcBorders>
              <w:top w:val="nil"/>
              <w:left w:val="nil"/>
              <w:bottom w:val="single" w:color="auto" w:sz="8" w:space="0"/>
              <w:right w:val="single" w:color="auto" w:sz="8" w:space="0"/>
            </w:tcBorders>
            <w:shd w:val="clear"/>
            <w:tcMar>
              <w:left w:w="57" w:type="dxa"/>
              <w:right w:w="57" w:type="dxa"/>
            </w:tcMar>
            <w:vAlign w:val="center"/>
          </w:tcPr>
          <w:p w14:paraId="2ABA559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（二）部分公开（区分处理的，只计这一情形，不计其他情形）</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700F5CD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318A95B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57D6AE5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359672B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6DFC789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3F4C949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40CA689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both"/>
              <w:rPr>
                <w:rFonts w:hint="default" w:ascii="Times New Roman" w:hAnsi="Times New Roman" w:cs="Times New Roman"/>
                <w:sz w:val="32"/>
                <w:szCs w:val="32"/>
              </w:rPr>
            </w:pPr>
            <w:r>
              <w:rPr>
                <w:rFonts w:hint="eastAsia" w:ascii="宋体" w:hAnsi="宋体" w:eastAsia="宋体" w:cs="宋体"/>
                <w:sz w:val="32"/>
                <w:szCs w:val="32"/>
                <w:bdr w:val="none" w:color="auto" w:sz="0" w:space="0"/>
              </w:rPr>
              <w:t> </w:t>
            </w:r>
          </w:p>
          <w:p w14:paraId="6CB8848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r>
      <w:tr w14:paraId="79B169D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inset" w:color="auto" w:sz="8" w:space="0"/>
              <w:right w:val="single" w:color="auto" w:sz="8" w:space="0"/>
            </w:tcBorders>
            <w:shd w:val="clear"/>
            <w:tcMar>
              <w:left w:w="57" w:type="dxa"/>
              <w:right w:w="57" w:type="dxa"/>
            </w:tcMar>
            <w:vAlign w:val="center"/>
          </w:tcPr>
          <w:p w14:paraId="448B0C34">
            <w:pPr>
              <w:rPr>
                <w:rFonts w:hint="eastAsia" w:ascii="宋体"/>
                <w:sz w:val="24"/>
                <w:szCs w:val="24"/>
              </w:rPr>
            </w:pPr>
          </w:p>
        </w:tc>
        <w:tc>
          <w:tcPr>
            <w:tcW w:w="997" w:type="dxa"/>
            <w:vMerge w:val="restart"/>
            <w:tcBorders>
              <w:top w:val="nil"/>
              <w:left w:val="nil"/>
              <w:bottom w:val="inset" w:color="auto" w:sz="8" w:space="0"/>
              <w:right w:val="single" w:color="auto" w:sz="8" w:space="0"/>
            </w:tcBorders>
            <w:shd w:val="clear"/>
            <w:tcMar>
              <w:left w:w="57" w:type="dxa"/>
              <w:right w:w="57" w:type="dxa"/>
            </w:tcMar>
            <w:vAlign w:val="center"/>
          </w:tcPr>
          <w:p w14:paraId="474EFF9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（三）不予公开</w:t>
            </w:r>
          </w:p>
        </w:tc>
        <w:tc>
          <w:tcPr>
            <w:tcW w:w="4823" w:type="dxa"/>
            <w:tcBorders>
              <w:top w:val="nil"/>
              <w:left w:val="nil"/>
              <w:bottom w:val="single" w:color="auto" w:sz="8" w:space="0"/>
              <w:right w:val="single" w:color="auto" w:sz="8" w:space="0"/>
            </w:tcBorders>
            <w:shd w:val="clear"/>
            <w:tcMar>
              <w:left w:w="57" w:type="dxa"/>
              <w:right w:w="57" w:type="dxa"/>
            </w:tcMar>
            <w:vAlign w:val="top"/>
          </w:tcPr>
          <w:p w14:paraId="5E36BC3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1.属于国家秘密</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7251CF4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746F15B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52BA21E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68DD92C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3E7772D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2B3F453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7D2F52C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r>
      <w:tr w14:paraId="7428AF4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inset" w:color="auto" w:sz="8" w:space="0"/>
              <w:right w:val="single" w:color="auto" w:sz="8" w:space="0"/>
            </w:tcBorders>
            <w:shd w:val="clear"/>
            <w:tcMar>
              <w:left w:w="57" w:type="dxa"/>
              <w:right w:w="57" w:type="dxa"/>
            </w:tcMar>
            <w:vAlign w:val="center"/>
          </w:tcPr>
          <w:p w14:paraId="7FD6C176">
            <w:pPr>
              <w:rPr>
                <w:rFonts w:hint="eastAsia" w:ascii="宋体"/>
                <w:sz w:val="24"/>
                <w:szCs w:val="24"/>
              </w:rPr>
            </w:pPr>
          </w:p>
        </w:tc>
        <w:tc>
          <w:tcPr>
            <w:tcW w:w="997" w:type="dxa"/>
            <w:vMerge w:val="continue"/>
            <w:tcBorders>
              <w:top w:val="nil"/>
              <w:left w:val="nil"/>
              <w:bottom w:val="inset" w:color="auto" w:sz="8" w:space="0"/>
              <w:right w:val="single" w:color="auto" w:sz="8" w:space="0"/>
            </w:tcBorders>
            <w:shd w:val="clear"/>
            <w:tcMar>
              <w:left w:w="57" w:type="dxa"/>
              <w:right w:w="57" w:type="dxa"/>
            </w:tcMar>
            <w:vAlign w:val="center"/>
          </w:tcPr>
          <w:p w14:paraId="62EF805D">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14:paraId="4FEDE06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2.其他法律行政法规禁止公开</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0A1D76A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253953E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32BE224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4A8A1E0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0CFBD14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012C1E9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1A4936E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r>
      <w:tr w14:paraId="0D7B687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inset" w:color="auto" w:sz="8" w:space="0"/>
              <w:right w:val="single" w:color="auto" w:sz="8" w:space="0"/>
            </w:tcBorders>
            <w:shd w:val="clear"/>
            <w:tcMar>
              <w:left w:w="57" w:type="dxa"/>
              <w:right w:w="57" w:type="dxa"/>
            </w:tcMar>
            <w:vAlign w:val="center"/>
          </w:tcPr>
          <w:p w14:paraId="72C9AE34">
            <w:pPr>
              <w:rPr>
                <w:rFonts w:hint="eastAsia" w:ascii="宋体"/>
                <w:sz w:val="24"/>
                <w:szCs w:val="24"/>
              </w:rPr>
            </w:pPr>
          </w:p>
        </w:tc>
        <w:tc>
          <w:tcPr>
            <w:tcW w:w="997" w:type="dxa"/>
            <w:vMerge w:val="continue"/>
            <w:tcBorders>
              <w:top w:val="nil"/>
              <w:left w:val="nil"/>
              <w:bottom w:val="inset" w:color="auto" w:sz="8" w:space="0"/>
              <w:right w:val="single" w:color="auto" w:sz="8" w:space="0"/>
            </w:tcBorders>
            <w:shd w:val="clear"/>
            <w:tcMar>
              <w:left w:w="57" w:type="dxa"/>
              <w:right w:w="57" w:type="dxa"/>
            </w:tcMar>
            <w:vAlign w:val="center"/>
          </w:tcPr>
          <w:p w14:paraId="4163671F">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14:paraId="5FAE8D2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3.危及“三安全一稳定”</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0982729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00EDFA8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66A91B1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706A28F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40F1FB4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3E6216E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6BBF99F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r>
      <w:tr w14:paraId="0F080C5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inset" w:color="auto" w:sz="8" w:space="0"/>
              <w:right w:val="single" w:color="auto" w:sz="8" w:space="0"/>
            </w:tcBorders>
            <w:shd w:val="clear"/>
            <w:tcMar>
              <w:left w:w="57" w:type="dxa"/>
              <w:right w:w="57" w:type="dxa"/>
            </w:tcMar>
            <w:vAlign w:val="center"/>
          </w:tcPr>
          <w:p w14:paraId="3331BB7B">
            <w:pPr>
              <w:rPr>
                <w:rFonts w:hint="eastAsia" w:ascii="宋体"/>
                <w:sz w:val="24"/>
                <w:szCs w:val="24"/>
              </w:rPr>
            </w:pPr>
          </w:p>
        </w:tc>
        <w:tc>
          <w:tcPr>
            <w:tcW w:w="997" w:type="dxa"/>
            <w:vMerge w:val="continue"/>
            <w:tcBorders>
              <w:top w:val="nil"/>
              <w:left w:val="nil"/>
              <w:bottom w:val="inset" w:color="auto" w:sz="8" w:space="0"/>
              <w:right w:val="single" w:color="auto" w:sz="8" w:space="0"/>
            </w:tcBorders>
            <w:shd w:val="clear"/>
            <w:tcMar>
              <w:left w:w="57" w:type="dxa"/>
              <w:right w:w="57" w:type="dxa"/>
            </w:tcMar>
            <w:vAlign w:val="center"/>
          </w:tcPr>
          <w:p w14:paraId="75C033EE">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14:paraId="2201EA7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4.保护第三方合法权益</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09530AF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5FC0F94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4F4B48A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25A60D9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7C836BC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5CE19E6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6273D5E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r>
      <w:tr w14:paraId="4B48DCD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inset" w:color="auto" w:sz="8" w:space="0"/>
              <w:right w:val="single" w:color="auto" w:sz="8" w:space="0"/>
            </w:tcBorders>
            <w:shd w:val="clear"/>
            <w:tcMar>
              <w:left w:w="57" w:type="dxa"/>
              <w:right w:w="57" w:type="dxa"/>
            </w:tcMar>
            <w:vAlign w:val="center"/>
          </w:tcPr>
          <w:p w14:paraId="37176AF4">
            <w:pPr>
              <w:rPr>
                <w:rFonts w:hint="eastAsia" w:ascii="宋体"/>
                <w:sz w:val="24"/>
                <w:szCs w:val="24"/>
              </w:rPr>
            </w:pPr>
          </w:p>
        </w:tc>
        <w:tc>
          <w:tcPr>
            <w:tcW w:w="997" w:type="dxa"/>
            <w:vMerge w:val="continue"/>
            <w:tcBorders>
              <w:top w:val="nil"/>
              <w:left w:val="nil"/>
              <w:bottom w:val="inset" w:color="auto" w:sz="8" w:space="0"/>
              <w:right w:val="single" w:color="auto" w:sz="8" w:space="0"/>
            </w:tcBorders>
            <w:shd w:val="clear"/>
            <w:tcMar>
              <w:left w:w="57" w:type="dxa"/>
              <w:right w:w="57" w:type="dxa"/>
            </w:tcMar>
            <w:vAlign w:val="center"/>
          </w:tcPr>
          <w:p w14:paraId="06E53154">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14:paraId="090A362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5.属于三类内部事务信息</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72D9282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6F0BC70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106BD37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3CF5504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043F547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1FD17F3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54E741B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r>
      <w:tr w14:paraId="4317961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inset" w:color="auto" w:sz="8" w:space="0"/>
              <w:right w:val="single" w:color="auto" w:sz="8" w:space="0"/>
            </w:tcBorders>
            <w:shd w:val="clear"/>
            <w:tcMar>
              <w:left w:w="57" w:type="dxa"/>
              <w:right w:w="57" w:type="dxa"/>
            </w:tcMar>
            <w:vAlign w:val="center"/>
          </w:tcPr>
          <w:p w14:paraId="78C2029C">
            <w:pPr>
              <w:rPr>
                <w:rFonts w:hint="eastAsia" w:ascii="宋体"/>
                <w:sz w:val="24"/>
                <w:szCs w:val="24"/>
              </w:rPr>
            </w:pPr>
          </w:p>
        </w:tc>
        <w:tc>
          <w:tcPr>
            <w:tcW w:w="997" w:type="dxa"/>
            <w:vMerge w:val="continue"/>
            <w:tcBorders>
              <w:top w:val="nil"/>
              <w:left w:val="nil"/>
              <w:bottom w:val="inset" w:color="auto" w:sz="8" w:space="0"/>
              <w:right w:val="single" w:color="auto" w:sz="8" w:space="0"/>
            </w:tcBorders>
            <w:shd w:val="clear"/>
            <w:tcMar>
              <w:left w:w="57" w:type="dxa"/>
              <w:right w:w="57" w:type="dxa"/>
            </w:tcMar>
            <w:vAlign w:val="center"/>
          </w:tcPr>
          <w:p w14:paraId="32422435">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14:paraId="5C8FB73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6.属于四类过程性信息</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77130B3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4749BC1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06B532F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570D3E6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2C997CD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52C1726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16A9578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r>
      <w:tr w14:paraId="332102D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inset" w:color="auto" w:sz="8" w:space="0"/>
              <w:right w:val="single" w:color="auto" w:sz="8" w:space="0"/>
            </w:tcBorders>
            <w:shd w:val="clear"/>
            <w:tcMar>
              <w:left w:w="57" w:type="dxa"/>
              <w:right w:w="57" w:type="dxa"/>
            </w:tcMar>
            <w:vAlign w:val="center"/>
          </w:tcPr>
          <w:p w14:paraId="7047F8AE">
            <w:pPr>
              <w:rPr>
                <w:rFonts w:hint="eastAsia" w:ascii="宋体"/>
                <w:sz w:val="24"/>
                <w:szCs w:val="24"/>
              </w:rPr>
            </w:pPr>
          </w:p>
        </w:tc>
        <w:tc>
          <w:tcPr>
            <w:tcW w:w="997" w:type="dxa"/>
            <w:vMerge w:val="continue"/>
            <w:tcBorders>
              <w:top w:val="nil"/>
              <w:left w:val="nil"/>
              <w:bottom w:val="inset" w:color="auto" w:sz="8" w:space="0"/>
              <w:right w:val="single" w:color="auto" w:sz="8" w:space="0"/>
            </w:tcBorders>
            <w:shd w:val="clear"/>
            <w:tcMar>
              <w:left w:w="57" w:type="dxa"/>
              <w:right w:w="57" w:type="dxa"/>
            </w:tcMar>
            <w:vAlign w:val="center"/>
          </w:tcPr>
          <w:p w14:paraId="159FC52C">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14:paraId="675D313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7.属于行政执法案卷</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3BCC353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100952A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59E318A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122FF9C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623E904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5FFC3C1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09E7FCE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r>
      <w:tr w14:paraId="43FF2E1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780" w:type="dxa"/>
            <w:vMerge w:val="continue"/>
            <w:tcBorders>
              <w:top w:val="nil"/>
              <w:left w:val="single" w:color="auto" w:sz="8" w:space="0"/>
              <w:bottom w:val="inset" w:color="auto" w:sz="8" w:space="0"/>
              <w:right w:val="single" w:color="auto" w:sz="8" w:space="0"/>
            </w:tcBorders>
            <w:shd w:val="clear"/>
            <w:tcMar>
              <w:left w:w="57" w:type="dxa"/>
              <w:right w:w="57" w:type="dxa"/>
            </w:tcMar>
            <w:vAlign w:val="center"/>
          </w:tcPr>
          <w:p w14:paraId="71F29ECC">
            <w:pPr>
              <w:rPr>
                <w:rFonts w:hint="eastAsia" w:ascii="宋体"/>
                <w:sz w:val="24"/>
                <w:szCs w:val="24"/>
              </w:rPr>
            </w:pPr>
          </w:p>
        </w:tc>
        <w:tc>
          <w:tcPr>
            <w:tcW w:w="997" w:type="dxa"/>
            <w:vMerge w:val="continue"/>
            <w:tcBorders>
              <w:top w:val="nil"/>
              <w:left w:val="nil"/>
              <w:bottom w:val="inset" w:color="auto" w:sz="8" w:space="0"/>
              <w:right w:val="single" w:color="auto" w:sz="8" w:space="0"/>
            </w:tcBorders>
            <w:shd w:val="clear"/>
            <w:tcMar>
              <w:left w:w="57" w:type="dxa"/>
              <w:right w:w="57" w:type="dxa"/>
            </w:tcMar>
            <w:vAlign w:val="center"/>
          </w:tcPr>
          <w:p w14:paraId="2D9C7349">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14:paraId="4933B33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8.属于行政查询事项</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3CF9C82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790ECD2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25450BD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1A4CC99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4F2FC20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2C6A2E8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2801FFA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r>
      <w:tr w14:paraId="225F2D2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780" w:type="dxa"/>
            <w:vMerge w:val="continue"/>
            <w:tcBorders>
              <w:top w:val="nil"/>
              <w:left w:val="single" w:color="auto" w:sz="8" w:space="0"/>
              <w:bottom w:val="inset" w:color="auto" w:sz="8" w:space="0"/>
              <w:right w:val="single" w:color="auto" w:sz="8" w:space="0"/>
            </w:tcBorders>
            <w:shd w:val="clear"/>
            <w:tcMar>
              <w:left w:w="57" w:type="dxa"/>
              <w:right w:w="57" w:type="dxa"/>
            </w:tcMar>
            <w:vAlign w:val="center"/>
          </w:tcPr>
          <w:p w14:paraId="6DA84145">
            <w:pPr>
              <w:rPr>
                <w:rFonts w:hint="eastAsia" w:ascii="宋体"/>
                <w:sz w:val="24"/>
                <w:szCs w:val="24"/>
              </w:rPr>
            </w:pPr>
          </w:p>
        </w:tc>
        <w:tc>
          <w:tcPr>
            <w:tcW w:w="997" w:type="dxa"/>
            <w:vMerge w:val="restart"/>
            <w:tcBorders>
              <w:top w:val="nil"/>
              <w:left w:val="nil"/>
              <w:bottom w:val="inset" w:color="auto" w:sz="8" w:space="0"/>
              <w:right w:val="single" w:color="auto" w:sz="8" w:space="0"/>
            </w:tcBorders>
            <w:shd w:val="clear"/>
            <w:tcMar>
              <w:left w:w="57" w:type="dxa"/>
              <w:right w:w="57" w:type="dxa"/>
            </w:tcMar>
            <w:vAlign w:val="center"/>
          </w:tcPr>
          <w:p w14:paraId="6281D7C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（四）无法提供</w:t>
            </w:r>
          </w:p>
        </w:tc>
        <w:tc>
          <w:tcPr>
            <w:tcW w:w="4823" w:type="dxa"/>
            <w:tcBorders>
              <w:top w:val="nil"/>
              <w:left w:val="nil"/>
              <w:bottom w:val="single" w:color="auto" w:sz="8" w:space="0"/>
              <w:right w:val="single" w:color="auto" w:sz="8" w:space="0"/>
            </w:tcBorders>
            <w:shd w:val="clear"/>
            <w:tcMar>
              <w:left w:w="57" w:type="dxa"/>
              <w:right w:w="57" w:type="dxa"/>
            </w:tcMar>
            <w:vAlign w:val="top"/>
          </w:tcPr>
          <w:p w14:paraId="74A5078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1.本机关不掌握相关政府信息</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355339B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1CC7737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272AD15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4FD7DED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230A69F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4F9CCEC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62E74D0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r>
      <w:tr w14:paraId="5E7F26D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inset" w:color="auto" w:sz="8" w:space="0"/>
              <w:right w:val="single" w:color="auto" w:sz="8" w:space="0"/>
            </w:tcBorders>
            <w:shd w:val="clear"/>
            <w:tcMar>
              <w:left w:w="57" w:type="dxa"/>
              <w:right w:w="57" w:type="dxa"/>
            </w:tcMar>
            <w:vAlign w:val="center"/>
          </w:tcPr>
          <w:p w14:paraId="3241BE5D">
            <w:pPr>
              <w:rPr>
                <w:rFonts w:hint="eastAsia" w:ascii="宋体"/>
                <w:sz w:val="24"/>
                <w:szCs w:val="24"/>
              </w:rPr>
            </w:pPr>
          </w:p>
        </w:tc>
        <w:tc>
          <w:tcPr>
            <w:tcW w:w="997" w:type="dxa"/>
            <w:vMerge w:val="continue"/>
            <w:tcBorders>
              <w:top w:val="nil"/>
              <w:left w:val="nil"/>
              <w:bottom w:val="inset" w:color="auto" w:sz="8" w:space="0"/>
              <w:right w:val="single" w:color="auto" w:sz="8" w:space="0"/>
            </w:tcBorders>
            <w:shd w:val="clear"/>
            <w:tcMar>
              <w:left w:w="57" w:type="dxa"/>
              <w:right w:w="57" w:type="dxa"/>
            </w:tcMar>
            <w:vAlign w:val="center"/>
          </w:tcPr>
          <w:p w14:paraId="39C49E62">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14:paraId="0EE00AD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2.没有现成信息需要另行制作</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1509798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6151E71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74C973F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531DF82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354A589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3491E4F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4B707DE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r>
      <w:tr w14:paraId="3C0353C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inset" w:color="auto" w:sz="8" w:space="0"/>
              <w:right w:val="single" w:color="auto" w:sz="8" w:space="0"/>
            </w:tcBorders>
            <w:shd w:val="clear"/>
            <w:tcMar>
              <w:left w:w="57" w:type="dxa"/>
              <w:right w:w="57" w:type="dxa"/>
            </w:tcMar>
            <w:vAlign w:val="center"/>
          </w:tcPr>
          <w:p w14:paraId="6CFC0AF5">
            <w:pPr>
              <w:rPr>
                <w:rFonts w:hint="eastAsia" w:ascii="宋体"/>
                <w:sz w:val="24"/>
                <w:szCs w:val="24"/>
              </w:rPr>
            </w:pPr>
          </w:p>
        </w:tc>
        <w:tc>
          <w:tcPr>
            <w:tcW w:w="997" w:type="dxa"/>
            <w:vMerge w:val="continue"/>
            <w:tcBorders>
              <w:top w:val="nil"/>
              <w:left w:val="nil"/>
              <w:bottom w:val="inset" w:color="auto" w:sz="8" w:space="0"/>
              <w:right w:val="single" w:color="auto" w:sz="8" w:space="0"/>
            </w:tcBorders>
            <w:shd w:val="clear"/>
            <w:tcMar>
              <w:left w:w="57" w:type="dxa"/>
              <w:right w:w="57" w:type="dxa"/>
            </w:tcMar>
            <w:vAlign w:val="center"/>
          </w:tcPr>
          <w:p w14:paraId="20582C0C">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14:paraId="3533AE3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3.补正后申请内容仍不明确</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6A71FA7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4DB66CE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3A44CD1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5B3F443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4B644CC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6D88D38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55545D7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r>
      <w:tr w14:paraId="4DEDC7B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inset" w:color="auto" w:sz="8" w:space="0"/>
              <w:right w:val="single" w:color="auto" w:sz="8" w:space="0"/>
            </w:tcBorders>
            <w:shd w:val="clear"/>
            <w:tcMar>
              <w:left w:w="57" w:type="dxa"/>
              <w:right w:w="57" w:type="dxa"/>
            </w:tcMar>
            <w:vAlign w:val="center"/>
          </w:tcPr>
          <w:p w14:paraId="788688C1">
            <w:pPr>
              <w:rPr>
                <w:rFonts w:hint="eastAsia" w:ascii="宋体"/>
                <w:sz w:val="24"/>
                <w:szCs w:val="24"/>
              </w:rPr>
            </w:pPr>
          </w:p>
        </w:tc>
        <w:tc>
          <w:tcPr>
            <w:tcW w:w="997" w:type="dxa"/>
            <w:vMerge w:val="restart"/>
            <w:tcBorders>
              <w:top w:val="nil"/>
              <w:left w:val="nil"/>
              <w:bottom w:val="single" w:color="auto" w:sz="8" w:space="0"/>
              <w:right w:val="single" w:color="auto" w:sz="8" w:space="0"/>
            </w:tcBorders>
            <w:shd w:val="clear"/>
            <w:tcMar>
              <w:left w:w="57" w:type="dxa"/>
              <w:right w:w="57" w:type="dxa"/>
            </w:tcMar>
            <w:vAlign w:val="center"/>
          </w:tcPr>
          <w:p w14:paraId="77BE1CF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（五）不予处理</w:t>
            </w:r>
          </w:p>
        </w:tc>
        <w:tc>
          <w:tcPr>
            <w:tcW w:w="4823" w:type="dxa"/>
            <w:tcBorders>
              <w:top w:val="nil"/>
              <w:left w:val="nil"/>
              <w:bottom w:val="single" w:color="auto" w:sz="8" w:space="0"/>
              <w:right w:val="single" w:color="auto" w:sz="8" w:space="0"/>
            </w:tcBorders>
            <w:shd w:val="clear"/>
            <w:tcMar>
              <w:left w:w="57" w:type="dxa"/>
              <w:right w:w="57" w:type="dxa"/>
            </w:tcMar>
            <w:vAlign w:val="top"/>
          </w:tcPr>
          <w:p w14:paraId="40CFC77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1.信访举报投诉类申请</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5C398AF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434A9FB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44C64D4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34C9F89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08FFAD2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5AE5477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4466D22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r>
      <w:tr w14:paraId="6C04ACF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inset" w:color="auto" w:sz="8" w:space="0"/>
              <w:right w:val="single" w:color="auto" w:sz="8" w:space="0"/>
            </w:tcBorders>
            <w:shd w:val="clear"/>
            <w:tcMar>
              <w:left w:w="57" w:type="dxa"/>
              <w:right w:w="57" w:type="dxa"/>
            </w:tcMar>
            <w:vAlign w:val="center"/>
          </w:tcPr>
          <w:p w14:paraId="04348985">
            <w:pPr>
              <w:rPr>
                <w:rFonts w:hint="eastAsia" w:ascii="宋体"/>
                <w:sz w:val="24"/>
                <w:szCs w:val="24"/>
              </w:rPr>
            </w:pPr>
          </w:p>
        </w:tc>
        <w:tc>
          <w:tcPr>
            <w:tcW w:w="997" w:type="dxa"/>
            <w:vMerge w:val="continue"/>
            <w:tcBorders>
              <w:top w:val="nil"/>
              <w:left w:val="nil"/>
              <w:bottom w:val="single" w:color="auto" w:sz="8" w:space="0"/>
              <w:right w:val="single" w:color="auto" w:sz="8" w:space="0"/>
            </w:tcBorders>
            <w:shd w:val="clear"/>
            <w:tcMar>
              <w:left w:w="57" w:type="dxa"/>
              <w:right w:w="57" w:type="dxa"/>
            </w:tcMar>
            <w:vAlign w:val="center"/>
          </w:tcPr>
          <w:p w14:paraId="6969C3BE">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14:paraId="395BCEC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2.重复申请</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7964A5E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3A8EE8C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363D97D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1CFC4F9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30D9A34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0574A83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2DDB651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r>
      <w:tr w14:paraId="627887C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780" w:type="dxa"/>
            <w:vMerge w:val="continue"/>
            <w:tcBorders>
              <w:top w:val="nil"/>
              <w:left w:val="single" w:color="auto" w:sz="8" w:space="0"/>
              <w:bottom w:val="inset" w:color="auto" w:sz="8" w:space="0"/>
              <w:right w:val="single" w:color="auto" w:sz="8" w:space="0"/>
            </w:tcBorders>
            <w:shd w:val="clear"/>
            <w:tcMar>
              <w:left w:w="57" w:type="dxa"/>
              <w:right w:w="57" w:type="dxa"/>
            </w:tcMar>
            <w:vAlign w:val="center"/>
          </w:tcPr>
          <w:p w14:paraId="4C9EB7C4">
            <w:pPr>
              <w:rPr>
                <w:rFonts w:hint="eastAsia" w:ascii="宋体"/>
                <w:sz w:val="24"/>
                <w:szCs w:val="24"/>
              </w:rPr>
            </w:pPr>
          </w:p>
        </w:tc>
        <w:tc>
          <w:tcPr>
            <w:tcW w:w="997" w:type="dxa"/>
            <w:vMerge w:val="continue"/>
            <w:tcBorders>
              <w:top w:val="nil"/>
              <w:left w:val="nil"/>
              <w:bottom w:val="single" w:color="auto" w:sz="8" w:space="0"/>
              <w:right w:val="single" w:color="auto" w:sz="8" w:space="0"/>
            </w:tcBorders>
            <w:shd w:val="clear"/>
            <w:tcMar>
              <w:left w:w="57" w:type="dxa"/>
              <w:right w:w="57" w:type="dxa"/>
            </w:tcMar>
            <w:vAlign w:val="center"/>
          </w:tcPr>
          <w:p w14:paraId="20E1C88C">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14:paraId="3DFC109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3.要求提供公开出版物</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13644AD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1872618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69D7C50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54FD8A3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0D4CCD2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7B430AF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286F8B0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r>
      <w:tr w14:paraId="2BC403A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inset" w:color="auto" w:sz="8" w:space="0"/>
              <w:right w:val="single" w:color="auto" w:sz="8" w:space="0"/>
            </w:tcBorders>
            <w:shd w:val="clear"/>
            <w:tcMar>
              <w:left w:w="57" w:type="dxa"/>
              <w:right w:w="57" w:type="dxa"/>
            </w:tcMar>
            <w:vAlign w:val="center"/>
          </w:tcPr>
          <w:p w14:paraId="7EAFE0ED">
            <w:pPr>
              <w:rPr>
                <w:rFonts w:hint="eastAsia" w:ascii="宋体"/>
                <w:sz w:val="24"/>
                <w:szCs w:val="24"/>
              </w:rPr>
            </w:pPr>
          </w:p>
        </w:tc>
        <w:tc>
          <w:tcPr>
            <w:tcW w:w="997" w:type="dxa"/>
            <w:vMerge w:val="continue"/>
            <w:tcBorders>
              <w:top w:val="nil"/>
              <w:left w:val="nil"/>
              <w:bottom w:val="single" w:color="auto" w:sz="8" w:space="0"/>
              <w:right w:val="single" w:color="auto" w:sz="8" w:space="0"/>
            </w:tcBorders>
            <w:shd w:val="clear"/>
            <w:tcMar>
              <w:left w:w="57" w:type="dxa"/>
              <w:right w:w="57" w:type="dxa"/>
            </w:tcMar>
            <w:vAlign w:val="center"/>
          </w:tcPr>
          <w:p w14:paraId="6F6FF770">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14:paraId="77F5CA9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4.无正当理由大量反复申请</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26457C2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0473996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030BB83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03D2008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6B9C03D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190D59F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6B4FA64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r>
      <w:tr w14:paraId="130DB2E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inset" w:color="auto" w:sz="8" w:space="0"/>
              <w:right w:val="single" w:color="auto" w:sz="8" w:space="0"/>
            </w:tcBorders>
            <w:shd w:val="clear"/>
            <w:tcMar>
              <w:left w:w="57" w:type="dxa"/>
              <w:right w:w="57" w:type="dxa"/>
            </w:tcMar>
            <w:vAlign w:val="center"/>
          </w:tcPr>
          <w:p w14:paraId="0801CEA1">
            <w:pPr>
              <w:rPr>
                <w:rFonts w:hint="eastAsia" w:ascii="宋体"/>
                <w:sz w:val="24"/>
                <w:szCs w:val="24"/>
              </w:rPr>
            </w:pPr>
          </w:p>
        </w:tc>
        <w:tc>
          <w:tcPr>
            <w:tcW w:w="997" w:type="dxa"/>
            <w:vMerge w:val="continue"/>
            <w:tcBorders>
              <w:top w:val="nil"/>
              <w:left w:val="nil"/>
              <w:bottom w:val="single" w:color="auto" w:sz="8" w:space="0"/>
              <w:right w:val="single" w:color="auto" w:sz="8" w:space="0"/>
            </w:tcBorders>
            <w:shd w:val="clear"/>
            <w:tcMar>
              <w:left w:w="57" w:type="dxa"/>
              <w:right w:w="57" w:type="dxa"/>
            </w:tcMar>
            <w:vAlign w:val="center"/>
          </w:tcPr>
          <w:p w14:paraId="48867731">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center"/>
          </w:tcPr>
          <w:p w14:paraId="5CFCF4D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both"/>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5.要求行政机关确认或重新出具已获取信息</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22A11C0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4006CFF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7566250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03B5640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28B93D5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14D9245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7A81D23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 </w:t>
            </w:r>
          </w:p>
          <w:p w14:paraId="301D3EE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r>
      <w:tr w14:paraId="7FD7738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inset" w:color="auto" w:sz="8" w:space="0"/>
              <w:right w:val="single" w:color="auto" w:sz="8" w:space="0"/>
            </w:tcBorders>
            <w:shd w:val="clear"/>
            <w:tcMar>
              <w:left w:w="57" w:type="dxa"/>
              <w:right w:w="57" w:type="dxa"/>
            </w:tcMar>
            <w:vAlign w:val="center"/>
          </w:tcPr>
          <w:p w14:paraId="27DCEB97">
            <w:pPr>
              <w:rPr>
                <w:rFonts w:hint="eastAsia" w:ascii="宋体"/>
                <w:sz w:val="24"/>
                <w:szCs w:val="24"/>
              </w:rPr>
            </w:pPr>
          </w:p>
        </w:tc>
        <w:tc>
          <w:tcPr>
            <w:tcW w:w="997" w:type="dxa"/>
            <w:vMerge w:val="restart"/>
            <w:tcBorders>
              <w:top w:val="nil"/>
              <w:left w:val="nil"/>
              <w:bottom w:val="single" w:color="auto" w:sz="8" w:space="0"/>
              <w:right w:val="single" w:color="auto" w:sz="8" w:space="0"/>
            </w:tcBorders>
            <w:shd w:val="clear"/>
            <w:tcMar>
              <w:left w:w="57" w:type="dxa"/>
              <w:right w:w="57" w:type="dxa"/>
            </w:tcMar>
            <w:vAlign w:val="center"/>
          </w:tcPr>
          <w:p w14:paraId="69CA0C2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（六）其他处理</w:t>
            </w:r>
          </w:p>
        </w:tc>
        <w:tc>
          <w:tcPr>
            <w:tcW w:w="4823" w:type="dxa"/>
            <w:tcBorders>
              <w:top w:val="nil"/>
              <w:left w:val="nil"/>
              <w:bottom w:val="single" w:color="auto" w:sz="8" w:space="0"/>
              <w:right w:val="single" w:color="auto" w:sz="8" w:space="0"/>
            </w:tcBorders>
            <w:shd w:val="clear"/>
            <w:tcMar>
              <w:left w:w="57" w:type="dxa"/>
              <w:right w:w="57" w:type="dxa"/>
            </w:tcMar>
            <w:vAlign w:val="center"/>
          </w:tcPr>
          <w:p w14:paraId="31D4A22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both"/>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1.申请人无正当理由逾期不补正、行政机关不再处理其政府信息公开申请</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649C796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03FD9F2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6583B50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7F6912A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113E192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5CE4F93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08E2F2D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 </w:t>
            </w:r>
          </w:p>
          <w:p w14:paraId="4022D54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 </w:t>
            </w:r>
          </w:p>
          <w:p w14:paraId="59B10FB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r>
      <w:tr w14:paraId="65F8571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780" w:type="dxa"/>
            <w:vMerge w:val="continue"/>
            <w:tcBorders>
              <w:top w:val="nil"/>
              <w:left w:val="single" w:color="auto" w:sz="8" w:space="0"/>
              <w:bottom w:val="inset" w:color="auto" w:sz="8" w:space="0"/>
              <w:right w:val="single" w:color="auto" w:sz="8" w:space="0"/>
            </w:tcBorders>
            <w:shd w:val="clear"/>
            <w:tcMar>
              <w:left w:w="57" w:type="dxa"/>
              <w:right w:w="57" w:type="dxa"/>
            </w:tcMar>
            <w:vAlign w:val="center"/>
          </w:tcPr>
          <w:p w14:paraId="004CD981">
            <w:pPr>
              <w:rPr>
                <w:rFonts w:hint="eastAsia" w:ascii="宋体"/>
                <w:sz w:val="24"/>
                <w:szCs w:val="24"/>
              </w:rPr>
            </w:pPr>
          </w:p>
        </w:tc>
        <w:tc>
          <w:tcPr>
            <w:tcW w:w="997" w:type="dxa"/>
            <w:vMerge w:val="continue"/>
            <w:tcBorders>
              <w:top w:val="nil"/>
              <w:left w:val="nil"/>
              <w:bottom w:val="single" w:color="auto" w:sz="8" w:space="0"/>
              <w:right w:val="single" w:color="auto" w:sz="8" w:space="0"/>
            </w:tcBorders>
            <w:shd w:val="clear"/>
            <w:tcMar>
              <w:left w:w="57" w:type="dxa"/>
              <w:right w:w="57" w:type="dxa"/>
            </w:tcMar>
            <w:vAlign w:val="center"/>
          </w:tcPr>
          <w:p w14:paraId="269C389D">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center"/>
          </w:tcPr>
          <w:p w14:paraId="40E809F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both"/>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2.申请人逾期未按收费通知要求缴纳费用、行政机关不再处理其政府信息公开申请</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5F36129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015133F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5A36A76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14C6FD9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403A890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759264E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1F8C8F4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 </w:t>
            </w:r>
          </w:p>
          <w:p w14:paraId="0E00C7B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r>
      <w:tr w14:paraId="475ACA6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inset" w:color="auto" w:sz="8" w:space="0"/>
              <w:right w:val="single" w:color="auto" w:sz="8" w:space="0"/>
            </w:tcBorders>
            <w:shd w:val="clear"/>
            <w:tcMar>
              <w:left w:w="57" w:type="dxa"/>
              <w:right w:w="57" w:type="dxa"/>
            </w:tcMar>
            <w:vAlign w:val="center"/>
          </w:tcPr>
          <w:p w14:paraId="3A58BC17">
            <w:pPr>
              <w:rPr>
                <w:rFonts w:hint="eastAsia" w:ascii="宋体"/>
                <w:sz w:val="24"/>
                <w:szCs w:val="24"/>
              </w:rPr>
            </w:pPr>
          </w:p>
        </w:tc>
        <w:tc>
          <w:tcPr>
            <w:tcW w:w="997" w:type="dxa"/>
            <w:vMerge w:val="continue"/>
            <w:tcBorders>
              <w:top w:val="nil"/>
              <w:left w:val="nil"/>
              <w:bottom w:val="single" w:color="auto" w:sz="8" w:space="0"/>
              <w:right w:val="single" w:color="auto" w:sz="8" w:space="0"/>
            </w:tcBorders>
            <w:shd w:val="clear"/>
            <w:tcMar>
              <w:left w:w="57" w:type="dxa"/>
              <w:right w:w="57" w:type="dxa"/>
            </w:tcMar>
            <w:vAlign w:val="center"/>
          </w:tcPr>
          <w:p w14:paraId="139C8F96">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center"/>
          </w:tcPr>
          <w:p w14:paraId="4EE38DA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3.其他</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1CFA10D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585480A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18A9613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25D5397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55805B7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6DCE636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6AFF48B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r>
      <w:tr w14:paraId="1B2AE4F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780" w:type="dxa"/>
            <w:vMerge w:val="continue"/>
            <w:tcBorders>
              <w:top w:val="nil"/>
              <w:left w:val="single" w:color="auto" w:sz="8" w:space="0"/>
              <w:bottom w:val="inset" w:color="auto" w:sz="8" w:space="0"/>
              <w:right w:val="single" w:color="auto" w:sz="8" w:space="0"/>
            </w:tcBorders>
            <w:shd w:val="clear"/>
            <w:tcMar>
              <w:left w:w="57" w:type="dxa"/>
              <w:right w:w="57" w:type="dxa"/>
            </w:tcMar>
            <w:vAlign w:val="center"/>
          </w:tcPr>
          <w:p w14:paraId="21B05D62">
            <w:pPr>
              <w:rPr>
                <w:rFonts w:hint="eastAsia" w:ascii="宋体"/>
                <w:sz w:val="24"/>
                <w:szCs w:val="24"/>
              </w:rPr>
            </w:pPr>
          </w:p>
        </w:tc>
        <w:tc>
          <w:tcPr>
            <w:tcW w:w="5820" w:type="dxa"/>
            <w:gridSpan w:val="2"/>
            <w:tcBorders>
              <w:top w:val="nil"/>
              <w:left w:val="nil"/>
              <w:bottom w:val="single" w:color="auto" w:sz="8" w:space="0"/>
              <w:right w:val="single" w:color="auto" w:sz="8" w:space="0"/>
            </w:tcBorders>
            <w:shd w:val="clear"/>
            <w:tcMar>
              <w:left w:w="57" w:type="dxa"/>
              <w:right w:w="57" w:type="dxa"/>
            </w:tcMar>
            <w:vAlign w:val="center"/>
          </w:tcPr>
          <w:p w14:paraId="15CDD96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（七）总计</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447FCFB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556663C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4851AE0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6C105BA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7D3A7D3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15E32F0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24330A0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r>
      <w:tr w14:paraId="3A9F228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tcMar>
              <w:left w:w="57" w:type="dxa"/>
              <w:right w:w="57" w:type="dxa"/>
            </w:tcMar>
            <w:vAlign w:val="center"/>
          </w:tcPr>
          <w:p w14:paraId="42F8B84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四、结转下年度继续办理</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1309C43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77D0304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5046BD0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2FFD7B1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18004C4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351855D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6B70436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bdr w:val="none" w:color="auto" w:sz="0" w:space="0"/>
              </w:rPr>
              <w:t>0</w:t>
            </w:r>
          </w:p>
        </w:tc>
      </w:tr>
    </w:tbl>
    <w:p w14:paraId="79275CA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both"/>
        <w:rPr>
          <w:rFonts w:hint="default" w:ascii="Times New Roman" w:hAnsi="Times New Roman" w:cs="Times New Roman"/>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shd w:val="clear" w:fill="FFFFFF"/>
        </w:rPr>
        <w:t>四、政府信息公开行政复议、行政诉讼情况</w:t>
      </w:r>
    </w:p>
    <w:tbl>
      <w:tblPr>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76B14DF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14:paraId="79C92A3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行政复议</w:t>
            </w:r>
          </w:p>
        </w:tc>
        <w:tc>
          <w:tcPr>
            <w:tcW w:w="6428" w:type="dxa"/>
            <w:gridSpan w:val="10"/>
            <w:tcBorders>
              <w:top w:val="single" w:color="auto" w:sz="8" w:space="0"/>
              <w:left w:val="nil"/>
              <w:bottom w:val="single" w:color="auto" w:sz="8" w:space="0"/>
              <w:right w:val="single" w:color="auto" w:sz="8" w:space="0"/>
            </w:tcBorders>
            <w:shd w:val="clear"/>
            <w:tcMar>
              <w:left w:w="108" w:type="dxa"/>
              <w:right w:w="108" w:type="dxa"/>
            </w:tcMar>
            <w:vAlign w:val="center"/>
          </w:tcPr>
          <w:p w14:paraId="73822DA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行政诉讼</w:t>
            </w:r>
          </w:p>
        </w:tc>
      </w:tr>
      <w:tr w14:paraId="2E93959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14:paraId="4463372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结果维持</w:t>
            </w:r>
          </w:p>
        </w:tc>
        <w:tc>
          <w:tcPr>
            <w:tcW w:w="642" w:type="dxa"/>
            <w:vMerge w:val="restart"/>
            <w:tcBorders>
              <w:top w:val="nil"/>
              <w:left w:val="nil"/>
              <w:bottom w:val="single" w:color="auto" w:sz="8" w:space="0"/>
              <w:right w:val="single" w:color="auto" w:sz="8" w:space="0"/>
            </w:tcBorders>
            <w:shd w:val="clear"/>
            <w:tcMar>
              <w:left w:w="108" w:type="dxa"/>
              <w:right w:w="108" w:type="dxa"/>
            </w:tcMar>
            <w:vAlign w:val="center"/>
          </w:tcPr>
          <w:p w14:paraId="0E49F16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结果</w:t>
            </w:r>
            <w:r>
              <w:rPr>
                <w:rFonts w:hint="eastAsia" w:ascii="楷体" w:hAnsi="楷体" w:eastAsia="楷体" w:cs="楷体"/>
                <w:b/>
                <w:bCs/>
                <w:sz w:val="32"/>
                <w:szCs w:val="32"/>
                <w:bdr w:val="none" w:color="auto" w:sz="0" w:space="0"/>
              </w:rPr>
              <w:br w:type="textWrapping"/>
            </w:r>
            <w:r>
              <w:rPr>
                <w:rFonts w:hint="eastAsia" w:ascii="楷体" w:hAnsi="楷体" w:eastAsia="楷体" w:cs="楷体"/>
                <w:b/>
                <w:bCs/>
                <w:sz w:val="32"/>
                <w:szCs w:val="32"/>
                <w:bdr w:val="none" w:color="auto" w:sz="0" w:space="0"/>
              </w:rPr>
              <w:t>纠正</w:t>
            </w:r>
          </w:p>
        </w:tc>
        <w:tc>
          <w:tcPr>
            <w:tcW w:w="642" w:type="dxa"/>
            <w:vMerge w:val="restart"/>
            <w:tcBorders>
              <w:top w:val="nil"/>
              <w:left w:val="nil"/>
              <w:bottom w:val="single" w:color="auto" w:sz="8" w:space="0"/>
              <w:right w:val="single" w:color="auto" w:sz="8" w:space="0"/>
            </w:tcBorders>
            <w:shd w:val="clear"/>
            <w:tcMar>
              <w:left w:w="108" w:type="dxa"/>
              <w:right w:w="108" w:type="dxa"/>
            </w:tcMar>
            <w:vAlign w:val="center"/>
          </w:tcPr>
          <w:p w14:paraId="55FC275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其他</w:t>
            </w:r>
            <w:r>
              <w:rPr>
                <w:rFonts w:hint="eastAsia" w:ascii="楷体" w:hAnsi="楷体" w:eastAsia="楷体" w:cs="楷体"/>
                <w:b/>
                <w:bCs/>
                <w:sz w:val="32"/>
                <w:szCs w:val="32"/>
                <w:bdr w:val="none" w:color="auto" w:sz="0" w:space="0"/>
              </w:rPr>
              <w:br w:type="textWrapping"/>
            </w:r>
            <w:r>
              <w:rPr>
                <w:rFonts w:hint="eastAsia" w:ascii="楷体" w:hAnsi="楷体" w:eastAsia="楷体" w:cs="楷体"/>
                <w:b/>
                <w:bCs/>
                <w:sz w:val="32"/>
                <w:szCs w:val="32"/>
                <w:bdr w:val="none" w:color="auto" w:sz="0" w:space="0"/>
              </w:rPr>
              <w:t>结果</w:t>
            </w:r>
          </w:p>
        </w:tc>
        <w:tc>
          <w:tcPr>
            <w:tcW w:w="642" w:type="dxa"/>
            <w:vMerge w:val="restart"/>
            <w:tcBorders>
              <w:top w:val="nil"/>
              <w:left w:val="nil"/>
              <w:bottom w:val="single" w:color="auto" w:sz="8" w:space="0"/>
              <w:right w:val="single" w:color="auto" w:sz="8" w:space="0"/>
            </w:tcBorders>
            <w:shd w:val="clear"/>
            <w:tcMar>
              <w:left w:w="108" w:type="dxa"/>
              <w:right w:w="108" w:type="dxa"/>
            </w:tcMar>
            <w:vAlign w:val="center"/>
          </w:tcPr>
          <w:p w14:paraId="643448E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尚未</w:t>
            </w:r>
            <w:r>
              <w:rPr>
                <w:rFonts w:hint="eastAsia" w:ascii="楷体" w:hAnsi="楷体" w:eastAsia="楷体" w:cs="楷体"/>
                <w:b/>
                <w:bCs/>
                <w:sz w:val="32"/>
                <w:szCs w:val="32"/>
                <w:bdr w:val="none" w:color="auto" w:sz="0" w:space="0"/>
              </w:rPr>
              <w:br w:type="textWrapping"/>
            </w:r>
            <w:r>
              <w:rPr>
                <w:rFonts w:hint="eastAsia" w:ascii="楷体" w:hAnsi="楷体" w:eastAsia="楷体" w:cs="楷体"/>
                <w:b/>
                <w:bCs/>
                <w:sz w:val="32"/>
                <w:szCs w:val="32"/>
                <w:bdr w:val="none" w:color="auto" w:sz="0" w:space="0"/>
              </w:rPr>
              <w:t>审结</w:t>
            </w:r>
          </w:p>
        </w:tc>
        <w:tc>
          <w:tcPr>
            <w:tcW w:w="642" w:type="dxa"/>
            <w:vMerge w:val="restart"/>
            <w:tcBorders>
              <w:top w:val="nil"/>
              <w:left w:val="nil"/>
              <w:bottom w:val="single" w:color="auto" w:sz="8" w:space="0"/>
              <w:right w:val="single" w:color="auto" w:sz="8" w:space="0"/>
            </w:tcBorders>
            <w:shd w:val="clear"/>
            <w:tcMar>
              <w:left w:w="108" w:type="dxa"/>
              <w:right w:w="108" w:type="dxa"/>
            </w:tcMar>
            <w:vAlign w:val="center"/>
          </w:tcPr>
          <w:p w14:paraId="75B5A79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总计</w:t>
            </w:r>
          </w:p>
        </w:tc>
        <w:tc>
          <w:tcPr>
            <w:tcW w:w="3213" w:type="dxa"/>
            <w:gridSpan w:val="5"/>
            <w:tcBorders>
              <w:top w:val="nil"/>
              <w:left w:val="nil"/>
              <w:bottom w:val="single" w:color="auto" w:sz="8" w:space="0"/>
              <w:right w:val="single" w:color="auto" w:sz="8" w:space="0"/>
            </w:tcBorders>
            <w:shd w:val="clear"/>
            <w:tcMar>
              <w:left w:w="108" w:type="dxa"/>
              <w:right w:w="108" w:type="dxa"/>
            </w:tcMar>
            <w:vAlign w:val="center"/>
          </w:tcPr>
          <w:p w14:paraId="0A52A55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未经复议直接起诉</w:t>
            </w:r>
          </w:p>
        </w:tc>
        <w:tc>
          <w:tcPr>
            <w:tcW w:w="3215" w:type="dxa"/>
            <w:gridSpan w:val="5"/>
            <w:tcBorders>
              <w:top w:val="nil"/>
              <w:left w:val="nil"/>
              <w:bottom w:val="single" w:color="auto" w:sz="8" w:space="0"/>
              <w:right w:val="single" w:color="auto" w:sz="8" w:space="0"/>
            </w:tcBorders>
            <w:shd w:val="clear"/>
            <w:tcMar>
              <w:left w:w="108" w:type="dxa"/>
              <w:right w:w="108" w:type="dxa"/>
            </w:tcMar>
            <w:vAlign w:val="center"/>
          </w:tcPr>
          <w:p w14:paraId="28C4623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复议后起诉</w:t>
            </w:r>
          </w:p>
        </w:tc>
      </w:tr>
      <w:tr w14:paraId="7B8CAEF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14:paraId="26295285">
            <w:pPr>
              <w:rPr>
                <w:rFonts w:hint="eastAsia" w:ascii="宋体"/>
                <w:sz w:val="24"/>
                <w:szCs w:val="24"/>
              </w:rPr>
            </w:pPr>
          </w:p>
        </w:tc>
        <w:tc>
          <w:tcPr>
            <w:tcW w:w="642" w:type="dxa"/>
            <w:vMerge w:val="continue"/>
            <w:tcBorders>
              <w:top w:val="nil"/>
              <w:left w:val="nil"/>
              <w:bottom w:val="single" w:color="auto" w:sz="8" w:space="0"/>
              <w:right w:val="single" w:color="auto" w:sz="8" w:space="0"/>
            </w:tcBorders>
            <w:shd w:val="clear"/>
            <w:tcMar>
              <w:left w:w="108" w:type="dxa"/>
              <w:right w:w="108" w:type="dxa"/>
            </w:tcMar>
            <w:vAlign w:val="center"/>
          </w:tcPr>
          <w:p w14:paraId="3F4C6A24">
            <w:pPr>
              <w:rPr>
                <w:rFonts w:hint="eastAsia" w:ascii="宋体"/>
                <w:sz w:val="24"/>
                <w:szCs w:val="24"/>
              </w:rPr>
            </w:pPr>
          </w:p>
        </w:tc>
        <w:tc>
          <w:tcPr>
            <w:tcW w:w="642" w:type="dxa"/>
            <w:vMerge w:val="continue"/>
            <w:tcBorders>
              <w:top w:val="nil"/>
              <w:left w:val="nil"/>
              <w:bottom w:val="single" w:color="auto" w:sz="8" w:space="0"/>
              <w:right w:val="single" w:color="auto" w:sz="8" w:space="0"/>
            </w:tcBorders>
            <w:shd w:val="clear"/>
            <w:tcMar>
              <w:left w:w="108" w:type="dxa"/>
              <w:right w:w="108" w:type="dxa"/>
            </w:tcMar>
            <w:vAlign w:val="center"/>
          </w:tcPr>
          <w:p w14:paraId="1D55FAC2">
            <w:pPr>
              <w:rPr>
                <w:rFonts w:hint="eastAsia" w:ascii="宋体"/>
                <w:sz w:val="24"/>
                <w:szCs w:val="24"/>
              </w:rPr>
            </w:pPr>
          </w:p>
        </w:tc>
        <w:tc>
          <w:tcPr>
            <w:tcW w:w="642" w:type="dxa"/>
            <w:vMerge w:val="continue"/>
            <w:tcBorders>
              <w:top w:val="nil"/>
              <w:left w:val="nil"/>
              <w:bottom w:val="single" w:color="auto" w:sz="8" w:space="0"/>
              <w:right w:val="single" w:color="auto" w:sz="8" w:space="0"/>
            </w:tcBorders>
            <w:shd w:val="clear"/>
            <w:tcMar>
              <w:left w:w="108" w:type="dxa"/>
              <w:right w:w="108" w:type="dxa"/>
            </w:tcMar>
            <w:vAlign w:val="center"/>
          </w:tcPr>
          <w:p w14:paraId="13E1E4CE">
            <w:pPr>
              <w:rPr>
                <w:rFonts w:hint="eastAsia" w:ascii="宋体"/>
                <w:sz w:val="24"/>
                <w:szCs w:val="24"/>
              </w:rPr>
            </w:pPr>
          </w:p>
        </w:tc>
        <w:tc>
          <w:tcPr>
            <w:tcW w:w="642" w:type="dxa"/>
            <w:vMerge w:val="continue"/>
            <w:tcBorders>
              <w:top w:val="nil"/>
              <w:left w:val="nil"/>
              <w:bottom w:val="single" w:color="auto" w:sz="8" w:space="0"/>
              <w:right w:val="single" w:color="auto" w:sz="8" w:space="0"/>
            </w:tcBorders>
            <w:shd w:val="clear"/>
            <w:tcMar>
              <w:left w:w="108" w:type="dxa"/>
              <w:right w:w="108" w:type="dxa"/>
            </w:tcMar>
            <w:vAlign w:val="center"/>
          </w:tcPr>
          <w:p w14:paraId="162C1B7F">
            <w:pPr>
              <w:rPr>
                <w:rFonts w:hint="eastAsia" w:ascii="宋体"/>
                <w:sz w:val="24"/>
                <w:szCs w:val="24"/>
              </w:rPr>
            </w:pPr>
          </w:p>
        </w:tc>
        <w:tc>
          <w:tcPr>
            <w:tcW w:w="642" w:type="dxa"/>
            <w:tcBorders>
              <w:top w:val="nil"/>
              <w:left w:val="nil"/>
              <w:bottom w:val="single" w:color="auto" w:sz="8" w:space="0"/>
              <w:right w:val="single" w:color="auto" w:sz="8" w:space="0"/>
            </w:tcBorders>
            <w:shd w:val="clear"/>
            <w:tcMar>
              <w:left w:w="108" w:type="dxa"/>
              <w:right w:w="108" w:type="dxa"/>
            </w:tcMar>
            <w:vAlign w:val="center"/>
          </w:tcPr>
          <w:p w14:paraId="13157BA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结果</w:t>
            </w:r>
            <w:r>
              <w:rPr>
                <w:rFonts w:hint="eastAsia" w:ascii="楷体" w:hAnsi="楷体" w:eastAsia="楷体" w:cs="楷体"/>
                <w:b/>
                <w:bCs/>
                <w:sz w:val="32"/>
                <w:szCs w:val="32"/>
                <w:bdr w:val="none" w:color="auto" w:sz="0" w:space="0"/>
              </w:rPr>
              <w:br w:type="textWrapping"/>
            </w:r>
            <w:r>
              <w:rPr>
                <w:rFonts w:hint="eastAsia" w:ascii="楷体" w:hAnsi="楷体" w:eastAsia="楷体" w:cs="楷体"/>
                <w:b/>
                <w:bCs/>
                <w:sz w:val="32"/>
                <w:szCs w:val="32"/>
                <w:bdr w:val="none" w:color="auto" w:sz="0" w:space="0"/>
              </w:rPr>
              <w:t>维持</w:t>
            </w:r>
          </w:p>
        </w:tc>
        <w:tc>
          <w:tcPr>
            <w:tcW w:w="642" w:type="dxa"/>
            <w:tcBorders>
              <w:top w:val="nil"/>
              <w:left w:val="nil"/>
              <w:bottom w:val="single" w:color="auto" w:sz="8" w:space="0"/>
              <w:right w:val="single" w:color="auto" w:sz="8" w:space="0"/>
            </w:tcBorders>
            <w:shd w:val="clear"/>
            <w:tcMar>
              <w:left w:w="108" w:type="dxa"/>
              <w:right w:w="108" w:type="dxa"/>
            </w:tcMar>
            <w:vAlign w:val="center"/>
          </w:tcPr>
          <w:p w14:paraId="4498AA3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结果</w:t>
            </w:r>
            <w:r>
              <w:rPr>
                <w:rFonts w:hint="eastAsia" w:ascii="楷体" w:hAnsi="楷体" w:eastAsia="楷体" w:cs="楷体"/>
                <w:b/>
                <w:bCs/>
                <w:sz w:val="32"/>
                <w:szCs w:val="32"/>
                <w:bdr w:val="none" w:color="auto" w:sz="0" w:space="0"/>
              </w:rPr>
              <w:br w:type="textWrapping"/>
            </w:r>
            <w:r>
              <w:rPr>
                <w:rFonts w:hint="eastAsia" w:ascii="楷体" w:hAnsi="楷体" w:eastAsia="楷体" w:cs="楷体"/>
                <w:b/>
                <w:bCs/>
                <w:sz w:val="32"/>
                <w:szCs w:val="32"/>
                <w:bdr w:val="none" w:color="auto" w:sz="0" w:space="0"/>
              </w:rPr>
              <w:t>纠正</w:t>
            </w:r>
          </w:p>
        </w:tc>
        <w:tc>
          <w:tcPr>
            <w:tcW w:w="643" w:type="dxa"/>
            <w:tcBorders>
              <w:top w:val="nil"/>
              <w:left w:val="nil"/>
              <w:bottom w:val="single" w:color="auto" w:sz="8" w:space="0"/>
              <w:right w:val="single" w:color="auto" w:sz="8" w:space="0"/>
            </w:tcBorders>
            <w:shd w:val="clear"/>
            <w:tcMar>
              <w:left w:w="108" w:type="dxa"/>
              <w:right w:w="108" w:type="dxa"/>
            </w:tcMar>
            <w:vAlign w:val="center"/>
          </w:tcPr>
          <w:p w14:paraId="5A42F44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其他</w:t>
            </w:r>
            <w:r>
              <w:rPr>
                <w:rFonts w:hint="eastAsia" w:ascii="楷体" w:hAnsi="楷体" w:eastAsia="楷体" w:cs="楷体"/>
                <w:b/>
                <w:bCs/>
                <w:sz w:val="32"/>
                <w:szCs w:val="32"/>
                <w:bdr w:val="none" w:color="auto" w:sz="0" w:space="0"/>
              </w:rPr>
              <w:br w:type="textWrapping"/>
            </w:r>
            <w:r>
              <w:rPr>
                <w:rFonts w:hint="eastAsia" w:ascii="楷体" w:hAnsi="楷体" w:eastAsia="楷体" w:cs="楷体"/>
                <w:b/>
                <w:bCs/>
                <w:sz w:val="32"/>
                <w:szCs w:val="32"/>
                <w:bdr w:val="none" w:color="auto" w:sz="0" w:space="0"/>
              </w:rPr>
              <w:t>结果</w:t>
            </w:r>
          </w:p>
        </w:tc>
        <w:tc>
          <w:tcPr>
            <w:tcW w:w="643" w:type="dxa"/>
            <w:tcBorders>
              <w:top w:val="nil"/>
              <w:left w:val="nil"/>
              <w:bottom w:val="single" w:color="auto" w:sz="8" w:space="0"/>
              <w:right w:val="single" w:color="auto" w:sz="8" w:space="0"/>
            </w:tcBorders>
            <w:shd w:val="clear"/>
            <w:tcMar>
              <w:left w:w="108" w:type="dxa"/>
              <w:right w:w="108" w:type="dxa"/>
            </w:tcMar>
            <w:vAlign w:val="center"/>
          </w:tcPr>
          <w:p w14:paraId="45DFA5B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尚未</w:t>
            </w:r>
            <w:r>
              <w:rPr>
                <w:rFonts w:hint="eastAsia" w:ascii="楷体" w:hAnsi="楷体" w:eastAsia="楷体" w:cs="楷体"/>
                <w:b/>
                <w:bCs/>
                <w:sz w:val="32"/>
                <w:szCs w:val="32"/>
                <w:bdr w:val="none" w:color="auto" w:sz="0" w:space="0"/>
              </w:rPr>
              <w:br w:type="textWrapping"/>
            </w:r>
            <w:r>
              <w:rPr>
                <w:rFonts w:hint="eastAsia" w:ascii="楷体" w:hAnsi="楷体" w:eastAsia="楷体" w:cs="楷体"/>
                <w:b/>
                <w:bCs/>
                <w:sz w:val="32"/>
                <w:szCs w:val="32"/>
                <w:bdr w:val="none" w:color="auto" w:sz="0" w:space="0"/>
              </w:rPr>
              <w:t>审结</w:t>
            </w:r>
          </w:p>
        </w:tc>
        <w:tc>
          <w:tcPr>
            <w:tcW w:w="643" w:type="dxa"/>
            <w:tcBorders>
              <w:top w:val="nil"/>
              <w:left w:val="nil"/>
              <w:bottom w:val="single" w:color="auto" w:sz="8" w:space="0"/>
              <w:right w:val="single" w:color="auto" w:sz="8" w:space="0"/>
            </w:tcBorders>
            <w:shd w:val="clear"/>
            <w:tcMar>
              <w:left w:w="108" w:type="dxa"/>
              <w:right w:w="108" w:type="dxa"/>
            </w:tcMar>
            <w:vAlign w:val="center"/>
          </w:tcPr>
          <w:p w14:paraId="44966D9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sz w:val="32"/>
                <w:szCs w:val="32"/>
              </w:rPr>
            </w:pPr>
            <w:r>
              <w:rPr>
                <w:rFonts w:hint="eastAsia" w:ascii="楷体" w:hAnsi="楷体" w:eastAsia="楷体" w:cs="楷体"/>
                <w:b/>
                <w:bCs/>
                <w:color w:val="000000"/>
                <w:sz w:val="32"/>
                <w:szCs w:val="32"/>
                <w:bdr w:val="none" w:color="auto" w:sz="0" w:space="0"/>
              </w:rPr>
              <w:t>总计</w:t>
            </w:r>
          </w:p>
        </w:tc>
        <w:tc>
          <w:tcPr>
            <w:tcW w:w="643" w:type="dxa"/>
            <w:tcBorders>
              <w:top w:val="nil"/>
              <w:left w:val="nil"/>
              <w:bottom w:val="single" w:color="auto" w:sz="8" w:space="0"/>
              <w:right w:val="single" w:color="auto" w:sz="8" w:space="0"/>
            </w:tcBorders>
            <w:shd w:val="clear"/>
            <w:tcMar>
              <w:left w:w="108" w:type="dxa"/>
              <w:right w:w="108" w:type="dxa"/>
            </w:tcMar>
            <w:vAlign w:val="center"/>
          </w:tcPr>
          <w:p w14:paraId="5A0F5FD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结果</w:t>
            </w:r>
            <w:r>
              <w:rPr>
                <w:rFonts w:hint="eastAsia" w:ascii="楷体" w:hAnsi="楷体" w:eastAsia="楷体" w:cs="楷体"/>
                <w:b/>
                <w:bCs/>
                <w:sz w:val="32"/>
                <w:szCs w:val="32"/>
                <w:bdr w:val="none" w:color="auto" w:sz="0" w:space="0"/>
              </w:rPr>
              <w:br w:type="textWrapping"/>
            </w:r>
            <w:r>
              <w:rPr>
                <w:rFonts w:hint="eastAsia" w:ascii="楷体" w:hAnsi="楷体" w:eastAsia="楷体" w:cs="楷体"/>
                <w:b/>
                <w:bCs/>
                <w:sz w:val="32"/>
                <w:szCs w:val="32"/>
                <w:bdr w:val="none" w:color="auto" w:sz="0" w:space="0"/>
              </w:rPr>
              <w:t>维持</w:t>
            </w:r>
          </w:p>
        </w:tc>
        <w:tc>
          <w:tcPr>
            <w:tcW w:w="643" w:type="dxa"/>
            <w:tcBorders>
              <w:top w:val="nil"/>
              <w:left w:val="nil"/>
              <w:bottom w:val="single" w:color="auto" w:sz="8" w:space="0"/>
              <w:right w:val="single" w:color="auto" w:sz="8" w:space="0"/>
            </w:tcBorders>
            <w:shd w:val="clear"/>
            <w:tcMar>
              <w:left w:w="108" w:type="dxa"/>
              <w:right w:w="108" w:type="dxa"/>
            </w:tcMar>
            <w:vAlign w:val="center"/>
          </w:tcPr>
          <w:p w14:paraId="42B075C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结果</w:t>
            </w:r>
            <w:r>
              <w:rPr>
                <w:rFonts w:hint="eastAsia" w:ascii="楷体" w:hAnsi="楷体" w:eastAsia="楷体" w:cs="楷体"/>
                <w:b/>
                <w:bCs/>
                <w:sz w:val="32"/>
                <w:szCs w:val="32"/>
                <w:bdr w:val="none" w:color="auto" w:sz="0" w:space="0"/>
              </w:rPr>
              <w:br w:type="textWrapping"/>
            </w:r>
            <w:r>
              <w:rPr>
                <w:rFonts w:hint="eastAsia" w:ascii="楷体" w:hAnsi="楷体" w:eastAsia="楷体" w:cs="楷体"/>
                <w:b/>
                <w:bCs/>
                <w:sz w:val="32"/>
                <w:szCs w:val="32"/>
                <w:bdr w:val="none" w:color="auto" w:sz="0" w:space="0"/>
              </w:rPr>
              <w:t>纠正</w:t>
            </w:r>
          </w:p>
        </w:tc>
        <w:tc>
          <w:tcPr>
            <w:tcW w:w="643" w:type="dxa"/>
            <w:tcBorders>
              <w:top w:val="nil"/>
              <w:left w:val="nil"/>
              <w:bottom w:val="single" w:color="auto" w:sz="8" w:space="0"/>
              <w:right w:val="single" w:color="auto" w:sz="8" w:space="0"/>
            </w:tcBorders>
            <w:shd w:val="clear"/>
            <w:tcMar>
              <w:left w:w="108" w:type="dxa"/>
              <w:right w:w="108" w:type="dxa"/>
            </w:tcMar>
            <w:vAlign w:val="center"/>
          </w:tcPr>
          <w:p w14:paraId="785E2CF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sz w:val="32"/>
                <w:szCs w:val="32"/>
              </w:rPr>
            </w:pPr>
            <w:r>
              <w:rPr>
                <w:rFonts w:hint="eastAsia" w:ascii="楷体" w:hAnsi="楷体" w:eastAsia="楷体" w:cs="楷体"/>
                <w:b/>
                <w:bCs/>
                <w:color w:val="000000"/>
                <w:sz w:val="32"/>
                <w:szCs w:val="32"/>
                <w:bdr w:val="none" w:color="auto" w:sz="0" w:space="0"/>
              </w:rPr>
              <w:t>其他</w:t>
            </w:r>
            <w:r>
              <w:rPr>
                <w:rFonts w:hint="eastAsia" w:ascii="楷体" w:hAnsi="楷体" w:eastAsia="楷体" w:cs="楷体"/>
                <w:b/>
                <w:bCs/>
                <w:color w:val="000000"/>
                <w:sz w:val="32"/>
                <w:szCs w:val="32"/>
                <w:bdr w:val="none" w:color="auto" w:sz="0" w:space="0"/>
              </w:rPr>
              <w:br w:type="textWrapping"/>
            </w:r>
            <w:r>
              <w:rPr>
                <w:rFonts w:hint="eastAsia" w:ascii="楷体" w:hAnsi="楷体" w:eastAsia="楷体" w:cs="楷体"/>
                <w:b/>
                <w:bCs/>
                <w:color w:val="000000"/>
                <w:sz w:val="32"/>
                <w:szCs w:val="32"/>
                <w:bdr w:val="none" w:color="auto" w:sz="0" w:space="0"/>
              </w:rPr>
              <w:t>结果</w:t>
            </w:r>
          </w:p>
        </w:tc>
        <w:tc>
          <w:tcPr>
            <w:tcW w:w="643" w:type="dxa"/>
            <w:tcBorders>
              <w:top w:val="nil"/>
              <w:left w:val="nil"/>
              <w:bottom w:val="single" w:color="auto" w:sz="8" w:space="0"/>
              <w:right w:val="single" w:color="auto" w:sz="8" w:space="0"/>
            </w:tcBorders>
            <w:shd w:val="clear"/>
            <w:tcMar>
              <w:left w:w="108" w:type="dxa"/>
              <w:right w:w="108" w:type="dxa"/>
            </w:tcMar>
            <w:vAlign w:val="center"/>
          </w:tcPr>
          <w:p w14:paraId="0275FCA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sz w:val="32"/>
                <w:szCs w:val="32"/>
              </w:rPr>
            </w:pPr>
            <w:r>
              <w:rPr>
                <w:rFonts w:hint="eastAsia" w:ascii="楷体" w:hAnsi="楷体" w:eastAsia="楷体" w:cs="楷体"/>
                <w:b/>
                <w:bCs/>
                <w:sz w:val="32"/>
                <w:szCs w:val="32"/>
                <w:bdr w:val="none" w:color="auto" w:sz="0" w:space="0"/>
              </w:rPr>
              <w:t>尚未</w:t>
            </w:r>
            <w:r>
              <w:rPr>
                <w:rFonts w:hint="eastAsia" w:ascii="楷体" w:hAnsi="楷体" w:eastAsia="楷体" w:cs="楷体"/>
                <w:b/>
                <w:bCs/>
                <w:sz w:val="32"/>
                <w:szCs w:val="32"/>
                <w:bdr w:val="none" w:color="auto" w:sz="0" w:space="0"/>
              </w:rPr>
              <w:br w:type="textWrapping"/>
            </w:r>
            <w:r>
              <w:rPr>
                <w:rFonts w:hint="eastAsia" w:ascii="楷体" w:hAnsi="楷体" w:eastAsia="楷体" w:cs="楷体"/>
                <w:b/>
                <w:bCs/>
                <w:sz w:val="32"/>
                <w:szCs w:val="32"/>
                <w:bdr w:val="none" w:color="auto" w:sz="0" w:space="0"/>
              </w:rPr>
              <w:t>审结</w:t>
            </w:r>
          </w:p>
        </w:tc>
        <w:tc>
          <w:tcPr>
            <w:tcW w:w="643" w:type="dxa"/>
            <w:tcBorders>
              <w:top w:val="nil"/>
              <w:left w:val="nil"/>
              <w:bottom w:val="single" w:color="auto" w:sz="8" w:space="0"/>
              <w:right w:val="single" w:color="auto" w:sz="8" w:space="0"/>
            </w:tcBorders>
            <w:shd w:val="clear"/>
            <w:tcMar>
              <w:left w:w="108" w:type="dxa"/>
              <w:right w:w="108" w:type="dxa"/>
            </w:tcMar>
            <w:vAlign w:val="center"/>
          </w:tcPr>
          <w:p w14:paraId="7602568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sz w:val="32"/>
                <w:szCs w:val="32"/>
              </w:rPr>
            </w:pPr>
            <w:r>
              <w:rPr>
                <w:rFonts w:hint="eastAsia" w:ascii="楷体" w:hAnsi="楷体" w:eastAsia="楷体" w:cs="楷体"/>
                <w:b/>
                <w:bCs/>
                <w:color w:val="000000"/>
                <w:sz w:val="32"/>
                <w:szCs w:val="32"/>
                <w:bdr w:val="none" w:color="auto" w:sz="0" w:space="0"/>
              </w:rPr>
              <w:t>总计</w:t>
            </w:r>
          </w:p>
        </w:tc>
      </w:tr>
      <w:tr w14:paraId="3135C02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tcMar>
              <w:left w:w="108" w:type="dxa"/>
              <w:right w:w="108" w:type="dxa"/>
            </w:tcMar>
            <w:vAlign w:val="center"/>
          </w:tcPr>
          <w:p w14:paraId="4CD1E0E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sz w:val="32"/>
                <w:szCs w:val="32"/>
              </w:rPr>
            </w:pPr>
            <w:r>
              <w:rPr>
                <w:rFonts w:hint="eastAsia" w:ascii="宋体" w:hAnsi="宋体" w:eastAsia="宋体" w:cs="宋体"/>
                <w:sz w:val="24"/>
                <w:szCs w:val="24"/>
                <w:bdr w:val="none" w:color="auto" w:sz="0" w:space="0"/>
              </w:rPr>
              <w:t>0</w:t>
            </w:r>
          </w:p>
        </w:tc>
        <w:tc>
          <w:tcPr>
            <w:tcW w:w="642" w:type="dxa"/>
            <w:tcBorders>
              <w:top w:val="nil"/>
              <w:left w:val="nil"/>
              <w:bottom w:val="single" w:color="auto" w:sz="8" w:space="0"/>
              <w:right w:val="single" w:color="auto" w:sz="8" w:space="0"/>
            </w:tcBorders>
            <w:shd w:val="clear"/>
            <w:tcMar>
              <w:left w:w="108" w:type="dxa"/>
              <w:right w:w="108" w:type="dxa"/>
            </w:tcMar>
            <w:vAlign w:val="center"/>
          </w:tcPr>
          <w:p w14:paraId="4753053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sz w:val="32"/>
                <w:szCs w:val="32"/>
              </w:rPr>
            </w:pPr>
            <w:r>
              <w:rPr>
                <w:rFonts w:hint="eastAsia" w:ascii="宋体" w:hAnsi="宋体" w:eastAsia="宋体" w:cs="宋体"/>
                <w:sz w:val="24"/>
                <w:szCs w:val="24"/>
                <w:bdr w:val="none" w:color="auto" w:sz="0" w:space="0"/>
              </w:rPr>
              <w:t>0</w:t>
            </w:r>
          </w:p>
        </w:tc>
        <w:tc>
          <w:tcPr>
            <w:tcW w:w="642" w:type="dxa"/>
            <w:tcBorders>
              <w:top w:val="nil"/>
              <w:left w:val="nil"/>
              <w:bottom w:val="single" w:color="auto" w:sz="8" w:space="0"/>
              <w:right w:val="single" w:color="auto" w:sz="8" w:space="0"/>
            </w:tcBorders>
            <w:shd w:val="clear"/>
            <w:tcMar>
              <w:left w:w="108" w:type="dxa"/>
              <w:right w:w="108" w:type="dxa"/>
            </w:tcMar>
            <w:vAlign w:val="center"/>
          </w:tcPr>
          <w:p w14:paraId="5250449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sz w:val="32"/>
                <w:szCs w:val="32"/>
              </w:rPr>
            </w:pPr>
            <w:r>
              <w:rPr>
                <w:rFonts w:hint="eastAsia" w:ascii="宋体" w:hAnsi="宋体" w:eastAsia="宋体" w:cs="宋体"/>
                <w:sz w:val="24"/>
                <w:szCs w:val="24"/>
                <w:bdr w:val="none" w:color="auto" w:sz="0" w:space="0"/>
              </w:rPr>
              <w:t>0</w:t>
            </w:r>
          </w:p>
        </w:tc>
        <w:tc>
          <w:tcPr>
            <w:tcW w:w="642" w:type="dxa"/>
            <w:tcBorders>
              <w:top w:val="nil"/>
              <w:left w:val="nil"/>
              <w:bottom w:val="single" w:color="auto" w:sz="8" w:space="0"/>
              <w:right w:val="single" w:color="auto" w:sz="8" w:space="0"/>
            </w:tcBorders>
            <w:shd w:val="clear"/>
            <w:tcMar>
              <w:left w:w="108" w:type="dxa"/>
              <w:right w:w="108" w:type="dxa"/>
            </w:tcMar>
            <w:vAlign w:val="center"/>
          </w:tcPr>
          <w:p w14:paraId="1C5A048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sz w:val="32"/>
                <w:szCs w:val="32"/>
              </w:rPr>
            </w:pPr>
            <w:r>
              <w:rPr>
                <w:rFonts w:hint="eastAsia" w:ascii="宋体" w:hAnsi="宋体" w:eastAsia="宋体" w:cs="宋体"/>
                <w:sz w:val="24"/>
                <w:szCs w:val="24"/>
                <w:bdr w:val="none" w:color="auto" w:sz="0" w:space="0"/>
              </w:rPr>
              <w:t>0</w:t>
            </w:r>
          </w:p>
        </w:tc>
        <w:tc>
          <w:tcPr>
            <w:tcW w:w="642" w:type="dxa"/>
            <w:tcBorders>
              <w:top w:val="nil"/>
              <w:left w:val="nil"/>
              <w:bottom w:val="single" w:color="auto" w:sz="8" w:space="0"/>
              <w:right w:val="single" w:color="auto" w:sz="8" w:space="0"/>
            </w:tcBorders>
            <w:shd w:val="clear"/>
            <w:tcMar>
              <w:left w:w="108" w:type="dxa"/>
              <w:right w:w="108" w:type="dxa"/>
            </w:tcMar>
            <w:vAlign w:val="center"/>
          </w:tcPr>
          <w:p w14:paraId="5B8A418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sz w:val="32"/>
                <w:szCs w:val="32"/>
              </w:rPr>
            </w:pPr>
            <w:r>
              <w:rPr>
                <w:rFonts w:hint="eastAsia" w:ascii="宋体" w:hAnsi="宋体" w:eastAsia="宋体" w:cs="宋体"/>
                <w:sz w:val="24"/>
                <w:szCs w:val="24"/>
                <w:bdr w:val="none" w:color="auto" w:sz="0" w:space="0"/>
              </w:rPr>
              <w:t>0</w:t>
            </w:r>
          </w:p>
        </w:tc>
        <w:tc>
          <w:tcPr>
            <w:tcW w:w="642" w:type="dxa"/>
            <w:tcBorders>
              <w:top w:val="nil"/>
              <w:left w:val="nil"/>
              <w:bottom w:val="single" w:color="auto" w:sz="8" w:space="0"/>
              <w:right w:val="single" w:color="auto" w:sz="8" w:space="0"/>
            </w:tcBorders>
            <w:shd w:val="clear"/>
            <w:tcMar>
              <w:left w:w="108" w:type="dxa"/>
              <w:right w:w="108" w:type="dxa"/>
            </w:tcMar>
            <w:vAlign w:val="center"/>
          </w:tcPr>
          <w:p w14:paraId="4AA9F84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sz w:val="32"/>
                <w:szCs w:val="32"/>
              </w:rPr>
            </w:pPr>
            <w:r>
              <w:rPr>
                <w:rFonts w:hint="eastAsia" w:ascii="宋体" w:hAnsi="宋体" w:eastAsia="宋体" w:cs="宋体"/>
                <w:sz w:val="24"/>
                <w:szCs w:val="24"/>
                <w:bdr w:val="none" w:color="auto" w:sz="0" w:space="0"/>
              </w:rPr>
              <w:t>0</w:t>
            </w:r>
          </w:p>
        </w:tc>
        <w:tc>
          <w:tcPr>
            <w:tcW w:w="642" w:type="dxa"/>
            <w:tcBorders>
              <w:top w:val="nil"/>
              <w:left w:val="nil"/>
              <w:bottom w:val="single" w:color="auto" w:sz="8" w:space="0"/>
              <w:right w:val="single" w:color="auto" w:sz="8" w:space="0"/>
            </w:tcBorders>
            <w:shd w:val="clear"/>
            <w:tcMar>
              <w:left w:w="108" w:type="dxa"/>
              <w:right w:w="108" w:type="dxa"/>
            </w:tcMar>
            <w:vAlign w:val="center"/>
          </w:tcPr>
          <w:p w14:paraId="1888175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sz w:val="32"/>
                <w:szCs w:val="32"/>
              </w:rPr>
            </w:pPr>
            <w:r>
              <w:rPr>
                <w:rFonts w:hint="eastAsia" w:ascii="宋体" w:hAnsi="宋体" w:eastAsia="宋体" w:cs="宋体"/>
                <w:sz w:val="24"/>
                <w:szCs w:val="24"/>
                <w:bdr w:val="none" w:color="auto" w:sz="0" w:space="0"/>
              </w:rPr>
              <w:t>0</w:t>
            </w:r>
          </w:p>
        </w:tc>
        <w:tc>
          <w:tcPr>
            <w:tcW w:w="643" w:type="dxa"/>
            <w:tcBorders>
              <w:top w:val="nil"/>
              <w:left w:val="nil"/>
              <w:bottom w:val="single" w:color="auto" w:sz="8" w:space="0"/>
              <w:right w:val="single" w:color="auto" w:sz="8" w:space="0"/>
            </w:tcBorders>
            <w:shd w:val="clear"/>
            <w:tcMar>
              <w:left w:w="108" w:type="dxa"/>
              <w:right w:w="108" w:type="dxa"/>
            </w:tcMar>
            <w:vAlign w:val="center"/>
          </w:tcPr>
          <w:p w14:paraId="69A91F7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sz w:val="32"/>
                <w:szCs w:val="32"/>
              </w:rPr>
            </w:pPr>
            <w:r>
              <w:rPr>
                <w:rFonts w:hint="eastAsia" w:ascii="宋体" w:hAnsi="宋体" w:eastAsia="宋体" w:cs="宋体"/>
                <w:sz w:val="24"/>
                <w:szCs w:val="24"/>
                <w:bdr w:val="none" w:color="auto" w:sz="0" w:space="0"/>
              </w:rPr>
              <w:t>0</w:t>
            </w:r>
          </w:p>
        </w:tc>
        <w:tc>
          <w:tcPr>
            <w:tcW w:w="643" w:type="dxa"/>
            <w:tcBorders>
              <w:top w:val="nil"/>
              <w:left w:val="nil"/>
              <w:bottom w:val="single" w:color="auto" w:sz="8" w:space="0"/>
              <w:right w:val="single" w:color="auto" w:sz="8" w:space="0"/>
            </w:tcBorders>
            <w:shd w:val="clear"/>
            <w:tcMar>
              <w:left w:w="108" w:type="dxa"/>
              <w:right w:w="108" w:type="dxa"/>
            </w:tcMar>
            <w:vAlign w:val="center"/>
          </w:tcPr>
          <w:p w14:paraId="084D85F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sz w:val="32"/>
                <w:szCs w:val="32"/>
              </w:rPr>
            </w:pPr>
            <w:r>
              <w:rPr>
                <w:rFonts w:hint="eastAsia" w:ascii="宋体" w:hAnsi="宋体" w:eastAsia="宋体" w:cs="宋体"/>
                <w:sz w:val="24"/>
                <w:szCs w:val="24"/>
                <w:bdr w:val="none" w:color="auto" w:sz="0" w:space="0"/>
              </w:rPr>
              <w:t>0</w:t>
            </w:r>
          </w:p>
        </w:tc>
        <w:tc>
          <w:tcPr>
            <w:tcW w:w="643" w:type="dxa"/>
            <w:tcBorders>
              <w:top w:val="nil"/>
              <w:left w:val="nil"/>
              <w:bottom w:val="single" w:color="auto" w:sz="8" w:space="0"/>
              <w:right w:val="single" w:color="auto" w:sz="8" w:space="0"/>
            </w:tcBorders>
            <w:shd w:val="clear"/>
            <w:tcMar>
              <w:left w:w="108" w:type="dxa"/>
              <w:right w:w="108" w:type="dxa"/>
            </w:tcMar>
            <w:vAlign w:val="center"/>
          </w:tcPr>
          <w:p w14:paraId="5AC43DD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sz w:val="32"/>
                <w:szCs w:val="32"/>
              </w:rPr>
            </w:pPr>
            <w:r>
              <w:rPr>
                <w:rFonts w:hint="eastAsia" w:ascii="宋体" w:hAnsi="宋体" w:eastAsia="宋体" w:cs="宋体"/>
                <w:sz w:val="24"/>
                <w:szCs w:val="24"/>
                <w:bdr w:val="none" w:color="auto" w:sz="0" w:space="0"/>
              </w:rPr>
              <w:t>0</w:t>
            </w:r>
          </w:p>
        </w:tc>
        <w:tc>
          <w:tcPr>
            <w:tcW w:w="643" w:type="dxa"/>
            <w:tcBorders>
              <w:top w:val="nil"/>
              <w:left w:val="nil"/>
              <w:bottom w:val="single" w:color="auto" w:sz="8" w:space="0"/>
              <w:right w:val="single" w:color="auto" w:sz="8" w:space="0"/>
            </w:tcBorders>
            <w:shd w:val="clear"/>
            <w:tcMar>
              <w:left w:w="108" w:type="dxa"/>
              <w:right w:w="108" w:type="dxa"/>
            </w:tcMar>
            <w:vAlign w:val="center"/>
          </w:tcPr>
          <w:p w14:paraId="4626EB5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sz w:val="32"/>
                <w:szCs w:val="32"/>
              </w:rPr>
            </w:pPr>
            <w:r>
              <w:rPr>
                <w:rFonts w:hint="eastAsia" w:ascii="宋体" w:hAnsi="宋体" w:eastAsia="宋体" w:cs="宋体"/>
                <w:sz w:val="24"/>
                <w:szCs w:val="24"/>
                <w:bdr w:val="none" w:color="auto" w:sz="0" w:space="0"/>
              </w:rPr>
              <w:t>0</w:t>
            </w:r>
          </w:p>
        </w:tc>
        <w:tc>
          <w:tcPr>
            <w:tcW w:w="643" w:type="dxa"/>
            <w:tcBorders>
              <w:top w:val="nil"/>
              <w:left w:val="nil"/>
              <w:bottom w:val="single" w:color="auto" w:sz="8" w:space="0"/>
              <w:right w:val="single" w:color="auto" w:sz="8" w:space="0"/>
            </w:tcBorders>
            <w:shd w:val="clear"/>
            <w:tcMar>
              <w:left w:w="108" w:type="dxa"/>
              <w:right w:w="108" w:type="dxa"/>
            </w:tcMar>
            <w:vAlign w:val="center"/>
          </w:tcPr>
          <w:p w14:paraId="5B3E87B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sz w:val="32"/>
                <w:szCs w:val="32"/>
              </w:rPr>
            </w:pPr>
            <w:r>
              <w:rPr>
                <w:rFonts w:hint="eastAsia" w:ascii="宋体" w:hAnsi="宋体" w:eastAsia="宋体" w:cs="宋体"/>
                <w:sz w:val="24"/>
                <w:szCs w:val="24"/>
                <w:bdr w:val="none" w:color="auto" w:sz="0" w:space="0"/>
              </w:rPr>
              <w:t>0</w:t>
            </w:r>
          </w:p>
        </w:tc>
        <w:tc>
          <w:tcPr>
            <w:tcW w:w="643" w:type="dxa"/>
            <w:tcBorders>
              <w:top w:val="nil"/>
              <w:left w:val="nil"/>
              <w:bottom w:val="single" w:color="auto" w:sz="8" w:space="0"/>
              <w:right w:val="single" w:color="auto" w:sz="8" w:space="0"/>
            </w:tcBorders>
            <w:shd w:val="clear"/>
            <w:tcMar>
              <w:left w:w="108" w:type="dxa"/>
              <w:right w:w="108" w:type="dxa"/>
            </w:tcMar>
            <w:vAlign w:val="center"/>
          </w:tcPr>
          <w:p w14:paraId="23A3BD3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sz w:val="32"/>
                <w:szCs w:val="32"/>
              </w:rPr>
            </w:pPr>
            <w:r>
              <w:rPr>
                <w:rFonts w:hint="eastAsia" w:ascii="宋体" w:hAnsi="宋体" w:eastAsia="宋体" w:cs="宋体"/>
                <w:sz w:val="24"/>
                <w:szCs w:val="24"/>
                <w:bdr w:val="none" w:color="auto" w:sz="0" w:space="0"/>
              </w:rPr>
              <w:t>0</w:t>
            </w:r>
          </w:p>
        </w:tc>
        <w:tc>
          <w:tcPr>
            <w:tcW w:w="643" w:type="dxa"/>
            <w:tcBorders>
              <w:top w:val="nil"/>
              <w:left w:val="nil"/>
              <w:bottom w:val="single" w:color="auto" w:sz="8" w:space="0"/>
              <w:right w:val="single" w:color="auto" w:sz="8" w:space="0"/>
            </w:tcBorders>
            <w:shd w:val="clear"/>
            <w:tcMar>
              <w:left w:w="108" w:type="dxa"/>
              <w:right w:w="108" w:type="dxa"/>
            </w:tcMar>
            <w:vAlign w:val="center"/>
          </w:tcPr>
          <w:p w14:paraId="6EC9844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sz w:val="32"/>
                <w:szCs w:val="32"/>
              </w:rPr>
            </w:pPr>
            <w:r>
              <w:rPr>
                <w:rFonts w:hint="eastAsia" w:ascii="宋体" w:hAnsi="宋体" w:eastAsia="宋体" w:cs="宋体"/>
                <w:sz w:val="24"/>
                <w:szCs w:val="24"/>
                <w:bdr w:val="none" w:color="auto" w:sz="0" w:space="0"/>
              </w:rPr>
              <w:t>0</w:t>
            </w:r>
          </w:p>
        </w:tc>
        <w:tc>
          <w:tcPr>
            <w:tcW w:w="643" w:type="dxa"/>
            <w:tcBorders>
              <w:top w:val="nil"/>
              <w:left w:val="nil"/>
              <w:bottom w:val="single" w:color="auto" w:sz="8" w:space="0"/>
              <w:right w:val="single" w:color="auto" w:sz="8" w:space="0"/>
            </w:tcBorders>
            <w:shd w:val="clear"/>
            <w:tcMar>
              <w:left w:w="108" w:type="dxa"/>
              <w:right w:w="108" w:type="dxa"/>
            </w:tcMar>
            <w:vAlign w:val="center"/>
          </w:tcPr>
          <w:p w14:paraId="6417AA8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both"/>
              <w:rPr>
                <w:rFonts w:hint="default" w:ascii="Times New Roman" w:hAnsi="Times New Roman" w:cs="Times New Roman"/>
                <w:sz w:val="32"/>
                <w:szCs w:val="32"/>
              </w:rPr>
            </w:pPr>
            <w:r>
              <w:rPr>
                <w:rFonts w:hint="eastAsia" w:ascii="仿宋" w:hAnsi="仿宋" w:eastAsia="仿宋" w:cs="仿宋"/>
                <w:sz w:val="24"/>
                <w:szCs w:val="24"/>
                <w:bdr w:val="none" w:color="auto" w:sz="0" w:space="0"/>
              </w:rPr>
              <w:t>0</w:t>
            </w:r>
          </w:p>
        </w:tc>
      </w:tr>
    </w:tbl>
    <w:p w14:paraId="68CE01E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default" w:ascii="Times New Roman" w:hAnsi="Times New Roman" w:cs="Times New Roman"/>
          <w:i w:val="0"/>
          <w:iCs w:val="0"/>
          <w:caps w:val="0"/>
          <w:color w:val="000000"/>
          <w:spacing w:val="0"/>
          <w:sz w:val="32"/>
          <w:szCs w:val="32"/>
        </w:rPr>
      </w:pPr>
      <w:r>
        <w:rPr>
          <w:rFonts w:ascii="Calibri" w:hAnsi="Calibri" w:cs="Calibri"/>
          <w:i w:val="0"/>
          <w:iCs w:val="0"/>
          <w:caps w:val="0"/>
          <w:color w:val="000000"/>
          <w:spacing w:val="0"/>
          <w:sz w:val="21"/>
          <w:szCs w:val="21"/>
          <w:bdr w:val="none" w:color="auto" w:sz="0" w:space="0"/>
          <w:shd w:val="clear" w:fill="FFFFFF"/>
        </w:rPr>
        <w:t> </w:t>
      </w:r>
    </w:p>
    <w:p w14:paraId="2DB0E30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560" w:lineRule="atLeast"/>
        <w:ind w:left="0" w:right="0" w:firstLine="640"/>
        <w:jc w:val="both"/>
        <w:rPr>
          <w:rFonts w:hint="default" w:ascii="Times New Roman" w:hAnsi="Times New Roman" w:cs="Times New Roman"/>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五、存在的主要问题及改进情况</w:t>
      </w:r>
    </w:p>
    <w:p w14:paraId="4439832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560" w:lineRule="atLeast"/>
        <w:ind w:left="0" w:right="0" w:firstLine="640"/>
        <w:rPr>
          <w:rFonts w:hint="default" w:ascii="Times New Roman" w:hAnsi="Times New Roman" w:cs="Times New Roman"/>
          <w:i w:val="0"/>
          <w:iCs w:val="0"/>
          <w:caps w:val="0"/>
          <w:color w:val="000000"/>
          <w:spacing w:val="0"/>
          <w:sz w:val="24"/>
          <w:szCs w:val="24"/>
        </w:rPr>
      </w:pPr>
      <w:r>
        <w:rPr>
          <w:rFonts w:hint="eastAsia" w:ascii="仿宋" w:hAnsi="仿宋" w:eastAsia="仿宋" w:cs="仿宋"/>
          <w:i w:val="0"/>
          <w:iCs w:val="0"/>
          <w:caps w:val="0"/>
          <w:color w:val="000000"/>
          <w:spacing w:val="0"/>
          <w:sz w:val="32"/>
          <w:szCs w:val="32"/>
          <w:bdr w:val="none" w:color="auto" w:sz="0" w:space="0"/>
          <w:shd w:val="clear" w:fill="FFFFFF"/>
        </w:rPr>
        <w:t>政府信息公开工作存在的问题：一是政府信息公开的范围不够全面，公开的信息质量不高。二是政府信息公开工作人员的理论水平有待进一步加强。</w:t>
      </w:r>
    </w:p>
    <w:p w14:paraId="0A3FA83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both"/>
        <w:rPr>
          <w:rFonts w:hint="default" w:ascii="Times New Roman" w:hAnsi="Times New Roman" w:cs="Times New Roman"/>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改进措施：一是注重政府信息公开的时效。对于各部门日常需要公开的信息，要和部门具办人员沟通好，确保及时获得信息进行公开。二是注重培养政府信息公开工作队伍。定期对政府信息专职人员开展业务培训，组织学习《条例》等文件，不断提高政务公开工作人员的综合素质和业务能力。</w:t>
      </w:r>
    </w:p>
    <w:p w14:paraId="28650EE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560" w:lineRule="atLeast"/>
        <w:ind w:left="0" w:right="0" w:firstLine="640"/>
        <w:jc w:val="both"/>
        <w:rPr>
          <w:rFonts w:hint="default" w:ascii="Times New Roman" w:hAnsi="Times New Roman" w:cs="Times New Roman"/>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六、其他需要报告的事项</w:t>
      </w:r>
    </w:p>
    <w:p w14:paraId="78574AA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both"/>
        <w:rPr>
          <w:rFonts w:hint="default" w:ascii="Times New Roman" w:hAnsi="Times New Roman" w:cs="Times New Roman"/>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2023年度，本机关无收取信息处理费情况。</w:t>
      </w:r>
    </w:p>
    <w:p w14:paraId="24D322A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简体">
    <w:altName w:val="方正舒体"/>
    <w:panose1 w:val="00000000000000000000"/>
    <w:charset w:val="00"/>
    <w:family w:val="auto"/>
    <w:pitch w:val="default"/>
    <w:sig w:usb0="00000000" w:usb1="00000000" w:usb2="00000000" w:usb3="00000000" w:csb0="00000000"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lhMmJlNWYwY2EzOTM3NGViNjBlNzY1ZTdjMzgwZGMifQ=="/>
  </w:docVars>
  <w:rsids>
    <w:rsidRoot w:val="00000000"/>
    <w:rsid w:val="697656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2024-10-21T02:53:13Z</dcterms:created>
  <dc:creator>易秋斌</dc:creator>
  <cp:lastModifiedBy>WPS_1591327309</cp:lastModifiedBy>
  <dcterms:modified xsi:type="dcterms:W3CDTF">2024-10-21T02:54:10Z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0485F6473FE7486896D45464C92B615E_12</vt:lpwstr>
  </property>
</Properties>
</file>