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jc w:val="center"/>
        <w:textAlignment w:val="auto"/>
        <w:rPr>
          <w:rFonts w:hint="eastAsia" w:asciiTheme="majorEastAsia" w:hAnsiTheme="majorEastAsia" w:eastAsiaTheme="majorEastAsia" w:cstheme="majorEastAsia"/>
          <w:b/>
          <w:bCs/>
          <w:sz w:val="44"/>
          <w:szCs w:val="44"/>
        </w:rPr>
      </w:pPr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  <w:lang w:val="en-US" w:eastAsia="zh-CN"/>
        </w:rPr>
        <w:t>高安市相城镇人民政府2023年</w:t>
      </w:r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</w:rPr>
        <w:t>政府信息公开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jc w:val="center"/>
        <w:textAlignment w:val="auto"/>
        <w:rPr>
          <w:rFonts w:hint="eastAsia" w:asciiTheme="majorEastAsia" w:hAnsiTheme="majorEastAsia" w:eastAsiaTheme="majorEastAsia" w:cstheme="majorEastAsia"/>
          <w:b/>
          <w:bCs/>
          <w:i w:val="0"/>
          <w:iCs w:val="0"/>
          <w:caps w:val="0"/>
          <w:color w:val="333333"/>
          <w:spacing w:val="0"/>
          <w:kern w:val="0"/>
          <w:sz w:val="44"/>
          <w:szCs w:val="44"/>
          <w:shd w:val="clear" w:fill="FFFFFF"/>
          <w:lang w:val="en-US" w:eastAsia="zh-CN" w:bidi="ar"/>
        </w:rPr>
      </w:pPr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</w:rPr>
        <w:t>工作年度报告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Chars="0" w:right="0" w:firstLine="640" w:firstLineChars="200"/>
        <w:jc w:val="both"/>
        <w:textAlignment w:val="auto"/>
        <w:rPr>
          <w:rFonts w:hint="eastAsia" w:ascii="黑体" w:hAnsi="黑体" w:eastAsia="黑体" w:cs="黑体"/>
          <w:b/>
          <w:bCs/>
          <w:kern w:val="2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黑体" w:hAnsi="黑体" w:eastAsia="黑体" w:cs="黑体"/>
          <w:b w:val="0"/>
          <w:bCs w:val="0"/>
          <w:kern w:val="2"/>
          <w:sz w:val="32"/>
          <w:szCs w:val="32"/>
          <w:shd w:val="clear" w:color="auto" w:fill="FFFFFF"/>
          <w:lang w:val="en-US" w:eastAsia="zh-CN" w:bidi="ar-SA"/>
        </w:rPr>
        <w:t>一、总体情况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 w:firstLine="640" w:firstLineChars="200"/>
        <w:jc w:val="both"/>
        <w:textAlignment w:val="auto"/>
        <w:rPr>
          <w:rFonts w:hint="eastAsia" w:ascii="楷体_GB2312" w:hAnsi="楷体_GB2312" w:eastAsia="楷体_GB2312" w:cs="楷体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楷体_GB2312" w:hAnsi="楷体_GB2312" w:eastAsia="楷体_GB2312" w:cs="楷体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一</w:t>
      </w:r>
      <w:r>
        <w:rPr>
          <w:rFonts w:hint="eastAsia" w:ascii="楷体_GB2312" w:hAnsi="楷体_GB2312" w:eastAsia="楷体_GB2312" w:cs="楷体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  <w:t>）主动公开</w:t>
      </w:r>
    </w:p>
    <w:p>
      <w:pPr>
        <w:pStyle w:val="4"/>
        <w:widowControl/>
        <w:shd w:val="clear" w:color="auto" w:fill="FFFFFF"/>
        <w:spacing w:beforeAutospacing="0" w:afterAutospacing="0" w:line="560" w:lineRule="exact"/>
        <w:ind w:firstLine="640"/>
        <w:jc w:val="both"/>
        <w:rPr>
          <w:rFonts w:hint="eastAsia" w:ascii="楷体_GB2312" w:hAnsi="楷体_GB2312" w:eastAsia="楷体_GB2312" w:cs="楷体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cs="仿宋_GB2312"/>
          <w:color w:val="000000" w:themeColor="text1"/>
          <w:sz w:val="32"/>
          <w:shd w:val="clear" w:color="auto" w:fill="FFFFFF"/>
          <w14:textFill>
            <w14:solidFill>
              <w14:schemeClr w14:val="tx1"/>
            </w14:solidFill>
          </w14:textFill>
        </w:rPr>
        <w:t>202</w:t>
      </w:r>
      <w:r>
        <w:rPr>
          <w:rFonts w:hint="eastAsia" w:ascii="仿宋_GB2312" w:hAnsi="仿宋_GB2312" w:cs="仿宋_GB2312"/>
          <w:color w:val="000000" w:themeColor="text1"/>
          <w:sz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仿宋_GB2312" w:hAnsi="仿宋_GB2312" w:cs="仿宋_GB2312"/>
          <w:color w:val="000000" w:themeColor="text1"/>
          <w:sz w:val="32"/>
          <w:shd w:val="clear" w:color="auto" w:fill="FFFFFF"/>
          <w14:textFill>
            <w14:solidFill>
              <w14:schemeClr w14:val="tx1"/>
            </w14:solidFill>
          </w14:textFill>
        </w:rPr>
        <w:t>年，我镇重新梳理了主动公开服务事项，公开信息总数为</w:t>
      </w:r>
      <w:r>
        <w:rPr>
          <w:rFonts w:hint="eastAsia" w:ascii="仿宋_GB2312" w:hAnsi="仿宋_GB2312" w:cs="仿宋_GB2312"/>
          <w:color w:val="000000" w:themeColor="text1"/>
          <w:sz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60</w:t>
      </w:r>
      <w:r>
        <w:rPr>
          <w:rFonts w:hint="eastAsia" w:ascii="仿宋_GB2312" w:hAnsi="仿宋_GB2312" w:cs="仿宋_GB2312"/>
          <w:color w:val="000000" w:themeColor="text1"/>
          <w:sz w:val="32"/>
          <w:shd w:val="clear" w:color="auto" w:fill="FFFFFF"/>
          <w14:textFill>
            <w14:solidFill>
              <w14:schemeClr w14:val="tx1"/>
            </w14:solidFill>
          </w14:textFill>
        </w:rPr>
        <w:t>条。主要是机构简介、机构职能、发展规划、政务动态、公示公告、财政预决算、年度报告等内容。可通过高安市政府门户网站的“政府信息公开”栏目查询我单位主动公开的202</w:t>
      </w:r>
      <w:r>
        <w:rPr>
          <w:rFonts w:hint="eastAsia" w:ascii="仿宋_GB2312" w:hAnsi="仿宋_GB2312" w:cs="仿宋_GB2312"/>
          <w:color w:val="000000" w:themeColor="text1"/>
          <w:sz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仿宋_GB2312" w:hAnsi="仿宋_GB2312" w:cs="仿宋_GB2312"/>
          <w:color w:val="000000" w:themeColor="text1"/>
          <w:sz w:val="32"/>
          <w:shd w:val="clear" w:color="auto" w:fill="FFFFFF"/>
          <w14:textFill>
            <w14:solidFill>
              <w14:schemeClr w14:val="tx1"/>
            </w14:solidFill>
          </w14:textFill>
        </w:rPr>
        <w:t>年政府信息。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Chars="0" w:right="0" w:rightChars="0" w:firstLine="640" w:firstLineChars="200"/>
        <w:jc w:val="both"/>
        <w:textAlignment w:val="auto"/>
        <w:rPr>
          <w:rFonts w:hint="eastAsia" w:ascii="楷体_GB2312" w:hAnsi="楷体_GB2312" w:eastAsia="楷体_GB2312" w:cs="楷体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  <w:t>依申请公开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 w:firstLine="640" w:firstLineChars="200"/>
        <w:jc w:val="both"/>
        <w:textAlignment w:val="auto"/>
        <w:rPr>
          <w:rFonts w:hint="eastAsia" w:ascii="楷体_GB2312" w:hAnsi="楷体_GB2312" w:eastAsia="楷体_GB2312" w:cs="楷体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  <w:t>2023年度我镇未收到申请公开文件。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rightChars="0" w:firstLine="640" w:firstLineChars="200"/>
        <w:jc w:val="both"/>
        <w:textAlignment w:val="auto"/>
        <w:rPr>
          <w:rFonts w:hint="eastAsia" w:ascii="楷体_GB2312" w:hAnsi="楷体_GB2312" w:eastAsia="楷体_GB2312" w:cs="楷体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  <w:t>政府信息管理</w:t>
      </w:r>
    </w:p>
    <w:p>
      <w:pPr>
        <w:pStyle w:val="4"/>
        <w:widowControl/>
        <w:shd w:val="clear" w:color="auto" w:fill="FFFFFF"/>
        <w:spacing w:beforeAutospacing="0" w:afterAutospacing="0" w:line="560" w:lineRule="exact"/>
        <w:ind w:left="0" w:leftChars="0" w:firstLine="640" w:firstLineChars="200"/>
        <w:jc w:val="both"/>
        <w:rPr>
          <w:rFonts w:hint="eastAsia" w:ascii="仿宋_GB2312" w:hAnsi="SourceHanSansCN-Regular"/>
          <w:color w:val="000000" w:themeColor="text1"/>
          <w:sz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SourceHanSansCN-Regular"/>
          <w:color w:val="000000" w:themeColor="text1"/>
          <w:sz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1、</w:t>
      </w:r>
      <w:r>
        <w:rPr>
          <w:rFonts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2023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年度我镇不断强化政府信息公开工作，召开政务公开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工作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推进会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，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强化组织领导和机构队伍建设，将政府信息公开工作纳入重要议事日程，与经济社会管理工作紧密结合，</w:t>
      </w:r>
      <w:r>
        <w:rPr>
          <w:rFonts w:hint="eastAsia" w:ascii="仿宋_GB2312" w:hAnsi="SourceHanSansCN-Regular"/>
          <w:color w:val="000000" w:themeColor="text1"/>
          <w:sz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 xml:space="preserve">明确了专人负责公开信息的发布、维护和更新。      </w:t>
      </w:r>
    </w:p>
    <w:p>
      <w:pPr>
        <w:pStyle w:val="4"/>
        <w:widowControl/>
        <w:shd w:val="clear" w:color="auto" w:fill="FFFFFF"/>
        <w:spacing w:beforeAutospacing="0" w:afterAutospacing="0" w:line="560" w:lineRule="exact"/>
        <w:ind w:left="0" w:leftChars="0" w:firstLine="640" w:firstLineChars="200"/>
        <w:jc w:val="both"/>
        <w:rPr>
          <w:rFonts w:hint="eastAsia" w:ascii="仿宋_GB2312" w:hAnsi="SourceHanSansCN-Regular"/>
          <w:color w:val="000000" w:themeColor="text1"/>
          <w:sz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SourceHanSansCN-Regular"/>
          <w:color w:val="000000" w:themeColor="text1"/>
          <w:sz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2、严把信息审核关。严格按照《中华人民共和国保守国家秘密法》逐条进行审核，三审三校、层层把关，确保了公开的信息不涉密，涉密的信息不公开。</w:t>
      </w:r>
    </w:p>
    <w:p>
      <w:pPr>
        <w:pStyle w:val="4"/>
        <w:widowControl/>
        <w:shd w:val="clear" w:color="auto" w:fill="FFFFFF"/>
        <w:spacing w:beforeAutospacing="0" w:afterAutospacing="0" w:line="560" w:lineRule="exact"/>
        <w:ind w:firstLine="640"/>
        <w:jc w:val="both"/>
        <w:rPr>
          <w:rFonts w:hint="default" w:ascii="楷体_GB2312" w:hAnsi="楷体_GB2312" w:eastAsia="楷体_GB2312" w:cs="楷体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SourceHanSansCN-Regular"/>
          <w:color w:val="000000" w:themeColor="text1"/>
          <w:sz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3、</w:t>
      </w:r>
      <w:r>
        <w:rPr>
          <w:rFonts w:hint="eastAsia" w:ascii="仿宋_GB2312" w:hAnsi="宋体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加强政府网站日常管理</w:t>
      </w:r>
      <w:r>
        <w:rPr>
          <w:rFonts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,不定期开展政务网站监测检查，加强错敏信息等重要内容日常管控，保证主动公开工作质量。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Chars="0" w:right="0" w:rightChars="0" w:firstLine="640" w:firstLineChars="200"/>
        <w:jc w:val="both"/>
        <w:textAlignment w:val="auto"/>
        <w:rPr>
          <w:rFonts w:hint="eastAsia" w:ascii="楷体_GB2312" w:hAnsi="楷体_GB2312" w:eastAsia="楷体_GB2312" w:cs="楷体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楷体_GB2312" w:hAnsi="楷体_GB2312" w:eastAsia="楷体_GB2312" w:cs="楷体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四</w:t>
      </w:r>
      <w:r>
        <w:rPr>
          <w:rFonts w:hint="eastAsia" w:ascii="楷体_GB2312" w:hAnsi="楷体_GB2312" w:eastAsia="楷体_GB2312" w:cs="楷体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  <w:t>）</w:t>
      </w:r>
      <w:r>
        <w:rPr>
          <w:rFonts w:hint="eastAsia" w:ascii="楷体_GB2312" w:hAnsi="楷体_GB2312" w:eastAsia="楷体_GB2312" w:cs="楷体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政府信息公开</w:t>
      </w:r>
      <w:r>
        <w:rPr>
          <w:rFonts w:hint="eastAsia" w:ascii="楷体_GB2312" w:hAnsi="楷体_GB2312" w:eastAsia="楷体_GB2312" w:cs="楷体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  <w:t>平台建设</w:t>
      </w:r>
    </w:p>
    <w:p>
      <w:pPr>
        <w:pStyle w:val="4"/>
        <w:widowControl/>
        <w:shd w:val="clear" w:color="auto" w:fill="FFFFFF"/>
        <w:spacing w:beforeAutospacing="0" w:afterAutospacing="0" w:line="560" w:lineRule="exact"/>
        <w:ind w:firstLine="640"/>
        <w:jc w:val="both"/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优化政府信息公开平台功能和保障数据统一。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Chars="0" w:right="0" w:rightChars="0" w:firstLine="640" w:firstLineChars="200"/>
        <w:jc w:val="both"/>
        <w:textAlignment w:val="auto"/>
        <w:rPr>
          <w:rFonts w:hint="eastAsia" w:ascii="楷体_GB2312" w:hAnsi="楷体_GB2312" w:eastAsia="楷体_GB2312" w:cs="楷体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楷体_GB2312" w:hAnsi="楷体_GB2312" w:eastAsia="楷体_GB2312" w:cs="楷体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五</w:t>
      </w:r>
      <w:r>
        <w:rPr>
          <w:rFonts w:hint="eastAsia" w:ascii="楷体_GB2312" w:hAnsi="楷体_GB2312" w:eastAsia="楷体_GB2312" w:cs="楷体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  <w:t>）监督保障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Chars="0" w:right="0" w:rightChars="0" w:firstLine="640" w:firstLineChars="200"/>
        <w:jc w:val="both"/>
        <w:textAlignment w:val="auto"/>
        <w:rPr>
          <w:rFonts w:hint="eastAsia" w:ascii="楷体_GB2312" w:hAnsi="楷体_GB2312" w:eastAsia="楷体_GB2312" w:cs="楷体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建立健全信息发布审核制度，确保信息规范准确。落实监督责任，强化人员管理，加大公开力度。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 w:val="0"/>
          <w:kern w:val="2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黑体" w:hAnsi="黑体" w:eastAsia="黑体" w:cs="黑体"/>
          <w:b w:val="0"/>
          <w:bCs w:val="0"/>
          <w:kern w:val="2"/>
          <w:sz w:val="32"/>
          <w:szCs w:val="32"/>
          <w:shd w:val="clear" w:color="auto" w:fill="FFFFFF"/>
          <w:lang w:val="en-US" w:eastAsia="zh-CN" w:bidi="ar-SA"/>
        </w:rPr>
        <w:t>二、主动公开政府信息情况</w:t>
      </w:r>
    </w:p>
    <w:tbl>
      <w:tblPr>
        <w:tblStyle w:val="5"/>
        <w:tblW w:w="982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455"/>
        <w:gridCol w:w="2455"/>
        <w:gridCol w:w="2455"/>
        <w:gridCol w:w="245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  <w:jc w:val="center"/>
        </w:trPr>
        <w:tc>
          <w:tcPr>
            <w:tcW w:w="982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 w:bidi="ar"/>
              </w:rPr>
              <w:t>第二十条第（一）项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3" w:hRule="atLeast"/>
          <w:jc w:val="center"/>
        </w:trPr>
        <w:tc>
          <w:tcPr>
            <w:tcW w:w="24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信息内容</w:t>
            </w:r>
          </w:p>
        </w:tc>
        <w:tc>
          <w:tcPr>
            <w:tcW w:w="245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本年</w:t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制发件数</w:t>
            </w:r>
          </w:p>
        </w:tc>
        <w:tc>
          <w:tcPr>
            <w:tcW w:w="245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本年废止件数</w:t>
            </w:r>
          </w:p>
        </w:tc>
        <w:tc>
          <w:tcPr>
            <w:tcW w:w="245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现行有效件</w:t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  <w:jc w:val="center"/>
        </w:trPr>
        <w:tc>
          <w:tcPr>
            <w:tcW w:w="24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规   章</w:t>
            </w:r>
          </w:p>
        </w:tc>
        <w:tc>
          <w:tcPr>
            <w:tcW w:w="2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2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2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  <w:jc w:val="center"/>
        </w:trPr>
        <w:tc>
          <w:tcPr>
            <w:tcW w:w="24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行政规范性文件</w:t>
            </w:r>
          </w:p>
        </w:tc>
        <w:tc>
          <w:tcPr>
            <w:tcW w:w="2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2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2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  <w:jc w:val="center"/>
        </w:trPr>
        <w:tc>
          <w:tcPr>
            <w:tcW w:w="982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第二十条第（五）项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  <w:jc w:val="center"/>
        </w:trPr>
        <w:tc>
          <w:tcPr>
            <w:tcW w:w="24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信息内容</w:t>
            </w:r>
          </w:p>
        </w:tc>
        <w:tc>
          <w:tcPr>
            <w:tcW w:w="736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本年处理决定数量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  <w:jc w:val="center"/>
        </w:trPr>
        <w:tc>
          <w:tcPr>
            <w:tcW w:w="24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行政许可</w:t>
            </w:r>
          </w:p>
        </w:tc>
        <w:tc>
          <w:tcPr>
            <w:tcW w:w="736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32"/>
                <w:szCs w:val="32"/>
                <w:lang w:val="en-US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  <w:jc w:val="center"/>
        </w:trPr>
        <w:tc>
          <w:tcPr>
            <w:tcW w:w="982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第二十条第（六）项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  <w:jc w:val="center"/>
        </w:trPr>
        <w:tc>
          <w:tcPr>
            <w:tcW w:w="24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信息内容</w:t>
            </w:r>
          </w:p>
        </w:tc>
        <w:tc>
          <w:tcPr>
            <w:tcW w:w="7365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本年处理决定数量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  <w:jc w:val="center"/>
        </w:trPr>
        <w:tc>
          <w:tcPr>
            <w:tcW w:w="24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行政处罚</w:t>
            </w:r>
          </w:p>
        </w:tc>
        <w:tc>
          <w:tcPr>
            <w:tcW w:w="736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　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  <w:jc w:val="center"/>
        </w:trPr>
        <w:tc>
          <w:tcPr>
            <w:tcW w:w="24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行政强制</w:t>
            </w:r>
          </w:p>
        </w:tc>
        <w:tc>
          <w:tcPr>
            <w:tcW w:w="736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　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  <w:jc w:val="center"/>
        </w:trPr>
        <w:tc>
          <w:tcPr>
            <w:tcW w:w="982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第二十条第（八）项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  <w:jc w:val="center"/>
        </w:trPr>
        <w:tc>
          <w:tcPr>
            <w:tcW w:w="24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信息内容</w:t>
            </w:r>
          </w:p>
        </w:tc>
        <w:tc>
          <w:tcPr>
            <w:tcW w:w="736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本年收费金额（单位：万元）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6" w:hRule="atLeast"/>
          <w:jc w:val="center"/>
        </w:trPr>
        <w:tc>
          <w:tcPr>
            <w:tcW w:w="24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行政事业性收费</w:t>
            </w:r>
          </w:p>
        </w:tc>
        <w:tc>
          <w:tcPr>
            <w:tcW w:w="736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both"/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kern w:val="0"/>
          <w:sz w:val="32"/>
          <w:szCs w:val="32"/>
          <w:lang w:val="en-US" w:eastAsia="zh-CN" w:bidi="ar"/>
        </w:rPr>
      </w:pPr>
      <w:r>
        <w:rPr>
          <w:rFonts w:hint="eastAsia" w:ascii="黑体" w:hAnsi="黑体" w:eastAsia="黑体" w:cs="黑体"/>
          <w:b w:val="0"/>
          <w:bCs w:val="0"/>
          <w:kern w:val="2"/>
          <w:sz w:val="32"/>
          <w:szCs w:val="32"/>
          <w:shd w:val="clear" w:color="auto" w:fill="FFFFFF"/>
          <w:lang w:val="en-US" w:eastAsia="zh-CN" w:bidi="ar-SA"/>
        </w:rPr>
        <w:t>三、收到和处理政府信息公开申请情况</w:t>
      </w:r>
    </w:p>
    <w:tbl>
      <w:tblPr>
        <w:tblStyle w:val="5"/>
        <w:tblW w:w="9748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80"/>
        <w:gridCol w:w="997"/>
        <w:gridCol w:w="4823"/>
        <w:gridCol w:w="439"/>
        <w:gridCol w:w="473"/>
        <w:gridCol w:w="380"/>
        <w:gridCol w:w="497"/>
        <w:gridCol w:w="438"/>
        <w:gridCol w:w="450"/>
        <w:gridCol w:w="471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600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（本列数据的勾稽关系为：第一项加第二项之和，等于第三项加第四项之和）</w:t>
            </w:r>
          </w:p>
        </w:tc>
        <w:tc>
          <w:tcPr>
            <w:tcW w:w="3148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申请人情况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600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439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自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然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人</w:t>
            </w:r>
          </w:p>
        </w:tc>
        <w:tc>
          <w:tcPr>
            <w:tcW w:w="2238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法人或其他组织</w:t>
            </w:r>
          </w:p>
        </w:tc>
        <w:tc>
          <w:tcPr>
            <w:tcW w:w="471" w:type="dxa"/>
            <w:vMerge w:val="restart"/>
            <w:tcBorders>
              <w:top w:val="single" w:color="auto" w:sz="8" w:space="0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总计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600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439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商业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企业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科研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机构</w:t>
            </w:r>
          </w:p>
        </w:tc>
        <w:tc>
          <w:tcPr>
            <w:tcW w:w="49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社会公益组织</w:t>
            </w:r>
          </w:p>
        </w:tc>
        <w:tc>
          <w:tcPr>
            <w:tcW w:w="43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法律服务机构</w:t>
            </w:r>
          </w:p>
        </w:tc>
        <w:tc>
          <w:tcPr>
            <w:tcW w:w="45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其他</w:t>
            </w:r>
          </w:p>
        </w:tc>
        <w:tc>
          <w:tcPr>
            <w:tcW w:w="471" w:type="dxa"/>
            <w:vMerge w:val="continue"/>
            <w:tcBorders>
              <w:top w:val="single" w:color="auto" w:sz="8" w:space="0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600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一、本年新收政府信息公开申请数量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600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二、上年结转政府信息公开申请数量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restart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三、本年度办理结果</w:t>
            </w:r>
          </w:p>
        </w:tc>
        <w:tc>
          <w:tcPr>
            <w:tcW w:w="582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（一）予以公开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582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（二）部分公开（区分处理的，只计这一情形，不计其他情形）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997" w:type="dxa"/>
            <w:vMerge w:val="restart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（三）不予公开</w:t>
            </w: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1.属于国家秘密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2.其他法律行政法规禁止公开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3.危及“三安全一稳定”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4.保护第三方合法权益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5.属于三类内部事务信息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6.属于四类过程性信息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7.属于行政执法案卷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8.属于行政查询事项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997" w:type="dxa"/>
            <w:vMerge w:val="restart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（四）无法提供</w:t>
            </w: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1.本机关不掌握相关政府信息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8" w:hRule="atLeast"/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2.没有现成信息需要另行制作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3.补正后申请内容仍不明确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997" w:type="dxa"/>
            <w:vMerge w:val="restart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（五）不予处理</w:t>
            </w: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1.信访举报投诉类申请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2.重复申请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3.要求提供公开出版物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4.无正当理由大量反复申请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0" w:firstLineChars="0"/>
        <w:textAlignment w:val="auto"/>
        <w:rPr>
          <w:rFonts w:hint="eastAsia" w:ascii="楷体_GB2312" w:hAnsi="楷体_GB2312" w:eastAsia="楷体_GB2312" w:cs="楷体_GB2312"/>
          <w:b/>
          <w:bCs/>
          <w:sz w:val="32"/>
          <w:szCs w:val="32"/>
        </w:rPr>
        <w:sectPr>
          <w:headerReference r:id="rId7" w:type="first"/>
          <w:footerReference r:id="rId10" w:type="first"/>
          <w:headerReference r:id="rId5" w:type="default"/>
          <w:footerReference r:id="rId8" w:type="default"/>
          <w:headerReference r:id="rId6" w:type="even"/>
          <w:footerReference r:id="rId9" w:type="even"/>
          <w:pgSz w:w="11906" w:h="16838"/>
          <w:pgMar w:top="1417" w:right="1417" w:bottom="1417" w:left="1417" w:header="851" w:footer="1417" w:gutter="0"/>
          <w:pgNumType w:fmt="decimal"/>
          <w:cols w:space="0" w:num="1"/>
          <w:titlePg/>
          <w:rtlGutter w:val="0"/>
          <w:docGrid w:type="lines" w:linePitch="312" w:charSpace="0"/>
        </w:sectPr>
      </w:pPr>
    </w:p>
    <w:tbl>
      <w:tblPr>
        <w:tblStyle w:val="5"/>
        <w:tblW w:w="9748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80"/>
        <w:gridCol w:w="997"/>
        <w:gridCol w:w="4823"/>
        <w:gridCol w:w="439"/>
        <w:gridCol w:w="473"/>
        <w:gridCol w:w="380"/>
        <w:gridCol w:w="497"/>
        <w:gridCol w:w="438"/>
        <w:gridCol w:w="450"/>
        <w:gridCol w:w="471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9" w:hRule="atLeast"/>
          <w:jc w:val="center"/>
        </w:trPr>
        <w:tc>
          <w:tcPr>
            <w:tcW w:w="780" w:type="dxa"/>
            <w:vMerge w:val="restart"/>
            <w:tcBorders>
              <w:top w:val="nil"/>
              <w:left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pStyle w:val="2"/>
              <w:rPr>
                <w:rFonts w:hint="eastAsia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4823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both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5.要求行政机关确认或重新出具已获取信息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66" w:hRule="atLeast"/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99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（六）其他处理</w:t>
            </w:r>
          </w:p>
        </w:tc>
        <w:tc>
          <w:tcPr>
            <w:tcW w:w="4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both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1.申请人无正当理由逾期不补正、行政机关不再处理其政府信息公开申请</w:t>
            </w:r>
          </w:p>
        </w:tc>
        <w:tc>
          <w:tcPr>
            <w:tcW w:w="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99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4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both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2.申请人逾期未按收费通知要求缴纳费用、行政机关不再处理其政府信息公开申请</w:t>
            </w:r>
          </w:p>
        </w:tc>
        <w:tc>
          <w:tcPr>
            <w:tcW w:w="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99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4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3.其他</w:t>
            </w:r>
          </w:p>
        </w:tc>
        <w:tc>
          <w:tcPr>
            <w:tcW w:w="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58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（七）总计</w:t>
            </w:r>
          </w:p>
        </w:tc>
        <w:tc>
          <w:tcPr>
            <w:tcW w:w="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6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四、结转下年度继续办理</w:t>
            </w:r>
          </w:p>
        </w:tc>
        <w:tc>
          <w:tcPr>
            <w:tcW w:w="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640" w:firstLineChars="200"/>
        <w:textAlignment w:val="auto"/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kern w:val="0"/>
          <w:sz w:val="32"/>
          <w:szCs w:val="32"/>
          <w:lang w:val="en-US" w:eastAsia="zh-CN" w:bidi="ar"/>
        </w:rPr>
      </w:pPr>
      <w:r>
        <w:rPr>
          <w:rFonts w:hint="eastAsia" w:ascii="黑体" w:hAnsi="黑体" w:eastAsia="黑体" w:cs="黑体"/>
          <w:b w:val="0"/>
          <w:bCs w:val="0"/>
          <w:kern w:val="2"/>
          <w:sz w:val="32"/>
          <w:szCs w:val="32"/>
          <w:shd w:val="clear" w:color="auto" w:fill="FFFFFF"/>
          <w:lang w:val="en-US" w:eastAsia="zh-CN" w:bidi="ar-SA"/>
        </w:rPr>
        <w:t>四、政府信息公开行政复议、行政诉讼情况</w:t>
      </w:r>
    </w:p>
    <w:tbl>
      <w:tblPr>
        <w:tblStyle w:val="5"/>
        <w:tblW w:w="9748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49"/>
        <w:gridCol w:w="649"/>
        <w:gridCol w:w="649"/>
        <w:gridCol w:w="649"/>
        <w:gridCol w:w="649"/>
        <w:gridCol w:w="649"/>
        <w:gridCol w:w="649"/>
        <w:gridCol w:w="650"/>
        <w:gridCol w:w="650"/>
        <w:gridCol w:w="650"/>
        <w:gridCol w:w="651"/>
        <w:gridCol w:w="651"/>
        <w:gridCol w:w="651"/>
        <w:gridCol w:w="651"/>
        <w:gridCol w:w="651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210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行政复议</w:t>
            </w:r>
          </w:p>
        </w:tc>
        <w:tc>
          <w:tcPr>
            <w:tcW w:w="6428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行政诉讼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42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结果维持</w:t>
            </w:r>
          </w:p>
        </w:tc>
        <w:tc>
          <w:tcPr>
            <w:tcW w:w="642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结果</w:t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br w:type="textWrapping"/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纠正</w:t>
            </w:r>
          </w:p>
        </w:tc>
        <w:tc>
          <w:tcPr>
            <w:tcW w:w="642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其他</w:t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br w:type="textWrapping"/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结果</w:t>
            </w:r>
          </w:p>
        </w:tc>
        <w:tc>
          <w:tcPr>
            <w:tcW w:w="642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尚未</w:t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br w:type="textWrapping"/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审结</w:t>
            </w:r>
          </w:p>
        </w:tc>
        <w:tc>
          <w:tcPr>
            <w:tcW w:w="642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总计</w:t>
            </w:r>
          </w:p>
        </w:tc>
        <w:tc>
          <w:tcPr>
            <w:tcW w:w="3213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未经复议直接起诉</w:t>
            </w:r>
          </w:p>
        </w:tc>
        <w:tc>
          <w:tcPr>
            <w:tcW w:w="321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复议后起诉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4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240" w:lineRule="auto"/>
              <w:ind w:firstLine="0" w:firstLineChars="0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64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240" w:lineRule="auto"/>
              <w:ind w:firstLine="0" w:firstLineChars="0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64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240" w:lineRule="auto"/>
              <w:ind w:firstLine="0" w:firstLineChars="0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64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240" w:lineRule="auto"/>
              <w:ind w:firstLine="0" w:firstLineChars="0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64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240" w:lineRule="auto"/>
              <w:ind w:firstLine="0" w:firstLineChars="0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结果</w:t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br w:type="textWrapping"/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维持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结果</w:t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br w:type="textWrapping"/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纠正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其他</w:t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br w:type="textWrapping"/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结果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尚未</w:t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br w:type="textWrapping"/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审结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总计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结果</w:t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br w:type="textWrapping"/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维持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结果</w:t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br w:type="textWrapping"/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纠正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其他</w:t>
            </w: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br w:type="textWrapping"/>
            </w: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结果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尚未</w:t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br w:type="textWrapping"/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审结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总计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2" w:hRule="atLeast"/>
          <w:jc w:val="center"/>
        </w:trPr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default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 0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default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 0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default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 0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default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default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 0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 0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 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 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 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 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 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 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 0</w:t>
            </w:r>
          </w:p>
        </w:tc>
      </w:tr>
    </w:tbl>
    <w:p>
      <w:pPr>
        <w:keepNext w:val="0"/>
        <w:keepLines w:val="0"/>
        <w:widowControl/>
        <w:suppressLineNumbers w:val="0"/>
        <w:spacing w:line="240" w:lineRule="auto"/>
        <w:ind w:firstLine="0" w:firstLineChars="0"/>
        <w:jc w:val="left"/>
        <w:rPr>
          <w:rFonts w:asciiTheme="minorHAnsi" w:hAnsiTheme="minorHAnsi" w:eastAsiaTheme="minorEastAsia" w:cstheme="minorBidi"/>
          <w:sz w:val="21"/>
          <w:szCs w:val="24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both"/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kern w:val="0"/>
          <w:sz w:val="24"/>
          <w:szCs w:val="24"/>
          <w:lang w:val="en-US" w:eastAsia="zh-CN" w:bidi="ar"/>
        </w:rPr>
      </w:pPr>
      <w:r>
        <w:rPr>
          <w:rFonts w:hint="eastAsia" w:ascii="黑体" w:hAnsi="黑体" w:eastAsia="黑体" w:cs="黑体"/>
          <w:b w:val="0"/>
          <w:bCs w:val="0"/>
          <w:kern w:val="2"/>
          <w:sz w:val="32"/>
          <w:szCs w:val="32"/>
          <w:shd w:val="clear" w:color="auto" w:fill="FFFFFF"/>
          <w:lang w:val="en-US" w:eastAsia="zh-CN" w:bidi="ar-SA"/>
        </w:rPr>
        <w:t>五、存在的主要问题及改进情况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both"/>
        <w:rPr>
          <w:rFonts w:hint="default" w:ascii="仿宋_GB2312" w:hAnsi="宋体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ascii="仿宋_GB2312" w:hAnsi="宋体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2023年，我</w:t>
      </w:r>
      <w:r>
        <w:rPr>
          <w:rFonts w:hint="eastAsia" w:ascii="仿宋_GB2312" w:hAnsi="宋体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镇</w:t>
      </w:r>
      <w:r>
        <w:rPr>
          <w:rFonts w:ascii="仿宋_GB2312" w:hAnsi="宋体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政府信息公开工作总体运行较好，但仍然存在一些问题。一是信息公开的渠道较窄,并且质量有待提升；</w:t>
      </w:r>
      <w:r>
        <w:rPr>
          <w:rFonts w:hint="eastAsia" w:ascii="仿宋_GB2312" w:hAnsi="宋体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二是宣传力度不够，公众参与感不强。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both"/>
        <w:rPr>
          <w:rFonts w:hint="default" w:ascii="仿宋_GB2312" w:hAnsi="宋体" w:eastAsia="仿宋_GB2312" w:cs="仿宋_GB2312"/>
          <w:b w:val="0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ascii="仿宋_GB2312" w:hAnsi="宋体" w:eastAsia="仿宋_GB2312" w:cs="仿宋_GB2312"/>
          <w:b w:val="0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2024年我镇将从以下三方面加以改进：</w:t>
      </w:r>
      <w:r>
        <w:rPr>
          <w:rFonts w:hint="eastAsia" w:ascii="仿宋_GB2312" w:hAnsi="宋体" w:cs="仿宋_GB2312"/>
          <w:b w:val="0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1.</w:t>
      </w:r>
      <w:r>
        <w:rPr>
          <w:rFonts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进一步梳理各部门所掌握的政府信息，及时提供，确保政府信息公开工作能按照既定的工作流程有效运作，使公众能够方便查询。</w:t>
      </w:r>
      <w:r>
        <w:rPr>
          <w:rFonts w:ascii="仿宋_GB2312" w:hAnsi="宋体" w:eastAsia="仿宋_GB2312" w:cs="仿宋_GB2312"/>
          <w:b w:val="0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2.进一步加大宣传力度，发动全员参与，为信息公开提供更多更全面的素材，对政务信息进行再梳理，不断充实完善政务信息。3.进一步加强业务学习，提高信息公开队伍业务水平，确保信息公开的完整性、准确性和时效性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24"/>
          <w:szCs w:val="24"/>
          <w:lang w:val="en-US" w:eastAsia="zh-CN" w:bidi="ar"/>
        </w:rPr>
      </w:pPr>
      <w:r>
        <w:rPr>
          <w:rFonts w:hint="eastAsia" w:ascii="黑体" w:hAnsi="黑体" w:eastAsia="黑体" w:cs="黑体"/>
          <w:b w:val="0"/>
          <w:bCs w:val="0"/>
          <w:kern w:val="2"/>
          <w:sz w:val="32"/>
          <w:szCs w:val="32"/>
          <w:shd w:val="clear" w:color="auto" w:fill="FFFFFF"/>
          <w:lang w:val="en-US" w:eastAsia="zh-CN" w:bidi="ar-SA"/>
        </w:rPr>
        <w:t>六、其他需要报告的事项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both"/>
        <w:rPr>
          <w:rFonts w:hint="eastAsia" w:ascii="仿宋_GB2312" w:hAnsi="宋体" w:eastAsia="仿宋_GB2312" w:cs="仿宋_GB2312"/>
          <w:b w:val="0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_GB2312" w:hAnsi="宋体" w:eastAsia="仿宋_GB2312" w:cs="仿宋_GB2312"/>
          <w:b w:val="0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2023年度本机关无收取信息处理</w:t>
      </w:r>
      <w:bookmarkStart w:id="0" w:name="_GoBack"/>
      <w:bookmarkEnd w:id="0"/>
      <w:r>
        <w:rPr>
          <w:rFonts w:hint="eastAsia" w:ascii="仿宋_GB2312" w:hAnsi="宋体" w:eastAsia="仿宋_GB2312" w:cs="仿宋_GB2312"/>
          <w:b w:val="0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费的情况。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6" w:firstLineChars="199"/>
        <w:textAlignment w:val="auto"/>
        <w:sectPr>
          <w:footerReference r:id="rId12" w:type="first"/>
          <w:footerReference r:id="rId11" w:type="default"/>
          <w:pgSz w:w="11906" w:h="16838"/>
          <w:pgMar w:top="1417" w:right="1417" w:bottom="1417" w:left="1417" w:header="851" w:footer="1417" w:gutter="0"/>
          <w:pgNumType w:fmt="decimal"/>
          <w:cols w:space="0" w:num="1"/>
          <w:titlePg/>
          <w:rtlGutter w:val="0"/>
          <w:docGrid w:type="lines" w:linePitch="312" w:charSpace="0"/>
        </w:sect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SourceHanSansCN-Regular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360"/>
      <w:jc w:val="both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ind w:firstLine="360"/>
                            <w:jc w:val="right"/>
                          </w:pP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sz w:val="28"/>
                              <w:szCs w:val="28"/>
                            </w:rPr>
                            <w:instrText xml:space="preserve"> PAGE   \* MERGEFORMAT </w:instrTex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sz w:val="28"/>
                              <w:szCs w:val="28"/>
                              <w:lang w:val="zh-CN"/>
                            </w:rPr>
                            <w:t>3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t xml:space="preserve"> —  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ind w:firstLine="360"/>
                      <w:jc w:val="right"/>
                    </w:pPr>
                    <w:r>
                      <w:rPr>
                        <w:rFonts w:hint="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sz w:val="28"/>
                        <w:szCs w:val="28"/>
                      </w:rPr>
                      <w:instrText xml:space="preserve"> PAGE   \* MERGEFORMAT </w:instrText>
                    </w:r>
                    <w:r>
                      <w:rPr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sz w:val="28"/>
                        <w:szCs w:val="28"/>
                        <w:lang w:val="zh-CN"/>
                      </w:rPr>
                      <w:t>3</w:t>
                    </w:r>
                    <w:r>
                      <w:rPr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/>
                        <w:sz w:val="28"/>
                        <w:szCs w:val="28"/>
                      </w:rPr>
                      <w:t xml:space="preserve"> —  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280" w:firstLineChars="100"/>
    </w:pPr>
    <w:r>
      <w:rPr>
        <w:rFonts w:hint="eastAsia"/>
        <w:sz w:val="28"/>
        <w:szCs w:val="28"/>
      </w:rPr>
      <w:t xml:space="preserve">— </w:t>
    </w:r>
    <w:r>
      <w:rPr>
        <w:sz w:val="28"/>
        <w:szCs w:val="28"/>
      </w:rPr>
      <w:fldChar w:fldCharType="begin"/>
    </w:r>
    <w:r>
      <w:rPr>
        <w:sz w:val="28"/>
        <w:szCs w:val="28"/>
      </w:rPr>
      <w:instrText xml:space="preserve"> PAGE   \* MERGEFORMAT </w:instrText>
    </w:r>
    <w:r>
      <w:rPr>
        <w:sz w:val="28"/>
        <w:szCs w:val="28"/>
      </w:rPr>
      <w:fldChar w:fldCharType="separate"/>
    </w:r>
    <w:r>
      <w:rPr>
        <w:sz w:val="28"/>
        <w:szCs w:val="28"/>
        <w:lang w:val="zh-CN"/>
      </w:rPr>
      <w:t>2</w:t>
    </w:r>
    <w:r>
      <w:rPr>
        <w:sz w:val="28"/>
        <w:szCs w:val="28"/>
      </w:rPr>
      <w:fldChar w:fldCharType="end"/>
    </w:r>
    <w:r>
      <w:rPr>
        <w:rFonts w:hint="eastAsia"/>
        <w:sz w:val="28"/>
        <w:szCs w:val="28"/>
      </w:rPr>
      <w:t xml:space="preserve"> —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360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360"/>
      <w:jc w:val="both"/>
    </w:pP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ind w:firstLine="64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ind w:left="640" w:firstLine="0" w:firstLineChars="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ind w:firstLine="64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774CC05"/>
    <w:multiLevelType w:val="singleLevel"/>
    <w:tmpl w:val="6774CC05"/>
    <w:lvl w:ilvl="0" w:tentative="0">
      <w:start w:val="2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E4NGY0OTMwZjhkYmFjMWU0ZjhkYjRlZDIwNTgyNGEifQ=="/>
  </w:docVars>
  <w:rsids>
    <w:rsidRoot w:val="00000000"/>
    <w:rsid w:val="187A6B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600" w:lineRule="exact"/>
      <w:ind w:firstLine="200" w:firstLineChars="200"/>
      <w:jc w:val="both"/>
    </w:pPr>
    <w:rPr>
      <w:rFonts w:ascii="Times New Roman" w:hAnsi="Times New Roman" w:eastAsia="仿宋_GB2312" w:cs="Times New Roman"/>
      <w:kern w:val="2"/>
      <w:sz w:val="32"/>
      <w:szCs w:val="32"/>
      <w:lang w:val="en-US" w:eastAsia="zh-CN" w:bidi="ar-SA"/>
    </w:rPr>
  </w:style>
  <w:style w:type="paragraph" w:styleId="2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numbering" Target="numbering.xml"/><Relationship Id="rId14" Type="http://schemas.openxmlformats.org/officeDocument/2006/relationships/customXml" Target="../customXml/item1.xml"/><Relationship Id="rId13" Type="http://schemas.openxmlformats.org/officeDocument/2006/relationships/theme" Target="theme/theme1.xml"/><Relationship Id="rId12" Type="http://schemas.openxmlformats.org/officeDocument/2006/relationships/footer" Target="footer5.xml"/><Relationship Id="rId11" Type="http://schemas.openxmlformats.org/officeDocument/2006/relationships/footer" Target="footer4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2024-01-09T05:34:57Z</dcterms:created>
  <dc:creator>Administrator</dc:creator>
  <cp:lastModifiedBy>燕子</cp:lastModifiedBy>
  <dcterms:modified xsi:type="dcterms:W3CDTF">2024-01-09T05:35:32Z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03C8052D3F6043228EEFE47F272C400F_12</vt:lpwstr>
  </property>
</Properties>
</file>