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微软雅黑" w:hAnsi="微软雅黑" w:eastAsia="微软雅黑" w:cs="微软雅黑"/>
          <w:i w:val="0"/>
          <w:caps w:val="0"/>
          <w:color w:val="333333"/>
          <w:spacing w:val="0"/>
          <w:sz w:val="21"/>
          <w:szCs w:val="21"/>
        </w:rPr>
      </w:pPr>
      <w:r>
        <w:rPr>
          <w:rFonts w:hint="eastAsia" w:ascii="宋体" w:hAnsi="宋体" w:eastAsia="宋体" w:cs="宋体"/>
          <w:b/>
          <w:i w:val="0"/>
          <w:caps w:val="0"/>
          <w:color w:val="333333"/>
          <w:spacing w:val="0"/>
          <w:sz w:val="44"/>
          <w:szCs w:val="44"/>
          <w:shd w:val="clear" w:fill="FFFFFF"/>
          <w:lang w:eastAsia="zh-CN"/>
        </w:rPr>
        <w:t>龙潭</w:t>
      </w:r>
      <w:r>
        <w:rPr>
          <w:rFonts w:hint="eastAsia" w:ascii="宋体" w:hAnsi="宋体" w:eastAsia="宋体" w:cs="宋体"/>
          <w:b/>
          <w:i w:val="0"/>
          <w:caps w:val="0"/>
          <w:color w:val="333333"/>
          <w:spacing w:val="0"/>
          <w:sz w:val="44"/>
          <w:szCs w:val="44"/>
          <w:shd w:val="clear" w:fill="FFFFFF"/>
        </w:rPr>
        <w:t>镇2019年政府信息公开工作年度报告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default" w:ascii="微软雅黑" w:hAnsi="微软雅黑" w:eastAsia="微软雅黑" w:cs="微软雅黑"/>
          <w:i w:val="0"/>
          <w:caps w:val="0"/>
          <w:color w:val="333333"/>
          <w:spacing w:val="0"/>
          <w:sz w:val="21"/>
          <w:szCs w:val="21"/>
        </w:rPr>
      </w:pPr>
      <w:r>
        <w:rPr>
          <w:rFonts w:hint="default" w:ascii="微软雅黑" w:hAnsi="微软雅黑" w:eastAsia="微软雅黑" w:cs="微软雅黑"/>
          <w:i w:val="0"/>
          <w:caps w:val="0"/>
          <w:color w:val="333333"/>
          <w:spacing w:val="0"/>
          <w:sz w:val="21"/>
          <w:szCs w:val="21"/>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根据《中华人民共和国政府信息公开条例》(以下简称《条例》）、《</w:t>
      </w:r>
      <w:r>
        <w:rPr>
          <w:rFonts w:hint="eastAsia" w:ascii="仿宋_GB2312" w:hAnsi="仿宋_GB2312" w:eastAsia="仿宋_GB2312" w:cs="仿宋_GB2312"/>
          <w:i w:val="0"/>
          <w:caps w:val="0"/>
          <w:color w:val="333333"/>
          <w:spacing w:val="0"/>
          <w:sz w:val="32"/>
          <w:szCs w:val="32"/>
          <w:shd w:val="clear" w:fill="FFFFFF"/>
          <w:lang w:eastAsia="zh-CN"/>
        </w:rPr>
        <w:t>江西</w:t>
      </w:r>
      <w:r>
        <w:rPr>
          <w:rFonts w:hint="eastAsia" w:ascii="仿宋_GB2312" w:hAnsi="仿宋_GB2312" w:eastAsia="仿宋_GB2312" w:cs="仿宋_GB2312"/>
          <w:i w:val="0"/>
          <w:caps w:val="0"/>
          <w:color w:val="333333"/>
          <w:spacing w:val="0"/>
          <w:sz w:val="32"/>
          <w:szCs w:val="32"/>
          <w:shd w:val="clear" w:fill="FFFFFF"/>
        </w:rPr>
        <w:t>省政府信息公开办法》要求，特向社会公布2019年度本级政府信息公开工作年度报</w:t>
      </w:r>
      <w:bookmarkStart w:id="0" w:name="_GoBack"/>
      <w:bookmarkEnd w:id="0"/>
      <w:r>
        <w:rPr>
          <w:rFonts w:hint="eastAsia" w:ascii="仿宋_GB2312" w:hAnsi="仿宋_GB2312" w:eastAsia="仿宋_GB2312" w:cs="仿宋_GB2312"/>
          <w:i w:val="0"/>
          <w:caps w:val="0"/>
          <w:color w:val="333333"/>
          <w:spacing w:val="0"/>
          <w:sz w:val="32"/>
          <w:szCs w:val="32"/>
          <w:shd w:val="clear" w:fill="FFFFFF"/>
        </w:rPr>
        <w:t>告。本报告由总体情况、主动公开政府信息情况、收到和处理政府信息公开申请情况、政府信息公开行政复议和行政诉讼情况、工作存在的主要问题及改进情况和其他需要报告的事项共六个部分组成。本报告中所列数据的统计期限自2019年1月1日起至2019年12月31日止。</w:t>
      </w:r>
      <w:r>
        <w:rPr>
          <w:rFonts w:hint="eastAsia" w:ascii="仿宋_GB2312" w:hAnsi="仿宋_GB2312" w:eastAsia="仿宋_GB2312" w:cs="仿宋_GB2312"/>
          <w:i w:val="0"/>
          <w:sz w:val="32"/>
          <w:szCs w:val="32"/>
          <w:u w:val="none"/>
        </w:rPr>
        <w:t>本报告通过</w:t>
      </w:r>
      <w:r>
        <w:rPr>
          <w:rFonts w:hint="eastAsia" w:ascii="宋体" w:hAnsi="宋体" w:eastAsia="宋体" w:cs="宋体"/>
          <w:i w:val="0"/>
          <w:caps w:val="0"/>
          <w:color w:val="333333"/>
          <w:spacing w:val="0"/>
          <w:sz w:val="32"/>
          <w:szCs w:val="32"/>
          <w:shd w:val="clear" w:fill="FFFFFF"/>
        </w:rPr>
        <w:t>“</w:t>
      </w:r>
      <w:r>
        <w:rPr>
          <w:rFonts w:hint="eastAsia" w:ascii="宋体" w:hAnsi="宋体" w:eastAsia="宋体" w:cs="宋体"/>
          <w:i w:val="0"/>
          <w:caps w:val="0"/>
          <w:color w:val="333333"/>
          <w:spacing w:val="0"/>
          <w:sz w:val="32"/>
          <w:szCs w:val="32"/>
          <w:shd w:val="clear" w:fill="FFFFFF"/>
          <w:lang w:eastAsia="zh-CN"/>
        </w:rPr>
        <w:t>高安</w:t>
      </w:r>
      <w:r>
        <w:rPr>
          <w:rFonts w:hint="eastAsia" w:ascii="宋体" w:hAnsi="宋体" w:eastAsia="宋体" w:cs="宋体"/>
          <w:i w:val="0"/>
          <w:caps w:val="0"/>
          <w:color w:val="333333"/>
          <w:spacing w:val="0"/>
          <w:sz w:val="32"/>
          <w:szCs w:val="32"/>
          <w:shd w:val="clear" w:fill="FFFFFF"/>
        </w:rPr>
        <w:t>市人民政府”</w:t>
      </w:r>
      <w:r>
        <w:rPr>
          <w:rFonts w:hint="eastAsia" w:ascii="仿宋_GB2312" w:hAnsi="仿宋_GB2312" w:eastAsia="仿宋_GB2312" w:cs="仿宋_GB2312"/>
          <w:i w:val="0"/>
          <w:sz w:val="32"/>
          <w:szCs w:val="32"/>
          <w:u w:val="none"/>
        </w:rPr>
        <w:t>（</w:t>
      </w:r>
      <w:r>
        <w:rPr>
          <w:rFonts w:hint="eastAsia" w:ascii="仿宋_GB2312" w:hAnsi="仿宋_GB2312" w:eastAsia="仿宋_GB2312" w:cs="仿宋_GB2312"/>
          <w:i w:val="0"/>
          <w:sz w:val="32"/>
          <w:szCs w:val="32"/>
          <w:u w:val="none"/>
        </w:rPr>
        <w:fldChar w:fldCharType="begin"/>
      </w:r>
      <w:r>
        <w:rPr>
          <w:rFonts w:hint="eastAsia" w:ascii="仿宋_GB2312" w:hAnsi="仿宋_GB2312" w:eastAsia="仿宋_GB2312" w:cs="仿宋_GB2312"/>
          <w:i w:val="0"/>
          <w:sz w:val="32"/>
          <w:szCs w:val="32"/>
          <w:u w:val="none"/>
        </w:rPr>
        <w:instrText xml:space="preserve"> HYPERLINK "http://www.gaoan.gov.cn/" </w:instrText>
      </w:r>
      <w:r>
        <w:rPr>
          <w:rFonts w:hint="eastAsia" w:ascii="仿宋_GB2312" w:hAnsi="仿宋_GB2312" w:eastAsia="仿宋_GB2312" w:cs="仿宋_GB2312"/>
          <w:i w:val="0"/>
          <w:sz w:val="32"/>
          <w:szCs w:val="32"/>
          <w:u w:val="none"/>
        </w:rPr>
        <w:fldChar w:fldCharType="separate"/>
      </w:r>
      <w:r>
        <w:rPr>
          <w:rStyle w:val="6"/>
          <w:rFonts w:hint="eastAsia" w:ascii="仿宋_GB2312" w:hAnsi="仿宋_GB2312" w:eastAsia="仿宋_GB2312" w:cs="仿宋_GB2312"/>
          <w:i w:val="0"/>
          <w:color w:val="0000FF"/>
          <w:sz w:val="32"/>
          <w:szCs w:val="32"/>
          <w:u w:val="none"/>
        </w:rPr>
        <w:t>http://www.gaoan.gov.cn</w:t>
      </w:r>
      <w:r>
        <w:rPr>
          <w:rFonts w:hint="eastAsia" w:ascii="仿宋_GB2312" w:hAnsi="仿宋_GB2312" w:eastAsia="仿宋_GB2312" w:cs="仿宋_GB2312"/>
          <w:i w:val="0"/>
          <w:sz w:val="32"/>
          <w:szCs w:val="32"/>
          <w:u w:val="none"/>
        </w:rPr>
        <w:fldChar w:fldCharType="end"/>
      </w:r>
      <w:r>
        <w:rPr>
          <w:rFonts w:hint="eastAsia" w:ascii="仿宋_GB2312" w:hAnsi="仿宋_GB2312" w:eastAsia="仿宋_GB2312" w:cs="仿宋_GB2312"/>
          <w:i w:val="0"/>
          <w:sz w:val="32"/>
          <w:szCs w:val="32"/>
          <w:u w:val="none"/>
        </w:rPr>
        <w:t xml:space="preserve">）和市档案馆、图书馆政府信息公开公共查阅场所公布。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rPr>
          <w:rFonts w:hint="default" w:ascii="微软雅黑" w:hAnsi="微软雅黑" w:eastAsia="微软雅黑" w:cs="微软雅黑"/>
          <w:i w:val="0"/>
          <w:caps w:val="0"/>
          <w:color w:val="333333"/>
          <w:spacing w:val="0"/>
          <w:sz w:val="21"/>
          <w:szCs w:val="21"/>
        </w:rPr>
      </w:pPr>
      <w:r>
        <w:rPr>
          <w:rFonts w:ascii="黑体" w:hAnsi="微软雅黑" w:eastAsia="黑体" w:cs="黑体"/>
          <w:b/>
          <w:i w:val="0"/>
          <w:caps w:val="0"/>
          <w:color w:val="333333"/>
          <w:spacing w:val="0"/>
          <w:sz w:val="32"/>
          <w:szCs w:val="32"/>
          <w:shd w:val="clear" w:fill="FFFFFF"/>
        </w:rPr>
        <w:t>一、总体情况</w:t>
      </w:r>
    </w:p>
    <w:p>
      <w:pPr>
        <w:spacing w:line="432" w:lineRule="auto"/>
        <w:ind w:firstLine="640" w:firstLineChars="200"/>
        <w:jc w:val="left"/>
        <w:rPr>
          <w:rFonts w:hint="default" w:ascii="微软雅黑" w:hAnsi="微软雅黑" w:eastAsia="微软雅黑" w:cs="微软雅黑"/>
          <w:i w:val="0"/>
          <w:caps w:val="0"/>
          <w:color w:val="333333"/>
          <w:spacing w:val="0"/>
          <w:sz w:val="21"/>
          <w:szCs w:val="21"/>
        </w:rPr>
      </w:pPr>
      <w:r>
        <w:rPr>
          <w:rFonts w:ascii="仿宋_GB2312" w:hAnsi="宋体" w:eastAsia="仿宋_GB2312" w:cs="仿宋_GB2312"/>
          <w:i w:val="0"/>
          <w:caps w:val="0"/>
          <w:color w:val="333333"/>
          <w:spacing w:val="0"/>
          <w:sz w:val="32"/>
          <w:szCs w:val="32"/>
          <w:shd w:val="clear" w:fill="FFFFFF"/>
        </w:rPr>
        <w:t>2019</w:t>
      </w:r>
      <w:r>
        <w:rPr>
          <w:rFonts w:hint="eastAsia" w:ascii="仿宋_GB2312" w:hAnsi="宋体" w:eastAsia="仿宋_GB2312" w:cs="仿宋_GB2312"/>
          <w:i w:val="0"/>
          <w:caps w:val="0"/>
          <w:color w:val="333333"/>
          <w:spacing w:val="0"/>
          <w:sz w:val="32"/>
          <w:szCs w:val="32"/>
          <w:shd w:val="clear" w:fill="FFFFFF"/>
        </w:rPr>
        <w:t>年，我镇在市委、市政府的正确领导下，坚持以习近平新时代中国特色社会主义思想为指导，全面贯彻党的十九大和十九届二中、三中、四中全会精神，认真实施</w:t>
      </w:r>
      <w:r>
        <w:rPr>
          <w:rFonts w:hint="eastAsia" w:ascii="仿宋_GB2312" w:hAnsi="仿宋_GB2312" w:eastAsia="仿宋_GB2312" w:cs="仿宋_GB2312"/>
          <w:i w:val="0"/>
          <w:sz w:val="32"/>
          <w:szCs w:val="32"/>
          <w:u w:val="none"/>
        </w:rPr>
        <w:t>深入贯彻落实《</w:t>
      </w:r>
      <w:r>
        <w:rPr>
          <w:rFonts w:hint="eastAsia" w:ascii="仿宋_GB2312" w:hAnsi="仿宋_GB2312" w:eastAsia="仿宋_GB2312" w:cs="仿宋_GB2312"/>
          <w:sz w:val="32"/>
          <w:szCs w:val="32"/>
        </w:rPr>
        <w:t>新修订的《中华人民共和国政府信息公开条例》（以下简称新《条例》）</w:t>
      </w:r>
      <w:r>
        <w:rPr>
          <w:rFonts w:hint="eastAsia" w:ascii="仿宋_GB2312" w:hAnsi="宋体" w:eastAsia="仿宋_GB2312" w:cs="仿宋_GB2312"/>
          <w:i w:val="0"/>
          <w:caps w:val="0"/>
          <w:color w:val="333333"/>
          <w:spacing w:val="0"/>
          <w:sz w:val="32"/>
          <w:szCs w:val="32"/>
          <w:shd w:val="clear" w:fill="FFFFFF"/>
        </w:rPr>
        <w:t>和《</w:t>
      </w:r>
      <w:r>
        <w:rPr>
          <w:rFonts w:hint="eastAsia" w:ascii="仿宋_GB2312" w:hAnsi="宋体" w:eastAsia="仿宋_GB2312" w:cs="仿宋_GB2312"/>
          <w:i w:val="0"/>
          <w:caps w:val="0"/>
          <w:color w:val="333333"/>
          <w:spacing w:val="0"/>
          <w:sz w:val="32"/>
          <w:szCs w:val="32"/>
          <w:shd w:val="clear" w:fill="FFFFFF"/>
          <w:lang w:eastAsia="zh-CN"/>
        </w:rPr>
        <w:t>高安</w:t>
      </w:r>
      <w:r>
        <w:rPr>
          <w:rFonts w:hint="eastAsia" w:ascii="仿宋_GB2312" w:hAnsi="宋体" w:eastAsia="仿宋_GB2312" w:cs="仿宋_GB2312"/>
          <w:i w:val="0"/>
          <w:caps w:val="0"/>
          <w:color w:val="333333"/>
          <w:spacing w:val="0"/>
          <w:sz w:val="32"/>
          <w:szCs w:val="32"/>
          <w:shd w:val="clear" w:fill="FFFFFF"/>
        </w:rPr>
        <w:t>市人民政府办公室</w:t>
      </w:r>
      <w:r>
        <w:rPr>
          <w:rFonts w:hint="eastAsia" w:ascii="仿宋_GB2312" w:hAnsi="仿宋_GB2312" w:eastAsia="仿宋_GB2312" w:cs="仿宋_GB2312"/>
          <w:sz w:val="32"/>
          <w:szCs w:val="32"/>
        </w:rPr>
        <w:t>关于进一步做好当前政府信息公开有关工作的通知</w:t>
      </w:r>
      <w:r>
        <w:rPr>
          <w:rFonts w:hint="eastAsia" w:ascii="仿宋_GB2312" w:hAnsi="宋体" w:eastAsia="仿宋_GB2312" w:cs="仿宋_GB2312"/>
          <w:i w:val="0"/>
          <w:caps w:val="0"/>
          <w:color w:val="333333"/>
          <w:spacing w:val="0"/>
          <w:sz w:val="32"/>
          <w:szCs w:val="32"/>
          <w:shd w:val="clear" w:fill="FFFFFF"/>
        </w:rPr>
        <w:t>》，深入推进行政权力公开透明运行，规范行政审批和行政许可行为，提高办事效率，以公正便民、勤政廉政为基本要求，切实推行政务信息公开工作，加强了对行政权力的民主监督，方便了群众办事，促进了全镇经济发展和社会政治稳定，取得了一定的成绩。截止2019年底，我镇政府信息公开工作运行正常，政府信息公开咨询、申请以及答复工作均得到了顺利开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3"/>
        <w:rPr>
          <w:rFonts w:hint="default" w:ascii="微软雅黑" w:hAnsi="微软雅黑" w:eastAsia="微软雅黑" w:cs="微软雅黑"/>
          <w:i w:val="0"/>
          <w:caps w:val="0"/>
          <w:color w:val="333333"/>
          <w:spacing w:val="0"/>
          <w:sz w:val="21"/>
          <w:szCs w:val="21"/>
        </w:rPr>
      </w:pPr>
      <w:r>
        <w:rPr>
          <w:rFonts w:hint="eastAsia" w:ascii="宋体" w:hAnsi="宋体" w:eastAsia="宋体" w:cs="宋体"/>
          <w:b/>
          <w:i w:val="0"/>
          <w:caps w:val="0"/>
          <w:color w:val="333333"/>
          <w:spacing w:val="0"/>
          <w:sz w:val="32"/>
          <w:szCs w:val="32"/>
          <w:shd w:val="clear" w:fill="FFFFFF"/>
        </w:rPr>
        <w:t>（一）主动公开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rPr>
          <w:rFonts w:hint="default" w:ascii="微软雅黑" w:hAnsi="微软雅黑" w:eastAsia="微软雅黑" w:cs="微软雅黑"/>
          <w:i w:val="0"/>
          <w:caps w:val="0"/>
          <w:color w:val="333333"/>
          <w:spacing w:val="0"/>
          <w:sz w:val="21"/>
          <w:szCs w:val="21"/>
        </w:rPr>
      </w:pPr>
      <w:r>
        <w:rPr>
          <w:rFonts w:hint="eastAsia" w:ascii="仿宋_GB2312" w:hAnsi="宋体" w:eastAsia="仿宋_GB2312" w:cs="仿宋_GB2312"/>
          <w:i w:val="0"/>
          <w:caps w:val="0"/>
          <w:color w:val="333333"/>
          <w:spacing w:val="0"/>
          <w:sz w:val="32"/>
          <w:szCs w:val="32"/>
          <w:shd w:val="clear" w:fill="FFFFFF"/>
        </w:rPr>
        <w:t>本镇政务公开工作按照</w:t>
      </w:r>
      <w:r>
        <w:rPr>
          <w:rFonts w:hint="eastAsia" w:ascii="仿宋_GB2312" w:hAnsi="宋体" w:eastAsia="仿宋_GB2312" w:cs="仿宋_GB2312"/>
          <w:i w:val="0"/>
          <w:caps w:val="0"/>
          <w:color w:val="333333"/>
          <w:spacing w:val="0"/>
          <w:sz w:val="32"/>
          <w:szCs w:val="32"/>
          <w:shd w:val="clear" w:fill="FFFFFF"/>
          <w:lang w:eastAsia="zh-CN"/>
        </w:rPr>
        <w:t>新</w:t>
      </w:r>
      <w:r>
        <w:rPr>
          <w:rFonts w:hint="eastAsia" w:ascii="仿宋_GB2312" w:hAnsi="宋体" w:eastAsia="仿宋_GB2312" w:cs="仿宋_GB2312"/>
          <w:i w:val="0"/>
          <w:caps w:val="0"/>
          <w:color w:val="333333"/>
          <w:spacing w:val="0"/>
          <w:sz w:val="32"/>
          <w:szCs w:val="32"/>
          <w:shd w:val="clear" w:fill="FFFFFF"/>
        </w:rPr>
        <w:t>《条例》的要求，以公开为原则，不公开为例外，主动公开本政府产生的政务信息。2019年通过《</w:t>
      </w:r>
      <w:r>
        <w:rPr>
          <w:rFonts w:hint="eastAsia" w:ascii="仿宋_GB2312" w:hAnsi="宋体" w:eastAsia="仿宋_GB2312" w:cs="仿宋_GB2312"/>
          <w:i w:val="0"/>
          <w:caps w:val="0"/>
          <w:color w:val="333333"/>
          <w:spacing w:val="0"/>
          <w:sz w:val="32"/>
          <w:szCs w:val="32"/>
          <w:shd w:val="clear" w:fill="FFFFFF"/>
          <w:lang w:eastAsia="zh-CN"/>
        </w:rPr>
        <w:t>高安市</w:t>
      </w:r>
      <w:r>
        <w:rPr>
          <w:rFonts w:hint="eastAsia" w:ascii="仿宋_GB2312" w:hAnsi="宋体" w:eastAsia="仿宋_GB2312" w:cs="仿宋_GB2312"/>
          <w:i w:val="0"/>
          <w:caps w:val="0"/>
          <w:color w:val="333333"/>
          <w:spacing w:val="0"/>
          <w:sz w:val="32"/>
          <w:szCs w:val="32"/>
          <w:shd w:val="clear" w:fill="FFFFFF"/>
        </w:rPr>
        <w:t>人民政府网》发布</w:t>
      </w:r>
      <w:r>
        <w:rPr>
          <w:rFonts w:hint="eastAsia" w:ascii="仿宋_GB2312" w:hAnsi="仿宋_GB2312" w:eastAsia="仿宋_GB2312" w:cs="仿宋_GB2312"/>
          <w:i w:val="0"/>
          <w:sz w:val="32"/>
          <w:szCs w:val="32"/>
          <w:u w:val="none"/>
        </w:rPr>
        <w:t>安全生产、就业、财政审计、科技管理和项目经费、价格和收费、信用</w:t>
      </w:r>
      <w:r>
        <w:rPr>
          <w:rFonts w:hint="eastAsia" w:ascii="仿宋_GB2312" w:hAnsi="宋体" w:eastAsia="仿宋_GB2312" w:cs="仿宋_GB2312"/>
          <w:i w:val="0"/>
          <w:caps w:val="0"/>
          <w:color w:val="333333"/>
          <w:spacing w:val="0"/>
          <w:sz w:val="32"/>
          <w:szCs w:val="32"/>
          <w:shd w:val="clear" w:fill="FFFFFF"/>
        </w:rPr>
        <w:t>等各类信息</w:t>
      </w:r>
      <w:r>
        <w:rPr>
          <w:rFonts w:hint="eastAsia" w:ascii="仿宋_GB2312" w:hAnsi="宋体" w:eastAsia="仿宋_GB2312" w:cs="仿宋_GB2312"/>
          <w:i w:val="0"/>
          <w:caps w:val="0"/>
          <w:color w:val="333333"/>
          <w:spacing w:val="0"/>
          <w:sz w:val="32"/>
          <w:szCs w:val="32"/>
          <w:shd w:val="clear" w:fill="FFFFFF"/>
          <w:lang w:val="en-US" w:eastAsia="zh-CN"/>
        </w:rPr>
        <w:t>49</w:t>
      </w:r>
      <w:r>
        <w:rPr>
          <w:rFonts w:hint="eastAsia" w:ascii="仿宋_GB2312" w:hAnsi="宋体" w:eastAsia="仿宋_GB2312" w:cs="仿宋_GB2312"/>
          <w:i w:val="0"/>
          <w:caps w:val="0"/>
          <w:color w:val="333333"/>
          <w:spacing w:val="0"/>
          <w:sz w:val="32"/>
          <w:szCs w:val="32"/>
          <w:shd w:val="clear" w:fill="FFFFFF"/>
        </w:rPr>
        <w:t>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3"/>
        <w:rPr>
          <w:rFonts w:hint="default" w:ascii="微软雅黑" w:hAnsi="微软雅黑" w:eastAsia="微软雅黑" w:cs="微软雅黑"/>
          <w:i w:val="0"/>
          <w:caps w:val="0"/>
          <w:color w:val="333333"/>
          <w:spacing w:val="0"/>
          <w:sz w:val="21"/>
          <w:szCs w:val="21"/>
        </w:rPr>
      </w:pPr>
      <w:r>
        <w:rPr>
          <w:rFonts w:ascii="楷体_GB2312" w:hAnsi="宋体" w:eastAsia="楷体_GB2312" w:cs="楷体_GB2312"/>
          <w:b/>
          <w:i w:val="0"/>
          <w:caps w:val="0"/>
          <w:color w:val="333333"/>
          <w:spacing w:val="0"/>
          <w:sz w:val="32"/>
          <w:szCs w:val="32"/>
          <w:shd w:val="clear" w:fill="FFFFFF"/>
        </w:rPr>
        <w:t>（二）依申请公开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80"/>
        <w:rPr>
          <w:rFonts w:hint="default" w:ascii="微软雅黑" w:hAnsi="微软雅黑" w:eastAsia="微软雅黑" w:cs="微软雅黑"/>
          <w:i w:val="0"/>
          <w:caps w:val="0"/>
          <w:color w:val="333333"/>
          <w:spacing w:val="0"/>
          <w:sz w:val="21"/>
          <w:szCs w:val="21"/>
        </w:rPr>
      </w:pPr>
      <w:r>
        <w:rPr>
          <w:rFonts w:hint="eastAsia" w:ascii="仿宋_GB2312" w:hAnsi="宋体" w:eastAsia="仿宋_GB2312" w:cs="仿宋_GB2312"/>
          <w:i w:val="0"/>
          <w:caps w:val="0"/>
          <w:color w:val="333333"/>
          <w:spacing w:val="0"/>
          <w:sz w:val="32"/>
          <w:szCs w:val="32"/>
          <w:shd w:val="clear" w:fill="FFFFFF"/>
        </w:rPr>
        <w:t>本镇2019年没有受理政府信息申请情况、没有“不予公开”的政府信息情况。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3"/>
        <w:rPr>
          <w:rFonts w:hint="default" w:ascii="微软雅黑" w:hAnsi="微软雅黑" w:eastAsia="微软雅黑" w:cs="微软雅黑"/>
          <w:i w:val="0"/>
          <w:caps w:val="0"/>
          <w:color w:val="333333"/>
          <w:spacing w:val="0"/>
          <w:sz w:val="21"/>
          <w:szCs w:val="21"/>
        </w:rPr>
      </w:pPr>
      <w:r>
        <w:rPr>
          <w:rFonts w:hint="eastAsia" w:ascii="楷体_GB2312" w:hAnsi="宋体" w:eastAsia="楷体_GB2312" w:cs="楷体_GB2312"/>
          <w:b/>
          <w:i w:val="0"/>
          <w:caps w:val="0"/>
          <w:color w:val="333333"/>
          <w:spacing w:val="0"/>
          <w:sz w:val="32"/>
          <w:szCs w:val="32"/>
          <w:shd w:val="clear" w:fill="FFFFFF"/>
        </w:rPr>
        <w:t>（三）政府信息管理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rPr>
          <w:rFonts w:hint="default" w:ascii="微软雅黑" w:hAnsi="微软雅黑" w:eastAsia="微软雅黑" w:cs="微软雅黑"/>
          <w:i w:val="0"/>
          <w:caps w:val="0"/>
          <w:color w:val="333333"/>
          <w:spacing w:val="0"/>
          <w:sz w:val="21"/>
          <w:szCs w:val="21"/>
        </w:rPr>
      </w:pPr>
      <w:r>
        <w:rPr>
          <w:rFonts w:hint="eastAsia" w:ascii="仿宋_GB2312" w:hAnsi="宋体" w:eastAsia="仿宋_GB2312" w:cs="仿宋_GB2312"/>
          <w:i w:val="0"/>
          <w:caps w:val="0"/>
          <w:color w:val="333333"/>
          <w:spacing w:val="0"/>
          <w:sz w:val="32"/>
          <w:szCs w:val="32"/>
          <w:shd w:val="clear" w:fill="FFFFFF"/>
        </w:rPr>
        <w:t>1、强化组织领导，责任落实到位。由镇主要领导牵头，党政办安排专人负责推进政务网站建设和发展，负责对政府信息公开工作进行统筹规划和监督，做好政务网站安全维护、信息发布、对外联络和督促各站办所落实信息上报任务等工作。做到了领导、机构、人员“三到位”，做好信息的网上发布及更新，将政府信息公开工作与日常的信息工作、电子政务工作相结合，确保责任到人，层层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rPr>
          <w:rFonts w:hint="default" w:ascii="微软雅黑" w:hAnsi="微软雅黑" w:eastAsia="微软雅黑" w:cs="微软雅黑"/>
          <w:i w:val="0"/>
          <w:caps w:val="0"/>
          <w:color w:val="333333"/>
          <w:spacing w:val="0"/>
          <w:sz w:val="21"/>
          <w:szCs w:val="21"/>
        </w:rPr>
      </w:pPr>
      <w:r>
        <w:rPr>
          <w:rFonts w:hint="eastAsia" w:ascii="仿宋_GB2312" w:hAnsi="宋体" w:eastAsia="仿宋_GB2312" w:cs="仿宋_GB2312"/>
          <w:i w:val="0"/>
          <w:caps w:val="0"/>
          <w:color w:val="333333"/>
          <w:spacing w:val="0"/>
          <w:sz w:val="32"/>
          <w:szCs w:val="32"/>
          <w:shd w:val="clear" w:fill="FFFFFF"/>
        </w:rPr>
        <w:t>2、充实信息内容，及时发布到位。督促各站所落实信息上报任务，及时反映有关重大活动、工作进展等情况。坚持把群众关注的热点内容作为信息公开的重点，准确把握公开的期限和时间。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rPr>
          <w:rFonts w:hint="default" w:ascii="微软雅黑" w:hAnsi="微软雅黑" w:eastAsia="微软雅黑" w:cs="微软雅黑"/>
          <w:i w:val="0"/>
          <w:caps w:val="0"/>
          <w:color w:val="333333"/>
          <w:spacing w:val="0"/>
          <w:sz w:val="21"/>
          <w:szCs w:val="21"/>
        </w:rPr>
      </w:pPr>
      <w:r>
        <w:rPr>
          <w:rFonts w:hint="eastAsia" w:ascii="仿宋_GB2312" w:hAnsi="宋体" w:eastAsia="仿宋_GB2312" w:cs="仿宋_GB2312"/>
          <w:i w:val="0"/>
          <w:caps w:val="0"/>
          <w:color w:val="333333"/>
          <w:spacing w:val="0"/>
          <w:sz w:val="32"/>
          <w:szCs w:val="32"/>
          <w:shd w:val="clear" w:fill="FFFFFF"/>
        </w:rPr>
        <w:t>3、创新公开形式，提高宣传力度。积极推行电子政务，做好政府信息公开政务网站信息发布，充分利用镇村政务公开栏、短信平台、微信公众号等形式，多渠道发布政府信息。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3"/>
        <w:rPr>
          <w:rFonts w:hint="default" w:ascii="微软雅黑" w:hAnsi="微软雅黑" w:eastAsia="微软雅黑" w:cs="微软雅黑"/>
          <w:i w:val="0"/>
          <w:caps w:val="0"/>
          <w:color w:val="333333"/>
          <w:spacing w:val="0"/>
          <w:sz w:val="21"/>
          <w:szCs w:val="21"/>
        </w:rPr>
      </w:pPr>
      <w:r>
        <w:rPr>
          <w:rFonts w:hint="eastAsia" w:ascii="宋体" w:hAnsi="宋体" w:eastAsia="宋体" w:cs="宋体"/>
          <w:b/>
          <w:i w:val="0"/>
          <w:caps w:val="0"/>
          <w:color w:val="333333"/>
          <w:spacing w:val="0"/>
          <w:sz w:val="32"/>
          <w:szCs w:val="32"/>
          <w:shd w:val="clear" w:fill="FFFFFF"/>
        </w:rPr>
        <w:t>（四）平台建设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我镇公开政府信息依托“</w:t>
      </w:r>
      <w:r>
        <w:rPr>
          <w:rFonts w:hint="eastAsia" w:ascii="仿宋_GB2312" w:hAnsi="仿宋_GB2312" w:eastAsia="仿宋_GB2312" w:cs="仿宋_GB2312"/>
          <w:i w:val="0"/>
          <w:caps w:val="0"/>
          <w:color w:val="333333"/>
          <w:spacing w:val="0"/>
          <w:sz w:val="32"/>
          <w:szCs w:val="32"/>
          <w:shd w:val="clear" w:fill="FFFFFF"/>
          <w:lang w:eastAsia="zh-CN"/>
        </w:rPr>
        <w:t>高安</w:t>
      </w:r>
      <w:r>
        <w:rPr>
          <w:rFonts w:hint="eastAsia" w:ascii="仿宋_GB2312" w:hAnsi="仿宋_GB2312" w:eastAsia="仿宋_GB2312" w:cs="仿宋_GB2312"/>
          <w:i w:val="0"/>
          <w:caps w:val="0"/>
          <w:color w:val="333333"/>
          <w:spacing w:val="0"/>
          <w:sz w:val="32"/>
          <w:szCs w:val="32"/>
          <w:shd w:val="clear" w:fill="FFFFFF"/>
        </w:rPr>
        <w:t>市人民政府”</w:t>
      </w:r>
      <w:r>
        <w:rPr>
          <w:rFonts w:hint="eastAsia" w:ascii="仿宋_GB2312" w:hAnsi="仿宋_GB2312" w:eastAsia="仿宋_GB2312" w:cs="仿宋_GB2312"/>
          <w:i w:val="0"/>
          <w:sz w:val="32"/>
          <w:szCs w:val="32"/>
          <w:u w:val="none"/>
        </w:rPr>
        <w:t>（</w:t>
      </w:r>
      <w:r>
        <w:rPr>
          <w:rFonts w:hint="eastAsia" w:ascii="仿宋_GB2312" w:hAnsi="仿宋_GB2312" w:eastAsia="仿宋_GB2312" w:cs="仿宋_GB2312"/>
          <w:i w:val="0"/>
          <w:sz w:val="32"/>
          <w:szCs w:val="32"/>
          <w:u w:val="none"/>
        </w:rPr>
        <w:fldChar w:fldCharType="begin"/>
      </w:r>
      <w:r>
        <w:rPr>
          <w:rFonts w:hint="eastAsia" w:ascii="仿宋_GB2312" w:hAnsi="仿宋_GB2312" w:eastAsia="仿宋_GB2312" w:cs="仿宋_GB2312"/>
          <w:i w:val="0"/>
          <w:sz w:val="32"/>
          <w:szCs w:val="32"/>
          <w:u w:val="none"/>
        </w:rPr>
        <w:instrText xml:space="preserve"> HYPERLINK "http://www.gaoan.gov.cn/" </w:instrText>
      </w:r>
      <w:r>
        <w:rPr>
          <w:rFonts w:hint="eastAsia" w:ascii="仿宋_GB2312" w:hAnsi="仿宋_GB2312" w:eastAsia="仿宋_GB2312" w:cs="仿宋_GB2312"/>
          <w:i w:val="0"/>
          <w:sz w:val="32"/>
          <w:szCs w:val="32"/>
          <w:u w:val="none"/>
        </w:rPr>
        <w:fldChar w:fldCharType="separate"/>
      </w:r>
      <w:r>
        <w:rPr>
          <w:rStyle w:val="6"/>
          <w:rFonts w:hint="eastAsia" w:ascii="仿宋_GB2312" w:hAnsi="仿宋_GB2312" w:eastAsia="仿宋_GB2312" w:cs="仿宋_GB2312"/>
          <w:i w:val="0"/>
          <w:color w:val="0000FF"/>
          <w:sz w:val="32"/>
          <w:szCs w:val="32"/>
          <w:u w:val="none"/>
        </w:rPr>
        <w:t>http://www.gaoan.gov.cn</w:t>
      </w:r>
      <w:r>
        <w:rPr>
          <w:rFonts w:hint="eastAsia" w:ascii="仿宋_GB2312" w:hAnsi="仿宋_GB2312" w:eastAsia="仿宋_GB2312" w:cs="仿宋_GB2312"/>
          <w:i w:val="0"/>
          <w:sz w:val="32"/>
          <w:szCs w:val="32"/>
          <w:u w:val="none"/>
        </w:rPr>
        <w:fldChar w:fldCharType="end"/>
      </w:r>
      <w:r>
        <w:rPr>
          <w:rFonts w:hint="eastAsia" w:ascii="仿宋_GB2312" w:hAnsi="仿宋_GB2312" w:eastAsia="仿宋_GB2312" w:cs="仿宋_GB2312"/>
          <w:i w:val="0"/>
          <w:sz w:val="32"/>
          <w:szCs w:val="32"/>
          <w:u w:val="none"/>
        </w:rPr>
        <w:t>）</w:t>
      </w:r>
      <w:r>
        <w:rPr>
          <w:rFonts w:hint="eastAsia" w:ascii="仿宋_GB2312" w:hAnsi="仿宋_GB2312" w:eastAsia="仿宋_GB2312" w:cs="仿宋_GB2312"/>
          <w:i w:val="0"/>
          <w:caps w:val="0"/>
          <w:color w:val="333333"/>
          <w:spacing w:val="0"/>
          <w:sz w:val="32"/>
          <w:szCs w:val="32"/>
          <w:shd w:val="clear" w:fill="FFFFFF"/>
        </w:rPr>
        <w:t>作为政务公开第一平台，加强政府网站信息发布审核，及时更新，确保政府信息公开的准确性、实效性。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3"/>
        <w:rPr>
          <w:rFonts w:hint="default" w:ascii="微软雅黑" w:hAnsi="微软雅黑" w:eastAsia="微软雅黑" w:cs="微软雅黑"/>
          <w:i w:val="0"/>
          <w:caps w:val="0"/>
          <w:color w:val="333333"/>
          <w:spacing w:val="0"/>
          <w:sz w:val="21"/>
          <w:szCs w:val="21"/>
        </w:rPr>
      </w:pPr>
      <w:r>
        <w:rPr>
          <w:rFonts w:hint="eastAsia" w:ascii="宋体" w:hAnsi="宋体" w:eastAsia="宋体" w:cs="宋体"/>
          <w:b/>
          <w:i w:val="0"/>
          <w:caps w:val="0"/>
          <w:color w:val="333333"/>
          <w:spacing w:val="0"/>
          <w:sz w:val="32"/>
          <w:szCs w:val="32"/>
          <w:shd w:val="clear" w:fill="FFFFFF"/>
        </w:rPr>
        <w:t>（五）监督保障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我镇严格贯彻落实</w:t>
      </w:r>
      <w:r>
        <w:rPr>
          <w:rFonts w:hint="eastAsia" w:ascii="仿宋_GB2312" w:hAnsi="仿宋_GB2312" w:eastAsia="仿宋_GB2312" w:cs="仿宋_GB2312"/>
          <w:i w:val="0"/>
          <w:caps w:val="0"/>
          <w:color w:val="333333"/>
          <w:spacing w:val="0"/>
          <w:sz w:val="32"/>
          <w:szCs w:val="32"/>
          <w:shd w:val="clear" w:fill="FFFFFF"/>
          <w:lang w:eastAsia="zh-CN"/>
        </w:rPr>
        <w:t>新</w:t>
      </w:r>
      <w:r>
        <w:rPr>
          <w:rFonts w:hint="eastAsia" w:ascii="仿宋_GB2312" w:hAnsi="仿宋_GB2312" w:eastAsia="仿宋_GB2312" w:cs="仿宋_GB2312"/>
          <w:i w:val="0"/>
          <w:caps w:val="0"/>
          <w:color w:val="333333"/>
          <w:spacing w:val="0"/>
          <w:sz w:val="32"/>
          <w:szCs w:val="32"/>
          <w:shd w:val="clear" w:fill="FFFFFF"/>
        </w:rPr>
        <w:t>《条例》规定的“工作考核、社会评议、责任追究”等要求，把政务公开纳入政府绩效考核体系，建立健全政府信息公开工作考核制度、社会评议制度和责任追究制度，确保政府信息公开工作顺利开展。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640"/>
        <w:rPr>
          <w:rFonts w:hint="default" w:ascii="微软雅黑" w:hAnsi="微软雅黑" w:eastAsia="微软雅黑" w:cs="微软雅黑"/>
          <w:i w:val="0"/>
          <w:caps w:val="0"/>
          <w:color w:val="333333"/>
          <w:spacing w:val="0"/>
          <w:sz w:val="21"/>
          <w:szCs w:val="21"/>
        </w:rPr>
      </w:pPr>
      <w:r>
        <w:rPr>
          <w:rFonts w:hint="default" w:ascii="微软雅黑" w:hAnsi="微软雅黑" w:eastAsia="微软雅黑" w:cs="微软雅黑"/>
          <w:b/>
          <w:i w:val="0"/>
          <w:caps w:val="0"/>
          <w:color w:val="333333"/>
          <w:spacing w:val="0"/>
          <w:sz w:val="21"/>
          <w:szCs w:val="21"/>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640"/>
        <w:rPr>
          <w:rFonts w:hint="default" w:ascii="微软雅黑" w:hAnsi="微软雅黑" w:eastAsia="微软雅黑" w:cs="微软雅黑"/>
          <w:i w:val="0"/>
          <w:caps w:val="0"/>
          <w:color w:val="333333"/>
          <w:spacing w:val="0"/>
          <w:sz w:val="21"/>
          <w:szCs w:val="21"/>
        </w:rPr>
      </w:pPr>
      <w:r>
        <w:rPr>
          <w:rFonts w:hint="eastAsia" w:ascii="黑体" w:hAnsi="微软雅黑" w:eastAsia="黑体" w:cs="黑体"/>
          <w:b/>
          <w:i w:val="0"/>
          <w:caps w:val="0"/>
          <w:color w:val="333333"/>
          <w:spacing w:val="0"/>
          <w:sz w:val="32"/>
          <w:szCs w:val="32"/>
          <w:shd w:val="clear" w:fill="FFFFFF"/>
        </w:rPr>
        <w:t>二、主动公开政府信息情况</w:t>
      </w:r>
    </w:p>
    <w:tbl>
      <w:tblPr>
        <w:tblStyle w:val="4"/>
        <w:tblW w:w="8140" w:type="dxa"/>
        <w:jc w:val="center"/>
        <w:shd w:val="clear" w:color="auto" w:fill="auto"/>
        <w:tblLayout w:type="fixed"/>
        <w:tblCellMar>
          <w:top w:w="0" w:type="dxa"/>
          <w:left w:w="0" w:type="dxa"/>
          <w:bottom w:w="0" w:type="dxa"/>
          <w:right w:w="0" w:type="dxa"/>
        </w:tblCellMar>
      </w:tblPr>
      <w:tblGrid>
        <w:gridCol w:w="3113"/>
        <w:gridCol w:w="1875"/>
        <w:gridCol w:w="6"/>
        <w:gridCol w:w="1265"/>
        <w:gridCol w:w="1881"/>
      </w:tblGrid>
      <w:tr>
        <w:tblPrEx>
          <w:shd w:val="clear" w:color="auto" w:fill="auto"/>
          <w:tblCellMar>
            <w:top w:w="0" w:type="dxa"/>
            <w:left w:w="0" w:type="dxa"/>
            <w:bottom w:w="0" w:type="dxa"/>
            <w:right w:w="0" w:type="dxa"/>
          </w:tblCellMar>
        </w:tblPrEx>
        <w:trPr>
          <w:trHeight w:val="495" w:hRule="atLeast"/>
          <w:jc w:val="center"/>
        </w:trPr>
        <w:tc>
          <w:tcPr>
            <w:tcW w:w="8140" w:type="dxa"/>
            <w:gridSpan w:val="5"/>
            <w:tcBorders>
              <w:top w:val="single" w:color="auto" w:sz="8" w:space="0"/>
              <w:left w:val="single" w:color="auto" w:sz="8" w:space="0"/>
              <w:bottom w:val="single" w:color="auto" w:sz="8" w:space="0"/>
              <w:right w:val="single" w:color="auto" w:sz="8" w:space="0"/>
            </w:tcBorders>
            <w:shd w:val="clear" w:color="auto" w:fill="C6D9F1"/>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0"/>
                <w:szCs w:val="20"/>
              </w:rPr>
              <w:t>第二十条第（一）项</w:t>
            </w:r>
          </w:p>
        </w:tc>
      </w:tr>
      <w:tr>
        <w:tblPrEx>
          <w:tblCellMar>
            <w:top w:w="0" w:type="dxa"/>
            <w:left w:w="0" w:type="dxa"/>
            <w:bottom w:w="0" w:type="dxa"/>
            <w:right w:w="0" w:type="dxa"/>
          </w:tblCellMar>
        </w:tblPrEx>
        <w:trPr>
          <w:trHeight w:val="882"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1"/>
                <w:szCs w:val="21"/>
              </w:rPr>
              <w:t>信息内容</w:t>
            </w:r>
          </w:p>
        </w:tc>
        <w:tc>
          <w:tcPr>
            <w:tcW w:w="1875" w:type="dxa"/>
            <w:tcBorders>
              <w:top w:val="nil"/>
              <w:left w:val="nil"/>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1"/>
                <w:szCs w:val="21"/>
              </w:rPr>
              <w:t>本年新</w:t>
            </w:r>
            <w:r>
              <w:rPr>
                <w:rFonts w:hint="eastAsia" w:ascii="宋体" w:hAnsi="宋体" w:eastAsia="宋体" w:cs="宋体"/>
                <w:color w:val="000000"/>
                <w:sz w:val="21"/>
                <w:szCs w:val="21"/>
              </w:rPr>
              <w:br w:type="textWrapping"/>
            </w:r>
            <w:r>
              <w:rPr>
                <w:rFonts w:hint="eastAsia" w:ascii="宋体" w:hAnsi="宋体" w:eastAsia="宋体" w:cs="宋体"/>
                <w:sz w:val="21"/>
                <w:szCs w:val="21"/>
              </w:rPr>
              <w:t>制作数量</w:t>
            </w:r>
          </w:p>
        </w:tc>
        <w:tc>
          <w:tcPr>
            <w:tcW w:w="1271"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1"/>
                <w:szCs w:val="21"/>
              </w:rPr>
              <w:t>本年新</w:t>
            </w:r>
            <w:r>
              <w:rPr>
                <w:rFonts w:hint="eastAsia" w:ascii="宋体" w:hAnsi="宋体" w:eastAsia="宋体" w:cs="宋体"/>
                <w:color w:val="000000"/>
                <w:sz w:val="21"/>
                <w:szCs w:val="21"/>
              </w:rPr>
              <w:br w:type="textWrapping"/>
            </w:r>
            <w:r>
              <w:rPr>
                <w:rFonts w:hint="eastAsia" w:ascii="宋体" w:hAnsi="宋体" w:eastAsia="宋体" w:cs="宋体"/>
                <w:sz w:val="21"/>
                <w:szCs w:val="21"/>
              </w:rPr>
              <w:t>公开数量</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1"/>
                <w:szCs w:val="21"/>
              </w:rPr>
              <w:t>对外公开总数量</w:t>
            </w:r>
          </w:p>
        </w:tc>
      </w:tr>
      <w:tr>
        <w:tblPrEx>
          <w:tblCellMar>
            <w:top w:w="0" w:type="dxa"/>
            <w:left w:w="0" w:type="dxa"/>
            <w:bottom w:w="0" w:type="dxa"/>
            <w:right w:w="0" w:type="dxa"/>
          </w:tblCellMar>
        </w:tblPrEx>
        <w:trPr>
          <w:trHeight w:val="523"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sz w:val="21"/>
                <w:szCs w:val="21"/>
              </w:rPr>
              <w:t>规章</w:t>
            </w:r>
          </w:p>
        </w:tc>
        <w:tc>
          <w:tcPr>
            <w:tcW w:w="1875" w:type="dxa"/>
            <w:tcBorders>
              <w:top w:val="nil"/>
              <w:left w:val="nil"/>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sz w:val="21"/>
                <w:szCs w:val="21"/>
              </w:rPr>
              <w:t>　　0</w:t>
            </w:r>
          </w:p>
        </w:tc>
        <w:tc>
          <w:tcPr>
            <w:tcW w:w="1271"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sz w:val="21"/>
                <w:szCs w:val="21"/>
              </w:rPr>
              <w:t> 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sz w:val="21"/>
                <w:szCs w:val="21"/>
              </w:rPr>
              <w:t>　0</w:t>
            </w:r>
          </w:p>
        </w:tc>
      </w:tr>
      <w:tr>
        <w:tblPrEx>
          <w:tblCellMar>
            <w:top w:w="0" w:type="dxa"/>
            <w:left w:w="0" w:type="dxa"/>
            <w:bottom w:w="0" w:type="dxa"/>
            <w:right w:w="0" w:type="dxa"/>
          </w:tblCellMar>
        </w:tblPrEx>
        <w:trPr>
          <w:trHeight w:val="471"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sz w:val="21"/>
                <w:szCs w:val="21"/>
              </w:rPr>
              <w:t>规范性文件</w:t>
            </w:r>
          </w:p>
        </w:tc>
        <w:tc>
          <w:tcPr>
            <w:tcW w:w="1875" w:type="dxa"/>
            <w:tcBorders>
              <w:top w:val="nil"/>
              <w:left w:val="nil"/>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sz w:val="21"/>
                <w:szCs w:val="21"/>
              </w:rPr>
              <w:t>　　0</w:t>
            </w:r>
          </w:p>
        </w:tc>
        <w:tc>
          <w:tcPr>
            <w:tcW w:w="1271"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sz w:val="21"/>
                <w:szCs w:val="21"/>
              </w:rPr>
              <w:t> 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sz w:val="21"/>
                <w:szCs w:val="21"/>
              </w:rPr>
              <w:t>　0</w:t>
            </w:r>
          </w:p>
        </w:tc>
      </w:tr>
      <w:tr>
        <w:tblPrEx>
          <w:tblCellMar>
            <w:top w:w="0" w:type="dxa"/>
            <w:left w:w="0" w:type="dxa"/>
            <w:bottom w:w="0" w:type="dxa"/>
            <w:right w:w="0" w:type="dxa"/>
          </w:tblCellMar>
        </w:tblPrEx>
        <w:trPr>
          <w:trHeight w:val="480"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1"/>
                <w:szCs w:val="21"/>
              </w:rPr>
              <w:t>第二十条第（五）项</w:t>
            </w:r>
          </w:p>
        </w:tc>
      </w:tr>
      <w:tr>
        <w:tblPrEx>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1"/>
                <w:szCs w:val="21"/>
              </w:rPr>
              <w:t>信息内容</w:t>
            </w:r>
          </w:p>
        </w:tc>
        <w:tc>
          <w:tcPr>
            <w:tcW w:w="1875" w:type="dxa"/>
            <w:tcBorders>
              <w:top w:val="nil"/>
              <w:left w:val="nil"/>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1"/>
                <w:szCs w:val="21"/>
              </w:rPr>
              <w:t>上一年项目数量</w:t>
            </w:r>
          </w:p>
        </w:tc>
        <w:tc>
          <w:tcPr>
            <w:tcW w:w="1271"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1"/>
                <w:szCs w:val="21"/>
              </w:rPr>
              <w:t>本年增/减</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1"/>
                <w:szCs w:val="21"/>
              </w:rPr>
              <w:t>处理决定数量</w:t>
            </w:r>
          </w:p>
        </w:tc>
      </w:tr>
      <w:tr>
        <w:tblPrEx>
          <w:tblCellMar>
            <w:top w:w="0" w:type="dxa"/>
            <w:left w:w="0" w:type="dxa"/>
            <w:bottom w:w="0" w:type="dxa"/>
            <w:right w:w="0" w:type="dxa"/>
          </w:tblCellMar>
        </w:tblPrEx>
        <w:trPr>
          <w:trHeight w:val="528"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sz w:val="21"/>
                <w:szCs w:val="21"/>
              </w:rPr>
              <w:t>行政许可</w:t>
            </w:r>
          </w:p>
        </w:tc>
        <w:tc>
          <w:tcPr>
            <w:tcW w:w="1881" w:type="dxa"/>
            <w:gridSpan w:val="2"/>
            <w:tcBorders>
              <w:top w:val="nil"/>
              <w:left w:val="nil"/>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sz w:val="21"/>
                <w:szCs w:val="21"/>
              </w:rPr>
              <w:t>　0</w:t>
            </w:r>
          </w:p>
        </w:tc>
        <w:tc>
          <w:tcPr>
            <w:tcW w:w="1265" w:type="dxa"/>
            <w:tcBorders>
              <w:top w:val="nil"/>
              <w:left w:val="nil"/>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sz w:val="21"/>
                <w:szCs w:val="21"/>
              </w:rPr>
              <w:t>　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sz w:val="21"/>
                <w:szCs w:val="21"/>
              </w:rPr>
              <w:t>　0</w:t>
            </w:r>
          </w:p>
        </w:tc>
      </w:tr>
      <w:tr>
        <w:tblPrEx>
          <w:tblCellMar>
            <w:top w:w="0" w:type="dxa"/>
            <w:left w:w="0" w:type="dxa"/>
            <w:bottom w:w="0" w:type="dxa"/>
            <w:right w:w="0" w:type="dxa"/>
          </w:tblCellMar>
        </w:tblPrEx>
        <w:trPr>
          <w:trHeight w:val="550"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sz w:val="21"/>
                <w:szCs w:val="21"/>
              </w:rPr>
              <w:t>其他对外管理服务事项</w:t>
            </w:r>
          </w:p>
        </w:tc>
        <w:tc>
          <w:tcPr>
            <w:tcW w:w="1881" w:type="dxa"/>
            <w:gridSpan w:val="2"/>
            <w:tcBorders>
              <w:top w:val="nil"/>
              <w:left w:val="nil"/>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sz w:val="21"/>
                <w:szCs w:val="21"/>
              </w:rPr>
              <w:t>　0</w:t>
            </w:r>
          </w:p>
        </w:tc>
        <w:tc>
          <w:tcPr>
            <w:tcW w:w="1265" w:type="dxa"/>
            <w:tcBorders>
              <w:top w:val="nil"/>
              <w:left w:val="nil"/>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sz w:val="21"/>
                <w:szCs w:val="21"/>
              </w:rPr>
              <w:t>　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sz w:val="21"/>
                <w:szCs w:val="21"/>
              </w:rPr>
              <w:t>　0</w:t>
            </w:r>
          </w:p>
        </w:tc>
      </w:tr>
      <w:tr>
        <w:tblPrEx>
          <w:tblCellMar>
            <w:top w:w="0" w:type="dxa"/>
            <w:left w:w="0" w:type="dxa"/>
            <w:bottom w:w="0" w:type="dxa"/>
            <w:right w:w="0" w:type="dxa"/>
          </w:tblCellMar>
        </w:tblPrEx>
        <w:trPr>
          <w:trHeight w:val="40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1"/>
                <w:szCs w:val="21"/>
              </w:rPr>
              <w:t>第二十条第（六）项</w:t>
            </w:r>
          </w:p>
        </w:tc>
      </w:tr>
      <w:tr>
        <w:tblPrEx>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1"/>
                <w:szCs w:val="21"/>
              </w:rPr>
              <w:t>信息内容</w:t>
            </w:r>
          </w:p>
        </w:tc>
        <w:tc>
          <w:tcPr>
            <w:tcW w:w="1875" w:type="dxa"/>
            <w:tcBorders>
              <w:top w:val="nil"/>
              <w:left w:val="nil"/>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1"/>
                <w:szCs w:val="21"/>
              </w:rPr>
              <w:t>上一年项目数量</w:t>
            </w:r>
          </w:p>
        </w:tc>
        <w:tc>
          <w:tcPr>
            <w:tcW w:w="1271"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1"/>
                <w:szCs w:val="21"/>
              </w:rPr>
              <w:t>本年增/减</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1"/>
                <w:szCs w:val="21"/>
              </w:rPr>
              <w:t>处理决定数量</w:t>
            </w:r>
          </w:p>
        </w:tc>
      </w:tr>
      <w:tr>
        <w:tblPrEx>
          <w:tblCellMar>
            <w:top w:w="0" w:type="dxa"/>
            <w:left w:w="0" w:type="dxa"/>
            <w:bottom w:w="0" w:type="dxa"/>
            <w:right w:w="0" w:type="dxa"/>
          </w:tblCellMar>
        </w:tblPrEx>
        <w:trPr>
          <w:trHeight w:val="430"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sz w:val="21"/>
                <w:szCs w:val="21"/>
              </w:rPr>
              <w:t>行政处罚</w:t>
            </w:r>
          </w:p>
        </w:tc>
        <w:tc>
          <w:tcPr>
            <w:tcW w:w="1881" w:type="dxa"/>
            <w:gridSpan w:val="2"/>
            <w:tcBorders>
              <w:top w:val="nil"/>
              <w:left w:val="nil"/>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sz w:val="21"/>
                <w:szCs w:val="21"/>
              </w:rPr>
              <w:t>　0</w:t>
            </w:r>
          </w:p>
        </w:tc>
        <w:tc>
          <w:tcPr>
            <w:tcW w:w="1265" w:type="dxa"/>
            <w:tcBorders>
              <w:top w:val="nil"/>
              <w:left w:val="nil"/>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sz w:val="21"/>
                <w:szCs w:val="21"/>
              </w:rPr>
              <w:t>　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sz w:val="21"/>
                <w:szCs w:val="21"/>
              </w:rPr>
              <w:t>　0</w:t>
            </w:r>
          </w:p>
        </w:tc>
      </w:tr>
      <w:tr>
        <w:tblPrEx>
          <w:tblCellMar>
            <w:top w:w="0" w:type="dxa"/>
            <w:left w:w="0" w:type="dxa"/>
            <w:bottom w:w="0" w:type="dxa"/>
            <w:right w:w="0" w:type="dxa"/>
          </w:tblCellMar>
        </w:tblPrEx>
        <w:trPr>
          <w:trHeight w:val="409"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sz w:val="21"/>
                <w:szCs w:val="21"/>
              </w:rPr>
              <w:t>行政强制</w:t>
            </w:r>
          </w:p>
        </w:tc>
        <w:tc>
          <w:tcPr>
            <w:tcW w:w="1881" w:type="dxa"/>
            <w:gridSpan w:val="2"/>
            <w:tcBorders>
              <w:top w:val="nil"/>
              <w:left w:val="nil"/>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sz w:val="21"/>
                <w:szCs w:val="21"/>
              </w:rPr>
              <w:t>　0</w:t>
            </w:r>
          </w:p>
        </w:tc>
        <w:tc>
          <w:tcPr>
            <w:tcW w:w="1265" w:type="dxa"/>
            <w:tcBorders>
              <w:top w:val="nil"/>
              <w:left w:val="nil"/>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sz w:val="21"/>
                <w:szCs w:val="21"/>
              </w:rPr>
              <w:t>　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sz w:val="21"/>
                <w:szCs w:val="21"/>
              </w:rPr>
              <w:t>　0</w:t>
            </w:r>
          </w:p>
        </w:tc>
      </w:tr>
      <w:tr>
        <w:tblPrEx>
          <w:tblCellMar>
            <w:top w:w="0" w:type="dxa"/>
            <w:left w:w="0" w:type="dxa"/>
            <w:bottom w:w="0" w:type="dxa"/>
            <w:right w:w="0" w:type="dxa"/>
          </w:tblCellMar>
        </w:tblPrEx>
        <w:trPr>
          <w:trHeight w:val="474"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1"/>
                <w:szCs w:val="21"/>
              </w:rPr>
              <w:t>第二十条第（八）项</w:t>
            </w:r>
          </w:p>
        </w:tc>
      </w:tr>
      <w:tr>
        <w:tblPrEx>
          <w:tblCellMar>
            <w:top w:w="0" w:type="dxa"/>
            <w:left w:w="0" w:type="dxa"/>
            <w:bottom w:w="0" w:type="dxa"/>
            <w:right w:w="0" w:type="dxa"/>
          </w:tblCellMar>
        </w:tblPrEx>
        <w:trPr>
          <w:trHeight w:val="270"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1"/>
                <w:szCs w:val="21"/>
              </w:rPr>
              <w:t>信息内容</w:t>
            </w:r>
          </w:p>
        </w:tc>
        <w:tc>
          <w:tcPr>
            <w:tcW w:w="1881" w:type="dxa"/>
            <w:gridSpan w:val="2"/>
            <w:tcBorders>
              <w:top w:val="nil"/>
              <w:left w:val="nil"/>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sz w:val="21"/>
                <w:szCs w:val="21"/>
              </w:rPr>
              <w:t>上一年项目数量</w:t>
            </w:r>
          </w:p>
        </w:tc>
        <w:tc>
          <w:tcPr>
            <w:tcW w:w="3146" w:type="dxa"/>
            <w:gridSpan w:val="2"/>
            <w:tcBorders>
              <w:top w:val="nil"/>
              <w:left w:val="nil"/>
              <w:bottom w:val="single" w:color="auto" w:sz="8" w:space="0"/>
              <w:right w:val="single" w:color="000000"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1"/>
                <w:szCs w:val="21"/>
              </w:rPr>
              <w:t>本年增/减</w:t>
            </w:r>
          </w:p>
        </w:tc>
      </w:tr>
      <w:tr>
        <w:tblPrEx>
          <w:tblCellMar>
            <w:top w:w="0" w:type="dxa"/>
            <w:left w:w="0" w:type="dxa"/>
            <w:bottom w:w="0" w:type="dxa"/>
            <w:right w:w="0" w:type="dxa"/>
          </w:tblCellMar>
        </w:tblPrEx>
        <w:trPr>
          <w:trHeight w:val="551"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sz w:val="21"/>
                <w:szCs w:val="21"/>
              </w:rPr>
              <w:t>行政事业性收费</w:t>
            </w:r>
          </w:p>
        </w:tc>
        <w:tc>
          <w:tcPr>
            <w:tcW w:w="1881" w:type="dxa"/>
            <w:gridSpan w:val="2"/>
            <w:tcBorders>
              <w:top w:val="nil"/>
              <w:left w:val="nil"/>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sz w:val="21"/>
                <w:szCs w:val="21"/>
              </w:rPr>
              <w:t>　0</w:t>
            </w:r>
          </w:p>
        </w:tc>
        <w:tc>
          <w:tcPr>
            <w:tcW w:w="3146" w:type="dxa"/>
            <w:gridSpan w:val="2"/>
            <w:tcBorders>
              <w:top w:val="nil"/>
              <w:left w:val="nil"/>
              <w:bottom w:val="single" w:color="auto" w:sz="8" w:space="0"/>
              <w:right w:val="single" w:color="000000"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1"/>
                <w:szCs w:val="21"/>
              </w:rPr>
              <w:t>0 </w:t>
            </w:r>
          </w:p>
        </w:tc>
      </w:tr>
      <w:tr>
        <w:tblPrEx>
          <w:tblCellMar>
            <w:top w:w="0" w:type="dxa"/>
            <w:left w:w="0" w:type="dxa"/>
            <w:bottom w:w="0" w:type="dxa"/>
            <w:right w:w="0" w:type="dxa"/>
          </w:tblCellMar>
        </w:tblPrEx>
        <w:trPr>
          <w:trHeight w:val="47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1"/>
                <w:szCs w:val="21"/>
              </w:rPr>
              <w:t>第二十条第（九）项</w:t>
            </w:r>
          </w:p>
        </w:tc>
      </w:tr>
      <w:tr>
        <w:tblPrEx>
          <w:tblCellMar>
            <w:top w:w="0" w:type="dxa"/>
            <w:left w:w="0" w:type="dxa"/>
            <w:bottom w:w="0" w:type="dxa"/>
            <w:right w:w="0" w:type="dxa"/>
          </w:tblCellMar>
        </w:tblPrEx>
        <w:trPr>
          <w:trHeight w:val="585" w:hRule="atLeast"/>
          <w:jc w:val="center"/>
        </w:trPr>
        <w:tc>
          <w:tcPr>
            <w:tcW w:w="3113"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1"/>
                <w:szCs w:val="21"/>
              </w:rPr>
              <w:t>信息内容</w:t>
            </w:r>
          </w:p>
        </w:tc>
        <w:tc>
          <w:tcPr>
            <w:tcW w:w="1881" w:type="dxa"/>
            <w:gridSpan w:val="2"/>
            <w:tcBorders>
              <w:top w:val="nil"/>
              <w:left w:val="nil"/>
              <w:bottom w:val="single" w:color="auto" w:sz="8" w:space="0"/>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1"/>
                <w:szCs w:val="21"/>
              </w:rPr>
              <w:t>采购项目数量</w:t>
            </w:r>
          </w:p>
        </w:tc>
        <w:tc>
          <w:tcPr>
            <w:tcW w:w="3146" w:type="dxa"/>
            <w:gridSpan w:val="2"/>
            <w:tcBorders>
              <w:top w:val="nil"/>
              <w:left w:val="nil"/>
              <w:bottom w:val="single" w:color="auto" w:sz="8" w:space="0"/>
              <w:right w:val="single" w:color="000000"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1"/>
                <w:szCs w:val="21"/>
              </w:rPr>
              <w:t>采购总金额</w:t>
            </w:r>
          </w:p>
        </w:tc>
      </w:tr>
      <w:tr>
        <w:tblPrEx>
          <w:tblCellMar>
            <w:top w:w="0" w:type="dxa"/>
            <w:left w:w="0" w:type="dxa"/>
            <w:bottom w:w="0" w:type="dxa"/>
            <w:right w:w="0" w:type="dxa"/>
          </w:tblCellMar>
        </w:tblPrEx>
        <w:trPr>
          <w:trHeight w:val="539" w:hRule="atLeast"/>
          <w:jc w:val="center"/>
        </w:trPr>
        <w:tc>
          <w:tcPr>
            <w:tcW w:w="3113" w:type="dxa"/>
            <w:tcBorders>
              <w:top w:val="nil"/>
              <w:left w:val="single" w:color="auto" w:sz="8" w:space="0"/>
              <w:bottom w:val="nil"/>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sz w:val="21"/>
                <w:szCs w:val="21"/>
              </w:rPr>
              <w:t>政府集中采购</w:t>
            </w:r>
          </w:p>
        </w:tc>
        <w:tc>
          <w:tcPr>
            <w:tcW w:w="1881" w:type="dxa"/>
            <w:gridSpan w:val="2"/>
            <w:tcBorders>
              <w:top w:val="nil"/>
              <w:left w:val="nil"/>
              <w:bottom w:val="nil"/>
              <w:right w:val="single" w:color="auto"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sz w:val="21"/>
                <w:szCs w:val="21"/>
              </w:rPr>
              <w:t>　27批</w:t>
            </w:r>
          </w:p>
        </w:tc>
        <w:tc>
          <w:tcPr>
            <w:tcW w:w="3146" w:type="dxa"/>
            <w:gridSpan w:val="2"/>
            <w:tcBorders>
              <w:top w:val="nil"/>
              <w:left w:val="nil"/>
              <w:bottom w:val="nil"/>
              <w:right w:val="single" w:color="000000" w:sz="8" w:space="0"/>
            </w:tcBorders>
            <w:shd w:val="clear" w:color="auto" w:fill="auto"/>
            <w:noWrap/>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cs="Times New Roman"/>
                <w:sz w:val="20"/>
                <w:szCs w:val="20"/>
              </w:rPr>
              <w:t>　　　　　1301893</w:t>
            </w:r>
            <w:r>
              <w:rPr>
                <w:rFonts w:hint="eastAsia" w:ascii="宋体" w:hAnsi="宋体" w:eastAsia="宋体" w:cs="宋体"/>
                <w:sz w:val="20"/>
                <w:szCs w:val="20"/>
              </w:rPr>
              <w:t>元</w:t>
            </w:r>
          </w:p>
        </w:tc>
      </w:tr>
      <w:tr>
        <w:tblPrEx>
          <w:tblCellMar>
            <w:top w:w="0" w:type="dxa"/>
            <w:left w:w="0" w:type="dxa"/>
            <w:bottom w:w="0" w:type="dxa"/>
            <w:right w:w="0" w:type="dxa"/>
          </w:tblCellMar>
        </w:tblPrEx>
        <w:trPr>
          <w:trHeight w:val="0" w:hRule="atLeast"/>
          <w:jc w:val="center"/>
        </w:trPr>
        <w:tc>
          <w:tcPr>
            <w:tcW w:w="3113" w:type="dxa"/>
            <w:tcBorders>
              <w:top w:val="nil"/>
              <w:left w:val="nil"/>
              <w:bottom w:val="nil"/>
              <w:right w:val="nil"/>
            </w:tcBorders>
            <w:shd w:val="clear" w:color="auto" w:fill="auto"/>
            <w:vAlign w:val="center"/>
          </w:tcPr>
          <w:p>
            <w:pPr>
              <w:rPr>
                <w:rFonts w:hint="eastAsia" w:ascii="宋体"/>
                <w:sz w:val="18"/>
                <w:szCs w:val="18"/>
              </w:rPr>
            </w:pPr>
          </w:p>
        </w:tc>
        <w:tc>
          <w:tcPr>
            <w:tcW w:w="1875" w:type="dxa"/>
            <w:tcBorders>
              <w:top w:val="nil"/>
              <w:left w:val="nil"/>
              <w:bottom w:val="nil"/>
              <w:right w:val="nil"/>
            </w:tcBorders>
            <w:shd w:val="clear" w:color="auto" w:fill="auto"/>
            <w:vAlign w:val="center"/>
          </w:tcPr>
          <w:p>
            <w:pPr>
              <w:rPr>
                <w:rFonts w:hint="eastAsia" w:ascii="宋体"/>
                <w:sz w:val="18"/>
                <w:szCs w:val="18"/>
              </w:rPr>
            </w:pPr>
          </w:p>
        </w:tc>
        <w:tc>
          <w:tcPr>
            <w:tcW w:w="6" w:type="dxa"/>
            <w:tcBorders>
              <w:top w:val="nil"/>
              <w:left w:val="nil"/>
              <w:bottom w:val="nil"/>
              <w:right w:val="nil"/>
            </w:tcBorders>
            <w:shd w:val="clear" w:color="auto" w:fill="auto"/>
            <w:vAlign w:val="center"/>
          </w:tcPr>
          <w:p>
            <w:pPr>
              <w:rPr>
                <w:rFonts w:hint="eastAsia" w:ascii="宋体"/>
                <w:sz w:val="18"/>
                <w:szCs w:val="18"/>
              </w:rPr>
            </w:pPr>
          </w:p>
        </w:tc>
        <w:tc>
          <w:tcPr>
            <w:tcW w:w="1265" w:type="dxa"/>
            <w:tcBorders>
              <w:top w:val="nil"/>
              <w:left w:val="nil"/>
              <w:bottom w:val="nil"/>
              <w:right w:val="nil"/>
            </w:tcBorders>
            <w:shd w:val="clear" w:color="auto" w:fill="auto"/>
            <w:vAlign w:val="center"/>
          </w:tcPr>
          <w:p>
            <w:pPr>
              <w:rPr>
                <w:rFonts w:hint="eastAsia" w:ascii="宋体"/>
                <w:sz w:val="18"/>
                <w:szCs w:val="18"/>
              </w:rPr>
            </w:pPr>
          </w:p>
        </w:tc>
        <w:tc>
          <w:tcPr>
            <w:tcW w:w="1881" w:type="dxa"/>
            <w:tcBorders>
              <w:top w:val="nil"/>
              <w:left w:val="nil"/>
              <w:bottom w:val="nil"/>
              <w:right w:val="nil"/>
            </w:tcBorders>
            <w:shd w:val="clear" w:color="auto" w:fill="auto"/>
            <w:vAlign w:val="center"/>
          </w:tcPr>
          <w:p>
            <w:pPr>
              <w:rPr>
                <w:rFonts w:hint="eastAsia" w:ascii="宋体"/>
                <w:sz w:val="18"/>
                <w:szCs w:val="18"/>
              </w:rPr>
            </w:pP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643"/>
        <w:rPr>
          <w:rFonts w:hint="default" w:ascii="微软雅黑" w:hAnsi="微软雅黑" w:eastAsia="微软雅黑" w:cs="微软雅黑"/>
          <w:i w:val="0"/>
          <w:caps w:val="0"/>
          <w:color w:val="333333"/>
          <w:spacing w:val="0"/>
          <w:sz w:val="21"/>
          <w:szCs w:val="21"/>
        </w:rPr>
      </w:pPr>
      <w:r>
        <w:rPr>
          <w:rFonts w:hint="default" w:ascii="微软雅黑" w:hAnsi="微软雅黑" w:eastAsia="微软雅黑" w:cs="微软雅黑"/>
          <w:b/>
          <w:i w:val="0"/>
          <w:caps w:val="0"/>
          <w:color w:val="333333"/>
          <w:spacing w:val="0"/>
          <w:sz w:val="21"/>
          <w:szCs w:val="21"/>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643"/>
        <w:rPr>
          <w:rFonts w:hint="default" w:ascii="微软雅黑" w:hAnsi="微软雅黑" w:eastAsia="微软雅黑" w:cs="微软雅黑"/>
          <w:i w:val="0"/>
          <w:caps w:val="0"/>
          <w:color w:val="333333"/>
          <w:spacing w:val="0"/>
          <w:sz w:val="21"/>
          <w:szCs w:val="21"/>
        </w:rPr>
      </w:pPr>
      <w:r>
        <w:rPr>
          <w:rFonts w:hint="default" w:ascii="微软雅黑" w:hAnsi="微软雅黑" w:eastAsia="微软雅黑" w:cs="微软雅黑"/>
          <w:b/>
          <w:i w:val="0"/>
          <w:caps w:val="0"/>
          <w:color w:val="333333"/>
          <w:spacing w:val="0"/>
          <w:sz w:val="21"/>
          <w:szCs w:val="21"/>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643"/>
        <w:rPr>
          <w:rFonts w:hint="default" w:ascii="微软雅黑" w:hAnsi="微软雅黑" w:eastAsia="微软雅黑" w:cs="微软雅黑"/>
          <w:i w:val="0"/>
          <w:caps w:val="0"/>
          <w:color w:val="333333"/>
          <w:spacing w:val="0"/>
          <w:sz w:val="21"/>
          <w:szCs w:val="21"/>
        </w:rPr>
      </w:pPr>
      <w:r>
        <w:rPr>
          <w:rFonts w:hint="default" w:ascii="微软雅黑" w:hAnsi="微软雅黑" w:eastAsia="微软雅黑" w:cs="微软雅黑"/>
          <w:b/>
          <w:i w:val="0"/>
          <w:caps w:val="0"/>
          <w:color w:val="333333"/>
          <w:spacing w:val="0"/>
          <w:sz w:val="21"/>
          <w:szCs w:val="21"/>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643"/>
        <w:rPr>
          <w:rFonts w:hint="default" w:ascii="微软雅黑" w:hAnsi="微软雅黑" w:eastAsia="微软雅黑" w:cs="微软雅黑"/>
          <w:i w:val="0"/>
          <w:caps w:val="0"/>
          <w:color w:val="333333"/>
          <w:spacing w:val="0"/>
          <w:sz w:val="21"/>
          <w:szCs w:val="21"/>
        </w:rPr>
      </w:pPr>
      <w:r>
        <w:rPr>
          <w:rFonts w:hint="default" w:ascii="微软雅黑" w:hAnsi="微软雅黑" w:eastAsia="微软雅黑" w:cs="微软雅黑"/>
          <w:b/>
          <w:i w:val="0"/>
          <w:caps w:val="0"/>
          <w:color w:val="333333"/>
          <w:spacing w:val="0"/>
          <w:sz w:val="21"/>
          <w:szCs w:val="21"/>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643"/>
        <w:rPr>
          <w:rFonts w:hint="default" w:ascii="微软雅黑" w:hAnsi="微软雅黑" w:eastAsia="微软雅黑" w:cs="微软雅黑"/>
          <w:i w:val="0"/>
          <w:caps w:val="0"/>
          <w:color w:val="333333"/>
          <w:spacing w:val="0"/>
          <w:sz w:val="21"/>
          <w:szCs w:val="21"/>
        </w:rPr>
      </w:pPr>
      <w:r>
        <w:rPr>
          <w:rFonts w:hint="default" w:ascii="微软雅黑" w:hAnsi="微软雅黑" w:eastAsia="微软雅黑" w:cs="微软雅黑"/>
          <w:b/>
          <w:i w:val="0"/>
          <w:caps w:val="0"/>
          <w:color w:val="333333"/>
          <w:spacing w:val="0"/>
          <w:sz w:val="21"/>
          <w:szCs w:val="21"/>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643"/>
        <w:rPr>
          <w:rFonts w:hint="default" w:ascii="微软雅黑" w:hAnsi="微软雅黑" w:eastAsia="微软雅黑" w:cs="微软雅黑"/>
          <w:i w:val="0"/>
          <w:caps w:val="0"/>
          <w:color w:val="333333"/>
          <w:spacing w:val="0"/>
          <w:sz w:val="21"/>
          <w:szCs w:val="21"/>
        </w:rPr>
      </w:pPr>
      <w:r>
        <w:rPr>
          <w:rFonts w:hint="eastAsia" w:ascii="黑体" w:hAnsi="微软雅黑" w:eastAsia="黑体" w:cs="黑体"/>
          <w:b/>
          <w:i w:val="0"/>
          <w:caps w:val="0"/>
          <w:color w:val="333333"/>
          <w:spacing w:val="0"/>
          <w:sz w:val="32"/>
          <w:szCs w:val="32"/>
          <w:shd w:val="clear" w:fill="FFFFFF"/>
        </w:rPr>
        <w:t>三、收到和处理政府信息公开申请情况</w:t>
      </w:r>
    </w:p>
    <w:tbl>
      <w:tblPr>
        <w:tblStyle w:val="4"/>
        <w:tblW w:w="9071" w:type="dxa"/>
        <w:jc w:val="center"/>
        <w:shd w:val="clear" w:color="auto" w:fill="auto"/>
        <w:tblLayout w:type="fixed"/>
        <w:tblCellMar>
          <w:top w:w="0" w:type="dxa"/>
          <w:left w:w="0" w:type="dxa"/>
          <w:bottom w:w="0" w:type="dxa"/>
          <w:right w:w="0" w:type="dxa"/>
        </w:tblCellMar>
      </w:tblPr>
      <w:tblGrid>
        <w:gridCol w:w="617"/>
        <w:gridCol w:w="816"/>
        <w:gridCol w:w="2406"/>
        <w:gridCol w:w="718"/>
        <w:gridCol w:w="746"/>
        <w:gridCol w:w="746"/>
        <w:gridCol w:w="803"/>
        <w:gridCol w:w="958"/>
        <w:gridCol w:w="703"/>
        <w:gridCol w:w="558"/>
      </w:tblGrid>
      <w:tr>
        <w:tblPrEx>
          <w:shd w:val="clear" w:color="auto" w:fill="auto"/>
          <w:tblCellMar>
            <w:top w:w="0" w:type="dxa"/>
            <w:left w:w="0" w:type="dxa"/>
            <w:bottom w:w="0" w:type="dxa"/>
            <w:right w:w="0" w:type="dxa"/>
          </w:tblCellMar>
        </w:tblPrEx>
        <w:trPr>
          <w:jc w:val="center"/>
        </w:trPr>
        <w:tc>
          <w:tcPr>
            <w:tcW w:w="3839" w:type="dxa"/>
            <w:gridSpan w:val="3"/>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0"/>
                <w:szCs w:val="20"/>
              </w:rPr>
              <w:t>（本列数据的勾稽关系为：第一项加第二项之和，等于第三项加第四项之和）</w:t>
            </w:r>
          </w:p>
        </w:tc>
        <w:tc>
          <w:tcPr>
            <w:tcW w:w="5232" w:type="dxa"/>
            <w:gridSpan w:val="7"/>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0"/>
                <w:szCs w:val="20"/>
              </w:rPr>
              <w:t>申请人情况</w:t>
            </w:r>
          </w:p>
        </w:tc>
      </w:tr>
      <w:tr>
        <w:tblPrEx>
          <w:tblCellMar>
            <w:top w:w="0" w:type="dxa"/>
            <w:left w:w="0" w:type="dxa"/>
            <w:bottom w:w="0" w:type="dxa"/>
            <w:right w:w="0" w:type="dxa"/>
          </w:tblCellMar>
        </w:tblPrEx>
        <w:trPr>
          <w:jc w:val="center"/>
        </w:trPr>
        <w:tc>
          <w:tcPr>
            <w:tcW w:w="3839"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71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0"/>
                <w:szCs w:val="20"/>
              </w:rPr>
              <w:t>自然人</w:t>
            </w:r>
          </w:p>
        </w:tc>
        <w:tc>
          <w:tcPr>
            <w:tcW w:w="3956"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0"/>
                <w:szCs w:val="20"/>
              </w:rPr>
              <w:t>法人或其他组织</w:t>
            </w:r>
          </w:p>
        </w:tc>
        <w:tc>
          <w:tcPr>
            <w:tcW w:w="55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0"/>
                <w:szCs w:val="20"/>
              </w:rPr>
              <w:t>总计</w:t>
            </w:r>
          </w:p>
        </w:tc>
      </w:tr>
      <w:tr>
        <w:tblPrEx>
          <w:tblCellMar>
            <w:top w:w="0" w:type="dxa"/>
            <w:left w:w="0" w:type="dxa"/>
            <w:bottom w:w="0" w:type="dxa"/>
            <w:right w:w="0" w:type="dxa"/>
          </w:tblCellMar>
        </w:tblPrEx>
        <w:trPr>
          <w:jc w:val="center"/>
        </w:trPr>
        <w:tc>
          <w:tcPr>
            <w:tcW w:w="3839"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7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0"/>
                <w:szCs w:val="20"/>
              </w:rPr>
              <w:t>商业企业</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0"/>
                <w:szCs w:val="20"/>
              </w:rPr>
              <w:t>科研机构</w:t>
            </w:r>
          </w:p>
        </w:tc>
        <w:tc>
          <w:tcPr>
            <w:tcW w:w="8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0"/>
                <w:szCs w:val="20"/>
              </w:rPr>
              <w:t>社会公益组织</w:t>
            </w:r>
          </w:p>
        </w:tc>
        <w:tc>
          <w:tcPr>
            <w:tcW w:w="9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0"/>
                <w:szCs w:val="20"/>
              </w:rPr>
              <w:t>法律服务机构</w:t>
            </w:r>
          </w:p>
        </w:tc>
        <w:tc>
          <w:tcPr>
            <w:tcW w:w="7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0"/>
                <w:szCs w:val="20"/>
              </w:rPr>
              <w:t>其他</w:t>
            </w:r>
          </w:p>
        </w:tc>
        <w:tc>
          <w:tcPr>
            <w:tcW w:w="55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r>
      <w:tr>
        <w:tblPrEx>
          <w:tblCellMar>
            <w:top w:w="0" w:type="dxa"/>
            <w:left w:w="0" w:type="dxa"/>
            <w:bottom w:w="0" w:type="dxa"/>
            <w:right w:w="0" w:type="dxa"/>
          </w:tblCellMar>
        </w:tblPrEx>
        <w:trPr>
          <w:jc w:val="center"/>
        </w:trPr>
        <w:tc>
          <w:tcPr>
            <w:tcW w:w="3839"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sz w:val="20"/>
                <w:szCs w:val="20"/>
              </w:rPr>
              <w:t>一、本年新收政府信息公开申请数量</w:t>
            </w:r>
          </w:p>
        </w:tc>
        <w:tc>
          <w:tcPr>
            <w:tcW w:w="71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8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9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5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r>
      <w:tr>
        <w:tblPrEx>
          <w:tblCellMar>
            <w:top w:w="0" w:type="dxa"/>
            <w:left w:w="0" w:type="dxa"/>
            <w:bottom w:w="0" w:type="dxa"/>
            <w:right w:w="0" w:type="dxa"/>
          </w:tblCellMar>
        </w:tblPrEx>
        <w:trPr>
          <w:jc w:val="center"/>
        </w:trPr>
        <w:tc>
          <w:tcPr>
            <w:tcW w:w="3839"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sz w:val="20"/>
                <w:szCs w:val="20"/>
              </w:rPr>
              <w:t>二、上年结转政府信息公开申请数量</w:t>
            </w:r>
          </w:p>
        </w:tc>
        <w:tc>
          <w:tcPr>
            <w:tcW w:w="71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8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9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5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r>
      <w:tr>
        <w:tblPrEx>
          <w:tblCellMar>
            <w:top w:w="0" w:type="dxa"/>
            <w:left w:w="0" w:type="dxa"/>
            <w:bottom w:w="0" w:type="dxa"/>
            <w:right w:w="0" w:type="dxa"/>
          </w:tblCellMar>
        </w:tblPrEx>
        <w:trPr>
          <w:jc w:val="center"/>
        </w:trPr>
        <w:tc>
          <w:tcPr>
            <w:tcW w:w="617"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0"/>
                <w:szCs w:val="20"/>
              </w:rPr>
              <w:t>三、本年度办理结果</w:t>
            </w:r>
          </w:p>
        </w:tc>
        <w:tc>
          <w:tcPr>
            <w:tcW w:w="3222"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楷体" w:hAnsi="楷体" w:eastAsia="楷体" w:cs="楷体"/>
                <w:sz w:val="20"/>
                <w:szCs w:val="20"/>
              </w:rPr>
              <w:t>（一）予以公开</w:t>
            </w:r>
          </w:p>
        </w:tc>
        <w:tc>
          <w:tcPr>
            <w:tcW w:w="71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8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9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5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3222"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楷体" w:hAnsi="楷体" w:eastAsia="楷体" w:cs="楷体"/>
                <w:sz w:val="20"/>
                <w:szCs w:val="20"/>
              </w:rPr>
              <w:t>（二）部分公开（区分处理的，只计这一情形，不计其他情形）</w:t>
            </w:r>
          </w:p>
        </w:tc>
        <w:tc>
          <w:tcPr>
            <w:tcW w:w="71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8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9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5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816"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楷体" w:hAnsi="楷体" w:eastAsia="楷体" w:cs="楷体"/>
                <w:sz w:val="20"/>
                <w:szCs w:val="20"/>
              </w:rPr>
              <w:t>（三）不予公开</w:t>
            </w:r>
          </w:p>
        </w:tc>
        <w:tc>
          <w:tcPr>
            <w:tcW w:w="240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楷体" w:hAnsi="楷体" w:eastAsia="楷体" w:cs="楷体"/>
                <w:sz w:val="20"/>
                <w:szCs w:val="20"/>
              </w:rPr>
              <w:t>1.属于国家秘密</w:t>
            </w:r>
          </w:p>
        </w:tc>
        <w:tc>
          <w:tcPr>
            <w:tcW w:w="71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8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9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5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816"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240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楷体" w:hAnsi="楷体" w:eastAsia="楷体" w:cs="楷体"/>
                <w:sz w:val="20"/>
                <w:szCs w:val="20"/>
              </w:rPr>
              <w:t>2.其他法律行政法规禁止公开</w:t>
            </w:r>
          </w:p>
        </w:tc>
        <w:tc>
          <w:tcPr>
            <w:tcW w:w="71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8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9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5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816"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240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楷体" w:hAnsi="楷体" w:eastAsia="楷体" w:cs="楷体"/>
                <w:sz w:val="20"/>
                <w:szCs w:val="20"/>
              </w:rPr>
              <w:t>3.危及“三安全一稳定”</w:t>
            </w:r>
          </w:p>
        </w:tc>
        <w:tc>
          <w:tcPr>
            <w:tcW w:w="71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8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9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5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816"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240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楷体" w:hAnsi="楷体" w:eastAsia="楷体" w:cs="楷体"/>
                <w:sz w:val="20"/>
                <w:szCs w:val="20"/>
              </w:rPr>
              <w:t>4.保护第三方合法权益</w:t>
            </w:r>
          </w:p>
        </w:tc>
        <w:tc>
          <w:tcPr>
            <w:tcW w:w="71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8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9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5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816"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240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楷体" w:hAnsi="楷体" w:eastAsia="楷体" w:cs="楷体"/>
                <w:sz w:val="20"/>
                <w:szCs w:val="20"/>
              </w:rPr>
              <w:t>5.属于三类内部事务信息</w:t>
            </w:r>
          </w:p>
        </w:tc>
        <w:tc>
          <w:tcPr>
            <w:tcW w:w="71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8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9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5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816"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240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楷体" w:hAnsi="楷体" w:eastAsia="楷体" w:cs="楷体"/>
                <w:sz w:val="20"/>
                <w:szCs w:val="20"/>
              </w:rPr>
              <w:t>6.属于四类过程性信息</w:t>
            </w:r>
          </w:p>
        </w:tc>
        <w:tc>
          <w:tcPr>
            <w:tcW w:w="71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8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9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5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816"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240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楷体" w:hAnsi="楷体" w:eastAsia="楷体" w:cs="楷体"/>
                <w:sz w:val="20"/>
                <w:szCs w:val="20"/>
              </w:rPr>
              <w:t>7.属于行政执法案卷</w:t>
            </w:r>
          </w:p>
        </w:tc>
        <w:tc>
          <w:tcPr>
            <w:tcW w:w="71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8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9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5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816"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240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楷体" w:hAnsi="楷体" w:eastAsia="楷体" w:cs="楷体"/>
                <w:sz w:val="20"/>
                <w:szCs w:val="20"/>
              </w:rPr>
              <w:t>8.属于行政查询事项</w:t>
            </w:r>
          </w:p>
        </w:tc>
        <w:tc>
          <w:tcPr>
            <w:tcW w:w="71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8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9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5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816"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楷体" w:hAnsi="楷体" w:eastAsia="楷体" w:cs="楷体"/>
                <w:sz w:val="20"/>
                <w:szCs w:val="20"/>
              </w:rPr>
              <w:t>（四）无法提供</w:t>
            </w:r>
          </w:p>
        </w:tc>
        <w:tc>
          <w:tcPr>
            <w:tcW w:w="240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楷体" w:hAnsi="楷体" w:eastAsia="楷体" w:cs="楷体"/>
                <w:sz w:val="20"/>
                <w:szCs w:val="20"/>
              </w:rPr>
              <w:t>1.本机关不掌握相关政府信息</w:t>
            </w:r>
          </w:p>
        </w:tc>
        <w:tc>
          <w:tcPr>
            <w:tcW w:w="71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8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9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5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816"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240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楷体" w:hAnsi="楷体" w:eastAsia="楷体" w:cs="楷体"/>
                <w:sz w:val="20"/>
                <w:szCs w:val="20"/>
              </w:rPr>
              <w:t>2.没有现成信息需要另行制作</w:t>
            </w:r>
          </w:p>
        </w:tc>
        <w:tc>
          <w:tcPr>
            <w:tcW w:w="71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8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9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5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816"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240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楷体" w:hAnsi="楷体" w:eastAsia="楷体" w:cs="楷体"/>
                <w:sz w:val="20"/>
                <w:szCs w:val="20"/>
              </w:rPr>
              <w:t>3.补正后申请内容仍不明确</w:t>
            </w:r>
          </w:p>
        </w:tc>
        <w:tc>
          <w:tcPr>
            <w:tcW w:w="71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8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9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5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816"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楷体" w:hAnsi="楷体" w:eastAsia="楷体" w:cs="楷体"/>
                <w:sz w:val="20"/>
                <w:szCs w:val="20"/>
              </w:rPr>
              <w:t>（五）不予处理</w:t>
            </w:r>
          </w:p>
        </w:tc>
        <w:tc>
          <w:tcPr>
            <w:tcW w:w="240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楷体" w:hAnsi="楷体" w:eastAsia="楷体" w:cs="楷体"/>
                <w:sz w:val="20"/>
                <w:szCs w:val="20"/>
              </w:rPr>
              <w:t>1.信访举报投诉类申请</w:t>
            </w:r>
          </w:p>
        </w:tc>
        <w:tc>
          <w:tcPr>
            <w:tcW w:w="71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8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9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5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816"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240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楷体" w:hAnsi="楷体" w:eastAsia="楷体" w:cs="楷体"/>
                <w:sz w:val="20"/>
                <w:szCs w:val="20"/>
              </w:rPr>
              <w:t>2.重复申请</w:t>
            </w:r>
          </w:p>
        </w:tc>
        <w:tc>
          <w:tcPr>
            <w:tcW w:w="71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8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9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5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816"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240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楷体" w:hAnsi="楷体" w:eastAsia="楷体" w:cs="楷体"/>
                <w:sz w:val="20"/>
                <w:szCs w:val="20"/>
              </w:rPr>
              <w:t>3.要求提供公开出版物</w:t>
            </w:r>
          </w:p>
        </w:tc>
        <w:tc>
          <w:tcPr>
            <w:tcW w:w="71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8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9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5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816"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240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楷体" w:hAnsi="楷体" w:eastAsia="楷体" w:cs="楷体"/>
                <w:sz w:val="20"/>
                <w:szCs w:val="20"/>
              </w:rPr>
              <w:t>4.无正当理由大量反复申请</w:t>
            </w:r>
          </w:p>
        </w:tc>
        <w:tc>
          <w:tcPr>
            <w:tcW w:w="71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8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9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5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816"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240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楷体" w:hAnsi="楷体" w:eastAsia="楷体" w:cs="楷体"/>
                <w:sz w:val="20"/>
                <w:szCs w:val="20"/>
              </w:rPr>
              <w:t>5.要求行政机关确认或重新出具已获取信息</w:t>
            </w:r>
          </w:p>
        </w:tc>
        <w:tc>
          <w:tcPr>
            <w:tcW w:w="71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8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9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5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3222"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楷体" w:hAnsi="楷体" w:eastAsia="楷体" w:cs="楷体"/>
                <w:sz w:val="20"/>
                <w:szCs w:val="20"/>
              </w:rPr>
              <w:t>（六）其他处理</w:t>
            </w:r>
          </w:p>
        </w:tc>
        <w:tc>
          <w:tcPr>
            <w:tcW w:w="71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8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9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5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3222"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楷体" w:hAnsi="楷体" w:eastAsia="楷体" w:cs="楷体"/>
                <w:sz w:val="20"/>
                <w:szCs w:val="20"/>
              </w:rPr>
              <w:t>（七）总计</w:t>
            </w:r>
          </w:p>
        </w:tc>
        <w:tc>
          <w:tcPr>
            <w:tcW w:w="71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8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9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5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r>
      <w:tr>
        <w:tblPrEx>
          <w:tblCellMar>
            <w:top w:w="0" w:type="dxa"/>
            <w:left w:w="0" w:type="dxa"/>
            <w:bottom w:w="0" w:type="dxa"/>
            <w:right w:w="0" w:type="dxa"/>
          </w:tblCellMar>
        </w:tblPrEx>
        <w:trPr>
          <w:jc w:val="center"/>
        </w:trPr>
        <w:tc>
          <w:tcPr>
            <w:tcW w:w="3839"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sz w:val="20"/>
                <w:szCs w:val="20"/>
              </w:rPr>
              <w:t>四、结转下年度继续办理</w:t>
            </w:r>
          </w:p>
        </w:tc>
        <w:tc>
          <w:tcPr>
            <w:tcW w:w="71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4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8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9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70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5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cs="Times New Roman"/>
                <w:sz w:val="20"/>
                <w:szCs w:val="20"/>
              </w:rPr>
              <w:t> 0</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微软雅黑" w:hAnsi="微软雅黑" w:eastAsia="微软雅黑" w:cs="微软雅黑"/>
          <w:i w:val="0"/>
          <w:caps w:val="0"/>
          <w:color w:val="333333"/>
          <w:spacing w:val="0"/>
          <w:sz w:val="21"/>
          <w:szCs w:val="21"/>
        </w:rPr>
      </w:pPr>
      <w:r>
        <w:rPr>
          <w:rFonts w:hint="default" w:ascii="微软雅黑" w:hAnsi="微软雅黑" w:eastAsia="微软雅黑" w:cs="微软雅黑"/>
          <w:b/>
          <w:i w:val="0"/>
          <w:caps w:val="0"/>
          <w:color w:val="333333"/>
          <w:spacing w:val="0"/>
          <w:sz w:val="21"/>
          <w:szCs w:val="21"/>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微软雅黑" w:hAnsi="微软雅黑" w:eastAsia="微软雅黑" w:cs="微软雅黑"/>
          <w:i w:val="0"/>
          <w:caps w:val="0"/>
          <w:color w:val="333333"/>
          <w:spacing w:val="0"/>
          <w:sz w:val="21"/>
          <w:szCs w:val="21"/>
        </w:rPr>
      </w:pPr>
      <w:r>
        <w:rPr>
          <w:rFonts w:hint="default" w:ascii="微软雅黑" w:hAnsi="微软雅黑" w:eastAsia="微软雅黑" w:cs="微软雅黑"/>
          <w:b/>
          <w:i w:val="0"/>
          <w:caps w:val="0"/>
          <w:color w:val="333333"/>
          <w:spacing w:val="0"/>
          <w:sz w:val="21"/>
          <w:szCs w:val="21"/>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640"/>
        <w:rPr>
          <w:rFonts w:hint="default" w:ascii="微软雅黑" w:hAnsi="微软雅黑" w:eastAsia="微软雅黑" w:cs="微软雅黑"/>
          <w:i w:val="0"/>
          <w:caps w:val="0"/>
          <w:color w:val="333333"/>
          <w:spacing w:val="0"/>
          <w:sz w:val="21"/>
          <w:szCs w:val="21"/>
        </w:rPr>
      </w:pPr>
      <w:r>
        <w:rPr>
          <w:rFonts w:hint="eastAsia" w:ascii="黑体" w:hAnsi="微软雅黑" w:eastAsia="黑体" w:cs="黑体"/>
          <w:b/>
          <w:i w:val="0"/>
          <w:caps w:val="0"/>
          <w:color w:val="333333"/>
          <w:spacing w:val="0"/>
          <w:sz w:val="32"/>
          <w:szCs w:val="32"/>
          <w:shd w:val="clear" w:fill="FFFFFF"/>
        </w:rPr>
        <w:t>四、政府信息公开行政复议、行政诉讼情况</w:t>
      </w:r>
    </w:p>
    <w:tbl>
      <w:tblPr>
        <w:tblStyle w:val="4"/>
        <w:tblW w:w="9071" w:type="dxa"/>
        <w:jc w:val="center"/>
        <w:shd w:val="clear" w:color="auto" w:fill="auto"/>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shd w:val="clear" w:color="auto" w:fill="auto"/>
        </w:tblPrEx>
        <w:trPr>
          <w:jc w:val="center"/>
        </w:trPr>
        <w:tc>
          <w:tcPr>
            <w:tcW w:w="3074"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0"/>
                <w:szCs w:val="20"/>
              </w:rPr>
              <w:t>行政复议</w:t>
            </w:r>
          </w:p>
        </w:tc>
        <w:tc>
          <w:tcPr>
            <w:tcW w:w="5997"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0"/>
                <w:szCs w:val="20"/>
              </w:rPr>
              <w:t>行政诉讼</w:t>
            </w:r>
          </w:p>
        </w:tc>
      </w:tr>
      <w:tr>
        <w:tblPrEx>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0"/>
                <w:szCs w:val="20"/>
              </w:rPr>
              <w:t>结果维持</w:t>
            </w:r>
          </w:p>
        </w:tc>
        <w:tc>
          <w:tcPr>
            <w:tcW w:w="60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0"/>
                <w:szCs w:val="20"/>
              </w:rPr>
              <w:t>结果纠正</w:t>
            </w:r>
          </w:p>
        </w:tc>
        <w:tc>
          <w:tcPr>
            <w:tcW w:w="60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0"/>
                <w:szCs w:val="20"/>
              </w:rPr>
              <w:t>其他结果</w:t>
            </w:r>
          </w:p>
        </w:tc>
        <w:tc>
          <w:tcPr>
            <w:tcW w:w="60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0"/>
                <w:szCs w:val="20"/>
              </w:rPr>
              <w:t>尚未审结</w:t>
            </w:r>
          </w:p>
        </w:tc>
        <w:tc>
          <w:tcPr>
            <w:tcW w:w="65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0"/>
                <w:szCs w:val="20"/>
              </w:rPr>
              <w:t>总计</w:t>
            </w:r>
          </w:p>
        </w:tc>
        <w:tc>
          <w:tcPr>
            <w:tcW w:w="2970"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0"/>
                <w:szCs w:val="20"/>
              </w:rPr>
              <w:t>未经复议直接起诉</w:t>
            </w:r>
          </w:p>
        </w:tc>
        <w:tc>
          <w:tcPr>
            <w:tcW w:w="3027"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0"/>
                <w:szCs w:val="20"/>
              </w:rPr>
              <w:t>复议后起诉</w:t>
            </w:r>
          </w:p>
        </w:tc>
      </w:tr>
      <w:tr>
        <w:tblPrEx>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60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60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60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65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宋体"/>
                <w:sz w:val="18"/>
                <w:szCs w:val="18"/>
              </w:rPr>
            </w:pP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0"/>
                <w:szCs w:val="20"/>
              </w:rPr>
              <w:t>结果维持</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0"/>
                <w:szCs w:val="20"/>
              </w:rPr>
              <w:t>结果纠正</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0"/>
                <w:szCs w:val="20"/>
              </w:rPr>
              <w:t>其他结果</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0"/>
                <w:szCs w:val="20"/>
              </w:rPr>
              <w:t>尚未审结</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0"/>
                <w:szCs w:val="20"/>
              </w:rPr>
              <w:t>总计</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0"/>
                <w:szCs w:val="20"/>
              </w:rPr>
              <w:t>结果维持</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0"/>
                <w:szCs w:val="20"/>
              </w:rPr>
              <w:t>结果纠正</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0"/>
                <w:szCs w:val="20"/>
              </w:rPr>
              <w:t>其他结果</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0"/>
                <w:szCs w:val="20"/>
              </w:rPr>
              <w:t>尚未审结</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0"/>
                <w:szCs w:val="20"/>
              </w:rPr>
              <w:t>总计</w:t>
            </w:r>
          </w:p>
        </w:tc>
      </w:tr>
      <w:tr>
        <w:tblPrEx>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0 </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 0</w:t>
            </w:r>
          </w:p>
        </w:tc>
        <w:tc>
          <w:tcPr>
            <w:tcW w:w="65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Times New Roman" w:hAnsi="Times New Roman" w:cs="Times New Roman"/>
                <w:sz w:val="20"/>
                <w:szCs w:val="20"/>
              </w:rPr>
              <w:t>0 </w:t>
            </w: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0"/>
                <w:szCs w:val="20"/>
              </w:rPr>
              <w:t> 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0"/>
                <w:szCs w:val="20"/>
              </w:rPr>
              <w:t>0 </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0"/>
                <w:szCs w:val="20"/>
              </w:rPr>
              <w:t> 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0"/>
                <w:szCs w:val="20"/>
              </w:rPr>
              <w:t>0 </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0"/>
                <w:szCs w:val="20"/>
              </w:rPr>
              <w:t> 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0"/>
                <w:szCs w:val="20"/>
              </w:rPr>
              <w:t>0 </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0"/>
                <w:szCs w:val="20"/>
              </w:rPr>
              <w:t> 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0"/>
                <w:szCs w:val="20"/>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0"/>
                <w:szCs w:val="20"/>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Times New Roman" w:hAnsi="Times New Roman" w:cs="Times New Roman"/>
                <w:sz w:val="20"/>
                <w:szCs w:val="20"/>
              </w:rPr>
              <w:t>0</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640"/>
        <w:rPr>
          <w:rFonts w:hint="eastAsia" w:ascii="黑体" w:hAnsi="微软雅黑" w:eastAsia="黑体" w:cs="黑体"/>
          <w:b/>
          <w:i w:val="0"/>
          <w:caps w:val="0"/>
          <w:color w:val="333333"/>
          <w:spacing w:val="0"/>
          <w:sz w:val="32"/>
          <w:szCs w:val="32"/>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640"/>
        <w:rPr>
          <w:rFonts w:hint="eastAsia" w:ascii="黑体" w:hAnsi="微软雅黑" w:eastAsia="黑体" w:cs="黑体"/>
          <w:b/>
          <w:i w:val="0"/>
          <w:caps w:val="0"/>
          <w:color w:val="333333"/>
          <w:spacing w:val="0"/>
          <w:sz w:val="32"/>
          <w:szCs w:val="32"/>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640"/>
        <w:rPr>
          <w:rFonts w:hint="eastAsia" w:ascii="黑体" w:hAnsi="微软雅黑" w:eastAsia="黑体" w:cs="黑体"/>
          <w:b/>
          <w:i w:val="0"/>
          <w:caps w:val="0"/>
          <w:color w:val="333333"/>
          <w:spacing w:val="0"/>
          <w:sz w:val="32"/>
          <w:szCs w:val="32"/>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640"/>
        <w:rPr>
          <w:rFonts w:hint="eastAsia" w:ascii="黑体" w:hAnsi="微软雅黑" w:eastAsia="黑体" w:cs="黑体"/>
          <w:b/>
          <w:i w:val="0"/>
          <w:caps w:val="0"/>
          <w:color w:val="333333"/>
          <w:spacing w:val="0"/>
          <w:sz w:val="32"/>
          <w:szCs w:val="32"/>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640"/>
        <w:rPr>
          <w:rFonts w:hint="default" w:ascii="微软雅黑" w:hAnsi="微软雅黑" w:eastAsia="微软雅黑" w:cs="微软雅黑"/>
          <w:i w:val="0"/>
          <w:caps w:val="0"/>
          <w:color w:val="333333"/>
          <w:spacing w:val="0"/>
          <w:sz w:val="21"/>
          <w:szCs w:val="21"/>
        </w:rPr>
      </w:pPr>
      <w:r>
        <w:rPr>
          <w:rFonts w:hint="eastAsia" w:ascii="黑体" w:hAnsi="微软雅黑" w:eastAsia="黑体" w:cs="黑体"/>
          <w:b/>
          <w:i w:val="0"/>
          <w:caps w:val="0"/>
          <w:color w:val="333333"/>
          <w:spacing w:val="0"/>
          <w:sz w:val="32"/>
          <w:szCs w:val="32"/>
          <w:shd w:val="clear" w:fill="FFFFFF"/>
        </w:rPr>
        <w:t>五、政府信息公开工作存在的主要问题及改进措施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default"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32"/>
          <w:szCs w:val="32"/>
          <w:shd w:val="clear" w:fill="FFFFFF"/>
        </w:rPr>
        <w:t>　 </w:t>
      </w:r>
      <w:r>
        <w:rPr>
          <w:rFonts w:hint="eastAsia" w:ascii="仿宋_GB2312" w:hAnsi="宋体" w:eastAsia="仿宋_GB2312" w:cs="仿宋_GB2312"/>
          <w:i w:val="0"/>
          <w:caps w:val="0"/>
          <w:color w:val="333333"/>
          <w:spacing w:val="0"/>
          <w:sz w:val="32"/>
          <w:szCs w:val="32"/>
          <w:shd w:val="clear" w:fill="FFFFFF"/>
        </w:rPr>
        <w:t> 2019年，我镇政府信息公开工作虽取得了一定成效，但离人民群众的要求还有一定的差距，一是政务信息公开力度有待进一步加大，二是政务信息公开的内容还不够全面，三是信息公开更新还不够及时。对此，我镇高度重视，下一步，将采取多项措施促进政府信息公开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3"/>
        <w:jc w:val="left"/>
        <w:rPr>
          <w:rFonts w:hint="default" w:ascii="微软雅黑" w:hAnsi="微软雅黑" w:eastAsia="微软雅黑" w:cs="微软雅黑"/>
          <w:i w:val="0"/>
          <w:caps w:val="0"/>
          <w:color w:val="333333"/>
          <w:spacing w:val="0"/>
          <w:sz w:val="21"/>
          <w:szCs w:val="21"/>
        </w:rPr>
      </w:pPr>
      <w:r>
        <w:rPr>
          <w:rFonts w:hint="eastAsia" w:ascii="楷体_GB2312" w:hAnsi="宋体" w:eastAsia="楷体_GB2312" w:cs="楷体_GB2312"/>
          <w:b/>
          <w:i w:val="0"/>
          <w:caps w:val="0"/>
          <w:color w:val="333333"/>
          <w:spacing w:val="0"/>
          <w:sz w:val="32"/>
          <w:szCs w:val="32"/>
          <w:shd w:val="clear" w:fill="FFFFFF"/>
        </w:rPr>
        <w:t>一是加强互动，深化内容，满足群众需求。</w:t>
      </w:r>
      <w:r>
        <w:rPr>
          <w:rFonts w:hint="eastAsia" w:ascii="仿宋_GB2312" w:hAnsi="宋体" w:eastAsia="仿宋_GB2312" w:cs="仿宋_GB2312"/>
          <w:i w:val="0"/>
          <w:caps w:val="0"/>
          <w:color w:val="333333"/>
          <w:spacing w:val="0"/>
          <w:sz w:val="32"/>
          <w:szCs w:val="32"/>
          <w:shd w:val="clear" w:fill="FFFFFF"/>
        </w:rPr>
        <w:t>加强与群众之间的互动，坚持以公开促服务，切实提高信息公开的实效性。重点推进与社会发展和群众生活密切相关的政府信息公开工作，全面、及时、规范地做好政府信息公开工作。全力做好涉及专业性强、公众关注度高的规范性文件、重大决定事项的解读工作，方便公众理解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3"/>
        <w:jc w:val="left"/>
        <w:rPr>
          <w:rFonts w:hint="default" w:ascii="微软雅黑" w:hAnsi="微软雅黑" w:eastAsia="微软雅黑" w:cs="微软雅黑"/>
          <w:i w:val="0"/>
          <w:caps w:val="0"/>
          <w:color w:val="333333"/>
          <w:spacing w:val="0"/>
          <w:sz w:val="21"/>
          <w:szCs w:val="21"/>
        </w:rPr>
      </w:pPr>
      <w:r>
        <w:rPr>
          <w:rFonts w:hint="eastAsia" w:ascii="楷体_GB2312" w:hAnsi="宋体" w:eastAsia="楷体_GB2312" w:cs="楷体_GB2312"/>
          <w:b/>
          <w:i w:val="0"/>
          <w:caps w:val="0"/>
          <w:color w:val="333333"/>
          <w:spacing w:val="0"/>
          <w:sz w:val="32"/>
          <w:szCs w:val="32"/>
          <w:shd w:val="clear" w:fill="FFFFFF"/>
        </w:rPr>
        <w:t>二是加大力度，提高质量，增强服务意识。</w:t>
      </w:r>
      <w:r>
        <w:rPr>
          <w:rFonts w:hint="eastAsia" w:ascii="仿宋_GB2312" w:hAnsi="宋体" w:eastAsia="仿宋_GB2312" w:cs="仿宋_GB2312"/>
          <w:i w:val="0"/>
          <w:caps w:val="0"/>
          <w:color w:val="333333"/>
          <w:spacing w:val="0"/>
          <w:sz w:val="32"/>
          <w:szCs w:val="32"/>
          <w:shd w:val="clear" w:fill="FFFFFF"/>
        </w:rPr>
        <w:t>以推进政府信息公开为抓手，将推进政府信息公开与深化行政改革有机结合起来，努力提高政府信息公开的质量，进一步转变观念，增强政府信息公开的互动性，提高群众参与的积极性，将全镇依法应予公开的信息集中汇总，加大宣传力度，便于群众查询。进一步完善信息公开制度，将政府信息公开工作纳入到依法行政工作考核的内容，落实到各站办所的信息员，保证信息公开的全面性、及时性，并充实信息公开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3"/>
        <w:jc w:val="left"/>
        <w:rPr>
          <w:rFonts w:hint="default" w:ascii="微软雅黑" w:hAnsi="微软雅黑" w:eastAsia="微软雅黑" w:cs="微软雅黑"/>
          <w:i w:val="0"/>
          <w:caps w:val="0"/>
          <w:color w:val="333333"/>
          <w:spacing w:val="0"/>
          <w:sz w:val="21"/>
          <w:szCs w:val="21"/>
        </w:rPr>
      </w:pPr>
      <w:r>
        <w:rPr>
          <w:rFonts w:hint="eastAsia" w:ascii="楷体_GB2312" w:hAnsi="宋体" w:eastAsia="楷体_GB2312" w:cs="楷体_GB2312"/>
          <w:b/>
          <w:i w:val="0"/>
          <w:caps w:val="0"/>
          <w:color w:val="333333"/>
          <w:spacing w:val="0"/>
          <w:sz w:val="32"/>
          <w:szCs w:val="32"/>
          <w:shd w:val="clear" w:fill="FFFFFF"/>
        </w:rPr>
        <w:t>三是改进手段，畅通渠道，扩大公开范围。</w:t>
      </w:r>
      <w:r>
        <w:rPr>
          <w:rFonts w:hint="eastAsia" w:ascii="仿宋_GB2312" w:hAnsi="宋体" w:eastAsia="仿宋_GB2312" w:cs="仿宋_GB2312"/>
          <w:i w:val="0"/>
          <w:caps w:val="0"/>
          <w:color w:val="333333"/>
          <w:spacing w:val="0"/>
          <w:sz w:val="32"/>
          <w:szCs w:val="32"/>
          <w:shd w:val="clear" w:fill="FFFFFF"/>
        </w:rPr>
        <w:t>积极利用、规范信息公开形式和载体，拓宽公开范围和渠道，确保政府信息公开工作有力有序有效地推进落实。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640"/>
        <w:rPr>
          <w:rFonts w:hint="default" w:ascii="微软雅黑" w:hAnsi="微软雅黑" w:eastAsia="微软雅黑" w:cs="微软雅黑"/>
          <w:i w:val="0"/>
          <w:caps w:val="0"/>
          <w:color w:val="333333"/>
          <w:spacing w:val="0"/>
          <w:sz w:val="21"/>
          <w:szCs w:val="21"/>
        </w:rPr>
      </w:pPr>
      <w:r>
        <w:rPr>
          <w:rFonts w:hint="eastAsia" w:ascii="黑体" w:hAnsi="微软雅黑" w:eastAsia="黑体" w:cs="黑体"/>
          <w:b/>
          <w:i w:val="0"/>
          <w:caps w:val="0"/>
          <w:color w:val="333333"/>
          <w:spacing w:val="0"/>
          <w:sz w:val="32"/>
          <w:szCs w:val="32"/>
          <w:shd w:val="clear" w:fill="FFFFFF"/>
        </w:rPr>
        <w:t>六、其他需要报告的事项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right="0" w:firstLine="1285" w:firstLineChars="400"/>
        <w:jc w:val="left"/>
        <w:rPr>
          <w:rFonts w:hint="default" w:ascii="微软雅黑" w:hAnsi="微软雅黑" w:eastAsia="微软雅黑" w:cs="微软雅黑"/>
          <w:i w:val="0"/>
          <w:caps w:val="0"/>
          <w:color w:val="333333"/>
          <w:spacing w:val="0"/>
          <w:sz w:val="21"/>
          <w:szCs w:val="21"/>
        </w:rPr>
      </w:pPr>
      <w:r>
        <w:rPr>
          <w:rFonts w:hint="eastAsia" w:ascii="楷体_GB2312" w:hAnsi="宋体" w:eastAsia="楷体_GB2312" w:cs="楷体_GB2312"/>
          <w:b/>
          <w:i w:val="0"/>
          <w:caps w:val="0"/>
          <w:color w:val="333333"/>
          <w:spacing w:val="0"/>
          <w:sz w:val="32"/>
          <w:szCs w:val="32"/>
          <w:shd w:val="clear" w:fill="FFFFFF"/>
        </w:rPr>
        <w:t>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4640"/>
        <w:jc w:val="left"/>
        <w:rPr>
          <w:rFonts w:hint="default" w:ascii="微软雅黑" w:hAnsi="微软雅黑" w:eastAsia="微软雅黑" w:cs="微软雅黑"/>
          <w:i w:val="0"/>
          <w:caps w:val="0"/>
          <w:color w:val="333333"/>
          <w:spacing w:val="0"/>
          <w:sz w:val="21"/>
          <w:szCs w:val="21"/>
        </w:rPr>
      </w:pPr>
      <w:r>
        <w:rPr>
          <w:rFonts w:hint="eastAsia" w:ascii="宋体" w:hAnsi="宋体" w:eastAsia="宋体" w:cs="宋体"/>
          <w:i w:val="0"/>
          <w:caps w:val="0"/>
          <w:color w:val="333333"/>
          <w:spacing w:val="0"/>
          <w:sz w:val="32"/>
          <w:szCs w:val="32"/>
          <w:shd w:val="clear" w:fill="FFFFFF"/>
        </w:rPr>
        <w:t>                                           </w:t>
      </w:r>
      <w:r>
        <w:rPr>
          <w:rFonts w:hint="eastAsia" w:ascii="宋体" w:hAnsi="宋体" w:eastAsia="宋体" w:cs="宋体"/>
          <w:i w:val="0"/>
          <w:caps w:val="0"/>
          <w:color w:val="333333"/>
          <w:spacing w:val="0"/>
          <w:sz w:val="32"/>
          <w:szCs w:val="32"/>
          <w:shd w:val="clear" w:fill="FFFFFF"/>
          <w:lang w:val="en-US" w:eastAsia="zh-CN"/>
        </w:rPr>
        <w:t xml:space="preserve">                    </w:t>
      </w:r>
      <w:r>
        <w:rPr>
          <w:rFonts w:hint="eastAsia" w:ascii="宋体" w:hAnsi="宋体" w:eastAsia="宋体" w:cs="宋体"/>
          <w:i w:val="0"/>
          <w:caps w:val="0"/>
          <w:color w:val="333333"/>
          <w:spacing w:val="0"/>
          <w:sz w:val="32"/>
          <w:szCs w:val="32"/>
          <w:shd w:val="clear" w:fill="FFFFFF"/>
        </w:rPr>
        <w:t> </w:t>
      </w:r>
      <w:r>
        <w:rPr>
          <w:rFonts w:hint="eastAsia" w:ascii="宋体" w:hAnsi="宋体" w:eastAsia="宋体" w:cs="宋体"/>
          <w:i w:val="0"/>
          <w:caps w:val="0"/>
          <w:color w:val="333333"/>
          <w:spacing w:val="0"/>
          <w:sz w:val="32"/>
          <w:szCs w:val="32"/>
          <w:shd w:val="clear" w:fill="FFFFFF"/>
          <w:lang w:eastAsia="zh-CN"/>
        </w:rPr>
        <w:t>龙潭</w:t>
      </w:r>
      <w:r>
        <w:rPr>
          <w:rFonts w:hint="eastAsia" w:ascii="宋体" w:hAnsi="宋体" w:eastAsia="宋体" w:cs="宋体"/>
          <w:i w:val="0"/>
          <w:caps w:val="0"/>
          <w:color w:val="333333"/>
          <w:spacing w:val="0"/>
          <w:sz w:val="32"/>
          <w:szCs w:val="32"/>
          <w:shd w:val="clear" w:fill="FFFFFF"/>
        </w:rPr>
        <w:t>镇人民政府</w:t>
      </w:r>
      <w:r>
        <w:rPr>
          <w:rFonts w:hint="eastAsia" w:ascii="仿宋_GB2312" w:hAnsi="宋体" w:eastAsia="仿宋_GB2312" w:cs="仿宋_GB2312"/>
          <w:i w:val="0"/>
          <w:caps w:val="0"/>
          <w:color w:val="333333"/>
          <w:spacing w:val="0"/>
          <w:sz w:val="32"/>
          <w:szCs w:val="32"/>
          <w:shd w:val="clear" w:fill="FFFFFF"/>
        </w:rPr>
        <w:t>                 </w:t>
      </w:r>
      <w:r>
        <w:rPr>
          <w:rFonts w:hint="eastAsia" w:ascii="仿宋_GB2312" w:hAnsi="宋体" w:eastAsia="仿宋_GB2312" w:cs="仿宋_GB2312"/>
          <w:i w:val="0"/>
          <w:caps w:val="0"/>
          <w:color w:val="333333"/>
          <w:spacing w:val="0"/>
          <w:sz w:val="32"/>
          <w:szCs w:val="32"/>
          <w:shd w:val="clear" w:fill="FFFFFF"/>
          <w:lang w:val="en-US" w:eastAsia="zh-CN"/>
        </w:rPr>
        <w:t xml:space="preserve"> </w:t>
      </w:r>
      <w:r>
        <w:rPr>
          <w:rFonts w:hint="eastAsia" w:ascii="仿宋_GB2312" w:hAnsi="宋体" w:eastAsia="仿宋_GB2312" w:cs="仿宋_GB2312"/>
          <w:i w:val="0"/>
          <w:caps w:val="0"/>
          <w:color w:val="333333"/>
          <w:spacing w:val="0"/>
          <w:sz w:val="32"/>
          <w:szCs w:val="32"/>
          <w:shd w:val="clear" w:fill="FFFFFF"/>
        </w:rPr>
        <w:t>2020年1月</w:t>
      </w:r>
      <w:r>
        <w:rPr>
          <w:rFonts w:hint="eastAsia" w:ascii="仿宋_GB2312" w:hAnsi="宋体" w:eastAsia="仿宋_GB2312" w:cs="仿宋_GB2312"/>
          <w:i w:val="0"/>
          <w:caps w:val="0"/>
          <w:color w:val="333333"/>
          <w:spacing w:val="0"/>
          <w:sz w:val="32"/>
          <w:szCs w:val="32"/>
          <w:shd w:val="clear" w:fill="FFFFFF"/>
          <w:lang w:val="en-US" w:eastAsia="zh-CN"/>
        </w:rPr>
        <w:t>17</w:t>
      </w:r>
      <w:r>
        <w:rPr>
          <w:rFonts w:hint="eastAsia" w:ascii="仿宋_GB2312" w:hAnsi="宋体" w:eastAsia="仿宋_GB2312" w:cs="仿宋_GB2312"/>
          <w:i w:val="0"/>
          <w:caps w:val="0"/>
          <w:color w:val="333333"/>
          <w:spacing w:val="0"/>
          <w:sz w:val="32"/>
          <w:szCs w:val="32"/>
          <w:shd w:val="clear" w:fill="FFFFFF"/>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D125D4"/>
    <w:rsid w:val="34334F72"/>
    <w:rsid w:val="54D125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2020-01-17T02:22:00Z</dcterms:created>
  <dc:creator>笔尖微凉</dc:creator>
  <cp:lastModifiedBy>Administrator</cp:lastModifiedBy>
  <dcterms:modified xsi:type="dcterms:W3CDTF">2021-04-30T01:00:49Z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848D64DB9072416B9F1C05519D4CFC85</vt:lpwstr>
  </property>
</Properties>
</file>