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3F7A0">
      <w:pPr>
        <w:pStyle w:val="3"/>
        <w:keepNext w:val="0"/>
        <w:keepLines w:val="0"/>
        <w:widowControl/>
        <w:suppressLineNumbers w:val="0"/>
        <w:spacing w:before="0" w:beforeAutospacing="0" w:after="105" w:afterAutospacing="0" w:line="240" w:lineRule="atLeast"/>
        <w:ind w:right="0"/>
        <w:jc w:val="center"/>
        <w:rPr>
          <w:rFonts w:ascii="仿宋_GB2312" w:hAnsi="Times New Roman" w:eastAsia="仿宋_GB2312" w:cs="仿宋_GB2312"/>
          <w:i w:val="0"/>
          <w:iCs w:val="0"/>
          <w:caps w:val="0"/>
          <w:spacing w:val="0"/>
          <w:kern w:val="0"/>
          <w:sz w:val="32"/>
          <w:szCs w:val="32"/>
          <w:shd w:val="clear" w:color="auto" w:fill="FFFFFF"/>
        </w:rPr>
      </w:pPr>
      <w:r>
        <w:rPr>
          <w:b/>
          <w:bCs/>
          <w:color w:val="000000"/>
          <w:sz w:val="36"/>
          <w:szCs w:val="36"/>
        </w:rPr>
        <w:fldChar w:fldCharType="begin"/>
      </w:r>
      <w:r>
        <w:rPr>
          <w:b/>
          <w:bCs/>
          <w:color w:val="000000"/>
          <w:sz w:val="36"/>
          <w:szCs w:val="36"/>
        </w:rPr>
        <w:instrText xml:space="preserve"> HYPERLINK "http://10.81.87.62/website-webapp/common/preview_resource.action?id=b59188d2d348437298970832ee97052d&amp;type=docx&amp;jcrVer=1.0" </w:instrText>
      </w:r>
      <w:r>
        <w:rPr>
          <w:b/>
          <w:bCs/>
          <w:color w:val="000000"/>
          <w:sz w:val="36"/>
          <w:szCs w:val="36"/>
        </w:rPr>
        <w:fldChar w:fldCharType="separate"/>
      </w:r>
      <w:r>
        <w:rPr>
          <w:rStyle w:val="6"/>
          <w:rFonts w:hint="default" w:ascii="微软雅黑" w:hAnsi="微软雅黑" w:eastAsia="微软雅黑" w:cs="微软雅黑"/>
          <w:b/>
          <w:bCs/>
          <w:color w:val="000000"/>
          <w:sz w:val="36"/>
          <w:szCs w:val="36"/>
          <w:u w:val="single"/>
        </w:rPr>
        <w:t>高安市瑞州街道202</w:t>
      </w:r>
      <w:r>
        <w:rPr>
          <w:rStyle w:val="6"/>
          <w:rFonts w:hint="eastAsia" w:ascii="微软雅黑" w:hAnsi="微软雅黑" w:eastAsia="微软雅黑" w:cs="微软雅黑"/>
          <w:b/>
          <w:bCs/>
          <w:color w:val="000000"/>
          <w:sz w:val="36"/>
          <w:szCs w:val="36"/>
          <w:u w:val="single"/>
          <w:lang w:val="en-US" w:eastAsia="zh-CN"/>
        </w:rPr>
        <w:t>5</w:t>
      </w:r>
      <w:r>
        <w:rPr>
          <w:rStyle w:val="6"/>
          <w:rFonts w:hint="default" w:ascii="微软雅黑" w:hAnsi="微软雅黑" w:eastAsia="微软雅黑" w:cs="微软雅黑"/>
          <w:b/>
          <w:bCs/>
          <w:color w:val="000000"/>
          <w:sz w:val="36"/>
          <w:szCs w:val="36"/>
          <w:u w:val="single"/>
        </w:rPr>
        <w:t>年政府信息工作年度报告</w:t>
      </w:r>
      <w:r>
        <w:rPr>
          <w:b/>
          <w:bCs/>
          <w:color w:val="000000"/>
          <w:sz w:val="36"/>
          <w:szCs w:val="36"/>
        </w:rPr>
        <w:fldChar w:fldCharType="end"/>
      </w:r>
    </w:p>
    <w:p w14:paraId="5472D686">
      <w:pPr>
        <w:pStyle w:val="3"/>
        <w:keepNext w:val="0"/>
        <w:keepLines w:val="0"/>
        <w:widowControl/>
        <w:suppressLineNumbers w:val="0"/>
        <w:spacing w:before="0" w:beforeAutospacing="0" w:after="105" w:afterAutospacing="0" w:line="240" w:lineRule="atLeast"/>
        <w:ind w:left="0" w:right="0" w:firstLine="640" w:firstLineChars="200"/>
        <w:jc w:val="both"/>
      </w:pPr>
      <w:r>
        <w:rPr>
          <w:rFonts w:ascii="仿宋_GB2312" w:hAnsi="Times New Roman" w:eastAsia="仿宋_GB2312" w:cs="仿宋_GB2312"/>
          <w:i w:val="0"/>
          <w:iCs w:val="0"/>
          <w:caps w:val="0"/>
          <w:spacing w:val="0"/>
          <w:kern w:val="0"/>
          <w:sz w:val="32"/>
          <w:szCs w:val="32"/>
          <w:shd w:val="clear" w:color="auto" w:fill="FFFFFF"/>
        </w:rPr>
        <w:t>依据《中华人民共和国政府信息公开条例》和《国务院办公厅政府信息与政务公开办公室关于政府信息公开工作年度报告有关事项的通知》要求，瑞州街道结合有关统计数据编制。为积极贯彻落实《江西省人民政府政务公开办公室关于印发第二批基层政务公开标准化规范化建设工作方案的通知》（赣府公开办〔</w:t>
      </w:r>
      <w:r>
        <w:rPr>
          <w:rFonts w:hint="default" w:ascii="Times New Roman" w:hAnsi="Times New Roman" w:eastAsia="仿宋_GB2312" w:cs="Times New Roman"/>
          <w:i w:val="0"/>
          <w:iCs w:val="0"/>
          <w:caps w:val="0"/>
          <w:spacing w:val="0"/>
          <w:kern w:val="0"/>
          <w:sz w:val="32"/>
          <w:szCs w:val="32"/>
          <w:shd w:val="clear" w:color="auto" w:fill="FFFFFF"/>
        </w:rPr>
        <w:t>2023</w:t>
      </w:r>
      <w:r>
        <w:rPr>
          <w:rFonts w:hint="default" w:ascii="仿宋_GB2312" w:hAnsi="Times New Roman" w:eastAsia="仿宋_GB2312" w:cs="仿宋_GB2312"/>
          <w:i w:val="0"/>
          <w:iCs w:val="0"/>
          <w:caps w:val="0"/>
          <w:spacing w:val="0"/>
          <w:kern w:val="0"/>
          <w:sz w:val="32"/>
          <w:szCs w:val="32"/>
          <w:shd w:val="clear" w:color="auto" w:fill="FFFFFF"/>
        </w:rPr>
        <w:t>〕</w:t>
      </w:r>
      <w:r>
        <w:rPr>
          <w:rFonts w:hint="default" w:ascii="Times New Roman" w:hAnsi="Times New Roman" w:eastAsia="仿宋_GB2312" w:cs="Times New Roman"/>
          <w:i w:val="0"/>
          <w:iCs w:val="0"/>
          <w:caps w:val="0"/>
          <w:spacing w:val="0"/>
          <w:kern w:val="0"/>
          <w:sz w:val="32"/>
          <w:szCs w:val="32"/>
          <w:shd w:val="clear" w:color="auto" w:fill="FFFFFF"/>
        </w:rPr>
        <w:t>4</w:t>
      </w:r>
      <w:r>
        <w:rPr>
          <w:rFonts w:hint="default" w:ascii="仿宋_GB2312" w:hAnsi="Times New Roman" w:eastAsia="仿宋_GB2312" w:cs="仿宋_GB2312"/>
          <w:i w:val="0"/>
          <w:iCs w:val="0"/>
          <w:caps w:val="0"/>
          <w:spacing w:val="0"/>
          <w:kern w:val="0"/>
          <w:sz w:val="32"/>
          <w:szCs w:val="32"/>
          <w:shd w:val="clear" w:color="auto" w:fill="FFFFFF"/>
        </w:rPr>
        <w:t>号）文件精神，结合省市基层政务公开标准化规范化建设工作要求及我街道工作实际，以标准化规范化为抓手，以公开模式创新为动力，多措并举落实各项工作任务，结合基层政务公开标准化规范化工作要求，我街道迅速部署、加强统筹、狠抓落实。通过进一步畅通政务公开渠道、扩展政务公开重点领域、完善政务公开内容，优化工作流程，拓展公开内容、创新公开形式、完善公开制度、强化公开监督、政务公开贯穿街道工作全流程、全生命、全链条，推进政务公开工作向纵深发展。</w:t>
      </w:r>
    </w:p>
    <w:p w14:paraId="43821349">
      <w:pPr>
        <w:pStyle w:val="3"/>
        <w:keepNext w:val="0"/>
        <w:keepLines w:val="0"/>
        <w:widowControl/>
        <w:suppressLineNumbers w:val="0"/>
        <w:spacing w:before="0" w:beforeAutospacing="0" w:after="105" w:afterAutospacing="0" w:line="240" w:lineRule="atLeast"/>
        <w:ind w:left="0" w:right="0" w:firstLine="960" w:firstLineChars="300"/>
        <w:jc w:val="both"/>
      </w:pPr>
      <w:r>
        <w:rPr>
          <w:rFonts w:hint="default" w:ascii="仿宋_GB2312" w:hAnsi="Times New Roman" w:eastAsia="仿宋_GB2312" w:cs="仿宋_GB2312"/>
          <w:i w:val="0"/>
          <w:iCs w:val="0"/>
          <w:caps w:val="0"/>
          <w:spacing w:val="0"/>
          <w:kern w:val="0"/>
          <w:sz w:val="32"/>
          <w:szCs w:val="32"/>
          <w:shd w:val="clear" w:color="auto" w:fill="FFFFFF"/>
        </w:rPr>
        <w:t>本年度报告中所列数据的统计期限自</w:t>
      </w: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w:t>
      </w:r>
      <w:r>
        <w:rPr>
          <w:rFonts w:hint="default" w:ascii="Times New Roman" w:hAnsi="Times New Roman" w:eastAsia="仿宋_GB2312" w:cs="Times New Roman"/>
          <w:i w:val="0"/>
          <w:iCs w:val="0"/>
          <w:caps w:val="0"/>
          <w:spacing w:val="0"/>
          <w:kern w:val="0"/>
          <w:sz w:val="32"/>
          <w:szCs w:val="32"/>
          <w:shd w:val="clear" w:color="auto" w:fill="FFFFFF"/>
        </w:rPr>
        <w:t>1</w:t>
      </w:r>
      <w:r>
        <w:rPr>
          <w:rFonts w:hint="default" w:ascii="仿宋_GB2312" w:hAnsi="Times New Roman" w:eastAsia="仿宋_GB2312" w:cs="仿宋_GB2312"/>
          <w:i w:val="0"/>
          <w:iCs w:val="0"/>
          <w:caps w:val="0"/>
          <w:spacing w:val="0"/>
          <w:kern w:val="0"/>
          <w:sz w:val="32"/>
          <w:szCs w:val="32"/>
          <w:shd w:val="clear" w:color="auto" w:fill="FFFFFF"/>
        </w:rPr>
        <w:t>月</w:t>
      </w:r>
      <w:r>
        <w:rPr>
          <w:rFonts w:hint="default" w:ascii="Times New Roman" w:hAnsi="Times New Roman" w:eastAsia="仿宋_GB2312" w:cs="Times New Roman"/>
          <w:i w:val="0"/>
          <w:iCs w:val="0"/>
          <w:caps w:val="0"/>
          <w:spacing w:val="0"/>
          <w:kern w:val="0"/>
          <w:sz w:val="32"/>
          <w:szCs w:val="32"/>
          <w:shd w:val="clear" w:color="auto" w:fill="FFFFFF"/>
        </w:rPr>
        <w:t>1</w:t>
      </w:r>
      <w:r>
        <w:rPr>
          <w:rFonts w:hint="default" w:ascii="仿宋_GB2312" w:hAnsi="Times New Roman" w:eastAsia="仿宋_GB2312" w:cs="仿宋_GB2312"/>
          <w:i w:val="0"/>
          <w:iCs w:val="0"/>
          <w:caps w:val="0"/>
          <w:spacing w:val="0"/>
          <w:kern w:val="0"/>
          <w:sz w:val="32"/>
          <w:szCs w:val="32"/>
          <w:shd w:val="clear" w:color="auto" w:fill="FFFFFF"/>
        </w:rPr>
        <w:t>日起至</w:t>
      </w: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w:t>
      </w:r>
      <w:r>
        <w:rPr>
          <w:rFonts w:hint="default" w:ascii="Times New Roman" w:hAnsi="Times New Roman" w:eastAsia="仿宋_GB2312" w:cs="Times New Roman"/>
          <w:i w:val="0"/>
          <w:iCs w:val="0"/>
          <w:caps w:val="0"/>
          <w:spacing w:val="0"/>
          <w:kern w:val="0"/>
          <w:sz w:val="32"/>
          <w:szCs w:val="32"/>
          <w:shd w:val="clear" w:color="auto" w:fill="FFFFFF"/>
        </w:rPr>
        <w:t>12</w:t>
      </w:r>
      <w:r>
        <w:rPr>
          <w:rFonts w:hint="default" w:ascii="仿宋_GB2312" w:hAnsi="Times New Roman" w:eastAsia="仿宋_GB2312" w:cs="仿宋_GB2312"/>
          <w:i w:val="0"/>
          <w:iCs w:val="0"/>
          <w:caps w:val="0"/>
          <w:spacing w:val="0"/>
          <w:kern w:val="0"/>
          <w:sz w:val="32"/>
          <w:szCs w:val="32"/>
          <w:shd w:val="clear" w:color="auto" w:fill="FFFFFF"/>
        </w:rPr>
        <w:t>月</w:t>
      </w:r>
      <w:r>
        <w:rPr>
          <w:rFonts w:hint="default" w:ascii="Times New Roman" w:hAnsi="Times New Roman" w:eastAsia="仿宋_GB2312" w:cs="Times New Roman"/>
          <w:i w:val="0"/>
          <w:iCs w:val="0"/>
          <w:caps w:val="0"/>
          <w:spacing w:val="0"/>
          <w:kern w:val="0"/>
          <w:sz w:val="32"/>
          <w:szCs w:val="32"/>
          <w:shd w:val="clear" w:color="auto" w:fill="FFFFFF"/>
        </w:rPr>
        <w:t>31</w:t>
      </w:r>
      <w:r>
        <w:rPr>
          <w:rFonts w:hint="default" w:ascii="仿宋_GB2312" w:hAnsi="Times New Roman" w:eastAsia="仿宋_GB2312" w:cs="仿宋_GB2312"/>
          <w:i w:val="0"/>
          <w:iCs w:val="0"/>
          <w:caps w:val="0"/>
          <w:spacing w:val="0"/>
          <w:kern w:val="0"/>
          <w:sz w:val="32"/>
          <w:szCs w:val="32"/>
          <w:shd w:val="clear" w:color="auto" w:fill="FFFFFF"/>
        </w:rPr>
        <w:t>日止。全文包括总体情况、主动公开政府信息情况、收到和处理政府信息公开申请情况、政府信息公开行政复议行政诉讼情况、存在的主要问题及改进情况、其他需要报告的事项。</w:t>
      </w:r>
    </w:p>
    <w:p w14:paraId="7D3C070A">
      <w:pPr>
        <w:pStyle w:val="3"/>
        <w:keepNext w:val="0"/>
        <w:keepLines w:val="0"/>
        <w:widowControl/>
        <w:suppressLineNumbers w:val="0"/>
        <w:spacing w:before="0" w:beforeAutospacing="0" w:after="105" w:afterAutospacing="0" w:line="240" w:lineRule="atLeast"/>
        <w:ind w:left="0" w:right="0" w:firstLine="420"/>
        <w:jc w:val="both"/>
      </w:pPr>
      <w:r>
        <w:rPr>
          <w:rFonts w:ascii="黑体" w:hAnsi="宋体" w:eastAsia="黑体" w:cs="黑体"/>
          <w:kern w:val="0"/>
          <w:sz w:val="32"/>
          <w:szCs w:val="32"/>
        </w:rPr>
        <w:t>一、总体情况</w:t>
      </w:r>
      <w:r>
        <w:rPr>
          <w:rFonts w:hint="default" w:ascii="黑体" w:hAnsi="宋体" w:eastAsia="黑体" w:cs="黑体"/>
          <w:kern w:val="0"/>
          <w:sz w:val="32"/>
          <w:szCs w:val="32"/>
        </w:rPr>
        <w:t> </w:t>
      </w:r>
    </w:p>
    <w:p w14:paraId="15C8449C">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年瑞州街道坚持以习近平新时代中国特色社会主义思想为指导，认真学习贯彻党的二十大和二十届三中全会精神，服从</w:t>
      </w:r>
      <w:r>
        <w:rPr>
          <w:rFonts w:hint="default" w:ascii="仿宋_GB2312" w:hAnsi="Times New Roman" w:eastAsia="仿宋_GB2312" w:cs="仿宋_GB2312"/>
          <w:i w:val="0"/>
          <w:iCs w:val="0"/>
          <w:caps w:val="0"/>
          <w:color w:val="auto"/>
          <w:spacing w:val="0"/>
          <w:kern w:val="0"/>
          <w:sz w:val="32"/>
          <w:szCs w:val="32"/>
          <w:shd w:val="clear" w:color="auto" w:fill="FFFFFF"/>
        </w:rPr>
        <w:t>和服务于市委、市政府重点工作、重点工程、重点项目，严格落实《江西省人民政府政务公开办公室关于印发第二批基层政务公开标准化规范化建设工作方案的通知》（赣府公开办〔</w:t>
      </w:r>
      <w:r>
        <w:rPr>
          <w:rFonts w:hint="default" w:ascii="Times New Roman" w:hAnsi="Times New Roman" w:eastAsia="仿宋_GB2312" w:cs="Times New Roman"/>
          <w:i w:val="0"/>
          <w:iCs w:val="0"/>
          <w:caps w:val="0"/>
          <w:color w:val="auto"/>
          <w:spacing w:val="0"/>
          <w:kern w:val="0"/>
          <w:sz w:val="32"/>
          <w:szCs w:val="32"/>
          <w:shd w:val="clear" w:color="auto" w:fill="FFFFFF"/>
        </w:rPr>
        <w:t>2023</w:t>
      </w:r>
      <w:r>
        <w:rPr>
          <w:rFonts w:hint="default" w:ascii="仿宋_GB2312" w:hAnsi="Times New Roman" w:eastAsia="仿宋_GB2312" w:cs="仿宋_GB2312"/>
          <w:i w:val="0"/>
          <w:iCs w:val="0"/>
          <w:caps w:val="0"/>
          <w:color w:val="auto"/>
          <w:spacing w:val="0"/>
          <w:kern w:val="0"/>
          <w:sz w:val="32"/>
          <w:szCs w:val="32"/>
          <w:shd w:val="clear" w:color="auto" w:fill="FFFFFF"/>
        </w:rPr>
        <w:t>〕</w:t>
      </w:r>
      <w:r>
        <w:rPr>
          <w:rFonts w:hint="default" w:ascii="Times New Roman" w:hAnsi="Times New Roman" w:eastAsia="仿宋_GB2312" w:cs="Times New Roman"/>
          <w:i w:val="0"/>
          <w:iCs w:val="0"/>
          <w:caps w:val="0"/>
          <w:color w:val="auto"/>
          <w:spacing w:val="0"/>
          <w:kern w:val="0"/>
          <w:sz w:val="32"/>
          <w:szCs w:val="32"/>
          <w:shd w:val="clear" w:color="auto" w:fill="FFFFFF"/>
        </w:rPr>
        <w:t>4</w:t>
      </w:r>
      <w:r>
        <w:rPr>
          <w:rFonts w:hint="default" w:ascii="仿宋_GB2312" w:hAnsi="Times New Roman" w:eastAsia="仿宋_GB2312" w:cs="仿宋_GB2312"/>
          <w:i w:val="0"/>
          <w:iCs w:val="0"/>
          <w:caps w:val="0"/>
          <w:color w:val="auto"/>
          <w:spacing w:val="0"/>
          <w:kern w:val="0"/>
          <w:sz w:val="32"/>
          <w:szCs w:val="32"/>
          <w:shd w:val="clear" w:color="auto" w:fill="FFFFFF"/>
        </w:rPr>
        <w:t>号）文件精神，按照政务公开有关要求，在高安市政府办公室</w:t>
      </w:r>
      <w:r>
        <w:rPr>
          <w:rFonts w:hint="default" w:ascii="仿宋_GB2312" w:hAnsi="Times New Roman" w:eastAsia="仿宋_GB2312" w:cs="仿宋_GB2312"/>
          <w:i w:val="0"/>
          <w:iCs w:val="0"/>
          <w:caps w:val="0"/>
          <w:spacing w:val="0"/>
          <w:kern w:val="0"/>
          <w:sz w:val="32"/>
          <w:szCs w:val="32"/>
          <w:shd w:val="clear" w:color="auto" w:fill="FFFFFF"/>
        </w:rPr>
        <w:t>和高安市信息中心的指导下，不断拓展公开内容、创新公开形式、完善公开制度、强化公开监督，积极明确目标任务，紧紧围绕市委、市政府中心工作及社会群众关注关切领域，着力提升政府信息公开质量，推进拓宽政府信息公开渠道，不断增强政府信息公开实效。</w:t>
      </w:r>
    </w:p>
    <w:p w14:paraId="349BABD9">
      <w:pPr>
        <w:pStyle w:val="3"/>
        <w:keepNext w:val="0"/>
        <w:keepLines w:val="0"/>
        <w:widowControl/>
        <w:suppressLineNumbers w:val="0"/>
        <w:spacing w:before="0" w:beforeAutospacing="0" w:after="105" w:afterAutospacing="0" w:line="240" w:lineRule="atLeast"/>
        <w:ind w:left="420" w:leftChars="0" w:right="0" w:rightChars="0"/>
        <w:jc w:val="both"/>
      </w:pPr>
      <w:r>
        <w:rPr>
          <w:rFonts w:ascii="华文楷体" w:hAnsi="华文楷体" w:eastAsia="华文楷体" w:cs="华文楷体"/>
          <w:b/>
          <w:bCs/>
          <w:kern w:val="0"/>
          <w:sz w:val="28"/>
          <w:szCs w:val="28"/>
        </w:rPr>
        <w:t>（一）</w:t>
      </w:r>
      <w:r>
        <w:rPr>
          <w:rFonts w:hint="eastAsia" w:ascii="华文楷体" w:hAnsi="华文楷体" w:eastAsia="华文楷体" w:cs="华文楷体"/>
          <w:b/>
          <w:bCs/>
          <w:kern w:val="0"/>
          <w:sz w:val="28"/>
          <w:szCs w:val="28"/>
        </w:rPr>
        <w:t>工作创新</w:t>
      </w:r>
    </w:p>
    <w:p w14:paraId="04101B3F">
      <w:pPr>
        <w:keepNext w:val="0"/>
        <w:keepLines w:val="0"/>
        <w:widowControl w:val="0"/>
        <w:suppressLineNumbers w:val="0"/>
        <w:spacing w:before="100" w:beforeAutospacing="1" w:after="100" w:afterAutospacing="1" w:line="620" w:lineRule="exact"/>
        <w:ind w:left="0" w:right="0" w:firstLine="640" w:firstLineChars="200"/>
        <w:jc w:val="both"/>
      </w:pPr>
      <w:r>
        <w:rPr>
          <w:rFonts w:hint="default" w:ascii="Times New Roman" w:hAnsi="Times New Roman" w:eastAsia="仿宋_GB2312" w:cs="Times New Roman"/>
          <w:i w:val="0"/>
          <w:iCs w:val="0"/>
          <w:caps w:val="0"/>
          <w:spacing w:val="0"/>
          <w:kern w:val="0"/>
          <w:sz w:val="32"/>
          <w:szCs w:val="32"/>
          <w:shd w:val="clear" w:color="auto" w:fill="FFFFFF"/>
          <w:lang w:val="en-US" w:eastAsia="zh-CN" w:bidi="ar"/>
        </w:rPr>
        <w:t>1</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拓宽基层决策公众参与渠道</w:t>
      </w:r>
    </w:p>
    <w:p w14:paraId="4B47F487">
      <w:pPr>
        <w:keepNext w:val="0"/>
        <w:keepLines w:val="0"/>
        <w:widowControl w:val="0"/>
        <w:suppressLineNumbers w:val="0"/>
        <w:spacing w:before="100" w:beforeAutospacing="1" w:after="100" w:afterAutospacing="1" w:line="620" w:lineRule="exact"/>
        <w:ind w:left="0" w:right="0" w:firstLine="640" w:firstLineChars="200"/>
        <w:jc w:val="both"/>
      </w:pPr>
      <w:r>
        <w:rPr>
          <w:rFonts w:hint="default" w:ascii="Times New Roman" w:hAnsi="Times New Roman" w:eastAsia="仿宋_GB2312" w:cs="Times New Roman"/>
          <w:i w:val="0"/>
          <w:iCs w:val="0"/>
          <w:caps w:val="0"/>
          <w:spacing w:val="0"/>
          <w:kern w:val="0"/>
          <w:sz w:val="32"/>
          <w:szCs w:val="32"/>
          <w:shd w:val="clear" w:color="auto" w:fill="FFFFFF"/>
          <w:lang w:val="en-US" w:eastAsia="zh-CN" w:bidi="ar"/>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bidi="ar"/>
        </w:rPr>
        <w:t>5</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年，瑞州街道积极对表对标，利用政府门户网站征集，群众代表参会、政务公开活动日等形式，聚焦民生实事、群众急难愁盼问题等，向群众征求意见</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。同时，</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投入使用一个政务公开主题广场以及政务公开专区</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规范政府线下信息公开专栏，高标准高要求高规格制作专属页面，对外主动公开街道创新工作情况</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切实保障群众的知情权、表达权、参与权和监督权。</w:t>
      </w:r>
    </w:p>
    <w:p w14:paraId="29A3AEDA">
      <w:pPr>
        <w:keepNext w:val="0"/>
        <w:keepLines w:val="0"/>
        <w:widowControl w:val="0"/>
        <w:suppressLineNumbers w:val="0"/>
        <w:spacing w:before="100" w:beforeAutospacing="1" w:after="100" w:afterAutospacing="1" w:line="620" w:lineRule="exact"/>
        <w:ind w:left="0" w:leftChars="0" w:right="0" w:firstLine="640" w:firstLineChars="200"/>
        <w:jc w:val="both"/>
      </w:pPr>
      <w:r>
        <w:rPr>
          <w:rFonts w:hint="eastAsia" w:ascii="Times New Roman" w:hAnsi="Times New Roman" w:eastAsia="仿宋_GB2312" w:cs="Times New Roman"/>
          <w:i w:val="0"/>
          <w:iCs w:val="0"/>
          <w:caps w:val="0"/>
          <w:spacing w:val="0"/>
          <w:kern w:val="0"/>
          <w:sz w:val="32"/>
          <w:szCs w:val="32"/>
          <w:shd w:val="clear" w:color="auto" w:fill="FFFFFF"/>
          <w:lang w:val="en-US" w:eastAsia="zh-CN" w:bidi="ar"/>
        </w:rPr>
        <w:t>2</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、优化政务公开标准目录</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体系</w:t>
      </w:r>
    </w:p>
    <w:p w14:paraId="4E8F4A36">
      <w:pPr>
        <w:keepNext w:val="0"/>
        <w:keepLines w:val="0"/>
        <w:widowControl w:val="0"/>
        <w:suppressLineNumbers w:val="0"/>
        <w:spacing w:before="100" w:beforeAutospacing="1" w:after="100" w:afterAutospacing="1" w:line="620" w:lineRule="exact"/>
        <w:ind w:left="0" w:leftChars="0" w:right="0" w:firstLine="640" w:firstLineChars="200"/>
        <w:jc w:val="both"/>
      </w:pPr>
      <w:r>
        <w:rPr>
          <w:rFonts w:hint="default" w:ascii="仿宋_GB2312" w:hAnsi="Times New Roman" w:eastAsia="仿宋_GB2312" w:cs="仿宋_GB2312"/>
          <w:i w:val="0"/>
          <w:iCs w:val="0"/>
          <w:caps w:val="0"/>
          <w:spacing w:val="0"/>
          <w:kern w:val="0"/>
          <w:sz w:val="32"/>
          <w:szCs w:val="32"/>
          <w:shd w:val="clear" w:color="auto" w:fill="FFFFFF"/>
          <w:lang w:val="en-US" w:eastAsia="zh-CN" w:bidi="ar"/>
        </w:rPr>
        <w:t>瑞州街道严格依据最新权责清单、公共服务事项清单，紧扣《中华人民共和国政府信息公开条例》及上级政务公开工作部署要求，聚焦基层政务公开标准目录优化升级工作。街道对目录内各公开事项的责任主体、公开时限、公开渠道、公开内容等核心要素开展全面再梳理、再简化，剔除冗余条目，合并重复事项，补充遗漏内容，进一步提升目录的规范性、实用性和便捷性。目前，新版政务公开标准目录已编制完成，并在官方网站同步公开。</w:t>
      </w:r>
    </w:p>
    <w:p w14:paraId="13EE104A">
      <w:pPr>
        <w:keepNext w:val="0"/>
        <w:keepLines w:val="0"/>
        <w:widowControl w:val="0"/>
        <w:suppressLineNumbers w:val="0"/>
        <w:spacing w:before="100" w:beforeAutospacing="1" w:after="100" w:afterAutospacing="1" w:line="620" w:lineRule="exact"/>
        <w:ind w:left="0" w:right="0" w:firstLine="640" w:firstLineChars="200"/>
        <w:jc w:val="both"/>
      </w:pPr>
      <w:r>
        <w:rPr>
          <w:rFonts w:hint="eastAsia" w:ascii="仿宋_GB2312" w:hAnsi="Times New Roman" w:eastAsia="仿宋_GB2312" w:cs="仿宋_GB2312"/>
          <w:i w:val="0"/>
          <w:iCs w:val="0"/>
          <w:caps w:val="0"/>
          <w:spacing w:val="0"/>
          <w:kern w:val="0"/>
          <w:sz w:val="32"/>
          <w:szCs w:val="32"/>
          <w:shd w:val="clear" w:color="auto" w:fill="FFFFFF"/>
          <w:lang w:val="en-US" w:eastAsia="zh-CN" w:bidi="ar"/>
        </w:rPr>
        <w:t>3</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提升</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村（居）务公开</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规范化水平</w:t>
      </w:r>
    </w:p>
    <w:p w14:paraId="13DA1229">
      <w:pPr>
        <w:keepNext w:val="0"/>
        <w:keepLines w:val="0"/>
        <w:widowControl w:val="0"/>
        <w:suppressLineNumbers w:val="0"/>
        <w:spacing w:before="100" w:beforeAutospacing="1" w:after="100" w:afterAutospacing="1" w:line="620" w:lineRule="exact"/>
        <w:ind w:left="0" w:leftChars="0" w:right="0" w:firstLine="640" w:firstLineChars="200"/>
        <w:jc w:val="both"/>
      </w:pPr>
      <w:r>
        <w:rPr>
          <w:rFonts w:hint="default" w:ascii="仿宋_GB2312" w:hAnsi="Times New Roman" w:eastAsia="仿宋_GB2312" w:cs="仿宋_GB2312"/>
          <w:i w:val="0"/>
          <w:iCs w:val="0"/>
          <w:caps w:val="0"/>
          <w:spacing w:val="0"/>
          <w:kern w:val="0"/>
          <w:sz w:val="32"/>
          <w:szCs w:val="32"/>
          <w:shd w:val="clear" w:color="auto" w:fill="FFFFFF"/>
          <w:lang w:val="en-US" w:eastAsia="zh-CN" w:bidi="ar"/>
        </w:rPr>
        <w:t>一是完善村（居）务公开事项清单，</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对</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公开事项、公开内容、公开时限、公开形式等</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再度整合，明确要求</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，重点公开村（居）情简介、两委班子、</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村务公开、</w:t>
      </w:r>
      <w:r>
        <w:rPr>
          <w:rFonts w:hint="default" w:ascii="仿宋_GB2312" w:hAnsi="Times New Roman" w:eastAsia="仿宋_GB2312" w:cs="仿宋_GB2312"/>
          <w:i w:val="0"/>
          <w:iCs w:val="0"/>
          <w:caps w:val="0"/>
          <w:spacing w:val="0"/>
          <w:kern w:val="0"/>
          <w:sz w:val="32"/>
          <w:szCs w:val="32"/>
          <w:shd w:val="clear" w:color="auto" w:fill="FFFFFF"/>
          <w:lang w:val="en-US" w:eastAsia="zh-CN" w:bidi="ar"/>
        </w:rPr>
        <w:t>财务收支等方面的内容，推进政务公开与村（居）务公开在形式内容标准上的有效衔接。二是</w:t>
      </w:r>
      <w:r>
        <w:rPr>
          <w:rFonts w:hint="eastAsia" w:ascii="仿宋_GB2312" w:hAnsi="Times New Roman" w:eastAsia="仿宋_GB2312" w:cs="仿宋_GB2312"/>
          <w:i w:val="0"/>
          <w:iCs w:val="0"/>
          <w:caps w:val="0"/>
          <w:spacing w:val="0"/>
          <w:kern w:val="0"/>
          <w:sz w:val="32"/>
          <w:szCs w:val="32"/>
          <w:shd w:val="clear" w:color="auto" w:fill="FFFFFF"/>
          <w:lang w:val="en-US" w:eastAsia="zh-CN" w:bidi="ar"/>
        </w:rPr>
        <w:t>聚焦群众最关心的民生领域，将惠农政策、养老服务、社会救助、卫生健康等重点内容，全部纳入村居务公开栏目统一公开，明确公开时限，让群众看得明白、用得方便。</w:t>
      </w:r>
    </w:p>
    <w:p w14:paraId="32B83010">
      <w:pPr>
        <w:pStyle w:val="3"/>
        <w:keepNext w:val="0"/>
        <w:keepLines w:val="0"/>
        <w:widowControl/>
        <w:suppressLineNumbers w:val="0"/>
        <w:spacing w:before="0" w:beforeAutospacing="0" w:after="105" w:afterAutospacing="0" w:line="240" w:lineRule="atLeast"/>
        <w:ind w:left="420" w:leftChars="0" w:right="0" w:rightChars="0"/>
        <w:jc w:val="both"/>
      </w:pPr>
      <w:r>
        <w:rPr>
          <w:rFonts w:hint="eastAsia" w:ascii="华文楷体" w:hAnsi="华文楷体" w:eastAsia="华文楷体" w:cs="华文楷体"/>
          <w:b/>
          <w:bCs/>
          <w:kern w:val="0"/>
          <w:sz w:val="28"/>
          <w:szCs w:val="28"/>
        </w:rPr>
        <w:t xml:space="preserve">（二）主动公开 </w:t>
      </w:r>
    </w:p>
    <w:p w14:paraId="7606A5B2">
      <w:pPr>
        <w:pStyle w:val="3"/>
        <w:keepNext w:val="0"/>
        <w:keepLines w:val="0"/>
        <w:widowControl/>
        <w:suppressLineNumbers w:val="0"/>
        <w:spacing w:before="0" w:beforeAutospacing="0" w:after="105" w:afterAutospacing="0" w:line="240" w:lineRule="atLeast"/>
        <w:ind w:left="0" w:right="0" w:firstLine="420"/>
        <w:jc w:val="both"/>
        <w:rPr>
          <w:rFonts w:hint="default" w:ascii="仿宋_GB2312" w:hAnsi="Times New Roman" w:eastAsia="仿宋_GB2312" w:cs="仿宋_GB2312"/>
          <w:i w:val="0"/>
          <w:iCs w:val="0"/>
          <w:caps w:val="0"/>
          <w:spacing w:val="0"/>
          <w:kern w:val="0"/>
          <w:sz w:val="32"/>
          <w:szCs w:val="32"/>
          <w:shd w:val="clear" w:color="auto" w:fill="FFFFFF"/>
        </w:rPr>
      </w:pP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年瑞州街道办事处紧紧围绕市委、市政府工作要求，围绕</w:t>
      </w:r>
      <w:r>
        <w:rPr>
          <w:rFonts w:hint="eastAsia" w:ascii="仿宋_GB2312" w:hAnsi="Times New Roman" w:eastAsia="仿宋_GB2312" w:cs="仿宋_GB2312"/>
          <w:i w:val="0"/>
          <w:iCs w:val="0"/>
          <w:caps w:val="0"/>
          <w:spacing w:val="0"/>
          <w:kern w:val="0"/>
          <w:sz w:val="32"/>
          <w:szCs w:val="32"/>
          <w:shd w:val="clear" w:color="auto" w:fill="FFFFFF"/>
          <w:lang w:eastAsia="zh-CN"/>
        </w:rPr>
        <w:t>政府</w:t>
      </w:r>
      <w:r>
        <w:rPr>
          <w:rFonts w:hint="default" w:ascii="仿宋_GB2312" w:hAnsi="Times New Roman" w:eastAsia="仿宋_GB2312" w:cs="仿宋_GB2312"/>
          <w:i w:val="0"/>
          <w:iCs w:val="0"/>
          <w:caps w:val="0"/>
          <w:spacing w:val="0"/>
          <w:kern w:val="0"/>
          <w:sz w:val="32"/>
          <w:szCs w:val="32"/>
          <w:shd w:val="clear" w:color="auto" w:fill="FFFFFF"/>
        </w:rPr>
        <w:t>文件、政策解读、</w:t>
      </w:r>
      <w:r>
        <w:rPr>
          <w:rFonts w:hint="eastAsia" w:ascii="仿宋_GB2312" w:hAnsi="Times New Roman" w:eastAsia="仿宋_GB2312" w:cs="仿宋_GB2312"/>
          <w:i w:val="0"/>
          <w:iCs w:val="0"/>
          <w:caps w:val="0"/>
          <w:spacing w:val="0"/>
          <w:kern w:val="0"/>
          <w:sz w:val="32"/>
          <w:szCs w:val="32"/>
          <w:shd w:val="clear" w:color="auto" w:fill="FFFFFF"/>
          <w:lang w:eastAsia="zh-CN"/>
        </w:rPr>
        <w:t>财政</w:t>
      </w:r>
      <w:r>
        <w:rPr>
          <w:rFonts w:hint="default" w:ascii="仿宋_GB2312" w:hAnsi="Times New Roman" w:eastAsia="仿宋_GB2312" w:cs="仿宋_GB2312"/>
          <w:i w:val="0"/>
          <w:iCs w:val="0"/>
          <w:caps w:val="0"/>
          <w:spacing w:val="0"/>
          <w:kern w:val="0"/>
          <w:sz w:val="32"/>
          <w:szCs w:val="32"/>
          <w:shd w:val="clear" w:color="auto" w:fill="FFFFFF"/>
        </w:rPr>
        <w:t>信息、</w:t>
      </w:r>
      <w:r>
        <w:rPr>
          <w:rFonts w:hint="eastAsia" w:ascii="仿宋_GB2312" w:hAnsi="Times New Roman" w:eastAsia="仿宋_GB2312" w:cs="仿宋_GB2312"/>
          <w:i w:val="0"/>
          <w:iCs w:val="0"/>
          <w:caps w:val="0"/>
          <w:spacing w:val="0"/>
          <w:kern w:val="0"/>
          <w:sz w:val="32"/>
          <w:szCs w:val="32"/>
          <w:shd w:val="clear" w:color="auto" w:fill="FFFFFF"/>
          <w:lang w:eastAsia="zh-CN"/>
        </w:rPr>
        <w:t>规划计划</w:t>
      </w:r>
      <w:r>
        <w:rPr>
          <w:rFonts w:hint="default" w:ascii="仿宋_GB2312" w:hAnsi="Times New Roman" w:eastAsia="仿宋_GB2312" w:cs="仿宋_GB2312"/>
          <w:i w:val="0"/>
          <w:iCs w:val="0"/>
          <w:caps w:val="0"/>
          <w:spacing w:val="0"/>
          <w:kern w:val="0"/>
          <w:sz w:val="32"/>
          <w:szCs w:val="32"/>
          <w:shd w:val="clear" w:color="auto" w:fill="FFFFFF"/>
        </w:rPr>
        <w:t>、安全生产、</w:t>
      </w:r>
      <w:r>
        <w:rPr>
          <w:rFonts w:hint="eastAsia" w:ascii="仿宋_GB2312" w:hAnsi="Times New Roman" w:eastAsia="仿宋_GB2312" w:cs="仿宋_GB2312"/>
          <w:i w:val="0"/>
          <w:iCs w:val="0"/>
          <w:caps w:val="0"/>
          <w:spacing w:val="0"/>
          <w:kern w:val="0"/>
          <w:sz w:val="32"/>
          <w:szCs w:val="32"/>
          <w:shd w:val="clear" w:color="auto" w:fill="FFFFFF"/>
          <w:lang w:eastAsia="zh-CN"/>
        </w:rPr>
        <w:t>生态环境</w:t>
      </w:r>
      <w:r>
        <w:rPr>
          <w:rFonts w:hint="default" w:ascii="仿宋_GB2312" w:hAnsi="Times New Roman" w:eastAsia="仿宋_GB2312" w:cs="仿宋_GB2312"/>
          <w:i w:val="0"/>
          <w:iCs w:val="0"/>
          <w:caps w:val="0"/>
          <w:spacing w:val="0"/>
          <w:kern w:val="0"/>
          <w:sz w:val="32"/>
          <w:szCs w:val="32"/>
          <w:shd w:val="clear" w:color="auto" w:fill="FFFFFF"/>
        </w:rPr>
        <w:t>、人事信息、乡村振兴等跟群众切身利益相关的重点领域，扎实推进主动公开工作，明确政务公开工作由街道一名班子成员分管负责，安排党</w:t>
      </w:r>
      <w:r>
        <w:rPr>
          <w:rFonts w:hint="default" w:ascii="仿宋_GB2312" w:hAnsi="Times New Roman" w:eastAsia="仿宋_GB2312" w:cs="仿宋_GB2312"/>
          <w:i w:val="0"/>
          <w:iCs w:val="0"/>
          <w:caps w:val="0"/>
          <w:color w:val="auto"/>
          <w:spacing w:val="0"/>
          <w:kern w:val="0"/>
          <w:sz w:val="32"/>
          <w:szCs w:val="32"/>
          <w:shd w:val="clear" w:color="auto" w:fill="FFFFFF"/>
        </w:rPr>
        <w:t>政办精干力量具体落实</w:t>
      </w:r>
      <w:r>
        <w:rPr>
          <w:rFonts w:hint="eastAsia" w:ascii="仿宋_GB2312" w:hAnsi="Times New Roman" w:eastAsia="仿宋_GB2312" w:cs="仿宋_GB2312"/>
          <w:i w:val="0"/>
          <w:iCs w:val="0"/>
          <w:caps w:val="0"/>
          <w:color w:val="auto"/>
          <w:spacing w:val="0"/>
          <w:kern w:val="0"/>
          <w:sz w:val="32"/>
          <w:szCs w:val="32"/>
          <w:shd w:val="clear" w:color="auto" w:fill="FFFFFF"/>
          <w:lang w:eastAsia="zh-CN"/>
        </w:rPr>
        <w:t>，</w:t>
      </w:r>
      <w:r>
        <w:rPr>
          <w:rFonts w:hint="default" w:ascii="仿宋_GB2312" w:hAnsi="Times New Roman" w:eastAsia="仿宋_GB2312" w:cs="仿宋_GB2312"/>
          <w:i w:val="0"/>
          <w:iCs w:val="0"/>
          <w:caps w:val="0"/>
          <w:color w:val="auto"/>
          <w:spacing w:val="0"/>
          <w:kern w:val="0"/>
          <w:sz w:val="32"/>
          <w:szCs w:val="32"/>
          <w:shd w:val="clear" w:color="auto" w:fill="FFFFFF"/>
        </w:rPr>
        <w:t>对政务信息公开网站进行日常维护管理，</w:t>
      </w:r>
      <w:r>
        <w:rPr>
          <w:rFonts w:hint="default" w:ascii="仿宋_GB2312" w:hAnsi="Times New Roman" w:eastAsia="仿宋_GB2312" w:cs="仿宋_GB2312"/>
          <w:i w:val="0"/>
          <w:iCs w:val="0"/>
          <w:caps w:val="0"/>
          <w:spacing w:val="0"/>
          <w:kern w:val="0"/>
          <w:sz w:val="32"/>
          <w:szCs w:val="32"/>
          <w:shd w:val="clear" w:color="auto" w:fill="FFFFFF"/>
        </w:rPr>
        <w:t>严格按照“三审三校”落实到位、领导、机构、人员“三到位”</w:t>
      </w:r>
      <w:r>
        <w:rPr>
          <w:rFonts w:hint="eastAsia" w:ascii="仿宋_GB2312" w:hAnsi="Times New Roman" w:eastAsia="仿宋_GB2312" w:cs="仿宋_GB2312"/>
          <w:i w:val="0"/>
          <w:iCs w:val="0"/>
          <w:caps w:val="0"/>
          <w:spacing w:val="0"/>
          <w:kern w:val="0"/>
          <w:sz w:val="32"/>
          <w:szCs w:val="32"/>
          <w:shd w:val="clear" w:color="auto" w:fill="FFFFFF"/>
          <w:lang w:eastAsia="zh-CN"/>
        </w:rPr>
        <w:t>。</w:t>
      </w:r>
      <w:r>
        <w:rPr>
          <w:rFonts w:hint="default" w:ascii="仿宋_GB2312" w:hAnsi="Times New Roman" w:eastAsia="仿宋_GB2312" w:cs="仿宋_GB2312"/>
          <w:i w:val="0"/>
          <w:iCs w:val="0"/>
          <w:caps w:val="0"/>
          <w:spacing w:val="0"/>
          <w:kern w:val="0"/>
          <w:sz w:val="32"/>
          <w:szCs w:val="32"/>
          <w:shd w:val="clear" w:color="auto" w:fill="FFFFFF"/>
        </w:rPr>
        <w:t>同时，把信息公开工作分解到街办内部的有关科室和人员，强化“一把手挂帅、</w:t>
      </w:r>
      <w:r>
        <w:rPr>
          <w:rFonts w:hint="eastAsia" w:ascii="仿宋_GB2312" w:hAnsi="Times New Roman" w:eastAsia="仿宋_GB2312" w:cs="仿宋_GB2312"/>
          <w:i w:val="0"/>
          <w:iCs w:val="0"/>
          <w:caps w:val="0"/>
          <w:spacing w:val="0"/>
          <w:kern w:val="0"/>
          <w:sz w:val="32"/>
          <w:szCs w:val="32"/>
          <w:shd w:val="clear" w:color="auto" w:fill="FFFFFF"/>
          <w:lang w:eastAsia="zh-CN"/>
        </w:rPr>
        <w:t>班子</w:t>
      </w:r>
      <w:r>
        <w:rPr>
          <w:rFonts w:hint="default" w:ascii="仿宋_GB2312" w:hAnsi="Times New Roman" w:eastAsia="仿宋_GB2312" w:cs="仿宋_GB2312"/>
          <w:i w:val="0"/>
          <w:iCs w:val="0"/>
          <w:caps w:val="0"/>
          <w:spacing w:val="0"/>
          <w:kern w:val="0"/>
          <w:sz w:val="32"/>
          <w:szCs w:val="32"/>
          <w:shd w:val="clear" w:color="auto" w:fill="FFFFFF"/>
        </w:rPr>
        <w:t>领导具体抓、责任到科室、落实到人头”的工作机制。建立健全信息拟稿、审核、审批、发布、监督五项制度，促进信息公开工作走上制度化、规范化的轨道。按要求进行实时更新，共公布信息</w:t>
      </w:r>
      <w:r>
        <w:rPr>
          <w:rFonts w:hint="eastAsia" w:ascii="仿宋_GB2312" w:hAnsi="Times New Roman" w:eastAsia="仿宋_GB2312" w:cs="仿宋_GB2312"/>
          <w:i w:val="0"/>
          <w:iCs w:val="0"/>
          <w:caps w:val="0"/>
          <w:spacing w:val="0"/>
          <w:kern w:val="0"/>
          <w:sz w:val="32"/>
          <w:szCs w:val="32"/>
          <w:shd w:val="clear" w:color="auto" w:fill="FFFFFF"/>
          <w:lang w:val="en-US" w:eastAsia="zh-CN"/>
        </w:rPr>
        <w:t>990</w:t>
      </w:r>
      <w:r>
        <w:rPr>
          <w:rFonts w:hint="default" w:ascii="仿宋_GB2312" w:hAnsi="Times New Roman" w:eastAsia="仿宋_GB2312" w:cs="仿宋_GB2312"/>
          <w:i w:val="0"/>
          <w:iCs w:val="0"/>
          <w:caps w:val="0"/>
          <w:spacing w:val="0"/>
          <w:kern w:val="0"/>
          <w:sz w:val="32"/>
          <w:szCs w:val="32"/>
          <w:shd w:val="clear" w:color="auto" w:fill="FFFFFF"/>
        </w:rPr>
        <w:t>条。主要包括</w:t>
      </w:r>
      <w:r>
        <w:rPr>
          <w:rFonts w:hint="eastAsia" w:ascii="仿宋_GB2312" w:hAnsi="Times New Roman" w:eastAsia="仿宋_GB2312" w:cs="仿宋_GB2312"/>
          <w:i w:val="0"/>
          <w:iCs w:val="0"/>
          <w:caps w:val="0"/>
          <w:spacing w:val="0"/>
          <w:kern w:val="0"/>
          <w:sz w:val="32"/>
          <w:szCs w:val="32"/>
          <w:shd w:val="clear" w:color="auto" w:fill="FFFFFF"/>
          <w:lang w:eastAsia="zh-CN"/>
        </w:rPr>
        <w:t>政府文件</w:t>
      </w:r>
      <w:r>
        <w:rPr>
          <w:rFonts w:hint="eastAsia" w:ascii="仿宋_GB2312" w:hAnsi="Times New Roman" w:eastAsia="仿宋_GB2312" w:cs="仿宋_GB2312"/>
          <w:i w:val="0"/>
          <w:iCs w:val="0"/>
          <w:caps w:val="0"/>
          <w:spacing w:val="0"/>
          <w:kern w:val="0"/>
          <w:sz w:val="32"/>
          <w:szCs w:val="32"/>
          <w:shd w:val="clear" w:color="auto" w:fill="FFFFFF"/>
          <w:lang w:val="en-US" w:eastAsia="zh-CN"/>
        </w:rPr>
        <w:t>1条、政策解读1条</w:t>
      </w:r>
      <w:r>
        <w:rPr>
          <w:rFonts w:hint="default" w:ascii="仿宋_GB2312" w:hAnsi="Times New Roman" w:eastAsia="仿宋_GB2312" w:cs="仿宋_GB2312"/>
          <w:i w:val="0"/>
          <w:iCs w:val="0"/>
          <w:caps w:val="0"/>
          <w:spacing w:val="0"/>
          <w:kern w:val="0"/>
          <w:sz w:val="32"/>
          <w:szCs w:val="32"/>
          <w:shd w:val="clear" w:color="auto" w:fill="FFFFFF"/>
        </w:rPr>
        <w:t>、</w:t>
      </w:r>
      <w:r>
        <w:rPr>
          <w:rFonts w:hint="eastAsia" w:ascii="仿宋_GB2312" w:hAnsi="Times New Roman" w:eastAsia="仿宋_GB2312" w:cs="仿宋_GB2312"/>
          <w:i w:val="0"/>
          <w:iCs w:val="0"/>
          <w:caps w:val="0"/>
          <w:spacing w:val="0"/>
          <w:kern w:val="0"/>
          <w:sz w:val="32"/>
          <w:szCs w:val="32"/>
          <w:shd w:val="clear" w:color="auto" w:fill="FFFFFF"/>
          <w:lang w:eastAsia="zh-CN"/>
        </w:rPr>
        <w:t>机构职能</w:t>
      </w:r>
      <w:r>
        <w:rPr>
          <w:rFonts w:hint="eastAsia" w:ascii="仿宋_GB2312" w:hAnsi="Times New Roman" w:eastAsia="仿宋_GB2312" w:cs="仿宋_GB2312"/>
          <w:i w:val="0"/>
          <w:iCs w:val="0"/>
          <w:caps w:val="0"/>
          <w:spacing w:val="0"/>
          <w:kern w:val="0"/>
          <w:sz w:val="32"/>
          <w:szCs w:val="32"/>
          <w:shd w:val="clear" w:color="auto" w:fill="FFFFFF"/>
          <w:lang w:val="en-US" w:eastAsia="zh-CN"/>
        </w:rPr>
        <w:t>1条</w:t>
      </w:r>
      <w:r>
        <w:rPr>
          <w:rFonts w:hint="default" w:ascii="仿宋_GB2312" w:hAnsi="Times New Roman" w:eastAsia="仿宋_GB2312" w:cs="仿宋_GB2312"/>
          <w:i w:val="0"/>
          <w:iCs w:val="0"/>
          <w:caps w:val="0"/>
          <w:spacing w:val="0"/>
          <w:kern w:val="0"/>
          <w:sz w:val="32"/>
          <w:szCs w:val="32"/>
          <w:shd w:val="clear" w:color="auto" w:fill="FFFFFF"/>
        </w:rPr>
        <w:t>、</w:t>
      </w:r>
      <w:r>
        <w:rPr>
          <w:rFonts w:hint="eastAsia" w:ascii="仿宋_GB2312" w:hAnsi="Times New Roman" w:eastAsia="仿宋_GB2312" w:cs="仿宋_GB2312"/>
          <w:i w:val="0"/>
          <w:iCs w:val="0"/>
          <w:caps w:val="0"/>
          <w:spacing w:val="0"/>
          <w:kern w:val="0"/>
          <w:sz w:val="32"/>
          <w:szCs w:val="32"/>
          <w:shd w:val="clear" w:color="auto" w:fill="FFFFFF"/>
          <w:lang w:eastAsia="zh-CN"/>
        </w:rPr>
        <w:t>财政信息</w:t>
      </w:r>
      <w:r>
        <w:rPr>
          <w:rFonts w:hint="eastAsia" w:ascii="仿宋_GB2312" w:hAnsi="Times New Roman" w:eastAsia="仿宋_GB2312" w:cs="仿宋_GB2312"/>
          <w:i w:val="0"/>
          <w:iCs w:val="0"/>
          <w:caps w:val="0"/>
          <w:spacing w:val="0"/>
          <w:kern w:val="0"/>
          <w:sz w:val="32"/>
          <w:szCs w:val="32"/>
          <w:shd w:val="clear" w:color="auto" w:fill="FFFFFF"/>
          <w:lang w:val="en-US" w:eastAsia="zh-CN"/>
        </w:rPr>
        <w:t>5条、规划计划2条、会议公开4条、政府工作报告1条、村居务公开869条、行政执法3条、社会救助与福利11条、农村危房改造12条、公共文化12条、医疗卫生12条、应急管理与安全生产8条、法律服务9条、涉农补贴12条、脱贫攻坚与乡村振兴有效衔接12条、生态环境11条、义务教育12条、土地信息与水利信息2条、政府信息公开指南1条、政府信息公开制度1条，</w:t>
      </w:r>
      <w:r>
        <w:rPr>
          <w:rFonts w:hint="default" w:ascii="仿宋_GB2312" w:hAnsi="Times New Roman" w:eastAsia="仿宋_GB2312" w:cs="仿宋_GB2312"/>
          <w:i w:val="0"/>
          <w:iCs w:val="0"/>
          <w:caps w:val="0"/>
          <w:spacing w:val="0"/>
          <w:kern w:val="0"/>
          <w:sz w:val="32"/>
          <w:szCs w:val="32"/>
          <w:shd w:val="clear" w:color="auto" w:fill="FFFFFF"/>
        </w:rPr>
        <w:t>以上信息均可通过高安市政府门户网站的“政府信息公开”栏目查询。</w:t>
      </w:r>
    </w:p>
    <w:p w14:paraId="2617C98C">
      <w:pPr>
        <w:pStyle w:val="3"/>
        <w:keepNext w:val="0"/>
        <w:keepLines w:val="0"/>
        <w:widowControl/>
        <w:suppressLineNumbers w:val="0"/>
        <w:spacing w:before="0" w:beforeAutospacing="0" w:after="105" w:afterAutospacing="0" w:line="240" w:lineRule="atLeast"/>
        <w:ind w:left="420" w:leftChars="0" w:right="0" w:rightChars="0"/>
        <w:jc w:val="both"/>
      </w:pPr>
      <w:r>
        <w:rPr>
          <w:rFonts w:hint="eastAsia" w:ascii="华文楷体" w:hAnsi="华文楷体" w:eastAsia="华文楷体" w:cs="华文楷体"/>
          <w:b/>
          <w:bCs/>
          <w:kern w:val="0"/>
          <w:sz w:val="28"/>
          <w:szCs w:val="28"/>
        </w:rPr>
        <w:t>（三）依申请公开 </w:t>
      </w:r>
    </w:p>
    <w:p w14:paraId="1ED9B02B">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仿宋_GB2312"/>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年度本街道未收到过任何依申请公开的信息，也未对任何依申请公开信息进行过回复。</w:t>
      </w:r>
    </w:p>
    <w:p w14:paraId="1998E78F">
      <w:pPr>
        <w:pStyle w:val="3"/>
        <w:keepNext w:val="0"/>
        <w:keepLines w:val="0"/>
        <w:widowControl/>
        <w:suppressLineNumbers w:val="0"/>
        <w:spacing w:before="0" w:beforeAutospacing="0" w:after="105" w:afterAutospacing="0" w:line="240" w:lineRule="atLeast"/>
        <w:ind w:left="420" w:leftChars="0" w:right="0" w:rightChars="0"/>
        <w:jc w:val="both"/>
      </w:pPr>
      <w:r>
        <w:rPr>
          <w:rFonts w:hint="eastAsia" w:ascii="华文楷体" w:hAnsi="华文楷体" w:eastAsia="华文楷体" w:cs="华文楷体"/>
          <w:b/>
          <w:bCs/>
          <w:kern w:val="0"/>
          <w:sz w:val="28"/>
          <w:szCs w:val="28"/>
        </w:rPr>
        <w:t>（四）政府信息管理 </w:t>
      </w:r>
    </w:p>
    <w:p w14:paraId="69F6717A">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1</w:t>
      </w:r>
      <w:r>
        <w:rPr>
          <w:rFonts w:hint="default" w:ascii="仿宋_GB2312" w:hAnsi="Times New Roman" w:eastAsia="仿宋_GB2312" w:cs="仿宋_GB2312"/>
          <w:i w:val="0"/>
          <w:iCs w:val="0"/>
          <w:caps w:val="0"/>
          <w:spacing w:val="0"/>
          <w:kern w:val="0"/>
          <w:sz w:val="32"/>
          <w:szCs w:val="32"/>
          <w:shd w:val="clear" w:color="auto" w:fill="FFFFFF"/>
        </w:rPr>
        <w:t>、为进一步做好政府信息公开工作，我街道由分管负责人具体指导，办公室牵头具体业务，各科室密切配合，专人具体负责公开信息的发布、维护和更新。并组织召集全街道干部，部署基层政务公开工作。学习宣讲《中华人民共和国政府信息公开条例》，普及政务公开工作的必要性、紧迫感。出台政府信息公开报送、审批、考核等制度，以政府信息主动公开目录为抓手，加强对政府信息的管理，以群众的需求为导向，进一步规范了政府信息发布流程，健全政府信息主动公开、加强信息发布前审查，强化网站信息安全管理，严格按照要求公开政府信息。</w:t>
      </w:r>
    </w:p>
    <w:p w14:paraId="4BC94078">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2</w:t>
      </w:r>
      <w:r>
        <w:rPr>
          <w:rFonts w:hint="default" w:ascii="仿宋_GB2312" w:hAnsi="Times New Roman" w:eastAsia="仿宋_GB2312" w:cs="仿宋_GB2312"/>
          <w:i w:val="0"/>
          <w:iCs w:val="0"/>
          <w:caps w:val="0"/>
          <w:spacing w:val="0"/>
          <w:kern w:val="0"/>
          <w:sz w:val="32"/>
          <w:szCs w:val="32"/>
          <w:shd w:val="clear" w:color="auto" w:fill="FFFFFF"/>
        </w:rPr>
        <w:t>、确保政府政务公开各项工作落到实处和全面推进，根据《中华人民共和国保守国家秘密法》《中华人民共和国保守国家秘密法实施办法》和《中华人民共和国政府信息公开条例》，明确了政府信息公开保密审核坚持“先审核后公开”“谁公开谁审核、谁审核谁负责”的原则。</w:t>
      </w:r>
    </w:p>
    <w:p w14:paraId="381EDD9A">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3</w:t>
      </w:r>
      <w:r>
        <w:rPr>
          <w:rFonts w:hint="default" w:ascii="仿宋_GB2312" w:hAnsi="Times New Roman" w:eastAsia="仿宋_GB2312" w:cs="仿宋_GB2312"/>
          <w:i w:val="0"/>
          <w:iCs w:val="0"/>
          <w:caps w:val="0"/>
          <w:spacing w:val="0"/>
          <w:kern w:val="0"/>
          <w:sz w:val="32"/>
          <w:szCs w:val="32"/>
          <w:shd w:val="clear" w:color="auto" w:fill="FFFFFF"/>
        </w:rPr>
        <w:t>、高质量公开政府信息，政策文件、政策解读、办事指南等主动公开，为人民群众提供最优的服务。街办及村（居）公示栏实时更新政策、财务、村务等信息，做到事前准备清晰明了、事中进展实时掌握、事后结果实时告知。运用“大众语言”解码“政务语言”，尽可能将政策文件、政策解读通俗易懂化，进一步打造了“为民便民利民”政务公开服务。</w:t>
      </w:r>
    </w:p>
    <w:p w14:paraId="2AD04B4A">
      <w:pPr>
        <w:pStyle w:val="3"/>
        <w:keepNext w:val="0"/>
        <w:keepLines w:val="0"/>
        <w:widowControl/>
        <w:suppressLineNumbers w:val="0"/>
        <w:spacing w:before="0" w:beforeAutospacing="0" w:after="105" w:afterAutospacing="0" w:line="240" w:lineRule="atLeast"/>
        <w:ind w:left="0" w:right="0" w:firstLine="420"/>
        <w:jc w:val="both"/>
      </w:pPr>
      <w:r>
        <w:rPr>
          <w:rFonts w:hint="eastAsia" w:ascii="华文楷体" w:hAnsi="华文楷体" w:eastAsia="华文楷体" w:cs="华文楷体"/>
          <w:b/>
          <w:bCs/>
          <w:kern w:val="0"/>
          <w:sz w:val="28"/>
          <w:szCs w:val="28"/>
        </w:rPr>
        <w:t>（五）政府信息公开平台建设 </w:t>
      </w:r>
    </w:p>
    <w:p w14:paraId="144BDFC2">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为加强政府信息资源的规范化、标准化、信息化管理，我办主要依托高安市人民政府网、信息公示栏等方式面向广大群众发声，让群众能随时了解我办的工作动态。高起点谋划推进政务公开工作，高标准建设政务公开专区，完善政务公开专区日常管理办法，积极探索政务公开专区建设与便民服务中心窗口体系相结合，打造出“为民、便民、利民”的政务公开服务专区，为前来办事的公众提供更好、更便利的政务公开体验。以群众的思维积极探索公众参与政务公开工作新模式，建立政策解读专员制度。坚持以主动公开为原则，不公开为例外，不断拓展信息公开渠道，积极推进公开平台建设，赣服通平台和赣政通政务服务平台做好政务公开各项工作。</w:t>
      </w:r>
    </w:p>
    <w:p w14:paraId="6470B30E">
      <w:pPr>
        <w:pStyle w:val="3"/>
        <w:keepNext w:val="0"/>
        <w:keepLines w:val="0"/>
        <w:widowControl/>
        <w:suppressLineNumbers w:val="0"/>
        <w:spacing w:before="0" w:beforeAutospacing="0" w:after="105" w:afterAutospacing="0" w:line="240" w:lineRule="atLeast"/>
        <w:ind w:left="0" w:right="0" w:firstLine="420"/>
        <w:jc w:val="both"/>
      </w:pPr>
      <w:r>
        <w:rPr>
          <w:rFonts w:hint="eastAsia" w:ascii="华文楷体" w:hAnsi="华文楷体" w:eastAsia="华文楷体" w:cs="华文楷体"/>
          <w:b/>
          <w:bCs/>
          <w:kern w:val="0"/>
          <w:sz w:val="28"/>
          <w:szCs w:val="28"/>
        </w:rPr>
        <w:t>（六）监督保障 </w:t>
      </w:r>
    </w:p>
    <w:p w14:paraId="3FCC1D30">
      <w:pPr>
        <w:pStyle w:val="3"/>
        <w:keepNext w:val="0"/>
        <w:keepLines w:val="0"/>
        <w:widowControl/>
        <w:suppressLineNumbers w:val="0"/>
        <w:spacing w:before="0" w:beforeAutospacing="0" w:after="105" w:afterAutospacing="0" w:line="240" w:lineRule="atLeast"/>
        <w:ind w:left="0" w:right="0" w:firstLine="420"/>
        <w:jc w:val="both"/>
      </w:pPr>
      <w:r>
        <w:rPr>
          <w:rFonts w:hint="default" w:ascii="仿宋_GB2312" w:hAnsi="Times New Roman" w:eastAsia="仿宋_GB2312" w:cs="仿宋_GB2312"/>
          <w:i w:val="0"/>
          <w:iCs w:val="0"/>
          <w:caps w:val="0"/>
          <w:spacing w:val="0"/>
          <w:kern w:val="0"/>
          <w:sz w:val="32"/>
          <w:szCs w:val="32"/>
          <w:shd w:val="clear" w:color="auto" w:fill="FFFFFF"/>
        </w:rPr>
        <w:t>瑞州街道主要领导高度重视政府信息公开工作，把政府信息公开工作纳入重要议事日程，为更好地贯彻实施《中华人民共和国政府信息公开条例》，我街道结合实际情况，分管领导定期组织机关干部业务培训，为推动政府信息公开工作深入开展提供了制度保证。一、加强监督制约是推进政府信息公开建设，提升政府信息公开效果的重要手段。二、加强对单位各科室及其工作人员落实政府信息公开制度以及工作作风、服务质量和效率的监督。三是加强了政府信息公开业务培训。使政府信息公开工作与日常工作融为一体，整体同步推进。通过常态化数字监测和日常自查，确保法定事项主动公开。</w:t>
      </w:r>
    </w:p>
    <w:p w14:paraId="50D77C21">
      <w:pPr>
        <w:keepNext w:val="0"/>
        <w:keepLines w:val="0"/>
        <w:widowControl/>
        <w:suppressLineNumbers w:val="0"/>
        <w:spacing w:before="0" w:beforeAutospacing="0" w:after="100" w:afterAutospacing="1"/>
        <w:ind w:left="0" w:right="0" w:firstLine="480"/>
        <w:jc w:val="left"/>
      </w:pPr>
      <w:r>
        <w:rPr>
          <w:rFonts w:hint="default" w:ascii="黑体" w:hAnsi="宋体" w:eastAsia="黑体" w:cs="黑体"/>
          <w:kern w:val="0"/>
          <w:sz w:val="32"/>
          <w:szCs w:val="32"/>
          <w:lang w:val="en-US" w:eastAsia="zh-CN" w:bidi="ar"/>
        </w:rPr>
        <w:t> </w:t>
      </w:r>
    </w:p>
    <w:p w14:paraId="721BF097">
      <w:pPr>
        <w:keepNext w:val="0"/>
        <w:keepLines w:val="0"/>
        <w:widowControl/>
        <w:suppressLineNumbers w:val="0"/>
        <w:spacing w:before="0" w:beforeAutospacing="0" w:after="100" w:afterAutospacing="1"/>
        <w:ind w:left="0" w:right="0" w:firstLine="480"/>
        <w:jc w:val="left"/>
      </w:pPr>
      <w:r>
        <w:rPr>
          <w:rFonts w:hint="default" w:ascii="黑体" w:hAnsi="宋体" w:eastAsia="黑体" w:cs="黑体"/>
          <w:kern w:val="0"/>
          <w:sz w:val="32"/>
          <w:szCs w:val="32"/>
          <w:lang w:val="en-US" w:eastAsia="zh-CN" w:bidi="ar"/>
        </w:rPr>
        <w:t> </w:t>
      </w:r>
    </w:p>
    <w:p w14:paraId="360DADD7">
      <w:pPr>
        <w:keepNext w:val="0"/>
        <w:keepLines w:val="0"/>
        <w:widowControl/>
        <w:suppressLineNumbers w:val="0"/>
        <w:spacing w:before="0" w:beforeAutospacing="0" w:after="100" w:afterAutospacing="1"/>
        <w:ind w:left="0" w:right="0" w:firstLine="480"/>
        <w:jc w:val="left"/>
      </w:pPr>
      <w:r>
        <w:rPr>
          <w:rFonts w:hint="default" w:ascii="黑体" w:hAnsi="宋体" w:eastAsia="黑体" w:cs="黑体"/>
          <w:kern w:val="0"/>
          <w:sz w:val="32"/>
          <w:szCs w:val="32"/>
          <w:lang w:val="en-US" w:eastAsia="zh-CN" w:bidi="ar"/>
        </w:rPr>
        <w:t> </w:t>
      </w:r>
    </w:p>
    <w:p w14:paraId="23FE48FF">
      <w:pPr>
        <w:keepNext w:val="0"/>
        <w:keepLines w:val="0"/>
        <w:widowControl/>
        <w:suppressLineNumbers w:val="0"/>
        <w:spacing w:before="0" w:beforeAutospacing="0" w:after="100" w:afterAutospacing="1"/>
        <w:ind w:left="0" w:right="0" w:firstLine="480"/>
        <w:jc w:val="left"/>
      </w:pPr>
      <w:r>
        <w:rPr>
          <w:rFonts w:hint="default" w:ascii="黑体" w:hAnsi="宋体" w:eastAsia="黑体" w:cs="黑体"/>
          <w:kern w:val="0"/>
          <w:sz w:val="32"/>
          <w:szCs w:val="32"/>
          <w:lang w:val="en-US" w:eastAsia="zh-CN" w:bidi="ar"/>
        </w:rPr>
        <w:t>二、主动公开政府信息情况</w:t>
      </w:r>
      <w:r>
        <w:rPr>
          <w:rFonts w:hint="eastAsia" w:ascii="宋体" w:hAnsi="宋体" w:eastAsia="宋体" w:cs="宋体"/>
          <w:kern w:val="0"/>
          <w:sz w:val="28"/>
          <w:szCs w:val="28"/>
          <w:lang w:val="en-US" w:eastAsia="zh-CN" w:bidi="ar"/>
        </w:rPr>
        <w:t> </w:t>
      </w:r>
    </w:p>
    <w:tbl>
      <w:tblPr>
        <w:tblStyle w:val="4"/>
        <w:tblW w:w="8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060"/>
        <w:gridCol w:w="2060"/>
        <w:gridCol w:w="2060"/>
        <w:gridCol w:w="2060"/>
      </w:tblGrid>
      <w:tr w14:paraId="720E4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361153C5">
            <w:pPr>
              <w:keepNext w:val="0"/>
              <w:keepLines w:val="0"/>
              <w:widowControl/>
              <w:suppressLineNumbers w:val="0"/>
              <w:spacing w:before="0" w:beforeAutospacing="0" w:after="0" w:afterAutospacing="0"/>
              <w:ind w:left="0" w:right="0" w:firstLine="0" w:firstLineChars="0"/>
              <w:jc w:val="center"/>
            </w:pPr>
            <w:r>
              <w:rPr>
                <w:rFonts w:ascii="仿宋" w:hAnsi="仿宋" w:eastAsia="仿宋" w:cs="仿宋"/>
                <w:b w:val="0"/>
                <w:bCs w:val="0"/>
                <w:kern w:val="0"/>
                <w:sz w:val="32"/>
                <w:szCs w:val="32"/>
                <w:lang w:val="en-US" w:eastAsia="zh-CN" w:bidi="ar"/>
              </w:rPr>
              <w:t>第二十条第（一）项</w:t>
            </w:r>
          </w:p>
        </w:tc>
      </w:tr>
      <w:tr w14:paraId="0A591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3"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79EBCC0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信息内容</w:t>
            </w:r>
          </w:p>
        </w:tc>
        <w:tc>
          <w:tcPr>
            <w:tcW w:w="2060" w:type="dxa"/>
            <w:tcBorders>
              <w:top w:val="single" w:color="auto" w:sz="8" w:space="0"/>
              <w:left w:val="nil"/>
              <w:bottom w:val="single" w:color="auto" w:sz="8" w:space="0"/>
              <w:right w:val="single" w:color="auto" w:sz="8" w:space="0"/>
            </w:tcBorders>
            <w:noWrap w:val="0"/>
            <w:tcMar>
              <w:left w:w="57" w:type="dxa"/>
              <w:right w:w="57" w:type="dxa"/>
            </w:tcMar>
            <w:vAlign w:val="center"/>
          </w:tcPr>
          <w:p w14:paraId="3F7CF59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本年制发件数</w:t>
            </w:r>
          </w:p>
        </w:tc>
        <w:tc>
          <w:tcPr>
            <w:tcW w:w="2060" w:type="dxa"/>
            <w:tcBorders>
              <w:top w:val="single" w:color="auto" w:sz="8" w:space="0"/>
              <w:left w:val="nil"/>
              <w:bottom w:val="single" w:color="auto" w:sz="8" w:space="0"/>
              <w:right w:val="single" w:color="auto" w:sz="8" w:space="0"/>
            </w:tcBorders>
            <w:noWrap w:val="0"/>
            <w:tcMar>
              <w:left w:w="57" w:type="dxa"/>
              <w:right w:w="57" w:type="dxa"/>
            </w:tcMar>
            <w:vAlign w:val="center"/>
          </w:tcPr>
          <w:p w14:paraId="1547745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本年废止件数</w:t>
            </w:r>
          </w:p>
        </w:tc>
        <w:tc>
          <w:tcPr>
            <w:tcW w:w="2060" w:type="dxa"/>
            <w:tcBorders>
              <w:top w:val="single" w:color="auto" w:sz="8" w:space="0"/>
              <w:left w:val="nil"/>
              <w:bottom w:val="single" w:color="auto" w:sz="8" w:space="0"/>
              <w:right w:val="single" w:color="auto" w:sz="8" w:space="0"/>
            </w:tcBorders>
            <w:noWrap w:val="0"/>
            <w:tcMar>
              <w:left w:w="57" w:type="dxa"/>
              <w:right w:w="57" w:type="dxa"/>
            </w:tcMar>
            <w:vAlign w:val="center"/>
          </w:tcPr>
          <w:p w14:paraId="081DF53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现行有效件数</w:t>
            </w:r>
          </w:p>
        </w:tc>
      </w:tr>
      <w:tr w14:paraId="2A0A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1F3134E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规   章</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4AE90C4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44C48C6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117CCB4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2BC68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3"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45429B5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行政规范性文件</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7CB494B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　0　</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5B99BF1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 　0</w:t>
            </w:r>
          </w:p>
        </w:tc>
        <w:tc>
          <w:tcPr>
            <w:tcW w:w="2060" w:type="dxa"/>
            <w:tcBorders>
              <w:top w:val="nil"/>
              <w:left w:val="nil"/>
              <w:bottom w:val="single" w:color="auto" w:sz="8" w:space="0"/>
              <w:right w:val="single" w:color="auto" w:sz="8" w:space="0"/>
            </w:tcBorders>
            <w:noWrap w:val="0"/>
            <w:tcMar>
              <w:left w:w="57" w:type="dxa"/>
              <w:right w:w="57" w:type="dxa"/>
            </w:tcMar>
            <w:vAlign w:val="center"/>
          </w:tcPr>
          <w:p w14:paraId="5073963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 0</w:t>
            </w:r>
          </w:p>
        </w:tc>
      </w:tr>
      <w:tr w14:paraId="43FD1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047AEDC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第二十条第（五）项</w:t>
            </w:r>
          </w:p>
        </w:tc>
      </w:tr>
      <w:tr w14:paraId="685C4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0F9ADD1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auto" w:sz="8" w:space="0"/>
            </w:tcBorders>
            <w:noWrap w:val="0"/>
            <w:tcMar>
              <w:left w:w="57" w:type="dxa"/>
              <w:right w:w="57" w:type="dxa"/>
            </w:tcMar>
            <w:vAlign w:val="center"/>
          </w:tcPr>
          <w:p w14:paraId="781D049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本年处理决定数量</w:t>
            </w:r>
          </w:p>
        </w:tc>
      </w:tr>
      <w:tr w14:paraId="61B16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7E547A6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行政许可</w:t>
            </w:r>
          </w:p>
        </w:tc>
        <w:tc>
          <w:tcPr>
            <w:tcW w:w="6180" w:type="dxa"/>
            <w:gridSpan w:val="3"/>
            <w:tcBorders>
              <w:top w:val="nil"/>
              <w:left w:val="nil"/>
              <w:bottom w:val="single" w:color="auto" w:sz="8" w:space="0"/>
              <w:right w:val="single" w:color="auto" w:sz="8" w:space="0"/>
            </w:tcBorders>
            <w:noWrap w:val="0"/>
            <w:tcMar>
              <w:left w:w="57" w:type="dxa"/>
              <w:right w:w="57" w:type="dxa"/>
            </w:tcMar>
            <w:vAlign w:val="center"/>
          </w:tcPr>
          <w:p w14:paraId="438B323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6ECB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1D885BE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第二十条第（六）项</w:t>
            </w:r>
          </w:p>
        </w:tc>
      </w:tr>
      <w:tr w14:paraId="156EE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5AFDBCD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信息内容</w:t>
            </w:r>
          </w:p>
        </w:tc>
        <w:tc>
          <w:tcPr>
            <w:tcW w:w="6180"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785CAAD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本年处理决定数量</w:t>
            </w:r>
          </w:p>
        </w:tc>
      </w:tr>
      <w:tr w14:paraId="24C81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2DB3BB8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行政处罚</w:t>
            </w:r>
          </w:p>
        </w:tc>
        <w:tc>
          <w:tcPr>
            <w:tcW w:w="6180" w:type="dxa"/>
            <w:gridSpan w:val="3"/>
            <w:tcBorders>
              <w:top w:val="nil"/>
              <w:left w:val="nil"/>
              <w:bottom w:val="single" w:color="auto" w:sz="8" w:space="0"/>
              <w:right w:val="single" w:color="auto" w:sz="8" w:space="0"/>
            </w:tcBorders>
            <w:noWrap w:val="0"/>
            <w:tcMar>
              <w:left w:w="57" w:type="dxa"/>
              <w:right w:w="57" w:type="dxa"/>
            </w:tcMar>
            <w:vAlign w:val="center"/>
          </w:tcPr>
          <w:p w14:paraId="15F83A5C">
            <w:pPr>
              <w:keepNext w:val="0"/>
              <w:keepLines w:val="0"/>
              <w:widowControl/>
              <w:suppressLineNumbers w:val="0"/>
              <w:spacing w:before="0" w:beforeAutospacing="0" w:after="0" w:afterAutospacing="0"/>
              <w:ind w:left="0" w:right="0" w:firstLine="0" w:firstLineChars="0"/>
              <w:jc w:val="center"/>
            </w:pPr>
            <w:bookmarkStart w:id="0" w:name="_GoBack"/>
            <w:r>
              <w:rPr>
                <w:rFonts w:hint="eastAsia" w:ascii="仿宋" w:hAnsi="仿宋" w:eastAsia="仿宋" w:cs="仿宋"/>
                <w:b w:val="0"/>
                <w:bCs w:val="0"/>
                <w:kern w:val="0"/>
                <w:sz w:val="32"/>
                <w:szCs w:val="32"/>
                <w:lang w:val="en-US" w:eastAsia="zh-CN" w:bidi="ar"/>
              </w:rPr>
              <w:t>0</w:t>
            </w:r>
            <w:r>
              <w:rPr>
                <w:rFonts w:hint="default" w:ascii="仿宋" w:hAnsi="仿宋" w:eastAsia="仿宋" w:cs="仿宋"/>
                <w:b w:val="0"/>
                <w:bCs w:val="0"/>
                <w:kern w:val="0"/>
                <w:sz w:val="32"/>
                <w:szCs w:val="32"/>
                <w:lang w:val="en-US" w:eastAsia="zh-CN" w:bidi="ar"/>
              </w:rPr>
              <w:t>　</w:t>
            </w:r>
            <w:bookmarkEnd w:id="0"/>
          </w:p>
        </w:tc>
      </w:tr>
      <w:tr w14:paraId="22121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1BE199A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行政强制</w:t>
            </w:r>
          </w:p>
        </w:tc>
        <w:tc>
          <w:tcPr>
            <w:tcW w:w="6180" w:type="dxa"/>
            <w:gridSpan w:val="3"/>
            <w:tcBorders>
              <w:top w:val="nil"/>
              <w:left w:val="nil"/>
              <w:bottom w:val="single" w:color="auto" w:sz="8" w:space="0"/>
              <w:right w:val="single" w:color="auto" w:sz="8" w:space="0"/>
            </w:tcBorders>
            <w:noWrap w:val="0"/>
            <w:tcMar>
              <w:left w:w="57" w:type="dxa"/>
              <w:right w:w="57" w:type="dxa"/>
            </w:tcMar>
            <w:vAlign w:val="center"/>
          </w:tcPr>
          <w:p w14:paraId="5AB556C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　</w:t>
            </w:r>
          </w:p>
        </w:tc>
      </w:tr>
      <w:tr w14:paraId="7D610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495FE84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第二十条第（八）项</w:t>
            </w:r>
          </w:p>
        </w:tc>
      </w:tr>
      <w:tr w14:paraId="732AF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56F9F78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000000" w:sz="8" w:space="0"/>
            </w:tcBorders>
            <w:noWrap w:val="0"/>
            <w:tcMar>
              <w:left w:w="57" w:type="dxa"/>
              <w:right w:w="57" w:type="dxa"/>
            </w:tcMar>
            <w:vAlign w:val="center"/>
          </w:tcPr>
          <w:p w14:paraId="46804C6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本年收费金额（单位：万元）</w:t>
            </w:r>
          </w:p>
        </w:tc>
      </w:tr>
      <w:tr w14:paraId="26BD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3" w:hRule="atLeast"/>
          <w:jc w:val="center"/>
        </w:trPr>
        <w:tc>
          <w:tcPr>
            <w:tcW w:w="2060" w:type="dxa"/>
            <w:tcBorders>
              <w:top w:val="nil"/>
              <w:left w:val="single" w:color="auto" w:sz="8" w:space="0"/>
              <w:bottom w:val="single" w:color="auto" w:sz="8" w:space="0"/>
              <w:right w:val="single" w:color="auto" w:sz="8" w:space="0"/>
            </w:tcBorders>
            <w:noWrap w:val="0"/>
            <w:tcMar>
              <w:left w:w="57" w:type="dxa"/>
              <w:right w:w="57" w:type="dxa"/>
            </w:tcMar>
            <w:vAlign w:val="center"/>
          </w:tcPr>
          <w:p w14:paraId="5751099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行政事业性收费</w:t>
            </w:r>
          </w:p>
        </w:tc>
        <w:tc>
          <w:tcPr>
            <w:tcW w:w="6180" w:type="dxa"/>
            <w:gridSpan w:val="3"/>
            <w:tcBorders>
              <w:top w:val="nil"/>
              <w:left w:val="nil"/>
              <w:bottom w:val="single" w:color="auto" w:sz="8" w:space="0"/>
              <w:right w:val="single" w:color="000000" w:sz="8" w:space="0"/>
            </w:tcBorders>
            <w:noWrap w:val="0"/>
            <w:tcMar>
              <w:left w:w="57" w:type="dxa"/>
              <w:right w:w="57" w:type="dxa"/>
            </w:tcMar>
            <w:vAlign w:val="center"/>
          </w:tcPr>
          <w:p w14:paraId="0BEDE3C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bl>
    <w:p w14:paraId="673931F4">
      <w:pPr>
        <w:pStyle w:val="3"/>
        <w:keepNext w:val="0"/>
        <w:keepLines w:val="0"/>
        <w:widowControl/>
        <w:suppressLineNumbers w:val="0"/>
        <w:spacing w:before="100" w:beforeAutospacing="1" w:after="100" w:afterAutospacing="1"/>
        <w:ind w:left="0" w:right="0"/>
        <w:jc w:val="left"/>
      </w:pPr>
      <w:r>
        <w:rPr>
          <w:rFonts w:hint="default" w:ascii="黑体" w:hAnsi="宋体" w:eastAsia="黑体" w:cs="黑体"/>
          <w:kern w:val="0"/>
          <w:sz w:val="32"/>
          <w:szCs w:val="32"/>
        </w:rPr>
        <w:t>   </w:t>
      </w:r>
    </w:p>
    <w:p w14:paraId="3510856C">
      <w:pPr>
        <w:pStyle w:val="3"/>
        <w:keepNext w:val="0"/>
        <w:keepLines w:val="0"/>
        <w:widowControl/>
        <w:suppressLineNumbers w:val="0"/>
        <w:spacing w:before="100" w:beforeAutospacing="1" w:after="100" w:afterAutospacing="1"/>
        <w:ind w:left="0" w:right="0"/>
        <w:jc w:val="left"/>
      </w:pPr>
      <w:r>
        <w:rPr>
          <w:rFonts w:hint="default" w:ascii="黑体" w:hAnsi="宋体" w:eastAsia="黑体" w:cs="黑体"/>
          <w:kern w:val="0"/>
          <w:sz w:val="32"/>
          <w:szCs w:val="32"/>
        </w:rPr>
        <w:t> </w:t>
      </w:r>
    </w:p>
    <w:p w14:paraId="413EFEFE">
      <w:pPr>
        <w:pStyle w:val="3"/>
        <w:keepNext w:val="0"/>
        <w:keepLines w:val="0"/>
        <w:widowControl/>
        <w:suppressLineNumbers w:val="0"/>
        <w:spacing w:before="100" w:beforeAutospacing="1" w:after="100" w:afterAutospacing="1"/>
        <w:ind w:left="0" w:right="0"/>
        <w:jc w:val="left"/>
      </w:pPr>
      <w:r>
        <w:rPr>
          <w:rFonts w:hint="default" w:ascii="黑体" w:hAnsi="宋体" w:eastAsia="黑体" w:cs="黑体"/>
          <w:kern w:val="0"/>
          <w:sz w:val="32"/>
          <w:szCs w:val="32"/>
        </w:rPr>
        <w:t> </w:t>
      </w:r>
    </w:p>
    <w:p w14:paraId="06098654">
      <w:pPr>
        <w:pStyle w:val="3"/>
        <w:keepNext w:val="0"/>
        <w:keepLines w:val="0"/>
        <w:widowControl/>
        <w:suppressLineNumbers w:val="0"/>
        <w:spacing w:before="100" w:beforeAutospacing="1" w:after="100" w:afterAutospacing="1"/>
        <w:ind w:left="0" w:right="0"/>
        <w:jc w:val="left"/>
      </w:pPr>
      <w:r>
        <w:rPr>
          <w:rFonts w:hint="default" w:ascii="黑体" w:hAnsi="宋体" w:eastAsia="黑体" w:cs="黑体"/>
          <w:kern w:val="0"/>
          <w:sz w:val="32"/>
          <w:szCs w:val="32"/>
        </w:rPr>
        <w:t> 三、收到和处理政府信息公开申请情况</w:t>
      </w:r>
      <w:r>
        <w:rPr>
          <w:rFonts w:hint="eastAsia" w:ascii="宋体" w:hAnsi="宋体" w:eastAsia="宋体" w:cs="宋体"/>
          <w:kern w:val="0"/>
          <w:sz w:val="28"/>
          <w:szCs w:val="28"/>
        </w:rPr>
        <w:t> </w:t>
      </w:r>
    </w:p>
    <w:tbl>
      <w:tblPr>
        <w:tblStyle w:val="4"/>
        <w:tblW w:w="92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37"/>
        <w:gridCol w:w="942"/>
        <w:gridCol w:w="4563"/>
        <w:gridCol w:w="415"/>
        <w:gridCol w:w="447"/>
        <w:gridCol w:w="359"/>
        <w:gridCol w:w="470"/>
        <w:gridCol w:w="414"/>
        <w:gridCol w:w="426"/>
        <w:gridCol w:w="446"/>
      </w:tblGrid>
      <w:tr w14:paraId="1DF51E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70F1899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（本列数据的勾稽关系为：第一项加第二项之和，等于第三项加第四项之和）</w:t>
            </w:r>
          </w:p>
        </w:tc>
        <w:tc>
          <w:tcPr>
            <w:tcW w:w="2977"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2E9EA77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申请人情况</w:t>
            </w:r>
          </w:p>
        </w:tc>
      </w:tr>
      <w:tr w14:paraId="30F49E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4A11FD7C">
            <w:pPr>
              <w:rPr>
                <w:rFonts w:hint="eastAsia" w:ascii="宋体"/>
                <w:sz w:val="24"/>
                <w:szCs w:val="24"/>
              </w:rPr>
            </w:pPr>
          </w:p>
        </w:tc>
        <w:tc>
          <w:tcPr>
            <w:tcW w:w="415" w:type="dxa"/>
            <w:vMerge w:val="restart"/>
            <w:tcBorders>
              <w:top w:val="nil"/>
              <w:left w:val="nil"/>
              <w:bottom w:val="single" w:color="auto" w:sz="8" w:space="0"/>
              <w:right w:val="single" w:color="auto" w:sz="8" w:space="0"/>
            </w:tcBorders>
            <w:noWrap w:val="0"/>
            <w:tcMar>
              <w:left w:w="57" w:type="dxa"/>
              <w:right w:w="57" w:type="dxa"/>
            </w:tcMar>
            <w:vAlign w:val="center"/>
          </w:tcPr>
          <w:p w14:paraId="5132DD1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自</w:t>
            </w:r>
          </w:p>
          <w:p w14:paraId="5EE392D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 </w:t>
            </w:r>
          </w:p>
          <w:p w14:paraId="745901E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然</w:t>
            </w:r>
          </w:p>
          <w:p w14:paraId="5CA5382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 </w:t>
            </w:r>
          </w:p>
          <w:p w14:paraId="433524F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人</w:t>
            </w:r>
          </w:p>
        </w:tc>
        <w:tc>
          <w:tcPr>
            <w:tcW w:w="2116"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14:paraId="231906C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法人或其他组织</w:t>
            </w:r>
          </w:p>
        </w:tc>
        <w:tc>
          <w:tcPr>
            <w:tcW w:w="446"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14:paraId="27A1F5E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总计</w:t>
            </w:r>
          </w:p>
        </w:tc>
      </w:tr>
      <w:tr w14:paraId="564458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3B0D17F">
            <w:pPr>
              <w:rPr>
                <w:rFonts w:hint="eastAsia" w:ascii="宋体"/>
                <w:sz w:val="24"/>
                <w:szCs w:val="24"/>
              </w:rPr>
            </w:pPr>
          </w:p>
        </w:tc>
        <w:tc>
          <w:tcPr>
            <w:tcW w:w="415" w:type="dxa"/>
            <w:vMerge w:val="continue"/>
            <w:tcBorders>
              <w:top w:val="nil"/>
              <w:left w:val="nil"/>
              <w:bottom w:val="single" w:color="auto" w:sz="8" w:space="0"/>
              <w:right w:val="single" w:color="auto" w:sz="8" w:space="0"/>
            </w:tcBorders>
            <w:noWrap w:val="0"/>
            <w:tcMar>
              <w:left w:w="57" w:type="dxa"/>
              <w:right w:w="57" w:type="dxa"/>
            </w:tcMar>
            <w:vAlign w:val="center"/>
          </w:tcPr>
          <w:p w14:paraId="3381A1C6">
            <w:pPr>
              <w:rPr>
                <w:rFonts w:hint="eastAsia" w:ascii="宋体"/>
                <w:sz w:val="24"/>
                <w:szCs w:val="24"/>
              </w:rPr>
            </w:pPr>
          </w:p>
        </w:tc>
        <w:tc>
          <w:tcPr>
            <w:tcW w:w="447" w:type="dxa"/>
            <w:tcBorders>
              <w:top w:val="nil"/>
              <w:left w:val="nil"/>
              <w:bottom w:val="single" w:color="auto" w:sz="8" w:space="0"/>
              <w:right w:val="single" w:color="auto" w:sz="8" w:space="0"/>
            </w:tcBorders>
            <w:noWrap w:val="0"/>
            <w:tcMar>
              <w:left w:w="57" w:type="dxa"/>
              <w:right w:w="57" w:type="dxa"/>
            </w:tcMar>
            <w:vAlign w:val="center"/>
          </w:tcPr>
          <w:p w14:paraId="1BBA36F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商业</w:t>
            </w:r>
          </w:p>
          <w:p w14:paraId="46D8EBB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企业</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160DB32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科研</w:t>
            </w:r>
          </w:p>
          <w:p w14:paraId="79A65EF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机构</w:t>
            </w:r>
          </w:p>
        </w:tc>
        <w:tc>
          <w:tcPr>
            <w:tcW w:w="470" w:type="dxa"/>
            <w:tcBorders>
              <w:top w:val="single" w:color="auto" w:sz="8" w:space="0"/>
              <w:left w:val="nil"/>
              <w:bottom w:val="single" w:color="auto" w:sz="8" w:space="0"/>
              <w:right w:val="single" w:color="auto" w:sz="8" w:space="0"/>
            </w:tcBorders>
            <w:noWrap w:val="0"/>
            <w:tcMar>
              <w:left w:w="57" w:type="dxa"/>
              <w:right w:w="57" w:type="dxa"/>
            </w:tcMar>
            <w:vAlign w:val="center"/>
          </w:tcPr>
          <w:p w14:paraId="63809C2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社会公益组织</w:t>
            </w:r>
          </w:p>
        </w:tc>
        <w:tc>
          <w:tcPr>
            <w:tcW w:w="414" w:type="dxa"/>
            <w:tcBorders>
              <w:top w:val="single" w:color="auto" w:sz="8" w:space="0"/>
              <w:left w:val="nil"/>
              <w:bottom w:val="single" w:color="auto" w:sz="8" w:space="0"/>
              <w:right w:val="single" w:color="auto" w:sz="8" w:space="0"/>
            </w:tcBorders>
            <w:noWrap w:val="0"/>
            <w:tcMar>
              <w:left w:w="57" w:type="dxa"/>
              <w:right w:w="57" w:type="dxa"/>
            </w:tcMar>
            <w:vAlign w:val="center"/>
          </w:tcPr>
          <w:p w14:paraId="125C492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法律服务机构</w:t>
            </w:r>
          </w:p>
        </w:tc>
        <w:tc>
          <w:tcPr>
            <w:tcW w:w="426" w:type="dxa"/>
            <w:tcBorders>
              <w:top w:val="single" w:color="auto" w:sz="8" w:space="0"/>
              <w:left w:val="nil"/>
              <w:bottom w:val="single" w:color="auto" w:sz="8" w:space="0"/>
              <w:right w:val="single" w:color="auto" w:sz="8" w:space="0"/>
            </w:tcBorders>
            <w:noWrap w:val="0"/>
            <w:tcMar>
              <w:left w:w="57" w:type="dxa"/>
              <w:right w:w="57" w:type="dxa"/>
            </w:tcMar>
            <w:vAlign w:val="center"/>
          </w:tcPr>
          <w:p w14:paraId="07037B2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其他</w:t>
            </w:r>
          </w:p>
        </w:tc>
        <w:tc>
          <w:tcPr>
            <w:tcW w:w="446"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14:paraId="197C34C2">
            <w:pPr>
              <w:rPr>
                <w:rFonts w:hint="eastAsia" w:ascii="宋体"/>
                <w:sz w:val="24"/>
                <w:szCs w:val="24"/>
              </w:rPr>
            </w:pPr>
          </w:p>
        </w:tc>
      </w:tr>
      <w:tr w14:paraId="65DC3E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4047EEE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一、本年新收政府信息公开申请数量</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60F6493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55495E1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33892BC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5490E2A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31ED761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5DAD9FA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0FA30D8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5B7885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5CCF9EA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二、上年结转政府信息公开申请数量</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6018FD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0C4777F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0306F9A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1EFD2BA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55C2A0A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5DD3D12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010816D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330198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14:paraId="29523BE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三、本年度办理结果</w:t>
            </w:r>
          </w:p>
        </w:tc>
        <w:tc>
          <w:tcPr>
            <w:tcW w:w="5505" w:type="dxa"/>
            <w:gridSpan w:val="2"/>
            <w:tcBorders>
              <w:top w:val="nil"/>
              <w:left w:val="nil"/>
              <w:bottom w:val="single" w:color="auto" w:sz="8" w:space="0"/>
              <w:right w:val="single" w:color="auto" w:sz="8" w:space="0"/>
            </w:tcBorders>
            <w:noWrap w:val="0"/>
            <w:tcMar>
              <w:left w:w="57" w:type="dxa"/>
              <w:right w:w="57" w:type="dxa"/>
            </w:tcMar>
            <w:vAlign w:val="center"/>
          </w:tcPr>
          <w:p w14:paraId="22F86B24">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（一）予以公开</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607104F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424AC31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6E5A415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6004817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1ECE1EC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7A2365A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noWrap w:val="0"/>
            <w:tcMar>
              <w:left w:w="57" w:type="dxa"/>
              <w:right w:w="57" w:type="dxa"/>
            </w:tcMar>
            <w:vAlign w:val="center"/>
          </w:tcPr>
          <w:p w14:paraId="76ED918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506AE2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2ED493C">
            <w:pPr>
              <w:rPr>
                <w:rFonts w:hint="eastAsia" w:ascii="宋体"/>
                <w:sz w:val="24"/>
                <w:szCs w:val="24"/>
              </w:rPr>
            </w:pPr>
          </w:p>
        </w:tc>
        <w:tc>
          <w:tcPr>
            <w:tcW w:w="5505" w:type="dxa"/>
            <w:gridSpan w:val="2"/>
            <w:tcBorders>
              <w:top w:val="nil"/>
              <w:left w:val="nil"/>
              <w:bottom w:val="single" w:color="auto" w:sz="8" w:space="0"/>
              <w:right w:val="single" w:color="auto" w:sz="8" w:space="0"/>
            </w:tcBorders>
            <w:noWrap w:val="0"/>
            <w:tcMar>
              <w:left w:w="57" w:type="dxa"/>
              <w:right w:w="57" w:type="dxa"/>
            </w:tcMar>
            <w:vAlign w:val="center"/>
          </w:tcPr>
          <w:p w14:paraId="51581AF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（二）部分公开（区分处理的，只计这一情形，不计其他情形）</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2817447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5B180C4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670ADC5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008BD8B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3250868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5E03B39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185E4BE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4E8B03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29C2642">
            <w:pPr>
              <w:rPr>
                <w:rFonts w:hint="eastAsia" w:ascii="宋体"/>
                <w:sz w:val="24"/>
                <w:szCs w:val="24"/>
              </w:rPr>
            </w:pPr>
          </w:p>
        </w:tc>
        <w:tc>
          <w:tcPr>
            <w:tcW w:w="942" w:type="dxa"/>
            <w:vMerge w:val="restart"/>
            <w:tcBorders>
              <w:top w:val="nil"/>
              <w:left w:val="nil"/>
              <w:bottom w:val="outset" w:color="auto" w:sz="8" w:space="0"/>
              <w:right w:val="single" w:color="auto" w:sz="8" w:space="0"/>
            </w:tcBorders>
            <w:noWrap w:val="0"/>
            <w:tcMar>
              <w:left w:w="57" w:type="dxa"/>
              <w:right w:w="57" w:type="dxa"/>
            </w:tcMar>
            <w:vAlign w:val="center"/>
          </w:tcPr>
          <w:p w14:paraId="6FBAB86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（三）不予公开</w:t>
            </w: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4A1E9DC9">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1.属于国家秘密</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177CDFF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3750F49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0A6A8E4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30F049E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2C7E145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3DB0E6B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noWrap w:val="0"/>
            <w:tcMar>
              <w:left w:w="57" w:type="dxa"/>
              <w:right w:w="57" w:type="dxa"/>
            </w:tcMar>
            <w:vAlign w:val="center"/>
          </w:tcPr>
          <w:p w14:paraId="4A1BFF6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754B26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B8248F5">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640EF3FC">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45B75BE7">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2.其他法律行政法规禁止公开</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3AD0C3F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78B315F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16270B1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20177C9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3EDF5C0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334FECC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16C80C3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62EE98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635BE1D">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19B28609">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3154BAAE">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3.危及“三安全一稳定”</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603C466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5EFE3AF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27EACDF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08A763E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5F220FD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2F573EB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72CE701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5E9678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FAD20DD">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03CBD199">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4E903D87">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4.保护第三方合法权益</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FFF633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6DB860E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77C50EA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0161377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35EECEF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32DF9BC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1333C03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28025B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174B74E">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75B6624E">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456011C5">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5.属于三类内部事务信息</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65A78D6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214AB68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0C8D552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5880417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613116C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05BCC40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3541AC2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6C023B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747BF9D">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440B0413">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0FD9F48A">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6.属于四类过程性信息</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631E56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57BAED1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3280D23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0CB13B7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39D1B2C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316157B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688EE3F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2D07B2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944F10A">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3B6706B3">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1DB7F4C3">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7.属于行政执法案卷</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7C7B5D9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3F88F89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663D0C9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064032B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6EE6E32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717F40C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3C1068A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784080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3B58A09">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0A410049">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0BAB4F21">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8.属于行政查询事项</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FBE0B4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09043AF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677E3FA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1E5C1F9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5CBAFA4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703E0E2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000037C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11EA3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1116564">
            <w:pPr>
              <w:rPr>
                <w:rFonts w:hint="eastAsia" w:ascii="宋体"/>
                <w:sz w:val="24"/>
                <w:szCs w:val="24"/>
              </w:rPr>
            </w:pPr>
          </w:p>
        </w:tc>
        <w:tc>
          <w:tcPr>
            <w:tcW w:w="942" w:type="dxa"/>
            <w:vMerge w:val="restart"/>
            <w:tcBorders>
              <w:top w:val="nil"/>
              <w:left w:val="nil"/>
              <w:bottom w:val="outset" w:color="auto" w:sz="8" w:space="0"/>
              <w:right w:val="single" w:color="auto" w:sz="8" w:space="0"/>
            </w:tcBorders>
            <w:noWrap w:val="0"/>
            <w:tcMar>
              <w:left w:w="57" w:type="dxa"/>
              <w:right w:w="57" w:type="dxa"/>
            </w:tcMar>
            <w:vAlign w:val="center"/>
          </w:tcPr>
          <w:p w14:paraId="559BD30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（四）无法提供</w:t>
            </w: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3A11E4B2">
            <w:pPr>
              <w:keepNext w:val="0"/>
              <w:keepLines w:val="0"/>
              <w:widowControl/>
              <w:suppressLineNumbers w:val="0"/>
              <w:spacing w:before="0" w:beforeAutospacing="0" w:after="0" w:afterAutospacing="0"/>
              <w:ind w:left="0" w:right="0" w:firstLine="0" w:firstLineChars="0"/>
              <w:jc w:val="both"/>
            </w:pPr>
            <w:r>
              <w:rPr>
                <w:rFonts w:hint="default" w:ascii="仿宋" w:hAnsi="仿宋" w:eastAsia="仿宋" w:cs="仿宋"/>
                <w:b w:val="0"/>
                <w:bCs w:val="0"/>
                <w:kern w:val="0"/>
                <w:sz w:val="32"/>
                <w:szCs w:val="32"/>
                <w:lang w:val="en-US" w:eastAsia="zh-CN" w:bidi="ar"/>
              </w:rPr>
              <w:t>1.本机关不掌握相关政府信息</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FFF448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731BB92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109ABAF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68EBD54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1B9BDCC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4AAA102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0C4684E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729D25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B1DB7A9">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31FFF007">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3A6DD385">
            <w:pPr>
              <w:keepNext w:val="0"/>
              <w:keepLines w:val="0"/>
              <w:widowControl/>
              <w:suppressLineNumbers w:val="0"/>
              <w:spacing w:before="0" w:beforeAutospacing="0" w:after="0" w:afterAutospacing="0"/>
              <w:ind w:left="0" w:right="0" w:firstLine="0" w:firstLineChars="0"/>
              <w:jc w:val="both"/>
            </w:pPr>
            <w:r>
              <w:rPr>
                <w:rFonts w:hint="default" w:ascii="仿宋" w:hAnsi="仿宋" w:eastAsia="仿宋" w:cs="仿宋"/>
                <w:b w:val="0"/>
                <w:bCs w:val="0"/>
                <w:kern w:val="0"/>
                <w:sz w:val="32"/>
                <w:szCs w:val="32"/>
                <w:lang w:val="en-US" w:eastAsia="zh-CN" w:bidi="ar"/>
              </w:rPr>
              <w:t>2.没有现成信息需要另行制作</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43177A5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05B8921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0A009DB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3A8A9B6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0C0FBF1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4083BBF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6189973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37CDBC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F245B93">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6E53C675">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2F9FE8D4">
            <w:pPr>
              <w:keepNext w:val="0"/>
              <w:keepLines w:val="0"/>
              <w:widowControl/>
              <w:suppressLineNumbers w:val="0"/>
              <w:spacing w:before="0" w:beforeAutospacing="0" w:after="0" w:afterAutospacing="0"/>
              <w:ind w:left="0" w:right="0" w:firstLine="0" w:firstLineChars="0"/>
              <w:jc w:val="both"/>
            </w:pPr>
            <w:r>
              <w:rPr>
                <w:rFonts w:hint="default" w:ascii="仿宋" w:hAnsi="仿宋" w:eastAsia="仿宋" w:cs="仿宋"/>
                <w:b w:val="0"/>
                <w:bCs w:val="0"/>
                <w:kern w:val="0"/>
                <w:sz w:val="32"/>
                <w:szCs w:val="32"/>
                <w:lang w:val="en-US" w:eastAsia="zh-CN" w:bidi="ar"/>
              </w:rPr>
              <w:t>3.补正后申请内容仍不明确</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0ED4CA0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0DE05B1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1844B60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3EFFC3D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01040A6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69B07D0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5596888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6FEE36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D99C607">
            <w:pPr>
              <w:rPr>
                <w:rFonts w:hint="eastAsia" w:ascii="宋体"/>
                <w:sz w:val="24"/>
                <w:szCs w:val="24"/>
              </w:rPr>
            </w:pPr>
          </w:p>
        </w:tc>
        <w:tc>
          <w:tcPr>
            <w:tcW w:w="942" w:type="dxa"/>
            <w:vMerge w:val="restart"/>
            <w:tcBorders>
              <w:top w:val="nil"/>
              <w:left w:val="nil"/>
              <w:bottom w:val="outset" w:color="auto" w:sz="8" w:space="0"/>
              <w:right w:val="single" w:color="auto" w:sz="8" w:space="0"/>
            </w:tcBorders>
            <w:noWrap w:val="0"/>
            <w:tcMar>
              <w:left w:w="57" w:type="dxa"/>
              <w:right w:w="57" w:type="dxa"/>
            </w:tcMar>
            <w:vAlign w:val="center"/>
          </w:tcPr>
          <w:p w14:paraId="3ADE06B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（五）不予处理</w:t>
            </w: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2FFFDEE0">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1.信访举报投诉类申请</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7C9FEE2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5015CDC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7867F4D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7629CAE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4643FBE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0DD347B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62D59B1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2060CC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AF8AEA6">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30D2C614">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473C3ADA">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2.重复申请</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296FBF2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647437B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5DAED37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695CD15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0A73150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5DD40FA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45EDEA8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712E6F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D023B34">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2D30D7D2">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2BADBCBD">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3.要求提供公开出版物</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33643C0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2FD094F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6348F13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6AF292F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729CDDA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3410ECE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302AF27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44EDE8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B47DDA5">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72992370">
            <w:pPr>
              <w:rPr>
                <w:rFonts w:hint="eastAsia" w:ascii="宋体"/>
                <w:sz w:val="24"/>
                <w:szCs w:val="24"/>
              </w:rPr>
            </w:pPr>
          </w:p>
        </w:tc>
        <w:tc>
          <w:tcPr>
            <w:tcW w:w="4563" w:type="dxa"/>
            <w:tcBorders>
              <w:top w:val="nil"/>
              <w:left w:val="nil"/>
              <w:bottom w:val="single" w:color="auto" w:sz="8" w:space="0"/>
              <w:right w:val="single" w:color="auto" w:sz="8" w:space="0"/>
            </w:tcBorders>
            <w:noWrap w:val="0"/>
            <w:tcMar>
              <w:left w:w="57" w:type="dxa"/>
              <w:right w:w="57" w:type="dxa"/>
            </w:tcMar>
            <w:vAlign w:val="center"/>
          </w:tcPr>
          <w:p w14:paraId="24089B1C">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4.无正当理由大量反复申请</w:t>
            </w:r>
          </w:p>
        </w:tc>
        <w:tc>
          <w:tcPr>
            <w:tcW w:w="415" w:type="dxa"/>
            <w:tcBorders>
              <w:top w:val="nil"/>
              <w:left w:val="nil"/>
              <w:bottom w:val="single" w:color="auto" w:sz="8" w:space="0"/>
              <w:right w:val="single" w:color="auto" w:sz="8" w:space="0"/>
            </w:tcBorders>
            <w:noWrap w:val="0"/>
            <w:tcMar>
              <w:left w:w="57" w:type="dxa"/>
              <w:right w:w="57" w:type="dxa"/>
            </w:tcMar>
            <w:vAlign w:val="center"/>
          </w:tcPr>
          <w:p w14:paraId="5D91DEC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noWrap w:val="0"/>
            <w:tcMar>
              <w:left w:w="57" w:type="dxa"/>
              <w:right w:w="57" w:type="dxa"/>
            </w:tcMar>
            <w:vAlign w:val="center"/>
          </w:tcPr>
          <w:p w14:paraId="3CF0729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noWrap w:val="0"/>
            <w:tcMar>
              <w:left w:w="57" w:type="dxa"/>
              <w:right w:w="57" w:type="dxa"/>
            </w:tcMar>
            <w:vAlign w:val="center"/>
          </w:tcPr>
          <w:p w14:paraId="2E8B384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noWrap w:val="0"/>
            <w:tcMar>
              <w:left w:w="57" w:type="dxa"/>
              <w:right w:w="57" w:type="dxa"/>
            </w:tcMar>
            <w:vAlign w:val="center"/>
          </w:tcPr>
          <w:p w14:paraId="6594A50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noWrap w:val="0"/>
            <w:tcMar>
              <w:left w:w="57" w:type="dxa"/>
              <w:right w:w="57" w:type="dxa"/>
            </w:tcMar>
            <w:vAlign w:val="center"/>
          </w:tcPr>
          <w:p w14:paraId="058B864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noWrap w:val="0"/>
            <w:tcMar>
              <w:left w:w="57" w:type="dxa"/>
              <w:right w:w="57" w:type="dxa"/>
            </w:tcMar>
            <w:vAlign w:val="center"/>
          </w:tcPr>
          <w:p w14:paraId="7F056BA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noWrap w:val="0"/>
            <w:tcMar>
              <w:left w:w="57" w:type="dxa"/>
              <w:right w:w="57" w:type="dxa"/>
            </w:tcMar>
            <w:vAlign w:val="center"/>
          </w:tcPr>
          <w:p w14:paraId="10F3727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3B3017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74"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466207B">
            <w:pPr>
              <w:rPr>
                <w:rFonts w:hint="eastAsia" w:ascii="宋体"/>
                <w:sz w:val="24"/>
                <w:szCs w:val="24"/>
              </w:rPr>
            </w:pPr>
          </w:p>
        </w:tc>
        <w:tc>
          <w:tcPr>
            <w:tcW w:w="942" w:type="dxa"/>
            <w:vMerge w:val="continue"/>
            <w:tcBorders>
              <w:top w:val="nil"/>
              <w:left w:val="nil"/>
              <w:bottom w:val="outset" w:color="auto" w:sz="8" w:space="0"/>
              <w:right w:val="single" w:color="auto" w:sz="8" w:space="0"/>
            </w:tcBorders>
            <w:noWrap w:val="0"/>
            <w:tcMar>
              <w:left w:w="57" w:type="dxa"/>
              <w:right w:w="57" w:type="dxa"/>
            </w:tcMar>
            <w:vAlign w:val="center"/>
          </w:tcPr>
          <w:p w14:paraId="0C68DE12">
            <w:pPr>
              <w:rPr>
                <w:rFonts w:hint="eastAsia" w:ascii="宋体"/>
                <w:sz w:val="24"/>
                <w:szCs w:val="24"/>
              </w:rPr>
            </w:pPr>
          </w:p>
        </w:tc>
        <w:tc>
          <w:tcPr>
            <w:tcW w:w="4563" w:type="dxa"/>
            <w:tcBorders>
              <w:top w:val="nil"/>
              <w:left w:val="nil"/>
              <w:bottom w:val="single" w:color="auto" w:sz="4" w:space="0"/>
              <w:right w:val="single" w:color="auto" w:sz="8" w:space="0"/>
            </w:tcBorders>
            <w:noWrap w:val="0"/>
            <w:tcMar>
              <w:left w:w="57" w:type="dxa"/>
              <w:right w:w="57" w:type="dxa"/>
            </w:tcMar>
            <w:vAlign w:val="center"/>
          </w:tcPr>
          <w:p w14:paraId="05968F67">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5.要求行政机关确认或重新出具已获取信息</w:t>
            </w:r>
          </w:p>
        </w:tc>
        <w:tc>
          <w:tcPr>
            <w:tcW w:w="415" w:type="dxa"/>
            <w:tcBorders>
              <w:top w:val="nil"/>
              <w:left w:val="nil"/>
              <w:bottom w:val="single" w:color="auto" w:sz="4" w:space="0"/>
              <w:right w:val="single" w:color="auto" w:sz="8" w:space="0"/>
            </w:tcBorders>
            <w:noWrap w:val="0"/>
            <w:tcMar>
              <w:left w:w="57" w:type="dxa"/>
              <w:right w:w="57" w:type="dxa"/>
            </w:tcMar>
            <w:vAlign w:val="center"/>
          </w:tcPr>
          <w:p w14:paraId="34529EE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nil"/>
              <w:left w:val="nil"/>
              <w:bottom w:val="single" w:color="auto" w:sz="4" w:space="0"/>
              <w:right w:val="single" w:color="auto" w:sz="8" w:space="0"/>
            </w:tcBorders>
            <w:noWrap w:val="0"/>
            <w:tcMar>
              <w:left w:w="57" w:type="dxa"/>
              <w:right w:w="57" w:type="dxa"/>
            </w:tcMar>
            <w:vAlign w:val="center"/>
          </w:tcPr>
          <w:p w14:paraId="7397E54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nil"/>
              <w:left w:val="nil"/>
              <w:bottom w:val="single" w:color="auto" w:sz="4" w:space="0"/>
              <w:right w:val="single" w:color="auto" w:sz="8" w:space="0"/>
            </w:tcBorders>
            <w:noWrap w:val="0"/>
            <w:tcMar>
              <w:left w:w="57" w:type="dxa"/>
              <w:right w:w="57" w:type="dxa"/>
            </w:tcMar>
            <w:vAlign w:val="center"/>
          </w:tcPr>
          <w:p w14:paraId="1E5CB1B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nil"/>
              <w:left w:val="nil"/>
              <w:bottom w:val="single" w:color="auto" w:sz="4" w:space="0"/>
              <w:right w:val="single" w:color="auto" w:sz="8" w:space="0"/>
            </w:tcBorders>
            <w:noWrap w:val="0"/>
            <w:tcMar>
              <w:left w:w="57" w:type="dxa"/>
              <w:right w:w="57" w:type="dxa"/>
            </w:tcMar>
            <w:vAlign w:val="center"/>
          </w:tcPr>
          <w:p w14:paraId="334AB4E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nil"/>
              <w:left w:val="nil"/>
              <w:bottom w:val="single" w:color="auto" w:sz="4" w:space="0"/>
              <w:right w:val="single" w:color="auto" w:sz="8" w:space="0"/>
            </w:tcBorders>
            <w:noWrap w:val="0"/>
            <w:tcMar>
              <w:left w:w="57" w:type="dxa"/>
              <w:right w:w="57" w:type="dxa"/>
            </w:tcMar>
            <w:vAlign w:val="center"/>
          </w:tcPr>
          <w:p w14:paraId="61B61E8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nil"/>
              <w:left w:val="nil"/>
              <w:bottom w:val="single" w:color="auto" w:sz="4" w:space="0"/>
              <w:right w:val="single" w:color="auto" w:sz="8" w:space="0"/>
            </w:tcBorders>
            <w:noWrap w:val="0"/>
            <w:tcMar>
              <w:left w:w="57" w:type="dxa"/>
              <w:right w:w="57" w:type="dxa"/>
            </w:tcMar>
            <w:vAlign w:val="center"/>
          </w:tcPr>
          <w:p w14:paraId="0AEC3B1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nil"/>
              <w:left w:val="nil"/>
              <w:bottom w:val="single" w:color="auto" w:sz="4" w:space="0"/>
              <w:right w:val="single" w:color="auto" w:sz="8" w:space="0"/>
            </w:tcBorders>
            <w:noWrap w:val="0"/>
            <w:tcMar>
              <w:left w:w="57" w:type="dxa"/>
              <w:right w:w="57" w:type="dxa"/>
            </w:tcMar>
            <w:vAlign w:val="center"/>
          </w:tcPr>
          <w:p w14:paraId="0C04149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0562B5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96"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67427E1">
            <w:pPr>
              <w:rPr>
                <w:rFonts w:hint="eastAsia" w:ascii="宋体"/>
                <w:sz w:val="24"/>
                <w:szCs w:val="24"/>
              </w:rPr>
            </w:pPr>
          </w:p>
        </w:tc>
        <w:tc>
          <w:tcPr>
            <w:tcW w:w="942" w:type="dxa"/>
            <w:vMerge w:val="restart"/>
            <w:tcBorders>
              <w:top w:val="nil"/>
              <w:left w:val="nil"/>
              <w:bottom w:val="single" w:color="auto" w:sz="4" w:space="0"/>
              <w:right w:val="single" w:color="auto" w:sz="4" w:space="0"/>
            </w:tcBorders>
            <w:noWrap w:val="0"/>
            <w:tcMar>
              <w:left w:w="57" w:type="dxa"/>
              <w:right w:w="57" w:type="dxa"/>
            </w:tcMar>
            <w:vAlign w:val="center"/>
          </w:tcPr>
          <w:p w14:paraId="7691594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（六）其他处理</w:t>
            </w:r>
          </w:p>
        </w:tc>
        <w:tc>
          <w:tcPr>
            <w:tcW w:w="4563" w:type="dxa"/>
            <w:tcBorders>
              <w:top w:val="single" w:color="auto" w:sz="4" w:space="0"/>
              <w:left w:val="nil"/>
              <w:bottom w:val="single" w:color="auto" w:sz="4" w:space="0"/>
              <w:right w:val="single" w:color="auto" w:sz="4" w:space="0"/>
            </w:tcBorders>
            <w:noWrap w:val="0"/>
            <w:tcMar>
              <w:left w:w="57" w:type="dxa"/>
              <w:right w:w="57" w:type="dxa"/>
            </w:tcMar>
            <w:vAlign w:val="center"/>
          </w:tcPr>
          <w:p w14:paraId="3EF0586A">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1.申请人无正当理由逾期不补正、行政机关不再处理其政府信息公开申请</w:t>
            </w:r>
          </w:p>
        </w:tc>
        <w:tc>
          <w:tcPr>
            <w:tcW w:w="415" w:type="dxa"/>
            <w:tcBorders>
              <w:top w:val="single" w:color="auto" w:sz="4" w:space="0"/>
              <w:left w:val="nil"/>
              <w:bottom w:val="single" w:color="auto" w:sz="4" w:space="0"/>
              <w:right w:val="single" w:color="auto" w:sz="4" w:space="0"/>
            </w:tcBorders>
            <w:noWrap w:val="0"/>
            <w:tcMar>
              <w:left w:w="57" w:type="dxa"/>
              <w:right w:w="57" w:type="dxa"/>
            </w:tcMar>
            <w:vAlign w:val="center"/>
          </w:tcPr>
          <w:p w14:paraId="23ABBB1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noWrap w:val="0"/>
            <w:tcMar>
              <w:left w:w="57" w:type="dxa"/>
              <w:right w:w="57" w:type="dxa"/>
            </w:tcMar>
            <w:vAlign w:val="center"/>
          </w:tcPr>
          <w:p w14:paraId="6E7C7E7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noWrap w:val="0"/>
            <w:tcMar>
              <w:left w:w="57" w:type="dxa"/>
              <w:right w:w="57" w:type="dxa"/>
            </w:tcMar>
            <w:vAlign w:val="center"/>
          </w:tcPr>
          <w:p w14:paraId="1937403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noWrap w:val="0"/>
            <w:tcMar>
              <w:left w:w="57" w:type="dxa"/>
              <w:right w:w="57" w:type="dxa"/>
            </w:tcMar>
            <w:vAlign w:val="center"/>
          </w:tcPr>
          <w:p w14:paraId="74A99EC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noWrap w:val="0"/>
            <w:tcMar>
              <w:left w:w="57" w:type="dxa"/>
              <w:right w:w="57" w:type="dxa"/>
            </w:tcMar>
            <w:vAlign w:val="center"/>
          </w:tcPr>
          <w:p w14:paraId="6EE1FCF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noWrap w:val="0"/>
            <w:tcMar>
              <w:left w:w="57" w:type="dxa"/>
              <w:right w:w="57" w:type="dxa"/>
            </w:tcMar>
            <w:vAlign w:val="center"/>
          </w:tcPr>
          <w:p w14:paraId="140CB0A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noWrap w:val="0"/>
            <w:tcMar>
              <w:left w:w="57" w:type="dxa"/>
              <w:right w:w="57" w:type="dxa"/>
            </w:tcMar>
            <w:vAlign w:val="center"/>
          </w:tcPr>
          <w:p w14:paraId="5D957E0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6BEFC5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6E63B4D7">
            <w:pPr>
              <w:rPr>
                <w:rFonts w:hint="eastAsia" w:ascii="宋体"/>
                <w:sz w:val="24"/>
                <w:szCs w:val="24"/>
              </w:rPr>
            </w:pPr>
          </w:p>
        </w:tc>
        <w:tc>
          <w:tcPr>
            <w:tcW w:w="942" w:type="dxa"/>
            <w:vMerge w:val="continue"/>
            <w:tcBorders>
              <w:top w:val="nil"/>
              <w:left w:val="nil"/>
              <w:bottom w:val="single" w:color="auto" w:sz="4" w:space="0"/>
              <w:right w:val="single" w:color="auto" w:sz="4" w:space="0"/>
            </w:tcBorders>
            <w:noWrap w:val="0"/>
            <w:tcMar>
              <w:left w:w="57" w:type="dxa"/>
              <w:right w:w="57" w:type="dxa"/>
            </w:tcMar>
            <w:vAlign w:val="center"/>
          </w:tcPr>
          <w:p w14:paraId="16CAE14C">
            <w:pPr>
              <w:rPr>
                <w:rFonts w:hint="eastAsia" w:ascii="宋体"/>
                <w:sz w:val="24"/>
                <w:szCs w:val="24"/>
              </w:rPr>
            </w:pPr>
          </w:p>
        </w:tc>
        <w:tc>
          <w:tcPr>
            <w:tcW w:w="4563" w:type="dxa"/>
            <w:tcBorders>
              <w:top w:val="single" w:color="auto" w:sz="4" w:space="0"/>
              <w:left w:val="nil"/>
              <w:bottom w:val="single" w:color="auto" w:sz="4" w:space="0"/>
              <w:right w:val="single" w:color="auto" w:sz="4" w:space="0"/>
            </w:tcBorders>
            <w:noWrap w:val="0"/>
            <w:tcMar>
              <w:left w:w="57" w:type="dxa"/>
              <w:right w:w="57" w:type="dxa"/>
            </w:tcMar>
            <w:vAlign w:val="center"/>
          </w:tcPr>
          <w:p w14:paraId="632C9935">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2.申请人逾期未按收费通知要求缴纳费用、行政机关不再处理其政府信息公开申请</w:t>
            </w:r>
          </w:p>
        </w:tc>
        <w:tc>
          <w:tcPr>
            <w:tcW w:w="415" w:type="dxa"/>
            <w:tcBorders>
              <w:top w:val="single" w:color="auto" w:sz="4" w:space="0"/>
              <w:left w:val="nil"/>
              <w:bottom w:val="single" w:color="auto" w:sz="4" w:space="0"/>
              <w:right w:val="single" w:color="auto" w:sz="4" w:space="0"/>
            </w:tcBorders>
            <w:noWrap w:val="0"/>
            <w:tcMar>
              <w:left w:w="57" w:type="dxa"/>
              <w:right w:w="57" w:type="dxa"/>
            </w:tcMar>
            <w:vAlign w:val="center"/>
          </w:tcPr>
          <w:p w14:paraId="0C7290C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noWrap w:val="0"/>
            <w:tcMar>
              <w:left w:w="57" w:type="dxa"/>
              <w:right w:w="57" w:type="dxa"/>
            </w:tcMar>
            <w:vAlign w:val="center"/>
          </w:tcPr>
          <w:p w14:paraId="7A66FFB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noWrap w:val="0"/>
            <w:tcMar>
              <w:left w:w="57" w:type="dxa"/>
              <w:right w:w="57" w:type="dxa"/>
            </w:tcMar>
            <w:vAlign w:val="center"/>
          </w:tcPr>
          <w:p w14:paraId="6102067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noWrap w:val="0"/>
            <w:tcMar>
              <w:left w:w="57" w:type="dxa"/>
              <w:right w:w="57" w:type="dxa"/>
            </w:tcMar>
            <w:vAlign w:val="center"/>
          </w:tcPr>
          <w:p w14:paraId="5371276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noWrap w:val="0"/>
            <w:tcMar>
              <w:left w:w="57" w:type="dxa"/>
              <w:right w:w="57" w:type="dxa"/>
            </w:tcMar>
            <w:vAlign w:val="center"/>
          </w:tcPr>
          <w:p w14:paraId="32727BF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noWrap w:val="0"/>
            <w:tcMar>
              <w:left w:w="57" w:type="dxa"/>
              <w:right w:w="57" w:type="dxa"/>
            </w:tcMar>
            <w:vAlign w:val="center"/>
          </w:tcPr>
          <w:p w14:paraId="1691ABE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noWrap w:val="0"/>
            <w:tcMar>
              <w:left w:w="57" w:type="dxa"/>
              <w:right w:w="57" w:type="dxa"/>
            </w:tcMar>
            <w:vAlign w:val="center"/>
          </w:tcPr>
          <w:p w14:paraId="3B43645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78715B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94" w:hRule="atLeast"/>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FA6A7E9">
            <w:pPr>
              <w:rPr>
                <w:rFonts w:hint="eastAsia" w:ascii="宋体"/>
                <w:sz w:val="24"/>
                <w:szCs w:val="24"/>
              </w:rPr>
            </w:pPr>
          </w:p>
        </w:tc>
        <w:tc>
          <w:tcPr>
            <w:tcW w:w="942" w:type="dxa"/>
            <w:vMerge w:val="continue"/>
            <w:tcBorders>
              <w:top w:val="nil"/>
              <w:left w:val="nil"/>
              <w:bottom w:val="single" w:color="auto" w:sz="4" w:space="0"/>
              <w:right w:val="single" w:color="auto" w:sz="4" w:space="0"/>
            </w:tcBorders>
            <w:noWrap w:val="0"/>
            <w:tcMar>
              <w:left w:w="57" w:type="dxa"/>
              <w:right w:w="57" w:type="dxa"/>
            </w:tcMar>
            <w:vAlign w:val="center"/>
          </w:tcPr>
          <w:p w14:paraId="1CAEE243">
            <w:pPr>
              <w:rPr>
                <w:rFonts w:hint="eastAsia" w:ascii="宋体"/>
                <w:sz w:val="24"/>
                <w:szCs w:val="24"/>
              </w:rPr>
            </w:pPr>
          </w:p>
        </w:tc>
        <w:tc>
          <w:tcPr>
            <w:tcW w:w="4563" w:type="dxa"/>
            <w:tcBorders>
              <w:top w:val="single" w:color="auto" w:sz="4" w:space="0"/>
              <w:left w:val="nil"/>
              <w:bottom w:val="single" w:color="auto" w:sz="4" w:space="0"/>
              <w:right w:val="single" w:color="auto" w:sz="4" w:space="0"/>
            </w:tcBorders>
            <w:noWrap w:val="0"/>
            <w:tcMar>
              <w:left w:w="57" w:type="dxa"/>
              <w:right w:w="57" w:type="dxa"/>
            </w:tcMar>
            <w:vAlign w:val="center"/>
          </w:tcPr>
          <w:p w14:paraId="3A3B8FBC">
            <w:pPr>
              <w:keepNext w:val="0"/>
              <w:keepLines w:val="0"/>
              <w:widowControl/>
              <w:suppressLineNumbers w:val="0"/>
              <w:spacing w:before="0" w:beforeAutospacing="0" w:after="0" w:afterAutospacing="0"/>
              <w:ind w:left="0" w:right="0" w:firstLine="0" w:firstLineChars="0"/>
              <w:jc w:val="left"/>
            </w:pPr>
            <w:r>
              <w:rPr>
                <w:rFonts w:hint="default" w:ascii="仿宋" w:hAnsi="仿宋" w:eastAsia="仿宋" w:cs="仿宋"/>
                <w:b w:val="0"/>
                <w:bCs w:val="0"/>
                <w:kern w:val="0"/>
                <w:sz w:val="32"/>
                <w:szCs w:val="32"/>
                <w:lang w:val="en-US" w:eastAsia="zh-CN" w:bidi="ar"/>
              </w:rPr>
              <w:t>3.其他</w:t>
            </w:r>
          </w:p>
        </w:tc>
        <w:tc>
          <w:tcPr>
            <w:tcW w:w="415" w:type="dxa"/>
            <w:tcBorders>
              <w:top w:val="single" w:color="auto" w:sz="4" w:space="0"/>
              <w:left w:val="nil"/>
              <w:bottom w:val="single" w:color="auto" w:sz="4" w:space="0"/>
              <w:right w:val="single" w:color="auto" w:sz="4" w:space="0"/>
            </w:tcBorders>
            <w:noWrap w:val="0"/>
            <w:tcMar>
              <w:left w:w="57" w:type="dxa"/>
              <w:right w:w="57" w:type="dxa"/>
            </w:tcMar>
            <w:vAlign w:val="center"/>
          </w:tcPr>
          <w:p w14:paraId="2D3160C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noWrap w:val="0"/>
            <w:tcMar>
              <w:left w:w="57" w:type="dxa"/>
              <w:right w:w="57" w:type="dxa"/>
            </w:tcMar>
            <w:vAlign w:val="center"/>
          </w:tcPr>
          <w:p w14:paraId="1F48573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noWrap w:val="0"/>
            <w:tcMar>
              <w:left w:w="57" w:type="dxa"/>
              <w:right w:w="57" w:type="dxa"/>
            </w:tcMar>
            <w:vAlign w:val="center"/>
          </w:tcPr>
          <w:p w14:paraId="33C84C3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noWrap w:val="0"/>
            <w:tcMar>
              <w:left w:w="57" w:type="dxa"/>
              <w:right w:w="57" w:type="dxa"/>
            </w:tcMar>
            <w:vAlign w:val="center"/>
          </w:tcPr>
          <w:p w14:paraId="454F6DD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noWrap w:val="0"/>
            <w:tcMar>
              <w:left w:w="57" w:type="dxa"/>
              <w:right w:w="57" w:type="dxa"/>
            </w:tcMar>
            <w:vAlign w:val="center"/>
          </w:tcPr>
          <w:p w14:paraId="04253D7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noWrap w:val="0"/>
            <w:tcMar>
              <w:left w:w="57" w:type="dxa"/>
              <w:right w:w="57" w:type="dxa"/>
            </w:tcMar>
            <w:vAlign w:val="center"/>
          </w:tcPr>
          <w:p w14:paraId="3755A49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noWrap w:val="0"/>
            <w:tcMar>
              <w:left w:w="57" w:type="dxa"/>
              <w:right w:w="57" w:type="dxa"/>
            </w:tcMar>
            <w:vAlign w:val="center"/>
          </w:tcPr>
          <w:p w14:paraId="1CFD965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444A7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6BDC73CC">
            <w:pPr>
              <w:rPr>
                <w:rFonts w:hint="eastAsia" w:ascii="宋体"/>
                <w:sz w:val="24"/>
                <w:szCs w:val="24"/>
              </w:rPr>
            </w:pPr>
          </w:p>
        </w:tc>
        <w:tc>
          <w:tcPr>
            <w:tcW w:w="5505" w:type="dxa"/>
            <w:gridSpan w:val="2"/>
            <w:tcBorders>
              <w:top w:val="single" w:color="auto" w:sz="4" w:space="0"/>
              <w:left w:val="nil"/>
              <w:bottom w:val="single" w:color="auto" w:sz="4" w:space="0"/>
              <w:right w:val="single" w:color="auto" w:sz="4" w:space="0"/>
            </w:tcBorders>
            <w:noWrap w:val="0"/>
            <w:tcMar>
              <w:left w:w="57" w:type="dxa"/>
              <w:right w:w="57" w:type="dxa"/>
            </w:tcMar>
            <w:vAlign w:val="center"/>
          </w:tcPr>
          <w:p w14:paraId="060682E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（七）总计</w:t>
            </w:r>
          </w:p>
        </w:tc>
        <w:tc>
          <w:tcPr>
            <w:tcW w:w="415" w:type="dxa"/>
            <w:tcBorders>
              <w:top w:val="single" w:color="auto" w:sz="4" w:space="0"/>
              <w:left w:val="nil"/>
              <w:bottom w:val="single" w:color="auto" w:sz="4" w:space="0"/>
              <w:right w:val="single" w:color="auto" w:sz="4" w:space="0"/>
            </w:tcBorders>
            <w:noWrap w:val="0"/>
            <w:tcMar>
              <w:left w:w="57" w:type="dxa"/>
              <w:right w:w="57" w:type="dxa"/>
            </w:tcMar>
            <w:vAlign w:val="center"/>
          </w:tcPr>
          <w:p w14:paraId="47D4354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noWrap w:val="0"/>
            <w:tcMar>
              <w:left w:w="57" w:type="dxa"/>
              <w:right w:w="57" w:type="dxa"/>
            </w:tcMar>
            <w:vAlign w:val="center"/>
          </w:tcPr>
          <w:p w14:paraId="420224A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noWrap w:val="0"/>
            <w:tcMar>
              <w:left w:w="57" w:type="dxa"/>
              <w:right w:w="57" w:type="dxa"/>
            </w:tcMar>
            <w:vAlign w:val="center"/>
          </w:tcPr>
          <w:p w14:paraId="43F4FB3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noWrap w:val="0"/>
            <w:tcMar>
              <w:left w:w="57" w:type="dxa"/>
              <w:right w:w="57" w:type="dxa"/>
            </w:tcMar>
            <w:vAlign w:val="center"/>
          </w:tcPr>
          <w:p w14:paraId="259D2FF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noWrap w:val="0"/>
            <w:tcMar>
              <w:left w:w="57" w:type="dxa"/>
              <w:right w:w="57" w:type="dxa"/>
            </w:tcMar>
            <w:vAlign w:val="center"/>
          </w:tcPr>
          <w:p w14:paraId="509BCDE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noWrap w:val="0"/>
            <w:tcMar>
              <w:left w:w="57" w:type="dxa"/>
              <w:right w:w="57" w:type="dxa"/>
            </w:tcMar>
            <w:vAlign w:val="center"/>
          </w:tcPr>
          <w:p w14:paraId="5003EC1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noWrap w:val="0"/>
            <w:tcMar>
              <w:left w:w="57" w:type="dxa"/>
              <w:right w:w="57" w:type="dxa"/>
            </w:tcMar>
            <w:vAlign w:val="center"/>
          </w:tcPr>
          <w:p w14:paraId="20FB0CC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r w14:paraId="3D9D24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42"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D5671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四、结转下年度继续办理</w:t>
            </w:r>
          </w:p>
        </w:tc>
        <w:tc>
          <w:tcPr>
            <w:tcW w:w="415" w:type="dxa"/>
            <w:tcBorders>
              <w:top w:val="single" w:color="auto" w:sz="4" w:space="0"/>
              <w:left w:val="nil"/>
              <w:bottom w:val="single" w:color="auto" w:sz="4" w:space="0"/>
              <w:right w:val="single" w:color="auto" w:sz="4" w:space="0"/>
            </w:tcBorders>
            <w:noWrap w:val="0"/>
            <w:tcMar>
              <w:left w:w="57" w:type="dxa"/>
              <w:right w:w="57" w:type="dxa"/>
            </w:tcMar>
            <w:vAlign w:val="center"/>
          </w:tcPr>
          <w:p w14:paraId="2833EEB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noWrap w:val="0"/>
            <w:tcMar>
              <w:left w:w="57" w:type="dxa"/>
              <w:right w:w="57" w:type="dxa"/>
            </w:tcMar>
            <w:vAlign w:val="center"/>
          </w:tcPr>
          <w:p w14:paraId="769E30A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noWrap w:val="0"/>
            <w:tcMar>
              <w:left w:w="57" w:type="dxa"/>
              <w:right w:w="57" w:type="dxa"/>
            </w:tcMar>
            <w:vAlign w:val="center"/>
          </w:tcPr>
          <w:p w14:paraId="08B28EE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noWrap w:val="0"/>
            <w:tcMar>
              <w:left w:w="57" w:type="dxa"/>
              <w:right w:w="57" w:type="dxa"/>
            </w:tcMar>
            <w:vAlign w:val="center"/>
          </w:tcPr>
          <w:p w14:paraId="2505CDE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noWrap w:val="0"/>
            <w:tcMar>
              <w:left w:w="57" w:type="dxa"/>
              <w:right w:w="57" w:type="dxa"/>
            </w:tcMar>
            <w:vAlign w:val="center"/>
          </w:tcPr>
          <w:p w14:paraId="5097BEA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noWrap w:val="0"/>
            <w:tcMar>
              <w:left w:w="57" w:type="dxa"/>
              <w:right w:w="57" w:type="dxa"/>
            </w:tcMar>
            <w:vAlign w:val="center"/>
          </w:tcPr>
          <w:p w14:paraId="38F90D9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noWrap w:val="0"/>
            <w:tcMar>
              <w:left w:w="57" w:type="dxa"/>
              <w:right w:w="57" w:type="dxa"/>
            </w:tcMar>
            <w:vAlign w:val="center"/>
          </w:tcPr>
          <w:p w14:paraId="3B3C984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bl>
    <w:p w14:paraId="2D6834F3">
      <w:pPr>
        <w:keepNext w:val="0"/>
        <w:keepLines w:val="0"/>
        <w:widowControl/>
        <w:suppressLineNumbers w:val="0"/>
        <w:spacing w:before="0" w:beforeAutospacing="0" w:after="100" w:afterAutospacing="1"/>
        <w:ind w:left="0" w:right="0" w:firstLine="480"/>
        <w:jc w:val="left"/>
      </w:pPr>
      <w:r>
        <w:rPr>
          <w:rFonts w:ascii="Calibri" w:hAnsi="Calibri" w:eastAsia="宋体" w:cs="Times New Roman"/>
          <w:kern w:val="2"/>
          <w:sz w:val="21"/>
          <w:szCs w:val="21"/>
          <w:lang w:val="en-US" w:eastAsia="zh-CN" w:bidi="ar"/>
        </w:rPr>
        <w:t> </w:t>
      </w:r>
    </w:p>
    <w:p w14:paraId="21338380">
      <w:pPr>
        <w:keepNext w:val="0"/>
        <w:keepLines w:val="0"/>
        <w:widowControl/>
        <w:suppressLineNumbers w:val="0"/>
        <w:spacing w:before="0" w:beforeAutospacing="0" w:after="100" w:afterAutospacing="1"/>
        <w:ind w:left="0" w:right="0" w:firstLine="480"/>
        <w:jc w:val="left"/>
      </w:pPr>
      <w:r>
        <w:rPr>
          <w:rFonts w:hint="default" w:ascii="黑体" w:hAnsi="宋体" w:eastAsia="黑体" w:cs="黑体"/>
          <w:kern w:val="0"/>
          <w:sz w:val="32"/>
          <w:szCs w:val="32"/>
          <w:lang w:val="en-US" w:eastAsia="zh-CN" w:bidi="ar"/>
        </w:rPr>
        <w:t>四、政府信息公开行政复议、行政诉讼情况</w:t>
      </w:r>
    </w:p>
    <w:p w14:paraId="2891974D">
      <w:pPr>
        <w:keepNext w:val="0"/>
        <w:keepLines w:val="0"/>
        <w:widowControl/>
        <w:suppressLineNumbers w:val="0"/>
        <w:spacing w:before="0" w:beforeAutospacing="0" w:after="100" w:afterAutospacing="1"/>
        <w:ind w:left="0" w:right="0" w:firstLine="480"/>
        <w:jc w:val="left"/>
      </w:pPr>
      <w:r>
        <w:rPr>
          <w:rFonts w:hint="default" w:ascii="Calibri" w:hAnsi="Calibri" w:eastAsia="宋体" w:cs="Times New Roman"/>
          <w:kern w:val="2"/>
          <w:sz w:val="21"/>
          <w:szCs w:val="21"/>
          <w:lang w:val="en-US" w:eastAsia="zh-CN" w:bidi="ar"/>
        </w:rPr>
        <w:t> </w:t>
      </w:r>
    </w:p>
    <w:tbl>
      <w:tblPr>
        <w:tblStyle w:val="4"/>
        <w:tblW w:w="84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559"/>
        <w:gridCol w:w="559"/>
        <w:gridCol w:w="559"/>
        <w:gridCol w:w="559"/>
        <w:gridCol w:w="567"/>
        <w:gridCol w:w="559"/>
        <w:gridCol w:w="559"/>
        <w:gridCol w:w="560"/>
        <w:gridCol w:w="560"/>
        <w:gridCol w:w="567"/>
        <w:gridCol w:w="561"/>
        <w:gridCol w:w="561"/>
        <w:gridCol w:w="561"/>
        <w:gridCol w:w="561"/>
        <w:gridCol w:w="567"/>
      </w:tblGrid>
      <w:tr w14:paraId="4EB982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3" w:hRule="atLeast"/>
          <w:jc w:val="center"/>
        </w:trPr>
        <w:tc>
          <w:tcPr>
            <w:tcW w:w="280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4CD57A8">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行政复议</w:t>
            </w:r>
          </w:p>
        </w:tc>
        <w:tc>
          <w:tcPr>
            <w:tcW w:w="5616"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315EBF5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行政诉讼</w:t>
            </w:r>
          </w:p>
        </w:tc>
      </w:tr>
      <w:tr w14:paraId="1D746D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3" w:hRule="atLeast"/>
          <w:jc w:val="center"/>
        </w:trPr>
        <w:tc>
          <w:tcPr>
            <w:tcW w:w="55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5A8B49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结果维持</w:t>
            </w:r>
          </w:p>
        </w:tc>
        <w:tc>
          <w:tcPr>
            <w:tcW w:w="559" w:type="dxa"/>
            <w:vMerge w:val="restart"/>
            <w:tcBorders>
              <w:top w:val="nil"/>
              <w:left w:val="nil"/>
              <w:bottom w:val="single" w:color="auto" w:sz="8" w:space="0"/>
              <w:right w:val="single" w:color="auto" w:sz="8" w:space="0"/>
            </w:tcBorders>
            <w:noWrap w:val="0"/>
            <w:tcMar>
              <w:left w:w="108" w:type="dxa"/>
              <w:right w:w="108" w:type="dxa"/>
            </w:tcMar>
            <w:vAlign w:val="center"/>
          </w:tcPr>
          <w:p w14:paraId="48B7E85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p w14:paraId="2E66F5E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纠正</w:t>
            </w:r>
          </w:p>
        </w:tc>
        <w:tc>
          <w:tcPr>
            <w:tcW w:w="559"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B00AA6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其他</w:t>
            </w:r>
          </w:p>
          <w:p w14:paraId="094EF9F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tc>
        <w:tc>
          <w:tcPr>
            <w:tcW w:w="559"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D42290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尚未</w:t>
            </w:r>
          </w:p>
          <w:p w14:paraId="4C7EE9E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审结</w:t>
            </w:r>
          </w:p>
        </w:tc>
        <w:tc>
          <w:tcPr>
            <w:tcW w:w="567"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1B734B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总计</w:t>
            </w:r>
          </w:p>
        </w:tc>
        <w:tc>
          <w:tcPr>
            <w:tcW w:w="280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34602A3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未经复议直接起诉</w:t>
            </w:r>
          </w:p>
        </w:tc>
        <w:tc>
          <w:tcPr>
            <w:tcW w:w="281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4E33D67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复议后起诉</w:t>
            </w:r>
          </w:p>
        </w:tc>
      </w:tr>
      <w:tr w14:paraId="4681FA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412" w:hRule="atLeast"/>
          <w:jc w:val="center"/>
        </w:trPr>
        <w:tc>
          <w:tcPr>
            <w:tcW w:w="55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38DD98A">
            <w:pPr>
              <w:rPr>
                <w:rFonts w:hint="eastAsia" w:ascii="宋体"/>
                <w:sz w:val="24"/>
                <w:szCs w:val="24"/>
              </w:rPr>
            </w:pPr>
          </w:p>
        </w:tc>
        <w:tc>
          <w:tcPr>
            <w:tcW w:w="559" w:type="dxa"/>
            <w:vMerge w:val="continue"/>
            <w:tcBorders>
              <w:top w:val="nil"/>
              <w:left w:val="nil"/>
              <w:bottom w:val="single" w:color="auto" w:sz="8" w:space="0"/>
              <w:right w:val="single" w:color="auto" w:sz="8" w:space="0"/>
            </w:tcBorders>
            <w:noWrap w:val="0"/>
            <w:tcMar>
              <w:left w:w="108" w:type="dxa"/>
              <w:right w:w="108" w:type="dxa"/>
            </w:tcMar>
            <w:vAlign w:val="center"/>
          </w:tcPr>
          <w:p w14:paraId="393B8FE9">
            <w:pPr>
              <w:rPr>
                <w:rFonts w:hint="eastAsia" w:ascii="宋体"/>
                <w:sz w:val="24"/>
                <w:szCs w:val="24"/>
              </w:rPr>
            </w:pPr>
          </w:p>
        </w:tc>
        <w:tc>
          <w:tcPr>
            <w:tcW w:w="559"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71D963D">
            <w:pPr>
              <w:rPr>
                <w:rFonts w:hint="eastAsia" w:ascii="宋体"/>
                <w:sz w:val="24"/>
                <w:szCs w:val="24"/>
              </w:rPr>
            </w:pPr>
          </w:p>
        </w:tc>
        <w:tc>
          <w:tcPr>
            <w:tcW w:w="559"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386B4AD">
            <w:pPr>
              <w:rPr>
                <w:rFonts w:hint="eastAsia" w:ascii="宋体"/>
                <w:sz w:val="24"/>
                <w:szCs w:val="24"/>
              </w:rPr>
            </w:pPr>
          </w:p>
        </w:tc>
        <w:tc>
          <w:tcPr>
            <w:tcW w:w="567"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1581F0DF">
            <w:pPr>
              <w:rPr>
                <w:rFonts w:hint="eastAsia" w:ascii="宋体"/>
                <w:sz w:val="24"/>
                <w:szCs w:val="24"/>
              </w:rPr>
            </w:pP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1BBED38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p w14:paraId="339A302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维持</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16BEC9A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p w14:paraId="2C95790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纠正</w:t>
            </w:r>
          </w:p>
        </w:tc>
        <w:tc>
          <w:tcPr>
            <w:tcW w:w="5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7EA3CE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其他</w:t>
            </w:r>
          </w:p>
          <w:p w14:paraId="65C4901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tc>
        <w:tc>
          <w:tcPr>
            <w:tcW w:w="5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EED0CA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尚未</w:t>
            </w:r>
          </w:p>
          <w:p w14:paraId="57E4D74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审结</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C08CEC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总计</w:t>
            </w:r>
          </w:p>
        </w:tc>
        <w:tc>
          <w:tcPr>
            <w:tcW w:w="561"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8F78A4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p w14:paraId="254392E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维持</w:t>
            </w:r>
          </w:p>
        </w:tc>
        <w:tc>
          <w:tcPr>
            <w:tcW w:w="561"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24A384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p w14:paraId="791ABA0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纠正</w:t>
            </w:r>
          </w:p>
        </w:tc>
        <w:tc>
          <w:tcPr>
            <w:tcW w:w="561"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632FED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其他</w:t>
            </w:r>
          </w:p>
          <w:p w14:paraId="7A2EB8F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结果</w:t>
            </w:r>
          </w:p>
        </w:tc>
        <w:tc>
          <w:tcPr>
            <w:tcW w:w="561"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AB7EBF0">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尚未</w:t>
            </w:r>
          </w:p>
          <w:p w14:paraId="2E1CFD31">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审结</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1FB81C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总计</w:t>
            </w:r>
          </w:p>
        </w:tc>
      </w:tr>
      <w:tr w14:paraId="7E2755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6" w:hRule="atLeast"/>
          <w:jc w:val="center"/>
        </w:trPr>
        <w:tc>
          <w:tcPr>
            <w:tcW w:w="55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49428E4">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1AF6B70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477DEBA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143B8922">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14:paraId="46E6BDFB">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60B25657">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noWrap w:val="0"/>
            <w:tcMar>
              <w:left w:w="108" w:type="dxa"/>
              <w:right w:w="108" w:type="dxa"/>
            </w:tcMar>
            <w:vAlign w:val="center"/>
          </w:tcPr>
          <w:p w14:paraId="3400AD85">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0" w:type="dxa"/>
            <w:tcBorders>
              <w:top w:val="nil"/>
              <w:left w:val="nil"/>
              <w:bottom w:val="single" w:color="auto" w:sz="8" w:space="0"/>
              <w:right w:val="single" w:color="auto" w:sz="8" w:space="0"/>
            </w:tcBorders>
            <w:noWrap w:val="0"/>
            <w:tcMar>
              <w:left w:w="108" w:type="dxa"/>
              <w:right w:w="108" w:type="dxa"/>
            </w:tcMar>
            <w:vAlign w:val="center"/>
          </w:tcPr>
          <w:p w14:paraId="6C94F079">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0" w:type="dxa"/>
            <w:tcBorders>
              <w:top w:val="nil"/>
              <w:left w:val="nil"/>
              <w:bottom w:val="single" w:color="auto" w:sz="8" w:space="0"/>
              <w:right w:val="single" w:color="auto" w:sz="8" w:space="0"/>
            </w:tcBorders>
            <w:noWrap w:val="0"/>
            <w:tcMar>
              <w:left w:w="108" w:type="dxa"/>
              <w:right w:w="108" w:type="dxa"/>
            </w:tcMar>
            <w:vAlign w:val="center"/>
          </w:tcPr>
          <w:p w14:paraId="03EE8BCA">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14:paraId="6D135E5E">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noWrap w:val="0"/>
            <w:tcMar>
              <w:left w:w="108" w:type="dxa"/>
              <w:right w:w="108" w:type="dxa"/>
            </w:tcMar>
            <w:vAlign w:val="center"/>
          </w:tcPr>
          <w:p w14:paraId="7EFC66AF">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noWrap w:val="0"/>
            <w:tcMar>
              <w:left w:w="108" w:type="dxa"/>
              <w:right w:w="108" w:type="dxa"/>
            </w:tcMar>
            <w:vAlign w:val="center"/>
          </w:tcPr>
          <w:p w14:paraId="3AFF5326">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noWrap w:val="0"/>
            <w:tcMar>
              <w:left w:w="108" w:type="dxa"/>
              <w:right w:w="108" w:type="dxa"/>
            </w:tcMar>
            <w:vAlign w:val="center"/>
          </w:tcPr>
          <w:p w14:paraId="6AF8C833">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noWrap w:val="0"/>
            <w:tcMar>
              <w:left w:w="108" w:type="dxa"/>
              <w:right w:w="108" w:type="dxa"/>
            </w:tcMar>
            <w:vAlign w:val="center"/>
          </w:tcPr>
          <w:p w14:paraId="765D250D">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14:paraId="3095CE6C">
            <w:pPr>
              <w:keepNext w:val="0"/>
              <w:keepLines w:val="0"/>
              <w:widowControl/>
              <w:suppressLineNumbers w:val="0"/>
              <w:spacing w:before="0" w:beforeAutospacing="0" w:after="0" w:afterAutospacing="0"/>
              <w:ind w:left="0" w:right="0" w:firstLine="0" w:firstLineChars="0"/>
              <w:jc w:val="center"/>
            </w:pPr>
            <w:r>
              <w:rPr>
                <w:rFonts w:hint="default" w:ascii="仿宋" w:hAnsi="仿宋" w:eastAsia="仿宋" w:cs="仿宋"/>
                <w:b w:val="0"/>
                <w:bCs w:val="0"/>
                <w:kern w:val="0"/>
                <w:sz w:val="32"/>
                <w:szCs w:val="32"/>
                <w:lang w:val="en-US" w:eastAsia="zh-CN" w:bidi="ar"/>
              </w:rPr>
              <w:t>0</w:t>
            </w:r>
          </w:p>
        </w:tc>
      </w:tr>
    </w:tbl>
    <w:p w14:paraId="66E25F08">
      <w:pPr>
        <w:pStyle w:val="3"/>
        <w:keepNext w:val="0"/>
        <w:keepLines w:val="0"/>
        <w:widowControl/>
        <w:suppressLineNumbers w:val="0"/>
        <w:spacing w:before="100" w:beforeAutospacing="1" w:after="100" w:afterAutospacing="1"/>
        <w:ind w:left="0" w:right="0"/>
      </w:pPr>
      <w:r>
        <w:rPr>
          <w:rFonts w:hint="default" w:ascii="Calibri" w:hAnsi="Calibri" w:eastAsia="宋体" w:cs="Times New Roman"/>
          <w:kern w:val="0"/>
          <w:sz w:val="24"/>
          <w:szCs w:val="24"/>
        </w:rPr>
        <w:t> </w:t>
      </w:r>
    </w:p>
    <w:p w14:paraId="50B3CA61">
      <w:pPr>
        <w:pStyle w:val="3"/>
        <w:keepNext w:val="0"/>
        <w:keepLines w:val="0"/>
        <w:widowControl/>
        <w:suppressLineNumbers w:val="0"/>
        <w:spacing w:before="100" w:beforeAutospacing="1" w:after="100" w:afterAutospacing="1"/>
        <w:ind w:left="0" w:right="0"/>
        <w:rPr>
          <w:color w:val="FF0000"/>
        </w:rPr>
      </w:pPr>
      <w:r>
        <w:rPr>
          <w:rFonts w:hint="default" w:ascii="黑体" w:hAnsi="宋体" w:eastAsia="黑体" w:cs="黑体"/>
          <w:kern w:val="2"/>
          <w:sz w:val="32"/>
          <w:szCs w:val="32"/>
        </w:rPr>
        <w:t>  </w:t>
      </w:r>
      <w:r>
        <w:rPr>
          <w:rFonts w:hint="default" w:ascii="黑体" w:hAnsi="宋体" w:eastAsia="黑体" w:cs="黑体"/>
          <w:color w:val="auto"/>
          <w:kern w:val="2"/>
          <w:sz w:val="32"/>
          <w:szCs w:val="32"/>
        </w:rPr>
        <w:t>五、存在的主要问题及改进情况</w:t>
      </w:r>
      <w:r>
        <w:rPr>
          <w:rFonts w:hint="default" w:ascii="黑体" w:hAnsi="宋体" w:eastAsia="黑体" w:cs="黑体"/>
          <w:color w:val="FF0000"/>
          <w:kern w:val="2"/>
          <w:sz w:val="32"/>
          <w:szCs w:val="32"/>
        </w:rPr>
        <w:t> </w:t>
      </w:r>
    </w:p>
    <w:p w14:paraId="5D278045">
      <w:pPr>
        <w:keepNext w:val="0"/>
        <w:keepLines w:val="0"/>
        <w:pageBreakBefore w:val="0"/>
        <w:widowControl/>
        <w:kinsoku/>
        <w:wordWrap/>
        <w:overflowPunct/>
        <w:topLinePunct w:val="0"/>
        <w:autoSpaceDE/>
        <w:autoSpaceDN/>
        <w:bidi w:val="0"/>
        <w:adjustRightInd w:val="0"/>
        <w:snapToGrid w:val="0"/>
        <w:spacing w:line="560" w:lineRule="exact"/>
        <w:ind w:left="0" w:right="0" w:firstLine="643" w:firstLineChars="200"/>
        <w:jc w:val="left"/>
        <w:textAlignment w:val="auto"/>
        <w:rPr>
          <w:rFonts w:hint="eastAsia" w:ascii="仿宋_GB2312" w:hAnsi="仿宋_GB2312" w:eastAsia="仿宋_GB2312" w:cs="仿宋_GB2312"/>
          <w:bCs/>
          <w:sz w:val="32"/>
          <w:szCs w:val="32"/>
          <w:lang w:eastAsia="zh-CN"/>
        </w:rPr>
      </w:pPr>
      <w:r>
        <w:rPr>
          <w:rFonts w:hint="default" w:ascii="仿宋_GB2312" w:hAnsi="Times New Roman" w:eastAsia="仿宋_GB2312" w:cs="仿宋_GB2312"/>
          <w:b/>
          <w:bCs/>
          <w:i w:val="0"/>
          <w:iCs w:val="0"/>
          <w:caps w:val="0"/>
          <w:color w:val="FF0000"/>
          <w:spacing w:val="0"/>
          <w:kern w:val="0"/>
          <w:sz w:val="32"/>
          <w:szCs w:val="32"/>
          <w:shd w:val="clear" w:color="auto" w:fill="FFFFFF"/>
        </w:rPr>
        <w:t> </w:t>
      </w:r>
      <w:r>
        <w:rPr>
          <w:rFonts w:hint="default" w:ascii="仿宋_GB2312" w:hAnsi="Times New Roman" w:eastAsia="仿宋_GB2312" w:cs="仿宋_GB2312"/>
          <w:b/>
          <w:bCs/>
          <w:i w:val="0"/>
          <w:iCs w:val="0"/>
          <w:caps w:val="0"/>
          <w:color w:val="auto"/>
          <w:spacing w:val="0"/>
          <w:kern w:val="0"/>
          <w:sz w:val="32"/>
          <w:szCs w:val="32"/>
          <w:shd w:val="clear" w:color="auto" w:fill="FFFFFF"/>
        </w:rPr>
        <w:t>存在问题：</w:t>
      </w:r>
      <w:r>
        <w:rPr>
          <w:rFonts w:hint="eastAsia" w:ascii="仿宋_GB2312" w:hAnsi="仿宋_GB2312" w:eastAsia="仿宋_GB2312" w:cs="仿宋_GB2312"/>
          <w:bCs/>
          <w:sz w:val="32"/>
          <w:szCs w:val="32"/>
          <w:lang w:val="en-US" w:eastAsia="zh-CN"/>
        </w:rPr>
        <w:t>1.形式创新不足。</w:t>
      </w:r>
      <w:r>
        <w:rPr>
          <w:rFonts w:hint="eastAsia" w:ascii="仿宋_GB2312" w:hAnsi="仿宋_GB2312" w:eastAsia="仿宋_GB2312" w:cs="仿宋_GB2312"/>
          <w:bCs/>
          <w:sz w:val="32"/>
          <w:szCs w:val="32"/>
          <w:lang w:eastAsia="zh-CN"/>
        </w:rPr>
        <w:t>政策解读仍以文字说明为主，可视化、互动化解读方式应用较少，老年群体获取信息的便捷性有待提升。</w:t>
      </w:r>
      <w:r>
        <w:rPr>
          <w:rFonts w:hint="eastAsia" w:ascii="仿宋_GB2312" w:hAnsi="仿宋_GB2312" w:eastAsia="仿宋_GB2312" w:cs="仿宋_GB2312"/>
          <w:bCs/>
          <w:sz w:val="32"/>
          <w:szCs w:val="32"/>
          <w:lang w:val="en-US" w:eastAsia="zh-CN"/>
        </w:rPr>
        <w:t>2. 基层基础薄弱。村</w:t>
      </w:r>
      <w:r>
        <w:rPr>
          <w:rFonts w:hint="eastAsia" w:ascii="仿宋_GB2312" w:hAnsi="仿宋_GB2312" w:eastAsia="仿宋_GB2312" w:cs="仿宋_GB2312"/>
          <w:bCs/>
          <w:sz w:val="32"/>
          <w:szCs w:val="32"/>
          <w:lang w:eastAsia="zh-CN"/>
        </w:rPr>
        <w:t>（居）政务公开工作人员多为兼职，专业能力参差不齐，信息更新时效性和规范性存在差异。</w:t>
      </w:r>
      <w:r>
        <w:rPr>
          <w:rFonts w:hint="eastAsia" w:ascii="仿宋_GB2312" w:hAnsi="仿宋_GB2312" w:eastAsia="仿宋_GB2312" w:cs="仿宋_GB2312"/>
          <w:bCs/>
          <w:sz w:val="32"/>
          <w:szCs w:val="32"/>
          <w:lang w:val="en-US" w:eastAsia="zh-CN"/>
        </w:rPr>
        <w:t>3. 互动实效有待提升。</w:t>
      </w:r>
      <w:r>
        <w:rPr>
          <w:rFonts w:hint="eastAsia" w:ascii="仿宋_GB2312" w:hAnsi="仿宋_GB2312" w:eastAsia="仿宋_GB2312" w:cs="仿宋_GB2312"/>
          <w:bCs/>
          <w:sz w:val="32"/>
          <w:szCs w:val="32"/>
          <w:lang w:eastAsia="zh-CN"/>
        </w:rPr>
        <w:t>公开形式比较单一，群众参与度需进一步增强。</w:t>
      </w:r>
    </w:p>
    <w:p w14:paraId="6ECDFE76">
      <w:pPr>
        <w:keepNext w:val="0"/>
        <w:keepLines w:val="0"/>
        <w:pageBreakBefore w:val="0"/>
        <w:widowControl/>
        <w:kinsoku/>
        <w:wordWrap/>
        <w:overflowPunct/>
        <w:topLinePunct w:val="0"/>
        <w:autoSpaceDE/>
        <w:autoSpaceDN/>
        <w:bidi w:val="0"/>
        <w:adjustRightInd w:val="0"/>
        <w:snapToGrid w:val="0"/>
        <w:spacing w:line="560" w:lineRule="exact"/>
        <w:ind w:left="0" w:right="0" w:firstLine="643" w:firstLineChars="200"/>
        <w:jc w:val="left"/>
        <w:textAlignment w:val="auto"/>
        <w:rPr>
          <w:color w:val="FF0000"/>
        </w:rPr>
      </w:pPr>
      <w:r>
        <w:rPr>
          <w:rFonts w:hint="default" w:ascii="仿宋_GB2312" w:hAnsi="Times New Roman" w:eastAsia="仿宋_GB2312" w:cs="仿宋_GB2312"/>
          <w:b/>
          <w:bCs/>
          <w:i w:val="0"/>
          <w:iCs w:val="0"/>
          <w:caps w:val="0"/>
          <w:color w:val="auto"/>
          <w:spacing w:val="0"/>
          <w:kern w:val="0"/>
          <w:sz w:val="32"/>
          <w:szCs w:val="32"/>
          <w:shd w:val="clear" w:color="auto" w:fill="FFFFFF"/>
          <w:lang w:val="en-US" w:eastAsia="zh-CN" w:bidi="ar"/>
        </w:rPr>
        <w:t>改进措施：</w:t>
      </w:r>
      <w:r>
        <w:rPr>
          <w:rFonts w:hint="eastAsia" w:ascii="仿宋_GB2312" w:hAnsi="仿宋_GB2312" w:eastAsia="仿宋_GB2312" w:cs="仿宋_GB2312"/>
          <w:bCs/>
          <w:sz w:val="32"/>
          <w:szCs w:val="32"/>
          <w:lang w:val="en-US" w:eastAsia="zh-CN"/>
        </w:rPr>
        <w:t>一是聚焦特殊群体，优化信息服务。积极运用数字化、可视化、互动化方式解读政策。除文字说明外，推广制作图文解读等多元化产品，使政策内容更直观、更易懂。针对老年群体信息获取特点，探索在村、社区党群服务中心和街道“5+2”就业之家等场所，提供人工导引服务，切实提升信息获取的便捷性与包容性。二是加强队伍建设，提升专业能力。推动落实村（居）政务公开工作人员配备要求，鼓励设置专职或明确主责人员。邀请专家学者或上级部门业务骨干进行授课，重点加强对政务公开政策法规、信息撰写、审核发布等方面的培训，提升工作人员的政策水平和实操能力。三是完善互动渠道，强化公众参与。建立健全常态化的互动机制，综合利用政府网站、线下座谈会、调查问卷等多种方式，广泛征集公众意见建议。对于公众关注度高、涉及切身利益的重大决策或政策调整，提前公开征求意见，并适时反馈意见采纳情况，增强互动的实质性和闭环性，切实提升群众的参与感与满意度。</w:t>
      </w:r>
    </w:p>
    <w:p w14:paraId="49AF7126">
      <w:pPr>
        <w:pStyle w:val="3"/>
        <w:keepNext w:val="0"/>
        <w:keepLines w:val="0"/>
        <w:widowControl/>
        <w:suppressLineNumbers w:val="0"/>
        <w:spacing w:before="0" w:beforeAutospacing="0" w:after="105" w:afterAutospacing="0" w:line="240" w:lineRule="atLeast"/>
        <w:ind w:left="0" w:right="0" w:firstLine="420"/>
        <w:jc w:val="both"/>
      </w:pPr>
      <w:r>
        <w:rPr>
          <w:rFonts w:hint="default" w:ascii="黑体" w:hAnsi="宋体" w:eastAsia="黑体" w:cs="黑体"/>
          <w:kern w:val="0"/>
          <w:sz w:val="28"/>
          <w:szCs w:val="28"/>
        </w:rPr>
        <w:t>六、其他需要报告的事项 </w:t>
      </w:r>
    </w:p>
    <w:p w14:paraId="5266064F">
      <w:pPr>
        <w:pStyle w:val="3"/>
        <w:keepNext w:val="0"/>
        <w:keepLines w:val="0"/>
        <w:widowControl/>
        <w:suppressLineNumbers w:val="0"/>
        <w:spacing w:before="0" w:beforeAutospacing="0" w:after="105" w:afterAutospacing="0" w:line="240" w:lineRule="atLeast"/>
        <w:ind w:left="0" w:right="0" w:firstLine="420"/>
        <w:jc w:val="both"/>
      </w:pPr>
      <w:r>
        <w:rPr>
          <w:rFonts w:hint="default" w:ascii="Times New Roman" w:hAnsi="Times New Roman" w:eastAsia="仿宋_GB2312" w:cs="Times New Roman"/>
          <w:i w:val="0"/>
          <w:iCs w:val="0"/>
          <w:caps w:val="0"/>
          <w:spacing w:val="0"/>
          <w:kern w:val="0"/>
          <w:sz w:val="32"/>
          <w:szCs w:val="32"/>
          <w:shd w:val="clear" w:color="auto" w:fill="FFFFFF"/>
        </w:rPr>
        <w:t>202</w:t>
      </w:r>
      <w:r>
        <w:rPr>
          <w:rFonts w:hint="eastAsia" w:ascii="Times New Roman" w:hAnsi="Times New Roman" w:eastAsia="仿宋_GB2312" w:cs="Times New Roman"/>
          <w:i w:val="0"/>
          <w:iCs w:val="0"/>
          <w:caps w:val="0"/>
          <w:spacing w:val="0"/>
          <w:kern w:val="0"/>
          <w:sz w:val="32"/>
          <w:szCs w:val="32"/>
          <w:shd w:val="clear" w:color="auto" w:fill="FFFFFF"/>
          <w:lang w:val="en-US" w:eastAsia="zh-CN"/>
        </w:rPr>
        <w:t>5</w:t>
      </w:r>
      <w:r>
        <w:rPr>
          <w:rFonts w:hint="default" w:ascii="仿宋_GB2312" w:hAnsi="Times New Roman" w:eastAsia="仿宋_GB2312" w:cs="仿宋_GB2312"/>
          <w:i w:val="0"/>
          <w:iCs w:val="0"/>
          <w:caps w:val="0"/>
          <w:spacing w:val="0"/>
          <w:kern w:val="0"/>
          <w:sz w:val="32"/>
          <w:szCs w:val="32"/>
          <w:shd w:val="clear" w:color="auto" w:fill="FFFFFF"/>
        </w:rPr>
        <w:t>年度，本机关无收取信息处理费情况。</w:t>
      </w:r>
    </w:p>
    <w:p w14:paraId="01D31C3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7F30790"/>
    <w:rsid w:val="0E9D7D0E"/>
    <w:rsid w:val="0F176B43"/>
    <w:rsid w:val="101B562E"/>
    <w:rsid w:val="13AD22D8"/>
    <w:rsid w:val="17E23913"/>
    <w:rsid w:val="1CA15BED"/>
    <w:rsid w:val="258B383C"/>
    <w:rsid w:val="41BA6C7A"/>
    <w:rsid w:val="41EB31A3"/>
    <w:rsid w:val="48B40105"/>
    <w:rsid w:val="4B2B6DA4"/>
    <w:rsid w:val="4DDE6B8E"/>
    <w:rsid w:val="5A36306F"/>
    <w:rsid w:val="61206DCE"/>
    <w:rsid w:val="6FA13310"/>
    <w:rsid w:val="A7F307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2"/>
      <w:szCs w:val="32"/>
      <w:lang w:val="en-US" w:eastAsia="en-US" w:bidi="ar-SA"/>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3098</Words>
  <Characters>3143</Characters>
  <Lines>0</Lines>
  <Paragraphs>0</Paragraphs>
  <TotalTime>0</TotalTime>
  <ScaleCrop>false</ScaleCrop>
  <LinksUpToDate>false</LinksUpToDate>
  <CharactersWithSpaces>3144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2025-12-03T10:43:00Z</dcterms:created>
  <dc:creator>范范</dc:creator>
  <cp:lastModifiedBy>卿沫</cp:lastModifiedBy>
  <dcterms:modified xsi:type="dcterms:W3CDTF">2025-12-15T01:19:39Z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62D306D968F9418EB5650AC76BAFB59C_13</vt:lpwstr>
  </property>
  <property fmtid="{D5CDD505-2E9C-101B-9397-08002B2CF9AE}" pid="4" name="KSOTemplateDocerSaveRecord">
    <vt:lpwstr>eyJoZGlkIjoiZmJhZjM4NWU5ZGNlNmZlNDVjMDI4OGEwMjc1MjQxNmMiLCJ1c2VySWQiOiI2OTc5NzY1OTQifQ==</vt:lpwstr>
  </property>
</Properties>
</file>