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3EB" w:rsidRDefault="002033EB">
      <w:pPr>
        <w:spacing w:line="400" w:lineRule="exact"/>
        <w:jc w:val="center"/>
        <w:rPr>
          <w:rFonts w:eastAsia="仿宋_GB2312"/>
          <w:b/>
          <w:sz w:val="44"/>
          <w:szCs w:val="44"/>
        </w:rPr>
      </w:pPr>
    </w:p>
    <w:p w:rsidR="002033EB" w:rsidRDefault="00F844E9">
      <w:pPr>
        <w:spacing w:line="400" w:lineRule="exact"/>
        <w:jc w:val="center"/>
        <w:rPr>
          <w:rFonts w:eastAsia="仿宋_GB2312"/>
          <w:b/>
          <w:sz w:val="36"/>
          <w:szCs w:val="36"/>
        </w:rPr>
      </w:pPr>
      <w:r>
        <w:rPr>
          <w:rFonts w:eastAsia="仿宋_GB2312"/>
          <w:b/>
          <w:sz w:val="36"/>
          <w:szCs w:val="36"/>
        </w:rPr>
        <w:t>关于</w:t>
      </w:r>
      <w:r>
        <w:rPr>
          <w:rFonts w:eastAsia="仿宋_GB2312" w:hint="eastAsia"/>
          <w:b/>
          <w:sz w:val="36"/>
          <w:szCs w:val="36"/>
        </w:rPr>
        <w:t>20</w:t>
      </w:r>
      <w:r>
        <w:rPr>
          <w:rFonts w:eastAsia="仿宋_GB2312" w:hint="eastAsia"/>
          <w:b/>
          <w:sz w:val="36"/>
          <w:szCs w:val="36"/>
        </w:rPr>
        <w:t>22</w:t>
      </w:r>
      <w:r>
        <w:rPr>
          <w:rFonts w:eastAsia="仿宋_GB2312"/>
          <w:b/>
          <w:sz w:val="36"/>
          <w:szCs w:val="36"/>
        </w:rPr>
        <w:t>年度</w:t>
      </w:r>
      <w:r>
        <w:rPr>
          <w:rFonts w:eastAsia="仿宋_GB2312" w:hint="eastAsia"/>
          <w:b/>
          <w:sz w:val="36"/>
          <w:szCs w:val="36"/>
        </w:rPr>
        <w:t>报废</w:t>
      </w:r>
      <w:r>
        <w:rPr>
          <w:rFonts w:eastAsia="仿宋_GB2312" w:hint="eastAsia"/>
          <w:b/>
          <w:sz w:val="36"/>
          <w:szCs w:val="36"/>
        </w:rPr>
        <w:t>车辆和</w:t>
      </w:r>
      <w:r>
        <w:rPr>
          <w:rFonts w:eastAsia="仿宋_GB2312" w:hint="eastAsia"/>
          <w:b/>
          <w:sz w:val="36"/>
          <w:szCs w:val="36"/>
        </w:rPr>
        <w:t>民爆器材</w:t>
      </w:r>
      <w:r>
        <w:rPr>
          <w:rFonts w:eastAsia="仿宋_GB2312"/>
          <w:b/>
          <w:sz w:val="36"/>
          <w:szCs w:val="36"/>
        </w:rPr>
        <w:t>项目资金的绩效</w:t>
      </w:r>
    </w:p>
    <w:p w:rsidR="002033EB" w:rsidRDefault="00F844E9">
      <w:pPr>
        <w:spacing w:line="400" w:lineRule="exact"/>
        <w:ind w:firstLineChars="900" w:firstLine="3253"/>
        <w:rPr>
          <w:rFonts w:eastAsia="仿宋_GB2312"/>
          <w:b/>
          <w:sz w:val="36"/>
          <w:szCs w:val="36"/>
        </w:rPr>
      </w:pPr>
      <w:r>
        <w:rPr>
          <w:rFonts w:eastAsia="仿宋_GB2312"/>
          <w:b/>
          <w:sz w:val="36"/>
          <w:szCs w:val="36"/>
        </w:rPr>
        <w:t>评价报告</w:t>
      </w:r>
    </w:p>
    <w:p w:rsidR="002033EB" w:rsidRDefault="002033EB">
      <w:pPr>
        <w:spacing w:line="400" w:lineRule="exact"/>
        <w:jc w:val="center"/>
        <w:rPr>
          <w:rFonts w:eastAsia="仿宋_GB2312"/>
          <w:b/>
          <w:sz w:val="24"/>
        </w:rPr>
      </w:pPr>
    </w:p>
    <w:p w:rsidR="002033EB" w:rsidRDefault="00F844E9">
      <w:pPr>
        <w:rPr>
          <w:rFonts w:ascii="黑体" w:eastAsia="黑体" w:hAnsi="黑体" w:cs="黑体"/>
          <w:b/>
          <w:bCs/>
          <w:sz w:val="32"/>
          <w:szCs w:val="32"/>
        </w:rPr>
      </w:pPr>
      <w:r>
        <w:rPr>
          <w:rFonts w:ascii="黑体" w:eastAsia="黑体" w:hAnsi="黑体" w:cs="黑体" w:hint="eastAsia"/>
          <w:b/>
          <w:bCs/>
          <w:sz w:val="32"/>
          <w:szCs w:val="32"/>
        </w:rPr>
        <w:t>一、项目基本情况</w:t>
      </w:r>
    </w:p>
    <w:p w:rsidR="002033EB" w:rsidRDefault="00F844E9">
      <w:pPr>
        <w:ind w:firstLineChars="200" w:firstLine="643"/>
        <w:rPr>
          <w:rFonts w:ascii="仿宋_GB2312" w:eastAsia="仿宋_GB2312" w:cs="仿宋_GB2312"/>
          <w:b/>
          <w:bCs/>
          <w:sz w:val="32"/>
          <w:szCs w:val="32"/>
        </w:rPr>
      </w:pPr>
      <w:r>
        <w:rPr>
          <w:rFonts w:ascii="仿宋_GB2312" w:eastAsia="仿宋_GB2312" w:cs="仿宋_GB2312" w:hint="eastAsia"/>
          <w:b/>
          <w:bCs/>
          <w:sz w:val="32"/>
          <w:szCs w:val="32"/>
        </w:rPr>
        <w:t>（一）项目概况：</w:t>
      </w:r>
    </w:p>
    <w:p w:rsidR="002033EB" w:rsidRPr="00B77FDF" w:rsidRDefault="00F844E9" w:rsidP="00B77FDF">
      <w:pPr>
        <w:spacing w:line="560" w:lineRule="exact"/>
        <w:ind w:firstLineChars="250" w:firstLine="800"/>
        <w:rPr>
          <w:rFonts w:ascii="仿宋" w:eastAsia="仿宋" w:hAnsi="仿宋" w:cs="仿宋"/>
          <w:b/>
          <w:sz w:val="32"/>
          <w:szCs w:val="32"/>
        </w:rPr>
      </w:pPr>
      <w:r>
        <w:rPr>
          <w:rFonts w:ascii="仿宋_GB2312" w:eastAsia="仿宋_GB2312" w:hAnsi="Calibri" w:cs="仿宋_GB2312" w:hint="eastAsia"/>
          <w:sz w:val="32"/>
          <w:szCs w:val="32"/>
        </w:rPr>
        <w:t>为加强资金管理，提高财政预算项目资金使用效率，加强对项目管理与监督，对</w:t>
      </w:r>
      <w:r>
        <w:rPr>
          <w:rFonts w:ascii="仿宋_GB2312" w:eastAsia="仿宋_GB2312" w:hAnsi="Calibri" w:cs="仿宋_GB2312" w:hint="eastAsia"/>
          <w:sz w:val="32"/>
          <w:szCs w:val="32"/>
        </w:rPr>
        <w:t>2022</w:t>
      </w:r>
      <w:r>
        <w:rPr>
          <w:rFonts w:ascii="仿宋_GB2312" w:eastAsia="仿宋_GB2312" w:hAnsi="Calibri" w:cs="仿宋_GB2312" w:hint="eastAsia"/>
          <w:sz w:val="32"/>
          <w:szCs w:val="32"/>
        </w:rPr>
        <w:t>年度拨付</w:t>
      </w:r>
      <w:r>
        <w:rPr>
          <w:rFonts w:ascii="仿宋_GB2312" w:eastAsia="仿宋_GB2312" w:cs="仿宋_GB2312" w:hint="eastAsia"/>
          <w:sz w:val="32"/>
          <w:szCs w:val="32"/>
        </w:rPr>
        <w:t>的</w:t>
      </w:r>
      <w:r>
        <w:rPr>
          <w:rFonts w:ascii="仿宋_GB2312" w:eastAsia="仿宋_GB2312" w:hAnsi="Calibri" w:cs="仿宋_GB2312" w:hint="eastAsia"/>
          <w:sz w:val="32"/>
          <w:szCs w:val="32"/>
        </w:rPr>
        <w:t>民爆器材与报废车辆项目开展绩效评价。</w:t>
      </w:r>
      <w:r>
        <w:rPr>
          <w:rFonts w:ascii="仿宋" w:eastAsia="仿宋" w:hAnsi="仿宋" w:cs="仿宋" w:hint="eastAsia"/>
          <w:sz w:val="32"/>
          <w:szCs w:val="32"/>
        </w:rPr>
        <w:t>高安市物</w:t>
      </w:r>
      <w:r>
        <w:rPr>
          <w:rFonts w:ascii="仿宋" w:eastAsia="仿宋" w:hAnsi="仿宋" w:cs="仿宋" w:hint="eastAsia"/>
          <w:sz w:val="32"/>
          <w:szCs w:val="32"/>
        </w:rPr>
        <w:t>流产业发展</w:t>
      </w:r>
      <w:r>
        <w:rPr>
          <w:rFonts w:ascii="仿宋" w:eastAsia="仿宋" w:hAnsi="仿宋" w:cs="仿宋" w:hint="eastAsia"/>
          <w:sz w:val="32"/>
          <w:szCs w:val="32"/>
        </w:rPr>
        <w:t>服务中心领导小组下到高安市瑞安民爆器材专营有限公司督促公司加强安全生产责任制及安全管理制度的实施，加强民爆器材的生产销售安全措施，监控爆炸物的流向，督促公司组织员工参加全国安全知识竞赛安全生产月测试，平时经常学习有关安全法制，增强应急意识，有效防范化解安全重大隐患，促进安全生产形势保持稳定。另外督促</w:t>
      </w:r>
      <w:r>
        <w:rPr>
          <w:rFonts w:ascii="仿宋" w:eastAsia="仿宋" w:hAnsi="仿宋" w:cs="仿宋" w:hint="eastAsia"/>
          <w:sz w:val="32"/>
          <w:szCs w:val="32"/>
        </w:rPr>
        <w:t>报废车收购</w:t>
      </w:r>
      <w:r>
        <w:rPr>
          <w:rFonts w:ascii="仿宋" w:eastAsia="仿宋" w:hAnsi="仿宋" w:cs="仿宋" w:hint="eastAsia"/>
          <w:sz w:val="32"/>
          <w:szCs w:val="32"/>
        </w:rPr>
        <w:t>公司规范收购报废车辆，防止报废汽车和拼装车上路行驶，维护道路交通秩序，保障人民生命财产安全，保护环境，加强循环经济。</w:t>
      </w:r>
    </w:p>
    <w:p w:rsidR="002033EB" w:rsidRDefault="00F844E9">
      <w:pPr>
        <w:numPr>
          <w:ilvl w:val="0"/>
          <w:numId w:val="1"/>
        </w:numPr>
        <w:ind w:firstLineChars="100" w:firstLine="321"/>
        <w:rPr>
          <w:rFonts w:ascii="仿宋_GB2312" w:eastAsia="仿宋_GB2312"/>
          <w:sz w:val="32"/>
          <w:szCs w:val="32"/>
        </w:rPr>
      </w:pPr>
      <w:r>
        <w:rPr>
          <w:rFonts w:ascii="仿宋_GB2312" w:eastAsia="仿宋_GB2312" w:cs="仿宋_GB2312" w:hint="eastAsia"/>
          <w:b/>
          <w:bCs/>
          <w:sz w:val="32"/>
          <w:szCs w:val="32"/>
        </w:rPr>
        <w:t>项目绩效目标</w:t>
      </w:r>
    </w:p>
    <w:p w:rsidR="002033EB" w:rsidRDefault="00F844E9">
      <w:pPr>
        <w:pStyle w:val="PlainText"/>
        <w:ind w:firstLineChars="200" w:firstLine="640"/>
        <w:rPr>
          <w:rFonts w:ascii="仿宋_GB2312" w:eastAsia="仿宋_GB2312" w:cs="仿宋_GB2312"/>
          <w:b/>
          <w:bCs/>
          <w:sz w:val="32"/>
          <w:szCs w:val="32"/>
        </w:rPr>
      </w:pPr>
      <w:r>
        <w:rPr>
          <w:rFonts w:ascii="仿宋_GB2312" w:eastAsia="仿宋_GB2312" w:hAnsi="仿宋_GB2312" w:cs="仿宋_GB2312" w:hint="eastAsia"/>
          <w:kern w:val="0"/>
          <w:sz w:val="32"/>
          <w:szCs w:val="32"/>
          <w:lang/>
        </w:rPr>
        <w:t>总体目标是根据相关文件精神年度巡查次数为</w:t>
      </w:r>
      <w:r>
        <w:rPr>
          <w:rFonts w:ascii="仿宋_GB2312" w:eastAsia="仿宋_GB2312" w:hAnsi="仿宋_GB2312" w:cs="仿宋_GB2312" w:hint="eastAsia"/>
          <w:kern w:val="0"/>
          <w:sz w:val="32"/>
          <w:szCs w:val="32"/>
          <w:lang/>
        </w:rPr>
        <w:t>24</w:t>
      </w:r>
      <w:r>
        <w:rPr>
          <w:rFonts w:ascii="仿宋_GB2312" w:eastAsia="仿宋_GB2312" w:hAnsi="仿宋_GB2312" w:cs="仿宋_GB2312" w:hint="eastAsia"/>
          <w:kern w:val="0"/>
          <w:sz w:val="32"/>
          <w:szCs w:val="32"/>
          <w:lang/>
        </w:rPr>
        <w:t>次以上，安全生产事故为</w:t>
      </w:r>
      <w:r>
        <w:rPr>
          <w:rFonts w:ascii="仿宋_GB2312" w:eastAsia="仿宋_GB2312" w:hAnsi="仿宋_GB2312" w:cs="仿宋_GB2312" w:hint="eastAsia"/>
          <w:kern w:val="0"/>
          <w:sz w:val="32"/>
          <w:szCs w:val="32"/>
          <w:lang/>
        </w:rPr>
        <w:t>0</w:t>
      </w:r>
      <w:r>
        <w:rPr>
          <w:rFonts w:ascii="仿宋_GB2312" w:eastAsia="仿宋_GB2312" w:hAnsi="仿宋_GB2312" w:cs="仿宋_GB2312" w:hint="eastAsia"/>
          <w:kern w:val="0"/>
          <w:sz w:val="32"/>
          <w:szCs w:val="32"/>
          <w:lang/>
        </w:rPr>
        <w:t>，促进资源的再利用。</w:t>
      </w:r>
    </w:p>
    <w:p w:rsidR="002033EB" w:rsidRDefault="00F844E9">
      <w:pPr>
        <w:pStyle w:val="a3"/>
        <w:widowControl/>
        <w:shd w:val="clear" w:color="auto" w:fill="FFFFFF"/>
        <w:spacing w:before="0" w:beforeAutospacing="0" w:after="0" w:afterAutospacing="0"/>
        <w:jc w:val="both"/>
        <w:rPr>
          <w:rFonts w:ascii="黑体" w:eastAsia="黑体" w:hAnsi="黑体" w:cs="黑体"/>
          <w:b/>
          <w:bCs/>
          <w:kern w:val="2"/>
          <w:sz w:val="32"/>
          <w:szCs w:val="32"/>
        </w:rPr>
      </w:pPr>
      <w:r>
        <w:rPr>
          <w:rFonts w:ascii="黑体" w:eastAsia="黑体" w:hAnsi="黑体" w:cs="黑体" w:hint="eastAsia"/>
          <w:b/>
          <w:bCs/>
          <w:kern w:val="2"/>
          <w:sz w:val="32"/>
          <w:szCs w:val="32"/>
        </w:rPr>
        <w:t>二、绩效自评工作开展情况</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在绩效评价工作中，我</w:t>
      </w:r>
      <w:r>
        <w:rPr>
          <w:rFonts w:ascii="仿宋_GB2312" w:eastAsia="仿宋_GB2312" w:hAnsi="Calibri" w:cs="仿宋_GB2312" w:hint="eastAsia"/>
          <w:kern w:val="2"/>
          <w:sz w:val="32"/>
          <w:szCs w:val="32"/>
        </w:rPr>
        <w:t>办</w:t>
      </w:r>
      <w:r>
        <w:rPr>
          <w:rFonts w:ascii="仿宋_GB2312" w:eastAsia="仿宋_GB2312" w:hAnsi="Calibri" w:cs="仿宋_GB2312"/>
          <w:kern w:val="2"/>
          <w:sz w:val="32"/>
          <w:szCs w:val="32"/>
        </w:rPr>
        <w:t>严格按照</w:t>
      </w:r>
      <w:bookmarkStart w:id="0" w:name="标题"/>
      <w:r>
        <w:rPr>
          <w:rFonts w:ascii="仿宋_GB2312" w:eastAsia="仿宋_GB2312" w:hAnsi="Calibri" w:cs="仿宋_GB2312" w:hint="eastAsia"/>
          <w:kern w:val="2"/>
          <w:sz w:val="32"/>
          <w:szCs w:val="32"/>
        </w:rPr>
        <w:t>高安市财政局关于县级部门开展单位自评及部门评价工作的通知</w:t>
      </w:r>
      <w:bookmarkEnd w:id="0"/>
      <w:r>
        <w:rPr>
          <w:rFonts w:ascii="仿宋_GB2312" w:eastAsia="仿宋_GB2312" w:hAnsi="Calibri" w:cs="仿宋_GB2312" w:hint="eastAsia"/>
          <w:kern w:val="2"/>
          <w:sz w:val="32"/>
          <w:szCs w:val="32"/>
        </w:rPr>
        <w:t>的</w:t>
      </w:r>
      <w:r>
        <w:rPr>
          <w:rFonts w:ascii="仿宋_GB2312" w:eastAsia="仿宋_GB2312" w:hAnsi="Calibri" w:cs="仿宋_GB2312"/>
          <w:kern w:val="2"/>
          <w:sz w:val="32"/>
          <w:szCs w:val="32"/>
        </w:rPr>
        <w:t>相关工作要求，扎实开展好绩效评价工作。</w:t>
      </w:r>
    </w:p>
    <w:p w:rsidR="002033EB" w:rsidRDefault="00F844E9">
      <w:pPr>
        <w:pStyle w:val="a3"/>
        <w:widowControl/>
        <w:shd w:val="clear" w:color="auto" w:fill="FFFFFF"/>
        <w:spacing w:before="0" w:beforeAutospacing="0" w:after="0" w:afterAutospacing="0"/>
        <w:ind w:firstLineChars="200" w:firstLine="643"/>
        <w:jc w:val="both"/>
        <w:rPr>
          <w:rFonts w:ascii="仿宋_GB2312" w:eastAsia="仿宋_GB2312" w:hAnsi="Calibri" w:cs="仿宋_GB2312"/>
          <w:b/>
          <w:bCs/>
          <w:kern w:val="2"/>
          <w:sz w:val="32"/>
          <w:szCs w:val="32"/>
        </w:rPr>
      </w:pPr>
      <w:r>
        <w:rPr>
          <w:rFonts w:ascii="仿宋_GB2312" w:eastAsia="仿宋_GB2312" w:hAnsi="Calibri" w:cs="仿宋_GB2312"/>
          <w:b/>
          <w:bCs/>
          <w:kern w:val="2"/>
          <w:sz w:val="32"/>
          <w:szCs w:val="32"/>
        </w:rPr>
        <w:t>（一）绩效评价的目的、对象和范围</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lastRenderedPageBreak/>
        <w:t>本次部门绩效评价主要包括项目绩效目标设置的合理性、产出指标、效益指标、满意度指标</w:t>
      </w:r>
      <w:r>
        <w:rPr>
          <w:rFonts w:ascii="仿宋_GB2312" w:eastAsia="仿宋_GB2312" w:hAnsi="Calibri" w:cs="仿宋_GB2312" w:hint="eastAsia"/>
          <w:kern w:val="2"/>
          <w:sz w:val="32"/>
          <w:szCs w:val="32"/>
        </w:rPr>
        <w:t>，</w:t>
      </w:r>
      <w:r>
        <w:rPr>
          <w:rFonts w:ascii="仿宋_GB2312" w:eastAsia="仿宋_GB2312" w:hAnsi="Calibri" w:cs="仿宋_GB2312"/>
          <w:kern w:val="2"/>
          <w:sz w:val="32"/>
          <w:szCs w:val="32"/>
        </w:rPr>
        <w:t>为加强管理所制定的相关制度、制度执行情况、采取的措施、绩效目标实现程度以及所产生的社会、经济效益等。</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通过绩效评价旨在督促相关单位进一步规范完善项目资金的使用和管理，并考核项目在一定期限内达到的产出与效益，为今后提高专项资金使用的财政绩效提供借鉴。</w:t>
      </w:r>
    </w:p>
    <w:p w:rsidR="002033EB" w:rsidRDefault="00F844E9" w:rsidP="00B77FDF">
      <w:pPr>
        <w:pStyle w:val="a3"/>
        <w:widowControl/>
        <w:shd w:val="clear" w:color="auto" w:fill="FFFFFF"/>
        <w:spacing w:before="0" w:beforeAutospacing="0" w:after="0" w:afterAutospacing="0"/>
        <w:ind w:leftChars="100" w:left="210" w:firstLineChars="100" w:firstLine="321"/>
        <w:jc w:val="both"/>
        <w:rPr>
          <w:rFonts w:ascii="仿宋_GB2312" w:eastAsia="仿宋_GB2312" w:hAnsi="Calibri" w:cs="仿宋_GB2312"/>
          <w:kern w:val="2"/>
          <w:sz w:val="32"/>
          <w:szCs w:val="32"/>
        </w:rPr>
      </w:pPr>
      <w:r>
        <w:rPr>
          <w:rFonts w:ascii="仿宋_GB2312" w:eastAsia="仿宋_GB2312" w:hAnsi="Calibri" w:cs="仿宋_GB2312" w:hint="eastAsia"/>
          <w:b/>
          <w:bCs/>
          <w:kern w:val="2"/>
          <w:sz w:val="32"/>
          <w:szCs w:val="32"/>
        </w:rPr>
        <w:t>（二）</w:t>
      </w:r>
      <w:r>
        <w:rPr>
          <w:rFonts w:ascii="仿宋_GB2312" w:eastAsia="仿宋_GB2312" w:hAnsi="Calibri" w:cs="仿宋_GB2312"/>
          <w:b/>
          <w:bCs/>
          <w:kern w:val="2"/>
          <w:sz w:val="32"/>
          <w:szCs w:val="32"/>
        </w:rPr>
        <w:t>绩效评价原则、指标体系、方法及标准</w:t>
      </w:r>
    </w:p>
    <w:p w:rsidR="002033EB" w:rsidRDefault="00F844E9">
      <w:pPr>
        <w:pStyle w:val="a3"/>
        <w:widowControl/>
        <w:shd w:val="clear" w:color="auto" w:fill="FFFFFF"/>
        <w:spacing w:before="0" w:beforeAutospacing="0" w:after="0" w:afterAutospacing="0"/>
        <w:ind w:firstLineChars="200" w:firstLine="640"/>
        <w:rPr>
          <w:rFonts w:ascii="仿宋_GB2312" w:eastAsia="仿宋_GB2312" w:hAnsi="Calibri" w:cs="仿宋_GB2312" w:hint="eastAsia"/>
          <w:kern w:val="2"/>
          <w:sz w:val="32"/>
          <w:szCs w:val="32"/>
        </w:rPr>
      </w:pPr>
      <w:r>
        <w:rPr>
          <w:rFonts w:ascii="仿宋_GB2312" w:eastAsia="仿宋_GB2312" w:hAnsi="Calibri" w:cs="仿宋_GB2312" w:hint="eastAsia"/>
          <w:kern w:val="2"/>
          <w:sz w:val="32"/>
          <w:szCs w:val="32"/>
        </w:rPr>
        <w:t>（</w:t>
      </w:r>
      <w:r>
        <w:rPr>
          <w:rFonts w:ascii="仿宋_GB2312" w:eastAsia="仿宋_GB2312" w:hAnsi="Calibri" w:cs="仿宋_GB2312" w:hint="eastAsia"/>
          <w:kern w:val="2"/>
          <w:sz w:val="32"/>
          <w:szCs w:val="32"/>
        </w:rPr>
        <w:t>1</w:t>
      </w:r>
      <w:r>
        <w:rPr>
          <w:rFonts w:ascii="仿宋_GB2312" w:eastAsia="仿宋_GB2312" w:hAnsi="Calibri" w:cs="仿宋_GB2312" w:hint="eastAsia"/>
          <w:kern w:val="2"/>
          <w:sz w:val="32"/>
          <w:szCs w:val="32"/>
        </w:rPr>
        <w:t>）</w:t>
      </w:r>
      <w:r>
        <w:rPr>
          <w:rFonts w:ascii="仿宋_GB2312" w:eastAsia="仿宋_GB2312" w:hAnsi="Calibri" w:cs="仿宋_GB2312"/>
          <w:kern w:val="2"/>
          <w:sz w:val="32"/>
          <w:szCs w:val="32"/>
        </w:rPr>
        <w:t>评价原则：以项目绩效产出及效益为侧重，运用科学合理的方法，按规范程序对项目绩效进行客观、公正反映，并与项目预算安排、政策调整、改进管理实质性相挂钩，评价结果依法依规公开，接受社会监督。</w:t>
      </w:r>
    </w:p>
    <w:p w:rsidR="00B77FDF" w:rsidRDefault="00B77FDF" w:rsidP="00B77FDF">
      <w:pPr>
        <w:pStyle w:val="a3"/>
        <w:widowControl/>
        <w:shd w:val="clear" w:color="auto" w:fill="FFFFFF"/>
        <w:spacing w:before="0" w:beforeAutospacing="0" w:after="0" w:afterAutospacing="0"/>
        <w:ind w:firstLineChars="200" w:firstLine="640"/>
        <w:rPr>
          <w:rFonts w:ascii="仿宋_GB2312" w:eastAsia="仿宋_GB2312" w:hAnsi="Calibri" w:cs="仿宋_GB2312"/>
          <w:kern w:val="2"/>
          <w:sz w:val="32"/>
          <w:szCs w:val="32"/>
        </w:rPr>
      </w:pPr>
      <w:r>
        <w:rPr>
          <w:rFonts w:ascii="仿宋_GB2312" w:eastAsia="仿宋_GB2312" w:hAnsi="Calibri" w:cs="仿宋_GB2312" w:hint="eastAsia"/>
          <w:kern w:val="2"/>
          <w:sz w:val="32"/>
          <w:szCs w:val="32"/>
        </w:rPr>
        <w:t>（2）评价主要指标体系</w:t>
      </w:r>
      <w:r w:rsidRPr="00B77FDF">
        <w:rPr>
          <w:rFonts w:ascii="仿宋_GB2312" w:eastAsia="仿宋_GB2312" w:hAnsi="Calibri" w:cs="仿宋_GB2312" w:hint="eastAsia"/>
          <w:kern w:val="2"/>
          <w:sz w:val="32"/>
          <w:szCs w:val="32"/>
        </w:rPr>
        <w:drawing>
          <wp:inline distT="0" distB="0" distL="114300" distR="114300">
            <wp:extent cx="5557520" cy="3313626"/>
            <wp:effectExtent l="19050" t="0" r="5080" b="0"/>
            <wp:docPr id="3" name="图片 2" descr="绩效目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绩效目标"/>
                    <pic:cNvPicPr>
                      <a:picLocks noChangeAspect="1"/>
                    </pic:cNvPicPr>
                  </pic:nvPicPr>
                  <pic:blipFill>
                    <a:blip r:embed="rId7"/>
                    <a:stretch>
                      <a:fillRect/>
                    </a:stretch>
                  </pic:blipFill>
                  <pic:spPr>
                    <a:xfrm>
                      <a:off x="0" y="0"/>
                      <a:ext cx="5557520" cy="3313626"/>
                    </a:xfrm>
                    <a:prstGeom prst="rect">
                      <a:avLst/>
                    </a:prstGeom>
                  </pic:spPr>
                </pic:pic>
              </a:graphicData>
            </a:graphic>
          </wp:inline>
        </w:drawing>
      </w:r>
    </w:p>
    <w:p w:rsidR="00B77FDF" w:rsidRDefault="00B77FDF">
      <w:pPr>
        <w:pStyle w:val="a3"/>
        <w:widowControl/>
        <w:shd w:val="clear" w:color="auto" w:fill="FFFFFF"/>
        <w:spacing w:before="0" w:beforeAutospacing="0" w:after="0" w:afterAutospacing="0"/>
        <w:jc w:val="center"/>
        <w:rPr>
          <w:rFonts w:ascii="仿宋_GB2312" w:eastAsia="仿宋_GB2312" w:hAnsi="Calibri" w:cs="仿宋_GB2312" w:hint="eastAsia"/>
          <w:kern w:val="2"/>
          <w:sz w:val="32"/>
          <w:szCs w:val="32"/>
        </w:rPr>
      </w:pPr>
    </w:p>
    <w:p w:rsidR="002033EB" w:rsidRDefault="00B77FDF">
      <w:pPr>
        <w:pStyle w:val="a3"/>
        <w:widowControl/>
        <w:shd w:val="clear" w:color="auto" w:fill="FFFFFF"/>
        <w:spacing w:before="0" w:beforeAutospacing="0" w:after="0" w:afterAutospacing="0"/>
        <w:jc w:val="center"/>
        <w:rPr>
          <w:rFonts w:ascii="仿宋_GB2312" w:eastAsia="仿宋_GB2312" w:hAnsi="Calibri" w:cs="仿宋_GB2312"/>
          <w:kern w:val="2"/>
          <w:sz w:val="32"/>
          <w:szCs w:val="32"/>
        </w:rPr>
      </w:pPr>
      <w:r>
        <w:rPr>
          <w:rFonts w:ascii="仿宋_GB2312" w:eastAsia="仿宋_GB2312" w:hAnsi="Calibri" w:cs="仿宋_GB2312" w:hint="eastAsia"/>
          <w:kern w:val="2"/>
          <w:sz w:val="32"/>
          <w:szCs w:val="32"/>
        </w:rPr>
        <w:lastRenderedPageBreak/>
        <w:t xml:space="preserve"> </w:t>
      </w:r>
      <w:r w:rsidR="00F844E9">
        <w:rPr>
          <w:rFonts w:ascii="仿宋_GB2312" w:eastAsia="仿宋_GB2312" w:hAnsi="Calibri" w:cs="仿宋_GB2312" w:hint="eastAsia"/>
          <w:b/>
          <w:bCs/>
          <w:kern w:val="2"/>
          <w:sz w:val="32"/>
          <w:szCs w:val="32"/>
        </w:rPr>
        <w:t xml:space="preserve">   </w:t>
      </w:r>
      <w:r w:rsidR="00F844E9">
        <w:rPr>
          <w:rFonts w:ascii="仿宋_GB2312" w:eastAsia="仿宋_GB2312" w:hAnsi="Calibri" w:cs="仿宋_GB2312" w:hint="eastAsia"/>
          <w:b/>
          <w:bCs/>
          <w:kern w:val="2"/>
          <w:sz w:val="32"/>
          <w:szCs w:val="32"/>
        </w:rPr>
        <w:t>（</w:t>
      </w:r>
      <w:r w:rsidR="00F844E9">
        <w:rPr>
          <w:rFonts w:ascii="仿宋_GB2312" w:eastAsia="仿宋_GB2312" w:hAnsi="Calibri" w:cs="仿宋_GB2312" w:hint="eastAsia"/>
          <w:b/>
          <w:bCs/>
          <w:kern w:val="2"/>
          <w:sz w:val="32"/>
          <w:szCs w:val="32"/>
        </w:rPr>
        <w:t>3</w:t>
      </w:r>
      <w:r w:rsidR="00F844E9">
        <w:rPr>
          <w:rFonts w:ascii="仿宋_GB2312" w:eastAsia="仿宋_GB2312" w:hAnsi="Calibri" w:cs="仿宋_GB2312" w:hint="eastAsia"/>
          <w:b/>
          <w:bCs/>
          <w:kern w:val="2"/>
          <w:sz w:val="32"/>
          <w:szCs w:val="32"/>
        </w:rPr>
        <w:t>）评价方法：</w:t>
      </w:r>
      <w:r w:rsidR="00F844E9">
        <w:rPr>
          <w:rFonts w:ascii="仿宋_GB2312" w:eastAsia="仿宋_GB2312" w:hAnsi="Calibri" w:cs="仿宋_GB2312" w:hint="eastAsia"/>
          <w:kern w:val="2"/>
          <w:sz w:val="32"/>
          <w:szCs w:val="32"/>
        </w:rPr>
        <w:t>采用定量与定性评价相结合的比较法</w:t>
      </w:r>
    </w:p>
    <w:p w:rsidR="002033EB" w:rsidRDefault="00F844E9">
      <w:pPr>
        <w:pStyle w:val="a3"/>
        <w:widowControl/>
        <w:shd w:val="clear" w:color="auto" w:fill="FFFFFF"/>
        <w:spacing w:before="0" w:beforeAutospacing="0" w:after="0" w:afterAutospacing="0"/>
        <w:ind w:firstLineChars="200" w:firstLine="643"/>
        <w:jc w:val="both"/>
        <w:rPr>
          <w:rFonts w:ascii="仿宋_GB2312" w:eastAsia="仿宋_GB2312" w:hAnsi="Calibri" w:cs="仿宋_GB2312"/>
          <w:kern w:val="2"/>
          <w:sz w:val="32"/>
          <w:szCs w:val="32"/>
          <w:lang w:val="zh-CN"/>
        </w:rPr>
      </w:pPr>
      <w:r>
        <w:rPr>
          <w:rFonts w:ascii="仿宋_GB2312" w:eastAsia="仿宋_GB2312" w:hAnsi="Calibri" w:cs="仿宋_GB2312"/>
          <w:b/>
          <w:bCs/>
          <w:kern w:val="2"/>
          <w:sz w:val="32"/>
          <w:szCs w:val="32"/>
          <w:lang w:val="zh-CN"/>
        </w:rPr>
        <w:t>（</w:t>
      </w:r>
      <w:r>
        <w:rPr>
          <w:rFonts w:ascii="仿宋_GB2312" w:eastAsia="仿宋_GB2312" w:hAnsi="Calibri" w:cs="仿宋_GB2312"/>
          <w:b/>
          <w:bCs/>
          <w:kern w:val="2"/>
          <w:sz w:val="32"/>
          <w:szCs w:val="32"/>
          <w:lang w:val="zh-CN"/>
        </w:rPr>
        <w:t>4</w:t>
      </w:r>
      <w:r>
        <w:rPr>
          <w:rFonts w:ascii="仿宋_GB2312" w:eastAsia="仿宋_GB2312" w:hAnsi="Calibri" w:cs="仿宋_GB2312"/>
          <w:b/>
          <w:bCs/>
          <w:kern w:val="2"/>
          <w:sz w:val="32"/>
          <w:szCs w:val="32"/>
          <w:lang w:val="zh-CN"/>
        </w:rPr>
        <w:t>）评价标准：</w:t>
      </w:r>
      <w:r>
        <w:rPr>
          <w:rFonts w:ascii="仿宋_GB2312" w:eastAsia="仿宋_GB2312" w:hAnsi="Calibri" w:cs="仿宋_GB2312"/>
          <w:kern w:val="2"/>
          <w:sz w:val="32"/>
          <w:szCs w:val="32"/>
          <w:lang w:val="zh-CN"/>
        </w:rPr>
        <w:t>采用的标准形式为计划标准。</w:t>
      </w:r>
    </w:p>
    <w:p w:rsidR="002033EB" w:rsidRDefault="00F844E9">
      <w:pPr>
        <w:pStyle w:val="a3"/>
        <w:widowControl/>
        <w:shd w:val="clear" w:color="auto" w:fill="FFFFFF"/>
        <w:spacing w:before="0" w:beforeAutospacing="0" w:after="0" w:afterAutospacing="0"/>
        <w:ind w:firstLineChars="200" w:firstLine="643"/>
        <w:jc w:val="both"/>
        <w:rPr>
          <w:rFonts w:ascii="仿宋_GB2312" w:eastAsia="仿宋_GB2312" w:hAnsi="Calibri" w:cs="仿宋_GB2312"/>
          <w:b/>
          <w:bCs/>
          <w:kern w:val="2"/>
          <w:sz w:val="32"/>
          <w:szCs w:val="32"/>
        </w:rPr>
      </w:pPr>
      <w:r>
        <w:rPr>
          <w:rFonts w:ascii="仿宋_GB2312" w:eastAsia="仿宋_GB2312" w:hAnsi="Calibri" w:cs="仿宋_GB2312" w:hint="eastAsia"/>
          <w:b/>
          <w:bCs/>
          <w:kern w:val="2"/>
          <w:sz w:val="32"/>
          <w:szCs w:val="32"/>
        </w:rPr>
        <w:t>（三）绩效评价工作过程</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一是前期准备。我</w:t>
      </w:r>
      <w:r>
        <w:rPr>
          <w:rFonts w:ascii="仿宋_GB2312" w:eastAsia="仿宋_GB2312" w:hAnsi="Calibri" w:cs="仿宋_GB2312" w:hint="eastAsia"/>
          <w:kern w:val="2"/>
          <w:sz w:val="32"/>
          <w:szCs w:val="32"/>
        </w:rPr>
        <w:t>办</w:t>
      </w:r>
      <w:r>
        <w:rPr>
          <w:rFonts w:ascii="仿宋_GB2312" w:eastAsia="仿宋_GB2312" w:hAnsi="Calibri" w:cs="仿宋_GB2312"/>
          <w:kern w:val="2"/>
          <w:sz w:val="32"/>
          <w:szCs w:val="32"/>
        </w:rPr>
        <w:t>安排</w:t>
      </w:r>
      <w:r>
        <w:rPr>
          <w:rFonts w:ascii="仿宋_GB2312" w:eastAsia="仿宋_GB2312" w:hAnsi="Calibri" w:cs="仿宋_GB2312" w:hint="eastAsia"/>
          <w:kern w:val="2"/>
          <w:sz w:val="32"/>
          <w:szCs w:val="32"/>
        </w:rPr>
        <w:t>办公</w:t>
      </w:r>
      <w:r>
        <w:rPr>
          <w:rFonts w:ascii="仿宋_GB2312" w:eastAsia="仿宋_GB2312" w:hAnsi="Calibri" w:cs="仿宋_GB2312"/>
          <w:kern w:val="2"/>
          <w:sz w:val="32"/>
          <w:szCs w:val="32"/>
        </w:rPr>
        <w:t>室牵头、明确专人负责，</w:t>
      </w:r>
      <w:r>
        <w:rPr>
          <w:rFonts w:ascii="仿宋" w:eastAsia="仿宋" w:hAnsi="仿宋" w:cs="仿宋" w:hint="eastAsia"/>
          <w:kern w:val="2"/>
          <w:sz w:val="32"/>
          <w:szCs w:val="32"/>
        </w:rPr>
        <w:t>并由相关人员成立了项目资金绩效评价工作组，开展文件精</w:t>
      </w:r>
      <w:r>
        <w:rPr>
          <w:rFonts w:ascii="仿宋_GB2312" w:eastAsia="仿宋_GB2312" w:hAnsi="Calibri" w:cs="仿宋_GB2312"/>
          <w:kern w:val="2"/>
          <w:sz w:val="32"/>
          <w:szCs w:val="32"/>
        </w:rPr>
        <w:t>神学习与培训，明确了工作职责，制定了评价方案，细化了组织实施步骤和环节安排等内容，确定了实施时间。</w:t>
      </w:r>
    </w:p>
    <w:p w:rsidR="002033EB" w:rsidRPr="00B77FDF" w:rsidRDefault="00F844E9" w:rsidP="00B77FD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二是具体实施。通过查看财务凭证，汇总计算等方式，对车辆报废与民爆器材管理经费项目开展绩效评价工作，于</w:t>
      </w: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日前完成绩效评价工作并填写自评表格和自评报告。</w:t>
      </w:r>
    </w:p>
    <w:p w:rsidR="002033EB" w:rsidRDefault="00F844E9">
      <w:pPr>
        <w:pStyle w:val="a3"/>
        <w:widowControl/>
        <w:shd w:val="clear" w:color="auto" w:fill="FFFFFF"/>
        <w:spacing w:before="0" w:beforeAutospacing="0" w:after="0" w:afterAutospacing="0"/>
        <w:rPr>
          <w:rFonts w:ascii="黑体" w:eastAsia="黑体" w:hAnsi="黑体" w:cs="黑体"/>
          <w:b/>
          <w:bCs/>
          <w:kern w:val="2"/>
          <w:sz w:val="32"/>
          <w:szCs w:val="32"/>
        </w:rPr>
      </w:pPr>
      <w:r>
        <w:rPr>
          <w:rFonts w:ascii="黑体" w:eastAsia="黑体" w:hAnsi="黑体" w:cs="黑体" w:hint="eastAsia"/>
          <w:b/>
          <w:bCs/>
          <w:kern w:val="2"/>
          <w:sz w:val="32"/>
          <w:szCs w:val="32"/>
        </w:rPr>
        <w:t>三、综合评价结论（附相关评分表）</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202</w:t>
      </w:r>
      <w:r>
        <w:rPr>
          <w:rFonts w:ascii="仿宋_GB2312" w:eastAsia="仿宋_GB2312" w:hAnsi="Calibri" w:cs="仿宋_GB2312" w:hint="eastAsia"/>
          <w:kern w:val="2"/>
          <w:sz w:val="32"/>
          <w:szCs w:val="32"/>
        </w:rPr>
        <w:t>2</w:t>
      </w:r>
      <w:r>
        <w:rPr>
          <w:rFonts w:ascii="仿宋_GB2312" w:eastAsia="仿宋_GB2312" w:hAnsi="Calibri" w:cs="仿宋_GB2312"/>
          <w:kern w:val="2"/>
          <w:sz w:val="32"/>
          <w:szCs w:val="32"/>
        </w:rPr>
        <w:t>年度</w:t>
      </w:r>
      <w:r>
        <w:rPr>
          <w:rFonts w:ascii="仿宋_GB2312" w:eastAsia="仿宋_GB2312" w:hAnsi="Calibri" w:cs="仿宋_GB2312" w:hint="eastAsia"/>
          <w:kern w:val="2"/>
          <w:sz w:val="32"/>
          <w:szCs w:val="32"/>
        </w:rPr>
        <w:t>民爆器材与报废车辆</w:t>
      </w:r>
      <w:r>
        <w:rPr>
          <w:rFonts w:ascii="仿宋_GB2312" w:eastAsia="仿宋_GB2312" w:hAnsi="Calibri" w:cs="仿宋_GB2312"/>
          <w:kern w:val="2"/>
          <w:sz w:val="32"/>
          <w:szCs w:val="32"/>
        </w:rPr>
        <w:t>资金使用如期实施，绩效指标全部完成，产生了良好的经济和社会效益，有力助推了</w:t>
      </w:r>
      <w:r>
        <w:rPr>
          <w:rFonts w:ascii="仿宋_GB2312" w:eastAsia="仿宋_GB2312" w:hAnsi="Calibri" w:cs="仿宋_GB2312"/>
          <w:kern w:val="2"/>
          <w:sz w:val="32"/>
          <w:szCs w:val="32"/>
        </w:rPr>
        <w:t>202</w:t>
      </w:r>
      <w:r>
        <w:rPr>
          <w:rFonts w:ascii="仿宋_GB2312" w:eastAsia="仿宋_GB2312" w:hAnsi="Calibri" w:cs="仿宋_GB2312" w:hint="eastAsia"/>
          <w:kern w:val="2"/>
          <w:sz w:val="32"/>
          <w:szCs w:val="32"/>
        </w:rPr>
        <w:t>3</w:t>
      </w:r>
      <w:r>
        <w:rPr>
          <w:rFonts w:ascii="仿宋_GB2312" w:eastAsia="仿宋_GB2312" w:hAnsi="Calibri" w:cs="仿宋_GB2312"/>
          <w:kern w:val="2"/>
          <w:sz w:val="32"/>
          <w:szCs w:val="32"/>
        </w:rPr>
        <w:t>年我</w:t>
      </w:r>
      <w:r>
        <w:rPr>
          <w:rFonts w:ascii="仿宋_GB2312" w:eastAsia="仿宋_GB2312" w:hAnsi="Calibri" w:cs="仿宋_GB2312" w:hint="eastAsia"/>
          <w:kern w:val="2"/>
          <w:sz w:val="32"/>
          <w:szCs w:val="32"/>
        </w:rPr>
        <w:t>办工作</w:t>
      </w:r>
      <w:r>
        <w:rPr>
          <w:rFonts w:ascii="仿宋_GB2312" w:eastAsia="仿宋_GB2312" w:hAnsi="Calibri" w:cs="仿宋_GB2312"/>
          <w:kern w:val="2"/>
          <w:sz w:val="32"/>
          <w:szCs w:val="32"/>
        </w:rPr>
        <w:t>平稳发展。</w:t>
      </w:r>
    </w:p>
    <w:p w:rsidR="002033EB" w:rsidRDefault="00F844E9">
      <w:pPr>
        <w:pStyle w:val="a3"/>
        <w:widowControl/>
        <w:shd w:val="clear" w:color="auto" w:fill="FFFFFF"/>
        <w:spacing w:before="0" w:beforeAutospacing="0" w:after="0" w:afterAutospacing="0"/>
        <w:jc w:val="both"/>
        <w:rPr>
          <w:rFonts w:ascii="黑体" w:eastAsia="黑体" w:hAnsi="黑体" w:cs="黑体"/>
          <w:b/>
          <w:bCs/>
          <w:kern w:val="2"/>
          <w:sz w:val="32"/>
          <w:szCs w:val="32"/>
        </w:rPr>
      </w:pPr>
      <w:r>
        <w:rPr>
          <w:rFonts w:ascii="黑体" w:eastAsia="黑体" w:hAnsi="黑体" w:cs="黑体" w:hint="eastAsia"/>
          <w:b/>
          <w:bCs/>
          <w:kern w:val="2"/>
          <w:sz w:val="32"/>
          <w:szCs w:val="32"/>
        </w:rPr>
        <w:t>四、绩效评价指标分析</w:t>
      </w:r>
    </w:p>
    <w:p w:rsidR="002033EB" w:rsidRDefault="00F844E9">
      <w:pPr>
        <w:pStyle w:val="a3"/>
        <w:widowControl/>
        <w:shd w:val="clear" w:color="auto" w:fill="FFFFFF"/>
        <w:spacing w:before="0" w:beforeAutospacing="0" w:after="0" w:afterAutospacing="0"/>
        <w:ind w:firstLineChars="200" w:firstLine="643"/>
        <w:jc w:val="both"/>
        <w:rPr>
          <w:rFonts w:ascii="仿宋_GB2312" w:eastAsia="仿宋_GB2312" w:hAnsi="Calibri" w:cs="仿宋_GB2312"/>
          <w:b/>
          <w:bCs/>
          <w:kern w:val="2"/>
          <w:sz w:val="32"/>
          <w:szCs w:val="32"/>
        </w:rPr>
      </w:pPr>
      <w:r>
        <w:rPr>
          <w:rFonts w:ascii="仿宋_GB2312" w:eastAsia="仿宋_GB2312" w:hAnsi="Calibri" w:cs="仿宋_GB2312"/>
          <w:b/>
          <w:bCs/>
          <w:kern w:val="2"/>
          <w:sz w:val="32"/>
          <w:szCs w:val="32"/>
        </w:rPr>
        <w:t>（一）项目资金使用及管理情况</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1.</w:t>
      </w:r>
      <w:r>
        <w:rPr>
          <w:rFonts w:ascii="仿宋_GB2312" w:eastAsia="仿宋_GB2312" w:hAnsi="Calibri" w:cs="仿宋_GB2312"/>
          <w:kern w:val="2"/>
          <w:sz w:val="32"/>
          <w:szCs w:val="32"/>
        </w:rPr>
        <w:t>项目资金安排落实、总投入等情况分析。</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hint="eastAsia"/>
          <w:kern w:val="2"/>
          <w:sz w:val="32"/>
          <w:szCs w:val="32"/>
        </w:rPr>
        <w:t>2022</w:t>
      </w:r>
      <w:r>
        <w:rPr>
          <w:rFonts w:ascii="仿宋_GB2312" w:eastAsia="仿宋_GB2312" w:hAnsi="Calibri" w:cs="仿宋_GB2312" w:hint="eastAsia"/>
          <w:kern w:val="2"/>
          <w:sz w:val="32"/>
          <w:szCs w:val="32"/>
        </w:rPr>
        <w:t>年度民爆器材与报废车辆资金预算</w:t>
      </w:r>
      <w:r>
        <w:rPr>
          <w:rFonts w:ascii="仿宋_GB2312" w:eastAsia="仿宋_GB2312" w:hint="eastAsia"/>
          <w:sz w:val="32"/>
          <w:szCs w:val="32"/>
        </w:rPr>
        <w:t>0.5</w:t>
      </w:r>
      <w:r>
        <w:rPr>
          <w:rFonts w:ascii="仿宋_GB2312" w:eastAsia="仿宋_GB2312" w:hAnsi="Calibri" w:cs="仿宋_GB2312" w:hint="eastAsia"/>
          <w:kern w:val="2"/>
          <w:sz w:val="32"/>
          <w:szCs w:val="32"/>
        </w:rPr>
        <w:t>万元，实际拨付使用</w:t>
      </w:r>
      <w:r>
        <w:rPr>
          <w:rFonts w:ascii="仿宋_GB2312" w:eastAsia="仿宋_GB2312" w:hint="eastAsia"/>
          <w:sz w:val="32"/>
          <w:szCs w:val="32"/>
        </w:rPr>
        <w:t>0.5</w:t>
      </w:r>
      <w:r>
        <w:rPr>
          <w:rFonts w:ascii="仿宋_GB2312" w:eastAsia="仿宋_GB2312" w:hint="eastAsia"/>
          <w:sz w:val="32"/>
          <w:szCs w:val="32"/>
        </w:rPr>
        <w:t>万</w:t>
      </w:r>
      <w:r>
        <w:rPr>
          <w:rFonts w:ascii="仿宋_GB2312" w:eastAsia="仿宋_GB2312" w:hAnsi="Calibri" w:cs="仿宋_GB2312" w:hint="eastAsia"/>
          <w:kern w:val="2"/>
          <w:sz w:val="32"/>
          <w:szCs w:val="32"/>
        </w:rPr>
        <w:t>元。</w:t>
      </w:r>
    </w:p>
    <w:p w:rsidR="002033EB" w:rsidRDefault="00F844E9">
      <w:pPr>
        <w:pStyle w:val="a3"/>
        <w:widowControl/>
        <w:shd w:val="clear" w:color="auto" w:fill="FFFFFF"/>
        <w:spacing w:before="0" w:beforeAutospacing="0" w:after="0" w:afterAutospacing="0"/>
        <w:ind w:firstLineChars="200" w:firstLine="640"/>
        <w:jc w:val="both"/>
        <w:rPr>
          <w:rFonts w:ascii="仿宋_GB2312" w:eastAsia="仿宋_GB2312" w:hAnsi="Calibri" w:cs="仿宋_GB2312"/>
          <w:kern w:val="2"/>
          <w:sz w:val="32"/>
          <w:szCs w:val="32"/>
        </w:rPr>
      </w:pPr>
      <w:r>
        <w:rPr>
          <w:rFonts w:ascii="仿宋_GB2312" w:eastAsia="仿宋_GB2312" w:hAnsi="Calibri" w:cs="仿宋_GB2312"/>
          <w:kern w:val="2"/>
          <w:sz w:val="32"/>
          <w:szCs w:val="32"/>
        </w:rPr>
        <w:t>2.</w:t>
      </w:r>
      <w:r>
        <w:rPr>
          <w:rFonts w:ascii="仿宋_GB2312" w:eastAsia="仿宋_GB2312" w:hAnsi="Calibri" w:cs="仿宋_GB2312"/>
          <w:kern w:val="2"/>
          <w:sz w:val="32"/>
          <w:szCs w:val="32"/>
        </w:rPr>
        <w:t>项目资金管理情况分析。</w:t>
      </w:r>
    </w:p>
    <w:p w:rsidR="002033EB" w:rsidRPr="00B77FDF" w:rsidRDefault="00F844E9" w:rsidP="00B77FDF">
      <w:pPr>
        <w:spacing w:line="360" w:lineRule="auto"/>
        <w:ind w:firstLineChars="150" w:firstLine="480"/>
        <w:rPr>
          <w:rFonts w:ascii="仿宋" w:eastAsia="仿宋" w:hAnsi="仿宋" w:cs="仿宋"/>
          <w:sz w:val="32"/>
          <w:szCs w:val="32"/>
        </w:rPr>
      </w:pPr>
      <w:r>
        <w:rPr>
          <w:rFonts w:ascii="仿宋_GB2312" w:eastAsia="仿宋_GB2312" w:hAnsi="Calibri" w:cs="仿宋_GB2312"/>
          <w:sz w:val="32"/>
          <w:szCs w:val="32"/>
        </w:rPr>
        <w:t>项目资金的使用严格按照规范流程开展，</w:t>
      </w:r>
      <w:r>
        <w:rPr>
          <w:rFonts w:ascii="仿宋" w:eastAsia="仿宋" w:hAnsi="仿宋" w:cs="仿宋" w:hint="eastAsia"/>
          <w:sz w:val="32"/>
          <w:szCs w:val="32"/>
        </w:rPr>
        <w:t>预算支出</w:t>
      </w:r>
      <w:r>
        <w:rPr>
          <w:rFonts w:ascii="仿宋" w:eastAsia="仿宋" w:hAnsi="仿宋" w:cs="仿宋" w:hint="eastAsia"/>
          <w:sz w:val="32"/>
          <w:szCs w:val="32"/>
        </w:rPr>
        <w:t>0.5</w:t>
      </w:r>
      <w:r>
        <w:rPr>
          <w:rFonts w:ascii="仿宋" w:eastAsia="仿宋" w:hAnsi="仿宋" w:cs="仿宋" w:hint="eastAsia"/>
          <w:sz w:val="32"/>
          <w:szCs w:val="32"/>
        </w:rPr>
        <w:lastRenderedPageBreak/>
        <w:t>万元，实际支出</w:t>
      </w:r>
      <w:r>
        <w:rPr>
          <w:rFonts w:ascii="仿宋" w:eastAsia="仿宋" w:hAnsi="仿宋" w:cs="仿宋" w:hint="eastAsia"/>
          <w:sz w:val="32"/>
          <w:szCs w:val="32"/>
        </w:rPr>
        <w:t>0.5</w:t>
      </w:r>
      <w:r>
        <w:rPr>
          <w:rFonts w:ascii="仿宋" w:eastAsia="仿宋" w:hAnsi="仿宋" w:cs="仿宋" w:hint="eastAsia"/>
          <w:sz w:val="32"/>
          <w:szCs w:val="32"/>
        </w:rPr>
        <w:t>万元，均为财政拨款资金，执行完成率</w:t>
      </w:r>
      <w:r>
        <w:rPr>
          <w:rFonts w:ascii="仿宋" w:eastAsia="仿宋" w:hAnsi="仿宋" w:cs="仿宋" w:hint="eastAsia"/>
          <w:sz w:val="32"/>
          <w:szCs w:val="32"/>
        </w:rPr>
        <w:t>100%</w:t>
      </w:r>
      <w:r>
        <w:rPr>
          <w:rFonts w:ascii="仿宋" w:eastAsia="仿宋" w:hAnsi="仿宋" w:cs="仿宋" w:hint="eastAsia"/>
          <w:sz w:val="32"/>
          <w:szCs w:val="32"/>
        </w:rPr>
        <w:t>。其中公车租赁费</w:t>
      </w:r>
      <w:r>
        <w:rPr>
          <w:rFonts w:ascii="仿宋" w:eastAsia="仿宋" w:hAnsi="仿宋" w:cs="仿宋" w:hint="eastAsia"/>
          <w:sz w:val="32"/>
          <w:szCs w:val="32"/>
        </w:rPr>
        <w:t>0.1</w:t>
      </w:r>
      <w:r>
        <w:rPr>
          <w:rFonts w:ascii="仿宋" w:eastAsia="仿宋" w:hAnsi="仿宋" w:cs="仿宋" w:hint="eastAsia"/>
          <w:sz w:val="32"/>
          <w:szCs w:val="32"/>
        </w:rPr>
        <w:t>万元，占项目支出的</w:t>
      </w:r>
      <w:r>
        <w:rPr>
          <w:rFonts w:ascii="仿宋" w:eastAsia="仿宋" w:hAnsi="仿宋" w:cs="仿宋" w:hint="eastAsia"/>
          <w:sz w:val="32"/>
          <w:szCs w:val="32"/>
        </w:rPr>
        <w:t>20%</w:t>
      </w:r>
      <w:r>
        <w:rPr>
          <w:rFonts w:ascii="仿宋" w:eastAsia="仿宋" w:hAnsi="仿宋" w:cs="仿宋" w:hint="eastAsia"/>
          <w:sz w:val="32"/>
          <w:szCs w:val="32"/>
        </w:rPr>
        <w:t>，宣传资料费</w:t>
      </w:r>
      <w:r>
        <w:rPr>
          <w:rFonts w:ascii="仿宋" w:eastAsia="仿宋" w:hAnsi="仿宋" w:cs="仿宋" w:hint="eastAsia"/>
          <w:sz w:val="32"/>
          <w:szCs w:val="32"/>
        </w:rPr>
        <w:t>0.2</w:t>
      </w:r>
      <w:r>
        <w:rPr>
          <w:rFonts w:ascii="仿宋" w:eastAsia="仿宋" w:hAnsi="仿宋" w:cs="仿宋" w:hint="eastAsia"/>
          <w:sz w:val="32"/>
          <w:szCs w:val="32"/>
        </w:rPr>
        <w:t>万元，占项目支出的</w:t>
      </w:r>
      <w:r>
        <w:rPr>
          <w:rFonts w:ascii="仿宋" w:eastAsia="仿宋" w:hAnsi="仿宋" w:cs="仿宋" w:hint="eastAsia"/>
          <w:sz w:val="32"/>
          <w:szCs w:val="32"/>
        </w:rPr>
        <w:t>40%</w:t>
      </w:r>
      <w:r>
        <w:rPr>
          <w:rFonts w:ascii="仿宋" w:eastAsia="仿宋" w:hAnsi="仿宋" w:cs="仿宋" w:hint="eastAsia"/>
          <w:sz w:val="32"/>
          <w:szCs w:val="32"/>
        </w:rPr>
        <w:t>，办公用品</w:t>
      </w:r>
      <w:r>
        <w:rPr>
          <w:rFonts w:ascii="仿宋" w:eastAsia="仿宋" w:hAnsi="仿宋" w:cs="仿宋" w:hint="eastAsia"/>
          <w:sz w:val="32"/>
          <w:szCs w:val="32"/>
        </w:rPr>
        <w:t>费</w:t>
      </w:r>
      <w:r>
        <w:rPr>
          <w:rFonts w:ascii="仿宋" w:eastAsia="仿宋" w:hAnsi="仿宋" w:cs="仿宋" w:hint="eastAsia"/>
          <w:sz w:val="32"/>
          <w:szCs w:val="32"/>
        </w:rPr>
        <w:t>0.2</w:t>
      </w:r>
      <w:r>
        <w:rPr>
          <w:rFonts w:ascii="仿宋" w:eastAsia="仿宋" w:hAnsi="仿宋" w:cs="仿宋" w:hint="eastAsia"/>
          <w:sz w:val="32"/>
          <w:szCs w:val="32"/>
        </w:rPr>
        <w:t>万元，占项目支出的</w:t>
      </w:r>
      <w:r>
        <w:rPr>
          <w:rFonts w:ascii="仿宋" w:eastAsia="仿宋" w:hAnsi="仿宋" w:cs="仿宋" w:hint="eastAsia"/>
          <w:sz w:val="32"/>
          <w:szCs w:val="32"/>
        </w:rPr>
        <w:t>40%</w:t>
      </w:r>
      <w:r>
        <w:rPr>
          <w:rFonts w:ascii="仿宋" w:eastAsia="仿宋" w:hAnsi="仿宋" w:cs="仿宋" w:hint="eastAsia"/>
          <w:sz w:val="32"/>
          <w:szCs w:val="32"/>
        </w:rPr>
        <w:t>。</w:t>
      </w:r>
    </w:p>
    <w:p w:rsidR="002033EB" w:rsidRDefault="00F844E9">
      <w:pPr>
        <w:pStyle w:val="a3"/>
        <w:widowControl/>
        <w:shd w:val="clear" w:color="auto" w:fill="FFFFFF"/>
        <w:spacing w:before="0" w:beforeAutospacing="0" w:after="0" w:afterAutospacing="0"/>
        <w:ind w:firstLineChars="200" w:firstLine="643"/>
        <w:jc w:val="both"/>
        <w:rPr>
          <w:rFonts w:ascii="仿宋_GB2312" w:eastAsia="仿宋_GB2312" w:hAnsi="Calibri" w:cs="仿宋_GB2312"/>
          <w:b/>
          <w:bCs/>
          <w:kern w:val="2"/>
          <w:sz w:val="32"/>
          <w:szCs w:val="32"/>
        </w:rPr>
      </w:pPr>
      <w:r>
        <w:rPr>
          <w:rFonts w:ascii="仿宋_GB2312" w:eastAsia="仿宋_GB2312" w:hAnsi="Calibri" w:cs="仿宋_GB2312"/>
          <w:b/>
          <w:bCs/>
          <w:kern w:val="2"/>
          <w:sz w:val="32"/>
          <w:szCs w:val="32"/>
        </w:rPr>
        <w:t>（</w:t>
      </w:r>
      <w:r>
        <w:rPr>
          <w:rFonts w:ascii="仿宋_GB2312" w:eastAsia="仿宋_GB2312" w:cs="仿宋_GB2312" w:hint="eastAsia"/>
          <w:b/>
          <w:bCs/>
          <w:kern w:val="2"/>
          <w:sz w:val="32"/>
          <w:szCs w:val="32"/>
        </w:rPr>
        <w:t>二</w:t>
      </w:r>
      <w:r>
        <w:rPr>
          <w:rFonts w:ascii="仿宋_GB2312" w:eastAsia="仿宋_GB2312" w:hAnsi="Calibri" w:cs="仿宋_GB2312"/>
          <w:b/>
          <w:bCs/>
          <w:kern w:val="2"/>
          <w:sz w:val="32"/>
          <w:szCs w:val="32"/>
        </w:rPr>
        <w:t>）绩效指标完成情况分析</w:t>
      </w:r>
    </w:p>
    <w:p w:rsidR="002033EB" w:rsidRPr="00B77FDF" w:rsidRDefault="00F844E9" w:rsidP="00B77FDF">
      <w:pPr>
        <w:spacing w:line="360" w:lineRule="auto"/>
        <w:ind w:firstLineChars="250" w:firstLine="800"/>
        <w:rPr>
          <w:rFonts w:ascii="仿宋" w:eastAsia="仿宋" w:hAnsi="仿宋" w:cs="仿宋"/>
          <w:sz w:val="32"/>
          <w:szCs w:val="32"/>
        </w:rPr>
      </w:pPr>
      <w:r>
        <w:rPr>
          <w:rFonts w:ascii="仿宋_GB2312" w:eastAsia="仿宋_GB2312" w:hAnsi="Calibri" w:cs="仿宋_GB2312"/>
          <w:sz w:val="32"/>
          <w:szCs w:val="32"/>
        </w:rPr>
        <w:t>202</w:t>
      </w:r>
      <w:r>
        <w:rPr>
          <w:rFonts w:ascii="仿宋_GB2312" w:eastAsia="仿宋_GB2312" w:hAnsi="Calibri" w:cs="仿宋_GB2312" w:hint="eastAsia"/>
          <w:sz w:val="32"/>
          <w:szCs w:val="32"/>
        </w:rPr>
        <w:t>1</w:t>
      </w:r>
      <w:r>
        <w:rPr>
          <w:rFonts w:ascii="仿宋_GB2312" w:eastAsia="仿宋_GB2312" w:hAnsi="Calibri" w:cs="仿宋_GB2312"/>
          <w:sz w:val="32"/>
          <w:szCs w:val="32"/>
        </w:rPr>
        <w:t>年度项目资金成本控制良好，全部控制在预算以内；</w:t>
      </w:r>
      <w:r>
        <w:rPr>
          <w:rFonts w:ascii="仿宋" w:eastAsia="仿宋" w:hAnsi="仿宋" w:cs="仿宋" w:hint="eastAsia"/>
          <w:sz w:val="32"/>
          <w:szCs w:val="32"/>
        </w:rPr>
        <w:t>预算支出</w:t>
      </w:r>
      <w:r>
        <w:rPr>
          <w:rFonts w:ascii="仿宋" w:eastAsia="仿宋" w:hAnsi="仿宋" w:cs="仿宋" w:hint="eastAsia"/>
          <w:sz w:val="32"/>
          <w:szCs w:val="32"/>
        </w:rPr>
        <w:t>0.5</w:t>
      </w:r>
      <w:r>
        <w:rPr>
          <w:rFonts w:ascii="仿宋" w:eastAsia="仿宋" w:hAnsi="仿宋" w:cs="仿宋" w:hint="eastAsia"/>
          <w:sz w:val="32"/>
          <w:szCs w:val="32"/>
        </w:rPr>
        <w:t>万元，实际支出</w:t>
      </w:r>
      <w:r>
        <w:rPr>
          <w:rFonts w:ascii="仿宋" w:eastAsia="仿宋" w:hAnsi="仿宋" w:cs="仿宋" w:hint="eastAsia"/>
          <w:sz w:val="32"/>
          <w:szCs w:val="32"/>
        </w:rPr>
        <w:t>0.5</w:t>
      </w:r>
      <w:r>
        <w:rPr>
          <w:rFonts w:ascii="仿宋" w:eastAsia="仿宋" w:hAnsi="仿宋" w:cs="仿宋" w:hint="eastAsia"/>
          <w:sz w:val="32"/>
          <w:szCs w:val="32"/>
        </w:rPr>
        <w:t>万元，均为财政拨款资金，执行完成率</w:t>
      </w:r>
      <w:r>
        <w:rPr>
          <w:rFonts w:ascii="仿宋" w:eastAsia="仿宋" w:hAnsi="仿宋" w:cs="仿宋" w:hint="eastAsia"/>
          <w:sz w:val="32"/>
          <w:szCs w:val="32"/>
        </w:rPr>
        <w:t>100%</w:t>
      </w:r>
      <w:r>
        <w:rPr>
          <w:rFonts w:ascii="仿宋" w:eastAsia="仿宋" w:hAnsi="仿宋" w:cs="仿宋" w:hint="eastAsia"/>
          <w:sz w:val="32"/>
          <w:szCs w:val="32"/>
        </w:rPr>
        <w:t>。该项目主要是对报废车辆和民爆器材的管理，社会效益方面加强和维护了安全生产，保护生态环境，可回收物资得以重新再利用。社会效益良好。</w:t>
      </w:r>
    </w:p>
    <w:p w:rsidR="002033EB" w:rsidRDefault="00F844E9">
      <w:pPr>
        <w:pBdr>
          <w:bottom w:val="single" w:sz="4" w:space="31" w:color="FFFFFF"/>
        </w:pBdr>
        <w:tabs>
          <w:tab w:val="left" w:pos="1228"/>
          <w:tab w:val="left" w:pos="1440"/>
        </w:tabs>
        <w:ind w:firstLineChars="200" w:firstLine="643"/>
        <w:rPr>
          <w:rFonts w:ascii="仿宋_GB2312" w:eastAsia="仿宋_GB2312" w:hAnsi="Calibri" w:cs="仿宋_GB2312"/>
          <w:b/>
          <w:bCs/>
          <w:sz w:val="32"/>
          <w:szCs w:val="32"/>
          <w:lang w:val="zh-CN"/>
        </w:rPr>
      </w:pPr>
      <w:r>
        <w:rPr>
          <w:rFonts w:ascii="仿宋_GB2312" w:eastAsia="仿宋_GB2312" w:hAnsi="Calibri" w:cs="仿宋_GB2312" w:hint="eastAsia"/>
          <w:b/>
          <w:bCs/>
          <w:sz w:val="32"/>
          <w:szCs w:val="32"/>
        </w:rPr>
        <w:t>（三）</w:t>
      </w:r>
      <w:r>
        <w:rPr>
          <w:rFonts w:ascii="仿宋_GB2312" w:eastAsia="仿宋_GB2312" w:hAnsi="Calibri" w:cs="仿宋_GB2312"/>
          <w:b/>
          <w:bCs/>
          <w:sz w:val="32"/>
          <w:szCs w:val="32"/>
          <w:lang w:val="zh-CN"/>
        </w:rPr>
        <w:t>项目效益情况</w:t>
      </w:r>
    </w:p>
    <w:p w:rsidR="002033EB" w:rsidRDefault="00F844E9">
      <w:pPr>
        <w:pBdr>
          <w:bottom w:val="single" w:sz="4" w:space="31" w:color="FFFFFF"/>
        </w:pBdr>
        <w:tabs>
          <w:tab w:val="left" w:pos="1228"/>
          <w:tab w:val="left" w:pos="1440"/>
        </w:tabs>
        <w:spacing w:line="360" w:lineRule="auto"/>
        <w:ind w:firstLineChars="200" w:firstLine="640"/>
        <w:rPr>
          <w:rFonts w:eastAsia="仿宋_GB2312"/>
        </w:rPr>
      </w:pPr>
      <w:r>
        <w:rPr>
          <w:rFonts w:eastAsia="仿宋_GB2312" w:hint="eastAsia"/>
          <w:sz w:val="32"/>
          <w:szCs w:val="32"/>
        </w:rPr>
        <w:t>因该项目主要是对报废车辆和民爆器材的管理费用，所以严格按照财经管理制度落实项目资金支出，按照一般财政拨款进行管理、执行和监督。</w:t>
      </w:r>
      <w:r>
        <w:rPr>
          <w:rFonts w:eastAsia="仿宋_GB2312" w:hint="eastAsia"/>
          <w:sz w:val="32"/>
          <w:szCs w:val="32"/>
        </w:rPr>
        <w:t>在实施过程中群众满意度良好。</w:t>
      </w:r>
    </w:p>
    <w:p w:rsidR="00B77FDF" w:rsidRDefault="00F844E9" w:rsidP="00B77FDF">
      <w:pPr>
        <w:pBdr>
          <w:bottom w:val="single" w:sz="4" w:space="31" w:color="FFFFFF"/>
        </w:pBdr>
        <w:tabs>
          <w:tab w:val="left" w:pos="1228"/>
          <w:tab w:val="left" w:pos="1440"/>
        </w:tabs>
        <w:rPr>
          <w:rFonts w:ascii="黑体" w:eastAsia="黑体" w:hAnsi="黑体" w:cs="黑体" w:hint="eastAsia"/>
          <w:b/>
          <w:bCs/>
          <w:sz w:val="32"/>
          <w:szCs w:val="32"/>
        </w:rPr>
      </w:pPr>
      <w:r>
        <w:rPr>
          <w:rFonts w:ascii="黑体" w:eastAsia="黑体" w:hAnsi="黑体" w:cs="黑体" w:hint="eastAsia"/>
          <w:b/>
          <w:bCs/>
          <w:sz w:val="32"/>
          <w:szCs w:val="32"/>
        </w:rPr>
        <w:t>五、相关建议及下一步工作措施</w:t>
      </w:r>
    </w:p>
    <w:p w:rsidR="002033EB" w:rsidRPr="00B77FDF" w:rsidRDefault="00B77FDF" w:rsidP="00B77FDF">
      <w:pPr>
        <w:pBdr>
          <w:bottom w:val="single" w:sz="4" w:space="31" w:color="FFFFFF"/>
        </w:pBdr>
        <w:tabs>
          <w:tab w:val="left" w:pos="1228"/>
          <w:tab w:val="left" w:pos="1440"/>
        </w:tabs>
        <w:rPr>
          <w:rFonts w:ascii="黑体" w:eastAsia="黑体" w:hAnsi="黑体" w:cs="黑体"/>
          <w:b/>
          <w:bCs/>
          <w:sz w:val="32"/>
          <w:szCs w:val="32"/>
        </w:rPr>
      </w:pPr>
      <w:r>
        <w:rPr>
          <w:rFonts w:ascii="黑体" w:eastAsia="黑体" w:hAnsi="黑体" w:cs="黑体" w:hint="eastAsia"/>
          <w:b/>
          <w:bCs/>
          <w:sz w:val="32"/>
          <w:szCs w:val="32"/>
        </w:rPr>
        <w:t xml:space="preserve">    </w:t>
      </w:r>
      <w:r w:rsidR="00F844E9">
        <w:rPr>
          <w:rFonts w:ascii="仿宋_GB2312" w:eastAsia="仿宋_GB2312" w:cs="仿宋_GB2312" w:hint="eastAsia"/>
          <w:sz w:val="32"/>
          <w:szCs w:val="32"/>
        </w:rPr>
        <w:t>1.</w:t>
      </w:r>
      <w:r w:rsidR="00F844E9">
        <w:rPr>
          <w:rFonts w:eastAsia="仿宋_GB2312" w:hint="eastAsia"/>
          <w:sz w:val="32"/>
          <w:szCs w:val="32"/>
        </w:rPr>
        <w:t>因该项目主要是对报废车辆和民爆器材的管理费用，所以严格按照财经管理制度落实项目资金支出，但是项目资</w:t>
      </w:r>
      <w:bookmarkStart w:id="1" w:name="_GoBack"/>
      <w:bookmarkEnd w:id="1"/>
      <w:r w:rsidR="00F844E9">
        <w:rPr>
          <w:rFonts w:eastAsia="仿宋_GB2312" w:hint="eastAsia"/>
          <w:sz w:val="32"/>
          <w:szCs w:val="32"/>
        </w:rPr>
        <w:t>金的额度偏低，跟不上社会经济的飞速发展，建议该项支出能有所增加，更好的发挥本单位的职能作用，为特殊行业贡献力量。</w:t>
      </w:r>
    </w:p>
    <w:p w:rsidR="002033EB" w:rsidRDefault="00F844E9">
      <w:pPr>
        <w:pBdr>
          <w:bottom w:val="single" w:sz="4" w:space="31" w:color="FFFFFF"/>
        </w:pBdr>
        <w:tabs>
          <w:tab w:val="left" w:pos="1228"/>
          <w:tab w:val="left" w:pos="1440"/>
        </w:tabs>
        <w:spacing w:line="360" w:lineRule="auto"/>
        <w:ind w:firstLineChars="200" w:firstLine="640"/>
        <w:rPr>
          <w:rFonts w:ascii="仿宋_GB2312" w:eastAsia="仿宋_GB2312" w:hAnsi="Calibri" w:cs="仿宋_GB2312"/>
          <w:sz w:val="32"/>
          <w:szCs w:val="32"/>
        </w:rPr>
      </w:pPr>
      <w:r>
        <w:rPr>
          <w:rFonts w:ascii="仿宋_GB2312" w:eastAsia="仿宋_GB2312" w:cs="仿宋_GB2312" w:hint="eastAsia"/>
          <w:sz w:val="32"/>
          <w:szCs w:val="32"/>
        </w:rPr>
        <w:t>2.</w:t>
      </w:r>
      <w:r>
        <w:rPr>
          <w:rFonts w:ascii="仿宋_GB2312" w:eastAsia="仿宋_GB2312" w:hAnsi="Calibri" w:cs="仿宋_GB2312" w:hint="eastAsia"/>
          <w:sz w:val="32"/>
          <w:szCs w:val="32"/>
        </w:rPr>
        <w:t>加快项目资金的拨付，提高项目实施力度，完善项目实施的规范性，对项目及时督促落实。</w:t>
      </w:r>
    </w:p>
    <w:p w:rsidR="002033EB" w:rsidRDefault="00F844E9">
      <w:pPr>
        <w:pBdr>
          <w:bottom w:val="single" w:sz="4" w:space="31" w:color="FFFFFF"/>
        </w:pBdr>
        <w:tabs>
          <w:tab w:val="left" w:pos="1228"/>
          <w:tab w:val="left" w:pos="1440"/>
        </w:tabs>
        <w:rPr>
          <w:rFonts w:ascii="仿宋_GB2312" w:eastAsia="仿宋_GB2312" w:hAnsi="Calibri" w:cs="仿宋_GB2312"/>
          <w:sz w:val="32"/>
          <w:szCs w:val="32"/>
        </w:rPr>
      </w:pPr>
      <w:r>
        <w:rPr>
          <w:rFonts w:ascii="仿宋_GB2312" w:eastAsia="仿宋_GB2312" w:hAnsi="Calibri" w:cs="仿宋_GB2312" w:hint="eastAsia"/>
          <w:sz w:val="32"/>
          <w:szCs w:val="32"/>
        </w:rPr>
        <w:lastRenderedPageBreak/>
        <w:t>附件：</w:t>
      </w:r>
    </w:p>
    <w:p w:rsidR="002033EB" w:rsidRDefault="002033EB">
      <w:pPr>
        <w:pBdr>
          <w:bottom w:val="single" w:sz="4" w:space="31" w:color="FFFFFF"/>
        </w:pBdr>
        <w:tabs>
          <w:tab w:val="left" w:pos="1228"/>
          <w:tab w:val="left" w:pos="1440"/>
        </w:tabs>
        <w:rPr>
          <w:rFonts w:ascii="仿宋_GB2312" w:eastAsia="仿宋_GB2312" w:hAnsi="Calibri" w:cs="仿宋_GB2312"/>
          <w:sz w:val="32"/>
          <w:szCs w:val="32"/>
        </w:rPr>
      </w:pPr>
    </w:p>
    <w:p w:rsidR="002033EB" w:rsidRDefault="00F844E9">
      <w:pPr>
        <w:pBdr>
          <w:bottom w:val="single" w:sz="4" w:space="31" w:color="FFFFFF"/>
        </w:pBdr>
        <w:tabs>
          <w:tab w:val="left" w:pos="1228"/>
          <w:tab w:val="left" w:pos="1440"/>
        </w:tabs>
        <w:rPr>
          <w:rFonts w:ascii="仿宋_GB2312" w:eastAsia="仿宋_GB2312" w:hAnsi="Calibri" w:cs="仿宋_GB2312"/>
          <w:sz w:val="32"/>
          <w:szCs w:val="32"/>
        </w:rPr>
      </w:pPr>
      <w:r>
        <w:rPr>
          <w:rFonts w:ascii="仿宋_GB2312" w:eastAsia="仿宋_GB2312" w:hAnsi="Calibri" w:cs="仿宋_GB2312"/>
          <w:noProof/>
          <w:sz w:val="32"/>
          <w:szCs w:val="32"/>
        </w:rPr>
        <w:drawing>
          <wp:inline distT="0" distB="0" distL="114300" distR="114300">
            <wp:extent cx="5271770" cy="6010275"/>
            <wp:effectExtent l="19050" t="0" r="5080" b="0"/>
            <wp:docPr id="1" name="图片 1" descr="1aa94202b9cf7213f716ac89e638e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aa94202b9cf7213f716ac89e638e375"/>
                    <pic:cNvPicPr>
                      <a:picLocks noChangeAspect="1"/>
                    </pic:cNvPicPr>
                  </pic:nvPicPr>
                  <pic:blipFill>
                    <a:blip r:embed="rId8"/>
                    <a:stretch>
                      <a:fillRect/>
                    </a:stretch>
                  </pic:blipFill>
                  <pic:spPr>
                    <a:xfrm>
                      <a:off x="0" y="0"/>
                      <a:ext cx="5271770" cy="6010275"/>
                    </a:xfrm>
                    <a:prstGeom prst="rect">
                      <a:avLst/>
                    </a:prstGeom>
                  </pic:spPr>
                </pic:pic>
              </a:graphicData>
            </a:graphic>
          </wp:inline>
        </w:drawing>
      </w:r>
    </w:p>
    <w:p w:rsidR="002033EB" w:rsidRDefault="002033EB">
      <w:pPr>
        <w:jc w:val="center"/>
      </w:pPr>
    </w:p>
    <w:sectPr w:rsidR="002033EB" w:rsidSect="002033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44E9" w:rsidRDefault="00F844E9" w:rsidP="00B77FDF">
      <w:r>
        <w:separator/>
      </w:r>
    </w:p>
  </w:endnote>
  <w:endnote w:type="continuationSeparator" w:id="1">
    <w:p w:rsidR="00F844E9" w:rsidRDefault="00F844E9" w:rsidP="00B77F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_GB2312">
    <w:altName w:val="汉仪仿宋KW"/>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44E9" w:rsidRDefault="00F844E9" w:rsidP="00B77FDF">
      <w:r>
        <w:separator/>
      </w:r>
    </w:p>
  </w:footnote>
  <w:footnote w:type="continuationSeparator" w:id="1">
    <w:p w:rsidR="00F844E9" w:rsidRDefault="00F844E9" w:rsidP="00B77F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936FF9"/>
    <w:multiLevelType w:val="singleLevel"/>
    <w:tmpl w:val="83936FF9"/>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2MyMDlhYTA1M2ZjNzcxNzUzZWRlNThkYjc2ODZhMGIifQ=="/>
  </w:docVars>
  <w:rsids>
    <w:rsidRoot w:val="00172A27"/>
    <w:rsid w:val="FC4FCF7F"/>
    <w:rsid w:val="00172A27"/>
    <w:rsid w:val="002033EB"/>
    <w:rsid w:val="00B77FDF"/>
    <w:rsid w:val="00F844E9"/>
    <w:rsid w:val="010076BE"/>
    <w:rsid w:val="161E649C"/>
    <w:rsid w:val="20654294"/>
    <w:rsid w:val="30405223"/>
    <w:rsid w:val="3E2527A1"/>
    <w:rsid w:val="473F4336"/>
    <w:rsid w:val="5E8C7702"/>
    <w:rsid w:val="69EA5239"/>
    <w:rsid w:val="72A95E9B"/>
    <w:rsid w:val="771312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33E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033EB"/>
    <w:pPr>
      <w:spacing w:before="100" w:beforeAutospacing="1" w:after="100" w:afterAutospacing="1"/>
      <w:jc w:val="left"/>
    </w:pPr>
    <w:rPr>
      <w:rFonts w:cs="Times New Roman"/>
      <w:kern w:val="0"/>
      <w:sz w:val="24"/>
    </w:rPr>
  </w:style>
  <w:style w:type="paragraph" w:customStyle="1" w:styleId="PlainText">
    <w:name w:val="PlainText"/>
    <w:basedOn w:val="a"/>
    <w:qFormat/>
    <w:rsid w:val="002033EB"/>
    <w:pPr>
      <w:textAlignment w:val="baseline"/>
    </w:pPr>
    <w:rPr>
      <w:rFonts w:ascii="宋体" w:hAnsi="Courier New"/>
      <w:szCs w:val="21"/>
    </w:rPr>
  </w:style>
  <w:style w:type="paragraph" w:styleId="a4">
    <w:name w:val="header"/>
    <w:basedOn w:val="a"/>
    <w:link w:val="Char"/>
    <w:rsid w:val="00B77F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77FDF"/>
    <w:rPr>
      <w:rFonts w:asciiTheme="minorHAnsi" w:eastAsiaTheme="minorEastAsia" w:hAnsiTheme="minorHAnsi" w:cstheme="minorBidi"/>
      <w:kern w:val="2"/>
      <w:sz w:val="18"/>
      <w:szCs w:val="18"/>
    </w:rPr>
  </w:style>
  <w:style w:type="paragraph" w:styleId="a5">
    <w:name w:val="footer"/>
    <w:basedOn w:val="a"/>
    <w:link w:val="Char0"/>
    <w:rsid w:val="00B77FDF"/>
    <w:pPr>
      <w:tabs>
        <w:tab w:val="center" w:pos="4153"/>
        <w:tab w:val="right" w:pos="8306"/>
      </w:tabs>
      <w:snapToGrid w:val="0"/>
      <w:jc w:val="left"/>
    </w:pPr>
    <w:rPr>
      <w:sz w:val="18"/>
      <w:szCs w:val="18"/>
    </w:rPr>
  </w:style>
  <w:style w:type="character" w:customStyle="1" w:styleId="Char0">
    <w:name w:val="页脚 Char"/>
    <w:basedOn w:val="a0"/>
    <w:link w:val="a5"/>
    <w:rsid w:val="00B77FDF"/>
    <w:rPr>
      <w:rFonts w:asciiTheme="minorHAnsi" w:eastAsiaTheme="minorEastAsia" w:hAnsiTheme="minorHAnsi" w:cstheme="minorBidi"/>
      <w:kern w:val="2"/>
      <w:sz w:val="18"/>
      <w:szCs w:val="18"/>
    </w:rPr>
  </w:style>
  <w:style w:type="paragraph" w:styleId="a6">
    <w:name w:val="Balloon Text"/>
    <w:basedOn w:val="a"/>
    <w:link w:val="Char1"/>
    <w:rsid w:val="00B77FDF"/>
    <w:rPr>
      <w:sz w:val="18"/>
      <w:szCs w:val="18"/>
    </w:rPr>
  </w:style>
  <w:style w:type="character" w:customStyle="1" w:styleId="Char1">
    <w:name w:val="批注框文本 Char"/>
    <w:basedOn w:val="a0"/>
    <w:link w:val="a6"/>
    <w:rsid w:val="00B77FD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260</Words>
  <Characters>1482</Characters>
  <Application>Microsoft Office Word</Application>
  <DocSecurity>0</DocSecurity>
  <Lines>12</Lines>
  <Paragraphs>3</Paragraphs>
  <ScaleCrop>false</ScaleCrop>
  <Company>微软中国</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2023-03-21T07:09:00Z</cp:lastPrinted>
  <dcterms:created xsi:type="dcterms:W3CDTF">2023-03-06T11:17:00Z</dcterms:created>
  <dcterms:modified xsi:type="dcterms:W3CDTF">2023-03-21T07:09:00Z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A2F4E114A2D840BEB645867B2ADE3D4A</vt:lpwstr>
  </property>
</Properties>
</file>