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4B500">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val="en-US" w:eastAsia="zh-CN"/>
        </w:rPr>
        <w:t>附件2</w:t>
      </w:r>
    </w:p>
    <w:p w14:paraId="07A6DD7A">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方正小标宋简体" w:cs="Times New Roman"/>
          <w:bCs/>
          <w:color w:val="auto"/>
          <w:sz w:val="44"/>
          <w:szCs w:val="44"/>
          <w:lang w:val="en-US" w:eastAsia="zh-CN"/>
        </w:rPr>
      </w:pPr>
    </w:p>
    <w:p w14:paraId="5C71AC62">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lang w:val="en-US" w:eastAsia="zh-CN"/>
        </w:rPr>
      </w:pPr>
      <w:r>
        <w:rPr>
          <w:rFonts w:hint="default" w:ascii="Times New Roman" w:hAnsi="Times New Roman" w:eastAsia="方正小标宋简体" w:cs="Times New Roman"/>
          <w:bCs/>
          <w:color w:val="auto"/>
          <w:sz w:val="44"/>
          <w:szCs w:val="44"/>
          <w:lang w:val="en-US" w:eastAsia="zh-CN"/>
        </w:rPr>
        <w:t>江西省企业创新积分制（金融领域）</w:t>
      </w:r>
    </w:p>
    <w:p w14:paraId="5FD5843C">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600" w:lineRule="exact"/>
        <w:jc w:val="center"/>
        <w:textAlignment w:val="auto"/>
        <w:rPr>
          <w:rFonts w:hint="default" w:ascii="Times New Roman" w:hAnsi="Times New Roman" w:eastAsia="方正小标宋简体" w:cs="Times New Roman"/>
          <w:bCs/>
          <w:color w:val="auto"/>
          <w:sz w:val="44"/>
          <w:szCs w:val="44"/>
          <w:lang w:val="en-US" w:eastAsia="zh-CN"/>
        </w:rPr>
      </w:pPr>
      <w:r>
        <w:rPr>
          <w:rFonts w:hint="default" w:ascii="Times New Roman" w:hAnsi="Times New Roman" w:eastAsia="方正小标宋简体" w:cs="Times New Roman"/>
          <w:bCs/>
          <w:color w:val="auto"/>
          <w:sz w:val="44"/>
          <w:szCs w:val="44"/>
          <w:lang w:val="en-US" w:eastAsia="zh-CN"/>
        </w:rPr>
        <w:t>应用赋能工作指引</w:t>
      </w:r>
    </w:p>
    <w:p w14:paraId="659031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p>
    <w:p w14:paraId="1B7B15B7">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第一章  总　则</w:t>
      </w:r>
    </w:p>
    <w:p w14:paraId="6C5D227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第一条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工作目标</w:t>
      </w:r>
    </w:p>
    <w:p w14:paraId="79DD0A4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深入实施创新驱动发展战略，以创新积分制为科技金融精准服务科技型企业提供有力抓手，推动各类金融机构依据企业创新积分制评分结果，分层分类为企业定制差异化科技金融产品服务。在股权投资、银行信贷、债权融资、保险保障、担保增信、上市融资辅导等科技金融服务领域，实现企业创新积分评价结果的高效适配应用，精准扶持优质科技型企业培育壮大，助力江西科技强省建设。</w:t>
      </w:r>
    </w:p>
    <w:p w14:paraId="1375F8D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第二条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 xml:space="preserve">适用范围 </w:t>
      </w:r>
    </w:p>
    <w:p w14:paraId="1F96F39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指引适用的金融机构，是指在江西省内开展科技金融服务的各类金融机构或金融服务机构，包括银行、证券、保险、担保、股权投资机构、区域性股权市场等。适用的企业，是指在江西省内注册，并在江西省创新积分信息服务平台（依托全省科管系统构建）完成积分评价的企业。</w:t>
      </w:r>
    </w:p>
    <w:p w14:paraId="46A261AD">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第三条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基本原则</w:t>
      </w:r>
    </w:p>
    <w:p w14:paraId="0AFA7F88">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数据驱动精准服务。</w:t>
      </w:r>
      <w:r>
        <w:rPr>
          <w:rFonts w:hint="default" w:ascii="Times New Roman" w:hAnsi="Times New Roman" w:eastAsia="仿宋_GB2312" w:cs="Times New Roman"/>
          <w:color w:val="auto"/>
          <w:sz w:val="32"/>
          <w:szCs w:val="32"/>
          <w:lang w:val="en-US" w:eastAsia="zh-CN"/>
        </w:rPr>
        <w:t>基于江西省创新积分信息服务平台，全面整合省内科技型企业创新数据资源，为金融机构提供详实、动态的企业创新画像，促进科技金融政策与企业创新能力和成长潜力的紧密适配，实现金融服务的精准滴灌。</w:t>
      </w:r>
    </w:p>
    <w:p w14:paraId="59E280B7">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分层分类精细施策。</w:t>
      </w:r>
      <w:r>
        <w:rPr>
          <w:rFonts w:hint="default" w:ascii="Times New Roman" w:hAnsi="Times New Roman" w:eastAsia="仿宋_GB2312" w:cs="Times New Roman"/>
          <w:color w:val="auto"/>
          <w:sz w:val="32"/>
          <w:szCs w:val="32"/>
          <w:lang w:val="en-US" w:eastAsia="zh-CN"/>
        </w:rPr>
        <w:t>依据企业创新积分分级，科学划分企业层级，针对种子、初创、成长、稳定期不同层级企业面临的融资痛点、发展阶段特征，结合不同产业分类，量身定制差异化的科技金融产品与服务方案，满足企业多元化的融资需求。</w:t>
      </w:r>
    </w:p>
    <w:p w14:paraId="10A60965">
      <w:pPr>
        <w:keepNext w:val="0"/>
        <w:keepLines w:val="0"/>
        <w:pageBreakBefore w:val="0"/>
        <w:widowControl w:val="0"/>
        <w:kinsoku/>
        <w:wordWrap/>
        <w:overflowPunct/>
        <w:topLinePunct/>
        <w:autoSpaceDE w:val="0"/>
        <w:autoSpaceDN/>
        <w:bidi w:val="0"/>
        <w:adjustRightInd/>
        <w:snapToGrid/>
        <w:spacing w:line="600" w:lineRule="exact"/>
        <w:ind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协同联动优化生态。</w:t>
      </w:r>
      <w:r>
        <w:rPr>
          <w:rFonts w:hint="default" w:ascii="Times New Roman" w:hAnsi="Times New Roman" w:eastAsia="仿宋_GB2312" w:cs="Times New Roman"/>
          <w:color w:val="auto"/>
          <w:sz w:val="32"/>
          <w:szCs w:val="32"/>
          <w:lang w:val="en-US" w:eastAsia="zh-CN"/>
        </w:rPr>
        <w:t>加强政府部门、金融机构、企业等各方协同合作，打破信息壁垒，形成政策合力。</w:t>
      </w:r>
      <w:r>
        <w:rPr>
          <w:rFonts w:hint="default" w:ascii="Times New Roman" w:hAnsi="Times New Roman" w:eastAsia="仿宋_GB2312" w:cs="Times New Roman"/>
          <w:i w:val="0"/>
          <w:iCs w:val="0"/>
          <w:caps w:val="0"/>
          <w:color w:val="auto"/>
          <w:spacing w:val="0"/>
          <w:sz w:val="32"/>
          <w:szCs w:val="32"/>
          <w:shd w:val="clear" w:color="auto" w:fill="FFFFFF"/>
        </w:rPr>
        <w:t>依托江西省科技金融联盟，加快推动跨领域信息共享和业务合作，完善科技金融生态体系，提升科技金融服务质效</w:t>
      </w:r>
      <w:r>
        <w:rPr>
          <w:rFonts w:hint="default" w:ascii="Times New Roman" w:hAnsi="Times New Roman" w:eastAsia="仿宋_GB2312" w:cs="Times New Roman"/>
          <w:color w:val="auto"/>
          <w:sz w:val="32"/>
          <w:szCs w:val="32"/>
          <w:lang w:val="en-US" w:eastAsia="zh-CN"/>
        </w:rPr>
        <w:t>。</w:t>
      </w:r>
    </w:p>
    <w:p w14:paraId="6B41337F">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第二章　应用场景及差异化政策</w:t>
      </w:r>
    </w:p>
    <w:p w14:paraId="03B83140">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第四条　</w:t>
      </w:r>
      <w:r>
        <w:rPr>
          <w:rFonts w:hint="default" w:ascii="Times New Roman" w:hAnsi="Times New Roman" w:eastAsia="仿宋_GB2312" w:cs="Times New Roman"/>
          <w:b w:val="0"/>
          <w:bCs w:val="0"/>
          <w:color w:val="auto"/>
          <w:sz w:val="32"/>
          <w:szCs w:val="32"/>
          <w:lang w:val="en-US" w:eastAsia="zh-CN"/>
        </w:rPr>
        <w:t>股权投资</w:t>
      </w:r>
    </w:p>
    <w:p w14:paraId="7994B41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1．引导投资机构重点关注创新积分在B级及以上的企业，优先将该类企业向科创基金及其子基金等专业投资机构推荐，为企业提供创新成果展示、路演等投融资对接机会，助力企业引入股权投资。</w:t>
      </w:r>
    </w:p>
    <w:p w14:paraId="752E23A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2．支持投资机构将创新积分作为筛选投资标的的重要参考，将B级及以上企业纳入投资项目储备库予以优先支持，适当简化对该类企业的投资决策流程。</w:t>
      </w:r>
    </w:p>
    <w:p w14:paraId="3FF4A9E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3．鼓励投资机构优化股权投资配套服务，为获得股权投资的B级及以上企业提供投资后管理增值服务，包括但不限于战略规划咨询、财务管理优化、人才资源对接等，助力企业提升自身价值。</w:t>
      </w:r>
    </w:p>
    <w:p w14:paraId="29E0A8D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第五条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银行信贷</w:t>
      </w:r>
    </w:p>
    <w:p w14:paraId="2820582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1．引导银行依据创新积分制定科技信贷目标客户清单和服务方案，重点关注创新积分在B级及以上的企业，实现营销对接全覆盖。</w:t>
      </w:r>
    </w:p>
    <w:p w14:paraId="3DC2C80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2．支持银行将创新积分作为科技信贷授信管理的重要参考，鼓励有条件的银行将创新积分纳入科技型企业信用评价决策体系，实现积分对企业信用等级的增进背书。</w:t>
      </w:r>
    </w:p>
    <w:p w14:paraId="16FDEAE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3．鼓励银行依据企业积分等级制定差异化授信政策，</w:t>
      </w:r>
      <w:r>
        <w:rPr>
          <w:rFonts w:hint="default" w:ascii="Times New Roman" w:hAnsi="Times New Roman" w:eastAsia="仿宋_GB2312" w:cs="Times New Roman"/>
          <w:i w:val="0"/>
          <w:iCs w:val="0"/>
          <w:caps w:val="0"/>
          <w:color w:val="auto"/>
          <w:spacing w:val="0"/>
          <w:sz w:val="32"/>
          <w:szCs w:val="32"/>
          <w:shd w:val="clear" w:color="auto" w:fill="FFFFFF"/>
        </w:rPr>
        <w:t>在符合风险定价原则以及市场利率定价自律机制要求等基础上，对</w:t>
      </w:r>
      <w:r>
        <w:rPr>
          <w:rFonts w:hint="default" w:ascii="Times New Roman" w:hAnsi="Times New Roman" w:eastAsia="仿宋_GB2312" w:cs="Times New Roman"/>
          <w:color w:val="auto"/>
          <w:sz w:val="32"/>
          <w:szCs w:val="32"/>
          <w:lang w:val="en-US" w:eastAsia="zh-CN"/>
        </w:rPr>
        <w:t>B级及以上</w:t>
      </w:r>
      <w:r>
        <w:rPr>
          <w:rFonts w:hint="default" w:ascii="Times New Roman" w:hAnsi="Times New Roman" w:eastAsia="仿宋_GB2312" w:cs="Times New Roman"/>
          <w:i w:val="0"/>
          <w:iCs w:val="0"/>
          <w:caps w:val="0"/>
          <w:color w:val="auto"/>
          <w:spacing w:val="0"/>
          <w:sz w:val="32"/>
          <w:szCs w:val="32"/>
          <w:shd w:val="clear" w:color="auto" w:fill="FFFFFF"/>
        </w:rPr>
        <w:t>企业给予利率优惠</w:t>
      </w:r>
      <w:r>
        <w:rPr>
          <w:rFonts w:hint="default" w:ascii="Times New Roman" w:hAnsi="Times New Roman" w:eastAsia="仿宋_GB2312" w:cs="Times New Roman"/>
          <w:color w:val="auto"/>
          <w:sz w:val="32"/>
          <w:szCs w:val="32"/>
          <w:lang w:val="en-US" w:eastAsia="zh-CN"/>
        </w:rPr>
        <w:t>、审查审批绿色通道等专属政策支持。鼓励有条件的银行创设“创新积分贷”专项信贷产品。</w:t>
      </w:r>
    </w:p>
    <w:p w14:paraId="51063F5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4．支持银行用好科技创新和技术改造再贷款、支农支小再贷款、“科贷通”风险补偿等政策工具，加大对B级及以上企业的融资支持。</w:t>
      </w:r>
    </w:p>
    <w:p w14:paraId="1BC8C4E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i w:val="0"/>
          <w:iCs w:val="0"/>
          <w:caps w:val="0"/>
          <w:color w:val="auto"/>
          <w:spacing w:val="0"/>
          <w:sz w:val="32"/>
          <w:szCs w:val="32"/>
          <w:shd w:val="clear" w:color="auto" w:fill="FFFFFF"/>
        </w:rPr>
        <w:t>5</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r>
        <w:rPr>
          <w:rFonts w:hint="default" w:ascii="Times New Roman" w:hAnsi="Times New Roman" w:eastAsia="仿宋_GB2312" w:cs="Times New Roman"/>
          <w:i w:val="0"/>
          <w:iCs w:val="0"/>
          <w:caps w:val="0"/>
          <w:color w:val="auto"/>
          <w:spacing w:val="0"/>
          <w:sz w:val="32"/>
          <w:szCs w:val="32"/>
          <w:shd w:val="clear" w:color="auto" w:fill="FFFFFF"/>
        </w:rPr>
        <w:t>鼓励银行机构推广运用“益企成长”银企中长期战略合作业务模式，特别是对创新积分暂时较低</w:t>
      </w:r>
      <w:r>
        <w:rPr>
          <w:rFonts w:hint="default" w:ascii="Times New Roman" w:hAnsi="Times New Roman" w:eastAsia="仿宋_GB2312" w:cs="Times New Roman"/>
          <w:i w:val="0"/>
          <w:iCs w:val="0"/>
          <w:caps w:val="0"/>
          <w:color w:val="auto"/>
          <w:spacing w:val="0"/>
          <w:sz w:val="32"/>
          <w:szCs w:val="32"/>
          <w:shd w:val="clear" w:color="auto" w:fill="FFFFFF"/>
          <w:lang w:val="en-US" w:eastAsia="zh-CN"/>
        </w:rPr>
        <w:t>但</w:t>
      </w:r>
      <w:r>
        <w:rPr>
          <w:rFonts w:hint="default" w:ascii="Times New Roman" w:hAnsi="Times New Roman" w:eastAsia="仿宋_GB2312" w:cs="Times New Roman"/>
          <w:i w:val="0"/>
          <w:iCs w:val="0"/>
          <w:caps w:val="0"/>
          <w:color w:val="auto"/>
          <w:spacing w:val="0"/>
          <w:sz w:val="32"/>
          <w:szCs w:val="32"/>
          <w:shd w:val="clear" w:color="auto" w:fill="FFFFFF"/>
        </w:rPr>
        <w:t>有较强创新意愿的企业，加大金融支持力度。</w:t>
      </w:r>
    </w:p>
    <w:p w14:paraId="2669242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第六条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债权融资</w:t>
      </w:r>
    </w:p>
    <w:p w14:paraId="4AE654F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1．支持债券承销发行服务机构将创新积分在B级及以上的企业作为重点服务对象，加大对企业债券融资的宣传、培训和辅导，助力企业优化融资结构、降低融资成本。</w:t>
      </w:r>
    </w:p>
    <w:p w14:paraId="6272CDC4">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2．鼓励金融机构加强对B级及以上企业的债券融资服务，</w:t>
      </w:r>
      <w:r>
        <w:rPr>
          <w:rFonts w:hint="default" w:ascii="Times New Roman" w:hAnsi="Times New Roman" w:eastAsia="仿宋_GB2312" w:cs="Times New Roman"/>
          <w:i w:val="0"/>
          <w:iCs w:val="0"/>
          <w:caps w:val="0"/>
          <w:color w:val="auto"/>
          <w:spacing w:val="0"/>
          <w:sz w:val="32"/>
          <w:szCs w:val="32"/>
          <w:shd w:val="clear" w:color="auto" w:fill="FFFFFF"/>
        </w:rPr>
        <w:t>为企业发行科技创新债券提供债券融资方案设计、承销、发行、做市等一站式服务，适当减免相关费用。将科技创新债券纳入金融机构科技金融服务质效评估</w:t>
      </w:r>
      <w:r>
        <w:rPr>
          <w:rFonts w:hint="default" w:ascii="Times New Roman" w:hAnsi="Times New Roman" w:eastAsia="仿宋_GB2312" w:cs="Times New Roman"/>
          <w:color w:val="auto"/>
          <w:sz w:val="32"/>
          <w:szCs w:val="32"/>
          <w:lang w:val="en-US" w:eastAsia="zh-CN"/>
        </w:rPr>
        <w:t>。</w:t>
      </w:r>
    </w:p>
    <w:p w14:paraId="0315CBA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第七条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保险保障</w:t>
      </w:r>
    </w:p>
    <w:p w14:paraId="0212E0E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1．鼓励保险公司将创新积分作为创新科技保险产品、核定保费费率的重要参考，支持有条件的保险机构开发“积分险”产品，为企业研发、生产、销售等各环节风险提供保险保障。</w:t>
      </w:r>
    </w:p>
    <w:p w14:paraId="480090C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保险公司针对创新积分在B级及以上的企业，推出专利执行保险、关键研发设备保险、科技成果转化费用损失保险等专属险种，降低企业创新风险。对B级及以上企业购买上述险种，给予一定比例的保费优惠。</w:t>
      </w:r>
    </w:p>
    <w:p w14:paraId="04204B6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3．鼓励保险公司建立面向B级及以上企业的保险理赔绿色通道，优化保险理赔服务，简化理赔流程，缩短理赔周期，确保企业及时获得保险赔付。</w:t>
      </w:r>
    </w:p>
    <w:p w14:paraId="6910709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第八条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担保增信</w:t>
      </w:r>
    </w:p>
    <w:p w14:paraId="3623C34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1．鼓励政府性融资担保机构将创新积分作为科技担保业务决策的重要参考，支持有条件的机构创设“创新积分保”产品，为积分企业融资提供担保增信支持。</w:t>
      </w:r>
    </w:p>
    <w:p w14:paraId="7EAB8229">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2．鼓励担保机构对创新积分在B级及以上的企业制定专属政策，</w:t>
      </w:r>
      <w:r>
        <w:rPr>
          <w:rFonts w:hint="default" w:ascii="Times New Roman" w:hAnsi="Times New Roman" w:eastAsia="仿宋_GB2312" w:cs="Times New Roman"/>
          <w:i w:val="0"/>
          <w:iCs w:val="0"/>
          <w:caps w:val="0"/>
          <w:color w:val="auto"/>
          <w:spacing w:val="0"/>
          <w:sz w:val="32"/>
          <w:szCs w:val="32"/>
          <w:shd w:val="clear" w:color="auto" w:fill="FFFFFF"/>
        </w:rPr>
        <w:t>给予适当放宽担保准入条件、担保费率优惠、审批时效提升、加强与中债信用增进公司合作等政策支持</w:t>
      </w:r>
      <w:r>
        <w:rPr>
          <w:rFonts w:hint="default" w:ascii="Times New Roman" w:hAnsi="Times New Roman" w:eastAsia="仿宋_GB2312" w:cs="Times New Roman"/>
          <w:color w:val="auto"/>
          <w:sz w:val="32"/>
          <w:szCs w:val="32"/>
          <w:lang w:val="en-US" w:eastAsia="zh-CN"/>
        </w:rPr>
        <w:t>。</w:t>
      </w:r>
    </w:p>
    <w:p w14:paraId="773123B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第九条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上市融资辅导</w:t>
      </w:r>
    </w:p>
    <w:p w14:paraId="570F3B1E">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对于创新积分在B级及以上且达到上市后备标准的企业，证券监管部门、上市服务机构优先安排专业团队提供一对一上市辅导，涵盖上市规则解读、财务规范指导、信息披露培训等全方位内容，帮助企业提升资本市场认知与运作能力。</w:t>
      </w:r>
    </w:p>
    <w:p w14:paraId="57B136C8">
      <w:pPr>
        <w:keepNext w:val="0"/>
        <w:keepLines w:val="0"/>
        <w:pageBreakBefore w:val="0"/>
        <w:widowControl w:val="0"/>
        <w:numPr>
          <w:ilvl w:val="0"/>
          <w:numId w:val="0"/>
        </w:numPr>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2．支持区域性股权市场将B级及以上企业纳入江西省普惠金融综合平台、国家产融合作平台专区培育，为企业提供全面上市服务。</w:t>
      </w:r>
    </w:p>
    <w:p w14:paraId="7FA3229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3．鼓励上市服务机构对B级及以上企业给予适当服务费用优惠减免。</w:t>
      </w:r>
    </w:p>
    <w:p w14:paraId="7E92DDBE">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第三章　服务范畴及工作机制</w:t>
      </w:r>
    </w:p>
    <w:p w14:paraId="72C4EB5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费率优惠</w:t>
      </w:r>
    </w:p>
    <w:p w14:paraId="2F7F253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各类金融机构应根据企业创新积分分级情况，制定差异化费率优惠方案，确保更高等级企业享受更低的融资成本、更高性价比的金融服务，具体优惠幅度应在本指引要求基础上，结合自身业务实际进一步细化明确。</w:t>
      </w:r>
    </w:p>
    <w:p w14:paraId="0A45E81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第十一条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绿色通道</w:t>
      </w:r>
    </w:p>
    <w:p w14:paraId="1D42B5A1">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1．金融机构内部建立企业创新积分制金融服务绿色通道机制，设立专门服务窗口或服务团队，对B级及以上企业金融服务申请实行快速响应、优先办理。</w:t>
      </w:r>
    </w:p>
    <w:p w14:paraId="2BDAB36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2．明确绿色通道服务标准与流程，切实缩短业务办理时间，提高服务效率，为B级及以上企业创造便捷的融资环境。</w:t>
      </w:r>
    </w:p>
    <w:p w14:paraId="74C27BA6">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第十二条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专属产品与服务</w:t>
      </w:r>
    </w:p>
    <w:p w14:paraId="04D0F75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1．金融机构应积极研发推出与企业创新积分制相适应的专属科技金融产品，产品设计应紧密结合企业创新特点与融资需求，突出创新性、针对性。</w:t>
      </w:r>
    </w:p>
    <w:p w14:paraId="077567A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2．配套提供个性化金融服务方案，涵盖财务咨询、战略规划、风险管理咨询等多个维度，满足企业综合性金融服务需求。</w:t>
      </w:r>
    </w:p>
    <w:p w14:paraId="3E8B945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第十三条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投融资额度</w:t>
      </w:r>
    </w:p>
    <w:p w14:paraId="07CA791C">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1．金融机构应合理分配投融资额度，向B级及以上企业倾斜资源，确保该类企业获得的投融资额度占一定比例且稳步提升。</w:t>
      </w:r>
    </w:p>
    <w:p w14:paraId="24BF0A8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2．根据企业创新积分动态变化情况，及时调整企业投融资额度，保证额度分配的科学性与合理性。</w:t>
      </w:r>
    </w:p>
    <w:p w14:paraId="76004DBE">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第十四条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业务激励与尽职免责</w:t>
      </w:r>
    </w:p>
    <w:p w14:paraId="7D67670B">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1．金融机构需建立内部业务激励机制，对积极服务B级及以上企业、达成科技金融业务增长目标的分支机构与从业人员，给予绩效奖励、表彰等正向激励，激发业务拓展动力。</w:t>
      </w:r>
    </w:p>
    <w:p w14:paraId="418530D5">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金融机构应完善尽职免责制度，明确在科技金融业务开展过程中，因企业创新风险导致业务出现合理损失，但工作人员已履行尽职调查、审查审批等职责的，可予以免责，消除从业人员后顾之忧，鼓励其大胆创新开展业务。</w:t>
      </w:r>
    </w:p>
    <w:p w14:paraId="2733C9EC">
      <w:pPr>
        <w:keepNext w:val="0"/>
        <w:keepLines w:val="0"/>
        <w:pageBreakBefore w:val="0"/>
        <w:widowControl w:val="0"/>
        <w:kinsoku/>
        <w:wordWrap/>
        <w:overflowPunct/>
        <w:topLinePunct/>
        <w:autoSpaceDE w:val="0"/>
        <w:autoSpaceDN/>
        <w:bidi w:val="0"/>
        <w:adjustRightInd/>
        <w:snapToGrid/>
        <w:spacing w:line="600" w:lineRule="exact"/>
        <w:jc w:val="center"/>
        <w:textAlignment w:val="auto"/>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第四章　保障措施</w:t>
      </w:r>
    </w:p>
    <w:p w14:paraId="7A22D6B2">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第十五条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强化组织协调</w:t>
      </w:r>
    </w:p>
    <w:p w14:paraId="01BCD557">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省科技厅与省地方金融管理局、人民银行江西省分行等部门协同，定期召开联席会议，加强对企业创新积分制应用赋能的组织领导和统筹协调。加强与各类金融机构的对接，构建战略合作和紧密合作关系，更好地引导金融资源向企业集聚，不断放大政策效能。</w:t>
      </w:r>
    </w:p>
    <w:p w14:paraId="36F2B31F">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第十六条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加强数据共享</w:t>
      </w:r>
    </w:p>
    <w:p w14:paraId="00BEC178">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完善江西省创新积分信息服务平台，建立与金融机构数据共享的长效机制，保障企业创新数据的有效使用。金融机构依法合规使用企业创新数据，加强数据安全管理，防止数据泄露与滥用。</w:t>
      </w:r>
    </w:p>
    <w:p w14:paraId="7AFD5C43">
      <w:pPr>
        <w:keepNext w:val="0"/>
        <w:keepLines w:val="0"/>
        <w:pageBreakBefore w:val="0"/>
        <w:widowControl w:val="0"/>
        <w:kinsoku/>
        <w:wordWrap/>
        <w:overflowPunct/>
        <w:topLinePunct/>
        <w:autoSpaceDE w:val="0"/>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第十七条</w:t>
      </w:r>
      <w:r>
        <w:rPr>
          <w:rFonts w:hint="default" w:ascii="Times New Roman" w:hAnsi="Times New Roman" w:eastAsia="仿宋_GB2312" w:cs="Times New Roman"/>
          <w:b/>
          <w:bCs/>
          <w:color w:val="auto"/>
          <w:sz w:val="32"/>
          <w:szCs w:val="32"/>
          <w:lang w:val="en-US" w:eastAsia="zh-CN"/>
        </w:rPr>
        <w:t>　</w:t>
      </w:r>
      <w:r>
        <w:rPr>
          <w:rFonts w:hint="default" w:ascii="Times New Roman" w:hAnsi="Times New Roman" w:eastAsia="仿宋_GB2312" w:cs="Times New Roman"/>
          <w:b w:val="0"/>
          <w:bCs w:val="0"/>
          <w:color w:val="auto"/>
          <w:sz w:val="32"/>
          <w:szCs w:val="32"/>
          <w:lang w:val="en-US" w:eastAsia="zh-CN"/>
        </w:rPr>
        <w:t>强化跟踪评价</w:t>
      </w:r>
    </w:p>
    <w:p w14:paraId="75D1B51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宋体" w:cs="Times New Roman"/>
          <w:sz w:val="22"/>
          <w:szCs w:val="28"/>
          <w:lang w:val="en-US" w:eastAsia="zh-CN"/>
        </w:rPr>
      </w:pPr>
      <w:r>
        <w:rPr>
          <w:rFonts w:hint="default" w:ascii="Times New Roman" w:hAnsi="Times New Roman" w:eastAsia="仿宋_GB2312" w:cs="Times New Roman"/>
          <w:color w:val="auto"/>
          <w:sz w:val="32"/>
          <w:szCs w:val="32"/>
          <w:lang w:val="en-US" w:eastAsia="zh-CN"/>
        </w:rPr>
        <w:t>建立工作目标责任制，</w:t>
      </w:r>
      <w:r>
        <w:rPr>
          <w:rFonts w:hint="default" w:ascii="Times New Roman" w:hAnsi="Times New Roman" w:eastAsia="仿宋_GB2312" w:cs="Times New Roman"/>
          <w:i w:val="0"/>
          <w:iCs w:val="0"/>
          <w:caps w:val="0"/>
          <w:color w:val="auto"/>
          <w:spacing w:val="0"/>
          <w:sz w:val="32"/>
          <w:szCs w:val="32"/>
          <w:shd w:val="clear" w:color="auto" w:fill="FFFFFF"/>
        </w:rPr>
        <w:t>对企业创新积分制在科技金融领域应用赋能工作明确评价指标与权重，定期开展跟踪评价，并将评价结果与金融机构使用企业创新</w:t>
      </w:r>
      <w:r>
        <w:rPr>
          <w:rFonts w:hint="default" w:ascii="Times New Roman" w:hAnsi="Times New Roman" w:eastAsia="仿宋_GB2312" w:cs="Times New Roman"/>
          <w:color w:val="auto"/>
          <w:sz w:val="32"/>
          <w:szCs w:val="32"/>
          <w:lang w:val="en-US" w:eastAsia="zh-CN"/>
        </w:rPr>
        <w:t>数据</w:t>
      </w:r>
      <w:r>
        <w:rPr>
          <w:rFonts w:hint="default" w:ascii="Times New Roman" w:hAnsi="Times New Roman" w:eastAsia="仿宋_GB2312" w:cs="Times New Roman"/>
          <w:i w:val="0"/>
          <w:iCs w:val="0"/>
          <w:caps w:val="0"/>
          <w:color w:val="auto"/>
          <w:spacing w:val="0"/>
          <w:sz w:val="32"/>
          <w:szCs w:val="32"/>
          <w:shd w:val="clear" w:color="auto" w:fill="FFFFFF"/>
        </w:rPr>
        <w:t>、展业科技金融业务挂钩</w:t>
      </w:r>
      <w:r>
        <w:rPr>
          <w:rFonts w:hint="default" w:ascii="Times New Roman" w:hAnsi="Times New Roman" w:eastAsia="仿宋_GB2312" w:cs="Times New Roman"/>
          <w:color w:val="auto"/>
          <w:sz w:val="32"/>
          <w:szCs w:val="32"/>
          <w:lang w:val="en-US" w:eastAsia="zh-CN"/>
        </w:rPr>
        <w:t>。</w:t>
      </w:r>
    </w:p>
    <w:p w14:paraId="14179562">
      <w:pPr>
        <w:keepNext w:val="0"/>
        <w:keepLines w:val="0"/>
        <w:pageBreakBefore w:val="0"/>
        <w:kinsoku/>
        <w:wordWrap/>
        <w:overflowPunct/>
        <w:autoSpaceDN/>
        <w:bidi w:val="0"/>
        <w:adjustRightInd/>
        <w:snapToGrid/>
        <w:spacing w:line="600" w:lineRule="exact"/>
        <w:textAlignment w:val="auto"/>
        <w:rPr>
          <w:rFonts w:hint="eastAsia"/>
          <w:lang w:val="en-US" w:eastAsia="zh-CN"/>
        </w:rPr>
      </w:pPr>
      <w:bookmarkStart w:id="0" w:name="_GoBack"/>
      <w:bookmarkEnd w:id="0"/>
    </w:p>
    <w:p w14:paraId="27EF348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F6D7E"/>
    <w:rsid w:val="1EAF6D7E"/>
    <w:rsid w:val="37FB30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unhideWhenUsed/>
    <w:qFormat/>
    <w:uiPriority w:val="99"/>
    <w:pPr>
      <w:snapToGrid/>
      <w:spacing w:line="560" w:lineRule="exact"/>
      <w:ind w:firstLine="602" w:firstLineChars="200"/>
    </w:pPr>
    <w:rPr>
      <w:rFonts w:ascii="楷体_GB2312" w:eastAsia="楷体_GB2312"/>
      <w:b/>
      <w:kern w:val="2"/>
      <w:sz w:val="30"/>
      <w:szCs w:val="20"/>
    </w:rPr>
  </w:style>
  <w:style w:type="paragraph" w:styleId="3">
    <w:name w:val="Normal Indent"/>
    <w:basedOn w:val="1"/>
    <w:next w:val="1"/>
    <w:qFormat/>
    <w:uiPriority w:val="0"/>
    <w:pPr>
      <w:autoSpaceDE w:val="0"/>
      <w:autoSpaceDN w:val="0"/>
      <w:adjustRightInd w:val="0"/>
      <w:snapToGrid w:val="0"/>
      <w:spacing w:line="520" w:lineRule="exact"/>
      <w:ind w:firstLine="420" w:firstLineChars="200"/>
    </w:pPr>
    <w:rPr>
      <w:rFonts w:ascii="宋体" w:hAnsi="宋体" w:cs="宋体"/>
      <w:sz w:val="22"/>
      <w:szCs w:val="22"/>
      <w:lang w:val="zh-CN" w:bidi="zh-CN"/>
    </w:rPr>
  </w:style>
  <w:style w:type="paragraph" w:styleId="4">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3047</Words>
  <Characters>3047</Characters>
  <Lines>0</Lines>
  <Paragraphs>0</Paragraphs>
  <TotalTime>0</TotalTime>
  <ScaleCrop>false</ScaleCrop>
  <LinksUpToDate>false</LinksUpToDate>
  <CharactersWithSpaces>3071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2025-11-06T02:14:00Z</dcterms:created>
  <dc:creator>牛皮不是牛皮是皮</dc:creator>
  <cp:lastModifiedBy>牛皮不是牛皮是皮</cp:lastModifiedBy>
  <dcterms:modified xsi:type="dcterms:W3CDTF">2025-11-10T07:29:36Z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429F42B55F3741ACA3BDB32CB770CC8B_11</vt:lpwstr>
  </property>
  <property fmtid="{D5CDD505-2E9C-101B-9397-08002B2CF9AE}" pid="4" name="KSOTemplateDocerSaveRecord">
    <vt:lpwstr>eyJoZGlkIjoiMWMwMDM2M2FhYzlhNjg5OGQ1OWNhMTg2NmIzNzMxY2EiLCJ1c2VySWQiOiIxMDI0NzAwNjI2In0=</vt:lpwstr>
  </property>
</Properties>
</file>