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6D7C53"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 w14:paraId="03FCF73C"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708CB30B"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江西省企业创新积分制（科技领域）</w:t>
      </w:r>
    </w:p>
    <w:p w14:paraId="62A91F4A"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应用赋能工作指引</w:t>
      </w:r>
    </w:p>
    <w:p w14:paraId="685EF5C5">
      <w:pPr>
        <w:pStyle w:val="4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0" w:firstLineChars="0"/>
        <w:jc w:val="center"/>
        <w:textAlignment w:val="auto"/>
        <w:rPr>
          <w:rFonts w:hint="default" w:ascii="Times New Roman" w:hAnsi="Times New Roman" w:eastAsia="楷体_GB2312" w:cs="Times New Roman"/>
          <w:bCs/>
          <w:color w:val="auto"/>
          <w:sz w:val="32"/>
          <w:szCs w:val="32"/>
          <w:highlight w:val="none"/>
        </w:rPr>
      </w:pPr>
    </w:p>
    <w:p w14:paraId="3BFC06B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0"/>
        <w:rPr>
          <w:rFonts w:hint="default" w:ascii="Times New Roman" w:hAnsi="Times New Roman" w:eastAsia="黑体" w:cs="Times New Roman"/>
          <w:bCs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color w:val="auto"/>
          <w:kern w:val="0"/>
          <w:sz w:val="32"/>
          <w:szCs w:val="32"/>
        </w:rPr>
        <w:t>第一章  总</w:t>
      </w:r>
      <w:r>
        <w:rPr>
          <w:rFonts w:hint="default" w:ascii="Times New Roman" w:hAnsi="Times New Roman" w:eastAsia="黑体" w:cs="Times New Roman"/>
          <w:bCs/>
          <w:color w:val="auto"/>
          <w:kern w:val="0"/>
          <w:sz w:val="32"/>
          <w:szCs w:val="32"/>
          <w:lang w:eastAsia="zh-CN"/>
        </w:rPr>
        <w:t>　</w:t>
      </w:r>
      <w:r>
        <w:rPr>
          <w:rFonts w:hint="default" w:ascii="Times New Roman" w:hAnsi="Times New Roman" w:eastAsia="黑体" w:cs="Times New Roman"/>
          <w:bCs/>
          <w:color w:val="auto"/>
          <w:kern w:val="0"/>
          <w:sz w:val="32"/>
          <w:szCs w:val="32"/>
        </w:rPr>
        <w:t>则</w:t>
      </w:r>
    </w:p>
    <w:p w14:paraId="1A5EB4F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snapToGrid w:val="0"/>
          <w:color w:val="auto"/>
          <w:kern w:val="0"/>
          <w:sz w:val="32"/>
          <w:szCs w:val="32"/>
          <w:shd w:val="clear" w:color="auto" w:fill="FFFFFF"/>
        </w:rPr>
        <w:t>第一条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eastAsia="zh-CN"/>
        </w:rPr>
        <w:t>　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</w:rPr>
        <w:t>为进一步强化企业创新主体地位，精准引导各类创新资源向企业集聚，持续放大企业创新积分的政策效能，根据科技部《“创新积分制”工作指引（全国试行版）》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eastAsia="zh-CN"/>
        </w:rPr>
        <w:t>扩大创新积分应用范围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</w:rPr>
        <w:t>等有关要求，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eastAsia="zh-CN"/>
        </w:rPr>
        <w:t>结合科技部门职能，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</w:rPr>
        <w:t>制定本指引。</w:t>
      </w:r>
    </w:p>
    <w:p w14:paraId="500CFC9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snapToGrid w:val="0"/>
          <w:color w:val="auto"/>
          <w:kern w:val="0"/>
          <w:sz w:val="32"/>
          <w:szCs w:val="32"/>
          <w:shd w:val="clear" w:color="auto" w:fill="FFFFFF"/>
        </w:rPr>
        <w:t>第二条</w:t>
      </w:r>
      <w:bookmarkStart w:id="0" w:name="_Hlk193881031"/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eastAsia="zh-CN"/>
        </w:rPr>
        <w:t>　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</w:rPr>
        <w:t>本指引适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eastAsia="zh-CN"/>
        </w:rPr>
        <w:t>用于</w:t>
      </w:r>
      <w:bookmarkEnd w:id="0"/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</w:rPr>
        <w:t>科技领域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eastAsia="zh-CN"/>
        </w:rPr>
        <w:t>工作的创新积分制应用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</w:rPr>
        <w:t>，包括但不仅限于企业梯次培育、科技项目申报、创新平台建设、科技人才服务、科技金融服务等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eastAsia="zh-CN"/>
        </w:rPr>
        <w:t>为科技型企业提供的服务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</w:rPr>
        <w:t>。</w:t>
      </w:r>
    </w:p>
    <w:p w14:paraId="0DD8FAC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snapToGrid w:val="0"/>
          <w:color w:val="auto"/>
          <w:kern w:val="0"/>
          <w:sz w:val="32"/>
          <w:szCs w:val="32"/>
          <w:shd w:val="clear" w:color="auto" w:fill="FFFFFF"/>
        </w:rPr>
        <w:t>第三条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eastAsia="zh-CN"/>
        </w:rPr>
        <w:t>　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</w:rPr>
        <w:t>本指引适用场景采取周期性优化机制，根据年度科技创新工作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eastAsia="zh-CN"/>
        </w:rPr>
        <w:t>实际，视需要适时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</w:rPr>
        <w:t>调整。</w:t>
      </w:r>
    </w:p>
    <w:p w14:paraId="7FD8374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0"/>
        <w:rPr>
          <w:rFonts w:hint="default" w:ascii="Times New Roman" w:hAnsi="Times New Roman" w:eastAsia="黑体" w:cs="Times New Roman"/>
          <w:bCs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color w:val="auto"/>
          <w:kern w:val="0"/>
          <w:sz w:val="32"/>
          <w:szCs w:val="32"/>
        </w:rPr>
        <w:t>第二章</w:t>
      </w:r>
      <w:r>
        <w:rPr>
          <w:rFonts w:hint="default" w:ascii="Times New Roman" w:hAnsi="Times New Roman" w:eastAsia="黑体" w:cs="Times New Roman"/>
          <w:bCs/>
          <w:color w:val="auto"/>
          <w:kern w:val="0"/>
          <w:sz w:val="32"/>
          <w:szCs w:val="32"/>
          <w:lang w:eastAsia="zh-CN"/>
        </w:rPr>
        <w:t>　</w:t>
      </w:r>
      <w:r>
        <w:rPr>
          <w:rFonts w:hint="default" w:ascii="Times New Roman" w:hAnsi="Times New Roman" w:eastAsia="黑体" w:cs="Times New Roman"/>
          <w:bCs/>
          <w:color w:val="auto"/>
          <w:kern w:val="0"/>
          <w:sz w:val="32"/>
          <w:szCs w:val="32"/>
        </w:rPr>
        <w:t>一般条件</w:t>
      </w:r>
    </w:p>
    <w:p w14:paraId="6E3E98D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snapToGrid w:val="0"/>
          <w:color w:val="auto"/>
          <w:kern w:val="0"/>
          <w:sz w:val="32"/>
          <w:szCs w:val="32"/>
          <w:shd w:val="clear" w:color="auto" w:fill="FFFFFF"/>
        </w:rPr>
        <w:t>第四条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eastAsia="zh-CN"/>
        </w:rPr>
        <w:t>　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</w:rPr>
        <w:t>本指引所适用的企业，是指在江西省内注册的，并在江西省创新积分信息服务平台上拥有创新积分评价结果，按照ABCD四个类别列入全省创新积分榜单的企业。</w:t>
      </w:r>
    </w:p>
    <w:p w14:paraId="3C38E0A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snapToGrid w:val="0"/>
          <w:color w:val="auto"/>
          <w:kern w:val="0"/>
          <w:sz w:val="32"/>
          <w:szCs w:val="32"/>
          <w:shd w:val="clear" w:color="auto" w:fill="FFFFFF"/>
        </w:rPr>
        <w:t>第五条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eastAsia="zh-CN"/>
        </w:rPr>
        <w:t>　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</w:rPr>
        <w:t>本指引适用场景使用创新积分，主要分为三种方式。一是作为准入条件，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eastAsia="zh-CN"/>
        </w:rPr>
        <w:t>企业通过创新积分可申请的创新资源；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</w:rPr>
        <w:t>二是作为优先条件，支持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eastAsia="zh-CN"/>
        </w:rPr>
        <w:t>高等级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</w:rPr>
        <w:t>企业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eastAsia="zh-CN"/>
        </w:rPr>
        <w:t>同等条件下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</w:rPr>
        <w:t>获得优先推荐权；三是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eastAsia="zh-CN"/>
        </w:rPr>
        <w:t>作为附加条件，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</w:rPr>
        <w:t>将创新积分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eastAsia="zh-CN"/>
        </w:rPr>
        <w:t>整合纳入企业项目、平台、人才申请时的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</w:rPr>
        <w:t>附加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eastAsia="zh-CN"/>
        </w:rPr>
        <w:t>评分体系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</w:rPr>
        <w:t>。</w:t>
      </w:r>
    </w:p>
    <w:p w14:paraId="2DA4182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0"/>
        <w:rPr>
          <w:rFonts w:hint="default" w:ascii="Times New Roman" w:hAnsi="Times New Roman" w:eastAsia="黑体" w:cs="Times New Roman"/>
          <w:bCs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color w:val="auto"/>
          <w:kern w:val="0"/>
          <w:sz w:val="32"/>
          <w:szCs w:val="32"/>
        </w:rPr>
        <w:t>第三章  应用场景</w:t>
      </w:r>
    </w:p>
    <w:p w14:paraId="74F417C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bCs/>
          <w:snapToGrid w:val="0"/>
          <w:color w:val="auto"/>
          <w:kern w:val="0"/>
          <w:sz w:val="32"/>
          <w:szCs w:val="32"/>
          <w:shd w:val="clear" w:color="auto" w:fill="FFFFFF"/>
        </w:rPr>
        <w:t>第六条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eastAsia="zh-CN"/>
        </w:rPr>
        <w:t>　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</w:rPr>
        <w:t>企业梯次培育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eastAsia="zh-CN"/>
        </w:rPr>
        <w:t>应用场景</w:t>
      </w:r>
    </w:p>
    <w:p w14:paraId="6B42131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val="en-US" w:eastAsia="zh-CN" w:bidi="ar"/>
        </w:rPr>
        <w:t>1．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eastAsia="zh-CN" w:bidi="ar"/>
        </w:rPr>
        <w:t>对于企业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bidi="ar"/>
        </w:rPr>
        <w:t>上年度企业创新积分在B级及以上的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val="en-US" w:eastAsia="zh-CN" w:bidi="ar"/>
        </w:rPr>
        <w:t>，在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bidi="ar"/>
        </w:rPr>
        <w:t>申报国家高新技术企业资格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val="en-US" w:eastAsia="zh-CN" w:bidi="ar"/>
        </w:rPr>
        <w:t>时，可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bidi="ar"/>
        </w:rPr>
        <w:t>在市、县（区）科技主管部门审核环节优先推荐。</w:t>
      </w:r>
    </w:p>
    <w:p w14:paraId="21697448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val="en-US" w:eastAsia="zh-CN" w:bidi="ar"/>
        </w:rPr>
        <w:t>2．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eastAsia="zh-CN" w:bidi="ar"/>
        </w:rPr>
        <w:t>对于企业创新积分在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val="en-US" w:eastAsia="zh-CN" w:bidi="ar"/>
        </w:rPr>
        <w:t>C级及以上的，优先审核推荐支持纳入科技型中小企业。</w:t>
      </w:r>
    </w:p>
    <w:p w14:paraId="11F432E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val="en-US" w:eastAsia="zh-CN" w:bidi="ar"/>
        </w:rPr>
        <w:t>3．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bidi="ar"/>
        </w:rPr>
        <w:t>在高成长性企业资格评审中，将企业创新积分按10%的权重列入考核指标。</w:t>
      </w:r>
    </w:p>
    <w:p w14:paraId="600FF7B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snapToGrid w:val="0"/>
          <w:color w:val="auto"/>
          <w:kern w:val="0"/>
          <w:sz w:val="32"/>
          <w:szCs w:val="32"/>
          <w:shd w:val="clear" w:color="auto" w:fill="FFFFFF"/>
        </w:rPr>
        <w:t>第七条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eastAsia="zh-CN"/>
        </w:rPr>
        <w:t>　技术创新支持应用场景</w:t>
      </w:r>
    </w:p>
    <w:p w14:paraId="3D6F591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val="en-US" w:eastAsia="zh-CN" w:bidi="ar"/>
        </w:rPr>
        <w:t>4．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val="en-US" w:eastAsia="zh-CN"/>
        </w:rPr>
        <w:t>对于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val="en-US" w:eastAsia="zh-CN" w:bidi="ar"/>
        </w:rPr>
        <w:t>企业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bidi="ar"/>
        </w:rPr>
        <w:t>年度创新积分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val="en-US" w:eastAsia="zh-CN" w:bidi="ar"/>
        </w:rPr>
        <w:t>达到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bidi="ar"/>
        </w:rPr>
        <w:t>A级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eastAsia="zh-CN" w:bidi="ar"/>
        </w:rPr>
        <w:t>的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val="en-US" w:eastAsia="zh-CN" w:bidi="ar"/>
        </w:rPr>
        <w:t>企业，若技术创新类项目面向产业一线，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bidi="ar"/>
        </w:rPr>
        <w:t>科技重大专项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eastAsia="zh-CN" w:bidi="ar"/>
        </w:rPr>
        <w:t>各项目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bidi="ar"/>
        </w:rPr>
        <w:t>牵头单位是企业的，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eastAsia="zh-CN" w:bidi="ar"/>
        </w:rPr>
        <w:t>综合评审得分可加计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val="en-US" w:eastAsia="zh-CN" w:bidi="ar"/>
        </w:rPr>
        <w:t>3分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bidi="ar"/>
        </w:rPr>
        <w:t>。</w:t>
      </w:r>
    </w:p>
    <w:p w14:paraId="3E93A32D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val="en-US" w:eastAsia="zh-CN" w:bidi="ar"/>
        </w:rPr>
        <w:t>5．对于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bidi="ar"/>
        </w:rPr>
        <w:t>企业创新积分达到A级的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val="en-US" w:eastAsia="zh-CN" w:bidi="ar"/>
        </w:rPr>
        <w:t>企业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bidi="ar"/>
        </w:rPr>
        <w:t>，在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val="en-US" w:eastAsia="zh-CN" w:bidi="ar"/>
        </w:rPr>
        <w:t>作为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bidi="ar"/>
        </w:rPr>
        <w:t>项目牵头单位申报重点研发计划时，其综合评审得分可加计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val="en-US" w:bidi="ar"/>
        </w:rPr>
        <w:t>3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bidi="ar"/>
        </w:rPr>
        <w:t>分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eastAsia="zh-CN" w:bidi="ar"/>
        </w:rPr>
        <w:t>。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bidi="ar"/>
        </w:rPr>
        <w:t>在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val="en-US" w:eastAsia="zh-CN" w:bidi="ar"/>
        </w:rPr>
        <w:t>作为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bidi="ar"/>
        </w:rPr>
        <w:t>项目牵头单位申报江西省重大科技成果熟化与工程化研究项目时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eastAsia="zh-CN" w:bidi="ar"/>
        </w:rPr>
        <w:t>，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bidi="ar"/>
        </w:rPr>
        <w:t>其综合评审得分可加计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val="en-US" w:eastAsia="zh-CN" w:bidi="ar"/>
        </w:rPr>
        <w:t>3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bidi="ar"/>
        </w:rPr>
        <w:t>分。</w:t>
      </w:r>
    </w:p>
    <w:p w14:paraId="57B8F799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val="en-US" w:eastAsia="zh-CN" w:bidi="ar"/>
        </w:rPr>
        <w:t>6．对于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bidi="ar"/>
        </w:rPr>
        <w:t>企业创新积分达到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val="en-US" w:eastAsia="zh-CN" w:bidi="ar"/>
        </w:rPr>
        <w:t>B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bidi="ar"/>
        </w:rPr>
        <w:t>级的，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val="en-US" w:eastAsia="zh-CN" w:bidi="ar"/>
        </w:rPr>
        <w:t>在作为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bidi="ar"/>
        </w:rPr>
        <w:t>项目牵头单位申报重点研发计划时，其综合评审得分可加计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val="en-US" w:bidi="ar"/>
        </w:rPr>
        <w:t>1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bidi="ar"/>
        </w:rPr>
        <w:t>分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eastAsia="zh-CN" w:bidi="ar"/>
        </w:rPr>
        <w:t>。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bidi="ar"/>
        </w:rPr>
        <w:t>在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val="en-US" w:eastAsia="zh-CN" w:bidi="ar"/>
        </w:rPr>
        <w:t>作为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bidi="ar"/>
        </w:rPr>
        <w:t>项目牵头单位申报江西省重大科技成果熟化与工程化研究项目时，其综合评审得分可加计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val="en-US" w:eastAsia="zh-CN" w:bidi="ar"/>
        </w:rPr>
        <w:t>1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bidi="ar"/>
        </w:rPr>
        <w:t>分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eastAsia="zh-CN" w:bidi="ar"/>
        </w:rPr>
        <w:t>。</w:t>
      </w:r>
    </w:p>
    <w:p w14:paraId="0AF263D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bCs/>
          <w:snapToGrid w:val="0"/>
          <w:color w:val="auto"/>
          <w:kern w:val="0"/>
          <w:sz w:val="32"/>
          <w:szCs w:val="32"/>
          <w:shd w:val="clear" w:color="auto" w:fill="FFFFFF"/>
        </w:rPr>
        <w:t>第八条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eastAsia="zh-CN"/>
        </w:rPr>
        <w:t>　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</w:rPr>
        <w:t>企业创新平台建设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eastAsia="zh-CN"/>
        </w:rPr>
        <w:t>应用场景</w:t>
      </w:r>
    </w:p>
    <w:p w14:paraId="41BAC955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val="en-US" w:eastAsia="zh-CN" w:bidi="ar-SA"/>
        </w:rPr>
        <w:t>7．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</w:rPr>
        <w:t>对于首次申报省级创新平台的企业，包括成果转化与产业类创新平台、技术创新类平台等，其上年度企业创新积分原则上应为A级，共建单位上年度企业创新积分原则上不低于B级。</w:t>
      </w:r>
    </w:p>
    <w:p w14:paraId="09B18115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val="en-US" w:eastAsia="zh-CN" w:bidi="ar-SA"/>
        </w:rPr>
        <w:t>8．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</w:rPr>
        <w:t>积极探索企业将积分按需兑换实验室设备共享、联合研发及数据资源调用等科研服务。</w:t>
      </w:r>
    </w:p>
    <w:p w14:paraId="5E38497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bCs/>
          <w:snapToGrid w:val="0"/>
          <w:color w:val="auto"/>
          <w:kern w:val="0"/>
          <w:sz w:val="32"/>
          <w:szCs w:val="32"/>
          <w:shd w:val="clear" w:color="auto" w:fill="FFFFFF"/>
        </w:rPr>
        <w:t>第九条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eastAsia="zh-CN"/>
        </w:rPr>
        <w:t>　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</w:rPr>
        <w:t>科技人才服务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eastAsia="zh-CN"/>
        </w:rPr>
        <w:t>应用场景</w:t>
      </w:r>
    </w:p>
    <w:p w14:paraId="5838068D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val="en-US" w:eastAsia="zh-CN" w:bidi="ar-SA"/>
        </w:rPr>
        <w:t>9．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val="en-US" w:eastAsia="zh-CN" w:bidi="ar"/>
        </w:rPr>
        <w:t>对于企业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bidi="ar"/>
        </w:rPr>
        <w:t>创新积分达到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val="en-US" w:eastAsia="zh-CN" w:bidi="ar"/>
        </w:rPr>
        <w:t>A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bidi="ar"/>
        </w:rPr>
        <w:t>级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val="en-US" w:eastAsia="zh-CN" w:bidi="ar"/>
        </w:rPr>
        <w:t>的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bidi="ar"/>
        </w:rPr>
        <w:t>企业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eastAsia="zh-CN" w:bidi="ar"/>
        </w:rPr>
        <w:t>，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val="en-US" w:eastAsia="zh-CN" w:bidi="ar"/>
        </w:rPr>
        <w:t>可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</w:rPr>
        <w:t>享有10个推荐名额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eastAsia="zh-CN"/>
        </w:rPr>
        <w:t>对符合条件的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</w:rPr>
        <w:t>技术骨干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val="en-US" w:eastAsia="zh-CN"/>
        </w:rPr>
        <w:t>进行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</w:rPr>
        <w:t>推荐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val="en-US" w:eastAsia="zh-CN"/>
        </w:rPr>
        <w:t>被推荐人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</w:rPr>
        <w:t>可直接纳入省科技专家库企业专家序列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val="en-US" w:eastAsia="zh-CN"/>
        </w:rPr>
        <w:t>优先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eastAsia="zh-CN"/>
        </w:rPr>
        <w:t>支持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val="en-US" w:eastAsia="zh-CN"/>
        </w:rPr>
        <w:t>企业入库专家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</w:rPr>
        <w:t>参与省科技厅组织的指南编制、立项评审、绩效评价等科技管理活动（须遵守利益回避原则）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bidi="ar"/>
        </w:rPr>
        <w:t>。</w:t>
      </w:r>
    </w:p>
    <w:p w14:paraId="3EA5D31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val="en-US" w:eastAsia="zh-CN" w:bidi="ar-SA"/>
        </w:rPr>
        <w:t>10．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val="en-US" w:eastAsia="zh-CN" w:bidi="ar"/>
        </w:rPr>
        <w:t>对于企业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bidi="ar"/>
        </w:rPr>
        <w:t>创新积分达到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val="en-US" w:eastAsia="zh-CN" w:bidi="ar"/>
        </w:rPr>
        <w:t>B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bidi="ar"/>
        </w:rPr>
        <w:t>级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val="en-US" w:eastAsia="zh-CN" w:bidi="ar"/>
        </w:rPr>
        <w:t>的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bidi="ar"/>
        </w:rPr>
        <w:t>企业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eastAsia="zh-CN" w:bidi="ar"/>
        </w:rPr>
        <w:t>，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val="en-US" w:eastAsia="zh-CN" w:bidi="ar"/>
        </w:rPr>
        <w:t>可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</w:rPr>
        <w:t>享有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</w:rPr>
        <w:t>个推荐名额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eastAsia="zh-CN"/>
        </w:rPr>
        <w:t>对符合条件的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</w:rPr>
        <w:t>技术骨干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val="en-US" w:eastAsia="zh-CN"/>
        </w:rPr>
        <w:t>进行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</w:rPr>
        <w:t>推荐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val="en-US" w:eastAsia="zh-CN"/>
        </w:rPr>
        <w:t>被推荐人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</w:rPr>
        <w:t>可直接纳入省科技专家库企业专家序列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val="en-US" w:eastAsia="zh-CN"/>
        </w:rPr>
        <w:t>优先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eastAsia="zh-CN"/>
        </w:rPr>
        <w:t>支持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val="en-US" w:eastAsia="zh-CN"/>
        </w:rPr>
        <w:t>企业入库专家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</w:rPr>
        <w:t>参与省科技厅组织的指南编制、立项评审、绩效评价等科技管理活动（须遵守利益回避原则）</w:t>
      </w:r>
      <w:r>
        <w:rPr>
          <w:rFonts w:hint="eastAsia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eastAsia="zh-CN"/>
        </w:rPr>
        <w:t>。</w:t>
      </w:r>
    </w:p>
    <w:p w14:paraId="6B68CBC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val="en-US" w:eastAsia="zh-CN" w:bidi="ar-SA"/>
        </w:rPr>
        <w:t>11．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</w:rPr>
        <w:t>对企业创新积分达到B级及以上的企业，优先支持“科技副总”领衔（参与）省重点创新产业化升级工程项目、省科技成果熟化与工程化研究项目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bidi="ar"/>
        </w:rPr>
        <w:t>。</w:t>
      </w:r>
    </w:p>
    <w:p w14:paraId="34ED35A8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bCs/>
          <w:snapToGrid w:val="0"/>
          <w:color w:val="auto"/>
          <w:kern w:val="0"/>
          <w:sz w:val="32"/>
          <w:szCs w:val="32"/>
          <w:shd w:val="clear" w:color="auto" w:fill="FFFFFF"/>
        </w:rPr>
        <w:t>第十条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eastAsia="zh-CN"/>
        </w:rPr>
        <w:t>　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</w:rPr>
        <w:t>科技金融服务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eastAsia="zh-CN"/>
        </w:rPr>
        <w:t>应用场景</w:t>
      </w:r>
    </w:p>
    <w:p w14:paraId="0DE7531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val="en-US" w:eastAsia="zh-CN" w:bidi="ar-SA"/>
        </w:rPr>
        <w:t>12．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</w:rPr>
        <w:t>对于创新积分达到B级及以上的企业，优先纳入“科贷通”融资攻坚工程重点服务企业名单，</w:t>
      </w:r>
      <w:r>
        <w:rPr>
          <w:rFonts w:hint="eastAsia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eastAsia="zh-CN"/>
        </w:rPr>
        <w:t>优先向科创</w:t>
      </w:r>
      <w:r>
        <w:rPr>
          <w:rFonts w:hint="eastAsia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highlight w:val="none"/>
          <w:lang w:eastAsia="zh-CN"/>
        </w:rPr>
        <w:t>基金</w:t>
      </w:r>
      <w:r>
        <w:rPr>
          <w:rFonts w:hint="eastAsia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eastAsia="zh-CN"/>
        </w:rPr>
        <w:t>及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</w:rPr>
        <w:t>省内银行机构推介。</w:t>
      </w:r>
    </w:p>
    <w:p w14:paraId="5D4BC564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val="en-US" w:eastAsia="zh-CN" w:bidi="ar-SA"/>
        </w:rPr>
        <w:t>1</w:t>
      </w:r>
      <w:r>
        <w:rPr>
          <w:rFonts w:hint="eastAsia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val="en-US" w:eastAsia="zh-CN" w:bidi="ar-SA"/>
        </w:rPr>
        <w:t>3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val="en-US" w:eastAsia="zh-CN" w:bidi="ar-SA"/>
        </w:rPr>
        <w:t>．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</w:rPr>
        <w:t>建立“创新积分+银行信贷”联动机制，定期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eastAsia="zh-CN"/>
        </w:rPr>
        <w:t>与我厅建立战略合作伙伴关系的金融机构对接，推送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</w:rPr>
        <w:t>企业创新积分榜单，促进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eastAsia="zh-CN"/>
        </w:rPr>
        <w:t>企业获得融资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</w:rPr>
        <w:t>。</w:t>
      </w:r>
    </w:p>
    <w:p w14:paraId="32E2500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0"/>
        <w:rPr>
          <w:rFonts w:hint="default" w:ascii="Times New Roman" w:hAnsi="Times New Roman" w:eastAsia="黑体" w:cs="Times New Roman"/>
          <w:bCs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color w:val="auto"/>
          <w:kern w:val="0"/>
          <w:sz w:val="32"/>
          <w:szCs w:val="32"/>
        </w:rPr>
        <w:t>第四章  组织保障</w:t>
      </w:r>
    </w:p>
    <w:p w14:paraId="3FB570A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snapToGrid w:val="0"/>
          <w:color w:val="auto"/>
          <w:kern w:val="0"/>
          <w:sz w:val="32"/>
          <w:szCs w:val="32"/>
          <w:shd w:val="clear" w:color="auto" w:fill="FFFFFF"/>
        </w:rPr>
        <w:t>第十一条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lang w:eastAsia="zh-CN"/>
        </w:rPr>
        <w:t>　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</w:rPr>
        <w:t>省科技厅加强对企业创新积分制应用赋能的组织领导和统筹协调，重点引导各类创新资源向企业集聚，不断放大政策效能。</w:t>
      </w:r>
    </w:p>
    <w:p w14:paraId="0C0CC50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snapToGrid w:val="0"/>
          <w:color w:val="auto"/>
          <w:kern w:val="0"/>
          <w:sz w:val="32"/>
          <w:szCs w:val="32"/>
          <w:shd w:val="clear" w:color="auto" w:fill="FFFFFF"/>
        </w:rPr>
        <w:t>第十二条</w:t>
      </w:r>
      <w:r>
        <w:rPr>
          <w:rFonts w:hint="default" w:ascii="Times New Roman" w:hAnsi="Times New Roman" w:eastAsia="黑体" w:cs="Times New Roman"/>
          <w:bCs/>
          <w:snapToGrid w:val="0"/>
          <w:color w:val="auto"/>
          <w:kern w:val="0"/>
          <w:sz w:val="32"/>
          <w:szCs w:val="32"/>
          <w:shd w:val="clear" w:color="auto" w:fill="FFFFFF"/>
          <w:lang w:eastAsia="zh-CN"/>
        </w:rPr>
        <w:t>　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  <w:shd w:val="clear" w:color="auto" w:fill="FFFFFF"/>
        </w:rPr>
        <w:t>各地各部门</w:t>
      </w:r>
      <w:r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</w:rPr>
        <w:t>要切实加强科技活动参与主体的监督管理，严格履行自身职责，加强对本地区企业科技活动的审核把关，强化过程管理和风险防范。</w:t>
      </w:r>
    </w:p>
    <w:p w14:paraId="1EE1CA8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Cs/>
          <w:snapToGrid w:val="0"/>
          <w:color w:val="auto"/>
          <w:kern w:val="0"/>
          <w:sz w:val="32"/>
          <w:szCs w:val="32"/>
        </w:rPr>
      </w:pPr>
    </w:p>
    <w:p w14:paraId="17DBAA76"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left"/>
        <w:textAlignment w:val="auto"/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</w:p>
    <w:p w14:paraId="32602A89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jc w:val="both"/>
        <w:textAlignment w:val="auto"/>
      </w:pP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973368"/>
    <w:rsid w:val="61973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unhideWhenUsed/>
    <w:qFormat/>
    <w:uiPriority w:val="99"/>
    <w:pPr>
      <w:snapToGrid/>
      <w:spacing w:line="560" w:lineRule="exact"/>
      <w:ind w:firstLine="602" w:firstLineChars="200"/>
    </w:pPr>
    <w:rPr>
      <w:rFonts w:ascii="楷体_GB2312" w:eastAsia="楷体_GB2312"/>
      <w:b/>
      <w:kern w:val="2"/>
      <w:sz w:val="30"/>
      <w:szCs w:val="20"/>
    </w:rPr>
  </w:style>
  <w:style w:type="paragraph" w:styleId="3">
    <w:name w:val="Normal Indent"/>
    <w:basedOn w:val="1"/>
    <w:next w:val="1"/>
    <w:qFormat/>
    <w:uiPriority w:val="0"/>
    <w:pPr>
      <w:autoSpaceDE w:val="0"/>
      <w:autoSpaceDN w:val="0"/>
      <w:adjustRightInd w:val="0"/>
      <w:snapToGrid w:val="0"/>
      <w:spacing w:line="520" w:lineRule="exact"/>
      <w:ind w:firstLine="420" w:firstLineChars="200"/>
    </w:pPr>
    <w:rPr>
      <w:rFonts w:ascii="宋体" w:hAnsi="宋体" w:cs="宋体"/>
      <w:sz w:val="22"/>
      <w:szCs w:val="22"/>
      <w:lang w:val="zh-CN" w:bidi="zh-CN"/>
    </w:rPr>
  </w:style>
  <w:style w:type="paragraph" w:styleId="4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2025-11-06T02:13:00Z</dcterms:created>
  <dc:creator>牛皮不是牛皮是皮</dc:creator>
  <cp:lastModifiedBy>牛皮不是牛皮是皮</cp:lastModifiedBy>
  <dcterms:modified xsi:type="dcterms:W3CDTF">2025-11-06T02:14:10Z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9CD060B2136145FDA0652998EC927C14_11</vt:lpwstr>
  </property>
  <property fmtid="{D5CDD505-2E9C-101B-9397-08002B2CF9AE}" pid="4" name="KSOTemplateDocerSaveRecord">
    <vt:lpwstr>eyJoZGlkIjoiMWMwMDM2M2FhYzlhNjg5OGQ1OWNhMTg2NmIzNzMxY2EiLCJ1c2VySWQiOiIxMDI0NzAwNjI2In0=</vt:lpwstr>
  </property>
</Properties>
</file>