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media/image14.svg" ContentType="image/svg+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0FCADD">
      <w:pPr>
        <w:rPr>
          <w:rFonts w:hint="eastAsia" w:ascii="Times New Roman" w:hAnsi="Times New Roman" w:eastAsia="宋体" w:cs="仿宋_GB2312"/>
          <w:caps w:val="0"/>
          <w:color w:val="auto"/>
          <w:spacing w:val="0"/>
          <w:kern w:val="21"/>
          <w:position w:val="0"/>
          <w:sz w:val="36"/>
          <w:szCs w:val="36"/>
          <w:highlight w:val="none"/>
          <w:lang w:val="en-US" w:eastAsia="zh-CN"/>
        </w:rPr>
      </w:pPr>
      <w:bookmarkStart w:id="0" w:name="_Toc6147"/>
      <w:bookmarkStart w:id="1" w:name="_Toc31160"/>
    </w:p>
    <w:p w14:paraId="77695E62">
      <w:pPr>
        <w:rPr>
          <w:rFonts w:ascii="Times New Roman" w:hAnsi="Times New Roman" w:eastAsia="宋体" w:cs="仿宋_GB2312"/>
          <w:caps w:val="0"/>
          <w:color w:val="auto"/>
          <w:spacing w:val="0"/>
          <w:kern w:val="21"/>
          <w:position w:val="0"/>
          <w:sz w:val="36"/>
          <w:szCs w:val="36"/>
          <w:highlight w:val="none"/>
        </w:rPr>
      </w:pPr>
      <w:r>
        <w:rPr>
          <w:rFonts w:hint="eastAsia" w:ascii="Times New Roman" w:hAnsi="Times New Roman" w:eastAsia="宋体" w:cs="仿宋_GB2312"/>
          <w:caps w:val="0"/>
          <w:color w:val="auto"/>
          <w:spacing w:val="0"/>
          <w:kern w:val="21"/>
          <w:position w:val="0"/>
          <w:sz w:val="36"/>
          <w:szCs w:val="36"/>
          <w:highlight w:val="none"/>
          <w:lang w:val="en-US" w:eastAsia="zh-CN"/>
        </w:rPr>
        <w:t xml:space="preserve"> </w:t>
      </w:r>
    </w:p>
    <w:p w14:paraId="20D7FBAC">
      <w:pPr>
        <w:rPr>
          <w:rFonts w:hint="eastAsia" w:ascii="Times New Roman" w:hAnsi="Times New Roman" w:eastAsia="宋体" w:cs="仿宋_GB2312"/>
          <w:caps w:val="0"/>
          <w:color w:val="auto"/>
          <w:spacing w:val="0"/>
          <w:kern w:val="21"/>
          <w:position w:val="0"/>
          <w:sz w:val="36"/>
          <w:szCs w:val="36"/>
          <w:highlight w:val="none"/>
        </w:rPr>
      </w:pPr>
    </w:p>
    <w:p w14:paraId="051C2DF7">
      <w:pPr>
        <w:pStyle w:val="3"/>
        <w:bidi w:val="0"/>
        <w:ind w:left="0" w:leftChars="0" w:firstLine="0" w:firstLineChars="0"/>
        <w:jc w:val="center"/>
        <w:rPr>
          <w:rFonts w:hint="eastAsia" w:ascii="Times New Roman" w:hAnsi="Times New Roman" w:eastAsia="宋体"/>
          <w:b w:val="0"/>
          <w:bCs/>
          <w:caps w:val="0"/>
          <w:color w:val="auto"/>
          <w:spacing w:val="0"/>
          <w:kern w:val="21"/>
          <w:position w:val="0"/>
          <w:sz w:val="72"/>
          <w:szCs w:val="72"/>
          <w:highlight w:val="none"/>
          <w:lang w:val="en-US" w:eastAsia="zh-CN" w:bidi="ar-SA"/>
        </w:rPr>
      </w:pPr>
      <w:bookmarkStart w:id="2" w:name="_Toc31070"/>
      <w:r>
        <w:rPr>
          <w:rFonts w:hint="eastAsia" w:ascii="Times New Roman" w:hAnsi="Times New Roman" w:eastAsia="宋体"/>
          <w:b w:val="0"/>
          <w:bCs/>
          <w:caps w:val="0"/>
          <w:color w:val="auto"/>
          <w:spacing w:val="0"/>
          <w:kern w:val="21"/>
          <w:position w:val="0"/>
          <w:sz w:val="72"/>
          <w:szCs w:val="72"/>
          <w:highlight w:val="none"/>
          <w:lang w:val="en-US" w:eastAsia="zh-CN" w:bidi="ar-SA"/>
        </w:rPr>
        <w:t>建设项目环境影响报告表</w:t>
      </w:r>
      <w:bookmarkEnd w:id="2"/>
    </w:p>
    <w:p w14:paraId="54A0C8D5">
      <w:pPr>
        <w:adjustRightInd w:val="0"/>
        <w:snapToGrid w:val="0"/>
        <w:spacing w:before="192" w:beforeLines="80"/>
        <w:jc w:val="center"/>
        <w:rPr>
          <w:rFonts w:hint="eastAsia" w:ascii="Times New Roman" w:hAnsi="Times New Roman" w:eastAsia="宋体"/>
          <w:bCs/>
          <w:caps w:val="0"/>
          <w:color w:val="auto"/>
          <w:spacing w:val="0"/>
          <w:kern w:val="21"/>
          <w:position w:val="0"/>
          <w:sz w:val="48"/>
          <w:szCs w:val="48"/>
          <w:highlight w:val="none"/>
        </w:rPr>
      </w:pPr>
      <w:r>
        <w:rPr>
          <w:rFonts w:hint="eastAsia" w:ascii="Times New Roman" w:hAnsi="Times New Roman" w:eastAsia="宋体"/>
          <w:bCs/>
          <w:caps w:val="0"/>
          <w:color w:val="auto"/>
          <w:spacing w:val="0"/>
          <w:kern w:val="21"/>
          <w:position w:val="0"/>
          <w:sz w:val="48"/>
          <w:szCs w:val="48"/>
          <w:highlight w:val="none"/>
        </w:rPr>
        <w:t>（污染影响类）</w:t>
      </w:r>
    </w:p>
    <w:p w14:paraId="250927E6">
      <w:pPr>
        <w:ind w:firstLine="1040"/>
        <w:rPr>
          <w:rFonts w:ascii="Times New Roman" w:hAnsi="Times New Roman" w:eastAsia="宋体"/>
          <w:caps w:val="0"/>
          <w:color w:val="auto"/>
          <w:spacing w:val="0"/>
          <w:kern w:val="21"/>
          <w:position w:val="0"/>
          <w:sz w:val="44"/>
          <w:szCs w:val="44"/>
          <w:highlight w:val="none"/>
        </w:rPr>
      </w:pPr>
    </w:p>
    <w:p w14:paraId="1EF18BD9">
      <w:pPr>
        <w:pStyle w:val="9"/>
        <w:rPr>
          <w:rFonts w:ascii="Times New Roman" w:hAnsi="Times New Roman" w:eastAsia="宋体"/>
          <w:caps w:val="0"/>
          <w:color w:val="auto"/>
          <w:spacing w:val="0"/>
          <w:kern w:val="21"/>
          <w:position w:val="0"/>
          <w:sz w:val="44"/>
          <w:szCs w:val="44"/>
          <w:highlight w:val="none"/>
        </w:rPr>
      </w:pPr>
    </w:p>
    <w:p w14:paraId="7AA828D1">
      <w:pPr>
        <w:rPr>
          <w:caps w:val="0"/>
          <w:color w:val="auto"/>
          <w:spacing w:val="0"/>
          <w:position w:val="0"/>
          <w:highlight w:val="none"/>
        </w:rPr>
      </w:pPr>
    </w:p>
    <w:p w14:paraId="56029C7B">
      <w:pPr>
        <w:rPr>
          <w:caps w:val="0"/>
          <w:color w:val="auto"/>
          <w:spacing w:val="0"/>
          <w:position w:val="0"/>
          <w:highlight w:val="none"/>
        </w:rPr>
      </w:pPr>
    </w:p>
    <w:p w14:paraId="318DC1EF">
      <w:pPr>
        <w:ind w:firstLine="1040"/>
        <w:rPr>
          <w:rFonts w:ascii="Times New Roman" w:hAnsi="Times New Roman" w:eastAsia="宋体"/>
          <w:caps w:val="0"/>
          <w:color w:val="auto"/>
          <w:spacing w:val="0"/>
          <w:kern w:val="21"/>
          <w:position w:val="0"/>
          <w:sz w:val="44"/>
          <w:szCs w:val="44"/>
          <w:highlight w:val="none"/>
        </w:rPr>
      </w:pPr>
    </w:p>
    <w:p w14:paraId="0DC98426">
      <w:pPr>
        <w:keepNext w:val="0"/>
        <w:keepLines w:val="0"/>
        <w:widowControl/>
        <w:suppressLineNumbers w:val="0"/>
        <w:adjustRightInd w:val="0"/>
        <w:snapToGrid w:val="0"/>
        <w:spacing w:line="360" w:lineRule="auto"/>
        <w:ind w:left="0" w:leftChars="0" w:firstLine="0" w:firstLineChars="0"/>
        <w:jc w:val="both"/>
        <w:rPr>
          <w:rFonts w:hint="default" w:ascii="Times New Roman" w:hAnsi="Times New Roman" w:eastAsia="宋体" w:cs="宋体"/>
          <w:caps w:val="0"/>
          <w:color w:val="auto"/>
          <w:spacing w:val="0"/>
          <w:kern w:val="21"/>
          <w:position w:val="0"/>
          <w:szCs w:val="21"/>
          <w:highlight w:val="none"/>
          <w:lang w:val="en-US" w:eastAsia="zh-CN"/>
        </w:rPr>
      </w:pPr>
      <w:r>
        <w:rPr>
          <w:rFonts w:hint="eastAsia" w:ascii="Times New Roman" w:hAnsi="Times New Roman" w:eastAsia="宋体"/>
          <w:caps w:val="0"/>
          <w:color w:val="auto"/>
          <w:spacing w:val="0"/>
          <w:kern w:val="21"/>
          <w:position w:val="0"/>
          <w:sz w:val="36"/>
          <w:szCs w:val="36"/>
          <w:highlight w:val="none"/>
        </w:rPr>
        <w:t>项目名称：</w:t>
      </w:r>
      <w:r>
        <w:rPr>
          <w:rFonts w:hint="eastAsia" w:ascii="Times New Roman" w:hAnsi="Times New Roman" w:eastAsia="宋体"/>
          <w:caps w:val="0"/>
          <w:color w:val="auto"/>
          <w:spacing w:val="0"/>
          <w:kern w:val="21"/>
          <w:position w:val="0"/>
          <w:sz w:val="36"/>
          <w:szCs w:val="36"/>
          <w:highlight w:val="none"/>
          <w:u w:val="single"/>
          <w:lang w:val="en-US" w:eastAsia="zh-CN"/>
        </w:rPr>
        <w:t>江西腾灏环保科技有限公司发泡砖生产线建设项目</w:t>
      </w:r>
    </w:p>
    <w:p w14:paraId="7C2AA927">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both"/>
        <w:textAlignment w:val="auto"/>
        <w:rPr>
          <w:rFonts w:hint="default" w:ascii="Times New Roman" w:hAnsi="Times New Roman" w:eastAsia="宋体"/>
          <w:caps w:val="0"/>
          <w:color w:val="auto"/>
          <w:spacing w:val="0"/>
          <w:kern w:val="21"/>
          <w:position w:val="0"/>
          <w:sz w:val="36"/>
          <w:szCs w:val="36"/>
          <w:highlight w:val="none"/>
          <w:u w:val="single"/>
          <w:lang w:val="en-US" w:eastAsia="zh-CN"/>
        </w:rPr>
      </w:pPr>
      <w:r>
        <w:rPr>
          <w:rFonts w:hint="eastAsia" w:ascii="Times New Roman" w:hAnsi="Times New Roman" w:eastAsia="宋体"/>
          <w:caps w:val="0"/>
          <w:color w:val="auto"/>
          <w:spacing w:val="0"/>
          <w:kern w:val="21"/>
          <w:position w:val="0"/>
          <w:sz w:val="36"/>
          <w:szCs w:val="36"/>
          <w:highlight w:val="none"/>
        </w:rPr>
        <w:t>建设单位：</w:t>
      </w:r>
      <w:r>
        <w:rPr>
          <w:rFonts w:hint="eastAsia" w:ascii="Times New Roman" w:hAnsi="Times New Roman" w:eastAsia="宋体"/>
          <w:caps w:val="0"/>
          <w:color w:val="auto"/>
          <w:spacing w:val="0"/>
          <w:kern w:val="21"/>
          <w:position w:val="0"/>
          <w:sz w:val="36"/>
          <w:szCs w:val="36"/>
          <w:highlight w:val="none"/>
          <w:u w:val="single"/>
          <w:lang w:val="en-US" w:eastAsia="zh-CN"/>
        </w:rPr>
        <w:t xml:space="preserve">江西腾灏环保科技有限公司              </w:t>
      </w:r>
    </w:p>
    <w:p w14:paraId="2C07DAC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both"/>
        <w:textAlignment w:val="auto"/>
        <w:rPr>
          <w:rFonts w:hint="default" w:ascii="Times New Roman" w:hAnsi="Times New Roman" w:eastAsia="宋体"/>
          <w:caps w:val="0"/>
          <w:color w:val="auto"/>
          <w:spacing w:val="0"/>
          <w:kern w:val="21"/>
          <w:position w:val="0"/>
          <w:sz w:val="36"/>
          <w:szCs w:val="36"/>
          <w:highlight w:val="none"/>
          <w:u w:val="single"/>
          <w:lang w:val="en-US"/>
        </w:rPr>
      </w:pPr>
      <w:r>
        <w:rPr>
          <w:rFonts w:hint="eastAsia" w:ascii="Times New Roman" w:hAnsi="Times New Roman" w:eastAsia="宋体"/>
          <w:caps w:val="0"/>
          <w:color w:val="auto"/>
          <w:spacing w:val="0"/>
          <w:kern w:val="21"/>
          <w:position w:val="0"/>
          <w:sz w:val="36"/>
          <w:szCs w:val="36"/>
          <w:highlight w:val="none"/>
        </w:rPr>
        <w:t>编制日期：</w:t>
      </w:r>
      <w:r>
        <w:rPr>
          <w:rFonts w:hint="eastAsia" w:ascii="Times New Roman" w:hAnsi="Times New Roman" w:eastAsia="宋体"/>
          <w:caps w:val="0"/>
          <w:color w:val="auto"/>
          <w:spacing w:val="0"/>
          <w:kern w:val="21"/>
          <w:position w:val="0"/>
          <w:sz w:val="36"/>
          <w:szCs w:val="36"/>
          <w:highlight w:val="none"/>
          <w:u w:val="single"/>
          <w:lang w:val="en-US" w:eastAsia="zh-CN"/>
        </w:rPr>
        <w:t>2025年</w:t>
      </w:r>
      <w:r>
        <w:rPr>
          <w:rFonts w:hint="eastAsia"/>
          <w:caps w:val="0"/>
          <w:color w:val="auto"/>
          <w:spacing w:val="0"/>
          <w:kern w:val="21"/>
          <w:position w:val="0"/>
          <w:sz w:val="36"/>
          <w:szCs w:val="36"/>
          <w:highlight w:val="none"/>
          <w:u w:val="single"/>
          <w:lang w:val="en-US" w:eastAsia="zh-CN"/>
        </w:rPr>
        <w:t>12</w:t>
      </w:r>
      <w:r>
        <w:rPr>
          <w:rFonts w:hint="eastAsia" w:ascii="Times New Roman" w:hAnsi="Times New Roman" w:eastAsia="宋体"/>
          <w:caps w:val="0"/>
          <w:color w:val="auto"/>
          <w:spacing w:val="0"/>
          <w:kern w:val="21"/>
          <w:position w:val="0"/>
          <w:sz w:val="36"/>
          <w:szCs w:val="36"/>
          <w:highlight w:val="none"/>
          <w:u w:val="single"/>
          <w:lang w:val="en-US" w:eastAsia="zh-CN"/>
        </w:rPr>
        <w:t xml:space="preserve">月                            </w:t>
      </w:r>
    </w:p>
    <w:p w14:paraId="636DCB94">
      <w:pPr>
        <w:adjustRightInd w:val="0"/>
        <w:snapToGrid w:val="0"/>
        <w:spacing w:line="288" w:lineRule="auto"/>
        <w:ind w:firstLine="1040"/>
        <w:rPr>
          <w:rFonts w:ascii="Times New Roman" w:hAnsi="Times New Roman" w:eastAsia="宋体"/>
          <w:caps w:val="0"/>
          <w:color w:val="auto"/>
          <w:spacing w:val="0"/>
          <w:kern w:val="21"/>
          <w:position w:val="0"/>
          <w:sz w:val="36"/>
          <w:szCs w:val="36"/>
          <w:highlight w:val="none"/>
          <w:u w:val="single"/>
        </w:rPr>
      </w:pPr>
      <w:bookmarkStart w:id="3" w:name="_Hlk57884087"/>
    </w:p>
    <w:p w14:paraId="11432F4A">
      <w:pPr>
        <w:adjustRightInd w:val="0"/>
        <w:snapToGrid w:val="0"/>
        <w:spacing w:line="288" w:lineRule="auto"/>
        <w:rPr>
          <w:rFonts w:ascii="Times New Roman" w:hAnsi="Times New Roman" w:eastAsia="宋体"/>
          <w:caps w:val="0"/>
          <w:color w:val="auto"/>
          <w:spacing w:val="0"/>
          <w:kern w:val="21"/>
          <w:position w:val="0"/>
          <w:sz w:val="36"/>
          <w:szCs w:val="36"/>
          <w:highlight w:val="none"/>
        </w:rPr>
      </w:pPr>
    </w:p>
    <w:p w14:paraId="4D107386">
      <w:pPr>
        <w:adjustRightInd w:val="0"/>
        <w:snapToGrid w:val="0"/>
        <w:spacing w:line="288" w:lineRule="auto"/>
        <w:ind w:firstLine="1040"/>
        <w:rPr>
          <w:rFonts w:hint="eastAsia" w:ascii="Times New Roman" w:hAnsi="Times New Roman" w:eastAsia="宋体"/>
          <w:caps w:val="0"/>
          <w:color w:val="auto"/>
          <w:spacing w:val="0"/>
          <w:kern w:val="21"/>
          <w:position w:val="0"/>
          <w:sz w:val="36"/>
          <w:szCs w:val="36"/>
          <w:highlight w:val="none"/>
        </w:rPr>
      </w:pPr>
    </w:p>
    <w:p w14:paraId="570C051D">
      <w:pPr>
        <w:adjustRightInd w:val="0"/>
        <w:snapToGrid w:val="0"/>
        <w:spacing w:line="288" w:lineRule="auto"/>
        <w:ind w:firstLine="1040"/>
        <w:rPr>
          <w:rFonts w:hint="eastAsia" w:ascii="Times New Roman" w:hAnsi="Times New Roman" w:eastAsia="宋体"/>
          <w:caps w:val="0"/>
          <w:color w:val="auto"/>
          <w:spacing w:val="0"/>
          <w:kern w:val="21"/>
          <w:position w:val="0"/>
          <w:sz w:val="36"/>
          <w:szCs w:val="36"/>
          <w:highlight w:val="none"/>
        </w:rPr>
      </w:pPr>
    </w:p>
    <w:bookmarkEnd w:id="3"/>
    <w:p w14:paraId="31E3E4B0">
      <w:pPr>
        <w:tabs>
          <w:tab w:val="center" w:pos="4782"/>
          <w:tab w:val="left" w:pos="7839"/>
        </w:tabs>
        <w:adjustRightInd w:val="0"/>
        <w:snapToGrid w:val="0"/>
        <w:spacing w:line="288" w:lineRule="auto"/>
        <w:jc w:val="left"/>
        <w:rPr>
          <w:rFonts w:hint="eastAsia" w:ascii="Times New Roman" w:hAnsi="Times New Roman" w:eastAsia="宋体"/>
          <w:caps w:val="0"/>
          <w:color w:val="auto"/>
          <w:spacing w:val="0"/>
          <w:kern w:val="21"/>
          <w:position w:val="0"/>
          <w:sz w:val="36"/>
          <w:szCs w:val="36"/>
          <w:highlight w:val="none"/>
        </w:rPr>
        <w:sectPr>
          <w:footerReference r:id="rId5" w:type="default"/>
          <w:footerReference r:id="rId6"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r>
        <w:rPr>
          <w:rFonts w:hint="eastAsia"/>
          <w:caps w:val="0"/>
          <w:color w:val="auto"/>
          <w:spacing w:val="0"/>
          <w:kern w:val="21"/>
          <w:position w:val="0"/>
          <w:sz w:val="36"/>
          <w:szCs w:val="36"/>
          <w:highlight w:val="none"/>
          <w:lang w:eastAsia="zh-CN"/>
        </w:rPr>
        <w:tab/>
      </w:r>
      <w:r>
        <w:rPr>
          <w:rFonts w:hint="eastAsia" w:ascii="Times New Roman" w:hAnsi="Times New Roman" w:eastAsia="宋体"/>
          <w:caps w:val="0"/>
          <w:color w:val="auto"/>
          <w:spacing w:val="0"/>
          <w:kern w:val="21"/>
          <w:position w:val="0"/>
          <w:sz w:val="36"/>
          <w:szCs w:val="36"/>
          <w:highlight w:val="none"/>
        </w:rPr>
        <w:t>中华人民共和国生态环境部制</w:t>
      </w:r>
    </w:p>
    <w:sdt>
      <w:sdtPr>
        <w:rPr>
          <w:rFonts w:ascii="宋体" w:hAnsi="宋体" w:eastAsia="宋体" w:cstheme="minorBidi"/>
          <w:caps w:val="0"/>
          <w:color w:val="auto"/>
          <w:spacing w:val="0"/>
          <w:kern w:val="2"/>
          <w:position w:val="0"/>
          <w:sz w:val="21"/>
          <w:szCs w:val="24"/>
          <w:highlight w:val="none"/>
          <w:lang w:val="en-US" w:eastAsia="zh-CN" w:bidi="ar-SA"/>
        </w:rPr>
        <w:id w:val="147453351"/>
        <w15:color w:val="DBDBDB"/>
        <w:docPartObj>
          <w:docPartGallery w:val="Table of Contents"/>
          <w:docPartUnique/>
        </w:docPartObj>
      </w:sdtPr>
      <w:sdtEndPr>
        <w:rPr>
          <w:rFonts w:hint="default" w:ascii="Times New Roman" w:hAnsi="Times New Roman" w:eastAsia="宋体" w:cs="Times New Roman"/>
          <w:caps w:val="0"/>
          <w:color w:val="auto"/>
          <w:spacing w:val="0"/>
          <w:kern w:val="2"/>
          <w:position w:val="0"/>
          <w:sz w:val="24"/>
          <w:szCs w:val="24"/>
          <w:highlight w:val="none"/>
          <w:lang w:val="en-US" w:eastAsia="zh-CN" w:bidi="ar-SA"/>
        </w:rPr>
      </w:sdtEndPr>
      <w:sdtContent>
        <w:p w14:paraId="56F784BB">
          <w:pPr>
            <w:spacing w:before="0" w:beforeLines="0" w:after="0" w:afterLines="0" w:line="240" w:lineRule="auto"/>
            <w:ind w:left="0" w:leftChars="0" w:right="0" w:rightChars="0" w:firstLine="0" w:firstLineChars="0"/>
            <w:jc w:val="center"/>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caps w:val="0"/>
              <w:color w:val="auto"/>
              <w:spacing w:val="0"/>
              <w:position w:val="0"/>
              <w:sz w:val="24"/>
              <w:szCs w:val="24"/>
              <w:highlight w:val="none"/>
            </w:rPr>
            <w:t>目录</w:t>
          </w:r>
        </w:p>
        <w:p w14:paraId="27FD98DB">
          <w:pPr>
            <w:pStyle w:val="18"/>
            <w:tabs>
              <w:tab w:val="right" w:leader="dot" w:pos="8844"/>
            </w:tabs>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caps w:val="0"/>
              <w:color w:val="auto"/>
              <w:spacing w:val="0"/>
              <w:position w:val="0"/>
              <w:sz w:val="24"/>
              <w:szCs w:val="24"/>
              <w:highlight w:val="none"/>
            </w:rPr>
            <w:fldChar w:fldCharType="begin"/>
          </w:r>
          <w:r>
            <w:rPr>
              <w:rFonts w:hint="default" w:ascii="Times New Roman" w:hAnsi="Times New Roman" w:eastAsia="宋体" w:cs="Times New Roman"/>
              <w:caps w:val="0"/>
              <w:color w:val="auto"/>
              <w:spacing w:val="0"/>
              <w:position w:val="0"/>
              <w:sz w:val="24"/>
              <w:szCs w:val="24"/>
              <w:highlight w:val="none"/>
            </w:rPr>
            <w:instrText xml:space="preserve">TOC \o "1-1" \h \u </w:instrText>
          </w:r>
          <w:r>
            <w:rPr>
              <w:rFonts w:hint="default" w:ascii="Times New Roman" w:hAnsi="Times New Roman" w:eastAsia="宋体" w:cs="Times New Roman"/>
              <w:caps w:val="0"/>
              <w:color w:val="auto"/>
              <w:spacing w:val="0"/>
              <w:position w:val="0"/>
              <w:sz w:val="24"/>
              <w:szCs w:val="24"/>
              <w:highlight w:val="none"/>
            </w:rPr>
            <w:fldChar w:fldCharType="separate"/>
          </w:r>
          <w:r>
            <w:rPr>
              <w:rFonts w:hint="default" w:ascii="Times New Roman" w:hAnsi="Times New Roman" w:eastAsia="宋体" w:cs="Times New Roman"/>
              <w:caps w:val="0"/>
              <w:color w:val="auto"/>
              <w:spacing w:val="0"/>
              <w:position w:val="0"/>
              <w:sz w:val="24"/>
              <w:szCs w:val="24"/>
              <w:highlight w:val="none"/>
            </w:rPr>
            <w:fldChar w:fldCharType="begin"/>
          </w:r>
          <w:r>
            <w:rPr>
              <w:rFonts w:hint="default" w:ascii="Times New Roman" w:hAnsi="Times New Roman" w:eastAsia="宋体" w:cs="Times New Roman"/>
              <w:caps w:val="0"/>
              <w:color w:val="auto"/>
              <w:spacing w:val="0"/>
              <w:position w:val="0"/>
              <w:sz w:val="24"/>
              <w:szCs w:val="24"/>
              <w:highlight w:val="none"/>
            </w:rPr>
            <w:instrText xml:space="preserve"> HYPERLINK \l _Toc11726 </w:instrText>
          </w:r>
          <w:r>
            <w:rPr>
              <w:rFonts w:hint="default" w:ascii="Times New Roman" w:hAnsi="Times New Roman" w:eastAsia="宋体" w:cs="Times New Roman"/>
              <w:caps w:val="0"/>
              <w:color w:val="auto"/>
              <w:spacing w:val="0"/>
              <w:position w:val="0"/>
              <w:sz w:val="24"/>
              <w:szCs w:val="24"/>
              <w:highlight w:val="none"/>
            </w:rPr>
            <w:fldChar w:fldCharType="separate"/>
          </w:r>
          <w:r>
            <w:rPr>
              <w:rFonts w:hint="default" w:ascii="Times New Roman" w:hAnsi="Times New Roman" w:eastAsia="宋体" w:cs="Times New Roman"/>
              <w:caps w:val="0"/>
              <w:snapToGrid w:val="0"/>
              <w:color w:val="auto"/>
              <w:spacing w:val="0"/>
              <w:position w:val="0"/>
              <w:sz w:val="24"/>
              <w:szCs w:val="24"/>
              <w:highlight w:val="none"/>
            </w:rPr>
            <w:t>一、建设项目基本情况</w:t>
          </w:r>
          <w:r>
            <w:rPr>
              <w:rFonts w:hint="default" w:ascii="Times New Roman" w:hAnsi="Times New Roman" w:eastAsia="宋体" w:cs="Times New Roman"/>
              <w:caps w:val="0"/>
              <w:color w:val="auto"/>
              <w:spacing w:val="0"/>
              <w:position w:val="0"/>
              <w:sz w:val="24"/>
              <w:szCs w:val="24"/>
              <w:highlight w:val="none"/>
            </w:rPr>
            <w:tab/>
          </w:r>
          <w:r>
            <w:rPr>
              <w:rFonts w:hint="default" w:ascii="Times New Roman" w:hAnsi="Times New Roman" w:eastAsia="宋体" w:cs="Times New Roman"/>
              <w:caps w:val="0"/>
              <w:color w:val="auto"/>
              <w:spacing w:val="0"/>
              <w:position w:val="0"/>
              <w:sz w:val="24"/>
              <w:szCs w:val="24"/>
              <w:highlight w:val="none"/>
            </w:rPr>
            <w:fldChar w:fldCharType="begin"/>
          </w:r>
          <w:r>
            <w:rPr>
              <w:rFonts w:hint="default" w:ascii="Times New Roman" w:hAnsi="Times New Roman" w:eastAsia="宋体" w:cs="Times New Roman"/>
              <w:caps w:val="0"/>
              <w:color w:val="auto"/>
              <w:spacing w:val="0"/>
              <w:position w:val="0"/>
              <w:sz w:val="24"/>
              <w:szCs w:val="24"/>
              <w:highlight w:val="none"/>
            </w:rPr>
            <w:instrText xml:space="preserve"> PAGEREF _Toc11726 \h </w:instrText>
          </w:r>
          <w:r>
            <w:rPr>
              <w:rFonts w:hint="default" w:ascii="Times New Roman" w:hAnsi="Times New Roman" w:eastAsia="宋体" w:cs="Times New Roman"/>
              <w:caps w:val="0"/>
              <w:color w:val="auto"/>
              <w:spacing w:val="0"/>
              <w:position w:val="0"/>
              <w:sz w:val="24"/>
              <w:szCs w:val="24"/>
              <w:highlight w:val="none"/>
            </w:rPr>
            <w:fldChar w:fldCharType="separate"/>
          </w:r>
          <w:r>
            <w:rPr>
              <w:rFonts w:hint="default" w:ascii="Times New Roman" w:hAnsi="Times New Roman" w:eastAsia="宋体" w:cs="Times New Roman"/>
              <w:caps w:val="0"/>
              <w:color w:val="auto"/>
              <w:spacing w:val="0"/>
              <w:position w:val="0"/>
              <w:sz w:val="24"/>
              <w:szCs w:val="24"/>
              <w:highlight w:val="none"/>
            </w:rPr>
            <w:t>1</w:t>
          </w:r>
          <w:r>
            <w:rPr>
              <w:rFonts w:hint="default" w:ascii="Times New Roman" w:hAnsi="Times New Roman" w:eastAsia="宋体" w:cs="Times New Roman"/>
              <w:caps w:val="0"/>
              <w:color w:val="auto"/>
              <w:spacing w:val="0"/>
              <w:position w:val="0"/>
              <w:sz w:val="24"/>
              <w:szCs w:val="24"/>
              <w:highlight w:val="none"/>
            </w:rPr>
            <w:fldChar w:fldCharType="end"/>
          </w:r>
          <w:r>
            <w:rPr>
              <w:rFonts w:hint="default" w:ascii="Times New Roman" w:hAnsi="Times New Roman" w:eastAsia="宋体" w:cs="Times New Roman"/>
              <w:caps w:val="0"/>
              <w:color w:val="auto"/>
              <w:spacing w:val="0"/>
              <w:position w:val="0"/>
              <w:sz w:val="24"/>
              <w:szCs w:val="24"/>
              <w:highlight w:val="none"/>
            </w:rPr>
            <w:fldChar w:fldCharType="end"/>
          </w:r>
        </w:p>
        <w:p w14:paraId="4938E2EE">
          <w:pPr>
            <w:pStyle w:val="18"/>
            <w:tabs>
              <w:tab w:val="right" w:leader="dot" w:pos="8844"/>
            </w:tabs>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caps w:val="0"/>
              <w:color w:val="auto"/>
              <w:spacing w:val="0"/>
              <w:position w:val="0"/>
              <w:sz w:val="24"/>
              <w:szCs w:val="24"/>
              <w:highlight w:val="none"/>
            </w:rPr>
            <w:fldChar w:fldCharType="begin"/>
          </w:r>
          <w:r>
            <w:rPr>
              <w:rFonts w:hint="default" w:ascii="Times New Roman" w:hAnsi="Times New Roman" w:eastAsia="宋体" w:cs="Times New Roman"/>
              <w:caps w:val="0"/>
              <w:color w:val="auto"/>
              <w:spacing w:val="0"/>
              <w:position w:val="0"/>
              <w:sz w:val="24"/>
              <w:szCs w:val="24"/>
              <w:highlight w:val="none"/>
            </w:rPr>
            <w:instrText xml:space="preserve"> HYPERLINK \l _Toc21572 </w:instrText>
          </w:r>
          <w:r>
            <w:rPr>
              <w:rFonts w:hint="default" w:ascii="Times New Roman" w:hAnsi="Times New Roman" w:eastAsia="宋体" w:cs="Times New Roman"/>
              <w:caps w:val="0"/>
              <w:color w:val="auto"/>
              <w:spacing w:val="0"/>
              <w:position w:val="0"/>
              <w:sz w:val="24"/>
              <w:szCs w:val="24"/>
              <w:highlight w:val="none"/>
            </w:rPr>
            <w:fldChar w:fldCharType="separate"/>
          </w:r>
          <w:r>
            <w:rPr>
              <w:rFonts w:hint="default" w:ascii="Times New Roman" w:hAnsi="Times New Roman" w:eastAsia="宋体" w:cs="Times New Roman"/>
              <w:caps w:val="0"/>
              <w:snapToGrid w:val="0"/>
              <w:color w:val="auto"/>
              <w:spacing w:val="0"/>
              <w:position w:val="0"/>
              <w:sz w:val="24"/>
              <w:szCs w:val="24"/>
              <w:highlight w:val="none"/>
              <w:lang w:val="en-US" w:eastAsia="zh-CN"/>
            </w:rPr>
            <w:t>二</w:t>
          </w:r>
          <w:r>
            <w:rPr>
              <w:rFonts w:hint="default" w:ascii="Times New Roman" w:hAnsi="Times New Roman" w:eastAsia="宋体" w:cs="Times New Roman"/>
              <w:caps w:val="0"/>
              <w:snapToGrid w:val="0"/>
              <w:color w:val="auto"/>
              <w:spacing w:val="0"/>
              <w:position w:val="0"/>
              <w:sz w:val="24"/>
              <w:szCs w:val="24"/>
              <w:highlight w:val="none"/>
            </w:rPr>
            <w:t>、建设项目工程分析</w:t>
          </w:r>
          <w:r>
            <w:rPr>
              <w:rFonts w:hint="default" w:ascii="Times New Roman" w:hAnsi="Times New Roman" w:eastAsia="宋体" w:cs="Times New Roman"/>
              <w:caps w:val="0"/>
              <w:color w:val="auto"/>
              <w:spacing w:val="0"/>
              <w:position w:val="0"/>
              <w:sz w:val="24"/>
              <w:szCs w:val="24"/>
              <w:highlight w:val="none"/>
            </w:rPr>
            <w:tab/>
          </w:r>
          <w:r>
            <w:rPr>
              <w:rFonts w:hint="default" w:ascii="Times New Roman" w:hAnsi="Times New Roman" w:eastAsia="宋体" w:cs="Times New Roman"/>
              <w:caps w:val="0"/>
              <w:color w:val="auto"/>
              <w:spacing w:val="0"/>
              <w:position w:val="0"/>
              <w:sz w:val="24"/>
              <w:szCs w:val="24"/>
              <w:highlight w:val="none"/>
            </w:rPr>
            <w:fldChar w:fldCharType="begin"/>
          </w:r>
          <w:r>
            <w:rPr>
              <w:rFonts w:hint="default" w:ascii="Times New Roman" w:hAnsi="Times New Roman" w:eastAsia="宋体" w:cs="Times New Roman"/>
              <w:caps w:val="0"/>
              <w:color w:val="auto"/>
              <w:spacing w:val="0"/>
              <w:position w:val="0"/>
              <w:sz w:val="24"/>
              <w:szCs w:val="24"/>
              <w:highlight w:val="none"/>
            </w:rPr>
            <w:instrText xml:space="preserve"> PAGEREF _Toc21572 \h </w:instrText>
          </w:r>
          <w:r>
            <w:rPr>
              <w:rFonts w:hint="default" w:ascii="Times New Roman" w:hAnsi="Times New Roman" w:eastAsia="宋体" w:cs="Times New Roman"/>
              <w:caps w:val="0"/>
              <w:color w:val="auto"/>
              <w:spacing w:val="0"/>
              <w:position w:val="0"/>
              <w:sz w:val="24"/>
              <w:szCs w:val="24"/>
              <w:highlight w:val="none"/>
            </w:rPr>
            <w:fldChar w:fldCharType="separate"/>
          </w:r>
          <w:r>
            <w:rPr>
              <w:rFonts w:hint="default" w:ascii="Times New Roman" w:hAnsi="Times New Roman" w:eastAsia="宋体" w:cs="Times New Roman"/>
              <w:caps w:val="0"/>
              <w:color w:val="auto"/>
              <w:spacing w:val="0"/>
              <w:position w:val="0"/>
              <w:sz w:val="24"/>
              <w:szCs w:val="24"/>
              <w:highlight w:val="none"/>
            </w:rPr>
            <w:t>56</w:t>
          </w:r>
          <w:r>
            <w:rPr>
              <w:rFonts w:hint="default" w:ascii="Times New Roman" w:hAnsi="Times New Roman" w:eastAsia="宋体" w:cs="Times New Roman"/>
              <w:caps w:val="0"/>
              <w:color w:val="auto"/>
              <w:spacing w:val="0"/>
              <w:position w:val="0"/>
              <w:sz w:val="24"/>
              <w:szCs w:val="24"/>
              <w:highlight w:val="none"/>
            </w:rPr>
            <w:fldChar w:fldCharType="end"/>
          </w:r>
          <w:r>
            <w:rPr>
              <w:rFonts w:hint="default" w:ascii="Times New Roman" w:hAnsi="Times New Roman" w:eastAsia="宋体" w:cs="Times New Roman"/>
              <w:caps w:val="0"/>
              <w:color w:val="auto"/>
              <w:spacing w:val="0"/>
              <w:position w:val="0"/>
              <w:sz w:val="24"/>
              <w:szCs w:val="24"/>
              <w:highlight w:val="none"/>
            </w:rPr>
            <w:fldChar w:fldCharType="end"/>
          </w:r>
        </w:p>
        <w:p w14:paraId="6C376DD5">
          <w:pPr>
            <w:pStyle w:val="18"/>
            <w:tabs>
              <w:tab w:val="right" w:leader="dot" w:pos="8844"/>
            </w:tabs>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caps w:val="0"/>
              <w:color w:val="auto"/>
              <w:spacing w:val="0"/>
              <w:position w:val="0"/>
              <w:sz w:val="24"/>
              <w:szCs w:val="24"/>
              <w:highlight w:val="none"/>
            </w:rPr>
            <w:fldChar w:fldCharType="begin"/>
          </w:r>
          <w:r>
            <w:rPr>
              <w:rFonts w:hint="default" w:ascii="Times New Roman" w:hAnsi="Times New Roman" w:eastAsia="宋体" w:cs="Times New Roman"/>
              <w:caps w:val="0"/>
              <w:color w:val="auto"/>
              <w:spacing w:val="0"/>
              <w:position w:val="0"/>
              <w:sz w:val="24"/>
              <w:szCs w:val="24"/>
              <w:highlight w:val="none"/>
            </w:rPr>
            <w:instrText xml:space="preserve"> HYPERLINK \l _Toc25952 </w:instrText>
          </w:r>
          <w:r>
            <w:rPr>
              <w:rFonts w:hint="default" w:ascii="Times New Roman" w:hAnsi="Times New Roman" w:eastAsia="宋体" w:cs="Times New Roman"/>
              <w:caps w:val="0"/>
              <w:color w:val="auto"/>
              <w:spacing w:val="0"/>
              <w:position w:val="0"/>
              <w:sz w:val="24"/>
              <w:szCs w:val="24"/>
              <w:highlight w:val="none"/>
            </w:rPr>
            <w:fldChar w:fldCharType="separate"/>
          </w:r>
          <w:r>
            <w:rPr>
              <w:rFonts w:hint="default" w:ascii="Times New Roman" w:hAnsi="Times New Roman" w:eastAsia="宋体" w:cs="Times New Roman"/>
              <w:caps w:val="0"/>
              <w:snapToGrid w:val="0"/>
              <w:color w:val="auto"/>
              <w:spacing w:val="0"/>
              <w:position w:val="0"/>
              <w:sz w:val="24"/>
              <w:szCs w:val="24"/>
              <w:highlight w:val="none"/>
              <w:lang w:val="en-US" w:eastAsia="zh-CN"/>
            </w:rPr>
            <w:t>三</w:t>
          </w:r>
          <w:r>
            <w:rPr>
              <w:rFonts w:hint="default" w:ascii="Times New Roman" w:hAnsi="Times New Roman" w:eastAsia="宋体" w:cs="Times New Roman"/>
              <w:caps w:val="0"/>
              <w:snapToGrid w:val="0"/>
              <w:color w:val="auto"/>
              <w:spacing w:val="0"/>
              <w:position w:val="0"/>
              <w:sz w:val="24"/>
              <w:szCs w:val="24"/>
              <w:highlight w:val="none"/>
            </w:rPr>
            <w:t>、区域环境质量现状、环境保护目标及评价标准</w:t>
          </w:r>
          <w:r>
            <w:rPr>
              <w:rFonts w:hint="default" w:ascii="Times New Roman" w:hAnsi="Times New Roman" w:eastAsia="宋体" w:cs="Times New Roman"/>
              <w:caps w:val="0"/>
              <w:color w:val="auto"/>
              <w:spacing w:val="0"/>
              <w:position w:val="0"/>
              <w:sz w:val="24"/>
              <w:szCs w:val="24"/>
              <w:highlight w:val="none"/>
            </w:rPr>
            <w:tab/>
          </w:r>
          <w:r>
            <w:rPr>
              <w:rFonts w:hint="default" w:ascii="Times New Roman" w:hAnsi="Times New Roman" w:eastAsia="宋体" w:cs="Times New Roman"/>
              <w:caps w:val="0"/>
              <w:color w:val="auto"/>
              <w:spacing w:val="0"/>
              <w:position w:val="0"/>
              <w:sz w:val="24"/>
              <w:szCs w:val="24"/>
              <w:highlight w:val="none"/>
            </w:rPr>
            <w:fldChar w:fldCharType="begin"/>
          </w:r>
          <w:r>
            <w:rPr>
              <w:rFonts w:hint="default" w:ascii="Times New Roman" w:hAnsi="Times New Roman" w:eastAsia="宋体" w:cs="Times New Roman"/>
              <w:caps w:val="0"/>
              <w:color w:val="auto"/>
              <w:spacing w:val="0"/>
              <w:position w:val="0"/>
              <w:sz w:val="24"/>
              <w:szCs w:val="24"/>
              <w:highlight w:val="none"/>
            </w:rPr>
            <w:instrText xml:space="preserve"> PAGEREF _Toc25952 \h </w:instrText>
          </w:r>
          <w:r>
            <w:rPr>
              <w:rFonts w:hint="default" w:ascii="Times New Roman" w:hAnsi="Times New Roman" w:eastAsia="宋体" w:cs="Times New Roman"/>
              <w:caps w:val="0"/>
              <w:color w:val="auto"/>
              <w:spacing w:val="0"/>
              <w:position w:val="0"/>
              <w:sz w:val="24"/>
              <w:szCs w:val="24"/>
              <w:highlight w:val="none"/>
            </w:rPr>
            <w:fldChar w:fldCharType="separate"/>
          </w:r>
          <w:r>
            <w:rPr>
              <w:rFonts w:hint="default" w:ascii="Times New Roman" w:hAnsi="Times New Roman" w:eastAsia="宋体" w:cs="Times New Roman"/>
              <w:caps w:val="0"/>
              <w:color w:val="auto"/>
              <w:spacing w:val="0"/>
              <w:position w:val="0"/>
              <w:sz w:val="24"/>
              <w:szCs w:val="24"/>
              <w:highlight w:val="none"/>
            </w:rPr>
            <w:t>79</w:t>
          </w:r>
          <w:r>
            <w:rPr>
              <w:rFonts w:hint="default" w:ascii="Times New Roman" w:hAnsi="Times New Roman" w:eastAsia="宋体" w:cs="Times New Roman"/>
              <w:caps w:val="0"/>
              <w:color w:val="auto"/>
              <w:spacing w:val="0"/>
              <w:position w:val="0"/>
              <w:sz w:val="24"/>
              <w:szCs w:val="24"/>
              <w:highlight w:val="none"/>
            </w:rPr>
            <w:fldChar w:fldCharType="end"/>
          </w:r>
          <w:r>
            <w:rPr>
              <w:rFonts w:hint="default" w:ascii="Times New Roman" w:hAnsi="Times New Roman" w:eastAsia="宋体" w:cs="Times New Roman"/>
              <w:caps w:val="0"/>
              <w:color w:val="auto"/>
              <w:spacing w:val="0"/>
              <w:position w:val="0"/>
              <w:sz w:val="24"/>
              <w:szCs w:val="24"/>
              <w:highlight w:val="none"/>
            </w:rPr>
            <w:fldChar w:fldCharType="end"/>
          </w:r>
        </w:p>
        <w:p w14:paraId="6B3FABCF">
          <w:pPr>
            <w:pStyle w:val="18"/>
            <w:tabs>
              <w:tab w:val="right" w:leader="dot" w:pos="8844"/>
            </w:tabs>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caps w:val="0"/>
              <w:color w:val="auto"/>
              <w:spacing w:val="0"/>
              <w:position w:val="0"/>
              <w:sz w:val="24"/>
              <w:szCs w:val="24"/>
              <w:highlight w:val="none"/>
            </w:rPr>
            <w:fldChar w:fldCharType="begin"/>
          </w:r>
          <w:r>
            <w:rPr>
              <w:rFonts w:hint="default" w:ascii="Times New Roman" w:hAnsi="Times New Roman" w:eastAsia="宋体" w:cs="Times New Roman"/>
              <w:caps w:val="0"/>
              <w:color w:val="auto"/>
              <w:spacing w:val="0"/>
              <w:position w:val="0"/>
              <w:sz w:val="24"/>
              <w:szCs w:val="24"/>
              <w:highlight w:val="none"/>
            </w:rPr>
            <w:instrText xml:space="preserve"> HYPERLINK \l _Toc24061 </w:instrText>
          </w:r>
          <w:r>
            <w:rPr>
              <w:rFonts w:hint="default" w:ascii="Times New Roman" w:hAnsi="Times New Roman" w:eastAsia="宋体" w:cs="Times New Roman"/>
              <w:caps w:val="0"/>
              <w:color w:val="auto"/>
              <w:spacing w:val="0"/>
              <w:position w:val="0"/>
              <w:sz w:val="24"/>
              <w:szCs w:val="24"/>
              <w:highlight w:val="none"/>
            </w:rPr>
            <w:fldChar w:fldCharType="separate"/>
          </w:r>
          <w:r>
            <w:rPr>
              <w:rFonts w:hint="default" w:ascii="Times New Roman" w:hAnsi="Times New Roman" w:eastAsia="宋体" w:cs="Times New Roman"/>
              <w:caps w:val="0"/>
              <w:snapToGrid w:val="0"/>
              <w:color w:val="auto"/>
              <w:spacing w:val="0"/>
              <w:position w:val="0"/>
              <w:sz w:val="24"/>
              <w:szCs w:val="24"/>
              <w:highlight w:val="none"/>
            </w:rPr>
            <w:t>四、 主要环境影响和保护措施</w:t>
          </w:r>
          <w:r>
            <w:rPr>
              <w:rFonts w:hint="default" w:ascii="Times New Roman" w:hAnsi="Times New Roman" w:eastAsia="宋体" w:cs="Times New Roman"/>
              <w:caps w:val="0"/>
              <w:color w:val="auto"/>
              <w:spacing w:val="0"/>
              <w:position w:val="0"/>
              <w:sz w:val="24"/>
              <w:szCs w:val="24"/>
              <w:highlight w:val="none"/>
            </w:rPr>
            <w:tab/>
          </w:r>
          <w:r>
            <w:rPr>
              <w:rFonts w:hint="default" w:ascii="Times New Roman" w:hAnsi="Times New Roman" w:eastAsia="宋体" w:cs="Times New Roman"/>
              <w:caps w:val="0"/>
              <w:color w:val="auto"/>
              <w:spacing w:val="0"/>
              <w:position w:val="0"/>
              <w:sz w:val="24"/>
              <w:szCs w:val="24"/>
              <w:highlight w:val="none"/>
            </w:rPr>
            <w:fldChar w:fldCharType="begin"/>
          </w:r>
          <w:r>
            <w:rPr>
              <w:rFonts w:hint="default" w:ascii="Times New Roman" w:hAnsi="Times New Roman" w:eastAsia="宋体" w:cs="Times New Roman"/>
              <w:caps w:val="0"/>
              <w:color w:val="auto"/>
              <w:spacing w:val="0"/>
              <w:position w:val="0"/>
              <w:sz w:val="24"/>
              <w:szCs w:val="24"/>
              <w:highlight w:val="none"/>
            </w:rPr>
            <w:instrText xml:space="preserve"> PAGEREF _Toc24061 \h </w:instrText>
          </w:r>
          <w:r>
            <w:rPr>
              <w:rFonts w:hint="default" w:ascii="Times New Roman" w:hAnsi="Times New Roman" w:eastAsia="宋体" w:cs="Times New Roman"/>
              <w:caps w:val="0"/>
              <w:color w:val="auto"/>
              <w:spacing w:val="0"/>
              <w:position w:val="0"/>
              <w:sz w:val="24"/>
              <w:szCs w:val="24"/>
              <w:highlight w:val="none"/>
            </w:rPr>
            <w:fldChar w:fldCharType="separate"/>
          </w:r>
          <w:r>
            <w:rPr>
              <w:rFonts w:hint="default" w:ascii="Times New Roman" w:hAnsi="Times New Roman" w:eastAsia="宋体" w:cs="Times New Roman"/>
              <w:caps w:val="0"/>
              <w:color w:val="auto"/>
              <w:spacing w:val="0"/>
              <w:position w:val="0"/>
              <w:sz w:val="24"/>
              <w:szCs w:val="24"/>
              <w:highlight w:val="none"/>
            </w:rPr>
            <w:t>88</w:t>
          </w:r>
          <w:r>
            <w:rPr>
              <w:rFonts w:hint="default" w:ascii="Times New Roman" w:hAnsi="Times New Roman" w:eastAsia="宋体" w:cs="Times New Roman"/>
              <w:caps w:val="0"/>
              <w:color w:val="auto"/>
              <w:spacing w:val="0"/>
              <w:position w:val="0"/>
              <w:sz w:val="24"/>
              <w:szCs w:val="24"/>
              <w:highlight w:val="none"/>
            </w:rPr>
            <w:fldChar w:fldCharType="end"/>
          </w:r>
          <w:r>
            <w:rPr>
              <w:rFonts w:hint="default" w:ascii="Times New Roman" w:hAnsi="Times New Roman" w:eastAsia="宋体" w:cs="Times New Roman"/>
              <w:caps w:val="0"/>
              <w:color w:val="auto"/>
              <w:spacing w:val="0"/>
              <w:position w:val="0"/>
              <w:sz w:val="24"/>
              <w:szCs w:val="24"/>
              <w:highlight w:val="none"/>
            </w:rPr>
            <w:fldChar w:fldCharType="end"/>
          </w:r>
        </w:p>
        <w:p w14:paraId="3390060B">
          <w:pPr>
            <w:pStyle w:val="18"/>
            <w:tabs>
              <w:tab w:val="right" w:leader="dot" w:pos="8844"/>
            </w:tabs>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caps w:val="0"/>
              <w:color w:val="auto"/>
              <w:spacing w:val="0"/>
              <w:position w:val="0"/>
              <w:sz w:val="24"/>
              <w:szCs w:val="24"/>
              <w:highlight w:val="none"/>
            </w:rPr>
            <w:fldChar w:fldCharType="begin"/>
          </w:r>
          <w:r>
            <w:rPr>
              <w:rFonts w:hint="default" w:ascii="Times New Roman" w:hAnsi="Times New Roman" w:eastAsia="宋体" w:cs="Times New Roman"/>
              <w:caps w:val="0"/>
              <w:color w:val="auto"/>
              <w:spacing w:val="0"/>
              <w:position w:val="0"/>
              <w:sz w:val="24"/>
              <w:szCs w:val="24"/>
              <w:highlight w:val="none"/>
            </w:rPr>
            <w:instrText xml:space="preserve"> HYPERLINK \l _Toc1027 </w:instrText>
          </w:r>
          <w:r>
            <w:rPr>
              <w:rFonts w:hint="default" w:ascii="Times New Roman" w:hAnsi="Times New Roman" w:eastAsia="宋体" w:cs="Times New Roman"/>
              <w:caps w:val="0"/>
              <w:color w:val="auto"/>
              <w:spacing w:val="0"/>
              <w:position w:val="0"/>
              <w:sz w:val="24"/>
              <w:szCs w:val="24"/>
              <w:highlight w:val="none"/>
            </w:rPr>
            <w:fldChar w:fldCharType="separate"/>
          </w:r>
          <w:r>
            <w:rPr>
              <w:rFonts w:hint="default" w:ascii="Times New Roman" w:hAnsi="Times New Roman" w:eastAsia="宋体" w:cs="Times New Roman"/>
              <w:caps w:val="0"/>
              <w:snapToGrid w:val="0"/>
              <w:color w:val="auto"/>
              <w:spacing w:val="0"/>
              <w:position w:val="0"/>
              <w:sz w:val="24"/>
              <w:szCs w:val="24"/>
              <w:highlight w:val="none"/>
            </w:rPr>
            <w:t>五、环境保护措施监督检查清单</w:t>
          </w:r>
          <w:r>
            <w:rPr>
              <w:rFonts w:hint="default" w:ascii="Times New Roman" w:hAnsi="Times New Roman" w:eastAsia="宋体" w:cs="Times New Roman"/>
              <w:caps w:val="0"/>
              <w:color w:val="auto"/>
              <w:spacing w:val="0"/>
              <w:position w:val="0"/>
              <w:sz w:val="24"/>
              <w:szCs w:val="24"/>
              <w:highlight w:val="none"/>
            </w:rPr>
            <w:tab/>
          </w:r>
          <w:r>
            <w:rPr>
              <w:rFonts w:hint="default" w:ascii="Times New Roman" w:hAnsi="Times New Roman" w:eastAsia="宋体" w:cs="Times New Roman"/>
              <w:caps w:val="0"/>
              <w:color w:val="auto"/>
              <w:spacing w:val="0"/>
              <w:position w:val="0"/>
              <w:sz w:val="24"/>
              <w:szCs w:val="24"/>
              <w:highlight w:val="none"/>
            </w:rPr>
            <w:fldChar w:fldCharType="begin"/>
          </w:r>
          <w:r>
            <w:rPr>
              <w:rFonts w:hint="default" w:ascii="Times New Roman" w:hAnsi="Times New Roman" w:eastAsia="宋体" w:cs="Times New Roman"/>
              <w:caps w:val="0"/>
              <w:color w:val="auto"/>
              <w:spacing w:val="0"/>
              <w:position w:val="0"/>
              <w:sz w:val="24"/>
              <w:szCs w:val="24"/>
              <w:highlight w:val="none"/>
            </w:rPr>
            <w:instrText xml:space="preserve"> PAGEREF _Toc1027 \h </w:instrText>
          </w:r>
          <w:r>
            <w:rPr>
              <w:rFonts w:hint="default" w:ascii="Times New Roman" w:hAnsi="Times New Roman" w:eastAsia="宋体" w:cs="Times New Roman"/>
              <w:caps w:val="0"/>
              <w:color w:val="auto"/>
              <w:spacing w:val="0"/>
              <w:position w:val="0"/>
              <w:sz w:val="24"/>
              <w:szCs w:val="24"/>
              <w:highlight w:val="none"/>
            </w:rPr>
            <w:fldChar w:fldCharType="separate"/>
          </w:r>
          <w:r>
            <w:rPr>
              <w:rFonts w:hint="default" w:ascii="Times New Roman" w:hAnsi="Times New Roman" w:eastAsia="宋体" w:cs="Times New Roman"/>
              <w:caps w:val="0"/>
              <w:color w:val="auto"/>
              <w:spacing w:val="0"/>
              <w:position w:val="0"/>
              <w:sz w:val="24"/>
              <w:szCs w:val="24"/>
              <w:highlight w:val="none"/>
            </w:rPr>
            <w:t>144</w:t>
          </w:r>
          <w:r>
            <w:rPr>
              <w:rFonts w:hint="default" w:ascii="Times New Roman" w:hAnsi="Times New Roman" w:eastAsia="宋体" w:cs="Times New Roman"/>
              <w:caps w:val="0"/>
              <w:color w:val="auto"/>
              <w:spacing w:val="0"/>
              <w:position w:val="0"/>
              <w:sz w:val="24"/>
              <w:szCs w:val="24"/>
              <w:highlight w:val="none"/>
            </w:rPr>
            <w:fldChar w:fldCharType="end"/>
          </w:r>
          <w:r>
            <w:rPr>
              <w:rFonts w:hint="default" w:ascii="Times New Roman" w:hAnsi="Times New Roman" w:eastAsia="宋体" w:cs="Times New Roman"/>
              <w:caps w:val="0"/>
              <w:color w:val="auto"/>
              <w:spacing w:val="0"/>
              <w:position w:val="0"/>
              <w:sz w:val="24"/>
              <w:szCs w:val="24"/>
              <w:highlight w:val="none"/>
            </w:rPr>
            <w:fldChar w:fldCharType="end"/>
          </w:r>
        </w:p>
        <w:p w14:paraId="346928FF">
          <w:pPr>
            <w:pStyle w:val="18"/>
            <w:tabs>
              <w:tab w:val="right" w:leader="dot" w:pos="8844"/>
            </w:tabs>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caps w:val="0"/>
              <w:color w:val="auto"/>
              <w:spacing w:val="0"/>
              <w:position w:val="0"/>
              <w:sz w:val="24"/>
              <w:szCs w:val="24"/>
              <w:highlight w:val="none"/>
            </w:rPr>
            <w:fldChar w:fldCharType="begin"/>
          </w:r>
          <w:r>
            <w:rPr>
              <w:rFonts w:hint="default" w:ascii="Times New Roman" w:hAnsi="Times New Roman" w:eastAsia="宋体" w:cs="Times New Roman"/>
              <w:caps w:val="0"/>
              <w:color w:val="auto"/>
              <w:spacing w:val="0"/>
              <w:position w:val="0"/>
              <w:sz w:val="24"/>
              <w:szCs w:val="24"/>
              <w:highlight w:val="none"/>
            </w:rPr>
            <w:instrText xml:space="preserve"> HYPERLINK \l _Toc26445 </w:instrText>
          </w:r>
          <w:r>
            <w:rPr>
              <w:rFonts w:hint="default" w:ascii="Times New Roman" w:hAnsi="Times New Roman" w:eastAsia="宋体" w:cs="Times New Roman"/>
              <w:caps w:val="0"/>
              <w:color w:val="auto"/>
              <w:spacing w:val="0"/>
              <w:position w:val="0"/>
              <w:sz w:val="24"/>
              <w:szCs w:val="24"/>
              <w:highlight w:val="none"/>
            </w:rPr>
            <w:fldChar w:fldCharType="separate"/>
          </w:r>
          <w:r>
            <w:rPr>
              <w:rFonts w:hint="default" w:ascii="Times New Roman" w:hAnsi="Times New Roman" w:eastAsia="宋体" w:cs="Times New Roman"/>
              <w:caps w:val="0"/>
              <w:snapToGrid w:val="0"/>
              <w:color w:val="auto"/>
              <w:spacing w:val="0"/>
              <w:position w:val="0"/>
              <w:sz w:val="24"/>
              <w:szCs w:val="24"/>
              <w:highlight w:val="none"/>
            </w:rPr>
            <w:t>六、结论</w:t>
          </w:r>
          <w:r>
            <w:rPr>
              <w:rFonts w:hint="default" w:ascii="Times New Roman" w:hAnsi="Times New Roman" w:eastAsia="宋体" w:cs="Times New Roman"/>
              <w:caps w:val="0"/>
              <w:color w:val="auto"/>
              <w:spacing w:val="0"/>
              <w:position w:val="0"/>
              <w:sz w:val="24"/>
              <w:szCs w:val="24"/>
              <w:highlight w:val="none"/>
            </w:rPr>
            <w:tab/>
          </w:r>
          <w:r>
            <w:rPr>
              <w:rFonts w:hint="default" w:ascii="Times New Roman" w:hAnsi="Times New Roman" w:eastAsia="宋体" w:cs="Times New Roman"/>
              <w:caps w:val="0"/>
              <w:color w:val="auto"/>
              <w:spacing w:val="0"/>
              <w:position w:val="0"/>
              <w:sz w:val="24"/>
              <w:szCs w:val="24"/>
              <w:highlight w:val="none"/>
            </w:rPr>
            <w:fldChar w:fldCharType="begin"/>
          </w:r>
          <w:r>
            <w:rPr>
              <w:rFonts w:hint="default" w:ascii="Times New Roman" w:hAnsi="Times New Roman" w:eastAsia="宋体" w:cs="Times New Roman"/>
              <w:caps w:val="0"/>
              <w:color w:val="auto"/>
              <w:spacing w:val="0"/>
              <w:position w:val="0"/>
              <w:sz w:val="24"/>
              <w:szCs w:val="24"/>
              <w:highlight w:val="none"/>
            </w:rPr>
            <w:instrText xml:space="preserve"> PAGEREF _Toc26445 \h </w:instrText>
          </w:r>
          <w:r>
            <w:rPr>
              <w:rFonts w:hint="default" w:ascii="Times New Roman" w:hAnsi="Times New Roman" w:eastAsia="宋体" w:cs="Times New Roman"/>
              <w:caps w:val="0"/>
              <w:color w:val="auto"/>
              <w:spacing w:val="0"/>
              <w:position w:val="0"/>
              <w:sz w:val="24"/>
              <w:szCs w:val="24"/>
              <w:highlight w:val="none"/>
            </w:rPr>
            <w:fldChar w:fldCharType="separate"/>
          </w:r>
          <w:r>
            <w:rPr>
              <w:rFonts w:hint="default" w:ascii="Times New Roman" w:hAnsi="Times New Roman" w:eastAsia="宋体" w:cs="Times New Roman"/>
              <w:caps w:val="0"/>
              <w:color w:val="auto"/>
              <w:spacing w:val="0"/>
              <w:position w:val="0"/>
              <w:sz w:val="24"/>
              <w:szCs w:val="24"/>
              <w:highlight w:val="none"/>
            </w:rPr>
            <w:t>146</w:t>
          </w:r>
          <w:r>
            <w:rPr>
              <w:rFonts w:hint="default" w:ascii="Times New Roman" w:hAnsi="Times New Roman" w:eastAsia="宋体" w:cs="Times New Roman"/>
              <w:caps w:val="0"/>
              <w:color w:val="auto"/>
              <w:spacing w:val="0"/>
              <w:position w:val="0"/>
              <w:sz w:val="24"/>
              <w:szCs w:val="24"/>
              <w:highlight w:val="none"/>
            </w:rPr>
            <w:fldChar w:fldCharType="end"/>
          </w:r>
          <w:r>
            <w:rPr>
              <w:rFonts w:hint="default" w:ascii="Times New Roman" w:hAnsi="Times New Roman" w:eastAsia="宋体" w:cs="Times New Roman"/>
              <w:caps w:val="0"/>
              <w:color w:val="auto"/>
              <w:spacing w:val="0"/>
              <w:position w:val="0"/>
              <w:sz w:val="24"/>
              <w:szCs w:val="24"/>
              <w:highlight w:val="none"/>
            </w:rPr>
            <w:fldChar w:fldCharType="end"/>
          </w:r>
        </w:p>
        <w:p w14:paraId="22756719">
          <w:pPr>
            <w:pStyle w:val="18"/>
            <w:tabs>
              <w:tab w:val="right" w:leader="dot" w:pos="8844"/>
            </w:tabs>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caps w:val="0"/>
              <w:color w:val="auto"/>
              <w:spacing w:val="0"/>
              <w:position w:val="0"/>
              <w:sz w:val="24"/>
              <w:szCs w:val="24"/>
              <w:highlight w:val="none"/>
            </w:rPr>
            <w:fldChar w:fldCharType="begin"/>
          </w:r>
          <w:r>
            <w:rPr>
              <w:rFonts w:hint="default" w:ascii="Times New Roman" w:hAnsi="Times New Roman" w:eastAsia="宋体" w:cs="Times New Roman"/>
              <w:caps w:val="0"/>
              <w:color w:val="auto"/>
              <w:spacing w:val="0"/>
              <w:position w:val="0"/>
              <w:sz w:val="24"/>
              <w:szCs w:val="24"/>
              <w:highlight w:val="none"/>
            </w:rPr>
            <w:instrText xml:space="preserve"> HYPERLINK \l _Toc28304 </w:instrText>
          </w:r>
          <w:r>
            <w:rPr>
              <w:rFonts w:hint="default" w:ascii="Times New Roman" w:hAnsi="Times New Roman" w:eastAsia="宋体" w:cs="Times New Roman"/>
              <w:caps w:val="0"/>
              <w:color w:val="auto"/>
              <w:spacing w:val="0"/>
              <w:position w:val="0"/>
              <w:sz w:val="24"/>
              <w:szCs w:val="24"/>
              <w:highlight w:val="none"/>
            </w:rPr>
            <w:fldChar w:fldCharType="separate"/>
          </w:r>
          <w:r>
            <w:rPr>
              <w:rFonts w:hint="default" w:ascii="Times New Roman" w:hAnsi="Times New Roman" w:eastAsia="宋体" w:cs="Times New Roman"/>
              <w:caps w:val="0"/>
              <w:snapToGrid w:val="0"/>
              <w:color w:val="auto"/>
              <w:spacing w:val="0"/>
              <w:position w:val="0"/>
              <w:sz w:val="24"/>
              <w:szCs w:val="24"/>
              <w:highlight w:val="none"/>
            </w:rPr>
            <w:t>附表</w:t>
          </w:r>
          <w:r>
            <w:rPr>
              <w:rFonts w:hint="default" w:ascii="Times New Roman" w:hAnsi="Times New Roman" w:eastAsia="宋体" w:cs="Times New Roman"/>
              <w:caps w:val="0"/>
              <w:snapToGrid w:val="0"/>
              <w:color w:val="auto"/>
              <w:spacing w:val="0"/>
              <w:position w:val="0"/>
              <w:sz w:val="24"/>
              <w:szCs w:val="24"/>
              <w:highlight w:val="none"/>
              <w:lang w:eastAsia="zh-CN"/>
            </w:rPr>
            <w:t>：</w:t>
          </w:r>
          <w:r>
            <w:rPr>
              <w:rFonts w:hint="default" w:ascii="Times New Roman" w:hAnsi="Times New Roman" w:eastAsia="宋体" w:cs="Times New Roman"/>
              <w:caps w:val="0"/>
              <w:color w:val="auto"/>
              <w:spacing w:val="0"/>
              <w:position w:val="0"/>
              <w:sz w:val="24"/>
              <w:szCs w:val="24"/>
              <w:highlight w:val="none"/>
            </w:rPr>
            <w:tab/>
          </w:r>
          <w:r>
            <w:rPr>
              <w:rFonts w:hint="default" w:ascii="Times New Roman" w:hAnsi="Times New Roman" w:eastAsia="宋体" w:cs="Times New Roman"/>
              <w:caps w:val="0"/>
              <w:color w:val="auto"/>
              <w:spacing w:val="0"/>
              <w:position w:val="0"/>
              <w:sz w:val="24"/>
              <w:szCs w:val="24"/>
              <w:highlight w:val="none"/>
            </w:rPr>
            <w:fldChar w:fldCharType="begin"/>
          </w:r>
          <w:r>
            <w:rPr>
              <w:rFonts w:hint="default" w:ascii="Times New Roman" w:hAnsi="Times New Roman" w:eastAsia="宋体" w:cs="Times New Roman"/>
              <w:caps w:val="0"/>
              <w:color w:val="auto"/>
              <w:spacing w:val="0"/>
              <w:position w:val="0"/>
              <w:sz w:val="24"/>
              <w:szCs w:val="24"/>
              <w:highlight w:val="none"/>
            </w:rPr>
            <w:instrText xml:space="preserve"> PAGEREF _Toc28304 \h </w:instrText>
          </w:r>
          <w:r>
            <w:rPr>
              <w:rFonts w:hint="default" w:ascii="Times New Roman" w:hAnsi="Times New Roman" w:eastAsia="宋体" w:cs="Times New Roman"/>
              <w:caps w:val="0"/>
              <w:color w:val="auto"/>
              <w:spacing w:val="0"/>
              <w:position w:val="0"/>
              <w:sz w:val="24"/>
              <w:szCs w:val="24"/>
              <w:highlight w:val="none"/>
            </w:rPr>
            <w:fldChar w:fldCharType="separate"/>
          </w:r>
          <w:r>
            <w:rPr>
              <w:rFonts w:hint="default" w:ascii="Times New Roman" w:hAnsi="Times New Roman" w:eastAsia="宋体" w:cs="Times New Roman"/>
              <w:caps w:val="0"/>
              <w:color w:val="auto"/>
              <w:spacing w:val="0"/>
              <w:position w:val="0"/>
              <w:sz w:val="24"/>
              <w:szCs w:val="24"/>
              <w:highlight w:val="none"/>
            </w:rPr>
            <w:t>147</w:t>
          </w:r>
          <w:r>
            <w:rPr>
              <w:rFonts w:hint="default" w:ascii="Times New Roman" w:hAnsi="Times New Roman" w:eastAsia="宋体" w:cs="Times New Roman"/>
              <w:caps w:val="0"/>
              <w:color w:val="auto"/>
              <w:spacing w:val="0"/>
              <w:position w:val="0"/>
              <w:sz w:val="24"/>
              <w:szCs w:val="24"/>
              <w:highlight w:val="none"/>
            </w:rPr>
            <w:fldChar w:fldCharType="end"/>
          </w:r>
          <w:r>
            <w:rPr>
              <w:rFonts w:hint="default" w:ascii="Times New Roman" w:hAnsi="Times New Roman" w:eastAsia="宋体" w:cs="Times New Roman"/>
              <w:caps w:val="0"/>
              <w:color w:val="auto"/>
              <w:spacing w:val="0"/>
              <w:position w:val="0"/>
              <w:sz w:val="24"/>
              <w:szCs w:val="24"/>
              <w:highlight w:val="none"/>
            </w:rPr>
            <w:fldChar w:fldCharType="end"/>
          </w:r>
        </w:p>
        <w:p w14:paraId="6AAB31D4">
          <w:pPr>
            <w:pStyle w:val="18"/>
            <w:tabs>
              <w:tab w:val="right" w:leader="dot" w:pos="8844"/>
            </w:tabs>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caps w:val="0"/>
              <w:color w:val="auto"/>
              <w:spacing w:val="0"/>
              <w:position w:val="0"/>
              <w:sz w:val="24"/>
              <w:szCs w:val="24"/>
              <w:highlight w:val="none"/>
            </w:rPr>
            <w:fldChar w:fldCharType="begin"/>
          </w:r>
          <w:r>
            <w:rPr>
              <w:rFonts w:hint="default" w:ascii="Times New Roman" w:hAnsi="Times New Roman" w:eastAsia="宋体" w:cs="Times New Roman"/>
              <w:caps w:val="0"/>
              <w:color w:val="auto"/>
              <w:spacing w:val="0"/>
              <w:position w:val="0"/>
              <w:sz w:val="24"/>
              <w:szCs w:val="24"/>
              <w:highlight w:val="none"/>
            </w:rPr>
            <w:instrText xml:space="preserve"> HYPERLINK \l _Toc29141 </w:instrText>
          </w:r>
          <w:r>
            <w:rPr>
              <w:rFonts w:hint="default" w:ascii="Times New Roman" w:hAnsi="Times New Roman" w:eastAsia="宋体" w:cs="Times New Roman"/>
              <w:caps w:val="0"/>
              <w:color w:val="auto"/>
              <w:spacing w:val="0"/>
              <w:position w:val="0"/>
              <w:sz w:val="24"/>
              <w:szCs w:val="24"/>
              <w:highlight w:val="none"/>
            </w:rPr>
            <w:fldChar w:fldCharType="separate"/>
          </w:r>
          <w:r>
            <w:rPr>
              <w:rFonts w:hint="default" w:ascii="Times New Roman" w:hAnsi="Times New Roman" w:eastAsia="宋体" w:cs="Times New Roman"/>
              <w:caps w:val="0"/>
              <w:snapToGrid w:val="0"/>
              <w:color w:val="auto"/>
              <w:spacing w:val="0"/>
              <w:position w:val="0"/>
              <w:sz w:val="24"/>
              <w:szCs w:val="24"/>
              <w:highlight w:val="none"/>
            </w:rPr>
            <w:t>建设项目污染物排放量汇总表单位：（t/a）</w:t>
          </w:r>
          <w:r>
            <w:rPr>
              <w:rFonts w:hint="default" w:ascii="Times New Roman" w:hAnsi="Times New Roman" w:eastAsia="宋体" w:cs="Times New Roman"/>
              <w:caps w:val="0"/>
              <w:color w:val="auto"/>
              <w:spacing w:val="0"/>
              <w:position w:val="0"/>
              <w:sz w:val="24"/>
              <w:szCs w:val="24"/>
              <w:highlight w:val="none"/>
            </w:rPr>
            <w:tab/>
          </w:r>
          <w:r>
            <w:rPr>
              <w:rFonts w:hint="default" w:ascii="Times New Roman" w:hAnsi="Times New Roman" w:eastAsia="宋体" w:cs="Times New Roman"/>
              <w:caps w:val="0"/>
              <w:color w:val="auto"/>
              <w:spacing w:val="0"/>
              <w:position w:val="0"/>
              <w:sz w:val="24"/>
              <w:szCs w:val="24"/>
              <w:highlight w:val="none"/>
            </w:rPr>
            <w:fldChar w:fldCharType="begin"/>
          </w:r>
          <w:r>
            <w:rPr>
              <w:rFonts w:hint="default" w:ascii="Times New Roman" w:hAnsi="Times New Roman" w:eastAsia="宋体" w:cs="Times New Roman"/>
              <w:caps w:val="0"/>
              <w:color w:val="auto"/>
              <w:spacing w:val="0"/>
              <w:position w:val="0"/>
              <w:sz w:val="24"/>
              <w:szCs w:val="24"/>
              <w:highlight w:val="none"/>
            </w:rPr>
            <w:instrText xml:space="preserve"> PAGEREF _Toc29141 \h </w:instrText>
          </w:r>
          <w:r>
            <w:rPr>
              <w:rFonts w:hint="default" w:ascii="Times New Roman" w:hAnsi="Times New Roman" w:eastAsia="宋体" w:cs="Times New Roman"/>
              <w:caps w:val="0"/>
              <w:color w:val="auto"/>
              <w:spacing w:val="0"/>
              <w:position w:val="0"/>
              <w:sz w:val="24"/>
              <w:szCs w:val="24"/>
              <w:highlight w:val="none"/>
            </w:rPr>
            <w:fldChar w:fldCharType="separate"/>
          </w:r>
          <w:r>
            <w:rPr>
              <w:rFonts w:hint="default" w:ascii="Times New Roman" w:hAnsi="Times New Roman" w:eastAsia="宋体" w:cs="Times New Roman"/>
              <w:caps w:val="0"/>
              <w:color w:val="auto"/>
              <w:spacing w:val="0"/>
              <w:position w:val="0"/>
              <w:sz w:val="24"/>
              <w:szCs w:val="24"/>
              <w:highlight w:val="none"/>
            </w:rPr>
            <w:t>147</w:t>
          </w:r>
          <w:r>
            <w:rPr>
              <w:rFonts w:hint="default" w:ascii="Times New Roman" w:hAnsi="Times New Roman" w:eastAsia="宋体" w:cs="Times New Roman"/>
              <w:caps w:val="0"/>
              <w:color w:val="auto"/>
              <w:spacing w:val="0"/>
              <w:position w:val="0"/>
              <w:sz w:val="24"/>
              <w:szCs w:val="24"/>
              <w:highlight w:val="none"/>
            </w:rPr>
            <w:fldChar w:fldCharType="end"/>
          </w:r>
          <w:r>
            <w:rPr>
              <w:rFonts w:hint="default" w:ascii="Times New Roman" w:hAnsi="Times New Roman" w:eastAsia="宋体" w:cs="Times New Roman"/>
              <w:caps w:val="0"/>
              <w:color w:val="auto"/>
              <w:spacing w:val="0"/>
              <w:position w:val="0"/>
              <w:sz w:val="24"/>
              <w:szCs w:val="24"/>
              <w:highlight w:val="none"/>
            </w:rPr>
            <w:fldChar w:fldCharType="end"/>
          </w:r>
        </w:p>
        <w:p w14:paraId="3AA361FD">
          <w:pPr>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caps w:val="0"/>
              <w:color w:val="auto"/>
              <w:spacing w:val="0"/>
              <w:position w:val="0"/>
              <w:sz w:val="24"/>
              <w:szCs w:val="24"/>
              <w:highlight w:val="none"/>
            </w:rPr>
            <w:fldChar w:fldCharType="end"/>
          </w:r>
        </w:p>
      </w:sdtContent>
    </w:sdt>
    <w:p w14:paraId="1F7A7AC8">
      <w:pPr>
        <w:pStyle w:val="74"/>
        <w:bidi w:val="0"/>
        <w:rPr>
          <w:rFonts w:hint="eastAsia"/>
          <w:caps w:val="0"/>
          <w:color w:val="auto"/>
          <w:spacing w:val="0"/>
          <w:position w:val="0"/>
          <w:highlight w:val="none"/>
          <w:lang w:val="en-US" w:eastAsia="zh-CN"/>
        </w:rPr>
      </w:pPr>
    </w:p>
    <w:p w14:paraId="56354024">
      <w:pPr>
        <w:pStyle w:val="74"/>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附图：</w:t>
      </w:r>
    </w:p>
    <w:p w14:paraId="408E4247">
      <w:pPr>
        <w:pStyle w:val="74"/>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附图 1 项目位置地理图</w:t>
      </w:r>
    </w:p>
    <w:p w14:paraId="5F58255E">
      <w:pPr>
        <w:pStyle w:val="74"/>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附图 2 项目周边环境概况图</w:t>
      </w:r>
    </w:p>
    <w:p w14:paraId="1FB5491E">
      <w:pPr>
        <w:pStyle w:val="74"/>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附图 3 项目周边大气敏感点分布图</w:t>
      </w:r>
    </w:p>
    <w:p w14:paraId="06F6A013">
      <w:pPr>
        <w:pStyle w:val="74"/>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附图 4 项目厂房平面布置及分区防渗图</w:t>
      </w:r>
    </w:p>
    <w:p w14:paraId="4F391366">
      <w:pPr>
        <w:pStyle w:val="74"/>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附图 5 卫生防护距离图</w:t>
      </w:r>
    </w:p>
    <w:p w14:paraId="057D5A83">
      <w:pPr>
        <w:pStyle w:val="74"/>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附图 6 高安市管控单元图</w:t>
      </w:r>
    </w:p>
    <w:p w14:paraId="50FD5AEC">
      <w:pPr>
        <w:pStyle w:val="74"/>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附图 7 生态保护红线</w:t>
      </w:r>
    </w:p>
    <w:p w14:paraId="4C77F690">
      <w:pPr>
        <w:pStyle w:val="74"/>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附图 8 项目所在地水系图</w:t>
      </w:r>
    </w:p>
    <w:p w14:paraId="704F6B4F">
      <w:pPr>
        <w:pStyle w:val="74"/>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附图 9 大气监测点位图</w:t>
      </w:r>
    </w:p>
    <w:p w14:paraId="07FFAEE1">
      <w:pPr>
        <w:pStyle w:val="74"/>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附图 10 项目与建山镇国土空间控制线规划相对位置图</w:t>
      </w:r>
    </w:p>
    <w:p w14:paraId="2F99A7E6">
      <w:pPr>
        <w:pStyle w:val="74"/>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附图 11 雨水排放路径图</w:t>
      </w:r>
    </w:p>
    <w:p w14:paraId="7297F22E">
      <w:pPr>
        <w:pStyle w:val="74"/>
        <w:bidi w:val="0"/>
        <w:rPr>
          <w:rFonts w:hint="eastAsia"/>
          <w:caps w:val="0"/>
          <w:color w:val="auto"/>
          <w:spacing w:val="0"/>
          <w:position w:val="0"/>
          <w:highlight w:val="none"/>
          <w:lang w:val="en-US" w:eastAsia="zh-CN"/>
        </w:rPr>
      </w:pPr>
    </w:p>
    <w:p w14:paraId="02C004AA">
      <w:pPr>
        <w:pStyle w:val="74"/>
        <w:bidi w:val="0"/>
        <w:rPr>
          <w:rFonts w:hint="eastAsia"/>
          <w:caps w:val="0"/>
          <w:color w:val="auto"/>
          <w:spacing w:val="0"/>
          <w:position w:val="0"/>
          <w:highlight w:val="none"/>
          <w:lang w:val="en-US" w:eastAsia="zh-CN"/>
        </w:rPr>
      </w:pPr>
    </w:p>
    <w:p w14:paraId="04133977">
      <w:pPr>
        <w:pStyle w:val="74"/>
        <w:bidi w:val="0"/>
        <w:rPr>
          <w:rFonts w:hint="eastAsia"/>
          <w:caps w:val="0"/>
          <w:color w:val="auto"/>
          <w:spacing w:val="0"/>
          <w:position w:val="0"/>
          <w:highlight w:val="none"/>
          <w:lang w:val="en-US" w:eastAsia="zh-CN"/>
        </w:rPr>
      </w:pPr>
    </w:p>
    <w:p w14:paraId="0D72B4B9">
      <w:pPr>
        <w:pStyle w:val="74"/>
        <w:bidi w:val="0"/>
        <w:rPr>
          <w:rFonts w:hint="eastAsia"/>
          <w:caps w:val="0"/>
          <w:color w:val="auto"/>
          <w:spacing w:val="0"/>
          <w:position w:val="0"/>
          <w:highlight w:val="none"/>
          <w:lang w:val="en-US" w:eastAsia="zh-CN"/>
        </w:rPr>
      </w:pPr>
    </w:p>
    <w:p w14:paraId="1642D052">
      <w:pPr>
        <w:pStyle w:val="74"/>
        <w:bidi w:val="0"/>
        <w:rPr>
          <w:rFonts w:hint="eastAsia"/>
          <w:caps w:val="0"/>
          <w:color w:val="auto"/>
          <w:spacing w:val="0"/>
          <w:position w:val="0"/>
          <w:highlight w:val="none"/>
          <w:lang w:val="en-US" w:eastAsia="zh-CN"/>
        </w:rPr>
      </w:pPr>
    </w:p>
    <w:p w14:paraId="09D4B534">
      <w:pPr>
        <w:pStyle w:val="74"/>
        <w:bidi w:val="0"/>
        <w:rPr>
          <w:rFonts w:hint="eastAsia"/>
          <w:caps w:val="0"/>
          <w:color w:val="auto"/>
          <w:spacing w:val="0"/>
          <w:position w:val="0"/>
          <w:highlight w:val="none"/>
          <w:lang w:val="en-US" w:eastAsia="zh-CN"/>
        </w:rPr>
      </w:pPr>
    </w:p>
    <w:p w14:paraId="279845FF">
      <w:pPr>
        <w:pStyle w:val="74"/>
        <w:bidi w:val="0"/>
        <w:rPr>
          <w:rFonts w:hint="eastAsia"/>
          <w:caps w:val="0"/>
          <w:color w:val="auto"/>
          <w:spacing w:val="0"/>
          <w:position w:val="0"/>
          <w:highlight w:val="none"/>
          <w:lang w:val="en-US" w:eastAsia="zh-CN"/>
        </w:rPr>
      </w:pPr>
    </w:p>
    <w:p w14:paraId="5694A059">
      <w:pPr>
        <w:pStyle w:val="74"/>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附件：</w:t>
      </w:r>
    </w:p>
    <w:p w14:paraId="55978DD8">
      <w:pPr>
        <w:pStyle w:val="74"/>
        <w:bidi w:val="0"/>
        <w:rPr>
          <w:rFonts w:hint="eastAsia"/>
          <w:caps w:val="0"/>
          <w:color w:val="auto"/>
          <w:spacing w:val="0"/>
          <w:position w:val="0"/>
          <w:highlight w:val="none"/>
          <w:lang w:eastAsia="zh-CN"/>
        </w:rPr>
      </w:pPr>
      <w:r>
        <w:rPr>
          <w:rFonts w:hint="eastAsia"/>
          <w:caps w:val="0"/>
          <w:color w:val="auto"/>
          <w:spacing w:val="0"/>
          <w:position w:val="0"/>
          <w:highlight w:val="none"/>
          <w:lang w:eastAsia="zh-CN"/>
        </w:rPr>
        <w:t>附件 1 委托书</w:t>
      </w:r>
    </w:p>
    <w:p w14:paraId="5EA8D800">
      <w:pPr>
        <w:pStyle w:val="74"/>
        <w:bidi w:val="0"/>
        <w:rPr>
          <w:rFonts w:hint="eastAsia"/>
          <w:caps w:val="0"/>
          <w:color w:val="auto"/>
          <w:spacing w:val="0"/>
          <w:position w:val="0"/>
          <w:highlight w:val="none"/>
          <w:lang w:eastAsia="zh-CN"/>
        </w:rPr>
      </w:pPr>
      <w:r>
        <w:rPr>
          <w:rFonts w:hint="eastAsia"/>
          <w:caps w:val="0"/>
          <w:color w:val="auto"/>
          <w:spacing w:val="0"/>
          <w:position w:val="0"/>
          <w:highlight w:val="none"/>
          <w:lang w:eastAsia="zh-CN"/>
        </w:rPr>
        <w:t>附件 2 真实性承诺书</w:t>
      </w:r>
    </w:p>
    <w:p w14:paraId="1A2FC029">
      <w:pPr>
        <w:pStyle w:val="74"/>
        <w:bidi w:val="0"/>
        <w:rPr>
          <w:rFonts w:hint="eastAsia"/>
          <w:caps w:val="0"/>
          <w:color w:val="auto"/>
          <w:spacing w:val="0"/>
          <w:position w:val="0"/>
          <w:highlight w:val="none"/>
          <w:lang w:eastAsia="zh-CN"/>
        </w:rPr>
      </w:pPr>
      <w:r>
        <w:rPr>
          <w:rFonts w:hint="eastAsia"/>
          <w:caps w:val="0"/>
          <w:color w:val="auto"/>
          <w:spacing w:val="0"/>
          <w:position w:val="0"/>
          <w:highlight w:val="none"/>
          <w:lang w:eastAsia="zh-CN"/>
        </w:rPr>
        <w:t>附件 3 备案文件</w:t>
      </w:r>
    </w:p>
    <w:p w14:paraId="62BA05E9">
      <w:pPr>
        <w:pStyle w:val="74"/>
        <w:bidi w:val="0"/>
        <w:rPr>
          <w:rFonts w:hint="eastAsia"/>
          <w:caps w:val="0"/>
          <w:color w:val="auto"/>
          <w:spacing w:val="0"/>
          <w:position w:val="0"/>
          <w:highlight w:val="none"/>
          <w:lang w:eastAsia="zh-CN"/>
        </w:rPr>
      </w:pPr>
      <w:r>
        <w:rPr>
          <w:rFonts w:hint="eastAsia"/>
          <w:caps w:val="0"/>
          <w:color w:val="auto"/>
          <w:spacing w:val="0"/>
          <w:position w:val="0"/>
          <w:highlight w:val="none"/>
          <w:lang w:eastAsia="zh-CN"/>
        </w:rPr>
        <w:t>附件 4 营业执照</w:t>
      </w:r>
    </w:p>
    <w:p w14:paraId="0DFF449E">
      <w:pPr>
        <w:pStyle w:val="74"/>
        <w:bidi w:val="0"/>
        <w:rPr>
          <w:rFonts w:hint="eastAsia"/>
          <w:caps w:val="0"/>
          <w:color w:val="auto"/>
          <w:spacing w:val="0"/>
          <w:position w:val="0"/>
          <w:highlight w:val="none"/>
          <w:lang w:eastAsia="zh-CN"/>
        </w:rPr>
      </w:pPr>
      <w:r>
        <w:rPr>
          <w:rFonts w:hint="eastAsia"/>
          <w:caps w:val="0"/>
          <w:color w:val="auto"/>
          <w:spacing w:val="0"/>
          <w:position w:val="0"/>
          <w:highlight w:val="none"/>
          <w:lang w:eastAsia="zh-CN"/>
        </w:rPr>
        <w:t>附件</w:t>
      </w:r>
      <w:r>
        <w:rPr>
          <w:rFonts w:hint="eastAsia"/>
          <w:caps w:val="0"/>
          <w:color w:val="auto"/>
          <w:spacing w:val="0"/>
          <w:position w:val="0"/>
          <w:highlight w:val="none"/>
          <w:lang w:val="en-US" w:eastAsia="zh-CN"/>
        </w:rPr>
        <w:t xml:space="preserve"> </w:t>
      </w:r>
      <w:r>
        <w:rPr>
          <w:rFonts w:hint="eastAsia"/>
          <w:caps w:val="0"/>
          <w:color w:val="auto"/>
          <w:spacing w:val="0"/>
          <w:position w:val="0"/>
          <w:highlight w:val="none"/>
          <w:lang w:eastAsia="zh-CN"/>
        </w:rPr>
        <w:t>5</w:t>
      </w:r>
      <w:r>
        <w:rPr>
          <w:rFonts w:hint="eastAsia"/>
          <w:caps w:val="0"/>
          <w:color w:val="auto"/>
          <w:spacing w:val="0"/>
          <w:position w:val="0"/>
          <w:highlight w:val="none"/>
          <w:lang w:val="en-US" w:eastAsia="zh-CN"/>
        </w:rPr>
        <w:t xml:space="preserve"> </w:t>
      </w:r>
      <w:r>
        <w:rPr>
          <w:rFonts w:hint="eastAsia"/>
          <w:caps w:val="0"/>
          <w:color w:val="auto"/>
          <w:spacing w:val="0"/>
          <w:position w:val="0"/>
          <w:highlight w:val="none"/>
          <w:lang w:eastAsia="zh-CN"/>
        </w:rPr>
        <w:t>厂房租赁合同及出租方不动产证明</w:t>
      </w:r>
    </w:p>
    <w:p w14:paraId="34E15773">
      <w:pPr>
        <w:pStyle w:val="74"/>
        <w:bidi w:val="0"/>
        <w:rPr>
          <w:rFonts w:hint="eastAsia"/>
          <w:caps w:val="0"/>
          <w:color w:val="auto"/>
          <w:spacing w:val="0"/>
          <w:position w:val="0"/>
          <w:highlight w:val="none"/>
          <w:lang w:eastAsia="zh-CN"/>
        </w:rPr>
      </w:pPr>
      <w:r>
        <w:rPr>
          <w:rFonts w:hint="eastAsia"/>
          <w:caps w:val="0"/>
          <w:color w:val="auto"/>
          <w:spacing w:val="0"/>
          <w:position w:val="0"/>
          <w:highlight w:val="none"/>
          <w:lang w:eastAsia="zh-CN"/>
        </w:rPr>
        <w:t>附件 6</w:t>
      </w:r>
      <w:r>
        <w:rPr>
          <w:rFonts w:hint="eastAsia"/>
          <w:caps w:val="0"/>
          <w:color w:val="auto"/>
          <w:spacing w:val="0"/>
          <w:position w:val="0"/>
          <w:highlight w:val="none"/>
          <w:lang w:val="en-US" w:eastAsia="zh-CN"/>
        </w:rPr>
        <w:t xml:space="preserve"> </w:t>
      </w:r>
      <w:r>
        <w:rPr>
          <w:rFonts w:hint="eastAsia"/>
          <w:caps w:val="0"/>
          <w:color w:val="auto"/>
          <w:spacing w:val="0"/>
          <w:position w:val="0"/>
          <w:highlight w:val="none"/>
          <w:lang w:eastAsia="zh-CN"/>
        </w:rPr>
        <w:t>引I用大气TSP监测报告</w:t>
      </w:r>
    </w:p>
    <w:p w14:paraId="62A6482F">
      <w:pPr>
        <w:pStyle w:val="74"/>
        <w:bidi w:val="0"/>
        <w:rPr>
          <w:rFonts w:hint="eastAsia"/>
          <w:caps w:val="0"/>
          <w:color w:val="auto"/>
          <w:spacing w:val="0"/>
          <w:position w:val="0"/>
          <w:highlight w:val="none"/>
          <w:lang w:eastAsia="zh-CN"/>
        </w:rPr>
      </w:pPr>
      <w:r>
        <w:rPr>
          <w:rFonts w:hint="eastAsia"/>
          <w:caps w:val="0"/>
          <w:color w:val="auto"/>
          <w:spacing w:val="0"/>
          <w:position w:val="0"/>
          <w:highlight w:val="none"/>
          <w:lang w:eastAsia="zh-CN"/>
        </w:rPr>
        <w:t>附件</w:t>
      </w:r>
      <w:r>
        <w:rPr>
          <w:rFonts w:hint="eastAsia"/>
          <w:caps w:val="0"/>
          <w:color w:val="auto"/>
          <w:spacing w:val="0"/>
          <w:position w:val="0"/>
          <w:highlight w:val="none"/>
          <w:lang w:val="en-US" w:eastAsia="zh-CN"/>
        </w:rPr>
        <w:t xml:space="preserve"> </w:t>
      </w:r>
      <w:r>
        <w:rPr>
          <w:rFonts w:hint="eastAsia"/>
          <w:caps w:val="0"/>
          <w:color w:val="auto"/>
          <w:spacing w:val="0"/>
          <w:position w:val="0"/>
          <w:highlight w:val="none"/>
          <w:lang w:eastAsia="zh-CN"/>
        </w:rPr>
        <w:t>7</w:t>
      </w:r>
      <w:r>
        <w:rPr>
          <w:rFonts w:hint="eastAsia"/>
          <w:caps w:val="0"/>
          <w:color w:val="auto"/>
          <w:spacing w:val="0"/>
          <w:position w:val="0"/>
          <w:highlight w:val="none"/>
          <w:lang w:val="en-US" w:eastAsia="zh-CN"/>
        </w:rPr>
        <w:t xml:space="preserve"> </w:t>
      </w:r>
      <w:r>
        <w:rPr>
          <w:rFonts w:hint="eastAsia"/>
          <w:caps w:val="0"/>
          <w:color w:val="auto"/>
          <w:spacing w:val="0"/>
          <w:position w:val="0"/>
          <w:highlight w:val="none"/>
          <w:lang w:eastAsia="zh-CN"/>
        </w:rPr>
        <w:t>研硕锂渣来源企业（江西永兴特钢新能源科技有限公司）浸出渣危险特性鉴别报告</w:t>
      </w:r>
    </w:p>
    <w:p w14:paraId="0156138F">
      <w:pPr>
        <w:pStyle w:val="74"/>
        <w:bidi w:val="0"/>
        <w:rPr>
          <w:rFonts w:hint="eastAsia"/>
          <w:caps w:val="0"/>
          <w:color w:val="auto"/>
          <w:spacing w:val="0"/>
          <w:position w:val="0"/>
          <w:highlight w:val="none"/>
          <w:lang w:eastAsia="zh-CN"/>
        </w:rPr>
      </w:pPr>
      <w:r>
        <w:rPr>
          <w:rFonts w:hint="eastAsia"/>
          <w:caps w:val="0"/>
          <w:color w:val="auto"/>
          <w:spacing w:val="0"/>
          <w:position w:val="0"/>
          <w:highlight w:val="none"/>
          <w:lang w:eastAsia="zh-CN"/>
        </w:rPr>
        <w:t>附件 8 锂渣委托处置协议(以典型企业为例)</w:t>
      </w:r>
    </w:p>
    <w:p w14:paraId="52287A20">
      <w:pPr>
        <w:pStyle w:val="74"/>
        <w:bidi w:val="0"/>
        <w:rPr>
          <w:rFonts w:hint="eastAsia"/>
          <w:caps w:val="0"/>
          <w:color w:val="auto"/>
          <w:spacing w:val="0"/>
          <w:position w:val="0"/>
          <w:highlight w:val="none"/>
          <w:lang w:eastAsia="zh-CN"/>
        </w:rPr>
      </w:pPr>
      <w:r>
        <w:rPr>
          <w:rFonts w:hint="eastAsia"/>
          <w:caps w:val="0"/>
          <w:color w:val="auto"/>
          <w:spacing w:val="0"/>
          <w:position w:val="0"/>
          <w:highlight w:val="none"/>
          <w:lang w:eastAsia="zh-CN"/>
        </w:rPr>
        <w:t>附件 9 项目联审表</w:t>
      </w:r>
    </w:p>
    <w:p w14:paraId="0DC9795F">
      <w:pPr>
        <w:pStyle w:val="74"/>
        <w:bidi w:val="0"/>
        <w:rPr>
          <w:rFonts w:hint="eastAsia"/>
          <w:caps w:val="0"/>
          <w:color w:val="auto"/>
          <w:spacing w:val="0"/>
          <w:position w:val="0"/>
          <w:highlight w:val="none"/>
          <w:lang w:eastAsia="zh-CN"/>
        </w:rPr>
      </w:pPr>
      <w:r>
        <w:rPr>
          <w:rFonts w:hint="eastAsia"/>
          <w:caps w:val="0"/>
          <w:color w:val="auto"/>
          <w:spacing w:val="0"/>
          <w:position w:val="0"/>
          <w:highlight w:val="none"/>
          <w:lang w:eastAsia="zh-CN"/>
        </w:rPr>
        <w:t>附件 10 原料(锂冶炼剩余物)检测报告(以典型企业为例)</w:t>
      </w:r>
    </w:p>
    <w:p w14:paraId="70390441">
      <w:pPr>
        <w:pStyle w:val="74"/>
        <w:bidi w:val="0"/>
        <w:rPr>
          <w:rFonts w:hint="eastAsia"/>
          <w:caps w:val="0"/>
          <w:color w:val="auto"/>
          <w:spacing w:val="0"/>
          <w:position w:val="0"/>
          <w:highlight w:val="none"/>
          <w:lang w:eastAsia="zh-CN"/>
        </w:rPr>
      </w:pPr>
      <w:r>
        <w:rPr>
          <w:rFonts w:hint="eastAsia"/>
          <w:caps w:val="0"/>
          <w:color w:val="auto"/>
          <w:spacing w:val="0"/>
          <w:position w:val="0"/>
          <w:highlight w:val="none"/>
          <w:lang w:eastAsia="zh-CN"/>
        </w:rPr>
        <w:t>附件 11 环境现状监测报告</w:t>
      </w:r>
    </w:p>
    <w:p w14:paraId="41268D8C">
      <w:pPr>
        <w:pStyle w:val="74"/>
        <w:bidi w:val="0"/>
        <w:rPr>
          <w:rFonts w:hint="eastAsia"/>
          <w:caps w:val="0"/>
          <w:color w:val="auto"/>
          <w:spacing w:val="0"/>
          <w:position w:val="0"/>
          <w:highlight w:val="none"/>
          <w:lang w:eastAsia="zh-CN"/>
        </w:rPr>
      </w:pPr>
      <w:r>
        <w:rPr>
          <w:rFonts w:hint="eastAsia"/>
          <w:caps w:val="0"/>
          <w:color w:val="auto"/>
          <w:spacing w:val="0"/>
          <w:position w:val="0"/>
          <w:highlight w:val="none"/>
          <w:lang w:eastAsia="zh-CN"/>
        </w:rPr>
        <w:t>附件 12 产品销售合同</w:t>
      </w:r>
    </w:p>
    <w:p w14:paraId="728278F5">
      <w:pPr>
        <w:pStyle w:val="74"/>
        <w:bidi w:val="0"/>
        <w:rPr>
          <w:rFonts w:hint="eastAsia"/>
          <w:caps w:val="0"/>
          <w:color w:val="auto"/>
          <w:spacing w:val="0"/>
          <w:position w:val="0"/>
          <w:highlight w:val="none"/>
          <w:lang w:eastAsia="zh-CN"/>
        </w:rPr>
      </w:pPr>
      <w:r>
        <w:rPr>
          <w:rFonts w:hint="eastAsia"/>
          <w:caps w:val="0"/>
          <w:color w:val="auto"/>
          <w:spacing w:val="0"/>
          <w:position w:val="0"/>
          <w:highlight w:val="none"/>
          <w:lang w:eastAsia="zh-CN"/>
        </w:rPr>
        <w:t>附件 13 租赁厂房现有项目批复</w:t>
      </w:r>
    </w:p>
    <w:p w14:paraId="49EE79FD">
      <w:pPr>
        <w:pStyle w:val="74"/>
        <w:bidi w:val="0"/>
        <w:rPr>
          <w:rFonts w:hint="default"/>
          <w:caps w:val="0"/>
          <w:color w:val="auto"/>
          <w:spacing w:val="0"/>
          <w:position w:val="0"/>
          <w:highlight w:val="none"/>
          <w:lang w:val="en-US" w:eastAsia="zh-CN"/>
        </w:rPr>
      </w:pPr>
      <w:r>
        <w:rPr>
          <w:rFonts w:hint="eastAsia"/>
          <w:caps w:val="0"/>
          <w:color w:val="auto"/>
          <w:spacing w:val="0"/>
          <w:position w:val="0"/>
          <w:highlight w:val="none"/>
          <w:lang w:eastAsia="zh-CN"/>
        </w:rPr>
        <w:t>附件</w:t>
      </w:r>
      <w:r>
        <w:rPr>
          <w:rFonts w:hint="eastAsia"/>
          <w:caps w:val="0"/>
          <w:color w:val="auto"/>
          <w:spacing w:val="0"/>
          <w:position w:val="0"/>
          <w:highlight w:val="none"/>
          <w:lang w:val="en-US" w:eastAsia="zh-CN"/>
        </w:rPr>
        <w:t xml:space="preserve"> </w:t>
      </w:r>
      <w:r>
        <w:rPr>
          <w:rFonts w:hint="eastAsia"/>
          <w:caps w:val="0"/>
          <w:color w:val="auto"/>
          <w:spacing w:val="0"/>
          <w:position w:val="0"/>
          <w:highlight w:val="none"/>
          <w:lang w:eastAsia="zh-CN"/>
        </w:rPr>
        <w:t>1</w:t>
      </w:r>
      <w:r>
        <w:rPr>
          <w:rFonts w:hint="eastAsia"/>
          <w:caps w:val="0"/>
          <w:color w:val="auto"/>
          <w:spacing w:val="0"/>
          <w:position w:val="0"/>
          <w:highlight w:val="none"/>
          <w:lang w:val="en-US" w:eastAsia="zh-CN"/>
        </w:rPr>
        <w:t>4 企业承诺书</w:t>
      </w:r>
    </w:p>
    <w:p w14:paraId="59E7B3EF">
      <w:pPr>
        <w:pStyle w:val="74"/>
        <w:bidi w:val="0"/>
        <w:rPr>
          <w:rFonts w:hint="eastAsia"/>
          <w:caps w:val="0"/>
          <w:color w:val="auto"/>
          <w:spacing w:val="0"/>
          <w:position w:val="0"/>
          <w:highlight w:val="none"/>
          <w:lang w:eastAsia="zh-CN"/>
        </w:rPr>
      </w:pPr>
      <w:r>
        <w:rPr>
          <w:rFonts w:hint="eastAsia"/>
          <w:caps w:val="0"/>
          <w:color w:val="auto"/>
          <w:spacing w:val="0"/>
          <w:position w:val="0"/>
          <w:highlight w:val="none"/>
          <w:lang w:eastAsia="zh-CN"/>
        </w:rPr>
        <w:t>附件</w:t>
      </w:r>
      <w:r>
        <w:rPr>
          <w:rFonts w:hint="eastAsia"/>
          <w:caps w:val="0"/>
          <w:color w:val="auto"/>
          <w:spacing w:val="0"/>
          <w:position w:val="0"/>
          <w:highlight w:val="none"/>
          <w:lang w:val="en-US" w:eastAsia="zh-CN"/>
        </w:rPr>
        <w:t xml:space="preserve"> </w:t>
      </w:r>
      <w:r>
        <w:rPr>
          <w:rFonts w:hint="eastAsia"/>
          <w:caps w:val="0"/>
          <w:color w:val="auto"/>
          <w:spacing w:val="0"/>
          <w:position w:val="0"/>
          <w:highlight w:val="none"/>
          <w:lang w:eastAsia="zh-CN"/>
        </w:rPr>
        <w:t>1</w:t>
      </w:r>
      <w:r>
        <w:rPr>
          <w:rFonts w:hint="eastAsia"/>
          <w:caps w:val="0"/>
          <w:color w:val="auto"/>
          <w:spacing w:val="0"/>
          <w:position w:val="0"/>
          <w:highlight w:val="none"/>
          <w:lang w:val="en-US" w:eastAsia="zh-CN"/>
        </w:rPr>
        <w:t xml:space="preserve">5 </w:t>
      </w:r>
      <w:r>
        <w:rPr>
          <w:rFonts w:hint="eastAsia"/>
          <w:caps w:val="0"/>
          <w:color w:val="auto"/>
          <w:spacing w:val="0"/>
          <w:position w:val="0"/>
          <w:highlight w:val="none"/>
          <w:lang w:eastAsia="zh-CN"/>
        </w:rPr>
        <w:t>项目排污信息清单</w:t>
      </w:r>
    </w:p>
    <w:p w14:paraId="4B8E19DD">
      <w:pPr>
        <w:pStyle w:val="74"/>
        <w:bidi w:val="0"/>
        <w:rPr>
          <w:rFonts w:hint="eastAsia"/>
          <w:caps w:val="0"/>
          <w:color w:val="auto"/>
          <w:spacing w:val="0"/>
          <w:position w:val="0"/>
          <w:highlight w:val="none"/>
          <w:lang w:eastAsia="zh-CN"/>
        </w:rPr>
        <w:sectPr>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r>
        <w:rPr>
          <w:rFonts w:hint="eastAsia"/>
          <w:caps w:val="0"/>
          <w:color w:val="auto"/>
          <w:spacing w:val="0"/>
          <w:position w:val="0"/>
          <w:highlight w:val="none"/>
          <w:lang w:val="en-US" w:eastAsia="zh-CN"/>
        </w:rPr>
        <w:t>附件16 专家意见和修改清单</w:t>
      </w:r>
      <w:r>
        <w:rPr>
          <w:rFonts w:hint="eastAsia"/>
          <w:caps w:val="0"/>
          <w:color w:val="auto"/>
          <w:spacing w:val="0"/>
          <w:position w:val="0"/>
          <w:highlight w:val="none"/>
          <w:lang w:eastAsia="zh-CN"/>
        </w:rPr>
        <w:tab/>
      </w:r>
    </w:p>
    <w:p w14:paraId="2DE2E03C">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ind w:firstLine="600" w:firstLineChars="200"/>
        <w:jc w:val="center"/>
        <w:textAlignment w:val="auto"/>
        <w:outlineLvl w:val="0"/>
        <w:rPr>
          <w:rFonts w:hint="default" w:ascii="Times New Roman" w:hAnsi="Times New Roman" w:eastAsia="黑体" w:cs="Times New Roman"/>
          <w:caps w:val="0"/>
          <w:snapToGrid w:val="0"/>
          <w:color w:val="auto"/>
          <w:spacing w:val="0"/>
          <w:position w:val="0"/>
          <w:sz w:val="30"/>
          <w:szCs w:val="30"/>
          <w:highlight w:val="none"/>
        </w:rPr>
      </w:pPr>
      <w:bookmarkStart w:id="4" w:name="_Toc11726"/>
      <w:bookmarkStart w:id="5" w:name="_Toc4351"/>
      <w:r>
        <w:rPr>
          <w:rFonts w:hint="default" w:ascii="Times New Roman" w:hAnsi="Times New Roman" w:eastAsia="黑体" w:cs="Times New Roman"/>
          <w:caps w:val="0"/>
          <w:snapToGrid w:val="0"/>
          <w:color w:val="auto"/>
          <w:spacing w:val="0"/>
          <w:position w:val="0"/>
          <w:sz w:val="30"/>
          <w:szCs w:val="30"/>
          <w:highlight w:val="none"/>
        </w:rPr>
        <w:t>一、建设项目基本情况</w:t>
      </w:r>
      <w:bookmarkEnd w:id="0"/>
      <w:bookmarkEnd w:id="1"/>
      <w:bookmarkEnd w:id="4"/>
      <w:bookmarkEnd w:id="5"/>
    </w:p>
    <w:tbl>
      <w:tblPr>
        <w:tblStyle w:val="23"/>
        <w:tblW w:w="5471"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607"/>
        <w:gridCol w:w="2130"/>
        <w:gridCol w:w="1746"/>
        <w:gridCol w:w="3634"/>
      </w:tblGrid>
      <w:tr w14:paraId="4DC634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1" w:type="pct"/>
            <w:noWrap w:val="0"/>
            <w:tcMar>
              <w:top w:w="16" w:type="dxa"/>
              <w:left w:w="16" w:type="dxa"/>
              <w:right w:w="16" w:type="dxa"/>
            </w:tcMar>
            <w:vAlign w:val="center"/>
          </w:tcPr>
          <w:p w14:paraId="51E5AD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建设项目名称</w:t>
            </w:r>
          </w:p>
        </w:tc>
        <w:tc>
          <w:tcPr>
            <w:tcW w:w="4118" w:type="pct"/>
            <w:gridSpan w:val="3"/>
            <w:noWrap w:val="0"/>
            <w:vAlign w:val="center"/>
          </w:tcPr>
          <w:p w14:paraId="4AECB8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aps w:val="0"/>
                <w:color w:val="auto"/>
                <w:spacing w:val="0"/>
                <w:position w:val="0"/>
                <w:sz w:val="24"/>
                <w:szCs w:val="24"/>
                <w:highlight w:val="none"/>
              </w:rPr>
            </w:pPr>
            <w:r>
              <w:rPr>
                <w:rFonts w:hint="eastAsia" w:ascii="Times New Roman" w:hAnsi="Times New Roman" w:eastAsia="宋体" w:cs="Times New Roman"/>
                <w:caps w:val="0"/>
                <w:color w:val="auto"/>
                <w:spacing w:val="0"/>
                <w:position w:val="0"/>
                <w:sz w:val="24"/>
                <w:szCs w:val="24"/>
                <w:highlight w:val="none"/>
                <w:lang w:val="en-US" w:eastAsia="zh-CN"/>
              </w:rPr>
              <w:t>江西腾灏环保科技有限公司发泡砖生产线建设项目</w:t>
            </w:r>
          </w:p>
        </w:tc>
      </w:tr>
      <w:tr w14:paraId="25E0A1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1" w:type="pct"/>
            <w:noWrap w:val="0"/>
            <w:tcMar>
              <w:top w:w="16" w:type="dxa"/>
              <w:left w:w="16" w:type="dxa"/>
              <w:right w:w="16" w:type="dxa"/>
            </w:tcMar>
            <w:vAlign w:val="center"/>
          </w:tcPr>
          <w:p w14:paraId="53CA71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项目代码</w:t>
            </w:r>
          </w:p>
        </w:tc>
        <w:tc>
          <w:tcPr>
            <w:tcW w:w="4118" w:type="pct"/>
            <w:gridSpan w:val="3"/>
            <w:noWrap w:val="0"/>
            <w:vAlign w:val="center"/>
          </w:tcPr>
          <w:p w14:paraId="79DE51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2506-360983-04-01-405966</w:t>
            </w:r>
          </w:p>
        </w:tc>
      </w:tr>
      <w:tr w14:paraId="057F9A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1" w:type="pct"/>
            <w:noWrap w:val="0"/>
            <w:tcMar>
              <w:top w:w="16" w:type="dxa"/>
              <w:left w:w="16" w:type="dxa"/>
              <w:right w:w="16" w:type="dxa"/>
            </w:tcMar>
            <w:vAlign w:val="center"/>
          </w:tcPr>
          <w:p w14:paraId="043EDA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建设单位联系人</w:t>
            </w:r>
          </w:p>
        </w:tc>
        <w:tc>
          <w:tcPr>
            <w:tcW w:w="1168" w:type="pct"/>
            <w:noWrap w:val="0"/>
            <w:vAlign w:val="center"/>
          </w:tcPr>
          <w:p w14:paraId="7DF5BB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aps w:val="0"/>
                <w:color w:val="auto"/>
                <w:spacing w:val="0"/>
                <w:position w:val="0"/>
                <w:sz w:val="24"/>
                <w:szCs w:val="24"/>
                <w:highlight w:val="none"/>
                <w:lang w:val="en-US" w:eastAsia="zh-CN"/>
              </w:rPr>
            </w:pPr>
            <w:r>
              <w:rPr>
                <w:rFonts w:hint="eastAsia" w:cs="Times New Roman"/>
                <w:caps w:val="0"/>
                <w:color w:val="auto"/>
                <w:spacing w:val="0"/>
                <w:position w:val="0"/>
                <w:sz w:val="24"/>
                <w:szCs w:val="24"/>
                <w:highlight w:val="none"/>
                <w:lang w:val="en-US" w:eastAsia="zh-CN"/>
              </w:rPr>
              <w:t>何君保</w:t>
            </w:r>
          </w:p>
        </w:tc>
        <w:tc>
          <w:tcPr>
            <w:tcW w:w="957" w:type="pct"/>
            <w:noWrap w:val="0"/>
            <w:vAlign w:val="center"/>
          </w:tcPr>
          <w:p w14:paraId="2C06F4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联系方式</w:t>
            </w:r>
          </w:p>
        </w:tc>
        <w:tc>
          <w:tcPr>
            <w:tcW w:w="1992" w:type="pct"/>
            <w:noWrap w:val="0"/>
            <w:vAlign w:val="center"/>
          </w:tcPr>
          <w:p w14:paraId="594683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aps w:val="0"/>
                <w:color w:val="auto"/>
                <w:spacing w:val="0"/>
                <w:position w:val="0"/>
                <w:sz w:val="24"/>
                <w:szCs w:val="24"/>
                <w:highlight w:val="none"/>
                <w:lang w:val="en-US" w:eastAsia="zh-CN"/>
              </w:rPr>
            </w:pPr>
            <w:r>
              <w:rPr>
                <w:rFonts w:hint="eastAsia" w:cs="Times New Roman"/>
                <w:caps w:val="0"/>
                <w:color w:val="auto"/>
                <w:spacing w:val="0"/>
                <w:position w:val="0"/>
                <w:sz w:val="24"/>
                <w:szCs w:val="24"/>
                <w:highlight w:val="none"/>
                <w:lang w:val="en-US" w:eastAsia="zh-CN"/>
              </w:rPr>
              <w:t>15180533299</w:t>
            </w:r>
          </w:p>
        </w:tc>
      </w:tr>
      <w:tr w14:paraId="5E0756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1" w:type="pct"/>
            <w:noWrap w:val="0"/>
            <w:tcMar>
              <w:top w:w="16" w:type="dxa"/>
              <w:left w:w="16" w:type="dxa"/>
              <w:right w:w="16" w:type="dxa"/>
            </w:tcMar>
            <w:vAlign w:val="center"/>
          </w:tcPr>
          <w:p w14:paraId="4A6A008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建设地点</w:t>
            </w:r>
          </w:p>
        </w:tc>
        <w:tc>
          <w:tcPr>
            <w:tcW w:w="4118" w:type="pct"/>
            <w:gridSpan w:val="3"/>
            <w:noWrap w:val="0"/>
            <w:vAlign w:val="center"/>
          </w:tcPr>
          <w:p w14:paraId="5B84A2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aps w:val="0"/>
                <w:color w:val="auto"/>
                <w:spacing w:val="0"/>
                <w:position w:val="0"/>
                <w:sz w:val="24"/>
                <w:szCs w:val="24"/>
                <w:highlight w:val="none"/>
                <w:lang w:val="en-US" w:eastAsia="zh-CN"/>
              </w:rPr>
            </w:pPr>
            <w:r>
              <w:rPr>
                <w:rFonts w:hint="eastAsia" w:cs="Times New Roman"/>
                <w:caps w:val="0"/>
                <w:color w:val="auto"/>
                <w:spacing w:val="0"/>
                <w:position w:val="0"/>
                <w:sz w:val="24"/>
                <w:szCs w:val="24"/>
                <w:highlight w:val="none"/>
                <w:lang w:val="en-US" w:eastAsia="zh-CN"/>
              </w:rPr>
              <w:t>江西省宜春市高安市建山镇枫林村(原泰华公司工业广场南面场地)</w:t>
            </w:r>
          </w:p>
        </w:tc>
      </w:tr>
      <w:tr w14:paraId="340FC9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1" w:type="pct"/>
            <w:noWrap w:val="0"/>
            <w:tcMar>
              <w:top w:w="16" w:type="dxa"/>
              <w:left w:w="16" w:type="dxa"/>
              <w:right w:w="16" w:type="dxa"/>
            </w:tcMar>
            <w:vAlign w:val="center"/>
          </w:tcPr>
          <w:p w14:paraId="10BCC7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地理坐标</w:t>
            </w:r>
          </w:p>
        </w:tc>
        <w:tc>
          <w:tcPr>
            <w:tcW w:w="4118" w:type="pct"/>
            <w:gridSpan w:val="3"/>
            <w:noWrap w:val="0"/>
            <w:vAlign w:val="center"/>
          </w:tcPr>
          <w:p w14:paraId="495DC44C">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aps w:val="0"/>
                <w:color w:val="auto"/>
                <w:spacing w:val="0"/>
                <w:position w:val="0"/>
                <w:sz w:val="24"/>
                <w:szCs w:val="24"/>
                <w:highlight w:val="none"/>
              </w:rPr>
            </w:pPr>
            <w:r>
              <w:rPr>
                <w:rFonts w:hint="eastAsia" w:ascii="Times New Roman" w:hAnsi="Times New Roman" w:cs="Times New Roman"/>
                <w:caps w:val="0"/>
                <w:color w:val="auto"/>
                <w:spacing w:val="0"/>
                <w:position w:val="0"/>
                <w:sz w:val="24"/>
                <w:szCs w:val="21"/>
                <w:highlight w:val="none"/>
                <w:lang w:eastAsia="zh-CN"/>
              </w:rPr>
              <w:t>东经：</w:t>
            </w:r>
            <w:r>
              <w:rPr>
                <w:rFonts w:hint="eastAsia" w:ascii="Times New Roman" w:hAnsi="Times New Roman" w:cs="Times New Roman"/>
                <w:caps w:val="0"/>
                <w:color w:val="auto"/>
                <w:spacing w:val="0"/>
                <w:position w:val="0"/>
                <w:sz w:val="24"/>
                <w:szCs w:val="21"/>
                <w:highlight w:val="none"/>
                <w:u w:val="single"/>
                <w:lang w:val="en-US" w:eastAsia="zh-CN"/>
              </w:rPr>
              <w:t>11</w:t>
            </w:r>
            <w:r>
              <w:rPr>
                <w:rFonts w:hint="eastAsia" w:cs="Times New Roman"/>
                <w:caps w:val="0"/>
                <w:color w:val="auto"/>
                <w:spacing w:val="0"/>
                <w:position w:val="0"/>
                <w:sz w:val="24"/>
                <w:szCs w:val="21"/>
                <w:highlight w:val="none"/>
                <w:u w:val="single"/>
                <w:lang w:val="en-US" w:eastAsia="zh-CN"/>
              </w:rPr>
              <w:t>5</w:t>
            </w:r>
            <w:r>
              <w:rPr>
                <w:rFonts w:hint="eastAsia" w:ascii="Times New Roman" w:hAnsi="Times New Roman" w:cs="Times New Roman"/>
                <w:caps w:val="0"/>
                <w:color w:val="auto"/>
                <w:spacing w:val="0"/>
                <w:position w:val="0"/>
                <w:sz w:val="24"/>
                <w:szCs w:val="21"/>
                <w:highlight w:val="none"/>
                <w:lang w:eastAsia="zh-CN"/>
              </w:rPr>
              <w:t>度</w:t>
            </w:r>
            <w:r>
              <w:rPr>
                <w:rFonts w:hint="eastAsia" w:cs="Times New Roman"/>
                <w:caps w:val="0"/>
                <w:color w:val="auto"/>
                <w:spacing w:val="0"/>
                <w:position w:val="0"/>
                <w:sz w:val="24"/>
                <w:szCs w:val="21"/>
                <w:highlight w:val="none"/>
                <w:u w:val="single"/>
                <w:lang w:val="en-US" w:eastAsia="zh-CN"/>
              </w:rPr>
              <w:t>11</w:t>
            </w:r>
            <w:r>
              <w:rPr>
                <w:rFonts w:hint="eastAsia" w:ascii="Times New Roman" w:hAnsi="Times New Roman" w:cs="Times New Roman"/>
                <w:caps w:val="0"/>
                <w:color w:val="auto"/>
                <w:spacing w:val="0"/>
                <w:position w:val="0"/>
                <w:sz w:val="24"/>
                <w:szCs w:val="21"/>
                <w:highlight w:val="none"/>
                <w:lang w:eastAsia="zh-CN"/>
              </w:rPr>
              <w:t>分</w:t>
            </w:r>
            <w:r>
              <w:rPr>
                <w:rFonts w:hint="eastAsia" w:cs="Times New Roman"/>
                <w:caps w:val="0"/>
                <w:color w:val="auto"/>
                <w:spacing w:val="0"/>
                <w:position w:val="0"/>
                <w:sz w:val="24"/>
                <w:szCs w:val="21"/>
                <w:highlight w:val="none"/>
                <w:u w:val="single"/>
                <w:lang w:val="en-US" w:eastAsia="zh-CN"/>
              </w:rPr>
              <w:t>8.874</w:t>
            </w:r>
            <w:r>
              <w:rPr>
                <w:rFonts w:hint="eastAsia" w:ascii="Times New Roman" w:hAnsi="Times New Roman" w:cs="Times New Roman"/>
                <w:caps w:val="0"/>
                <w:color w:val="auto"/>
                <w:spacing w:val="0"/>
                <w:position w:val="0"/>
                <w:sz w:val="24"/>
                <w:szCs w:val="21"/>
                <w:highlight w:val="none"/>
                <w:lang w:eastAsia="zh-CN"/>
              </w:rPr>
              <w:t>秒；北纬：</w:t>
            </w:r>
            <w:r>
              <w:rPr>
                <w:rFonts w:hint="eastAsia" w:cs="Times New Roman"/>
                <w:caps w:val="0"/>
                <w:color w:val="auto"/>
                <w:spacing w:val="0"/>
                <w:position w:val="0"/>
                <w:sz w:val="24"/>
                <w:szCs w:val="21"/>
                <w:highlight w:val="none"/>
                <w:u w:val="single"/>
                <w:lang w:val="en-US" w:eastAsia="zh-CN"/>
              </w:rPr>
              <w:t>28</w:t>
            </w:r>
            <w:r>
              <w:rPr>
                <w:rFonts w:hint="eastAsia" w:ascii="Times New Roman" w:hAnsi="Times New Roman" w:cs="Times New Roman"/>
                <w:caps w:val="0"/>
                <w:color w:val="auto"/>
                <w:spacing w:val="0"/>
                <w:position w:val="0"/>
                <w:sz w:val="24"/>
                <w:szCs w:val="21"/>
                <w:highlight w:val="none"/>
                <w:lang w:eastAsia="zh-CN"/>
              </w:rPr>
              <w:t>度</w:t>
            </w:r>
            <w:r>
              <w:rPr>
                <w:rFonts w:hint="eastAsia" w:cs="Times New Roman"/>
                <w:caps w:val="0"/>
                <w:color w:val="auto"/>
                <w:spacing w:val="0"/>
                <w:position w:val="0"/>
                <w:sz w:val="24"/>
                <w:szCs w:val="21"/>
                <w:highlight w:val="none"/>
                <w:u w:val="single"/>
                <w:lang w:val="en-US" w:eastAsia="zh-CN"/>
              </w:rPr>
              <w:t>6</w:t>
            </w:r>
            <w:r>
              <w:rPr>
                <w:rFonts w:hint="eastAsia" w:ascii="Times New Roman" w:hAnsi="Times New Roman" w:cs="Times New Roman"/>
                <w:caps w:val="0"/>
                <w:color w:val="auto"/>
                <w:spacing w:val="0"/>
                <w:position w:val="0"/>
                <w:sz w:val="24"/>
                <w:szCs w:val="21"/>
                <w:highlight w:val="none"/>
                <w:lang w:eastAsia="zh-CN"/>
              </w:rPr>
              <w:t>分</w:t>
            </w:r>
            <w:r>
              <w:rPr>
                <w:rFonts w:hint="eastAsia" w:cs="Times New Roman"/>
                <w:caps w:val="0"/>
                <w:color w:val="auto"/>
                <w:spacing w:val="0"/>
                <w:position w:val="0"/>
                <w:sz w:val="24"/>
                <w:szCs w:val="21"/>
                <w:highlight w:val="none"/>
                <w:u w:val="single"/>
                <w:lang w:val="en-US" w:eastAsia="zh-CN"/>
              </w:rPr>
              <w:t>43.259</w:t>
            </w:r>
            <w:r>
              <w:rPr>
                <w:rFonts w:hint="eastAsia" w:ascii="Times New Roman" w:hAnsi="Times New Roman" w:cs="Times New Roman"/>
                <w:caps w:val="0"/>
                <w:color w:val="auto"/>
                <w:spacing w:val="0"/>
                <w:position w:val="0"/>
                <w:sz w:val="24"/>
                <w:szCs w:val="21"/>
                <w:highlight w:val="none"/>
                <w:lang w:eastAsia="zh-CN"/>
              </w:rPr>
              <w:t>秒</w:t>
            </w:r>
          </w:p>
        </w:tc>
      </w:tr>
      <w:tr w14:paraId="65592E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881" w:type="pct"/>
            <w:noWrap w:val="0"/>
            <w:tcMar>
              <w:top w:w="16" w:type="dxa"/>
              <w:left w:w="16" w:type="dxa"/>
              <w:right w:w="16" w:type="dxa"/>
            </w:tcMar>
            <w:vAlign w:val="center"/>
          </w:tcPr>
          <w:p w14:paraId="4704D4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国民经济</w:t>
            </w:r>
          </w:p>
          <w:p w14:paraId="1B6247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行业类别</w:t>
            </w:r>
          </w:p>
        </w:tc>
        <w:tc>
          <w:tcPr>
            <w:tcW w:w="1168" w:type="pct"/>
            <w:noWrap w:val="0"/>
            <w:vAlign w:val="center"/>
          </w:tcPr>
          <w:p w14:paraId="6E78A2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aps w:val="0"/>
                <w:color w:val="auto"/>
                <w:spacing w:val="0"/>
                <w:position w:val="0"/>
                <w:sz w:val="24"/>
                <w:szCs w:val="24"/>
                <w:highlight w:val="none"/>
                <w:lang w:val="en-US" w:eastAsia="zh-CN"/>
              </w:rPr>
            </w:pPr>
            <w:r>
              <w:rPr>
                <w:rFonts w:hint="eastAsia" w:ascii="Times New Roman" w:hAnsi="Times New Roman" w:eastAsia="宋体" w:cs="宋体"/>
                <w:caps w:val="0"/>
                <w:color w:val="auto"/>
                <w:spacing w:val="0"/>
                <w:kern w:val="21"/>
                <w:position w:val="0"/>
                <w:sz w:val="24"/>
                <w:szCs w:val="21"/>
                <w:highlight w:val="none"/>
                <w:lang w:val="en-US" w:eastAsia="zh-CN"/>
              </w:rPr>
              <w:t>C3031粘土砖瓦及建筑砌块制造</w:t>
            </w:r>
            <w:r>
              <w:rPr>
                <w:rFonts w:hint="eastAsia" w:cs="宋体"/>
                <w:caps w:val="0"/>
                <w:color w:val="auto"/>
                <w:spacing w:val="0"/>
                <w:kern w:val="21"/>
                <w:position w:val="0"/>
                <w:sz w:val="24"/>
                <w:szCs w:val="21"/>
                <w:highlight w:val="none"/>
                <w:lang w:val="en-US" w:eastAsia="zh-CN"/>
              </w:rPr>
              <w:t>、</w:t>
            </w:r>
            <w:r>
              <w:rPr>
                <w:rFonts w:hint="eastAsia"/>
                <w:caps w:val="0"/>
                <w:color w:val="auto"/>
                <w:spacing w:val="0"/>
                <w:position w:val="0"/>
                <w:highlight w:val="none"/>
                <w:lang w:val="en-US" w:eastAsia="zh-CN"/>
              </w:rPr>
              <w:t>N7723固体废物治理</w:t>
            </w:r>
          </w:p>
        </w:tc>
        <w:tc>
          <w:tcPr>
            <w:tcW w:w="957" w:type="pct"/>
            <w:noWrap w:val="0"/>
            <w:vAlign w:val="center"/>
          </w:tcPr>
          <w:p w14:paraId="6803FC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建设项目</w:t>
            </w:r>
            <w:r>
              <w:rPr>
                <w:rFonts w:hint="eastAsia" w:cs="Times New Roman"/>
                <w:b/>
                <w:bCs/>
                <w:caps w:val="0"/>
                <w:color w:val="auto"/>
                <w:spacing w:val="0"/>
                <w:position w:val="0"/>
                <w:sz w:val="24"/>
                <w:szCs w:val="24"/>
                <w:highlight w:val="none"/>
                <w:lang w:val="en-US" w:eastAsia="zh-CN"/>
              </w:rPr>
              <w:t>与</w:t>
            </w:r>
            <w:r>
              <w:rPr>
                <w:rFonts w:hint="default" w:ascii="Times New Roman" w:hAnsi="Times New Roman" w:eastAsia="宋体" w:cs="Times New Roman"/>
                <w:b/>
                <w:bCs/>
                <w:caps w:val="0"/>
                <w:color w:val="auto"/>
                <w:spacing w:val="0"/>
                <w:position w:val="0"/>
                <w:sz w:val="24"/>
                <w:szCs w:val="24"/>
                <w:highlight w:val="none"/>
              </w:rPr>
              <w:t>行业类别</w:t>
            </w:r>
          </w:p>
        </w:tc>
        <w:tc>
          <w:tcPr>
            <w:tcW w:w="1992" w:type="pct"/>
            <w:noWrap w:val="0"/>
            <w:vAlign w:val="center"/>
          </w:tcPr>
          <w:p w14:paraId="1C04A2D7">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二十七、非金属矿物制品业-56砖瓦、石材等建筑材料制造303-粘土砖瓦及建筑砌块制造、其他建筑材料制造；</w:t>
            </w:r>
          </w:p>
          <w:p w14:paraId="76137B36">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caps w:val="0"/>
                <w:color w:val="auto"/>
                <w:spacing w:val="0"/>
                <w:position w:val="0"/>
                <w:sz w:val="24"/>
                <w:szCs w:val="24"/>
                <w:highlight w:val="none"/>
                <w:lang w:val="en-US" w:eastAsia="zh-CN"/>
              </w:rPr>
            </w:pPr>
            <w:r>
              <w:rPr>
                <w:rFonts w:hint="default"/>
                <w:caps w:val="0"/>
                <w:color w:val="auto"/>
                <w:spacing w:val="0"/>
                <w:position w:val="0"/>
                <w:highlight w:val="none"/>
                <w:lang w:val="en-US" w:eastAsia="zh-CN"/>
              </w:rPr>
              <w:t>四十七、生态保护和环境治理业-103一般工业固体废物（含污水处理污泥）、建筑施工废弃物处置及综合利用-其他</w:t>
            </w:r>
          </w:p>
        </w:tc>
      </w:tr>
      <w:tr w14:paraId="4CE4D3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881" w:type="pct"/>
            <w:noWrap w:val="0"/>
            <w:tcMar>
              <w:top w:w="16" w:type="dxa"/>
              <w:left w:w="16" w:type="dxa"/>
              <w:right w:w="16" w:type="dxa"/>
            </w:tcMar>
            <w:vAlign w:val="center"/>
          </w:tcPr>
          <w:p w14:paraId="165E63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建设性质</w:t>
            </w:r>
          </w:p>
        </w:tc>
        <w:tc>
          <w:tcPr>
            <w:tcW w:w="1168" w:type="pct"/>
            <w:noWrap w:val="0"/>
            <w:vAlign w:val="center"/>
          </w:tcPr>
          <w:p w14:paraId="13D293C8">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caps w:val="0"/>
                <w:color w:val="auto"/>
                <w:spacing w:val="0"/>
                <w:position w:val="0"/>
                <w:sz w:val="24"/>
                <w:szCs w:val="24"/>
                <w:highlight w:val="none"/>
              </w:rPr>
              <w:sym w:font="Wingdings 2" w:char="0052"/>
            </w:r>
            <w:r>
              <w:rPr>
                <w:rFonts w:hint="default" w:ascii="Times New Roman" w:hAnsi="Times New Roman" w:eastAsia="宋体" w:cs="Times New Roman"/>
                <w:caps w:val="0"/>
                <w:color w:val="auto"/>
                <w:spacing w:val="0"/>
                <w:position w:val="0"/>
                <w:sz w:val="24"/>
                <w:szCs w:val="24"/>
                <w:highlight w:val="none"/>
              </w:rPr>
              <w:t>新建（迁建）</w:t>
            </w:r>
          </w:p>
          <w:p w14:paraId="776E94C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caps w:val="0"/>
                <w:color w:val="auto"/>
                <w:spacing w:val="0"/>
                <w:position w:val="0"/>
                <w:sz w:val="24"/>
                <w:szCs w:val="24"/>
                <w:highlight w:val="none"/>
              </w:rPr>
              <w:sym w:font="Wingdings 2" w:char="00A3"/>
            </w:r>
            <w:r>
              <w:rPr>
                <w:rFonts w:hint="default" w:ascii="Times New Roman" w:hAnsi="Times New Roman" w:eastAsia="宋体" w:cs="Times New Roman"/>
                <w:caps w:val="0"/>
                <w:color w:val="auto"/>
                <w:spacing w:val="0"/>
                <w:position w:val="0"/>
                <w:sz w:val="24"/>
                <w:szCs w:val="24"/>
                <w:highlight w:val="none"/>
              </w:rPr>
              <w:t>改建</w:t>
            </w:r>
          </w:p>
          <w:p w14:paraId="1FFD232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caps w:val="0"/>
                <w:color w:val="auto"/>
                <w:spacing w:val="0"/>
                <w:position w:val="0"/>
                <w:sz w:val="24"/>
                <w:szCs w:val="24"/>
                <w:highlight w:val="none"/>
              </w:rPr>
              <w:sym w:font="Wingdings 2" w:char="00A3"/>
            </w:r>
            <w:r>
              <w:rPr>
                <w:rFonts w:hint="default" w:ascii="Times New Roman" w:hAnsi="Times New Roman" w:eastAsia="宋体" w:cs="Times New Roman"/>
                <w:caps w:val="0"/>
                <w:color w:val="auto"/>
                <w:spacing w:val="0"/>
                <w:position w:val="0"/>
                <w:sz w:val="24"/>
                <w:szCs w:val="24"/>
                <w:highlight w:val="none"/>
              </w:rPr>
              <w:t>扩建</w:t>
            </w:r>
          </w:p>
          <w:p w14:paraId="6B97D4EB">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caps w:val="0"/>
                <w:color w:val="auto"/>
                <w:spacing w:val="0"/>
                <w:position w:val="0"/>
                <w:sz w:val="24"/>
                <w:szCs w:val="24"/>
                <w:highlight w:val="none"/>
              </w:rPr>
              <w:sym w:font="Wingdings 2" w:char="00A3"/>
            </w:r>
            <w:r>
              <w:rPr>
                <w:rFonts w:hint="default" w:ascii="Times New Roman" w:hAnsi="Times New Roman" w:eastAsia="宋体" w:cs="Times New Roman"/>
                <w:caps w:val="0"/>
                <w:color w:val="auto"/>
                <w:spacing w:val="0"/>
                <w:position w:val="0"/>
                <w:sz w:val="24"/>
                <w:szCs w:val="24"/>
                <w:highlight w:val="none"/>
              </w:rPr>
              <w:t>技术改造</w:t>
            </w:r>
          </w:p>
        </w:tc>
        <w:tc>
          <w:tcPr>
            <w:tcW w:w="957" w:type="pct"/>
            <w:noWrap w:val="0"/>
            <w:vAlign w:val="center"/>
          </w:tcPr>
          <w:p w14:paraId="75081A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建设项目</w:t>
            </w:r>
          </w:p>
          <w:p w14:paraId="556D55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申报情形</w:t>
            </w:r>
          </w:p>
        </w:tc>
        <w:tc>
          <w:tcPr>
            <w:tcW w:w="1992" w:type="pct"/>
            <w:noWrap w:val="0"/>
            <w:vAlign w:val="center"/>
          </w:tcPr>
          <w:p w14:paraId="55752F91">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caps w:val="0"/>
                <w:color w:val="auto"/>
                <w:spacing w:val="0"/>
                <w:position w:val="0"/>
                <w:sz w:val="24"/>
                <w:szCs w:val="24"/>
                <w:highlight w:val="none"/>
              </w:rPr>
              <w:sym w:font="Wingdings 2" w:char="0052"/>
            </w:r>
            <w:r>
              <w:rPr>
                <w:rFonts w:hint="default" w:ascii="Times New Roman" w:hAnsi="Times New Roman" w:eastAsia="宋体" w:cs="Times New Roman"/>
                <w:caps w:val="0"/>
                <w:color w:val="auto"/>
                <w:spacing w:val="0"/>
                <w:position w:val="0"/>
                <w:sz w:val="24"/>
                <w:szCs w:val="24"/>
                <w:highlight w:val="none"/>
              </w:rPr>
              <w:t>首次申报项目</w:t>
            </w:r>
          </w:p>
          <w:p w14:paraId="09FA6FA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caps w:val="0"/>
                <w:color w:val="auto"/>
                <w:spacing w:val="0"/>
                <w:position w:val="0"/>
                <w:sz w:val="24"/>
                <w:szCs w:val="24"/>
                <w:highlight w:val="none"/>
              </w:rPr>
              <w:sym w:font="Wingdings 2" w:char="00A3"/>
            </w:r>
            <w:r>
              <w:rPr>
                <w:rFonts w:hint="default" w:ascii="Times New Roman" w:hAnsi="Times New Roman" w:eastAsia="宋体" w:cs="Times New Roman"/>
                <w:caps w:val="0"/>
                <w:color w:val="auto"/>
                <w:spacing w:val="0"/>
                <w:position w:val="0"/>
                <w:sz w:val="24"/>
                <w:szCs w:val="24"/>
                <w:highlight w:val="none"/>
              </w:rPr>
              <w:t>不予批准后再次申报项目</w:t>
            </w:r>
          </w:p>
          <w:p w14:paraId="4707C15E">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caps w:val="0"/>
                <w:color w:val="auto"/>
                <w:spacing w:val="0"/>
                <w:position w:val="0"/>
                <w:sz w:val="24"/>
                <w:szCs w:val="24"/>
                <w:highlight w:val="none"/>
              </w:rPr>
              <w:sym w:font="Wingdings 2" w:char="00A3"/>
            </w:r>
            <w:r>
              <w:rPr>
                <w:rFonts w:hint="default" w:ascii="Times New Roman" w:hAnsi="Times New Roman" w:eastAsia="宋体" w:cs="Times New Roman"/>
                <w:caps w:val="0"/>
                <w:color w:val="auto"/>
                <w:spacing w:val="0"/>
                <w:position w:val="0"/>
                <w:sz w:val="24"/>
                <w:szCs w:val="24"/>
                <w:highlight w:val="none"/>
              </w:rPr>
              <w:t>超五年重新审核项目</w:t>
            </w:r>
          </w:p>
          <w:p w14:paraId="28F6F1E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caps w:val="0"/>
                <w:color w:val="auto"/>
                <w:spacing w:val="0"/>
                <w:position w:val="0"/>
                <w:sz w:val="24"/>
                <w:szCs w:val="24"/>
                <w:highlight w:val="none"/>
              </w:rPr>
              <w:sym w:font="Wingdings 2" w:char="00A3"/>
            </w:r>
            <w:r>
              <w:rPr>
                <w:rFonts w:hint="default" w:ascii="Times New Roman" w:hAnsi="Times New Roman" w:eastAsia="宋体" w:cs="Times New Roman"/>
                <w:caps w:val="0"/>
                <w:color w:val="auto"/>
                <w:spacing w:val="0"/>
                <w:position w:val="0"/>
                <w:sz w:val="24"/>
                <w:szCs w:val="24"/>
                <w:highlight w:val="none"/>
              </w:rPr>
              <w:t>重大变动重新报批项目</w:t>
            </w:r>
          </w:p>
        </w:tc>
      </w:tr>
      <w:tr w14:paraId="7F38AA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881" w:type="pct"/>
            <w:noWrap w:val="0"/>
            <w:tcMar>
              <w:top w:w="16" w:type="dxa"/>
              <w:left w:w="16" w:type="dxa"/>
              <w:right w:w="16" w:type="dxa"/>
            </w:tcMar>
            <w:vAlign w:val="center"/>
          </w:tcPr>
          <w:p w14:paraId="2D7BD1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项目审批（核准/备案）部门（选填）</w:t>
            </w:r>
          </w:p>
        </w:tc>
        <w:tc>
          <w:tcPr>
            <w:tcW w:w="1168" w:type="pct"/>
            <w:noWrap w:val="0"/>
            <w:vAlign w:val="center"/>
          </w:tcPr>
          <w:p w14:paraId="642AEB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aps w:val="0"/>
                <w:color w:val="auto"/>
                <w:spacing w:val="0"/>
                <w:position w:val="0"/>
                <w:sz w:val="24"/>
                <w:szCs w:val="24"/>
                <w:highlight w:val="none"/>
                <w:lang w:val="en-US" w:eastAsia="zh-CN"/>
              </w:rPr>
            </w:pPr>
            <w:r>
              <w:rPr>
                <w:rFonts w:hint="eastAsia" w:cs="Times New Roman"/>
                <w:caps w:val="0"/>
                <w:color w:val="auto"/>
                <w:spacing w:val="0"/>
                <w:position w:val="0"/>
                <w:sz w:val="24"/>
                <w:szCs w:val="24"/>
                <w:highlight w:val="none"/>
                <w:lang w:val="en-US" w:eastAsia="zh-CN"/>
              </w:rPr>
              <w:t>高安市行政审批局</w:t>
            </w:r>
          </w:p>
        </w:tc>
        <w:tc>
          <w:tcPr>
            <w:tcW w:w="957" w:type="pct"/>
            <w:noWrap w:val="0"/>
            <w:vAlign w:val="center"/>
          </w:tcPr>
          <w:p w14:paraId="7F167A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项目审批（核准/</w:t>
            </w:r>
          </w:p>
          <w:p w14:paraId="45B2C9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备案）文号（选填）</w:t>
            </w:r>
          </w:p>
        </w:tc>
        <w:tc>
          <w:tcPr>
            <w:tcW w:w="1992" w:type="pct"/>
            <w:noWrap w:val="0"/>
            <w:vAlign w:val="center"/>
          </w:tcPr>
          <w:p w14:paraId="60E5CB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aps w:val="0"/>
                <w:color w:val="auto"/>
                <w:spacing w:val="0"/>
                <w:position w:val="0"/>
                <w:sz w:val="24"/>
                <w:szCs w:val="24"/>
                <w:highlight w:val="none"/>
                <w:lang w:val="en-US" w:eastAsia="zh-CN"/>
              </w:rPr>
            </w:pPr>
            <w:r>
              <w:rPr>
                <w:rFonts w:hint="default" w:ascii="Times New Roman" w:hAnsi="Times New Roman" w:cs="Times New Roman"/>
                <w:caps w:val="0"/>
                <w:color w:val="auto"/>
                <w:spacing w:val="0"/>
                <w:position w:val="0"/>
                <w:sz w:val="24"/>
                <w:highlight w:val="none"/>
                <w:lang w:val="en-US" w:eastAsia="zh-CN"/>
              </w:rPr>
              <w:t>/</w:t>
            </w:r>
          </w:p>
        </w:tc>
      </w:tr>
      <w:tr w14:paraId="1B0B4B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1" w:type="pct"/>
            <w:noWrap w:val="0"/>
            <w:tcMar>
              <w:top w:w="16" w:type="dxa"/>
              <w:left w:w="16" w:type="dxa"/>
              <w:right w:w="16" w:type="dxa"/>
            </w:tcMar>
            <w:vAlign w:val="center"/>
          </w:tcPr>
          <w:p w14:paraId="7B8E60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总投资（万元）</w:t>
            </w:r>
          </w:p>
        </w:tc>
        <w:tc>
          <w:tcPr>
            <w:tcW w:w="1168" w:type="pct"/>
            <w:noWrap w:val="0"/>
            <w:vAlign w:val="center"/>
          </w:tcPr>
          <w:p w14:paraId="050F9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aps w:val="0"/>
                <w:color w:val="auto"/>
                <w:spacing w:val="0"/>
                <w:position w:val="0"/>
                <w:sz w:val="24"/>
                <w:szCs w:val="24"/>
                <w:highlight w:val="none"/>
                <w:lang w:val="en-US" w:eastAsia="zh-CN"/>
              </w:rPr>
            </w:pPr>
            <w:r>
              <w:rPr>
                <w:rFonts w:hint="eastAsia" w:cs="Times New Roman"/>
                <w:caps w:val="0"/>
                <w:color w:val="auto"/>
                <w:spacing w:val="0"/>
                <w:position w:val="0"/>
                <w:sz w:val="24"/>
                <w:szCs w:val="24"/>
                <w:highlight w:val="none"/>
                <w:lang w:val="en-US" w:eastAsia="zh-CN"/>
              </w:rPr>
              <w:t>650</w:t>
            </w:r>
          </w:p>
        </w:tc>
        <w:tc>
          <w:tcPr>
            <w:tcW w:w="957" w:type="pct"/>
            <w:noWrap w:val="0"/>
            <w:tcMar>
              <w:top w:w="16" w:type="dxa"/>
              <w:left w:w="16" w:type="dxa"/>
              <w:right w:w="16" w:type="dxa"/>
            </w:tcMar>
            <w:vAlign w:val="center"/>
          </w:tcPr>
          <w:p w14:paraId="688A7C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环保投资（万元）</w:t>
            </w:r>
          </w:p>
        </w:tc>
        <w:tc>
          <w:tcPr>
            <w:tcW w:w="1992" w:type="pct"/>
            <w:noWrap w:val="0"/>
            <w:vAlign w:val="center"/>
          </w:tcPr>
          <w:p w14:paraId="5AE3C3F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aps w:val="0"/>
                <w:color w:val="auto"/>
                <w:spacing w:val="0"/>
                <w:position w:val="0"/>
                <w:sz w:val="24"/>
                <w:szCs w:val="24"/>
                <w:highlight w:val="none"/>
                <w:lang w:val="en-US" w:eastAsia="zh-CN"/>
              </w:rPr>
            </w:pPr>
            <w:r>
              <w:rPr>
                <w:rFonts w:hint="eastAsia"/>
                <w:caps w:val="0"/>
                <w:color w:val="auto"/>
                <w:spacing w:val="0"/>
                <w:position w:val="0"/>
                <w:highlight w:val="none"/>
                <w:lang w:val="en-US" w:eastAsia="zh-CN"/>
              </w:rPr>
              <w:t>100</w:t>
            </w:r>
          </w:p>
        </w:tc>
      </w:tr>
      <w:tr w14:paraId="73731F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1" w:type="pct"/>
            <w:noWrap w:val="0"/>
            <w:tcMar>
              <w:top w:w="16" w:type="dxa"/>
              <w:left w:w="16" w:type="dxa"/>
              <w:right w:w="16" w:type="dxa"/>
            </w:tcMar>
            <w:vAlign w:val="center"/>
          </w:tcPr>
          <w:p w14:paraId="39441D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环保投资占比（%）</w:t>
            </w:r>
          </w:p>
        </w:tc>
        <w:tc>
          <w:tcPr>
            <w:tcW w:w="1168" w:type="pct"/>
            <w:noWrap w:val="0"/>
            <w:vAlign w:val="center"/>
          </w:tcPr>
          <w:p w14:paraId="57DDB2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aps w:val="0"/>
                <w:color w:val="auto"/>
                <w:spacing w:val="0"/>
                <w:position w:val="0"/>
                <w:sz w:val="24"/>
                <w:szCs w:val="24"/>
                <w:highlight w:val="none"/>
                <w:lang w:val="en-US" w:eastAsia="zh-CN"/>
              </w:rPr>
            </w:pPr>
            <w:r>
              <w:rPr>
                <w:rFonts w:hint="eastAsia" w:cs="Times New Roman"/>
                <w:caps w:val="0"/>
                <w:color w:val="auto"/>
                <w:spacing w:val="0"/>
                <w:position w:val="0"/>
                <w:sz w:val="24"/>
                <w:szCs w:val="24"/>
                <w:highlight w:val="none"/>
                <w:lang w:val="en-US" w:eastAsia="zh-CN"/>
              </w:rPr>
              <w:t>15.4</w:t>
            </w:r>
          </w:p>
        </w:tc>
        <w:tc>
          <w:tcPr>
            <w:tcW w:w="957" w:type="pct"/>
            <w:noWrap w:val="0"/>
            <w:tcMar>
              <w:top w:w="16" w:type="dxa"/>
              <w:left w:w="16" w:type="dxa"/>
              <w:right w:w="16" w:type="dxa"/>
            </w:tcMar>
            <w:vAlign w:val="center"/>
          </w:tcPr>
          <w:p w14:paraId="0C1EA9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施工工期</w:t>
            </w:r>
          </w:p>
        </w:tc>
        <w:tc>
          <w:tcPr>
            <w:tcW w:w="1992" w:type="pct"/>
            <w:noWrap w:val="0"/>
            <w:vAlign w:val="center"/>
          </w:tcPr>
          <w:p w14:paraId="1D13CB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aps w:val="0"/>
                <w:color w:val="auto"/>
                <w:spacing w:val="0"/>
                <w:position w:val="0"/>
                <w:sz w:val="24"/>
                <w:szCs w:val="24"/>
                <w:highlight w:val="none"/>
                <w:lang w:val="en-US" w:eastAsia="zh-CN"/>
              </w:rPr>
            </w:pPr>
            <w:r>
              <w:rPr>
                <w:rFonts w:hint="eastAsia" w:eastAsia="宋体" w:cs="Times New Roman"/>
                <w:caps w:val="0"/>
                <w:color w:val="auto"/>
                <w:spacing w:val="0"/>
                <w:position w:val="0"/>
                <w:sz w:val="24"/>
                <w:szCs w:val="24"/>
                <w:highlight w:val="none"/>
                <w:lang w:val="en-US" w:eastAsia="zh-CN"/>
              </w:rPr>
              <w:t>3个月</w:t>
            </w:r>
          </w:p>
        </w:tc>
      </w:tr>
      <w:tr w14:paraId="506EC1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1" w:type="pct"/>
            <w:noWrap w:val="0"/>
            <w:tcMar>
              <w:top w:w="16" w:type="dxa"/>
              <w:left w:w="16" w:type="dxa"/>
              <w:right w:w="16" w:type="dxa"/>
            </w:tcMar>
            <w:vAlign w:val="center"/>
          </w:tcPr>
          <w:p w14:paraId="6E1D0E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是否开工建设</w:t>
            </w:r>
          </w:p>
        </w:tc>
        <w:tc>
          <w:tcPr>
            <w:tcW w:w="1168" w:type="pct"/>
            <w:noWrap w:val="0"/>
            <w:vAlign w:val="center"/>
          </w:tcPr>
          <w:p w14:paraId="5F81F0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caps w:val="0"/>
                <w:color w:val="auto"/>
                <w:spacing w:val="0"/>
                <w:position w:val="0"/>
                <w:sz w:val="24"/>
                <w:szCs w:val="24"/>
                <w:highlight w:val="none"/>
              </w:rPr>
              <w:sym w:font="Wingdings 2" w:char="0052"/>
            </w:r>
            <w:r>
              <w:rPr>
                <w:rFonts w:hint="default" w:ascii="Times New Roman" w:hAnsi="Times New Roman" w:eastAsia="宋体" w:cs="Times New Roman"/>
                <w:caps w:val="0"/>
                <w:color w:val="auto"/>
                <w:spacing w:val="0"/>
                <w:position w:val="0"/>
                <w:sz w:val="24"/>
                <w:szCs w:val="24"/>
                <w:highlight w:val="none"/>
              </w:rPr>
              <w:t>否</w:t>
            </w:r>
          </w:p>
          <w:p w14:paraId="497A8D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caps w:val="0"/>
                <w:color w:val="auto"/>
                <w:spacing w:val="0"/>
                <w:position w:val="0"/>
                <w:sz w:val="24"/>
                <w:szCs w:val="24"/>
                <w:highlight w:val="none"/>
                <w:lang w:val="en-US" w:eastAsia="zh-CN"/>
              </w:rPr>
            </w:pPr>
            <w:r>
              <w:rPr>
                <w:rFonts w:hint="default" w:ascii="Times New Roman" w:hAnsi="Times New Roman" w:eastAsia="宋体" w:cs="Times New Roman"/>
                <w:caps w:val="0"/>
                <w:color w:val="auto"/>
                <w:spacing w:val="0"/>
                <w:position w:val="0"/>
                <w:sz w:val="24"/>
                <w:szCs w:val="24"/>
                <w:highlight w:val="none"/>
              </w:rPr>
              <w:sym w:font="Wingdings 2" w:char="00A3"/>
            </w:r>
            <w:r>
              <w:rPr>
                <w:rFonts w:hint="default" w:ascii="Times New Roman" w:hAnsi="Times New Roman" w:eastAsia="宋体" w:cs="Times New Roman"/>
                <w:caps w:val="0"/>
                <w:color w:val="auto"/>
                <w:spacing w:val="0"/>
                <w:position w:val="0"/>
                <w:sz w:val="24"/>
                <w:szCs w:val="24"/>
                <w:highlight w:val="none"/>
              </w:rPr>
              <w:t>是：</w:t>
            </w:r>
            <w:r>
              <w:rPr>
                <w:rFonts w:hint="eastAsia" w:eastAsia="宋体" w:cs="Times New Roman"/>
                <w:caps w:val="0"/>
                <w:color w:val="auto"/>
                <w:spacing w:val="0"/>
                <w:position w:val="0"/>
                <w:sz w:val="24"/>
                <w:szCs w:val="24"/>
                <w:highlight w:val="none"/>
                <w:u w:val="single"/>
                <w:lang w:val="en-US" w:eastAsia="zh-CN"/>
              </w:rPr>
              <w:t xml:space="preserve">          </w:t>
            </w:r>
          </w:p>
        </w:tc>
        <w:tc>
          <w:tcPr>
            <w:tcW w:w="957" w:type="pct"/>
            <w:noWrap w:val="0"/>
            <w:tcMar>
              <w:top w:w="16" w:type="dxa"/>
              <w:left w:w="16" w:type="dxa"/>
              <w:right w:w="16" w:type="dxa"/>
            </w:tcMar>
            <w:vAlign w:val="center"/>
          </w:tcPr>
          <w:p w14:paraId="0C37C8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用地（用海）</w:t>
            </w:r>
          </w:p>
          <w:p w14:paraId="034AC69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面积（m</w:t>
            </w:r>
            <w:r>
              <w:rPr>
                <w:rFonts w:hint="default" w:ascii="Times New Roman" w:hAnsi="Times New Roman" w:eastAsia="宋体" w:cs="Times New Roman"/>
                <w:b/>
                <w:bCs/>
                <w:caps w:val="0"/>
                <w:color w:val="auto"/>
                <w:spacing w:val="0"/>
                <w:position w:val="0"/>
                <w:sz w:val="24"/>
                <w:szCs w:val="24"/>
                <w:highlight w:val="none"/>
                <w:vertAlign w:val="superscript"/>
              </w:rPr>
              <w:t>2</w:t>
            </w:r>
            <w:r>
              <w:rPr>
                <w:rFonts w:hint="default" w:ascii="Times New Roman" w:hAnsi="Times New Roman" w:eastAsia="宋体" w:cs="Times New Roman"/>
                <w:b/>
                <w:bCs/>
                <w:caps w:val="0"/>
                <w:color w:val="auto"/>
                <w:spacing w:val="0"/>
                <w:position w:val="0"/>
                <w:sz w:val="24"/>
                <w:szCs w:val="24"/>
                <w:highlight w:val="none"/>
              </w:rPr>
              <w:t>）</w:t>
            </w:r>
          </w:p>
        </w:tc>
        <w:tc>
          <w:tcPr>
            <w:tcW w:w="1992" w:type="pct"/>
            <w:noWrap w:val="0"/>
            <w:vAlign w:val="center"/>
          </w:tcPr>
          <w:p w14:paraId="2EA1E4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aps w:val="0"/>
                <w:color w:val="auto"/>
                <w:spacing w:val="0"/>
                <w:position w:val="0"/>
                <w:sz w:val="24"/>
                <w:szCs w:val="24"/>
                <w:highlight w:val="none"/>
                <w:lang w:val="en-US" w:eastAsia="zh-CN"/>
              </w:rPr>
            </w:pPr>
            <w:r>
              <w:rPr>
                <w:rFonts w:hint="eastAsia"/>
                <w:caps w:val="0"/>
                <w:color w:val="auto"/>
                <w:spacing w:val="0"/>
                <w:position w:val="0"/>
                <w:highlight w:val="none"/>
                <w:lang w:val="en-US" w:eastAsia="zh-CN"/>
              </w:rPr>
              <w:t>22500</w:t>
            </w:r>
          </w:p>
        </w:tc>
      </w:tr>
      <w:tr w14:paraId="0EE91C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881" w:type="pct"/>
            <w:noWrap w:val="0"/>
            <w:vAlign w:val="center"/>
          </w:tcPr>
          <w:p w14:paraId="2C534874">
            <w:pPr>
              <w:pStyle w:val="75"/>
              <w:keepNext w:val="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spacing w:val="0"/>
                <w:kern w:val="0"/>
                <w:position w:val="0"/>
                <w:szCs w:val="24"/>
                <w:highlight w:val="none"/>
              </w:rPr>
            </w:pPr>
            <w:r>
              <w:rPr>
                <w:rFonts w:hint="default"/>
                <w:caps w:val="0"/>
                <w:color w:val="auto"/>
                <w:spacing w:val="0"/>
                <w:position w:val="0"/>
                <w:highlight w:val="none"/>
              </w:rPr>
              <w:t>专项评价设置情况</w:t>
            </w:r>
          </w:p>
        </w:tc>
        <w:tc>
          <w:tcPr>
            <w:tcW w:w="4118" w:type="pct"/>
            <w:gridSpan w:val="3"/>
            <w:noWrap w:val="0"/>
            <w:vAlign w:val="center"/>
          </w:tcPr>
          <w:p w14:paraId="419DEB93">
            <w:pPr>
              <w:pStyle w:val="75"/>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position w:val="0"/>
                <w:szCs w:val="24"/>
                <w:highlight w:val="none"/>
                <w:lang w:eastAsia="zh-CN"/>
              </w:rPr>
            </w:pPr>
            <w:r>
              <w:rPr>
                <w:rFonts w:hint="default"/>
                <w:caps w:val="0"/>
                <w:color w:val="auto"/>
                <w:spacing w:val="0"/>
                <w:position w:val="0"/>
                <w:highlight w:val="none"/>
                <w:lang w:eastAsia="zh-CN"/>
              </w:rPr>
              <w:t>表</w:t>
            </w:r>
            <w:r>
              <w:rPr>
                <w:rFonts w:hint="default"/>
                <w:caps w:val="0"/>
                <w:color w:val="auto"/>
                <w:spacing w:val="0"/>
                <w:position w:val="0"/>
                <w:highlight w:val="none"/>
                <w:lang w:val="en-US" w:eastAsia="zh-CN"/>
              </w:rPr>
              <w:t xml:space="preserve">1-1 </w:t>
            </w:r>
            <w:r>
              <w:rPr>
                <w:rFonts w:hint="default"/>
                <w:caps w:val="0"/>
                <w:color w:val="auto"/>
                <w:spacing w:val="0"/>
                <w:position w:val="0"/>
                <w:highlight w:val="none"/>
                <w:lang w:eastAsia="zh-CN"/>
              </w:rPr>
              <w:t>污染影响类项目专项评价设置原则表</w:t>
            </w:r>
          </w:p>
          <w:tbl>
            <w:tblPr>
              <w:tblStyle w:val="23"/>
              <w:tblpPr w:vertAnchor="text" w:tblpXSpec="center" w:tblpY="1"/>
              <w:tblOverlap w:val="never"/>
              <w:tblW w:w="4998" w:type="pct"/>
              <w:jc w:val="center"/>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Layout w:type="fixed"/>
              <w:tblCellMar>
                <w:top w:w="0" w:type="dxa"/>
                <w:left w:w="0" w:type="dxa"/>
                <w:bottom w:w="0" w:type="dxa"/>
                <w:right w:w="0" w:type="dxa"/>
              </w:tblCellMar>
            </w:tblPr>
            <w:tblGrid>
              <w:gridCol w:w="932"/>
              <w:gridCol w:w="4080"/>
              <w:gridCol w:w="1730"/>
              <w:gridCol w:w="549"/>
            </w:tblGrid>
            <w:tr w14:paraId="30F55414">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584" w:hRule="atLeast"/>
                <w:tblHeader/>
                <w:jc w:val="center"/>
              </w:trPr>
              <w:tc>
                <w:tcPr>
                  <w:tcW w:w="640" w:type="pct"/>
                  <w:tcBorders>
                    <w:tl2br w:val="nil"/>
                    <w:tr2bl w:val="nil"/>
                  </w:tcBorders>
                  <w:noWrap w:val="0"/>
                  <w:vAlign w:val="center"/>
                </w:tcPr>
                <w:p w14:paraId="1F597CE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专项评价的类别</w:t>
                  </w:r>
                </w:p>
              </w:tc>
              <w:tc>
                <w:tcPr>
                  <w:tcW w:w="2797" w:type="pct"/>
                  <w:tcBorders>
                    <w:tl2br w:val="nil"/>
                    <w:tr2bl w:val="nil"/>
                  </w:tcBorders>
                  <w:noWrap w:val="0"/>
                  <w:vAlign w:val="center"/>
                </w:tcPr>
                <w:p w14:paraId="10708F6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设置原则</w:t>
                  </w:r>
                </w:p>
              </w:tc>
              <w:tc>
                <w:tcPr>
                  <w:tcW w:w="1187" w:type="pct"/>
                  <w:tcBorders>
                    <w:tl2br w:val="nil"/>
                    <w:tr2bl w:val="nil"/>
                  </w:tcBorders>
                  <w:noWrap w:val="0"/>
                  <w:vAlign w:val="center"/>
                </w:tcPr>
                <w:p w14:paraId="1DDE1B0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本项目情况</w:t>
                  </w:r>
                </w:p>
              </w:tc>
              <w:tc>
                <w:tcPr>
                  <w:tcW w:w="374" w:type="pct"/>
                  <w:tcBorders>
                    <w:tl2br w:val="nil"/>
                    <w:tr2bl w:val="nil"/>
                  </w:tcBorders>
                  <w:noWrap w:val="0"/>
                  <w:vAlign w:val="center"/>
                </w:tcPr>
                <w:p w14:paraId="68B538D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设置情况</w:t>
                  </w:r>
                </w:p>
              </w:tc>
            </w:tr>
            <w:tr w14:paraId="5669EEAF">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841" w:hRule="atLeast"/>
                <w:jc w:val="center"/>
              </w:trPr>
              <w:tc>
                <w:tcPr>
                  <w:tcW w:w="640" w:type="pct"/>
                  <w:tcBorders>
                    <w:tl2br w:val="nil"/>
                    <w:tr2bl w:val="nil"/>
                  </w:tcBorders>
                  <w:noWrap w:val="0"/>
                  <w:vAlign w:val="center"/>
                </w:tcPr>
                <w:p w14:paraId="666D59A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大气</w:t>
                  </w:r>
                </w:p>
              </w:tc>
              <w:tc>
                <w:tcPr>
                  <w:tcW w:w="2797" w:type="pct"/>
                  <w:tcBorders>
                    <w:tl2br w:val="nil"/>
                    <w:tr2bl w:val="nil"/>
                  </w:tcBorders>
                  <w:noWrap w:val="0"/>
                  <w:vAlign w:val="center"/>
                </w:tcPr>
                <w:p w14:paraId="2024BC9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排放废气含有毒有害污染物1、二噁英、苯并[a]芘、氰化物、氯气且厂界外500米范围内有环境空气保护目标2的建设项目</w:t>
                  </w:r>
                </w:p>
              </w:tc>
              <w:tc>
                <w:tcPr>
                  <w:tcW w:w="1187" w:type="pct"/>
                  <w:tcBorders>
                    <w:tl2br w:val="nil"/>
                    <w:tr2bl w:val="nil"/>
                  </w:tcBorders>
                  <w:noWrap w:val="0"/>
                  <w:vAlign w:val="center"/>
                </w:tcPr>
                <w:p w14:paraId="2A0E702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eastAsia="zh-CN"/>
                    </w:rPr>
                    <w:t>本项目</w:t>
                  </w:r>
                  <w:r>
                    <w:rPr>
                      <w:rFonts w:hint="default"/>
                      <w:caps w:val="0"/>
                      <w:color w:val="auto"/>
                      <w:spacing w:val="0"/>
                      <w:position w:val="0"/>
                      <w:highlight w:val="none"/>
                    </w:rPr>
                    <w:t>废气不含以上污染物</w:t>
                  </w:r>
                </w:p>
              </w:tc>
              <w:tc>
                <w:tcPr>
                  <w:tcW w:w="374" w:type="pct"/>
                  <w:tcBorders>
                    <w:tl2br w:val="nil"/>
                    <w:tr2bl w:val="nil"/>
                  </w:tcBorders>
                  <w:noWrap w:val="0"/>
                  <w:vAlign w:val="center"/>
                </w:tcPr>
                <w:p w14:paraId="2011E13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eastAsia="zh-CN"/>
                    </w:rPr>
                  </w:pPr>
                  <w:r>
                    <w:rPr>
                      <w:rFonts w:hint="default"/>
                      <w:caps w:val="0"/>
                      <w:color w:val="auto"/>
                      <w:spacing w:val="0"/>
                      <w:position w:val="0"/>
                      <w:highlight w:val="none"/>
                      <w:lang w:eastAsia="zh-CN"/>
                    </w:rPr>
                    <w:t>无需开展</w:t>
                  </w:r>
                </w:p>
              </w:tc>
            </w:tr>
            <w:tr w14:paraId="4961C9E6">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841" w:hRule="atLeast"/>
                <w:jc w:val="center"/>
              </w:trPr>
              <w:tc>
                <w:tcPr>
                  <w:tcW w:w="640" w:type="pct"/>
                  <w:tcBorders>
                    <w:tl2br w:val="nil"/>
                    <w:tr2bl w:val="nil"/>
                  </w:tcBorders>
                  <w:noWrap w:val="0"/>
                  <w:vAlign w:val="center"/>
                </w:tcPr>
                <w:p w14:paraId="4442C99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地表水</w:t>
                  </w:r>
                </w:p>
              </w:tc>
              <w:tc>
                <w:tcPr>
                  <w:tcW w:w="2797" w:type="pct"/>
                  <w:tcBorders>
                    <w:tl2br w:val="nil"/>
                    <w:tr2bl w:val="nil"/>
                  </w:tcBorders>
                  <w:noWrap w:val="0"/>
                  <w:vAlign w:val="center"/>
                </w:tcPr>
                <w:p w14:paraId="4851975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新增工业废水直排建设项目（槽罐车外送污水处理厂的除外）；新增废水直排的污水集中处理厂</w:t>
                  </w:r>
                </w:p>
              </w:tc>
              <w:tc>
                <w:tcPr>
                  <w:tcW w:w="1187" w:type="pct"/>
                  <w:tcBorders>
                    <w:tl2br w:val="nil"/>
                    <w:tr2bl w:val="nil"/>
                  </w:tcBorders>
                  <w:noWrap w:val="0"/>
                  <w:vAlign w:val="center"/>
                </w:tcPr>
                <w:p w14:paraId="2A1442A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eastAsia="zh-CN"/>
                    </w:rPr>
                    <w:t>本项目</w:t>
                  </w:r>
                  <w:r>
                    <w:rPr>
                      <w:rFonts w:hint="eastAsia"/>
                      <w:caps w:val="0"/>
                      <w:color w:val="auto"/>
                      <w:spacing w:val="0"/>
                      <w:position w:val="0"/>
                      <w:highlight w:val="none"/>
                      <w:lang w:val="en-US" w:eastAsia="zh-CN"/>
                    </w:rPr>
                    <w:t>无</w:t>
                  </w:r>
                  <w:r>
                    <w:rPr>
                      <w:rFonts w:hint="default"/>
                      <w:caps w:val="0"/>
                      <w:color w:val="auto"/>
                      <w:spacing w:val="0"/>
                      <w:position w:val="0"/>
                      <w:highlight w:val="none"/>
                      <w:lang w:val="en-US" w:eastAsia="zh-CN"/>
                    </w:rPr>
                    <w:t>直排废水</w:t>
                  </w:r>
                </w:p>
              </w:tc>
              <w:tc>
                <w:tcPr>
                  <w:tcW w:w="374" w:type="pct"/>
                  <w:tcBorders>
                    <w:tl2br w:val="nil"/>
                    <w:tr2bl w:val="nil"/>
                  </w:tcBorders>
                  <w:noWrap w:val="0"/>
                  <w:vAlign w:val="center"/>
                </w:tcPr>
                <w:p w14:paraId="21A2E03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eastAsia="zh-CN"/>
                    </w:rPr>
                  </w:pPr>
                  <w:r>
                    <w:rPr>
                      <w:rFonts w:hint="default"/>
                      <w:caps w:val="0"/>
                      <w:color w:val="auto"/>
                      <w:spacing w:val="0"/>
                      <w:position w:val="0"/>
                      <w:highlight w:val="none"/>
                      <w:lang w:eastAsia="zh-CN"/>
                    </w:rPr>
                    <w:t>无需开展</w:t>
                  </w:r>
                </w:p>
              </w:tc>
            </w:tr>
            <w:tr w14:paraId="7DA760B5">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563" w:hRule="atLeast"/>
                <w:jc w:val="center"/>
              </w:trPr>
              <w:tc>
                <w:tcPr>
                  <w:tcW w:w="640" w:type="pct"/>
                  <w:tcBorders>
                    <w:tl2br w:val="nil"/>
                    <w:tr2bl w:val="nil"/>
                  </w:tcBorders>
                  <w:noWrap w:val="0"/>
                  <w:vAlign w:val="center"/>
                </w:tcPr>
                <w:p w14:paraId="39C8206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环境风险</w:t>
                  </w:r>
                </w:p>
              </w:tc>
              <w:tc>
                <w:tcPr>
                  <w:tcW w:w="2797" w:type="pct"/>
                  <w:tcBorders>
                    <w:tl2br w:val="nil"/>
                    <w:tr2bl w:val="nil"/>
                  </w:tcBorders>
                  <w:noWrap w:val="0"/>
                  <w:vAlign w:val="center"/>
                </w:tcPr>
                <w:p w14:paraId="197D8E7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有毒有害和易燃易爆危险物质存储量超过临界量3的建设项目</w:t>
                  </w:r>
                </w:p>
              </w:tc>
              <w:tc>
                <w:tcPr>
                  <w:tcW w:w="1187" w:type="pct"/>
                  <w:tcBorders>
                    <w:tl2br w:val="nil"/>
                    <w:tr2bl w:val="nil"/>
                  </w:tcBorders>
                  <w:noWrap w:val="0"/>
                  <w:vAlign w:val="center"/>
                </w:tcPr>
                <w:p w14:paraId="0538505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未超过临界量</w:t>
                  </w:r>
                </w:p>
              </w:tc>
              <w:tc>
                <w:tcPr>
                  <w:tcW w:w="374" w:type="pct"/>
                  <w:tcBorders>
                    <w:tl2br w:val="nil"/>
                    <w:tr2bl w:val="nil"/>
                  </w:tcBorders>
                  <w:noWrap w:val="0"/>
                  <w:vAlign w:val="center"/>
                </w:tcPr>
                <w:p w14:paraId="0993E8E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eastAsia="zh-CN"/>
                    </w:rPr>
                    <w:t>无需开展</w:t>
                  </w:r>
                </w:p>
              </w:tc>
            </w:tr>
            <w:tr w14:paraId="37E8DA20">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841" w:hRule="atLeast"/>
                <w:jc w:val="center"/>
              </w:trPr>
              <w:tc>
                <w:tcPr>
                  <w:tcW w:w="640" w:type="pct"/>
                  <w:tcBorders>
                    <w:tl2br w:val="nil"/>
                    <w:tr2bl w:val="nil"/>
                  </w:tcBorders>
                  <w:noWrap w:val="0"/>
                  <w:vAlign w:val="center"/>
                </w:tcPr>
                <w:p w14:paraId="045C9E0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生态</w:t>
                  </w:r>
                </w:p>
              </w:tc>
              <w:tc>
                <w:tcPr>
                  <w:tcW w:w="2797" w:type="pct"/>
                  <w:tcBorders>
                    <w:tl2br w:val="nil"/>
                    <w:tr2bl w:val="nil"/>
                  </w:tcBorders>
                  <w:noWrap w:val="0"/>
                  <w:vAlign w:val="center"/>
                </w:tcPr>
                <w:p w14:paraId="05754D7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取水口下游500米范围内有重要水生生物的自然产卵场、索饵场、越冬场和洄游通道的新增河道取水的污染类建设项目</w:t>
                  </w:r>
                </w:p>
              </w:tc>
              <w:tc>
                <w:tcPr>
                  <w:tcW w:w="1187" w:type="pct"/>
                  <w:tcBorders>
                    <w:tl2br w:val="nil"/>
                    <w:tr2bl w:val="nil"/>
                  </w:tcBorders>
                  <w:noWrap w:val="0"/>
                  <w:vAlign w:val="center"/>
                </w:tcPr>
                <w:p w14:paraId="4767026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不涉及</w:t>
                  </w:r>
                </w:p>
              </w:tc>
              <w:tc>
                <w:tcPr>
                  <w:tcW w:w="374" w:type="pct"/>
                  <w:tcBorders>
                    <w:tl2br w:val="nil"/>
                    <w:tr2bl w:val="nil"/>
                  </w:tcBorders>
                  <w:noWrap w:val="0"/>
                  <w:vAlign w:val="center"/>
                </w:tcPr>
                <w:p w14:paraId="7BEB90F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eastAsia="zh-CN"/>
                    </w:rPr>
                    <w:t>无需开展</w:t>
                  </w:r>
                </w:p>
              </w:tc>
            </w:tr>
            <w:tr w14:paraId="676088E6">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286" w:hRule="atLeast"/>
                <w:jc w:val="center"/>
              </w:trPr>
              <w:tc>
                <w:tcPr>
                  <w:tcW w:w="640" w:type="pct"/>
                  <w:tcBorders>
                    <w:tl2br w:val="nil"/>
                    <w:tr2bl w:val="nil"/>
                  </w:tcBorders>
                  <w:noWrap w:val="0"/>
                  <w:vAlign w:val="center"/>
                </w:tcPr>
                <w:p w14:paraId="7B484FA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海洋</w:t>
                  </w:r>
                </w:p>
              </w:tc>
              <w:tc>
                <w:tcPr>
                  <w:tcW w:w="2797" w:type="pct"/>
                  <w:tcBorders>
                    <w:tl2br w:val="nil"/>
                    <w:tr2bl w:val="nil"/>
                  </w:tcBorders>
                  <w:noWrap w:val="0"/>
                  <w:vAlign w:val="center"/>
                </w:tcPr>
                <w:p w14:paraId="6369DFA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直接向海排放污染物的海洋工程建设项目</w:t>
                  </w:r>
                </w:p>
              </w:tc>
              <w:tc>
                <w:tcPr>
                  <w:tcW w:w="1187" w:type="pct"/>
                  <w:tcBorders>
                    <w:tl2br w:val="nil"/>
                    <w:tr2bl w:val="nil"/>
                  </w:tcBorders>
                  <w:noWrap w:val="0"/>
                  <w:vAlign w:val="center"/>
                </w:tcPr>
                <w:p w14:paraId="70F4CB3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不涉及</w:t>
                  </w:r>
                </w:p>
              </w:tc>
              <w:tc>
                <w:tcPr>
                  <w:tcW w:w="374" w:type="pct"/>
                  <w:tcBorders>
                    <w:tl2br w:val="nil"/>
                    <w:tr2bl w:val="nil"/>
                  </w:tcBorders>
                  <w:noWrap w:val="0"/>
                  <w:vAlign w:val="center"/>
                </w:tcPr>
                <w:p w14:paraId="2FE3B40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eastAsia="zh-CN"/>
                    </w:rPr>
                    <w:t>无需开展</w:t>
                  </w:r>
                </w:p>
              </w:tc>
            </w:tr>
            <w:tr w14:paraId="05F96CBF">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317" w:hRule="atLeast"/>
                <w:jc w:val="center"/>
              </w:trPr>
              <w:tc>
                <w:tcPr>
                  <w:tcW w:w="5000" w:type="pct"/>
                  <w:gridSpan w:val="4"/>
                  <w:tcBorders>
                    <w:tl2br w:val="nil"/>
                    <w:tr2bl w:val="nil"/>
                  </w:tcBorders>
                  <w:noWrap w:val="0"/>
                  <w:vAlign w:val="center"/>
                </w:tcPr>
                <w:p w14:paraId="5850BC6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注：1</w:t>
                  </w:r>
                  <w:r>
                    <w:rPr>
                      <w:rFonts w:hint="eastAsia"/>
                      <w:caps w:val="0"/>
                      <w:color w:val="auto"/>
                      <w:spacing w:val="0"/>
                      <w:position w:val="0"/>
                      <w:highlight w:val="none"/>
                      <w:lang w:val="en-US" w:eastAsia="zh-CN"/>
                    </w:rPr>
                    <w:t>.</w:t>
                  </w:r>
                  <w:r>
                    <w:rPr>
                      <w:rFonts w:hint="default"/>
                      <w:caps w:val="0"/>
                      <w:color w:val="auto"/>
                      <w:spacing w:val="0"/>
                      <w:position w:val="0"/>
                      <w:highlight w:val="none"/>
                    </w:rPr>
                    <w:t>废气中有毒有害污染物指纳入《有毒有害大气污染物名录》的污染物（不包括无排放标准的污染物）。2.环境空气保护目标指自然保护区、风景名胜区、居住区、文化区和农村地区中人群较集中的区域。3.临界量及其计算方法可参考《建设项目环境风险评价技术导则》（HJ169）附录B、附录C。</w:t>
                  </w:r>
                </w:p>
              </w:tc>
            </w:tr>
          </w:tbl>
          <w:p w14:paraId="5A501D1A">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kern w:val="2"/>
                <w:position w:val="0"/>
                <w:szCs w:val="24"/>
                <w:highlight w:val="none"/>
                <w:lang w:val="en-US" w:eastAsia="zh-CN" w:bidi="ar-SA"/>
              </w:rPr>
            </w:pPr>
            <w:r>
              <w:rPr>
                <w:rFonts w:hint="default"/>
                <w:caps w:val="0"/>
                <w:color w:val="auto"/>
                <w:spacing w:val="0"/>
                <w:position w:val="0"/>
                <w:highlight w:val="none"/>
              </w:rPr>
              <w:t>综上所述，本项目不设置专题或专项评价。</w:t>
            </w:r>
          </w:p>
        </w:tc>
      </w:tr>
      <w:tr w14:paraId="0E4076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881" w:type="pct"/>
            <w:noWrap w:val="0"/>
            <w:vAlign w:val="center"/>
          </w:tcPr>
          <w:p w14:paraId="7095B3A1">
            <w:pPr>
              <w:pStyle w:val="75"/>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kern w:val="0"/>
                <w:position w:val="0"/>
                <w:szCs w:val="24"/>
                <w:highlight w:val="none"/>
                <w:lang w:val="en-US" w:eastAsia="zh-CN"/>
              </w:rPr>
            </w:pPr>
            <w:r>
              <w:rPr>
                <w:rFonts w:hint="default"/>
                <w:caps w:val="0"/>
                <w:color w:val="auto"/>
                <w:spacing w:val="0"/>
                <w:position w:val="0"/>
                <w:highlight w:val="none"/>
                <w:lang w:val="en-US" w:eastAsia="zh-CN"/>
              </w:rPr>
              <w:t>规划情况</w:t>
            </w:r>
          </w:p>
        </w:tc>
        <w:tc>
          <w:tcPr>
            <w:tcW w:w="4118" w:type="pct"/>
            <w:gridSpan w:val="3"/>
            <w:shd w:val="clear" w:color="auto" w:fill="auto"/>
            <w:noWrap w:val="0"/>
            <w:vAlign w:val="center"/>
          </w:tcPr>
          <w:p w14:paraId="7E69701D">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1</w:t>
            </w:r>
            <w:r>
              <w:rPr>
                <w:rFonts w:hint="eastAsia"/>
                <w:caps w:val="0"/>
                <w:color w:val="auto"/>
                <w:spacing w:val="0"/>
                <w:position w:val="0"/>
                <w:highlight w:val="none"/>
              </w:rPr>
              <w:t>、</w:t>
            </w:r>
            <w:r>
              <w:rPr>
                <w:rFonts w:hint="default"/>
                <w:caps w:val="0"/>
                <w:color w:val="auto"/>
                <w:spacing w:val="0"/>
                <w:position w:val="0"/>
                <w:highlight w:val="none"/>
              </w:rPr>
              <w:t>规划名称：《高安市国土空间总体规划（2021-2035年）》</w:t>
            </w:r>
          </w:p>
          <w:p w14:paraId="66F5613E">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审批机关：江西省人民政府</w:t>
            </w:r>
          </w:p>
          <w:p w14:paraId="6D2F8822">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kern w:val="0"/>
                <w:position w:val="0"/>
                <w:sz w:val="24"/>
                <w:szCs w:val="24"/>
                <w:highlight w:val="none"/>
              </w:rPr>
            </w:pPr>
            <w:r>
              <w:rPr>
                <w:rFonts w:hint="default"/>
                <w:caps w:val="0"/>
                <w:color w:val="auto"/>
                <w:spacing w:val="0"/>
                <w:position w:val="0"/>
                <w:highlight w:val="none"/>
              </w:rPr>
              <w:t>审批文件及文号：江西省人民政府关于《高安市国土空间总体规划（2021-2035年）》的批复（赣府字〔2024〕50号）</w:t>
            </w:r>
          </w:p>
          <w:p w14:paraId="36CFE850">
            <w:pPr>
              <w:pStyle w:val="8"/>
              <w:keepNext w:val="0"/>
              <w:keepLines w:val="0"/>
              <w:numPr>
                <w:ilvl w:val="0"/>
                <w:numId w:val="3"/>
              </w:numPr>
              <w:suppressLineNumbers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《高安市建山镇国土空间总体规划（2021-2035年）》</w:t>
            </w:r>
          </w:p>
          <w:p w14:paraId="1EC1CECB">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审批机关：江西省人民政府</w:t>
            </w:r>
          </w:p>
          <w:p w14:paraId="316EE07F">
            <w:pPr>
              <w:pStyle w:val="8"/>
              <w:keepNext w:val="0"/>
              <w:keepLines w:val="0"/>
              <w:numPr>
                <w:ilvl w:val="0"/>
                <w:numId w:val="0"/>
              </w:numPr>
              <w:suppressLineNumbers w:val="0"/>
              <w:spacing w:before="0" w:beforeAutospacing="0" w:after="0" w:afterAutospacing="0"/>
              <w:ind w:left="480" w:leftChars="200" w:right="0" w:rightChars="0"/>
              <w:rPr>
                <w:rFonts w:hint="default"/>
                <w:caps w:val="0"/>
                <w:color w:val="auto"/>
                <w:spacing w:val="0"/>
                <w:position w:val="0"/>
                <w:highlight w:val="none"/>
                <w:lang w:val="en-US" w:eastAsia="zh-CN"/>
              </w:rPr>
            </w:pPr>
            <w:r>
              <w:rPr>
                <w:rFonts w:hint="default"/>
                <w:caps w:val="0"/>
                <w:color w:val="auto"/>
                <w:spacing w:val="0"/>
                <w:position w:val="0"/>
                <w:highlight w:val="none"/>
              </w:rPr>
              <w:t>审批文件及文号：江西省人民政府关于《高安市国土空间总体规划（2021-2035年）》的批复</w:t>
            </w:r>
            <w:r>
              <w:rPr>
                <w:rFonts w:hint="default"/>
                <w:caps w:val="0"/>
                <w:color w:val="auto"/>
                <w:spacing w:val="0"/>
                <w:position w:val="0"/>
                <w:highlight w:val="none"/>
                <w:lang w:val="en-US" w:eastAsia="zh-CN"/>
              </w:rPr>
              <w:t>（赣府字〔2024〕50号）</w:t>
            </w:r>
          </w:p>
        </w:tc>
      </w:tr>
      <w:tr w14:paraId="1A7097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81" w:type="pct"/>
            <w:noWrap w:val="0"/>
            <w:vAlign w:val="center"/>
          </w:tcPr>
          <w:p w14:paraId="716F5A6C">
            <w:pPr>
              <w:pStyle w:val="75"/>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kern w:val="0"/>
                <w:position w:val="0"/>
                <w:szCs w:val="24"/>
                <w:highlight w:val="none"/>
              </w:rPr>
            </w:pPr>
            <w:r>
              <w:rPr>
                <w:rFonts w:hint="default"/>
                <w:caps w:val="0"/>
                <w:color w:val="auto"/>
                <w:spacing w:val="0"/>
                <w:position w:val="0"/>
                <w:highlight w:val="none"/>
              </w:rPr>
              <w:t>规划环境影响评价情况</w:t>
            </w:r>
          </w:p>
        </w:tc>
        <w:tc>
          <w:tcPr>
            <w:tcW w:w="4118" w:type="pct"/>
            <w:gridSpan w:val="3"/>
            <w:shd w:val="clear" w:color="auto" w:fill="auto"/>
            <w:noWrap w:val="0"/>
            <w:vAlign w:val="center"/>
          </w:tcPr>
          <w:p w14:paraId="29815F15">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kern w:val="2"/>
                <w:position w:val="0"/>
                <w:szCs w:val="24"/>
                <w:highlight w:val="none"/>
                <w:lang w:val="en-US" w:eastAsia="zh-CN" w:bidi="ar-SA"/>
              </w:rPr>
            </w:pPr>
            <w:r>
              <w:rPr>
                <w:rFonts w:hint="eastAsia" w:cs="Times New Roman"/>
                <w:caps w:val="0"/>
                <w:color w:val="auto"/>
                <w:spacing w:val="0"/>
                <w:kern w:val="2"/>
                <w:position w:val="0"/>
                <w:szCs w:val="24"/>
                <w:highlight w:val="none"/>
                <w:lang w:val="en-US" w:eastAsia="zh-CN" w:bidi="ar-SA"/>
              </w:rPr>
              <w:t>无</w:t>
            </w:r>
          </w:p>
        </w:tc>
      </w:tr>
      <w:tr w14:paraId="049504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81" w:type="pct"/>
            <w:noWrap w:val="0"/>
            <w:vAlign w:val="center"/>
          </w:tcPr>
          <w:p w14:paraId="070D1C9B">
            <w:pPr>
              <w:pStyle w:val="75"/>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kern w:val="0"/>
                <w:position w:val="0"/>
                <w:szCs w:val="24"/>
                <w:highlight w:val="none"/>
              </w:rPr>
            </w:pPr>
            <w:r>
              <w:rPr>
                <w:rFonts w:hint="default"/>
                <w:caps w:val="0"/>
                <w:color w:val="auto"/>
                <w:spacing w:val="0"/>
                <w:position w:val="0"/>
                <w:highlight w:val="none"/>
              </w:rPr>
              <w:t>规划及规划环境影响评价符合性分析</w:t>
            </w:r>
          </w:p>
        </w:tc>
        <w:tc>
          <w:tcPr>
            <w:tcW w:w="4118" w:type="pct"/>
            <w:gridSpan w:val="3"/>
            <w:noWrap w:val="0"/>
            <w:vAlign w:val="center"/>
          </w:tcPr>
          <w:p w14:paraId="54115B17">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eastAsia"/>
                <w:b/>
                <w:bCs w:val="0"/>
                <w:caps w:val="0"/>
                <w:color w:val="auto"/>
                <w:spacing w:val="0"/>
                <w:position w:val="0"/>
                <w:highlight w:val="none"/>
                <w:lang w:val="en-US" w:eastAsia="zh-CN"/>
              </w:rPr>
              <w:t>1</w:t>
            </w:r>
            <w:r>
              <w:rPr>
                <w:rFonts w:hint="default"/>
                <w:b/>
                <w:bCs w:val="0"/>
                <w:caps w:val="0"/>
                <w:color w:val="auto"/>
                <w:spacing w:val="0"/>
                <w:position w:val="0"/>
                <w:highlight w:val="none"/>
              </w:rPr>
              <w:t>、项目与《高安市国土空间总体规划（2021-2035年）》相符性分析</w:t>
            </w:r>
          </w:p>
          <w:p w14:paraId="5F4F94D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w:t>
            </w:r>
            <w:r>
              <w:rPr>
                <w:rFonts w:hint="default"/>
                <w:caps w:val="0"/>
                <w:color w:val="auto"/>
                <w:spacing w:val="0"/>
                <w:position w:val="0"/>
                <w:highlight w:val="none"/>
                <w:lang w:val="en-US" w:eastAsia="zh-CN"/>
              </w:rPr>
              <w:t>《高安市国土空间总体规划（2021-2035年）》（以下简称《规划》）是高安市空间发展的指南、可持续发展的空间蓝图，是各类开发保护建设活动的基本依据，《规划》实施要坚持以习近平新时代中国特色社会主义思想为指导，全面贯彻落实党的二十大精神和习近平总书记考察江西重要讲话精神，深入贯彻省委十五届四次、五次全会精神，完整、准确、全面贯彻新发展理念，坚持以人民为中心，统筹发展和安全，促进人与自然和谐共生，落实长江经济带发展等国家区域重大战略，着力建设全国汽运物流和建筑陶瓷产业基地、江西优质农副产品重要供应基地、新能源新材料产业重要聚集地、元青花文旅融合示范区。</w:t>
            </w:r>
          </w:p>
          <w:p w14:paraId="276013D5">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w:t>
            </w:r>
            <w:r>
              <w:rPr>
                <w:rFonts w:hint="default"/>
                <w:caps w:val="0"/>
                <w:color w:val="auto"/>
                <w:spacing w:val="0"/>
                <w:position w:val="0"/>
                <w:highlight w:val="none"/>
                <w:lang w:val="en-US" w:eastAsia="zh-CN"/>
              </w:rPr>
              <w:t>筑牢安全发展的空间基础。到2035年，高安市耕地保有量不低于143.4819万亩，其中永久基本农田保护面积不低于128.3278万亩；生态保护红线不低于69.64平方公里；城镇开发边界控制在132.28平方公里以内；单位国内生产总值建设用地使用面积下降不少于40%；用水总量不超过上级下达指标，其中2025年不超过5.897亿立方米。严格落实“三区三线”管控要求，切实加强耕地和永久基本农田保护，抓好生态保护红线管控，明确自然灾害风险重点防控区域，落实战略性矿产资源、历史文化保护等安全保障空间，全面锚固高质量发展的空间底线。</w:t>
            </w:r>
          </w:p>
          <w:p w14:paraId="360FAF60">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ascii="Times New Roman" w:eastAsia="宋体"/>
                <w:caps w:val="0"/>
                <w:color w:val="auto"/>
                <w:spacing w:val="0"/>
                <w:position w:val="0"/>
                <w:highlight w:val="none"/>
                <w:lang w:val="en-US" w:eastAsia="zh-CN"/>
              </w:rPr>
              <w:t>（3）</w:t>
            </w:r>
            <w:r>
              <w:rPr>
                <w:rFonts w:hint="default"/>
                <w:caps w:val="0"/>
                <w:color w:val="auto"/>
                <w:spacing w:val="0"/>
                <w:position w:val="0"/>
                <w:highlight w:val="none"/>
                <w:lang w:val="en-US" w:eastAsia="zh-CN"/>
              </w:rPr>
              <w:t>优化国土空间开发保护格局。发挥区域比较优势，落实主体功能定位要求，完善差别化支持政策。巩固江西优质农副产品重要供应基地职能，以现代农业产业园为核心，抓紧抓好粮食和特色农产品稳产保供。严格生态空间管控，完善锦江生态功能综合带等重要生态区域的保护，筑牢风景名胜区及林地涵养生态屏障。加快融入南昌都市圈，与丰城、樟树共同构筑宜春东部经济增长极。引导传统产业转型升级，培育发展新兴产业。统筹划定矿产资源开发区域，促进含锂矿产资源的有序开发利用。加强城镇空间的规划引导和统筹协调，协同推进中心城区与中心镇高质量发展。合理优化开发区布局，保障实体经济和先进制造业发展空间，强化节约集约用地，促进城镇生态宜居、绿色发展。构建现代化基础设施体系，完善区域和城乡各类基础设施建设，提升基础设施保障能力和服务水平。</w:t>
            </w:r>
          </w:p>
          <w:p w14:paraId="25CB4544">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ascii="Times New Roman" w:eastAsia="宋体"/>
                <w:caps w:val="0"/>
                <w:color w:val="auto"/>
                <w:spacing w:val="0"/>
                <w:position w:val="0"/>
                <w:highlight w:val="none"/>
                <w:lang w:val="en-US" w:eastAsia="zh-CN"/>
              </w:rPr>
              <w:t>（4）</w:t>
            </w:r>
            <w:r>
              <w:rPr>
                <w:rFonts w:hint="default"/>
                <w:caps w:val="0"/>
                <w:color w:val="auto"/>
                <w:spacing w:val="0"/>
                <w:position w:val="0"/>
                <w:highlight w:val="none"/>
                <w:lang w:val="en-US" w:eastAsia="zh-CN"/>
              </w:rPr>
              <w:t>不断提升城乡空间品质。优化中心城区空间结构与用地布局，统筹布局教育、文化、体育、医疗、养老等公共服务设施，均衡配置公共绿地和开敞空间，合理安排居住用地，推进社区生活圈建设。严格城市蓝线、绿线、黄线和紫线管控，统筹城市地下空间开发利用，健全公共安全和综合防灾体系，提高城市安全韧性。稳步推进城市更新，加强总体城市设计指引，强化开发强度和风貌管控引导，注重特色空间塑造。健全历史文化遗产空间保护机制，强化整体保护和系统活化利用，促进文化和旅游深度融合发展。分区分类优化村庄布局，加强村庄规划编制实施，有序推进农村人居环境整治，促进乡村全面振兴。</w:t>
            </w:r>
          </w:p>
          <w:p w14:paraId="4B581FFE">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ascii="Times New Roman" w:eastAsia="宋体"/>
                <w:caps w:val="0"/>
                <w:color w:val="auto"/>
                <w:spacing w:val="0"/>
                <w:position w:val="0"/>
                <w:highlight w:val="none"/>
                <w:lang w:val="en-US" w:eastAsia="zh-CN"/>
              </w:rPr>
              <w:t>（5）</w:t>
            </w:r>
            <w:r>
              <w:rPr>
                <w:rFonts w:hint="default"/>
                <w:caps w:val="0"/>
                <w:color w:val="auto"/>
                <w:spacing w:val="0"/>
                <w:position w:val="0"/>
                <w:highlight w:val="none"/>
                <w:lang w:val="en-US" w:eastAsia="zh-CN"/>
              </w:rPr>
              <w:t>维护规划严肃性权威性。严格执行《规划》，任何部门和个人不得随意修改、违规变更。坚决贯彻党中央、国务院关于“多规合一”改革的决策部署，不在国土空间规划体系之外另设其他空间规划。按照定期体检和五年一评估的要求，健全各级各类国土空间规划实施监测评估预警机制，将规划评估结果作为规划实施监督考核的重要依据。建立健全规划监督、执法、问责联动机制，实施规划全生命周期管理。</w:t>
            </w:r>
          </w:p>
          <w:p w14:paraId="333D90AF">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ascii="Times New Roman" w:eastAsia="宋体"/>
                <w:caps w:val="0"/>
                <w:color w:val="auto"/>
                <w:spacing w:val="0"/>
                <w:position w:val="0"/>
                <w:highlight w:val="none"/>
                <w:lang w:val="en-US" w:eastAsia="zh-CN"/>
              </w:rPr>
              <w:t>（6）</w:t>
            </w:r>
            <w:r>
              <w:rPr>
                <w:rFonts w:hint="default"/>
                <w:caps w:val="0"/>
                <w:color w:val="auto"/>
                <w:spacing w:val="0"/>
                <w:position w:val="0"/>
                <w:highlight w:val="none"/>
                <w:lang w:val="en-US" w:eastAsia="zh-CN"/>
              </w:rPr>
              <w:t>做好规划实施保障。宜春市、高安市人民政府要加强组织领导，明确责任分工，健全工作机制，完善配套政策措施。做好《规划》印发和公开，强化社会监督。组织完成乡镇国土空间总体规划、详细规划、相关专项规划编制工作，确保《规划》确定的各项目标和任务落地落实。强化对水利、交通、能源、农业、信息、市政等基础设施以及公共服务设施、军事设施、生态环境保护、文物保护、林业等专项规划的指导约束，在国土空间规划“一张图”上协调矛盾冲突，合理优化空间布局。建立健全国土空间规划委员会制度，发挥对国土空间规划编制实施管理的统筹协调作用。《规划》实施中的重大事项要及时请示报告。</w:t>
            </w:r>
          </w:p>
          <w:p w14:paraId="07B2931B">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根据《规划》，项目所在地建山镇属于城郊融合类，城市近郊区受城市(镇)地区较大辐射带动，能够承接城市(镇)外溢功能或共享使用城镇公用设施，具备向城镇地区转型潜力的村组或村庄。《规划》提出对建设用地整治、优化农村建设用地布局，本项目的建设有利于推进乡村振兴，盘活乡村土地资源。</w:t>
            </w:r>
          </w:p>
          <w:p w14:paraId="6677CC81">
            <w:pPr>
              <w:pStyle w:val="8"/>
              <w:keepNext w:val="0"/>
              <w:keepLines w:val="0"/>
              <w:suppressLineNumbers w:val="0"/>
              <w:spacing w:before="0" w:beforeAutospacing="0" w:after="0" w:afterAutospacing="0"/>
              <w:ind w:left="0" w:right="0"/>
              <w:rPr>
                <w:rFonts w:hint="default" w:ascii="Times New Roman" w:hAnsi="Times New Roman" w:eastAsia="宋体" w:cs="Times New Roman"/>
                <w:caps w:val="0"/>
                <w:color w:val="auto"/>
                <w:spacing w:val="0"/>
                <w:kern w:val="0"/>
                <w:position w:val="0"/>
                <w:sz w:val="24"/>
                <w:szCs w:val="24"/>
                <w:highlight w:val="none"/>
                <w:lang w:val="en-US" w:eastAsia="zh-CN" w:bidi="ar-SA"/>
              </w:rPr>
            </w:pPr>
            <w:r>
              <w:rPr>
                <w:rFonts w:hint="default"/>
                <w:caps w:val="0"/>
                <w:color w:val="auto"/>
                <w:spacing w:val="0"/>
                <w:position w:val="0"/>
                <w:highlight w:val="none"/>
                <w:lang w:val="en-US" w:eastAsia="zh-CN"/>
              </w:rPr>
              <w:t>本项目位于</w:t>
            </w:r>
            <w:r>
              <w:rPr>
                <w:rFonts w:hint="eastAsia"/>
                <w:caps w:val="0"/>
                <w:color w:val="auto"/>
                <w:spacing w:val="0"/>
                <w:position w:val="0"/>
                <w:highlight w:val="none"/>
                <w:lang w:val="en-US" w:eastAsia="zh-CN"/>
              </w:rPr>
              <w:t>江西省宜春市高安市建山镇枫林村(原泰华公司工业广场南面场地)</w:t>
            </w:r>
            <w:r>
              <w:rPr>
                <w:rFonts w:hint="default"/>
                <w:caps w:val="0"/>
                <w:color w:val="auto"/>
                <w:spacing w:val="0"/>
                <w:position w:val="0"/>
                <w:highlight w:val="none"/>
                <w:lang w:val="en-US" w:eastAsia="zh-CN"/>
              </w:rPr>
              <w:t>（</w:t>
            </w:r>
            <w:r>
              <w:rPr>
                <w:rFonts w:hint="eastAsia" w:ascii="Times New Roman" w:hAnsi="Times New Roman" w:cs="Times New Roman"/>
                <w:caps w:val="0"/>
                <w:color w:val="auto"/>
                <w:spacing w:val="0"/>
                <w:position w:val="0"/>
                <w:sz w:val="24"/>
                <w:szCs w:val="21"/>
                <w:highlight w:val="none"/>
                <w:u w:val="none"/>
                <w:lang w:eastAsia="zh-CN"/>
              </w:rPr>
              <w:t>东经：</w:t>
            </w:r>
            <w:r>
              <w:rPr>
                <w:rFonts w:hint="eastAsia" w:ascii="Times New Roman" w:hAnsi="Times New Roman" w:cs="Times New Roman"/>
                <w:caps w:val="0"/>
                <w:color w:val="auto"/>
                <w:spacing w:val="0"/>
                <w:position w:val="0"/>
                <w:sz w:val="24"/>
                <w:szCs w:val="21"/>
                <w:highlight w:val="none"/>
                <w:u w:val="none"/>
                <w:lang w:val="en-US" w:eastAsia="zh-CN"/>
              </w:rPr>
              <w:t>11</w:t>
            </w:r>
            <w:r>
              <w:rPr>
                <w:rFonts w:hint="eastAsia" w:cs="Times New Roman"/>
                <w:caps w:val="0"/>
                <w:color w:val="auto"/>
                <w:spacing w:val="0"/>
                <w:position w:val="0"/>
                <w:sz w:val="24"/>
                <w:szCs w:val="21"/>
                <w:highlight w:val="none"/>
                <w:u w:val="none"/>
                <w:lang w:val="en-US" w:eastAsia="zh-CN"/>
              </w:rPr>
              <w:t>5</w:t>
            </w:r>
            <w:r>
              <w:rPr>
                <w:rFonts w:hint="eastAsia" w:ascii="Times New Roman" w:hAnsi="Times New Roman" w:cs="Times New Roman"/>
                <w:caps w:val="0"/>
                <w:color w:val="auto"/>
                <w:spacing w:val="0"/>
                <w:position w:val="0"/>
                <w:sz w:val="24"/>
                <w:szCs w:val="21"/>
                <w:highlight w:val="none"/>
                <w:u w:val="none"/>
                <w:lang w:eastAsia="zh-CN"/>
              </w:rPr>
              <w:t>度</w:t>
            </w:r>
            <w:r>
              <w:rPr>
                <w:rFonts w:hint="eastAsia" w:cs="Times New Roman"/>
                <w:caps w:val="0"/>
                <w:color w:val="auto"/>
                <w:spacing w:val="0"/>
                <w:position w:val="0"/>
                <w:sz w:val="24"/>
                <w:szCs w:val="21"/>
                <w:highlight w:val="none"/>
                <w:u w:val="none"/>
                <w:lang w:val="en-US" w:eastAsia="zh-CN"/>
              </w:rPr>
              <w:t>11</w:t>
            </w:r>
            <w:r>
              <w:rPr>
                <w:rFonts w:hint="eastAsia" w:ascii="Times New Roman" w:hAnsi="Times New Roman" w:cs="Times New Roman"/>
                <w:caps w:val="0"/>
                <w:color w:val="auto"/>
                <w:spacing w:val="0"/>
                <w:position w:val="0"/>
                <w:sz w:val="24"/>
                <w:szCs w:val="21"/>
                <w:highlight w:val="none"/>
                <w:u w:val="none"/>
                <w:lang w:eastAsia="zh-CN"/>
              </w:rPr>
              <w:t>分</w:t>
            </w:r>
            <w:r>
              <w:rPr>
                <w:rFonts w:hint="eastAsia" w:cs="Times New Roman"/>
                <w:caps w:val="0"/>
                <w:color w:val="auto"/>
                <w:spacing w:val="0"/>
                <w:position w:val="0"/>
                <w:sz w:val="24"/>
                <w:szCs w:val="21"/>
                <w:highlight w:val="none"/>
                <w:u w:val="none"/>
                <w:lang w:val="en-US" w:eastAsia="zh-CN"/>
              </w:rPr>
              <w:t>8.874</w:t>
            </w:r>
            <w:r>
              <w:rPr>
                <w:rFonts w:hint="eastAsia" w:ascii="Times New Roman" w:hAnsi="Times New Roman" w:cs="Times New Roman"/>
                <w:caps w:val="0"/>
                <w:color w:val="auto"/>
                <w:spacing w:val="0"/>
                <w:position w:val="0"/>
                <w:sz w:val="24"/>
                <w:szCs w:val="21"/>
                <w:highlight w:val="none"/>
                <w:u w:val="none"/>
                <w:lang w:eastAsia="zh-CN"/>
              </w:rPr>
              <w:t>秒；北纬：</w:t>
            </w:r>
            <w:r>
              <w:rPr>
                <w:rFonts w:hint="eastAsia" w:cs="Times New Roman"/>
                <w:caps w:val="0"/>
                <w:color w:val="auto"/>
                <w:spacing w:val="0"/>
                <w:position w:val="0"/>
                <w:sz w:val="24"/>
                <w:szCs w:val="21"/>
                <w:highlight w:val="none"/>
                <w:u w:val="none"/>
                <w:lang w:val="en-US" w:eastAsia="zh-CN"/>
              </w:rPr>
              <w:t>28</w:t>
            </w:r>
            <w:r>
              <w:rPr>
                <w:rFonts w:hint="eastAsia" w:ascii="Times New Roman" w:hAnsi="Times New Roman" w:cs="Times New Roman"/>
                <w:caps w:val="0"/>
                <w:color w:val="auto"/>
                <w:spacing w:val="0"/>
                <w:position w:val="0"/>
                <w:sz w:val="24"/>
                <w:szCs w:val="21"/>
                <w:highlight w:val="none"/>
                <w:u w:val="none"/>
                <w:lang w:eastAsia="zh-CN"/>
              </w:rPr>
              <w:t>度</w:t>
            </w:r>
            <w:r>
              <w:rPr>
                <w:rFonts w:hint="eastAsia" w:cs="Times New Roman"/>
                <w:caps w:val="0"/>
                <w:color w:val="auto"/>
                <w:spacing w:val="0"/>
                <w:position w:val="0"/>
                <w:sz w:val="24"/>
                <w:szCs w:val="21"/>
                <w:highlight w:val="none"/>
                <w:u w:val="none"/>
                <w:lang w:val="en-US" w:eastAsia="zh-CN"/>
              </w:rPr>
              <w:t>6</w:t>
            </w:r>
            <w:r>
              <w:rPr>
                <w:rFonts w:hint="eastAsia" w:ascii="Times New Roman" w:hAnsi="Times New Roman" w:cs="Times New Roman"/>
                <w:caps w:val="0"/>
                <w:color w:val="auto"/>
                <w:spacing w:val="0"/>
                <w:position w:val="0"/>
                <w:sz w:val="24"/>
                <w:szCs w:val="21"/>
                <w:highlight w:val="none"/>
                <w:u w:val="none"/>
                <w:lang w:eastAsia="zh-CN"/>
              </w:rPr>
              <w:t>分</w:t>
            </w:r>
            <w:r>
              <w:rPr>
                <w:rFonts w:hint="eastAsia" w:cs="Times New Roman"/>
                <w:caps w:val="0"/>
                <w:color w:val="auto"/>
                <w:spacing w:val="0"/>
                <w:position w:val="0"/>
                <w:sz w:val="24"/>
                <w:szCs w:val="21"/>
                <w:highlight w:val="none"/>
                <w:u w:val="none"/>
                <w:lang w:val="en-US" w:eastAsia="zh-CN"/>
              </w:rPr>
              <w:t>43.259</w:t>
            </w:r>
            <w:r>
              <w:rPr>
                <w:rFonts w:hint="eastAsia" w:ascii="Times New Roman" w:hAnsi="Times New Roman" w:cs="Times New Roman"/>
                <w:caps w:val="0"/>
                <w:color w:val="auto"/>
                <w:spacing w:val="0"/>
                <w:position w:val="0"/>
                <w:sz w:val="24"/>
                <w:szCs w:val="21"/>
                <w:highlight w:val="none"/>
                <w:u w:val="none"/>
                <w:lang w:eastAsia="zh-CN"/>
              </w:rPr>
              <w:t>秒</w:t>
            </w:r>
            <w:r>
              <w:rPr>
                <w:rFonts w:hint="default"/>
                <w:caps w:val="0"/>
                <w:color w:val="auto"/>
                <w:spacing w:val="0"/>
                <w:position w:val="0"/>
                <w:highlight w:val="none"/>
                <w:lang w:val="en-US" w:eastAsia="zh-CN"/>
              </w:rPr>
              <w:t>），</w:t>
            </w:r>
            <w:r>
              <w:rPr>
                <w:rFonts w:hint="eastAsia"/>
                <w:caps w:val="0"/>
                <w:color w:val="auto"/>
                <w:spacing w:val="0"/>
                <w:position w:val="0"/>
                <w:highlight w:val="none"/>
                <w:lang w:val="en-US" w:eastAsia="zh-CN"/>
              </w:rPr>
              <w:t>租赁江西新余矿业有限责任公司英岗岭分公司厂区，不新增用地，</w:t>
            </w:r>
            <w:r>
              <w:rPr>
                <w:rFonts w:hint="default" w:ascii="Times New Roman" w:hAnsi="Times New Roman" w:eastAsia="宋体" w:cs="Times New Roman"/>
                <w:caps w:val="0"/>
                <w:color w:val="auto"/>
                <w:spacing w:val="0"/>
                <w:kern w:val="0"/>
                <w:position w:val="0"/>
                <w:sz w:val="24"/>
                <w:szCs w:val="24"/>
                <w:highlight w:val="none"/>
                <w:lang w:val="en-US" w:eastAsia="zh-CN" w:bidi="ar-SA"/>
              </w:rPr>
              <w:t>用地性质为工业用地，符合《江西省自然资源厅关于印发&lt;江西省城镇开发边界管理实施细则（试行）&gt;的通知》（赣自然资发[2024]2号）</w:t>
            </w:r>
            <w:r>
              <w:rPr>
                <w:rFonts w:hint="eastAsia" w:cs="Times New Roman"/>
                <w:caps w:val="0"/>
                <w:color w:val="auto"/>
                <w:spacing w:val="0"/>
                <w:kern w:val="0"/>
                <w:position w:val="0"/>
                <w:sz w:val="24"/>
                <w:szCs w:val="24"/>
                <w:highlight w:val="none"/>
                <w:lang w:val="en-US" w:eastAsia="zh-CN" w:bidi="ar-SA"/>
              </w:rPr>
              <w:t>，</w:t>
            </w:r>
            <w:r>
              <w:rPr>
                <w:rFonts w:hint="default" w:ascii="Times New Roman" w:hAnsi="Times New Roman" w:eastAsia="宋体" w:cs="Times New Roman"/>
                <w:caps w:val="0"/>
                <w:color w:val="auto"/>
                <w:spacing w:val="0"/>
                <w:kern w:val="0"/>
                <w:position w:val="0"/>
                <w:sz w:val="24"/>
                <w:szCs w:val="24"/>
                <w:highlight w:val="none"/>
                <w:lang w:val="en-US" w:eastAsia="zh-CN" w:bidi="ar-SA"/>
              </w:rPr>
              <w:t>项目不属于《高安市国土空间总体规划（2021-2035年）》划定的永久基本农田，生态保护红线，符合现行的</w:t>
            </w:r>
            <w:r>
              <w:rPr>
                <w:rFonts w:hint="eastAsia"/>
                <w:caps w:val="0"/>
                <w:color w:val="auto"/>
                <w:spacing w:val="0"/>
                <w:position w:val="0"/>
                <w:highlight w:val="none"/>
              </w:rPr>
              <w:t>“三区三线”管控要求</w:t>
            </w:r>
            <w:r>
              <w:rPr>
                <w:rFonts w:hint="default" w:ascii="Times New Roman" w:hAnsi="Times New Roman" w:eastAsia="宋体" w:cs="Times New Roman"/>
                <w:caps w:val="0"/>
                <w:color w:val="auto"/>
                <w:spacing w:val="0"/>
                <w:kern w:val="0"/>
                <w:position w:val="0"/>
                <w:sz w:val="24"/>
                <w:szCs w:val="24"/>
                <w:highlight w:val="none"/>
                <w:lang w:val="en-US" w:eastAsia="zh-CN" w:bidi="ar-SA"/>
              </w:rPr>
              <w:t>，与《高安市国土空间总体规划（2021-2035年）》具有相符性。</w:t>
            </w:r>
          </w:p>
          <w:p w14:paraId="39DA6277">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b/>
                <w:bCs w:val="0"/>
                <w:caps w:val="0"/>
                <w:color w:val="auto"/>
                <w:spacing w:val="0"/>
                <w:kern w:val="0"/>
                <w:position w:val="0"/>
                <w:sz w:val="24"/>
                <w:szCs w:val="24"/>
                <w:highlight w:val="none"/>
                <w:lang w:val="en-US" w:eastAsia="zh-CN" w:bidi="ar-SA"/>
              </w:rPr>
            </w:pPr>
            <w:r>
              <w:rPr>
                <w:rFonts w:hint="default" w:ascii="Times New Roman" w:hAnsi="Times New Roman" w:eastAsia="宋体" w:cs="Times New Roman"/>
                <w:b/>
                <w:bCs w:val="0"/>
                <w:caps w:val="0"/>
                <w:color w:val="auto"/>
                <w:spacing w:val="0"/>
                <w:kern w:val="0"/>
                <w:position w:val="0"/>
                <w:sz w:val="24"/>
                <w:szCs w:val="24"/>
                <w:highlight w:val="none"/>
                <w:lang w:val="en-US" w:eastAsia="zh-CN" w:bidi="ar-SA"/>
              </w:rPr>
              <w:t>2</w:t>
            </w:r>
            <w:r>
              <w:rPr>
                <w:rFonts w:hint="eastAsia" w:cs="Times New Roman"/>
                <w:b/>
                <w:bCs w:val="0"/>
                <w:caps w:val="0"/>
                <w:color w:val="auto"/>
                <w:spacing w:val="0"/>
                <w:kern w:val="0"/>
                <w:position w:val="0"/>
                <w:sz w:val="24"/>
                <w:szCs w:val="24"/>
                <w:highlight w:val="none"/>
                <w:lang w:val="en-US" w:eastAsia="zh-CN" w:bidi="ar-SA"/>
              </w:rPr>
              <w:t>、</w:t>
            </w:r>
            <w:r>
              <w:rPr>
                <w:rFonts w:hint="default" w:ascii="Times New Roman" w:hAnsi="Times New Roman" w:eastAsia="宋体" w:cs="Times New Roman"/>
                <w:b/>
                <w:bCs w:val="0"/>
                <w:caps w:val="0"/>
                <w:color w:val="auto"/>
                <w:spacing w:val="0"/>
                <w:kern w:val="0"/>
                <w:position w:val="0"/>
                <w:sz w:val="24"/>
                <w:szCs w:val="24"/>
                <w:highlight w:val="none"/>
                <w:lang w:val="en-US" w:eastAsia="zh-CN" w:bidi="ar-SA"/>
              </w:rPr>
              <w:t>与《高安市建山镇国土空间总体规划（2021-2035年）》相符性分析</w:t>
            </w:r>
          </w:p>
          <w:p w14:paraId="4934EB1F">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kern w:val="0"/>
                <w:position w:val="0"/>
                <w:sz w:val="24"/>
                <w:szCs w:val="24"/>
                <w:highlight w:val="none"/>
                <w:lang w:val="en-US" w:eastAsia="zh-CN" w:bidi="ar-SA"/>
              </w:rPr>
            </w:pPr>
            <w:r>
              <w:rPr>
                <w:rFonts w:hint="default" w:ascii="Times New Roman" w:hAnsi="Times New Roman" w:eastAsia="宋体" w:cs="Times New Roman"/>
                <w:caps w:val="0"/>
                <w:color w:val="auto"/>
                <w:spacing w:val="0"/>
                <w:kern w:val="0"/>
                <w:position w:val="0"/>
                <w:sz w:val="24"/>
                <w:szCs w:val="24"/>
                <w:highlight w:val="none"/>
                <w:lang w:val="en-US" w:eastAsia="zh-CN" w:bidi="ar-SA"/>
              </w:rPr>
              <w:t>建山镇2021年政府工作报告指出建山镇未来五年指导思想：以习近平新时代中国特色社会主义思想为指导，深入贯彻落实党的二十大全会以及习近平总书记关于国土空间规划工作重要论述、习近平总书记视察江西重要讲话精神，全面贯彻落实党中央国务院重大决策部署和省委省政府工作要求，统筹推进“五位一体”总体布局、协调推进“四个全面”战略布局，立足新发展阶段，完整、准确、全面贯彻新发展理念，构建新发展格局，引领全镇经济社会高质量跨越式发展。坚持人民至上、坚持系统观念、坚持生态优先绿色发展，坚定维护粮食、能源、重要产业链供应链安全，以统筹划定落实耕地和永久基本农田、生态保护红线、城镇开发边界三条控制线为基础，优化镇域国土空间格局，推进国土空间高水平保护、高质量发展和高效治理。</w:t>
            </w:r>
          </w:p>
          <w:p w14:paraId="39ABE08B">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kern w:val="0"/>
                <w:position w:val="0"/>
                <w:sz w:val="24"/>
                <w:szCs w:val="24"/>
                <w:highlight w:val="none"/>
                <w:lang w:val="en-US" w:eastAsia="zh-CN" w:bidi="ar-SA"/>
              </w:rPr>
            </w:pPr>
            <w:r>
              <w:rPr>
                <w:rFonts w:hint="eastAsia"/>
                <w:caps w:val="0"/>
                <w:color w:val="auto"/>
                <w:spacing w:val="0"/>
                <w:position w:val="0"/>
                <w:highlight w:val="none"/>
              </w:rPr>
              <w:t>高安市建山镇国土空间总体</w:t>
            </w:r>
            <w:r>
              <w:rPr>
                <w:rFonts w:hint="default" w:ascii="Times New Roman" w:hAnsi="Times New Roman" w:eastAsia="宋体" w:cs="Times New Roman"/>
                <w:caps w:val="0"/>
                <w:color w:val="auto"/>
                <w:spacing w:val="0"/>
                <w:kern w:val="0"/>
                <w:position w:val="0"/>
                <w:sz w:val="24"/>
                <w:szCs w:val="24"/>
                <w:highlight w:val="none"/>
                <w:lang w:val="en-US" w:eastAsia="zh-CN" w:bidi="ar-SA"/>
              </w:rPr>
              <w:t>规划形成“一心一轴，三区两屏障”的国土空间开发保护结构。</w:t>
            </w:r>
          </w:p>
          <w:p w14:paraId="75C4428A">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kern w:val="0"/>
                <w:position w:val="0"/>
                <w:sz w:val="24"/>
                <w:szCs w:val="24"/>
                <w:highlight w:val="none"/>
                <w:lang w:val="en-US" w:eastAsia="zh-CN" w:bidi="ar-SA"/>
              </w:rPr>
            </w:pPr>
            <w:r>
              <w:rPr>
                <w:rFonts w:hint="default" w:ascii="Times New Roman" w:hAnsi="Times New Roman" w:eastAsia="宋体" w:cs="Times New Roman"/>
                <w:caps w:val="0"/>
                <w:color w:val="auto"/>
                <w:spacing w:val="0"/>
                <w:kern w:val="0"/>
                <w:position w:val="0"/>
                <w:sz w:val="24"/>
                <w:szCs w:val="24"/>
                <w:highlight w:val="none"/>
                <w:lang w:val="en-US" w:eastAsia="zh-CN" w:bidi="ar-SA"/>
              </w:rPr>
              <w:t>一心：建山镇镇区，是全镇的政治、经济、文化等中心。</w:t>
            </w:r>
          </w:p>
          <w:p w14:paraId="2E4C17D5">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kern w:val="0"/>
                <w:position w:val="0"/>
                <w:sz w:val="24"/>
                <w:szCs w:val="24"/>
                <w:highlight w:val="none"/>
                <w:lang w:val="en-US" w:eastAsia="zh-CN" w:bidi="ar-SA"/>
              </w:rPr>
            </w:pPr>
            <w:r>
              <w:rPr>
                <w:rFonts w:hint="default" w:ascii="Times New Roman" w:hAnsi="Times New Roman" w:eastAsia="宋体" w:cs="Times New Roman"/>
                <w:caps w:val="0"/>
                <w:color w:val="auto"/>
                <w:spacing w:val="0"/>
                <w:kern w:val="0"/>
                <w:position w:val="0"/>
                <w:sz w:val="24"/>
                <w:szCs w:val="24"/>
                <w:highlight w:val="none"/>
                <w:lang w:val="en-US" w:eastAsia="zh-CN" w:bidi="ar-SA"/>
              </w:rPr>
              <w:t>一轴：指的是东西城镇发展轴，即沿着S311省道打造连接周边镇区及周边行政村的城乡统筹发展轴，带动建山镇及沿线各村快速发展。</w:t>
            </w:r>
          </w:p>
          <w:p w14:paraId="7A792C3D">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kern w:val="0"/>
                <w:position w:val="0"/>
                <w:sz w:val="24"/>
                <w:szCs w:val="24"/>
                <w:highlight w:val="none"/>
                <w:lang w:val="en-US" w:eastAsia="zh-CN" w:bidi="ar-SA"/>
              </w:rPr>
            </w:pPr>
            <w:r>
              <w:rPr>
                <w:rFonts w:hint="default" w:ascii="Times New Roman" w:hAnsi="Times New Roman" w:eastAsia="宋体" w:cs="Times New Roman"/>
                <w:caps w:val="0"/>
                <w:color w:val="auto"/>
                <w:spacing w:val="0"/>
                <w:kern w:val="0"/>
                <w:position w:val="0"/>
                <w:sz w:val="24"/>
                <w:szCs w:val="24"/>
                <w:highlight w:val="none"/>
                <w:lang w:val="en-US" w:eastAsia="zh-CN" w:bidi="ar-SA"/>
              </w:rPr>
              <w:t>三区：分别为北部农旅融合发展区、东部现代农业发展区、南部特色种养发展区。</w:t>
            </w:r>
          </w:p>
          <w:p w14:paraId="36F24E85">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kern w:val="0"/>
                <w:position w:val="0"/>
                <w:sz w:val="24"/>
                <w:szCs w:val="24"/>
                <w:highlight w:val="none"/>
                <w:lang w:val="en-US" w:eastAsia="zh-CN" w:bidi="ar-SA"/>
              </w:rPr>
            </w:pPr>
            <w:r>
              <w:rPr>
                <w:rFonts w:hint="default" w:ascii="Times New Roman" w:hAnsi="Times New Roman" w:eastAsia="宋体" w:cs="Times New Roman"/>
                <w:caps w:val="0"/>
                <w:color w:val="auto"/>
                <w:spacing w:val="0"/>
                <w:kern w:val="0"/>
                <w:position w:val="0"/>
                <w:sz w:val="24"/>
                <w:szCs w:val="24"/>
                <w:highlight w:val="none"/>
                <w:lang w:val="en-US" w:eastAsia="zh-CN" w:bidi="ar-SA"/>
              </w:rPr>
              <w:t>两屏障：分别是矿山中部生态屏障和大岭南部生态屏障。</w:t>
            </w:r>
          </w:p>
          <w:p w14:paraId="0165902E">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kern w:val="0"/>
                <w:position w:val="0"/>
                <w:sz w:val="24"/>
                <w:szCs w:val="24"/>
                <w:highlight w:val="none"/>
                <w:lang w:val="en-US" w:eastAsia="zh-CN" w:bidi="ar-SA"/>
              </w:rPr>
            </w:pPr>
            <w:r>
              <w:rPr>
                <w:rFonts w:hint="default" w:ascii="Times New Roman" w:hAnsi="Times New Roman" w:eastAsia="宋体" w:cs="Times New Roman"/>
                <w:caps w:val="0"/>
                <w:color w:val="auto"/>
                <w:spacing w:val="0"/>
                <w:kern w:val="0"/>
                <w:position w:val="0"/>
                <w:sz w:val="24"/>
                <w:szCs w:val="24"/>
                <w:highlight w:val="none"/>
                <w:lang w:val="en-US" w:eastAsia="zh-CN" w:bidi="ar-SA"/>
              </w:rPr>
              <w:t>本项目位于</w:t>
            </w:r>
            <w:r>
              <w:rPr>
                <w:rFonts w:hint="eastAsia"/>
                <w:caps w:val="0"/>
                <w:color w:val="auto"/>
                <w:spacing w:val="0"/>
                <w:position w:val="0"/>
                <w:highlight w:val="none"/>
                <w:lang w:val="en-US" w:eastAsia="zh-CN"/>
              </w:rPr>
              <w:t>江西省宜春市高安市建山镇枫林村(原泰华公司工业广场南面场地)</w:t>
            </w:r>
            <w:r>
              <w:rPr>
                <w:rFonts w:hint="default" w:ascii="Times New Roman" w:hAnsi="Times New Roman" w:eastAsia="宋体" w:cs="Times New Roman"/>
                <w:caps w:val="0"/>
                <w:color w:val="auto"/>
                <w:spacing w:val="0"/>
                <w:kern w:val="0"/>
                <w:position w:val="0"/>
                <w:sz w:val="24"/>
                <w:szCs w:val="24"/>
                <w:highlight w:val="none"/>
                <w:lang w:val="en-US" w:eastAsia="zh-CN" w:bidi="ar-SA"/>
              </w:rPr>
              <w:t>，</w:t>
            </w:r>
            <w:r>
              <w:rPr>
                <w:rFonts w:hint="eastAsia" w:cs="Times New Roman"/>
                <w:caps w:val="0"/>
                <w:color w:val="auto"/>
                <w:spacing w:val="0"/>
                <w:kern w:val="0"/>
                <w:position w:val="0"/>
                <w:sz w:val="24"/>
                <w:szCs w:val="24"/>
                <w:highlight w:val="none"/>
                <w:lang w:val="en-US" w:eastAsia="zh-CN" w:bidi="ar-SA"/>
              </w:rPr>
              <w:t>属于</w:t>
            </w:r>
            <w:r>
              <w:rPr>
                <w:rFonts w:hint="default" w:ascii="Times New Roman" w:hAnsi="Times New Roman" w:eastAsia="宋体" w:cs="Times New Roman"/>
                <w:caps w:val="0"/>
                <w:color w:val="auto"/>
                <w:spacing w:val="0"/>
                <w:kern w:val="0"/>
                <w:position w:val="0"/>
                <w:sz w:val="24"/>
                <w:szCs w:val="24"/>
                <w:highlight w:val="none"/>
                <w:lang w:val="en-US" w:eastAsia="zh-CN" w:bidi="ar-SA"/>
              </w:rPr>
              <w:t>东西城镇发展轴，</w:t>
            </w:r>
            <w:r>
              <w:rPr>
                <w:rFonts w:hint="eastAsia" w:cs="Times New Roman"/>
                <w:caps w:val="0"/>
                <w:color w:val="auto"/>
                <w:spacing w:val="0"/>
                <w:kern w:val="0"/>
                <w:position w:val="0"/>
                <w:sz w:val="24"/>
                <w:szCs w:val="24"/>
                <w:highlight w:val="none"/>
                <w:lang w:val="en-US" w:eastAsia="zh-CN" w:bidi="ar-SA"/>
              </w:rPr>
              <w:t>为</w:t>
            </w:r>
            <w:r>
              <w:rPr>
                <w:rFonts w:hint="default" w:ascii="Times New Roman" w:hAnsi="Times New Roman" w:eastAsia="宋体" w:cs="Times New Roman"/>
                <w:caps w:val="0"/>
                <w:color w:val="auto"/>
                <w:spacing w:val="0"/>
                <w:kern w:val="0"/>
                <w:position w:val="0"/>
                <w:sz w:val="24"/>
                <w:szCs w:val="24"/>
                <w:highlight w:val="none"/>
                <w:lang w:val="en-US" w:eastAsia="zh-CN" w:bidi="ar-SA"/>
              </w:rPr>
              <w:t>工业用地，符合建山镇规划要求。</w:t>
            </w:r>
          </w:p>
        </w:tc>
      </w:tr>
      <w:tr w14:paraId="4F2BB7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81" w:type="pct"/>
            <w:noWrap w:val="0"/>
            <w:vAlign w:val="center"/>
          </w:tcPr>
          <w:p w14:paraId="6DB3EE28">
            <w:pPr>
              <w:pStyle w:val="75"/>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kern w:val="0"/>
                <w:position w:val="0"/>
                <w:szCs w:val="24"/>
                <w:highlight w:val="none"/>
              </w:rPr>
            </w:pPr>
            <w:r>
              <w:rPr>
                <w:rFonts w:hint="default"/>
                <w:caps w:val="0"/>
                <w:color w:val="auto"/>
                <w:spacing w:val="0"/>
                <w:position w:val="0"/>
                <w:highlight w:val="none"/>
              </w:rPr>
              <w:t>其他符合性分析</w:t>
            </w:r>
          </w:p>
        </w:tc>
        <w:tc>
          <w:tcPr>
            <w:tcW w:w="4118" w:type="pct"/>
            <w:gridSpan w:val="3"/>
            <w:noWrap w:val="0"/>
            <w:vAlign w:val="center"/>
          </w:tcPr>
          <w:p w14:paraId="63A151C0">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lang w:val="en-US" w:eastAsia="zh-CN"/>
              </w:rPr>
              <w:t>1、</w:t>
            </w:r>
            <w:r>
              <w:rPr>
                <w:rFonts w:hint="default"/>
                <w:b/>
                <w:bCs w:val="0"/>
                <w:caps w:val="0"/>
                <w:color w:val="auto"/>
                <w:spacing w:val="0"/>
                <w:position w:val="0"/>
                <w:highlight w:val="none"/>
              </w:rPr>
              <w:t>产业政策符合性分析</w:t>
            </w:r>
          </w:p>
          <w:p w14:paraId="61D55254">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（1）与《产业结构调整指导目录》（20</w:t>
            </w:r>
            <w:r>
              <w:rPr>
                <w:rFonts w:hint="eastAsia"/>
                <w:caps w:val="0"/>
                <w:color w:val="auto"/>
                <w:spacing w:val="0"/>
                <w:position w:val="0"/>
                <w:highlight w:val="none"/>
                <w:lang w:val="en-US" w:eastAsia="zh-CN"/>
              </w:rPr>
              <w:t>24</w:t>
            </w:r>
            <w:r>
              <w:rPr>
                <w:rFonts w:hint="default"/>
                <w:caps w:val="0"/>
                <w:color w:val="auto"/>
                <w:spacing w:val="0"/>
                <w:position w:val="0"/>
                <w:highlight w:val="none"/>
                <w:lang w:val="en-US" w:eastAsia="zh-CN"/>
              </w:rPr>
              <w:t>本）相符性</w:t>
            </w:r>
          </w:p>
          <w:p w14:paraId="087A4753">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zh-CN" w:eastAsia="zh-CN"/>
              </w:rPr>
            </w:pPr>
            <w:r>
              <w:rPr>
                <w:rFonts w:hint="eastAsia"/>
                <w:caps w:val="0"/>
                <w:color w:val="auto"/>
                <w:spacing w:val="0"/>
                <w:position w:val="0"/>
                <w:highlight w:val="none"/>
                <w:lang w:val="zh-CN" w:eastAsia="zh-CN"/>
              </w:rPr>
              <w:t>根据《产业结构调整指导目录（2024年本）》，本项目为N7723固体废物治理、C3031粘土砖瓦及建筑砌块制造，以上游锂电企业鉴定为一般固废的锂冶炼剩余物、</w:t>
            </w:r>
            <w:r>
              <w:rPr>
                <w:rFonts w:hint="eastAsia"/>
                <w:caps w:val="0"/>
                <w:color w:val="auto"/>
                <w:spacing w:val="0"/>
                <w:position w:val="0"/>
                <w:highlight w:val="none"/>
                <w:lang w:val="en-US" w:eastAsia="zh-CN"/>
              </w:rPr>
              <w:t>石粉</w:t>
            </w:r>
            <w:r>
              <w:rPr>
                <w:rFonts w:hint="eastAsia"/>
                <w:caps w:val="0"/>
                <w:color w:val="auto"/>
                <w:spacing w:val="0"/>
                <w:position w:val="0"/>
                <w:highlight w:val="none"/>
                <w:lang w:val="zh-CN" w:eastAsia="zh-CN"/>
              </w:rPr>
              <w:t>和建筑石料加工厂的</w:t>
            </w:r>
            <w:r>
              <w:rPr>
                <w:rFonts w:hint="eastAsia"/>
                <w:caps w:val="0"/>
                <w:color w:val="auto"/>
                <w:spacing w:val="0"/>
                <w:position w:val="0"/>
                <w:highlight w:val="none"/>
                <w:lang w:val="en-US" w:eastAsia="zh-CN"/>
              </w:rPr>
              <w:t>压榨尾泥等</w:t>
            </w:r>
            <w:r>
              <w:rPr>
                <w:rFonts w:hint="eastAsia"/>
                <w:caps w:val="0"/>
                <w:color w:val="auto"/>
                <w:spacing w:val="0"/>
                <w:position w:val="0"/>
                <w:highlight w:val="none"/>
                <w:lang w:val="zh-CN" w:eastAsia="zh-CN"/>
              </w:rPr>
              <w:t>作原料生产建筑材料，属于“第一类鼓励类”中“四十二、环境保护与资源节约综合利用8、废弃物循环利用：煤研石、粉煤灰、尾矿（共伴生矿）、冶炼渣、工业副产石膏、赤泥、建筑废料等工业废弃物循环利用”，项目建设符合当前国家产业政策。</w:t>
            </w:r>
          </w:p>
          <w:p w14:paraId="70390DA3">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（2）与《自然资源要素支撑产业高质量发展指导目录（2024年本）》符合性</w:t>
            </w:r>
          </w:p>
          <w:p w14:paraId="795D4E09">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本项目位于</w:t>
            </w:r>
            <w:r>
              <w:rPr>
                <w:rFonts w:hint="eastAsia"/>
                <w:caps w:val="0"/>
                <w:color w:val="auto"/>
                <w:spacing w:val="0"/>
                <w:position w:val="0"/>
                <w:highlight w:val="none"/>
                <w:lang w:val="en-US" w:eastAsia="zh-CN"/>
              </w:rPr>
              <w:t>江西省宜春市高安市建山镇枫林村(原泰华公司工业广场南面场地)</w:t>
            </w:r>
            <w:r>
              <w:rPr>
                <w:rFonts w:hint="default"/>
                <w:caps w:val="0"/>
                <w:color w:val="auto"/>
                <w:spacing w:val="0"/>
                <w:position w:val="0"/>
                <w:highlight w:val="none"/>
                <w:lang w:val="en-US" w:eastAsia="zh-CN"/>
              </w:rPr>
              <w:t>，所属用地为工业用地，对照《自然资源要素支撑产业高质量发展指导目录（2024年本）》的通知，本项目在鼓励类、限制类和禁止类之外，且符合国家有关法律法规和政策规定，属于允许类，符合国家土地供应政策。</w:t>
            </w:r>
          </w:p>
          <w:p w14:paraId="68E6A7F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（3）产业政策相符性分析</w:t>
            </w:r>
          </w:p>
          <w:p w14:paraId="25B8BE35">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高安市行政审批局</w:t>
            </w:r>
            <w:r>
              <w:rPr>
                <w:rFonts w:hint="default"/>
                <w:caps w:val="0"/>
                <w:color w:val="auto"/>
                <w:spacing w:val="0"/>
                <w:position w:val="0"/>
                <w:highlight w:val="none"/>
                <w:lang w:val="en-US" w:eastAsia="zh-CN"/>
              </w:rPr>
              <w:t>对本项目进行了备案，并下发《江西省企业投资项目备案登记信息表》（项目统一代码为：</w:t>
            </w:r>
            <w:r>
              <w:rPr>
                <w:rFonts w:hint="eastAsia"/>
                <w:caps w:val="0"/>
                <w:color w:val="auto"/>
                <w:spacing w:val="0"/>
                <w:position w:val="0"/>
                <w:highlight w:val="none"/>
                <w:lang w:val="en-US" w:eastAsia="zh-CN"/>
              </w:rPr>
              <w:t>2506-360983-04-01-405966</w:t>
            </w:r>
            <w:r>
              <w:rPr>
                <w:rFonts w:hint="default"/>
                <w:caps w:val="0"/>
                <w:color w:val="auto"/>
                <w:spacing w:val="0"/>
                <w:position w:val="0"/>
                <w:highlight w:val="none"/>
                <w:lang w:val="en-US" w:eastAsia="zh-CN"/>
              </w:rPr>
              <w:t>），因此，该项目建设符合地方产业政策。</w:t>
            </w:r>
          </w:p>
          <w:p w14:paraId="47AE1D61">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综上，本项目的实施符合国家及地方的产业政策要求。</w:t>
            </w:r>
          </w:p>
          <w:p w14:paraId="52844778">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lang w:val="en-US" w:eastAsia="zh-CN"/>
              </w:rPr>
            </w:pPr>
            <w:r>
              <w:rPr>
                <w:rFonts w:hint="default"/>
                <w:b/>
                <w:bCs w:val="0"/>
                <w:caps w:val="0"/>
                <w:color w:val="auto"/>
                <w:spacing w:val="0"/>
                <w:position w:val="0"/>
                <w:highlight w:val="none"/>
                <w:lang w:val="en-US" w:eastAsia="zh-CN"/>
              </w:rPr>
              <w:t>2、选址规划合理性分析</w:t>
            </w:r>
          </w:p>
          <w:p w14:paraId="4C23996B">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w:t>
            </w:r>
            <w:r>
              <w:rPr>
                <w:rFonts w:hint="default"/>
                <w:caps w:val="0"/>
                <w:color w:val="auto"/>
                <w:spacing w:val="0"/>
                <w:position w:val="0"/>
                <w:highlight w:val="none"/>
                <w:lang w:val="en-US"/>
              </w:rPr>
              <w:t>1</w:t>
            </w:r>
            <w:r>
              <w:rPr>
                <w:rFonts w:hint="default"/>
                <w:caps w:val="0"/>
                <w:color w:val="auto"/>
                <w:spacing w:val="0"/>
                <w:position w:val="0"/>
                <w:highlight w:val="none"/>
              </w:rPr>
              <w:t>）规划符合性分析</w:t>
            </w:r>
          </w:p>
          <w:p w14:paraId="56821F76">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项目位于</w:t>
            </w:r>
            <w:r>
              <w:rPr>
                <w:rFonts w:hint="eastAsia"/>
                <w:caps w:val="0"/>
                <w:color w:val="auto"/>
                <w:spacing w:val="0"/>
                <w:position w:val="0"/>
                <w:highlight w:val="none"/>
                <w:lang w:val="en-US" w:eastAsia="zh-CN"/>
              </w:rPr>
              <w:t>江西省宜春市高安市建山镇枫林村(原泰华公司工业广场南面场地)区</w:t>
            </w:r>
            <w:r>
              <w:rPr>
                <w:rFonts w:hint="default"/>
                <w:caps w:val="0"/>
                <w:color w:val="auto"/>
                <w:spacing w:val="0"/>
                <w:position w:val="0"/>
                <w:highlight w:val="none"/>
                <w:lang w:val="en-US"/>
              </w:rPr>
              <w:t>，</w:t>
            </w:r>
            <w:r>
              <w:rPr>
                <w:rFonts w:hint="default"/>
                <w:caps w:val="0"/>
                <w:color w:val="auto"/>
                <w:spacing w:val="0"/>
                <w:position w:val="0"/>
                <w:highlight w:val="none"/>
              </w:rPr>
              <w:t>项目用地</w:t>
            </w:r>
            <w:r>
              <w:rPr>
                <w:rFonts w:hint="default"/>
                <w:caps w:val="0"/>
                <w:color w:val="auto"/>
                <w:spacing w:val="0"/>
                <w:position w:val="0"/>
                <w:highlight w:val="none"/>
                <w:lang w:val="en-US" w:eastAsia="zh-CN"/>
              </w:rPr>
              <w:t>为工业用地，</w:t>
            </w:r>
            <w:r>
              <w:rPr>
                <w:rFonts w:hint="default"/>
                <w:caps w:val="0"/>
                <w:color w:val="auto"/>
                <w:spacing w:val="0"/>
                <w:position w:val="0"/>
                <w:highlight w:val="none"/>
              </w:rPr>
              <w:t>用地性质符合。</w:t>
            </w:r>
          </w:p>
          <w:p w14:paraId="1268E3EB">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w:t>
            </w:r>
            <w:r>
              <w:rPr>
                <w:rFonts w:hint="default"/>
                <w:caps w:val="0"/>
                <w:color w:val="auto"/>
                <w:spacing w:val="0"/>
                <w:position w:val="0"/>
                <w:highlight w:val="none"/>
                <w:lang w:val="en-US"/>
              </w:rPr>
              <w:t>2</w:t>
            </w:r>
            <w:r>
              <w:rPr>
                <w:rFonts w:hint="default"/>
                <w:caps w:val="0"/>
                <w:color w:val="auto"/>
                <w:spacing w:val="0"/>
                <w:position w:val="0"/>
                <w:highlight w:val="none"/>
              </w:rPr>
              <w:t>）环境相容性分析</w:t>
            </w:r>
          </w:p>
          <w:p w14:paraId="2E66925F">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项目</w:t>
            </w:r>
            <w:r>
              <w:rPr>
                <w:rFonts w:hint="default"/>
                <w:caps w:val="0"/>
                <w:color w:val="auto"/>
                <w:spacing w:val="0"/>
                <w:position w:val="0"/>
                <w:highlight w:val="none"/>
              </w:rPr>
              <w:t>所在区域不处在国家法律、法规、行政规章及规划确定或县级以上人民政府批准的饮用水水源保护区、自然保护区、风景名胜区、生态功能保护区等需要特殊保护的地区范围内</w:t>
            </w:r>
            <w:r>
              <w:rPr>
                <w:rFonts w:hint="default"/>
                <w:caps w:val="0"/>
                <w:color w:val="auto"/>
                <w:spacing w:val="0"/>
                <w:position w:val="0"/>
                <w:highlight w:val="none"/>
                <w:lang w:eastAsia="zh-CN"/>
              </w:rPr>
              <w:t>。</w:t>
            </w:r>
            <w:r>
              <w:rPr>
                <w:rFonts w:hint="default"/>
                <w:caps w:val="0"/>
                <w:color w:val="auto"/>
                <w:spacing w:val="0"/>
                <w:position w:val="0"/>
                <w:highlight w:val="none"/>
              </w:rPr>
              <w:t>根据项目现场实地调查可知，项目东面</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南面均为林地，北侧为新余矿业有限责任公司，西面为江西江路新型建材有限公司，其主要产品均为新型建筑材料。</w:t>
            </w:r>
            <w:r>
              <w:rPr>
                <w:rFonts w:hint="default"/>
                <w:caps w:val="0"/>
                <w:color w:val="auto"/>
                <w:spacing w:val="0"/>
                <w:position w:val="0"/>
                <w:highlight w:val="none"/>
              </w:rPr>
              <w:t>项目周边企业不属于敏感企业</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根据现场踏勘，项目厂界50m范围内无敏感点</w:t>
            </w:r>
            <w:r>
              <w:rPr>
                <w:rFonts w:hint="default"/>
                <w:caps w:val="0"/>
                <w:color w:val="auto"/>
                <w:spacing w:val="0"/>
                <w:position w:val="0"/>
                <w:highlight w:val="none"/>
                <w:lang w:val="en-US" w:eastAsia="zh-CN"/>
              </w:rPr>
              <w:t>，</w:t>
            </w:r>
            <w:r>
              <w:rPr>
                <w:rFonts w:hint="eastAsia"/>
                <w:caps w:val="0"/>
                <w:color w:val="auto"/>
                <w:spacing w:val="0"/>
                <w:position w:val="0"/>
                <w:highlight w:val="none"/>
                <w:lang w:val="en-US" w:eastAsia="zh-CN"/>
              </w:rPr>
              <w:t>距离最近敏感点为东北角227m处的散居居民处，满足项目卫生防护距离要求，且</w:t>
            </w:r>
            <w:r>
              <w:rPr>
                <w:rFonts w:hint="default"/>
                <w:caps w:val="0"/>
                <w:color w:val="auto"/>
                <w:spacing w:val="0"/>
                <w:position w:val="0"/>
                <w:highlight w:val="none"/>
              </w:rPr>
              <w:t>无相互制约性企业，与外环境兼容性较好</w:t>
            </w:r>
            <w:r>
              <w:rPr>
                <w:rFonts w:hint="default"/>
                <w:caps w:val="0"/>
                <w:color w:val="auto"/>
                <w:spacing w:val="0"/>
                <w:position w:val="0"/>
                <w:highlight w:val="none"/>
                <w:lang w:eastAsia="zh-CN"/>
              </w:rPr>
              <w:t>。</w:t>
            </w:r>
          </w:p>
          <w:p w14:paraId="43D6C81C">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lang w:val="en-US" w:eastAsia="zh-CN"/>
              </w:rPr>
            </w:pPr>
            <w:r>
              <w:rPr>
                <w:rFonts w:hint="eastAsia"/>
                <w:b/>
                <w:bCs w:val="0"/>
                <w:caps w:val="0"/>
                <w:color w:val="auto"/>
                <w:spacing w:val="0"/>
                <w:position w:val="0"/>
                <w:highlight w:val="none"/>
                <w:lang w:val="en-US" w:eastAsia="zh-CN"/>
              </w:rPr>
              <w:t>3</w:t>
            </w:r>
            <w:r>
              <w:rPr>
                <w:rFonts w:hint="default"/>
                <w:b/>
                <w:bCs w:val="0"/>
                <w:caps w:val="0"/>
                <w:color w:val="auto"/>
                <w:spacing w:val="0"/>
                <w:position w:val="0"/>
                <w:highlight w:val="none"/>
              </w:rPr>
              <w:t>、</w:t>
            </w:r>
            <w:r>
              <w:rPr>
                <w:rFonts w:hint="eastAsia"/>
                <w:b/>
                <w:bCs w:val="0"/>
                <w:caps w:val="0"/>
                <w:color w:val="auto"/>
                <w:spacing w:val="0"/>
                <w:position w:val="0"/>
                <w:highlight w:val="none"/>
              </w:rPr>
              <w:t>“三线一单”</w:t>
            </w:r>
            <w:r>
              <w:rPr>
                <w:rFonts w:hint="default"/>
                <w:b/>
                <w:bCs w:val="0"/>
                <w:caps w:val="0"/>
                <w:color w:val="auto"/>
                <w:spacing w:val="0"/>
                <w:position w:val="0"/>
                <w:highlight w:val="none"/>
              </w:rPr>
              <w:t>相符性分析</w:t>
            </w:r>
          </w:p>
          <w:p w14:paraId="4A010A65">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eastAsia"/>
                <w:caps w:val="0"/>
                <w:color w:val="auto"/>
                <w:spacing w:val="0"/>
                <w:position w:val="0"/>
                <w:highlight w:val="none"/>
              </w:rPr>
              <w:t>根据原环保部《关于以改善环境质量为核心加强环境影响评价管理的通知》（环环评〔2016〕150号）要求，切实加强环境影响评价管理，落实“生态保护红线、环境质量底线、资源利用上线和环境准入负面清单”约束，建立项目环评审批与规划环评、现有项目环境管理、区域环境质量联动机制，更好地发挥环评制度从源头防范环境污染和生态破坏的作用，加快推进改善环境质量。</w:t>
            </w:r>
          </w:p>
          <w:p w14:paraId="07439DAD">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（1）生态保护红线</w:t>
            </w:r>
          </w:p>
          <w:p w14:paraId="74BFACDA">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default"/>
                <w:caps w:val="0"/>
                <w:color w:val="auto"/>
                <w:spacing w:val="0"/>
                <w:position w:val="0"/>
                <w:highlight w:val="none"/>
              </w:rPr>
              <w:t>本项目位于</w:t>
            </w:r>
            <w:r>
              <w:rPr>
                <w:rFonts w:hint="eastAsia"/>
                <w:caps w:val="0"/>
                <w:color w:val="auto"/>
                <w:spacing w:val="0"/>
                <w:position w:val="0"/>
                <w:highlight w:val="none"/>
                <w:lang w:eastAsia="zh-CN"/>
              </w:rPr>
              <w:t>江西省宜春市高安市建山镇枫林村(原泰华公司工业广场南面场地)</w:t>
            </w:r>
            <w:r>
              <w:rPr>
                <w:rFonts w:hint="default"/>
                <w:caps w:val="0"/>
                <w:color w:val="auto"/>
                <w:spacing w:val="0"/>
                <w:position w:val="0"/>
                <w:highlight w:val="none"/>
              </w:rPr>
              <w:t>，对照生态保护红线划定范围图（详见附图），本项目不在生态保护红线内</w:t>
            </w:r>
            <w:r>
              <w:rPr>
                <w:rFonts w:hint="eastAsia"/>
                <w:caps w:val="0"/>
                <w:color w:val="auto"/>
                <w:spacing w:val="0"/>
                <w:position w:val="0"/>
                <w:highlight w:val="none"/>
                <w:lang w:eastAsia="zh-CN"/>
              </w:rPr>
              <w:t>。</w:t>
            </w:r>
          </w:p>
          <w:p w14:paraId="76F49A68">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（2）环境质量底线</w:t>
            </w:r>
          </w:p>
          <w:p w14:paraId="20D47B8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项目所在区域的环境质量底线为：环境空气质量</w:t>
            </w:r>
            <w:r>
              <w:rPr>
                <w:rFonts w:hint="eastAsia"/>
                <w:caps w:val="0"/>
                <w:color w:val="auto"/>
                <w:spacing w:val="0"/>
                <w:position w:val="0"/>
                <w:highlight w:val="none"/>
                <w:lang w:val="en-US" w:eastAsia="zh-CN"/>
              </w:rPr>
              <w:t>目标</w:t>
            </w:r>
            <w:r>
              <w:rPr>
                <w:rFonts w:hint="default"/>
                <w:caps w:val="0"/>
                <w:color w:val="auto"/>
                <w:spacing w:val="0"/>
                <w:position w:val="0"/>
                <w:highlight w:val="none"/>
              </w:rPr>
              <w:t>为《环境空气质量标准》（GB3095-2012）二级；水环境质量目标为《地表水环境质量标准》（GB3838-2002）III类；</w:t>
            </w:r>
            <w:r>
              <w:rPr>
                <w:rFonts w:hint="eastAsia"/>
                <w:caps w:val="0"/>
                <w:color w:val="auto"/>
                <w:spacing w:val="0"/>
                <w:position w:val="0"/>
                <w:highlight w:val="none"/>
              </w:rPr>
              <w:t>声环境质量</w:t>
            </w:r>
            <w:r>
              <w:rPr>
                <w:rFonts w:hint="eastAsia"/>
                <w:caps w:val="0"/>
                <w:color w:val="auto"/>
                <w:spacing w:val="0"/>
                <w:position w:val="0"/>
                <w:highlight w:val="none"/>
                <w:lang w:val="en-US" w:eastAsia="zh-CN"/>
              </w:rPr>
              <w:t>目标为</w:t>
            </w:r>
            <w:r>
              <w:rPr>
                <w:rFonts w:hint="eastAsia"/>
                <w:caps w:val="0"/>
                <w:color w:val="auto"/>
                <w:spacing w:val="0"/>
                <w:position w:val="0"/>
                <w:highlight w:val="none"/>
              </w:rPr>
              <w:t>《声环境质量标准》（GB3906-2008）中的</w:t>
            </w:r>
            <w:r>
              <w:rPr>
                <w:rFonts w:hint="eastAsia"/>
                <w:caps w:val="0"/>
                <w:color w:val="auto"/>
                <w:spacing w:val="0"/>
                <w:position w:val="0"/>
                <w:highlight w:val="none"/>
                <w:lang w:val="en-US" w:eastAsia="zh-CN"/>
              </w:rPr>
              <w:t>2</w:t>
            </w:r>
            <w:r>
              <w:rPr>
                <w:rFonts w:hint="eastAsia"/>
                <w:caps w:val="0"/>
                <w:color w:val="auto"/>
                <w:spacing w:val="0"/>
                <w:position w:val="0"/>
                <w:highlight w:val="none"/>
              </w:rPr>
              <w:t>类标准</w:t>
            </w:r>
            <w:r>
              <w:rPr>
                <w:rFonts w:hint="default"/>
                <w:caps w:val="0"/>
                <w:color w:val="auto"/>
                <w:spacing w:val="0"/>
                <w:position w:val="0"/>
                <w:highlight w:val="none"/>
              </w:rPr>
              <w:t>。</w:t>
            </w:r>
          </w:p>
          <w:p w14:paraId="129475C4">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采取本环评提出的相关防治措施后，本项目排放的污染物不会突破区域环境质量底线。</w:t>
            </w:r>
          </w:p>
          <w:p w14:paraId="647693C0">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（3）资源利用上线</w:t>
            </w:r>
          </w:p>
          <w:p w14:paraId="340F2BC1">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自然资源利用上线是从促进资源能源节约、保障资源高效利用、确保必不可少的环境容量角度，不应突破资源利用最高限值。本项目运行期间占用电源、水资源、土地等资源消耗占当地资源能源比例较低，不会突破地区的资源利用上限。</w:t>
            </w:r>
          </w:p>
          <w:p w14:paraId="450E606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（4）生态环境准入负面清单</w:t>
            </w:r>
          </w:p>
          <w:p w14:paraId="56AD1C1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对照宜春市2023年“三线一单”分区管控成果动态更新情况，本项目位于</w:t>
            </w:r>
            <w:r>
              <w:rPr>
                <w:rFonts w:hint="eastAsia"/>
                <w:caps w:val="0"/>
                <w:color w:val="auto"/>
                <w:spacing w:val="0"/>
                <w:position w:val="0"/>
                <w:highlight w:val="none"/>
                <w:lang w:val="en-US" w:eastAsia="zh-CN"/>
              </w:rPr>
              <w:t>江西省宜春市高安市建山镇枫林村(原泰华公司工业广场南面场地)</w:t>
            </w:r>
            <w:r>
              <w:rPr>
                <w:rFonts w:hint="default"/>
                <w:caps w:val="0"/>
                <w:color w:val="auto"/>
                <w:spacing w:val="0"/>
                <w:position w:val="0"/>
                <w:highlight w:val="none"/>
              </w:rPr>
              <w:t>，属于江西省宜春市高安市一般管控单元1</w:t>
            </w:r>
            <w:r>
              <w:rPr>
                <w:rFonts w:hint="eastAsia"/>
                <w:caps w:val="0"/>
                <w:color w:val="auto"/>
                <w:spacing w:val="0"/>
                <w:position w:val="0"/>
                <w:highlight w:val="none"/>
                <w:lang w:val="en-US" w:eastAsia="zh-CN"/>
              </w:rPr>
              <w:t>（环境管控单元编码：ZH36098330001）</w:t>
            </w:r>
            <w:r>
              <w:rPr>
                <w:rFonts w:hint="default"/>
                <w:caps w:val="0"/>
                <w:color w:val="auto"/>
                <w:spacing w:val="0"/>
                <w:position w:val="0"/>
                <w:highlight w:val="none"/>
              </w:rPr>
              <w:t>；项目主要污染物经治理后可达标排放，满足该区域生态环境保护的要求，符合生态环境分区管控的要求该单元生态环境准入清单见</w:t>
            </w:r>
            <w:r>
              <w:rPr>
                <w:rFonts w:hint="eastAsia"/>
                <w:caps w:val="0"/>
                <w:color w:val="auto"/>
                <w:spacing w:val="0"/>
                <w:position w:val="0"/>
                <w:highlight w:val="none"/>
                <w:lang w:val="en-US" w:eastAsia="zh-CN"/>
              </w:rPr>
              <w:t>下</w:t>
            </w:r>
            <w:r>
              <w:rPr>
                <w:rFonts w:hint="default"/>
                <w:caps w:val="0"/>
                <w:color w:val="auto"/>
                <w:spacing w:val="0"/>
                <w:position w:val="0"/>
                <w:highlight w:val="none"/>
              </w:rPr>
              <w:t>表。</w:t>
            </w:r>
          </w:p>
          <w:p w14:paraId="1147FBED">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rPr>
              <w:t>表</w:t>
            </w:r>
            <w:r>
              <w:rPr>
                <w:rFonts w:hint="eastAsia"/>
                <w:caps w:val="0"/>
                <w:color w:val="auto"/>
                <w:spacing w:val="0"/>
                <w:position w:val="0"/>
                <w:highlight w:val="none"/>
                <w:lang w:val="en-US" w:eastAsia="zh-CN"/>
              </w:rPr>
              <w:t>1-2 江西省生态环境总体准入清单相符性</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7"/>
              <w:gridCol w:w="4736"/>
              <w:gridCol w:w="1216"/>
              <w:gridCol w:w="695"/>
            </w:tblGrid>
            <w:tr w14:paraId="39092F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90" w:type="pct"/>
                  <w:gridSpan w:val="2"/>
                  <w:tcBorders>
                    <w:tl2br w:val="nil"/>
                    <w:tr2bl w:val="nil"/>
                  </w:tcBorders>
                  <w:vAlign w:val="center"/>
                </w:tcPr>
                <w:p w14:paraId="4F23DE0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清单要求</w:t>
                  </w:r>
                </w:p>
              </w:tc>
              <w:tc>
                <w:tcPr>
                  <w:tcW w:w="833" w:type="pct"/>
                  <w:tcBorders>
                    <w:tl2br w:val="nil"/>
                    <w:tr2bl w:val="nil"/>
                  </w:tcBorders>
                  <w:vAlign w:val="center"/>
                </w:tcPr>
                <w:p w14:paraId="182D93C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本项目情况</w:t>
                  </w:r>
                </w:p>
              </w:tc>
              <w:tc>
                <w:tcPr>
                  <w:tcW w:w="476" w:type="pct"/>
                  <w:tcBorders>
                    <w:tl2br w:val="nil"/>
                    <w:tr2bl w:val="nil"/>
                  </w:tcBorders>
                  <w:vAlign w:val="center"/>
                </w:tcPr>
                <w:p w14:paraId="40749FB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相符性</w:t>
                  </w:r>
                </w:p>
              </w:tc>
            </w:tr>
            <w:tr w14:paraId="6ED02B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restart"/>
                  <w:tcBorders>
                    <w:tl2br w:val="nil"/>
                    <w:tr2bl w:val="nil"/>
                  </w:tcBorders>
                  <w:vAlign w:val="center"/>
                </w:tcPr>
                <w:p w14:paraId="7092527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空间布局约束</w:t>
                  </w:r>
                </w:p>
              </w:tc>
              <w:tc>
                <w:tcPr>
                  <w:tcW w:w="3246" w:type="pct"/>
                  <w:tcBorders>
                    <w:tl2br w:val="nil"/>
                    <w:tr2bl w:val="nil"/>
                  </w:tcBorders>
                  <w:vAlign w:val="center"/>
                </w:tcPr>
                <w:p w14:paraId="1A9ABA8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禁止新、扩建不符合国家石化、现代煤化工等产业布局规划的项目。禁止新建、扩建法律法规和相关政策明令禁止的落后产能项目。禁止开展投资建设属于淘汰类的项目及其相关活动，禁止开展投资新建、扩建属于限制类的项目及其相关活动。禁止新建、扩建不符合国家产能置换要求的钢铁、电解铝、水泥熟料、平板玻璃、船舶等严重过剩产能行业的项目。对确有必要建设的，必须严格执行产能置换实施办法，实施减量或等量置换，依法依规办理有关手续。禁止新建、扩建不符合要求的高耗能高排放项目。</w:t>
                  </w:r>
                </w:p>
              </w:tc>
              <w:tc>
                <w:tcPr>
                  <w:tcW w:w="833" w:type="pct"/>
                  <w:tcBorders>
                    <w:tl2br w:val="nil"/>
                    <w:tr2bl w:val="nil"/>
                  </w:tcBorders>
                  <w:vAlign w:val="center"/>
                </w:tcPr>
                <w:p w14:paraId="2C6B05F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本项目不属于</w:t>
                  </w:r>
                </w:p>
              </w:tc>
              <w:tc>
                <w:tcPr>
                  <w:tcW w:w="476" w:type="pct"/>
                  <w:tcBorders>
                    <w:tl2br w:val="nil"/>
                    <w:tr2bl w:val="nil"/>
                  </w:tcBorders>
                  <w:vAlign w:val="center"/>
                </w:tcPr>
                <w:p w14:paraId="78C7A04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0A708D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41DE744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246" w:type="pct"/>
                  <w:tcBorders>
                    <w:tl2br w:val="nil"/>
                    <w:tr2bl w:val="nil"/>
                  </w:tcBorders>
                  <w:vAlign w:val="center"/>
                </w:tcPr>
                <w:p w14:paraId="143B22D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县级及以上城市建成区原则上不再新建35蒸吨/小时及以下燃煤锅炉。</w:t>
                  </w:r>
                </w:p>
              </w:tc>
              <w:tc>
                <w:tcPr>
                  <w:tcW w:w="833" w:type="pct"/>
                  <w:tcBorders>
                    <w:tl2br w:val="nil"/>
                    <w:tr2bl w:val="nil"/>
                  </w:tcBorders>
                  <w:vAlign w:val="center"/>
                </w:tcPr>
                <w:p w14:paraId="66D650C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rPr>
                  </w:pPr>
                  <w:r>
                    <w:rPr>
                      <w:rFonts w:hint="default"/>
                      <w:caps w:val="0"/>
                      <w:color w:val="auto"/>
                      <w:spacing w:val="0"/>
                      <w:position w:val="0"/>
                      <w:highlight w:val="none"/>
                    </w:rPr>
                    <w:t>本项目</w:t>
                  </w:r>
                  <w:r>
                    <w:rPr>
                      <w:rFonts w:hint="eastAsia"/>
                      <w:caps w:val="0"/>
                      <w:color w:val="auto"/>
                      <w:spacing w:val="0"/>
                      <w:position w:val="0"/>
                      <w:highlight w:val="none"/>
                      <w:lang w:val="en-US" w:eastAsia="zh-CN"/>
                    </w:rPr>
                    <w:t>不涉及燃煤锅炉</w:t>
                  </w:r>
                </w:p>
              </w:tc>
              <w:tc>
                <w:tcPr>
                  <w:tcW w:w="476" w:type="pct"/>
                  <w:tcBorders>
                    <w:tl2br w:val="nil"/>
                    <w:tr2bl w:val="nil"/>
                  </w:tcBorders>
                  <w:vAlign w:val="center"/>
                </w:tcPr>
                <w:p w14:paraId="1D22C16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7B7ADA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6A9D398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246" w:type="pct"/>
                  <w:tcBorders>
                    <w:tl2br w:val="nil"/>
                    <w:tr2bl w:val="nil"/>
                  </w:tcBorders>
                  <w:vAlign w:val="center"/>
                </w:tcPr>
                <w:p w14:paraId="6C26DFB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禁止在长江干支流、重要湖泊岸线1公里范围内新建、扩建化工园区和化工项目。禁止在合规园区外新建、扩建钢铁、石化、化工、焦化、建材、有色、制浆造纸等高污染项目。</w:t>
                  </w:r>
                </w:p>
              </w:tc>
              <w:tc>
                <w:tcPr>
                  <w:tcW w:w="833" w:type="pct"/>
                  <w:tcBorders>
                    <w:tl2br w:val="nil"/>
                    <w:tr2bl w:val="nil"/>
                  </w:tcBorders>
                  <w:vAlign w:val="center"/>
                </w:tcPr>
                <w:p w14:paraId="355219B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本项目不属于化工项目，本项目</w:t>
                  </w:r>
                  <w:r>
                    <w:rPr>
                      <w:rFonts w:hint="eastAsia"/>
                      <w:caps w:val="0"/>
                      <w:color w:val="auto"/>
                      <w:spacing w:val="0"/>
                      <w:position w:val="0"/>
                      <w:highlight w:val="none"/>
                      <w:lang w:val="en-US" w:eastAsia="zh-CN"/>
                    </w:rPr>
                    <w:t>不</w:t>
                  </w:r>
                  <w:r>
                    <w:rPr>
                      <w:rFonts w:hint="default"/>
                      <w:caps w:val="0"/>
                      <w:color w:val="auto"/>
                      <w:spacing w:val="0"/>
                      <w:position w:val="0"/>
                      <w:highlight w:val="none"/>
                    </w:rPr>
                    <w:t>在长江干支流、重要湖泊岸线1公里范围内，</w:t>
                  </w:r>
                  <w:r>
                    <w:rPr>
                      <w:rFonts w:hint="eastAsia"/>
                      <w:caps w:val="0"/>
                      <w:color w:val="auto"/>
                      <w:spacing w:val="0"/>
                      <w:position w:val="0"/>
                      <w:highlight w:val="none"/>
                      <w:lang w:val="en-US" w:eastAsia="zh-CN"/>
                    </w:rPr>
                    <w:t>且本项目不属于</w:t>
                  </w:r>
                  <w:r>
                    <w:rPr>
                      <w:rFonts w:hint="default"/>
                      <w:caps w:val="0"/>
                      <w:color w:val="auto"/>
                      <w:spacing w:val="0"/>
                      <w:position w:val="0"/>
                      <w:highlight w:val="none"/>
                    </w:rPr>
                    <w:t>高污染项目</w:t>
                  </w:r>
                </w:p>
              </w:tc>
              <w:tc>
                <w:tcPr>
                  <w:tcW w:w="476" w:type="pct"/>
                  <w:tcBorders>
                    <w:tl2br w:val="nil"/>
                    <w:tr2bl w:val="nil"/>
                  </w:tcBorders>
                  <w:vAlign w:val="center"/>
                </w:tcPr>
                <w:p w14:paraId="7E04FF3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3AF18A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051BADA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246" w:type="pct"/>
                  <w:tcBorders>
                    <w:tl2br w:val="nil"/>
                    <w:tr2bl w:val="nil"/>
                  </w:tcBorders>
                  <w:vAlign w:val="center"/>
                </w:tcPr>
                <w:p w14:paraId="650572B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禁止建设不符合国家和省级港口布局规划以及港口总体规划的码头项目。</w:t>
                  </w:r>
                </w:p>
              </w:tc>
              <w:tc>
                <w:tcPr>
                  <w:tcW w:w="833" w:type="pct"/>
                  <w:tcBorders>
                    <w:tl2br w:val="nil"/>
                    <w:tr2bl w:val="nil"/>
                  </w:tcBorders>
                  <w:vAlign w:val="center"/>
                </w:tcPr>
                <w:p w14:paraId="2B4EF35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w:t>
                  </w:r>
                  <w:r>
                    <w:rPr>
                      <w:rFonts w:hint="eastAsia"/>
                      <w:caps w:val="0"/>
                      <w:color w:val="auto"/>
                      <w:spacing w:val="0"/>
                      <w:position w:val="0"/>
                      <w:highlight w:val="none"/>
                      <w:lang w:val="en-US" w:eastAsia="zh-CN"/>
                    </w:rPr>
                    <w:t>不属于码头项目</w:t>
                  </w:r>
                </w:p>
              </w:tc>
              <w:tc>
                <w:tcPr>
                  <w:tcW w:w="476" w:type="pct"/>
                  <w:tcBorders>
                    <w:tl2br w:val="nil"/>
                    <w:tr2bl w:val="nil"/>
                  </w:tcBorders>
                  <w:vAlign w:val="center"/>
                </w:tcPr>
                <w:p w14:paraId="23F4E30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6B9543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55B8CF2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246" w:type="pct"/>
                  <w:tcBorders>
                    <w:tl2br w:val="nil"/>
                    <w:tr2bl w:val="nil"/>
                  </w:tcBorders>
                  <w:vAlign w:val="center"/>
                </w:tcPr>
                <w:p w14:paraId="1778629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禁止在江河、湖泊、运河、渠道、水库最高水位线以下的滩地和岸坡堆放、存贮固体废弃物和其他污染物。</w:t>
                  </w:r>
                </w:p>
              </w:tc>
              <w:tc>
                <w:tcPr>
                  <w:tcW w:w="833" w:type="pct"/>
                  <w:tcBorders>
                    <w:tl2br w:val="nil"/>
                    <w:tr2bl w:val="nil"/>
                  </w:tcBorders>
                  <w:vAlign w:val="center"/>
                </w:tcPr>
                <w:p w14:paraId="33BC4A53">
                  <w:pPr>
                    <w:pStyle w:val="111"/>
                    <w:keepNext w:val="0"/>
                    <w:keepLines w:val="0"/>
                    <w:suppressLineNumbers w:val="0"/>
                    <w:bidi w:val="0"/>
                    <w:spacing w:before="0" w:beforeAutospacing="0" w:after="0" w:afterAutospacing="0"/>
                    <w:ind w:left="0" w:right="0"/>
                    <w:rPr>
                      <w:rFonts w:hint="default" w:eastAsia="宋体"/>
                      <w:caps w:val="0"/>
                      <w:color w:val="auto"/>
                      <w:spacing w:val="0"/>
                      <w:position w:val="0"/>
                      <w:highlight w:val="none"/>
                      <w:lang w:val="en-US" w:eastAsia="zh-CN"/>
                    </w:rPr>
                  </w:pPr>
                  <w:r>
                    <w:rPr>
                      <w:rFonts w:hint="default"/>
                      <w:caps w:val="0"/>
                      <w:color w:val="auto"/>
                      <w:spacing w:val="0"/>
                      <w:position w:val="0"/>
                      <w:highlight w:val="none"/>
                    </w:rPr>
                    <w:t>本项目</w:t>
                  </w:r>
                  <w:r>
                    <w:rPr>
                      <w:rFonts w:hint="eastAsia"/>
                      <w:caps w:val="0"/>
                      <w:color w:val="auto"/>
                      <w:spacing w:val="0"/>
                      <w:position w:val="0"/>
                      <w:highlight w:val="none"/>
                      <w:lang w:val="en-US" w:eastAsia="zh-CN"/>
                    </w:rPr>
                    <w:t>不涉及上述禁止区域</w:t>
                  </w:r>
                </w:p>
              </w:tc>
              <w:tc>
                <w:tcPr>
                  <w:tcW w:w="476" w:type="pct"/>
                  <w:tcBorders>
                    <w:tl2br w:val="nil"/>
                    <w:tr2bl w:val="nil"/>
                  </w:tcBorders>
                  <w:vAlign w:val="center"/>
                </w:tcPr>
                <w:p w14:paraId="0928040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6C5705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0CFD1F7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246" w:type="pct"/>
                  <w:tcBorders>
                    <w:tl2br w:val="nil"/>
                    <w:tr2bl w:val="nil"/>
                  </w:tcBorders>
                  <w:vAlign w:val="center"/>
                </w:tcPr>
                <w:p w14:paraId="77805D8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城市建成区内人口密集区、环境脆弱敏感区周边的钢铁、石油、化工、有色金属、水泥、平板玻璃、建筑陶瓷等行业中的高排放、高污染项目，应当逐步进行搬迁、改造或者转型、退出。</w:t>
                  </w:r>
                </w:p>
              </w:tc>
              <w:tc>
                <w:tcPr>
                  <w:tcW w:w="833" w:type="pct"/>
                  <w:tcBorders>
                    <w:tl2br w:val="nil"/>
                    <w:tr2bl w:val="nil"/>
                  </w:tcBorders>
                  <w:vAlign w:val="center"/>
                </w:tcPr>
                <w:p w14:paraId="331547FF">
                  <w:pPr>
                    <w:pStyle w:val="111"/>
                    <w:keepNext w:val="0"/>
                    <w:keepLines w:val="0"/>
                    <w:suppressLineNumbers w:val="0"/>
                    <w:bidi w:val="0"/>
                    <w:spacing w:before="0" w:beforeAutospacing="0" w:after="0" w:afterAutospacing="0"/>
                    <w:ind w:left="0" w:right="0"/>
                    <w:rPr>
                      <w:rFonts w:hint="default" w:eastAsia="宋体"/>
                      <w:caps w:val="0"/>
                      <w:color w:val="auto"/>
                      <w:spacing w:val="0"/>
                      <w:position w:val="0"/>
                      <w:highlight w:val="none"/>
                      <w:lang w:val="en-US" w:eastAsia="zh-CN"/>
                    </w:rPr>
                  </w:pPr>
                  <w:r>
                    <w:rPr>
                      <w:rFonts w:hint="default"/>
                      <w:caps w:val="0"/>
                      <w:color w:val="auto"/>
                      <w:spacing w:val="0"/>
                      <w:position w:val="0"/>
                      <w:highlight w:val="none"/>
                    </w:rPr>
                    <w:t>本项目不属于</w:t>
                  </w:r>
                  <w:r>
                    <w:rPr>
                      <w:rFonts w:hint="eastAsia"/>
                      <w:caps w:val="0"/>
                      <w:color w:val="auto"/>
                      <w:spacing w:val="0"/>
                      <w:position w:val="0"/>
                      <w:highlight w:val="none"/>
                      <w:lang w:val="en-US" w:eastAsia="zh-CN"/>
                    </w:rPr>
                    <w:t>两高项目，不位于</w:t>
                  </w:r>
                  <w:r>
                    <w:rPr>
                      <w:rFonts w:hint="default"/>
                      <w:caps w:val="0"/>
                      <w:color w:val="auto"/>
                      <w:spacing w:val="0"/>
                      <w:position w:val="0"/>
                      <w:highlight w:val="none"/>
                    </w:rPr>
                    <w:t>人口密集区</w:t>
                  </w:r>
                  <w:r>
                    <w:rPr>
                      <w:rFonts w:hint="eastAsia"/>
                      <w:caps w:val="0"/>
                      <w:color w:val="auto"/>
                      <w:spacing w:val="0"/>
                      <w:position w:val="0"/>
                      <w:highlight w:val="none"/>
                      <w:lang w:val="en-US" w:eastAsia="zh-CN"/>
                    </w:rPr>
                    <w:t>和</w:t>
                  </w:r>
                  <w:r>
                    <w:rPr>
                      <w:rFonts w:hint="default"/>
                      <w:caps w:val="0"/>
                      <w:color w:val="auto"/>
                      <w:spacing w:val="0"/>
                      <w:position w:val="0"/>
                      <w:highlight w:val="none"/>
                    </w:rPr>
                    <w:t>环境脆弱敏感区周边</w:t>
                  </w:r>
                </w:p>
              </w:tc>
              <w:tc>
                <w:tcPr>
                  <w:tcW w:w="476" w:type="pct"/>
                  <w:tcBorders>
                    <w:tl2br w:val="nil"/>
                    <w:tr2bl w:val="nil"/>
                  </w:tcBorders>
                  <w:vAlign w:val="center"/>
                </w:tcPr>
                <w:p w14:paraId="584F801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28ABB2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2703021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246" w:type="pct"/>
                  <w:tcBorders>
                    <w:tl2br w:val="nil"/>
                    <w:tr2bl w:val="nil"/>
                  </w:tcBorders>
                  <w:vAlign w:val="center"/>
                </w:tcPr>
                <w:p w14:paraId="37FCE19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禁止在居民区和学校、医院、疗养院、养老院等单位周边新建、改扩建可能造成土壤污染的建设项目；在永久基本农田集中区域，不得新建可能造成土壤污染的项目，已经建成的，限期关闭拆除。</w:t>
                  </w:r>
                </w:p>
              </w:tc>
              <w:tc>
                <w:tcPr>
                  <w:tcW w:w="833" w:type="pct"/>
                  <w:tcBorders>
                    <w:tl2br w:val="nil"/>
                    <w:tr2bl w:val="nil"/>
                  </w:tcBorders>
                  <w:vAlign w:val="center"/>
                </w:tcPr>
                <w:p w14:paraId="75313AEA">
                  <w:pPr>
                    <w:pStyle w:val="111"/>
                    <w:keepNext w:val="0"/>
                    <w:keepLines w:val="0"/>
                    <w:suppressLineNumbers w:val="0"/>
                    <w:bidi w:val="0"/>
                    <w:spacing w:before="0" w:beforeAutospacing="0" w:after="0" w:afterAutospacing="0"/>
                    <w:ind w:left="0" w:right="0"/>
                    <w:rPr>
                      <w:rFonts w:hint="default" w:eastAsia="宋体"/>
                      <w:caps w:val="0"/>
                      <w:color w:val="auto"/>
                      <w:spacing w:val="0"/>
                      <w:position w:val="0"/>
                      <w:highlight w:val="none"/>
                      <w:lang w:val="en-US" w:eastAsia="zh-CN"/>
                    </w:rPr>
                  </w:pPr>
                  <w:r>
                    <w:rPr>
                      <w:rFonts w:hint="default"/>
                      <w:caps w:val="0"/>
                      <w:color w:val="auto"/>
                      <w:spacing w:val="0"/>
                      <w:position w:val="0"/>
                      <w:highlight w:val="none"/>
                    </w:rPr>
                    <w:t>本项目</w:t>
                  </w:r>
                  <w:r>
                    <w:rPr>
                      <w:rFonts w:hint="eastAsia"/>
                      <w:caps w:val="0"/>
                      <w:color w:val="auto"/>
                      <w:spacing w:val="0"/>
                      <w:position w:val="0"/>
                      <w:highlight w:val="none"/>
                      <w:lang w:val="en-US" w:eastAsia="zh-CN"/>
                    </w:rPr>
                    <w:t>不位于上述敏感点周边</w:t>
                  </w:r>
                </w:p>
              </w:tc>
              <w:tc>
                <w:tcPr>
                  <w:tcW w:w="476" w:type="pct"/>
                  <w:tcBorders>
                    <w:tl2br w:val="nil"/>
                    <w:tr2bl w:val="nil"/>
                  </w:tcBorders>
                  <w:vAlign w:val="center"/>
                </w:tcPr>
                <w:p w14:paraId="7422849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1EC66E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restart"/>
                  <w:tcBorders>
                    <w:tl2br w:val="nil"/>
                    <w:tr2bl w:val="nil"/>
                  </w:tcBorders>
                  <w:vAlign w:val="center"/>
                </w:tcPr>
                <w:p w14:paraId="2CFC709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污染物排放管控</w:t>
                  </w:r>
                </w:p>
              </w:tc>
              <w:tc>
                <w:tcPr>
                  <w:tcW w:w="3246" w:type="pct"/>
                  <w:tcBorders>
                    <w:tl2br w:val="nil"/>
                    <w:tr2bl w:val="nil"/>
                  </w:tcBorders>
                  <w:vAlign w:val="center"/>
                </w:tcPr>
                <w:p w14:paraId="19D4444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城镇开发边界内划定的特别用途区原则上禁止任何新增城镇集中建设行为，实施建设用地总量控制，原则上不得新增除市政基础设施、交通物流基础设施、生态修复工程、必要的配套及游憩设施外的其他城镇建设用地。</w:t>
                  </w:r>
                </w:p>
              </w:tc>
              <w:tc>
                <w:tcPr>
                  <w:tcW w:w="833" w:type="pct"/>
                  <w:tcBorders>
                    <w:tl2br w:val="nil"/>
                    <w:tr2bl w:val="nil"/>
                  </w:tcBorders>
                  <w:vAlign w:val="center"/>
                </w:tcPr>
                <w:p w14:paraId="7448625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本项目不属于城镇开发边界内划定的特别用途区</w:t>
                  </w:r>
                </w:p>
              </w:tc>
              <w:tc>
                <w:tcPr>
                  <w:tcW w:w="476" w:type="pct"/>
                  <w:tcBorders>
                    <w:tl2br w:val="nil"/>
                    <w:tr2bl w:val="nil"/>
                  </w:tcBorders>
                  <w:vAlign w:val="center"/>
                </w:tcPr>
                <w:p w14:paraId="73F7814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2BBA34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5E07C60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246" w:type="pct"/>
                  <w:tcBorders>
                    <w:tl2br w:val="nil"/>
                    <w:tr2bl w:val="nil"/>
                  </w:tcBorders>
                  <w:vAlign w:val="center"/>
                </w:tcPr>
                <w:p w14:paraId="2A1CF5C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到2025年，全省单位生产总值能源消耗比2020年下降14%，力争达到14.5%，能源消费总量得到合理控制，氮氧化物、挥发性有机物、化学需氧量、氨氮重点工程减排量分别达到2.73万吨、1.41万吨、8.41万吨、0.55万吨。</w:t>
                  </w:r>
                </w:p>
              </w:tc>
              <w:tc>
                <w:tcPr>
                  <w:tcW w:w="833" w:type="pct"/>
                  <w:tcBorders>
                    <w:tl2br w:val="nil"/>
                    <w:tr2bl w:val="nil"/>
                  </w:tcBorders>
                  <w:vAlign w:val="center"/>
                </w:tcPr>
                <w:p w14:paraId="2874B79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本项目各类污染物可实现达标排放</w:t>
                  </w:r>
                </w:p>
              </w:tc>
              <w:tc>
                <w:tcPr>
                  <w:tcW w:w="476" w:type="pct"/>
                  <w:tcBorders>
                    <w:tl2br w:val="nil"/>
                    <w:tr2bl w:val="nil"/>
                  </w:tcBorders>
                  <w:vAlign w:val="center"/>
                </w:tcPr>
                <w:p w14:paraId="058ED8D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2091DD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4146545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246" w:type="pct"/>
                  <w:tcBorders>
                    <w:tl2br w:val="nil"/>
                    <w:tr2bl w:val="nil"/>
                  </w:tcBorders>
                  <w:vAlign w:val="center"/>
                </w:tcPr>
                <w:p w14:paraId="2A09AAF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禁止新建不符合国家产业政策的小型造纸、制革、印染、染料、炼焦、炼硫、炼砷、炼汞、炼油、电镀、农药、石棉、水泥、玻璃、钢铁、火电以及其他严重污染水环境的生产项目。</w:t>
                  </w:r>
                </w:p>
              </w:tc>
              <w:tc>
                <w:tcPr>
                  <w:tcW w:w="833" w:type="pct"/>
                  <w:tcBorders>
                    <w:tl2br w:val="nil"/>
                    <w:tr2bl w:val="nil"/>
                  </w:tcBorders>
                  <w:vAlign w:val="center"/>
                </w:tcPr>
                <w:p w14:paraId="7E9205A5">
                  <w:pPr>
                    <w:pStyle w:val="111"/>
                    <w:keepNext w:val="0"/>
                    <w:keepLines w:val="0"/>
                    <w:suppressLineNumbers w:val="0"/>
                    <w:bidi w:val="0"/>
                    <w:spacing w:before="0" w:beforeAutospacing="0" w:after="0" w:afterAutospacing="0"/>
                    <w:ind w:left="0" w:right="0"/>
                    <w:rPr>
                      <w:rFonts w:hint="eastAsia" w:eastAsia="宋体"/>
                      <w:caps w:val="0"/>
                      <w:color w:val="auto"/>
                      <w:spacing w:val="0"/>
                      <w:position w:val="0"/>
                      <w:highlight w:val="none"/>
                      <w:lang w:val="en-US" w:eastAsia="zh-CN"/>
                    </w:rPr>
                  </w:pPr>
                  <w:r>
                    <w:rPr>
                      <w:rFonts w:hint="default"/>
                      <w:caps w:val="0"/>
                      <w:color w:val="auto"/>
                      <w:spacing w:val="0"/>
                      <w:position w:val="0"/>
                      <w:highlight w:val="none"/>
                    </w:rPr>
                    <w:t>本项目不属于</w:t>
                  </w:r>
                  <w:r>
                    <w:rPr>
                      <w:rFonts w:hint="eastAsia"/>
                      <w:caps w:val="0"/>
                      <w:color w:val="auto"/>
                      <w:spacing w:val="0"/>
                      <w:position w:val="0"/>
                      <w:highlight w:val="none"/>
                      <w:lang w:val="en-US" w:eastAsia="zh-CN"/>
                    </w:rPr>
                    <w:t>上述</w:t>
                  </w:r>
                  <w:r>
                    <w:rPr>
                      <w:rFonts w:hint="default"/>
                      <w:caps w:val="0"/>
                      <w:color w:val="auto"/>
                      <w:spacing w:val="0"/>
                      <w:position w:val="0"/>
                      <w:highlight w:val="none"/>
                    </w:rPr>
                    <w:t>严重污染水环境的生产项目</w:t>
                  </w:r>
                </w:p>
              </w:tc>
              <w:tc>
                <w:tcPr>
                  <w:tcW w:w="476" w:type="pct"/>
                  <w:tcBorders>
                    <w:tl2br w:val="nil"/>
                    <w:tr2bl w:val="nil"/>
                  </w:tcBorders>
                  <w:vAlign w:val="center"/>
                </w:tcPr>
                <w:p w14:paraId="5CC0E18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455B4C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64DB7A3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246" w:type="pct"/>
                  <w:tcBorders>
                    <w:tl2br w:val="nil"/>
                    <w:tr2bl w:val="nil"/>
                  </w:tcBorders>
                  <w:vAlign w:val="center"/>
                </w:tcPr>
                <w:p w14:paraId="2895606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新建、改建、扩建造纸、焦化、氮肥、有色金属、印染、农副食品加工、原料药制造、制革、农药、电镀等重点行业建设项目，实行主要污染物排放等量或减量置换。</w:t>
                  </w:r>
                </w:p>
              </w:tc>
              <w:tc>
                <w:tcPr>
                  <w:tcW w:w="833" w:type="pct"/>
                  <w:tcBorders>
                    <w:tl2br w:val="nil"/>
                    <w:tr2bl w:val="nil"/>
                  </w:tcBorders>
                  <w:vAlign w:val="center"/>
                </w:tcPr>
                <w:p w14:paraId="0629445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本项目不属于</w:t>
                  </w:r>
                  <w:r>
                    <w:rPr>
                      <w:rFonts w:hint="eastAsia"/>
                      <w:caps w:val="0"/>
                      <w:color w:val="auto"/>
                      <w:spacing w:val="0"/>
                      <w:position w:val="0"/>
                      <w:highlight w:val="none"/>
                      <w:lang w:val="en-US" w:eastAsia="zh-CN"/>
                    </w:rPr>
                    <w:t>上述</w:t>
                  </w:r>
                  <w:r>
                    <w:rPr>
                      <w:rFonts w:hint="default"/>
                      <w:caps w:val="0"/>
                      <w:color w:val="auto"/>
                      <w:spacing w:val="0"/>
                      <w:position w:val="0"/>
                      <w:highlight w:val="none"/>
                    </w:rPr>
                    <w:t>重点行业建设项目</w:t>
                  </w:r>
                </w:p>
              </w:tc>
              <w:tc>
                <w:tcPr>
                  <w:tcW w:w="476" w:type="pct"/>
                  <w:tcBorders>
                    <w:tl2br w:val="nil"/>
                    <w:tr2bl w:val="nil"/>
                  </w:tcBorders>
                  <w:vAlign w:val="center"/>
                </w:tcPr>
                <w:p w14:paraId="3585290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57EFAA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613CA7E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246" w:type="pct"/>
                  <w:tcBorders>
                    <w:tl2br w:val="nil"/>
                    <w:tr2bl w:val="nil"/>
                  </w:tcBorders>
                  <w:vAlign w:val="center"/>
                </w:tcPr>
                <w:p w14:paraId="0E6FFD0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严格落实钢铁、水泥、平板玻璃产能减量置换政策。推进钢铁、水泥、焦化行业及燃煤锅炉超低排放改造。</w:t>
                  </w:r>
                </w:p>
              </w:tc>
              <w:tc>
                <w:tcPr>
                  <w:tcW w:w="833" w:type="pct"/>
                  <w:tcBorders>
                    <w:tl2br w:val="nil"/>
                    <w:tr2bl w:val="nil"/>
                  </w:tcBorders>
                  <w:vAlign w:val="center"/>
                </w:tcPr>
                <w:p w14:paraId="3EBFF64E">
                  <w:pPr>
                    <w:pStyle w:val="111"/>
                    <w:keepNext w:val="0"/>
                    <w:keepLines w:val="0"/>
                    <w:suppressLineNumbers w:val="0"/>
                    <w:bidi w:val="0"/>
                    <w:spacing w:before="0" w:beforeAutospacing="0" w:after="0" w:afterAutospacing="0"/>
                    <w:ind w:left="0" w:right="0"/>
                    <w:rPr>
                      <w:rFonts w:hint="eastAsia" w:eastAsia="宋体"/>
                      <w:caps w:val="0"/>
                      <w:color w:val="auto"/>
                      <w:spacing w:val="0"/>
                      <w:position w:val="0"/>
                      <w:highlight w:val="none"/>
                      <w:lang w:eastAsia="zh-CN"/>
                    </w:rPr>
                  </w:pPr>
                  <w:r>
                    <w:rPr>
                      <w:rFonts w:hint="default"/>
                      <w:caps w:val="0"/>
                      <w:color w:val="auto"/>
                      <w:spacing w:val="0"/>
                      <w:position w:val="0"/>
                      <w:highlight w:val="none"/>
                    </w:rPr>
                    <w:t>本项目</w:t>
                  </w:r>
                  <w:r>
                    <w:rPr>
                      <w:rFonts w:hint="eastAsia"/>
                      <w:caps w:val="0"/>
                      <w:color w:val="auto"/>
                      <w:spacing w:val="0"/>
                      <w:position w:val="0"/>
                      <w:highlight w:val="none"/>
                      <w:lang w:val="en-US" w:eastAsia="zh-CN"/>
                    </w:rPr>
                    <w:t>不涉及</w:t>
                  </w:r>
                </w:p>
              </w:tc>
              <w:tc>
                <w:tcPr>
                  <w:tcW w:w="476" w:type="pct"/>
                  <w:tcBorders>
                    <w:tl2br w:val="nil"/>
                    <w:tr2bl w:val="nil"/>
                  </w:tcBorders>
                  <w:vAlign w:val="center"/>
                </w:tcPr>
                <w:p w14:paraId="197B903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1B654A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3DCDD3B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246" w:type="pct"/>
                  <w:tcBorders>
                    <w:tl2br w:val="nil"/>
                    <w:tr2bl w:val="nil"/>
                  </w:tcBorders>
                  <w:vAlign w:val="center"/>
                </w:tcPr>
                <w:p w14:paraId="3836EFD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推动全省34个涉气重点行业企业绩效分级，积极引导污染物排放总量大、污染物排放浓度高的行业企业开展超低排放改造。</w:t>
                  </w:r>
                </w:p>
              </w:tc>
              <w:tc>
                <w:tcPr>
                  <w:tcW w:w="833" w:type="pct"/>
                  <w:tcBorders>
                    <w:tl2br w:val="nil"/>
                    <w:tr2bl w:val="nil"/>
                  </w:tcBorders>
                  <w:vAlign w:val="center"/>
                </w:tcPr>
                <w:p w14:paraId="73E58E6F">
                  <w:pPr>
                    <w:pStyle w:val="111"/>
                    <w:keepNext w:val="0"/>
                    <w:keepLines w:val="0"/>
                    <w:suppressLineNumbers w:val="0"/>
                    <w:bidi w:val="0"/>
                    <w:spacing w:before="0" w:beforeAutospacing="0" w:after="0" w:afterAutospacing="0"/>
                    <w:ind w:left="0" w:right="0"/>
                    <w:rPr>
                      <w:rFonts w:hint="eastAsia" w:eastAsia="宋体"/>
                      <w:caps w:val="0"/>
                      <w:color w:val="auto"/>
                      <w:spacing w:val="0"/>
                      <w:position w:val="0"/>
                      <w:highlight w:val="none"/>
                      <w:lang w:eastAsia="zh-CN"/>
                    </w:rPr>
                  </w:pPr>
                  <w:r>
                    <w:rPr>
                      <w:rFonts w:hint="default"/>
                      <w:caps w:val="0"/>
                      <w:color w:val="auto"/>
                      <w:spacing w:val="0"/>
                      <w:position w:val="0"/>
                      <w:highlight w:val="none"/>
                    </w:rPr>
                    <w:t>本项目</w:t>
                  </w:r>
                  <w:r>
                    <w:rPr>
                      <w:rFonts w:hint="eastAsia"/>
                      <w:caps w:val="0"/>
                      <w:color w:val="auto"/>
                      <w:spacing w:val="0"/>
                      <w:position w:val="0"/>
                      <w:highlight w:val="none"/>
                      <w:lang w:val="en-US" w:eastAsia="zh-CN"/>
                    </w:rPr>
                    <w:t>不涉及</w:t>
                  </w:r>
                </w:p>
              </w:tc>
              <w:tc>
                <w:tcPr>
                  <w:tcW w:w="476" w:type="pct"/>
                  <w:tcBorders>
                    <w:tl2br w:val="nil"/>
                    <w:tr2bl w:val="nil"/>
                  </w:tcBorders>
                  <w:vAlign w:val="center"/>
                </w:tcPr>
                <w:p w14:paraId="5A30B12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32F1B8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597D57E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246" w:type="pct"/>
                  <w:tcBorders>
                    <w:tl2br w:val="nil"/>
                    <w:tr2bl w:val="nil"/>
                  </w:tcBorders>
                  <w:vAlign w:val="center"/>
                </w:tcPr>
                <w:p w14:paraId="15098D5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禁止新建、扩建不符合要求的高耗能高排放项目。</w:t>
                  </w:r>
                </w:p>
              </w:tc>
              <w:tc>
                <w:tcPr>
                  <w:tcW w:w="833" w:type="pct"/>
                  <w:tcBorders>
                    <w:tl2br w:val="nil"/>
                    <w:tr2bl w:val="nil"/>
                  </w:tcBorders>
                  <w:vAlign w:val="center"/>
                </w:tcPr>
                <w:p w14:paraId="282FF18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本项目不属于高耗能高排放项目</w:t>
                  </w:r>
                </w:p>
              </w:tc>
              <w:tc>
                <w:tcPr>
                  <w:tcW w:w="476" w:type="pct"/>
                  <w:tcBorders>
                    <w:tl2br w:val="nil"/>
                    <w:tr2bl w:val="nil"/>
                  </w:tcBorders>
                  <w:vAlign w:val="center"/>
                </w:tcPr>
                <w:p w14:paraId="1EA7442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63D8D5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restart"/>
                  <w:tcBorders>
                    <w:tl2br w:val="nil"/>
                    <w:tr2bl w:val="nil"/>
                  </w:tcBorders>
                  <w:vAlign w:val="center"/>
                </w:tcPr>
                <w:p w14:paraId="258D0E0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环境风险防控</w:t>
                  </w:r>
                </w:p>
              </w:tc>
              <w:tc>
                <w:tcPr>
                  <w:tcW w:w="3246" w:type="pct"/>
                  <w:tcBorders>
                    <w:tl2br w:val="nil"/>
                    <w:tr2bl w:val="nil"/>
                  </w:tcBorders>
                  <w:vAlign w:val="center"/>
                </w:tcPr>
                <w:p w14:paraId="6DCD37E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在居民集中区、医院和学校附近、重要水源涵养生态功能区等环境风险防控重点区域，禁止新建或扩建化工石化、有色冶炼、制浆造纸等可能引发环境风险的项目。</w:t>
                  </w:r>
                </w:p>
              </w:tc>
              <w:tc>
                <w:tcPr>
                  <w:tcW w:w="833" w:type="pct"/>
                  <w:tcBorders>
                    <w:tl2br w:val="nil"/>
                    <w:tr2bl w:val="nil"/>
                  </w:tcBorders>
                  <w:vAlign w:val="center"/>
                </w:tcPr>
                <w:p w14:paraId="3B8EDAD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本项目不属于环境风险防控重点区域</w:t>
                  </w:r>
                </w:p>
              </w:tc>
              <w:tc>
                <w:tcPr>
                  <w:tcW w:w="476" w:type="pct"/>
                  <w:tcBorders>
                    <w:tl2br w:val="nil"/>
                    <w:tr2bl w:val="nil"/>
                  </w:tcBorders>
                  <w:vAlign w:val="center"/>
                </w:tcPr>
                <w:p w14:paraId="7278652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2E5C51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1F7A7CB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246" w:type="pct"/>
                  <w:tcBorders>
                    <w:tl2br w:val="nil"/>
                    <w:tr2bl w:val="nil"/>
                  </w:tcBorders>
                  <w:vAlign w:val="center"/>
                </w:tcPr>
                <w:p w14:paraId="0AB5662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含有毒有害氰化物电镀工艺（电镀金、银、铜基合金及予镀铜打底工艺除外）。</w:t>
                  </w:r>
                </w:p>
              </w:tc>
              <w:tc>
                <w:tcPr>
                  <w:tcW w:w="833" w:type="pct"/>
                  <w:tcBorders>
                    <w:tl2br w:val="nil"/>
                    <w:tr2bl w:val="nil"/>
                  </w:tcBorders>
                  <w:vAlign w:val="center"/>
                </w:tcPr>
                <w:p w14:paraId="430223DD">
                  <w:pPr>
                    <w:pStyle w:val="111"/>
                    <w:keepNext w:val="0"/>
                    <w:keepLines w:val="0"/>
                    <w:suppressLineNumbers w:val="0"/>
                    <w:bidi w:val="0"/>
                    <w:spacing w:before="0" w:beforeAutospacing="0" w:after="0" w:afterAutospacing="0"/>
                    <w:ind w:left="0" w:right="0"/>
                    <w:rPr>
                      <w:rFonts w:hint="default" w:eastAsia="宋体"/>
                      <w:caps w:val="0"/>
                      <w:color w:val="auto"/>
                      <w:spacing w:val="0"/>
                      <w:position w:val="0"/>
                      <w:highlight w:val="none"/>
                      <w:lang w:val="en-US" w:eastAsia="zh-CN"/>
                    </w:rPr>
                  </w:pPr>
                  <w:r>
                    <w:rPr>
                      <w:rFonts w:hint="default"/>
                      <w:caps w:val="0"/>
                      <w:color w:val="auto"/>
                      <w:spacing w:val="0"/>
                      <w:position w:val="0"/>
                      <w:highlight w:val="none"/>
                    </w:rPr>
                    <w:t>本项目不</w:t>
                  </w:r>
                  <w:r>
                    <w:rPr>
                      <w:rFonts w:hint="eastAsia"/>
                      <w:caps w:val="0"/>
                      <w:color w:val="auto"/>
                      <w:spacing w:val="0"/>
                      <w:position w:val="0"/>
                      <w:highlight w:val="none"/>
                      <w:lang w:val="en-US" w:eastAsia="zh-CN"/>
                    </w:rPr>
                    <w:t>含上述工艺</w:t>
                  </w:r>
                </w:p>
              </w:tc>
              <w:tc>
                <w:tcPr>
                  <w:tcW w:w="476" w:type="pct"/>
                  <w:tcBorders>
                    <w:tl2br w:val="nil"/>
                    <w:tr2bl w:val="nil"/>
                  </w:tcBorders>
                  <w:vAlign w:val="center"/>
                </w:tcPr>
                <w:p w14:paraId="14B1B1A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5F66AE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5537571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246" w:type="pct"/>
                  <w:tcBorders>
                    <w:tl2br w:val="nil"/>
                    <w:tr2bl w:val="nil"/>
                  </w:tcBorders>
                  <w:vAlign w:val="center"/>
                </w:tcPr>
                <w:p w14:paraId="6E1DCF2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港口、码头、装卸站和船舶修造厂应当备有足够的船舶污染物、废弃物的接收设施；从事船舶污染物、废弃物接收作业，或者从事装载油类、污染危害性货物船舱清洗作业的单位，应当具备与其运营规模相适应的接收处理能力。</w:t>
                  </w:r>
                </w:p>
              </w:tc>
              <w:tc>
                <w:tcPr>
                  <w:tcW w:w="833" w:type="pct"/>
                  <w:tcBorders>
                    <w:tl2br w:val="nil"/>
                    <w:tr2bl w:val="nil"/>
                  </w:tcBorders>
                  <w:vAlign w:val="center"/>
                </w:tcPr>
                <w:p w14:paraId="42444BCD">
                  <w:pPr>
                    <w:pStyle w:val="111"/>
                    <w:keepNext w:val="0"/>
                    <w:keepLines w:val="0"/>
                    <w:suppressLineNumbers w:val="0"/>
                    <w:bidi w:val="0"/>
                    <w:spacing w:before="0" w:beforeAutospacing="0" w:after="0" w:afterAutospacing="0"/>
                    <w:ind w:left="0" w:right="0"/>
                    <w:rPr>
                      <w:rFonts w:hint="eastAsia" w:eastAsia="宋体"/>
                      <w:caps w:val="0"/>
                      <w:color w:val="auto"/>
                      <w:spacing w:val="0"/>
                      <w:position w:val="0"/>
                      <w:highlight w:val="none"/>
                      <w:lang w:val="en-US" w:eastAsia="zh-CN"/>
                    </w:rPr>
                  </w:pPr>
                  <w:r>
                    <w:rPr>
                      <w:rFonts w:hint="default"/>
                      <w:caps w:val="0"/>
                      <w:color w:val="auto"/>
                      <w:spacing w:val="0"/>
                      <w:position w:val="0"/>
                      <w:highlight w:val="none"/>
                    </w:rPr>
                    <w:t>本项目不属于</w:t>
                  </w:r>
                  <w:r>
                    <w:rPr>
                      <w:rFonts w:hint="eastAsia"/>
                      <w:caps w:val="0"/>
                      <w:color w:val="auto"/>
                      <w:spacing w:val="0"/>
                      <w:position w:val="0"/>
                      <w:highlight w:val="none"/>
                      <w:lang w:val="en-US" w:eastAsia="zh-CN"/>
                    </w:rPr>
                    <w:t>上述行业</w:t>
                  </w:r>
                </w:p>
              </w:tc>
              <w:tc>
                <w:tcPr>
                  <w:tcW w:w="476" w:type="pct"/>
                  <w:tcBorders>
                    <w:tl2br w:val="nil"/>
                    <w:tr2bl w:val="nil"/>
                  </w:tcBorders>
                  <w:vAlign w:val="center"/>
                </w:tcPr>
                <w:p w14:paraId="6EA3643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6FD4C7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51972CA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246" w:type="pct"/>
                  <w:tcBorders>
                    <w:tl2br w:val="nil"/>
                    <w:tr2bl w:val="nil"/>
                  </w:tcBorders>
                  <w:vAlign w:val="center"/>
                </w:tcPr>
                <w:p w14:paraId="0FF192A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位于城镇人口密集区内，安全、卫生防护距离不能满足相关要求和不符合规划的现有危险化学品生产企业限期退出或依法关停。</w:t>
                  </w:r>
                </w:p>
              </w:tc>
              <w:tc>
                <w:tcPr>
                  <w:tcW w:w="833" w:type="pct"/>
                  <w:tcBorders>
                    <w:tl2br w:val="nil"/>
                    <w:tr2bl w:val="nil"/>
                  </w:tcBorders>
                  <w:vAlign w:val="center"/>
                </w:tcPr>
                <w:p w14:paraId="7E6D8DE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本项目不位于城镇人口密集区内</w:t>
                  </w:r>
                </w:p>
              </w:tc>
              <w:tc>
                <w:tcPr>
                  <w:tcW w:w="476" w:type="pct"/>
                  <w:tcBorders>
                    <w:tl2br w:val="nil"/>
                    <w:tr2bl w:val="nil"/>
                  </w:tcBorders>
                  <w:vAlign w:val="center"/>
                </w:tcPr>
                <w:p w14:paraId="1BD0084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5677BB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0D8E7B8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246" w:type="pct"/>
                  <w:tcBorders>
                    <w:tl2br w:val="nil"/>
                    <w:tr2bl w:val="nil"/>
                  </w:tcBorders>
                  <w:vAlign w:val="center"/>
                </w:tcPr>
                <w:p w14:paraId="0637D76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禁止在长江干流岸线三公里范围内和重要支流岸线一公里范围内新建、改建、扩建尾矿库、冶炼渣库和磷</w:t>
                  </w:r>
                  <w:r>
                    <w:rPr>
                      <w:rFonts w:hint="eastAsia"/>
                      <w:caps w:val="0"/>
                      <w:color w:val="auto"/>
                      <w:spacing w:val="0"/>
                      <w:position w:val="0"/>
                      <w:highlight w:val="none"/>
                      <w:lang w:eastAsia="zh-CN"/>
                    </w:rPr>
                    <w:t>石膏</w:t>
                  </w:r>
                  <w:r>
                    <w:rPr>
                      <w:rFonts w:hint="default"/>
                      <w:caps w:val="0"/>
                      <w:color w:val="auto"/>
                      <w:spacing w:val="0"/>
                      <w:position w:val="0"/>
                      <w:highlight w:val="none"/>
                    </w:rPr>
                    <w:t>库，以提升安全、生态环境保护水平为目的的改建除外。</w:t>
                  </w:r>
                </w:p>
              </w:tc>
              <w:tc>
                <w:tcPr>
                  <w:tcW w:w="833" w:type="pct"/>
                  <w:tcBorders>
                    <w:tl2br w:val="nil"/>
                    <w:tr2bl w:val="nil"/>
                  </w:tcBorders>
                  <w:vAlign w:val="center"/>
                </w:tcPr>
                <w:p w14:paraId="12B6C09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本项目不</w:t>
                  </w:r>
                  <w:r>
                    <w:rPr>
                      <w:rFonts w:hint="eastAsia"/>
                      <w:caps w:val="0"/>
                      <w:color w:val="auto"/>
                      <w:spacing w:val="0"/>
                      <w:position w:val="0"/>
                      <w:highlight w:val="none"/>
                      <w:lang w:val="en-US" w:eastAsia="zh-CN"/>
                    </w:rPr>
                    <w:t>位于</w:t>
                  </w:r>
                  <w:r>
                    <w:rPr>
                      <w:rFonts w:hint="default"/>
                      <w:caps w:val="0"/>
                      <w:color w:val="auto"/>
                      <w:spacing w:val="0"/>
                      <w:position w:val="0"/>
                      <w:highlight w:val="none"/>
                    </w:rPr>
                    <w:t>长江干流岸线三公里范围内和重要支流岸线一公里范围内</w:t>
                  </w:r>
                </w:p>
              </w:tc>
              <w:tc>
                <w:tcPr>
                  <w:tcW w:w="476" w:type="pct"/>
                  <w:tcBorders>
                    <w:tl2br w:val="nil"/>
                    <w:tr2bl w:val="nil"/>
                  </w:tcBorders>
                  <w:vAlign w:val="center"/>
                </w:tcPr>
                <w:p w14:paraId="38D9136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429883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restart"/>
                  <w:tcBorders>
                    <w:tl2br w:val="nil"/>
                    <w:tr2bl w:val="nil"/>
                  </w:tcBorders>
                  <w:vAlign w:val="center"/>
                </w:tcPr>
                <w:p w14:paraId="20C43F1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资源利用效率要求</w:t>
                  </w:r>
                </w:p>
              </w:tc>
              <w:tc>
                <w:tcPr>
                  <w:tcW w:w="3246" w:type="pct"/>
                  <w:tcBorders>
                    <w:tl2br w:val="nil"/>
                    <w:tr2bl w:val="nil"/>
                  </w:tcBorders>
                  <w:vAlign w:val="center"/>
                </w:tcPr>
                <w:p w14:paraId="691E3A6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对取用水总量已达到或超过控制指标的地区，暂停审批建设项目新增取水。对取用水总量接近控制指标的地区，限制审批建设项目新增取水。</w:t>
                  </w:r>
                </w:p>
              </w:tc>
              <w:tc>
                <w:tcPr>
                  <w:tcW w:w="833" w:type="pct"/>
                  <w:tcBorders>
                    <w:tl2br w:val="nil"/>
                    <w:tr2bl w:val="nil"/>
                  </w:tcBorders>
                  <w:vAlign w:val="center"/>
                </w:tcPr>
                <w:p w14:paraId="4A4E9A72">
                  <w:pPr>
                    <w:pStyle w:val="111"/>
                    <w:keepNext w:val="0"/>
                    <w:keepLines w:val="0"/>
                    <w:suppressLineNumbers w:val="0"/>
                    <w:bidi w:val="0"/>
                    <w:spacing w:before="0" w:beforeAutospacing="0" w:after="0" w:afterAutospacing="0"/>
                    <w:ind w:left="0" w:right="0"/>
                    <w:rPr>
                      <w:rFonts w:hint="default" w:eastAsia="宋体"/>
                      <w:caps w:val="0"/>
                      <w:color w:val="auto"/>
                      <w:spacing w:val="0"/>
                      <w:position w:val="0"/>
                      <w:highlight w:val="none"/>
                      <w:lang w:val="en-US" w:eastAsia="zh-CN"/>
                    </w:rPr>
                  </w:pPr>
                  <w:r>
                    <w:rPr>
                      <w:rFonts w:hint="default"/>
                      <w:caps w:val="0"/>
                      <w:color w:val="auto"/>
                      <w:spacing w:val="0"/>
                      <w:position w:val="0"/>
                      <w:highlight w:val="none"/>
                    </w:rPr>
                    <w:t>本项目不属于</w:t>
                  </w:r>
                  <w:r>
                    <w:rPr>
                      <w:rFonts w:hint="eastAsia"/>
                      <w:caps w:val="0"/>
                      <w:color w:val="auto"/>
                      <w:spacing w:val="0"/>
                      <w:position w:val="0"/>
                      <w:highlight w:val="none"/>
                      <w:lang w:val="en-US" w:eastAsia="zh-CN"/>
                    </w:rPr>
                    <w:t>上述地区</w:t>
                  </w:r>
                </w:p>
              </w:tc>
              <w:tc>
                <w:tcPr>
                  <w:tcW w:w="476" w:type="pct"/>
                  <w:tcBorders>
                    <w:tl2br w:val="nil"/>
                    <w:tr2bl w:val="nil"/>
                  </w:tcBorders>
                  <w:vAlign w:val="center"/>
                </w:tcPr>
                <w:p w14:paraId="02B0176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24AFFF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50CF22F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246" w:type="pct"/>
                  <w:tcBorders>
                    <w:tl2br w:val="nil"/>
                    <w:tr2bl w:val="nil"/>
                  </w:tcBorders>
                  <w:vAlign w:val="center"/>
                </w:tcPr>
                <w:p w14:paraId="4288C65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在禁燃区内，禁止新建、扩建燃用高污染燃料的项目和设施，已建成的应逐步改用天然气、电或者其他清洁能源。</w:t>
                  </w:r>
                </w:p>
              </w:tc>
              <w:tc>
                <w:tcPr>
                  <w:tcW w:w="833" w:type="pct"/>
                  <w:tcBorders>
                    <w:tl2br w:val="nil"/>
                    <w:tr2bl w:val="nil"/>
                  </w:tcBorders>
                  <w:vAlign w:val="center"/>
                </w:tcPr>
                <w:p w14:paraId="1AF737A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本项目不燃用高污染燃料</w:t>
                  </w:r>
                </w:p>
              </w:tc>
              <w:tc>
                <w:tcPr>
                  <w:tcW w:w="476" w:type="pct"/>
                  <w:tcBorders>
                    <w:tl2br w:val="nil"/>
                    <w:tr2bl w:val="nil"/>
                  </w:tcBorders>
                  <w:vAlign w:val="center"/>
                </w:tcPr>
                <w:p w14:paraId="2FCC902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bl>
          <w:p w14:paraId="039A2720">
            <w:pPr>
              <w:pStyle w:val="75"/>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default"/>
                <w:caps w:val="0"/>
                <w:color w:val="auto"/>
                <w:spacing w:val="0"/>
                <w:position w:val="0"/>
                <w:highlight w:val="none"/>
                <w:lang w:val="en-US" w:eastAsia="zh-CN"/>
              </w:rPr>
              <w:t>表1-</w:t>
            </w:r>
            <w:r>
              <w:rPr>
                <w:rFonts w:hint="eastAsia"/>
                <w:caps w:val="0"/>
                <w:color w:val="auto"/>
                <w:spacing w:val="0"/>
                <w:position w:val="0"/>
                <w:highlight w:val="none"/>
                <w:lang w:val="en-US" w:eastAsia="zh-CN"/>
              </w:rPr>
              <w:t>3</w:t>
            </w:r>
            <w:r>
              <w:rPr>
                <w:rFonts w:hint="default"/>
                <w:caps w:val="0"/>
                <w:color w:val="auto"/>
                <w:spacing w:val="0"/>
                <w:position w:val="0"/>
                <w:highlight w:val="none"/>
                <w:lang w:val="en-US" w:eastAsia="zh-CN"/>
              </w:rPr>
              <w:t xml:space="preserve"> </w:t>
            </w:r>
            <w:r>
              <w:rPr>
                <w:rFonts w:hint="eastAsia"/>
                <w:caps w:val="0"/>
                <w:color w:val="auto"/>
                <w:spacing w:val="0"/>
                <w:position w:val="0"/>
                <w:highlight w:val="none"/>
              </w:rPr>
              <w:t>宜春市生态环境总体准入要求清单</w:t>
            </w:r>
            <w:r>
              <w:rPr>
                <w:rFonts w:hint="eastAsia"/>
                <w:caps w:val="0"/>
                <w:color w:val="auto"/>
                <w:spacing w:val="0"/>
                <w:position w:val="0"/>
                <w:highlight w:val="none"/>
                <w:lang w:val="en-US" w:eastAsia="zh-CN"/>
              </w:rPr>
              <w:t>相符性</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94"/>
              <w:gridCol w:w="973"/>
              <w:gridCol w:w="3512"/>
              <w:gridCol w:w="1509"/>
              <w:gridCol w:w="606"/>
            </w:tblGrid>
            <w:tr w14:paraId="52C5DD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tcBorders>
                    <w:tl2br w:val="nil"/>
                    <w:tr2bl w:val="nil"/>
                  </w:tcBorders>
                  <w:tcMar>
                    <w:top w:w="15" w:type="dxa"/>
                    <w:left w:w="15" w:type="dxa"/>
                    <w:bottom w:w="0" w:type="dxa"/>
                    <w:right w:w="15" w:type="dxa"/>
                  </w:tcMar>
                  <w:vAlign w:val="center"/>
                </w:tcPr>
                <w:p w14:paraId="28C6CC1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维度</w:t>
                  </w:r>
                </w:p>
              </w:tc>
              <w:tc>
                <w:tcPr>
                  <w:tcW w:w="867" w:type="dxa"/>
                  <w:tcBorders>
                    <w:tl2br w:val="nil"/>
                    <w:tr2bl w:val="nil"/>
                  </w:tcBorders>
                  <w:tcMar>
                    <w:top w:w="15" w:type="dxa"/>
                    <w:left w:w="15" w:type="dxa"/>
                    <w:bottom w:w="0" w:type="dxa"/>
                    <w:right w:w="15" w:type="dxa"/>
                  </w:tcMar>
                  <w:vAlign w:val="center"/>
                </w:tcPr>
                <w:p w14:paraId="0A74D4B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类别</w:t>
                  </w:r>
                </w:p>
              </w:tc>
              <w:tc>
                <w:tcPr>
                  <w:tcW w:w="3129" w:type="dxa"/>
                  <w:tcBorders>
                    <w:tl2br w:val="nil"/>
                    <w:tr2bl w:val="nil"/>
                  </w:tcBorders>
                  <w:tcMar>
                    <w:top w:w="15" w:type="dxa"/>
                    <w:left w:w="15" w:type="dxa"/>
                    <w:bottom w:w="0" w:type="dxa"/>
                    <w:right w:w="15" w:type="dxa"/>
                  </w:tcMar>
                  <w:vAlign w:val="center"/>
                </w:tcPr>
                <w:p w14:paraId="2C0FFFD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准入要求</w:t>
                  </w:r>
                </w:p>
              </w:tc>
              <w:tc>
                <w:tcPr>
                  <w:tcW w:w="1344" w:type="dxa"/>
                  <w:tcBorders>
                    <w:tl2br w:val="nil"/>
                    <w:tr2bl w:val="nil"/>
                  </w:tcBorders>
                  <w:vAlign w:val="center"/>
                </w:tcPr>
                <w:p w14:paraId="11177CC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本项目情况</w:t>
                  </w:r>
                </w:p>
              </w:tc>
              <w:tc>
                <w:tcPr>
                  <w:tcW w:w="541" w:type="dxa"/>
                  <w:tcBorders>
                    <w:tl2br w:val="nil"/>
                    <w:tr2bl w:val="nil"/>
                  </w:tcBorders>
                  <w:vAlign w:val="center"/>
                </w:tcPr>
                <w:p w14:paraId="0F1F6CD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相符性</w:t>
                  </w:r>
                </w:p>
              </w:tc>
            </w:tr>
            <w:tr w14:paraId="21D15E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restart"/>
                  <w:tcBorders>
                    <w:tl2br w:val="nil"/>
                    <w:tr2bl w:val="nil"/>
                  </w:tcBorders>
                  <w:tcMar>
                    <w:top w:w="15" w:type="dxa"/>
                    <w:left w:w="15" w:type="dxa"/>
                    <w:bottom w:w="0" w:type="dxa"/>
                    <w:right w:w="15" w:type="dxa"/>
                  </w:tcMar>
                  <w:vAlign w:val="center"/>
                </w:tcPr>
                <w:p w14:paraId="4EE2EB5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空间布局约束</w:t>
                  </w:r>
                </w:p>
              </w:tc>
              <w:tc>
                <w:tcPr>
                  <w:tcW w:w="867" w:type="dxa"/>
                  <w:tcBorders>
                    <w:tl2br w:val="nil"/>
                    <w:tr2bl w:val="nil"/>
                  </w:tcBorders>
                  <w:tcMar>
                    <w:top w:w="15" w:type="dxa"/>
                    <w:left w:w="15" w:type="dxa"/>
                    <w:bottom w:w="0" w:type="dxa"/>
                    <w:right w:w="15" w:type="dxa"/>
                  </w:tcMar>
                  <w:vAlign w:val="center"/>
                </w:tcPr>
                <w:p w14:paraId="7BF1A90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禁止开发建设活动的要求</w:t>
                  </w:r>
                </w:p>
              </w:tc>
              <w:tc>
                <w:tcPr>
                  <w:tcW w:w="3129" w:type="dxa"/>
                  <w:tcBorders>
                    <w:tl2br w:val="nil"/>
                    <w:tr2bl w:val="nil"/>
                  </w:tcBorders>
                  <w:tcMar>
                    <w:top w:w="15" w:type="dxa"/>
                    <w:left w:w="15" w:type="dxa"/>
                    <w:bottom w:w="0" w:type="dxa"/>
                    <w:right w:w="15" w:type="dxa"/>
                  </w:tcMar>
                  <w:vAlign w:val="center"/>
                </w:tcPr>
                <w:p w14:paraId="2FCD1C8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禁止新建《产业结构调整指导目录》限制类和淘汰类项目，现有产业改、扩建不得使用《产业结构调整指导目录》规定的淘汰类规模和生产工艺。</w:t>
                  </w:r>
                </w:p>
              </w:tc>
              <w:tc>
                <w:tcPr>
                  <w:tcW w:w="1344" w:type="dxa"/>
                  <w:tcBorders>
                    <w:tl2br w:val="nil"/>
                    <w:tr2bl w:val="nil"/>
                  </w:tcBorders>
                  <w:vAlign w:val="center"/>
                </w:tcPr>
                <w:p w14:paraId="1D796263">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default"/>
                      <w:caps w:val="0"/>
                      <w:color w:val="auto"/>
                      <w:spacing w:val="0"/>
                      <w:position w:val="0"/>
                      <w:highlight w:val="none"/>
                    </w:rPr>
                    <w:t>本项目属于《产业结构调整指导目录》</w:t>
                  </w:r>
                  <w:r>
                    <w:rPr>
                      <w:rFonts w:hint="eastAsia"/>
                      <w:caps w:val="0"/>
                      <w:color w:val="auto"/>
                      <w:spacing w:val="0"/>
                      <w:position w:val="0"/>
                      <w:highlight w:val="none"/>
                      <w:lang w:val="en-US" w:eastAsia="zh-CN"/>
                    </w:rPr>
                    <w:t>鼓励类</w:t>
                  </w:r>
                </w:p>
              </w:tc>
              <w:tc>
                <w:tcPr>
                  <w:tcW w:w="541" w:type="dxa"/>
                  <w:tcBorders>
                    <w:tl2br w:val="nil"/>
                    <w:tr2bl w:val="nil"/>
                  </w:tcBorders>
                  <w:vAlign w:val="center"/>
                </w:tcPr>
                <w:p w14:paraId="41801AA5">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default"/>
                      <w:caps w:val="0"/>
                      <w:color w:val="auto"/>
                      <w:spacing w:val="0"/>
                      <w:position w:val="0"/>
                      <w:highlight w:val="none"/>
                    </w:rPr>
                    <w:t>相符</w:t>
                  </w:r>
                </w:p>
              </w:tc>
            </w:tr>
            <w:tr w14:paraId="396276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continue"/>
                  <w:tcBorders>
                    <w:tl2br w:val="nil"/>
                    <w:tr2bl w:val="nil"/>
                  </w:tcBorders>
                  <w:vAlign w:val="center"/>
                </w:tcPr>
                <w:p w14:paraId="4C5E24B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867" w:type="dxa"/>
                  <w:vMerge w:val="restart"/>
                  <w:tcBorders>
                    <w:tl2br w:val="nil"/>
                    <w:tr2bl w:val="nil"/>
                  </w:tcBorders>
                  <w:tcMar>
                    <w:top w:w="15" w:type="dxa"/>
                    <w:left w:w="15" w:type="dxa"/>
                    <w:bottom w:w="0" w:type="dxa"/>
                    <w:right w:w="15" w:type="dxa"/>
                  </w:tcMar>
                  <w:vAlign w:val="center"/>
                </w:tcPr>
                <w:p w14:paraId="3B7FE37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限制开发建设活动的要求</w:t>
                  </w:r>
                </w:p>
              </w:tc>
              <w:tc>
                <w:tcPr>
                  <w:tcW w:w="3129" w:type="dxa"/>
                  <w:tcBorders>
                    <w:tl2br w:val="nil"/>
                    <w:tr2bl w:val="nil"/>
                  </w:tcBorders>
                  <w:tcMar>
                    <w:top w:w="15" w:type="dxa"/>
                    <w:left w:w="15" w:type="dxa"/>
                    <w:bottom w:w="0" w:type="dxa"/>
                    <w:right w:w="15" w:type="dxa"/>
                  </w:tcMar>
                  <w:vAlign w:val="center"/>
                </w:tcPr>
                <w:p w14:paraId="203EB56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禁止在赣江岸线一公里范围内新建、扩建化工园区和化工项目；禁止在赣江岸线一公里范围内新建、改建、扩建冶炼渣库和磷石膏库，以提升安全、生态环境保护水平为目的改建除外；严禁新建“头顶库”、总坝高超过200米的尾矿库，严禁在距离水源地以及流域面积大于1000平方公里的河流和禾水、渌水岸线1公里范围内新（改、扩）建尾矿库。</w:t>
                  </w:r>
                </w:p>
              </w:tc>
              <w:tc>
                <w:tcPr>
                  <w:tcW w:w="1344" w:type="dxa"/>
                  <w:tcBorders>
                    <w:tl2br w:val="nil"/>
                    <w:tr2bl w:val="nil"/>
                  </w:tcBorders>
                  <w:vAlign w:val="center"/>
                </w:tcPr>
                <w:p w14:paraId="5555189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本项目不在此范围</w:t>
                  </w:r>
                </w:p>
              </w:tc>
              <w:tc>
                <w:tcPr>
                  <w:tcW w:w="541" w:type="dxa"/>
                  <w:tcBorders>
                    <w:tl2br w:val="nil"/>
                    <w:tr2bl w:val="nil"/>
                  </w:tcBorders>
                  <w:vAlign w:val="center"/>
                </w:tcPr>
                <w:p w14:paraId="1125643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37F7E3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continue"/>
                  <w:tcBorders>
                    <w:tl2br w:val="nil"/>
                    <w:tr2bl w:val="nil"/>
                  </w:tcBorders>
                  <w:vAlign w:val="center"/>
                </w:tcPr>
                <w:p w14:paraId="3D3F778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867" w:type="dxa"/>
                  <w:vMerge w:val="continue"/>
                  <w:tcBorders>
                    <w:tl2br w:val="nil"/>
                    <w:tr2bl w:val="nil"/>
                  </w:tcBorders>
                  <w:tcMar>
                    <w:top w:w="15" w:type="dxa"/>
                    <w:left w:w="15" w:type="dxa"/>
                    <w:bottom w:w="0" w:type="dxa"/>
                    <w:right w:w="15" w:type="dxa"/>
                  </w:tcMar>
                  <w:vAlign w:val="center"/>
                </w:tcPr>
                <w:p w14:paraId="74E46AC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129" w:type="dxa"/>
                  <w:tcBorders>
                    <w:tl2br w:val="nil"/>
                    <w:tr2bl w:val="nil"/>
                  </w:tcBorders>
                  <w:tcMar>
                    <w:top w:w="15" w:type="dxa"/>
                    <w:left w:w="15" w:type="dxa"/>
                    <w:bottom w:w="0" w:type="dxa"/>
                    <w:right w:w="15" w:type="dxa"/>
                  </w:tcMar>
                  <w:vAlign w:val="center"/>
                </w:tcPr>
                <w:p w14:paraId="7F59E40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不得在城镇居民聚集区域、规划区，主导风上风向，以城镇中心为界线，向外延伸5公里，新建化工（单纯混合、互配除外）、农药（原药生产）、钢铁、焦化、水泥（熟料）、有色金属冶炼等大气污染型项目。</w:t>
                  </w:r>
                </w:p>
              </w:tc>
              <w:tc>
                <w:tcPr>
                  <w:tcW w:w="1344" w:type="dxa"/>
                  <w:tcBorders>
                    <w:tl2br w:val="nil"/>
                    <w:tr2bl w:val="nil"/>
                  </w:tcBorders>
                  <w:vAlign w:val="center"/>
                </w:tcPr>
                <w:p w14:paraId="7CB3898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不涉及</w:t>
                  </w:r>
                </w:p>
              </w:tc>
              <w:tc>
                <w:tcPr>
                  <w:tcW w:w="541" w:type="dxa"/>
                  <w:tcBorders>
                    <w:tl2br w:val="nil"/>
                    <w:tr2bl w:val="nil"/>
                  </w:tcBorders>
                  <w:vAlign w:val="center"/>
                </w:tcPr>
                <w:p w14:paraId="799C731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3ACD39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continue"/>
                  <w:tcBorders>
                    <w:tl2br w:val="nil"/>
                    <w:tr2bl w:val="nil"/>
                  </w:tcBorders>
                  <w:vAlign w:val="center"/>
                </w:tcPr>
                <w:p w14:paraId="157B21D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867" w:type="dxa"/>
                  <w:vMerge w:val="continue"/>
                  <w:tcBorders>
                    <w:tl2br w:val="nil"/>
                    <w:tr2bl w:val="nil"/>
                  </w:tcBorders>
                  <w:tcMar>
                    <w:top w:w="15" w:type="dxa"/>
                    <w:left w:w="15" w:type="dxa"/>
                    <w:bottom w:w="0" w:type="dxa"/>
                    <w:right w:w="15" w:type="dxa"/>
                  </w:tcMar>
                  <w:vAlign w:val="center"/>
                </w:tcPr>
                <w:p w14:paraId="2626383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129" w:type="dxa"/>
                  <w:tcBorders>
                    <w:tl2br w:val="nil"/>
                    <w:tr2bl w:val="nil"/>
                  </w:tcBorders>
                  <w:tcMar>
                    <w:top w:w="15" w:type="dxa"/>
                    <w:left w:w="15" w:type="dxa"/>
                    <w:bottom w:w="0" w:type="dxa"/>
                    <w:right w:w="15" w:type="dxa"/>
                  </w:tcMar>
                  <w:vAlign w:val="center"/>
                </w:tcPr>
                <w:p w14:paraId="6F37B85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生态保护红线内，自然保护地核心保护区原则上禁止人为活动，其他区域严格禁止开发性、生产性建设活动。</w:t>
                  </w:r>
                </w:p>
              </w:tc>
              <w:tc>
                <w:tcPr>
                  <w:tcW w:w="1344" w:type="dxa"/>
                  <w:tcBorders>
                    <w:tl2br w:val="nil"/>
                    <w:tr2bl w:val="nil"/>
                  </w:tcBorders>
                  <w:vAlign w:val="center"/>
                </w:tcPr>
                <w:p w14:paraId="09EBBEB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项目不涉及保护地、生态保护红线等</w:t>
                  </w:r>
                </w:p>
              </w:tc>
              <w:tc>
                <w:tcPr>
                  <w:tcW w:w="541" w:type="dxa"/>
                  <w:tcBorders>
                    <w:tl2br w:val="nil"/>
                    <w:tr2bl w:val="nil"/>
                  </w:tcBorders>
                  <w:vAlign w:val="center"/>
                </w:tcPr>
                <w:p w14:paraId="22DD4D4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3B639E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continue"/>
                  <w:tcBorders>
                    <w:tl2br w:val="nil"/>
                    <w:tr2bl w:val="nil"/>
                  </w:tcBorders>
                  <w:vAlign w:val="center"/>
                </w:tcPr>
                <w:p w14:paraId="505ACCC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867" w:type="dxa"/>
                  <w:vMerge w:val="continue"/>
                  <w:tcBorders>
                    <w:tl2br w:val="nil"/>
                    <w:tr2bl w:val="nil"/>
                  </w:tcBorders>
                  <w:tcMar>
                    <w:top w:w="15" w:type="dxa"/>
                    <w:left w:w="15" w:type="dxa"/>
                    <w:bottom w:w="0" w:type="dxa"/>
                    <w:right w:w="15" w:type="dxa"/>
                  </w:tcMar>
                  <w:vAlign w:val="center"/>
                </w:tcPr>
                <w:p w14:paraId="1034E3A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129" w:type="dxa"/>
                  <w:tcBorders>
                    <w:tl2br w:val="nil"/>
                    <w:tr2bl w:val="nil"/>
                  </w:tcBorders>
                  <w:tcMar>
                    <w:top w:w="15" w:type="dxa"/>
                    <w:left w:w="15" w:type="dxa"/>
                    <w:bottom w:w="0" w:type="dxa"/>
                    <w:right w:w="15" w:type="dxa"/>
                  </w:tcMar>
                  <w:vAlign w:val="center"/>
                </w:tcPr>
                <w:p w14:paraId="17F7665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加强重金属污染源头防控，减少使用高铊矿石原料。废水、废气排放的涉铊企业要设置除铊治理设施，需相应达到排放标准要求，对于生产废水零排放的项目，企业废水总排口中铊不得检出。</w:t>
                  </w:r>
                </w:p>
              </w:tc>
              <w:tc>
                <w:tcPr>
                  <w:tcW w:w="1344" w:type="dxa"/>
                  <w:tcBorders>
                    <w:tl2br w:val="nil"/>
                    <w:tr2bl w:val="nil"/>
                  </w:tcBorders>
                  <w:vAlign w:val="center"/>
                </w:tcPr>
                <w:p w14:paraId="7373567C">
                  <w:pPr>
                    <w:pStyle w:val="111"/>
                    <w:keepNext w:val="0"/>
                    <w:keepLines w:val="0"/>
                    <w:suppressLineNumbers w:val="0"/>
                    <w:bidi w:val="0"/>
                    <w:spacing w:before="0" w:beforeAutospacing="0" w:after="0" w:afterAutospacing="0"/>
                    <w:ind w:left="0" w:right="0"/>
                    <w:jc w:val="both"/>
                    <w:rPr>
                      <w:rFonts w:hint="default"/>
                      <w:caps w:val="0"/>
                      <w:color w:val="auto"/>
                      <w:spacing w:val="0"/>
                      <w:position w:val="0"/>
                      <w:highlight w:val="none"/>
                      <w:lang w:val="en-US" w:eastAsia="zh-CN"/>
                    </w:rPr>
                  </w:pPr>
                  <w:r>
                    <w:rPr>
                      <w:rFonts w:hint="default" w:ascii="Times New Roman" w:hAnsi="Times New Roman" w:eastAsia="宋体" w:cs="Times New Roman"/>
                      <w:caps w:val="0"/>
                      <w:color w:val="auto"/>
                      <w:spacing w:val="0"/>
                      <w:position w:val="0"/>
                      <w:szCs w:val="21"/>
                      <w:highlight w:val="none"/>
                    </w:rPr>
                    <w:t>项目无生产废水排放，</w:t>
                  </w:r>
                  <w:r>
                    <w:rPr>
                      <w:rFonts w:hint="default" w:ascii="Times New Roman" w:hAnsi="Times New Roman" w:eastAsia="宋体" w:cs="Times New Roman"/>
                      <w:caps w:val="0"/>
                      <w:color w:val="auto"/>
                      <w:spacing w:val="0"/>
                      <w:position w:val="0"/>
                      <w:sz w:val="21"/>
                      <w:szCs w:val="21"/>
                      <w:highlight w:val="none"/>
                      <w:lang w:val="en-US" w:eastAsia="zh-CN"/>
                    </w:rPr>
                    <w:t>生活污水经化粪池处理后达到《农田灌溉水质标准》（GB5084-2021）表1中旱作标准后用于林地灌溉，不外排</w:t>
                  </w:r>
                  <w:r>
                    <w:rPr>
                      <w:rFonts w:hint="default" w:ascii="Times New Roman" w:hAnsi="Times New Roman" w:eastAsia="宋体" w:cs="Times New Roman"/>
                      <w:caps w:val="0"/>
                      <w:color w:val="auto"/>
                      <w:spacing w:val="0"/>
                      <w:position w:val="0"/>
                      <w:sz w:val="21"/>
                      <w:szCs w:val="21"/>
                      <w:highlight w:val="none"/>
                    </w:rPr>
                    <w:t>。</w:t>
                  </w:r>
                </w:p>
              </w:tc>
              <w:tc>
                <w:tcPr>
                  <w:tcW w:w="541" w:type="dxa"/>
                  <w:tcBorders>
                    <w:tl2br w:val="nil"/>
                    <w:tr2bl w:val="nil"/>
                  </w:tcBorders>
                  <w:vAlign w:val="center"/>
                </w:tcPr>
                <w:p w14:paraId="631EC6C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0CBB6B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continue"/>
                  <w:tcBorders>
                    <w:tl2br w:val="nil"/>
                    <w:tr2bl w:val="nil"/>
                  </w:tcBorders>
                  <w:vAlign w:val="center"/>
                </w:tcPr>
                <w:p w14:paraId="39DB7C9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867" w:type="dxa"/>
                  <w:tcBorders>
                    <w:tl2br w:val="nil"/>
                    <w:tr2bl w:val="nil"/>
                  </w:tcBorders>
                  <w:tcMar>
                    <w:top w:w="15" w:type="dxa"/>
                    <w:left w:w="15" w:type="dxa"/>
                    <w:bottom w:w="0" w:type="dxa"/>
                    <w:right w:w="15" w:type="dxa"/>
                  </w:tcMar>
                  <w:vAlign w:val="center"/>
                </w:tcPr>
                <w:p w14:paraId="7EDE22D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不符合空间布局要求活动的退出要求</w:t>
                  </w:r>
                </w:p>
              </w:tc>
              <w:tc>
                <w:tcPr>
                  <w:tcW w:w="3129" w:type="dxa"/>
                  <w:tcBorders>
                    <w:tl2br w:val="nil"/>
                    <w:tr2bl w:val="nil"/>
                  </w:tcBorders>
                  <w:tcMar>
                    <w:top w:w="15" w:type="dxa"/>
                    <w:left w:w="15" w:type="dxa"/>
                    <w:bottom w:w="0" w:type="dxa"/>
                    <w:right w:w="15" w:type="dxa"/>
                  </w:tcMar>
                  <w:vAlign w:val="center"/>
                </w:tcPr>
                <w:p w14:paraId="3FFE52D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城市建成区现有重污染企业（钢铁、水泥、浮化玻璃等）限期退出或改造；依法依规清除距离赣江岸线1公里范围内未入园的化工企业，依法关闭“小化工”企业，全面加强化工企业环境监管。</w:t>
                  </w:r>
                </w:p>
              </w:tc>
              <w:tc>
                <w:tcPr>
                  <w:tcW w:w="1344" w:type="dxa"/>
                  <w:tcBorders>
                    <w:tl2br w:val="nil"/>
                    <w:tr2bl w:val="nil"/>
                  </w:tcBorders>
                  <w:vAlign w:val="center"/>
                </w:tcPr>
                <w:p w14:paraId="657499C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本项目不在此范围</w:t>
                  </w:r>
                </w:p>
              </w:tc>
              <w:tc>
                <w:tcPr>
                  <w:tcW w:w="541" w:type="dxa"/>
                  <w:tcBorders>
                    <w:tl2br w:val="nil"/>
                    <w:tr2bl w:val="nil"/>
                  </w:tcBorders>
                  <w:vAlign w:val="center"/>
                </w:tcPr>
                <w:p w14:paraId="7388854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0D2205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restart"/>
                  <w:tcBorders>
                    <w:tl2br w:val="nil"/>
                    <w:tr2bl w:val="nil"/>
                  </w:tcBorders>
                  <w:tcMar>
                    <w:top w:w="15" w:type="dxa"/>
                    <w:left w:w="15" w:type="dxa"/>
                    <w:bottom w:w="0" w:type="dxa"/>
                    <w:right w:w="15" w:type="dxa"/>
                  </w:tcMar>
                  <w:vAlign w:val="center"/>
                </w:tcPr>
                <w:p w14:paraId="3A331EC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污染物排放管控</w:t>
                  </w:r>
                </w:p>
              </w:tc>
              <w:tc>
                <w:tcPr>
                  <w:tcW w:w="867" w:type="dxa"/>
                  <w:tcBorders>
                    <w:tl2br w:val="nil"/>
                    <w:tr2bl w:val="nil"/>
                  </w:tcBorders>
                  <w:tcMar>
                    <w:top w:w="15" w:type="dxa"/>
                    <w:left w:w="15" w:type="dxa"/>
                    <w:bottom w:w="0" w:type="dxa"/>
                    <w:right w:w="15" w:type="dxa"/>
                  </w:tcMar>
                  <w:vAlign w:val="center"/>
                </w:tcPr>
                <w:p w14:paraId="40CBFDE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允许排放量要求</w:t>
                  </w:r>
                </w:p>
              </w:tc>
              <w:tc>
                <w:tcPr>
                  <w:tcW w:w="3129" w:type="dxa"/>
                  <w:tcBorders>
                    <w:tl2br w:val="nil"/>
                    <w:tr2bl w:val="nil"/>
                  </w:tcBorders>
                  <w:tcMar>
                    <w:top w:w="15" w:type="dxa"/>
                    <w:left w:w="15" w:type="dxa"/>
                    <w:bottom w:w="0" w:type="dxa"/>
                    <w:right w:w="15" w:type="dxa"/>
                  </w:tcMar>
                  <w:vAlign w:val="center"/>
                </w:tcPr>
                <w:p w14:paraId="4BD25F2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到2025年，全市氮氧化物、挥发性有机物、化学需氧量、氨氮重点工程减排量分别达到2665吨、1920吨、10088吨、653吨。强化涉铊项目环境监管，铊污染物水环境承载能力不足的地区限制引入碳酸锂等涉铊项目。</w:t>
                  </w:r>
                </w:p>
              </w:tc>
              <w:tc>
                <w:tcPr>
                  <w:tcW w:w="1344" w:type="dxa"/>
                  <w:tcBorders>
                    <w:tl2br w:val="nil"/>
                    <w:tr2bl w:val="nil"/>
                  </w:tcBorders>
                  <w:vAlign w:val="center"/>
                </w:tcPr>
                <w:p w14:paraId="6BE94FD5">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default"/>
                      <w:caps w:val="0"/>
                      <w:color w:val="auto"/>
                      <w:spacing w:val="0"/>
                      <w:position w:val="0"/>
                      <w:highlight w:val="none"/>
                    </w:rPr>
                    <w:t>项目COD</w:t>
                  </w:r>
                  <w:r>
                    <w:rPr>
                      <w:rFonts w:hint="default"/>
                      <w:caps w:val="0"/>
                      <w:color w:val="auto"/>
                      <w:spacing w:val="0"/>
                      <w:position w:val="0"/>
                      <w:highlight w:val="none"/>
                      <w:vertAlign w:val="subscript"/>
                    </w:rPr>
                    <w:t>Cr</w:t>
                  </w:r>
                  <w:r>
                    <w:rPr>
                      <w:rFonts w:hint="default"/>
                      <w:caps w:val="0"/>
                      <w:color w:val="auto"/>
                      <w:spacing w:val="0"/>
                      <w:position w:val="0"/>
                      <w:highlight w:val="none"/>
                    </w:rPr>
                    <w:t>、NH</w:t>
                  </w:r>
                  <w:r>
                    <w:rPr>
                      <w:rFonts w:hint="default"/>
                      <w:caps w:val="0"/>
                      <w:color w:val="auto"/>
                      <w:spacing w:val="0"/>
                      <w:position w:val="0"/>
                      <w:highlight w:val="none"/>
                      <w:vertAlign w:val="subscript"/>
                    </w:rPr>
                    <w:t>3</w:t>
                  </w:r>
                  <w:r>
                    <w:rPr>
                      <w:rFonts w:hint="default"/>
                      <w:caps w:val="0"/>
                      <w:color w:val="auto"/>
                      <w:spacing w:val="0"/>
                      <w:position w:val="0"/>
                      <w:highlight w:val="none"/>
                    </w:rPr>
                    <w:t>-N</w:t>
                  </w:r>
                  <w:r>
                    <w:rPr>
                      <w:rFonts w:hint="eastAsia"/>
                      <w:caps w:val="0"/>
                      <w:color w:val="auto"/>
                      <w:spacing w:val="0"/>
                      <w:position w:val="0"/>
                      <w:highlight w:val="none"/>
                    </w:rPr>
                    <w:t>排放满足相应污染物排放标准</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按环评要求拟在雨水排放口设置</w:t>
                  </w:r>
                  <w:r>
                    <w:rPr>
                      <w:rFonts w:hint="default"/>
                      <w:caps w:val="0"/>
                      <w:color w:val="auto"/>
                      <w:spacing w:val="0"/>
                      <w:position w:val="0"/>
                      <w:highlight w:val="none"/>
                    </w:rPr>
                    <w:t>铊</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氟化物自动监测设备。</w:t>
                  </w:r>
                </w:p>
              </w:tc>
              <w:tc>
                <w:tcPr>
                  <w:tcW w:w="541" w:type="dxa"/>
                  <w:tcBorders>
                    <w:tl2br w:val="nil"/>
                    <w:tr2bl w:val="nil"/>
                  </w:tcBorders>
                  <w:vAlign w:val="center"/>
                </w:tcPr>
                <w:p w14:paraId="7EF5416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29ABF6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continue"/>
                  <w:tcBorders>
                    <w:tl2br w:val="nil"/>
                    <w:tr2bl w:val="nil"/>
                  </w:tcBorders>
                  <w:vAlign w:val="center"/>
                </w:tcPr>
                <w:p w14:paraId="25059D8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867" w:type="dxa"/>
                  <w:tcBorders>
                    <w:tl2br w:val="nil"/>
                    <w:tr2bl w:val="nil"/>
                  </w:tcBorders>
                  <w:tcMar>
                    <w:top w:w="15" w:type="dxa"/>
                    <w:left w:w="15" w:type="dxa"/>
                    <w:bottom w:w="0" w:type="dxa"/>
                    <w:right w:w="15" w:type="dxa"/>
                  </w:tcMar>
                  <w:vAlign w:val="center"/>
                </w:tcPr>
                <w:p w14:paraId="757CFD8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现有源提标升级改造</w:t>
                  </w:r>
                </w:p>
              </w:tc>
              <w:tc>
                <w:tcPr>
                  <w:tcW w:w="3129" w:type="dxa"/>
                  <w:tcBorders>
                    <w:tl2br w:val="nil"/>
                    <w:tr2bl w:val="nil"/>
                  </w:tcBorders>
                  <w:tcMar>
                    <w:top w:w="15" w:type="dxa"/>
                    <w:left w:w="15" w:type="dxa"/>
                    <w:bottom w:w="0" w:type="dxa"/>
                    <w:right w:w="15" w:type="dxa"/>
                  </w:tcMar>
                  <w:vAlign w:val="center"/>
                </w:tcPr>
                <w:p w14:paraId="62B1ABD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到2025年底，城市生活污水集中收集率力争达到70%以上，进水BOD浓度高于100mg/L的城市生活污水处理厂规模占比达90%以上；县城生活污水集中收集率较2021年提高10个百分点以上，各县城生活污水处理率达到95%以上，城镇生活污水处理厂进水生化需氧量（BOD）浓度力争达到100mg/L以上或较2021年底提升</w:t>
                  </w:r>
                  <w:r>
                    <w:rPr>
                      <w:rFonts w:hint="eastAsia"/>
                      <w:caps w:val="0"/>
                      <w:color w:val="auto"/>
                      <w:spacing w:val="0"/>
                      <w:position w:val="0"/>
                      <w:highlight w:val="none"/>
                      <w:lang w:eastAsia="zh-CN"/>
                    </w:rPr>
                    <w:t>15m</w:t>
                  </w:r>
                  <w:r>
                    <w:rPr>
                      <w:rFonts w:hint="default"/>
                      <w:caps w:val="0"/>
                      <w:color w:val="auto"/>
                      <w:spacing w:val="0"/>
                      <w:position w:val="0"/>
                      <w:highlight w:val="none"/>
                    </w:rPr>
                    <w:t>g/L以上。</w:t>
                  </w:r>
                </w:p>
              </w:tc>
              <w:tc>
                <w:tcPr>
                  <w:tcW w:w="1344" w:type="dxa"/>
                  <w:tcBorders>
                    <w:tl2br w:val="nil"/>
                    <w:tr2bl w:val="nil"/>
                  </w:tcBorders>
                  <w:vAlign w:val="center"/>
                </w:tcPr>
                <w:p w14:paraId="19BBDF5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w:t>
                  </w:r>
                </w:p>
              </w:tc>
              <w:tc>
                <w:tcPr>
                  <w:tcW w:w="541" w:type="dxa"/>
                  <w:tcBorders>
                    <w:tl2br w:val="nil"/>
                    <w:tr2bl w:val="nil"/>
                  </w:tcBorders>
                  <w:vAlign w:val="center"/>
                </w:tcPr>
                <w:p w14:paraId="7844A1C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w:t>
                  </w:r>
                </w:p>
              </w:tc>
            </w:tr>
            <w:tr w14:paraId="53E77A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tcBorders>
                    <w:tl2br w:val="nil"/>
                    <w:tr2bl w:val="nil"/>
                  </w:tcBorders>
                  <w:vAlign w:val="center"/>
                </w:tcPr>
                <w:p w14:paraId="10AD5DE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环境风险防控</w:t>
                  </w:r>
                </w:p>
              </w:tc>
              <w:tc>
                <w:tcPr>
                  <w:tcW w:w="867" w:type="dxa"/>
                  <w:tcBorders>
                    <w:tl2br w:val="nil"/>
                    <w:tr2bl w:val="nil"/>
                  </w:tcBorders>
                  <w:tcMar>
                    <w:top w:w="15" w:type="dxa"/>
                    <w:left w:w="15" w:type="dxa"/>
                    <w:bottom w:w="0" w:type="dxa"/>
                    <w:right w:w="15" w:type="dxa"/>
                  </w:tcMar>
                  <w:vAlign w:val="center"/>
                </w:tcPr>
                <w:p w14:paraId="1C31C7B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联防联控要求</w:t>
                  </w:r>
                </w:p>
              </w:tc>
              <w:tc>
                <w:tcPr>
                  <w:tcW w:w="3129" w:type="dxa"/>
                  <w:tcBorders>
                    <w:tl2br w:val="nil"/>
                    <w:tr2bl w:val="nil"/>
                  </w:tcBorders>
                  <w:tcMar>
                    <w:top w:w="15" w:type="dxa"/>
                    <w:left w:w="15" w:type="dxa"/>
                    <w:bottom w:w="0" w:type="dxa"/>
                    <w:right w:w="15" w:type="dxa"/>
                  </w:tcMar>
                  <w:vAlign w:val="center"/>
                </w:tcPr>
                <w:p w14:paraId="6EDAB63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建立企业、园区、地方政府之间环境风险联防联控体系和联合应急体系；增强与萍乡、新余等地的联系，完善流域合作，推动建立跨区域的袁河流域水污染防治联动协作机制。</w:t>
                  </w:r>
                </w:p>
              </w:tc>
              <w:tc>
                <w:tcPr>
                  <w:tcW w:w="1344" w:type="dxa"/>
                  <w:tcBorders>
                    <w:tl2br w:val="nil"/>
                    <w:tr2bl w:val="nil"/>
                  </w:tcBorders>
                  <w:vAlign w:val="center"/>
                </w:tcPr>
                <w:p w14:paraId="525A6412">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rPr>
                    <w:t>本项目</w:t>
                  </w:r>
                  <w:r>
                    <w:rPr>
                      <w:rFonts w:hint="eastAsia"/>
                      <w:caps w:val="0"/>
                      <w:color w:val="auto"/>
                      <w:spacing w:val="0"/>
                      <w:position w:val="0"/>
                      <w:highlight w:val="none"/>
                      <w:lang w:val="en-US" w:eastAsia="zh-CN"/>
                    </w:rPr>
                    <w:t>将按要求设置</w:t>
                  </w:r>
                  <w:r>
                    <w:rPr>
                      <w:rFonts w:hint="default"/>
                      <w:caps w:val="0"/>
                      <w:color w:val="auto"/>
                      <w:spacing w:val="0"/>
                      <w:position w:val="0"/>
                      <w:highlight w:val="none"/>
                    </w:rPr>
                    <w:t>环境风险联防联控体系和联合应急体系</w:t>
                  </w:r>
                  <w:r>
                    <w:rPr>
                      <w:rFonts w:hint="eastAsia"/>
                      <w:caps w:val="0"/>
                      <w:color w:val="auto"/>
                      <w:spacing w:val="0"/>
                      <w:position w:val="0"/>
                      <w:highlight w:val="none"/>
                      <w:lang w:eastAsia="zh-CN"/>
                    </w:rPr>
                    <w:t>。</w:t>
                  </w:r>
                </w:p>
              </w:tc>
              <w:tc>
                <w:tcPr>
                  <w:tcW w:w="541" w:type="dxa"/>
                  <w:tcBorders>
                    <w:tl2br w:val="nil"/>
                    <w:tr2bl w:val="nil"/>
                  </w:tcBorders>
                  <w:vAlign w:val="center"/>
                </w:tcPr>
                <w:p w14:paraId="2F60EEA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w:t>
                  </w:r>
                </w:p>
              </w:tc>
            </w:tr>
            <w:tr w14:paraId="074E59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restart"/>
                  <w:tcBorders>
                    <w:tl2br w:val="nil"/>
                    <w:tr2bl w:val="nil"/>
                  </w:tcBorders>
                  <w:tcMar>
                    <w:top w:w="15" w:type="dxa"/>
                    <w:left w:w="15" w:type="dxa"/>
                    <w:bottom w:w="0" w:type="dxa"/>
                    <w:right w:w="15" w:type="dxa"/>
                  </w:tcMar>
                  <w:vAlign w:val="center"/>
                </w:tcPr>
                <w:p w14:paraId="4F364C7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能源利用效率要求</w:t>
                  </w:r>
                </w:p>
              </w:tc>
              <w:tc>
                <w:tcPr>
                  <w:tcW w:w="867" w:type="dxa"/>
                  <w:tcBorders>
                    <w:tl2br w:val="nil"/>
                    <w:tr2bl w:val="nil"/>
                  </w:tcBorders>
                  <w:tcMar>
                    <w:top w:w="15" w:type="dxa"/>
                    <w:left w:w="15" w:type="dxa"/>
                    <w:bottom w:w="0" w:type="dxa"/>
                    <w:right w:w="15" w:type="dxa"/>
                  </w:tcMar>
                  <w:vAlign w:val="center"/>
                </w:tcPr>
                <w:p w14:paraId="52F268D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水资源利用效率和强度要求</w:t>
                  </w:r>
                </w:p>
              </w:tc>
              <w:tc>
                <w:tcPr>
                  <w:tcW w:w="3129" w:type="dxa"/>
                  <w:tcBorders>
                    <w:tl2br w:val="nil"/>
                    <w:tr2bl w:val="nil"/>
                  </w:tcBorders>
                  <w:tcMar>
                    <w:top w:w="15" w:type="dxa"/>
                    <w:left w:w="15" w:type="dxa"/>
                    <w:bottom w:w="0" w:type="dxa"/>
                    <w:right w:w="15" w:type="dxa"/>
                  </w:tcMar>
                  <w:vAlign w:val="center"/>
                </w:tcPr>
                <w:p w14:paraId="0629B82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到2025年全市水资源利用量控制在36.87亿立方米，万元国内生产总值用水量比2020年下降23%，万元工业增加值用水量比2020年下降16%。</w:t>
                  </w:r>
                </w:p>
              </w:tc>
              <w:tc>
                <w:tcPr>
                  <w:tcW w:w="1344" w:type="dxa"/>
                  <w:tcBorders>
                    <w:tl2br w:val="nil"/>
                    <w:tr2bl w:val="nil"/>
                  </w:tcBorders>
                  <w:vAlign w:val="center"/>
                </w:tcPr>
                <w:p w14:paraId="7366FEDE">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default"/>
                      <w:caps w:val="0"/>
                      <w:color w:val="auto"/>
                      <w:spacing w:val="0"/>
                      <w:position w:val="0"/>
                      <w:highlight w:val="none"/>
                    </w:rPr>
                    <w:t>本项目用水在控制范围内</w:t>
                  </w:r>
                  <w:r>
                    <w:rPr>
                      <w:rFonts w:hint="eastAsia"/>
                      <w:caps w:val="0"/>
                      <w:color w:val="auto"/>
                      <w:spacing w:val="0"/>
                      <w:position w:val="0"/>
                      <w:highlight w:val="none"/>
                      <w:lang w:eastAsia="zh-CN"/>
                    </w:rPr>
                    <w:t>。</w:t>
                  </w:r>
                </w:p>
              </w:tc>
              <w:tc>
                <w:tcPr>
                  <w:tcW w:w="541" w:type="dxa"/>
                  <w:tcBorders>
                    <w:tl2br w:val="nil"/>
                    <w:tr2bl w:val="nil"/>
                  </w:tcBorders>
                  <w:vAlign w:val="center"/>
                </w:tcPr>
                <w:p w14:paraId="66E4A5A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1BD284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continue"/>
                  <w:tcBorders>
                    <w:tl2br w:val="nil"/>
                    <w:tr2bl w:val="nil"/>
                  </w:tcBorders>
                  <w:vAlign w:val="center"/>
                </w:tcPr>
                <w:p w14:paraId="1A402ED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867" w:type="dxa"/>
                  <w:tcBorders>
                    <w:tl2br w:val="nil"/>
                    <w:tr2bl w:val="nil"/>
                  </w:tcBorders>
                  <w:tcMar>
                    <w:top w:w="15" w:type="dxa"/>
                    <w:left w:w="15" w:type="dxa"/>
                    <w:bottom w:w="0" w:type="dxa"/>
                    <w:right w:w="15" w:type="dxa"/>
                  </w:tcMar>
                  <w:vAlign w:val="center"/>
                </w:tcPr>
                <w:p w14:paraId="3CD64C7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地下水开采要求</w:t>
                  </w:r>
                </w:p>
              </w:tc>
              <w:tc>
                <w:tcPr>
                  <w:tcW w:w="3129" w:type="dxa"/>
                  <w:tcBorders>
                    <w:tl2br w:val="nil"/>
                    <w:tr2bl w:val="nil"/>
                  </w:tcBorders>
                  <w:tcMar>
                    <w:top w:w="15" w:type="dxa"/>
                    <w:left w:w="15" w:type="dxa"/>
                    <w:bottom w:w="0" w:type="dxa"/>
                    <w:right w:w="15" w:type="dxa"/>
                  </w:tcMar>
                  <w:vAlign w:val="center"/>
                </w:tcPr>
                <w:p w14:paraId="365B8D55">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default"/>
                      <w:caps w:val="0"/>
                      <w:color w:val="auto"/>
                      <w:spacing w:val="0"/>
                      <w:position w:val="0"/>
                      <w:highlight w:val="none"/>
                    </w:rPr>
                    <w:t>禁止在塌陷区、地质灾害危险区域开采地下水</w:t>
                  </w:r>
                  <w:r>
                    <w:rPr>
                      <w:rFonts w:hint="eastAsia"/>
                      <w:caps w:val="0"/>
                      <w:color w:val="auto"/>
                      <w:spacing w:val="0"/>
                      <w:position w:val="0"/>
                      <w:highlight w:val="none"/>
                      <w:lang w:eastAsia="zh-CN"/>
                    </w:rPr>
                    <w:t>。</w:t>
                  </w:r>
                </w:p>
              </w:tc>
              <w:tc>
                <w:tcPr>
                  <w:tcW w:w="1344" w:type="dxa"/>
                  <w:tcBorders>
                    <w:tl2br w:val="nil"/>
                    <w:tr2bl w:val="nil"/>
                  </w:tcBorders>
                  <w:vAlign w:val="center"/>
                </w:tcPr>
                <w:p w14:paraId="2AA1962B">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default"/>
                      <w:caps w:val="0"/>
                      <w:color w:val="auto"/>
                      <w:spacing w:val="0"/>
                      <w:position w:val="0"/>
                      <w:highlight w:val="none"/>
                    </w:rPr>
                    <w:t>本项目无地下水开采</w:t>
                  </w:r>
                  <w:r>
                    <w:rPr>
                      <w:rFonts w:hint="eastAsia"/>
                      <w:caps w:val="0"/>
                      <w:color w:val="auto"/>
                      <w:spacing w:val="0"/>
                      <w:position w:val="0"/>
                      <w:highlight w:val="none"/>
                      <w:lang w:eastAsia="zh-CN"/>
                    </w:rPr>
                    <w:t>。</w:t>
                  </w:r>
                </w:p>
              </w:tc>
              <w:tc>
                <w:tcPr>
                  <w:tcW w:w="541" w:type="dxa"/>
                  <w:tcBorders>
                    <w:tl2br w:val="nil"/>
                    <w:tr2bl w:val="nil"/>
                  </w:tcBorders>
                  <w:vAlign w:val="center"/>
                </w:tcPr>
                <w:p w14:paraId="3D9CB1C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3D1D1B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continue"/>
                  <w:tcBorders>
                    <w:tl2br w:val="nil"/>
                    <w:tr2bl w:val="nil"/>
                  </w:tcBorders>
                  <w:vAlign w:val="center"/>
                </w:tcPr>
                <w:p w14:paraId="4234D90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867" w:type="dxa"/>
                  <w:tcBorders>
                    <w:tl2br w:val="nil"/>
                    <w:tr2bl w:val="nil"/>
                  </w:tcBorders>
                  <w:tcMar>
                    <w:top w:w="15" w:type="dxa"/>
                    <w:left w:w="15" w:type="dxa"/>
                    <w:bottom w:w="0" w:type="dxa"/>
                    <w:right w:w="15" w:type="dxa"/>
                  </w:tcMar>
                  <w:vAlign w:val="center"/>
                </w:tcPr>
                <w:p w14:paraId="3102513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能源利用效率要求</w:t>
                  </w:r>
                </w:p>
              </w:tc>
              <w:tc>
                <w:tcPr>
                  <w:tcW w:w="3129" w:type="dxa"/>
                  <w:tcBorders>
                    <w:tl2br w:val="nil"/>
                    <w:tr2bl w:val="nil"/>
                  </w:tcBorders>
                  <w:tcMar>
                    <w:top w:w="15" w:type="dxa"/>
                    <w:left w:w="15" w:type="dxa"/>
                    <w:bottom w:w="0" w:type="dxa"/>
                    <w:right w:w="15" w:type="dxa"/>
                  </w:tcMar>
                  <w:vAlign w:val="center"/>
                </w:tcPr>
                <w:p w14:paraId="29102C5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到2025年，全市单位生产总值能源消耗比2020年下降15.5%，力争达到16%，能源消费总量得到合理控制。</w:t>
                  </w:r>
                </w:p>
              </w:tc>
              <w:tc>
                <w:tcPr>
                  <w:tcW w:w="1344" w:type="dxa"/>
                  <w:tcBorders>
                    <w:tl2br w:val="nil"/>
                    <w:tr2bl w:val="nil"/>
                  </w:tcBorders>
                  <w:vAlign w:val="center"/>
                </w:tcPr>
                <w:p w14:paraId="5869F329">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default"/>
                      <w:caps w:val="0"/>
                      <w:color w:val="auto"/>
                      <w:spacing w:val="0"/>
                      <w:position w:val="0"/>
                      <w:highlight w:val="none"/>
                    </w:rPr>
                    <w:t>本项目能耗在控制范围内</w:t>
                  </w:r>
                  <w:r>
                    <w:rPr>
                      <w:rFonts w:hint="eastAsia"/>
                      <w:caps w:val="0"/>
                      <w:color w:val="auto"/>
                      <w:spacing w:val="0"/>
                      <w:position w:val="0"/>
                      <w:highlight w:val="none"/>
                      <w:lang w:eastAsia="zh-CN"/>
                    </w:rPr>
                    <w:t>。</w:t>
                  </w:r>
                </w:p>
              </w:tc>
              <w:tc>
                <w:tcPr>
                  <w:tcW w:w="541" w:type="dxa"/>
                  <w:tcBorders>
                    <w:tl2br w:val="nil"/>
                    <w:tr2bl w:val="nil"/>
                  </w:tcBorders>
                  <w:vAlign w:val="center"/>
                </w:tcPr>
                <w:p w14:paraId="2B53925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704F48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continue"/>
                  <w:tcBorders>
                    <w:tl2br w:val="nil"/>
                    <w:tr2bl w:val="nil"/>
                  </w:tcBorders>
                  <w:vAlign w:val="center"/>
                </w:tcPr>
                <w:p w14:paraId="49B20F0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867" w:type="dxa"/>
                  <w:tcBorders>
                    <w:tl2br w:val="nil"/>
                    <w:tr2bl w:val="nil"/>
                  </w:tcBorders>
                  <w:tcMar>
                    <w:top w:w="15" w:type="dxa"/>
                    <w:left w:w="15" w:type="dxa"/>
                    <w:bottom w:w="0" w:type="dxa"/>
                    <w:right w:w="15" w:type="dxa"/>
                  </w:tcMar>
                  <w:vAlign w:val="center"/>
                </w:tcPr>
                <w:p w14:paraId="68300B4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禁燃区要求</w:t>
                  </w:r>
                </w:p>
              </w:tc>
              <w:tc>
                <w:tcPr>
                  <w:tcW w:w="3129" w:type="dxa"/>
                  <w:tcBorders>
                    <w:tl2br w:val="nil"/>
                    <w:tr2bl w:val="nil"/>
                  </w:tcBorders>
                  <w:tcMar>
                    <w:top w:w="15" w:type="dxa"/>
                    <w:left w:w="15" w:type="dxa"/>
                    <w:bottom w:w="0" w:type="dxa"/>
                    <w:right w:w="15" w:type="dxa"/>
                  </w:tcMar>
                  <w:vAlign w:val="center"/>
                </w:tcPr>
                <w:p w14:paraId="4C57E6F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禁止新建、扩建燃用高污染燃料的项目和设施，已建成的应逐步或依法限期改用天然气、电或者其他清洁能源。</w:t>
                  </w:r>
                </w:p>
              </w:tc>
              <w:tc>
                <w:tcPr>
                  <w:tcW w:w="1344" w:type="dxa"/>
                  <w:tcBorders>
                    <w:tl2br w:val="nil"/>
                    <w:tr2bl w:val="nil"/>
                  </w:tcBorders>
                  <w:vAlign w:val="center"/>
                </w:tcPr>
                <w:p w14:paraId="47629B1C">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default"/>
                      <w:caps w:val="0"/>
                      <w:color w:val="auto"/>
                      <w:spacing w:val="0"/>
                      <w:position w:val="0"/>
                      <w:highlight w:val="none"/>
                    </w:rPr>
                    <w:t>本项目不使用高污染燃料</w:t>
                  </w:r>
                  <w:r>
                    <w:rPr>
                      <w:rFonts w:hint="eastAsia"/>
                      <w:caps w:val="0"/>
                      <w:color w:val="auto"/>
                      <w:spacing w:val="0"/>
                      <w:position w:val="0"/>
                      <w:highlight w:val="none"/>
                      <w:lang w:eastAsia="zh-CN"/>
                    </w:rPr>
                    <w:t>。</w:t>
                  </w:r>
                </w:p>
              </w:tc>
              <w:tc>
                <w:tcPr>
                  <w:tcW w:w="541" w:type="dxa"/>
                  <w:tcBorders>
                    <w:tl2br w:val="nil"/>
                    <w:tr2bl w:val="nil"/>
                  </w:tcBorders>
                  <w:vAlign w:val="center"/>
                </w:tcPr>
                <w:p w14:paraId="0F1C360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bl>
          <w:p w14:paraId="4579BDFD">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表1-4 与宜春市管控单元生态环境准入清单相符性</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45"/>
              <w:gridCol w:w="3558"/>
              <w:gridCol w:w="1779"/>
              <w:gridCol w:w="912"/>
            </w:tblGrid>
            <w:tr w14:paraId="43E40F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46" w:type="dxa"/>
                  <w:tcBorders>
                    <w:tl2br w:val="nil"/>
                    <w:tr2bl w:val="nil"/>
                  </w:tcBorders>
                  <w:vAlign w:val="center"/>
                </w:tcPr>
                <w:p w14:paraId="1C6AE73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管控单元名称</w:t>
                  </w:r>
                </w:p>
              </w:tc>
              <w:tc>
                <w:tcPr>
                  <w:tcW w:w="6255" w:type="dxa"/>
                  <w:gridSpan w:val="3"/>
                  <w:tcBorders>
                    <w:tl2br w:val="nil"/>
                    <w:tr2bl w:val="nil"/>
                  </w:tcBorders>
                  <w:vAlign w:val="center"/>
                </w:tcPr>
                <w:p w14:paraId="3589C998">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eastAsia"/>
                      <w:caps w:val="0"/>
                      <w:color w:val="auto"/>
                      <w:spacing w:val="0"/>
                      <w:position w:val="0"/>
                      <w:highlight w:val="none"/>
                    </w:rPr>
                    <w:t>江西省宜春市高安市</w:t>
                  </w:r>
                  <w:r>
                    <w:rPr>
                      <w:rFonts w:hint="eastAsia"/>
                      <w:caps w:val="0"/>
                      <w:color w:val="auto"/>
                      <w:spacing w:val="0"/>
                      <w:position w:val="0"/>
                      <w:highlight w:val="none"/>
                      <w:lang w:val="en-US" w:eastAsia="zh-CN"/>
                    </w:rPr>
                    <w:t>一般</w:t>
                  </w:r>
                  <w:r>
                    <w:rPr>
                      <w:rFonts w:hint="eastAsia"/>
                      <w:caps w:val="0"/>
                      <w:color w:val="auto"/>
                      <w:spacing w:val="0"/>
                      <w:position w:val="0"/>
                      <w:highlight w:val="none"/>
                    </w:rPr>
                    <w:t>管控单元</w:t>
                  </w:r>
                  <w:r>
                    <w:rPr>
                      <w:rFonts w:hint="eastAsia"/>
                      <w:caps w:val="0"/>
                      <w:color w:val="auto"/>
                      <w:spacing w:val="0"/>
                      <w:position w:val="0"/>
                      <w:highlight w:val="none"/>
                      <w:lang w:val="en-US" w:eastAsia="zh-CN"/>
                    </w:rPr>
                    <w:t>1</w:t>
                  </w:r>
                </w:p>
              </w:tc>
            </w:tr>
            <w:tr w14:paraId="7C9193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46" w:type="dxa"/>
                  <w:tcBorders>
                    <w:tl2br w:val="nil"/>
                    <w:tr2bl w:val="nil"/>
                  </w:tcBorders>
                  <w:shd w:val="clear" w:color="auto" w:fill="auto"/>
                  <w:vAlign w:val="center"/>
                </w:tcPr>
                <w:p w14:paraId="05935F4A">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管控单元编码</w:t>
                  </w:r>
                </w:p>
              </w:tc>
              <w:tc>
                <w:tcPr>
                  <w:tcW w:w="6255" w:type="dxa"/>
                  <w:gridSpan w:val="3"/>
                  <w:tcBorders>
                    <w:tl2br w:val="nil"/>
                    <w:tr2bl w:val="nil"/>
                  </w:tcBorders>
                  <w:shd w:val="clear" w:color="auto" w:fill="auto"/>
                  <w:vAlign w:val="center"/>
                </w:tcPr>
                <w:p w14:paraId="492A5EDC">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rPr>
                    <w:t>ZH36098330001</w:t>
                  </w:r>
                </w:p>
              </w:tc>
            </w:tr>
            <w:tr w14:paraId="6D8037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46" w:type="dxa"/>
                  <w:tcBorders>
                    <w:tl2br w:val="nil"/>
                    <w:tr2bl w:val="nil"/>
                  </w:tcBorders>
                  <w:vAlign w:val="center"/>
                </w:tcPr>
                <w:p w14:paraId="230FE93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管控单元范围</w:t>
                  </w:r>
                </w:p>
              </w:tc>
              <w:tc>
                <w:tcPr>
                  <w:tcW w:w="6255" w:type="dxa"/>
                  <w:gridSpan w:val="3"/>
                  <w:tcBorders>
                    <w:tl2br w:val="nil"/>
                    <w:tr2bl w:val="nil"/>
                  </w:tcBorders>
                  <w:vAlign w:val="center"/>
                </w:tcPr>
                <w:p w14:paraId="7110B56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rPr>
                    <w:t>黄沙岗镇、荷岭镇、蓝坊镇、上湖乡、灰埠镇、太阳镇、建山镇、相城镇、田南镇等除优先保护单元、重点管控单元以外的其他区域</w:t>
                  </w:r>
                </w:p>
              </w:tc>
            </w:tr>
            <w:tr w14:paraId="3527D2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46" w:type="dxa"/>
                  <w:tcBorders>
                    <w:tl2br w:val="nil"/>
                    <w:tr2bl w:val="nil"/>
                  </w:tcBorders>
                  <w:vAlign w:val="center"/>
                </w:tcPr>
                <w:p w14:paraId="3A80B1A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管控单元类型</w:t>
                  </w:r>
                </w:p>
              </w:tc>
              <w:tc>
                <w:tcPr>
                  <w:tcW w:w="6255" w:type="dxa"/>
                  <w:gridSpan w:val="3"/>
                  <w:tcBorders>
                    <w:tl2br w:val="nil"/>
                    <w:tr2bl w:val="nil"/>
                  </w:tcBorders>
                  <w:vAlign w:val="center"/>
                </w:tcPr>
                <w:p w14:paraId="582EAF2B">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一般</w:t>
                  </w:r>
                  <w:r>
                    <w:rPr>
                      <w:rFonts w:hint="eastAsia"/>
                      <w:caps w:val="0"/>
                      <w:color w:val="auto"/>
                      <w:spacing w:val="0"/>
                      <w:position w:val="0"/>
                      <w:highlight w:val="none"/>
                    </w:rPr>
                    <w:t>管控单元</w:t>
                  </w:r>
                </w:p>
              </w:tc>
            </w:tr>
            <w:tr w14:paraId="2C94B2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46" w:type="dxa"/>
                  <w:tcBorders>
                    <w:tl2br w:val="nil"/>
                    <w:tr2bl w:val="nil"/>
                  </w:tcBorders>
                  <w:vAlign w:val="center"/>
                </w:tcPr>
                <w:p w14:paraId="26CCB81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清单编制要求</w:t>
                  </w:r>
                </w:p>
              </w:tc>
              <w:tc>
                <w:tcPr>
                  <w:tcW w:w="3561" w:type="dxa"/>
                  <w:tcBorders>
                    <w:tl2br w:val="nil"/>
                    <w:tr2bl w:val="nil"/>
                  </w:tcBorders>
                  <w:vAlign w:val="center"/>
                </w:tcPr>
                <w:p w14:paraId="6BE2EF1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准入清单</w:t>
                  </w:r>
                </w:p>
              </w:tc>
              <w:tc>
                <w:tcPr>
                  <w:tcW w:w="1781" w:type="dxa"/>
                  <w:tcBorders>
                    <w:tl2br w:val="nil"/>
                    <w:tr2bl w:val="nil"/>
                  </w:tcBorders>
                  <w:vAlign w:val="center"/>
                </w:tcPr>
                <w:p w14:paraId="7301329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本项目情况</w:t>
                  </w:r>
                </w:p>
              </w:tc>
              <w:tc>
                <w:tcPr>
                  <w:tcW w:w="913" w:type="dxa"/>
                  <w:tcBorders>
                    <w:tl2br w:val="nil"/>
                    <w:tr2bl w:val="nil"/>
                  </w:tcBorders>
                  <w:vAlign w:val="center"/>
                </w:tcPr>
                <w:p w14:paraId="7EFF191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相符性</w:t>
                  </w:r>
                </w:p>
              </w:tc>
            </w:tr>
            <w:tr w14:paraId="2D5192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46" w:type="dxa"/>
                  <w:tcBorders>
                    <w:tl2br w:val="nil"/>
                    <w:tr2bl w:val="nil"/>
                  </w:tcBorders>
                  <w:vAlign w:val="center"/>
                </w:tcPr>
                <w:p w14:paraId="45B3CE2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caps w:val="0"/>
                      <w:color w:val="auto"/>
                      <w:spacing w:val="0"/>
                      <w:position w:val="0"/>
                      <w:highlight w:val="none"/>
                    </w:rPr>
                    <w:t>空间布局约束</w:t>
                  </w:r>
                </w:p>
              </w:tc>
              <w:tc>
                <w:tcPr>
                  <w:tcW w:w="3561" w:type="dxa"/>
                  <w:tcBorders>
                    <w:tl2br w:val="nil"/>
                    <w:tr2bl w:val="nil"/>
                  </w:tcBorders>
                  <w:vAlign w:val="center"/>
                </w:tcPr>
                <w:p w14:paraId="4DF0CCF0">
                  <w:pPr>
                    <w:pStyle w:val="111"/>
                    <w:keepNext w:val="0"/>
                    <w:keepLines w:val="0"/>
                    <w:suppressLineNumbers w:val="0"/>
                    <w:bidi w:val="0"/>
                    <w:spacing w:before="0" w:beforeAutospacing="0" w:after="0" w:afterAutospacing="0"/>
                    <w:ind w:left="0" w:right="0"/>
                    <w:rPr>
                      <w:caps w:val="0"/>
                      <w:color w:val="auto"/>
                      <w:spacing w:val="0"/>
                      <w:position w:val="0"/>
                      <w:highlight w:val="none"/>
                    </w:rPr>
                  </w:pPr>
                  <w:r>
                    <w:rPr>
                      <w:caps w:val="0"/>
                      <w:color w:val="auto"/>
                      <w:spacing w:val="0"/>
                      <w:position w:val="0"/>
                      <w:highlight w:val="none"/>
                    </w:rPr>
                    <w:t>1.城镇开发边界外按照国家和江西省相关规定管控开发建设活动，原则上不得进行城镇集中建设，不得设立各类开发区。</w:t>
                  </w:r>
                </w:p>
                <w:p w14:paraId="1667DECA">
                  <w:pPr>
                    <w:pStyle w:val="111"/>
                    <w:keepNext w:val="0"/>
                    <w:keepLines w:val="0"/>
                    <w:suppressLineNumbers w:val="0"/>
                    <w:bidi w:val="0"/>
                    <w:spacing w:before="0" w:beforeAutospacing="0" w:after="0" w:afterAutospacing="0"/>
                    <w:ind w:left="0" w:right="0"/>
                    <w:rPr>
                      <w:caps w:val="0"/>
                      <w:color w:val="auto"/>
                      <w:spacing w:val="0"/>
                      <w:position w:val="0"/>
                      <w:highlight w:val="none"/>
                    </w:rPr>
                  </w:pPr>
                  <w:r>
                    <w:rPr>
                      <w:caps w:val="0"/>
                      <w:color w:val="auto"/>
                      <w:spacing w:val="0"/>
                      <w:position w:val="0"/>
                      <w:highlight w:val="none"/>
                    </w:rPr>
                    <w:t>2.加强基本农田保护，严格限制非农项目占用耕地；严格控制在优先保护类耕地集中区域新建有色金属冶炼、石油加工、化工、焦化、电镀、制革等行业企业及新、改、扩建增加重金属污染物排放的项目。</w:t>
                  </w:r>
                </w:p>
                <w:p w14:paraId="167B352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caps w:val="0"/>
                      <w:color w:val="auto"/>
                      <w:spacing w:val="0"/>
                      <w:position w:val="0"/>
                      <w:highlight w:val="none"/>
                    </w:rPr>
                    <w:t>3.按照畜禽养殖规划，现有禁养区养殖场逐步退出或关停。</w:t>
                  </w:r>
                </w:p>
              </w:tc>
              <w:tc>
                <w:tcPr>
                  <w:tcW w:w="1781" w:type="dxa"/>
                  <w:tcBorders>
                    <w:tl2br w:val="nil"/>
                    <w:tr2bl w:val="nil"/>
                  </w:tcBorders>
                  <w:vAlign w:val="center"/>
                </w:tcPr>
                <w:p w14:paraId="5D6FC8D1">
                  <w:pPr>
                    <w:pStyle w:val="111"/>
                    <w:keepNext w:val="0"/>
                    <w:keepLines w:val="0"/>
                    <w:suppressLineNumbers w:val="0"/>
                    <w:bidi w:val="0"/>
                    <w:spacing w:before="0" w:beforeAutospacing="0" w:after="0" w:afterAutospacing="0"/>
                    <w:ind w:left="0" w:right="0"/>
                    <w:rPr>
                      <w:caps w:val="0"/>
                      <w:color w:val="auto"/>
                      <w:spacing w:val="0"/>
                      <w:position w:val="0"/>
                      <w:highlight w:val="none"/>
                    </w:rPr>
                  </w:pPr>
                  <w:r>
                    <w:rPr>
                      <w:caps w:val="0"/>
                      <w:color w:val="auto"/>
                      <w:spacing w:val="0"/>
                      <w:position w:val="0"/>
                      <w:highlight w:val="none"/>
                    </w:rPr>
                    <w:t>1.本项目不新增用地，用地为</w:t>
                  </w:r>
                  <w:r>
                    <w:rPr>
                      <w:rFonts w:hint="eastAsia"/>
                      <w:caps w:val="0"/>
                      <w:color w:val="auto"/>
                      <w:spacing w:val="0"/>
                      <w:position w:val="0"/>
                      <w:highlight w:val="none"/>
                      <w:lang w:val="en-US" w:eastAsia="zh-CN"/>
                    </w:rPr>
                    <w:t>工业</w:t>
                  </w:r>
                  <w:r>
                    <w:rPr>
                      <w:caps w:val="0"/>
                      <w:color w:val="auto"/>
                      <w:spacing w:val="0"/>
                      <w:position w:val="0"/>
                      <w:highlight w:val="none"/>
                    </w:rPr>
                    <w:t>用地，为城镇开发边界外的零星建设用地，属于《江西省城镇开发边界管理实施细则（试行）》“在城镇开发边界外可规划布局有特定选址要求的零星城镇建设用地”（三）中的零星工业等用地。</w:t>
                  </w:r>
                </w:p>
                <w:p w14:paraId="2F53DA05">
                  <w:pPr>
                    <w:pStyle w:val="111"/>
                    <w:keepNext w:val="0"/>
                    <w:keepLines w:val="0"/>
                    <w:suppressLineNumbers w:val="0"/>
                    <w:bidi w:val="0"/>
                    <w:spacing w:before="0" w:beforeAutospacing="0" w:after="0" w:afterAutospacing="0"/>
                    <w:ind w:left="0" w:right="0"/>
                    <w:rPr>
                      <w:caps w:val="0"/>
                      <w:color w:val="auto"/>
                      <w:spacing w:val="0"/>
                      <w:position w:val="0"/>
                      <w:highlight w:val="none"/>
                    </w:rPr>
                  </w:pPr>
                  <w:r>
                    <w:rPr>
                      <w:caps w:val="0"/>
                      <w:color w:val="auto"/>
                      <w:spacing w:val="0"/>
                      <w:position w:val="0"/>
                      <w:highlight w:val="none"/>
                    </w:rPr>
                    <w:t>2.项目用地不涉及耕地，项目不属于有色金属冶炼、石油加工、化工、焦化、电镀、制革等行业；</w:t>
                  </w:r>
                </w:p>
                <w:p w14:paraId="39E5C2C1">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caps w:val="0"/>
                      <w:color w:val="auto"/>
                      <w:spacing w:val="0"/>
                      <w:position w:val="0"/>
                      <w:highlight w:val="none"/>
                    </w:rPr>
                    <w:t>3.项目不属于畜禽养殖项目。</w:t>
                  </w:r>
                </w:p>
              </w:tc>
              <w:tc>
                <w:tcPr>
                  <w:tcW w:w="913" w:type="dxa"/>
                  <w:tcBorders>
                    <w:tl2br w:val="nil"/>
                    <w:tr2bl w:val="nil"/>
                  </w:tcBorders>
                  <w:vAlign w:val="center"/>
                </w:tcPr>
                <w:p w14:paraId="6AAA2DC7">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相符</w:t>
                  </w:r>
                </w:p>
              </w:tc>
            </w:tr>
            <w:tr w14:paraId="29A6CB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46" w:type="dxa"/>
                  <w:tcBorders>
                    <w:tl2br w:val="nil"/>
                    <w:tr2bl w:val="nil"/>
                  </w:tcBorders>
                  <w:vAlign w:val="center"/>
                </w:tcPr>
                <w:p w14:paraId="6917AC0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caps w:val="0"/>
                      <w:color w:val="auto"/>
                      <w:spacing w:val="0"/>
                      <w:position w:val="0"/>
                      <w:highlight w:val="none"/>
                    </w:rPr>
                    <w:t>污染物排放管控</w:t>
                  </w:r>
                </w:p>
              </w:tc>
              <w:tc>
                <w:tcPr>
                  <w:tcW w:w="3561" w:type="dxa"/>
                  <w:tcBorders>
                    <w:tl2br w:val="nil"/>
                    <w:tr2bl w:val="nil"/>
                  </w:tcBorders>
                  <w:vAlign w:val="center"/>
                </w:tcPr>
                <w:p w14:paraId="4BE0FC7B">
                  <w:pPr>
                    <w:pStyle w:val="111"/>
                    <w:keepNext w:val="0"/>
                    <w:keepLines w:val="0"/>
                    <w:suppressLineNumbers w:val="0"/>
                    <w:bidi w:val="0"/>
                    <w:spacing w:before="0" w:beforeAutospacing="0" w:after="0" w:afterAutospacing="0"/>
                    <w:ind w:left="0" w:right="0"/>
                    <w:rPr>
                      <w:caps w:val="0"/>
                      <w:color w:val="auto"/>
                      <w:spacing w:val="0"/>
                      <w:position w:val="0"/>
                      <w:highlight w:val="none"/>
                    </w:rPr>
                  </w:pPr>
                  <w:r>
                    <w:rPr>
                      <w:caps w:val="0"/>
                      <w:color w:val="auto"/>
                      <w:spacing w:val="0"/>
                      <w:position w:val="0"/>
                      <w:highlight w:val="none"/>
                    </w:rPr>
                    <w:t>1.改造提升农村生活污水治理设施建设，2023年底前完成集中式（日处理规模20吨以上）设施改造，2025年底前基本完成现有设施改造。</w:t>
                  </w:r>
                </w:p>
                <w:p w14:paraId="01428F68">
                  <w:pPr>
                    <w:pStyle w:val="111"/>
                    <w:keepNext w:val="0"/>
                    <w:keepLines w:val="0"/>
                    <w:suppressLineNumbers w:val="0"/>
                    <w:bidi w:val="0"/>
                    <w:spacing w:before="0" w:beforeAutospacing="0" w:after="0" w:afterAutospacing="0"/>
                    <w:ind w:left="0" w:right="0"/>
                    <w:rPr>
                      <w:caps w:val="0"/>
                      <w:color w:val="auto"/>
                      <w:spacing w:val="0"/>
                      <w:position w:val="0"/>
                      <w:highlight w:val="none"/>
                    </w:rPr>
                  </w:pPr>
                  <w:r>
                    <w:rPr>
                      <w:caps w:val="0"/>
                      <w:color w:val="auto"/>
                      <w:spacing w:val="0"/>
                      <w:position w:val="0"/>
                      <w:highlight w:val="none"/>
                    </w:rPr>
                    <w:t>2.污染物排放应达到相应排放标准。</w:t>
                  </w:r>
                </w:p>
                <w:p w14:paraId="2605691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caps w:val="0"/>
                      <w:color w:val="auto"/>
                      <w:spacing w:val="0"/>
                      <w:position w:val="0"/>
                      <w:highlight w:val="none"/>
                    </w:rPr>
                    <w:t>3.污染物排放绩效水平应达到相应水平。</w:t>
                  </w:r>
                </w:p>
              </w:tc>
              <w:tc>
                <w:tcPr>
                  <w:tcW w:w="1781" w:type="dxa"/>
                  <w:tcBorders>
                    <w:tl2br w:val="nil"/>
                    <w:tr2bl w:val="nil"/>
                  </w:tcBorders>
                  <w:vAlign w:val="center"/>
                </w:tcPr>
                <w:p w14:paraId="6D6E49CE">
                  <w:pPr>
                    <w:pStyle w:val="111"/>
                    <w:keepNext w:val="0"/>
                    <w:keepLines w:val="0"/>
                    <w:suppressLineNumbers w:val="0"/>
                    <w:bidi w:val="0"/>
                    <w:spacing w:before="0" w:beforeAutospacing="0" w:after="0" w:afterAutospacing="0"/>
                    <w:ind w:left="0" w:right="0"/>
                    <w:rPr>
                      <w:caps w:val="0"/>
                      <w:color w:val="auto"/>
                      <w:spacing w:val="0"/>
                      <w:position w:val="0"/>
                      <w:highlight w:val="none"/>
                    </w:rPr>
                  </w:pPr>
                  <w:r>
                    <w:rPr>
                      <w:caps w:val="0"/>
                      <w:color w:val="auto"/>
                      <w:spacing w:val="0"/>
                      <w:position w:val="0"/>
                      <w:highlight w:val="none"/>
                    </w:rPr>
                    <w:t>1.本项目不属于农村生活污水建设项目；</w:t>
                  </w:r>
                </w:p>
                <w:p w14:paraId="39D6376C">
                  <w:pPr>
                    <w:pStyle w:val="111"/>
                    <w:keepNext w:val="0"/>
                    <w:keepLines w:val="0"/>
                    <w:suppressLineNumbers w:val="0"/>
                    <w:bidi w:val="0"/>
                    <w:spacing w:before="0" w:beforeAutospacing="0" w:after="0" w:afterAutospacing="0"/>
                    <w:ind w:left="0" w:right="0"/>
                    <w:rPr>
                      <w:caps w:val="0"/>
                      <w:color w:val="auto"/>
                      <w:spacing w:val="0"/>
                      <w:position w:val="0"/>
                      <w:highlight w:val="none"/>
                    </w:rPr>
                  </w:pPr>
                  <w:r>
                    <w:rPr>
                      <w:caps w:val="0"/>
                      <w:color w:val="auto"/>
                      <w:spacing w:val="0"/>
                      <w:position w:val="0"/>
                      <w:highlight w:val="none"/>
                    </w:rPr>
                    <w:t>2.本项目污染物可达标排放；</w:t>
                  </w:r>
                </w:p>
                <w:p w14:paraId="1430C997">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caps w:val="0"/>
                      <w:color w:val="auto"/>
                      <w:spacing w:val="0"/>
                      <w:position w:val="0"/>
                      <w:highlight w:val="none"/>
                    </w:rPr>
                    <w:t>3.本项目污染物排放绩效水平可达到相应水平。</w:t>
                  </w:r>
                </w:p>
              </w:tc>
              <w:tc>
                <w:tcPr>
                  <w:tcW w:w="913" w:type="dxa"/>
                  <w:tcBorders>
                    <w:tl2br w:val="nil"/>
                    <w:tr2bl w:val="nil"/>
                  </w:tcBorders>
                  <w:vAlign w:val="center"/>
                </w:tcPr>
                <w:p w14:paraId="0845849B">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相符</w:t>
                  </w:r>
                </w:p>
              </w:tc>
            </w:tr>
            <w:tr w14:paraId="0DC791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46" w:type="dxa"/>
                  <w:tcBorders>
                    <w:tl2br w:val="nil"/>
                    <w:tr2bl w:val="nil"/>
                  </w:tcBorders>
                  <w:vAlign w:val="center"/>
                </w:tcPr>
                <w:p w14:paraId="4CF9CC9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caps w:val="0"/>
                      <w:color w:val="auto"/>
                      <w:spacing w:val="0"/>
                      <w:position w:val="0"/>
                      <w:highlight w:val="none"/>
                    </w:rPr>
                    <w:t>环境风险防控</w:t>
                  </w:r>
                </w:p>
              </w:tc>
              <w:tc>
                <w:tcPr>
                  <w:tcW w:w="3561" w:type="dxa"/>
                  <w:tcBorders>
                    <w:tl2br w:val="nil"/>
                    <w:tr2bl w:val="nil"/>
                  </w:tcBorders>
                  <w:vAlign w:val="center"/>
                </w:tcPr>
                <w:p w14:paraId="21EF05E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caps w:val="0"/>
                      <w:color w:val="auto"/>
                      <w:spacing w:val="0"/>
                      <w:position w:val="0"/>
                      <w:highlight w:val="none"/>
                    </w:rPr>
                    <w:t>安全利用类农用地，应制定农用地等安全利用方案，降低农产品超标风险。</w:t>
                  </w:r>
                </w:p>
              </w:tc>
              <w:tc>
                <w:tcPr>
                  <w:tcW w:w="1781" w:type="dxa"/>
                  <w:tcBorders>
                    <w:tl2br w:val="nil"/>
                    <w:tr2bl w:val="nil"/>
                  </w:tcBorders>
                  <w:vAlign w:val="center"/>
                </w:tcPr>
                <w:p w14:paraId="7EF38275">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caps w:val="0"/>
                      <w:color w:val="auto"/>
                      <w:spacing w:val="0"/>
                      <w:position w:val="0"/>
                      <w:highlight w:val="none"/>
                    </w:rPr>
                    <w:t>本项目不涉及农用地利用。</w:t>
                  </w:r>
                </w:p>
              </w:tc>
              <w:tc>
                <w:tcPr>
                  <w:tcW w:w="913" w:type="dxa"/>
                  <w:tcBorders>
                    <w:tl2br w:val="nil"/>
                    <w:tr2bl w:val="nil"/>
                  </w:tcBorders>
                  <w:vAlign w:val="center"/>
                </w:tcPr>
                <w:p w14:paraId="52473F0C">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相符</w:t>
                  </w:r>
                </w:p>
              </w:tc>
            </w:tr>
          </w:tbl>
          <w:p w14:paraId="42A96245">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对照</w:t>
            </w:r>
            <w:r>
              <w:rPr>
                <w:rFonts w:hint="eastAsia"/>
                <w:caps w:val="0"/>
                <w:color w:val="auto"/>
                <w:spacing w:val="0"/>
                <w:position w:val="0"/>
                <w:highlight w:val="none"/>
                <w:lang w:val="en-US" w:eastAsia="zh-CN"/>
              </w:rPr>
              <w:t>高安市</w:t>
            </w:r>
            <w:r>
              <w:rPr>
                <w:rFonts w:hint="default"/>
                <w:caps w:val="0"/>
                <w:color w:val="auto"/>
                <w:spacing w:val="0"/>
                <w:position w:val="0"/>
                <w:highlight w:val="none"/>
                <w:lang w:val="en-US" w:eastAsia="zh-CN"/>
              </w:rPr>
              <w:t>生态环境分区管控单元图，项目属于</w:t>
            </w:r>
            <w:r>
              <w:rPr>
                <w:rFonts w:hint="eastAsia"/>
                <w:caps w:val="0"/>
                <w:color w:val="auto"/>
                <w:spacing w:val="0"/>
                <w:position w:val="0"/>
                <w:highlight w:val="none"/>
                <w:lang w:val="en-US" w:eastAsia="zh-CN"/>
              </w:rPr>
              <w:t>一般</w:t>
            </w:r>
            <w:r>
              <w:rPr>
                <w:rFonts w:hint="default"/>
                <w:caps w:val="0"/>
                <w:color w:val="auto"/>
                <w:spacing w:val="0"/>
                <w:position w:val="0"/>
                <w:highlight w:val="none"/>
                <w:lang w:val="en-US" w:eastAsia="zh-CN"/>
              </w:rPr>
              <w:t>管控单元，不属于优先保护单元。综上所述，本项目与</w:t>
            </w:r>
            <w:r>
              <w:rPr>
                <w:rFonts w:hint="eastAsia"/>
                <w:caps w:val="0"/>
                <w:color w:val="auto"/>
                <w:spacing w:val="0"/>
                <w:position w:val="0"/>
                <w:highlight w:val="none"/>
                <w:lang w:val="en-US" w:eastAsia="zh-CN"/>
              </w:rPr>
              <w:t>高安市</w:t>
            </w:r>
            <w:r>
              <w:rPr>
                <w:rFonts w:hint="default"/>
                <w:caps w:val="0"/>
                <w:color w:val="auto"/>
                <w:spacing w:val="0"/>
                <w:position w:val="0"/>
                <w:highlight w:val="none"/>
                <w:lang w:val="en-US" w:eastAsia="zh-CN"/>
              </w:rPr>
              <w:t>环境管控单元生态环境准入清单相符；即本项目不属于“环境准入负面清单”。</w:t>
            </w:r>
          </w:p>
          <w:p w14:paraId="0010FBE0">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因此，项目符合《关于印发&lt;“十三五”环境影响评价改革实施方案&gt;的通知》（环环评[2016]95号）“生态保护红线、环境质量底线、资源利用上线和环境准入负面清单（简称“三线一单”）”的要求。</w:t>
            </w:r>
          </w:p>
          <w:p w14:paraId="4B18137D">
            <w:pPr>
              <w:pStyle w:val="94"/>
              <w:keepNext w:val="0"/>
              <w:keepLines w:val="0"/>
              <w:suppressLineNumbers w:val="0"/>
              <w:spacing w:before="160" w:beforeAutospacing="0" w:after="0" w:afterAutospacing="0" w:line="358" w:lineRule="auto"/>
              <w:ind w:left="120" w:right="106" w:firstLine="479"/>
              <w:rPr>
                <w:rFonts w:hint="default"/>
                <w:caps w:val="0"/>
                <w:color w:val="auto"/>
                <w:spacing w:val="0"/>
                <w:position w:val="0"/>
                <w:highlight w:val="none"/>
              </w:rPr>
            </w:pPr>
            <w:r>
              <w:rPr>
                <w:rFonts w:hint="eastAsia"/>
                <w:b/>
                <w:bCs w:val="0"/>
                <w:caps w:val="0"/>
                <w:color w:val="auto"/>
                <w:spacing w:val="0"/>
                <w:position w:val="0"/>
                <w:highlight w:val="none"/>
                <w:lang w:val="en-US" w:eastAsia="zh-CN"/>
              </w:rPr>
              <w:t>4、</w:t>
            </w:r>
            <w:r>
              <w:rPr>
                <w:rFonts w:hint="default"/>
                <w:b/>
                <w:bCs/>
                <w:caps w:val="0"/>
                <w:color w:val="auto"/>
                <w:spacing w:val="0"/>
                <w:position w:val="0"/>
                <w:highlight w:val="none"/>
              </w:rPr>
              <w:t>与《江西省自然资源厅关于印发</w:t>
            </w:r>
            <w:r>
              <w:rPr>
                <w:rFonts w:hint="default" w:ascii="Times New Roman" w:hAnsi="Times New Roman" w:eastAsia="Times New Roman" w:cs="Times New Roman"/>
                <w:b/>
                <w:bCs/>
                <w:caps w:val="0"/>
                <w:color w:val="auto"/>
                <w:spacing w:val="0"/>
                <w:position w:val="0"/>
                <w:highlight w:val="none"/>
              </w:rPr>
              <w:t>&lt;</w:t>
            </w:r>
            <w:r>
              <w:rPr>
                <w:rFonts w:hint="default"/>
                <w:b/>
                <w:bCs/>
                <w:caps w:val="0"/>
                <w:color w:val="auto"/>
                <w:spacing w:val="0"/>
                <w:position w:val="0"/>
                <w:highlight w:val="none"/>
              </w:rPr>
              <w:t>江西省城镇开发边界管理实施细则（试行）</w:t>
            </w:r>
            <w:r>
              <w:rPr>
                <w:rFonts w:hint="default" w:ascii="Times New Roman" w:hAnsi="Times New Roman" w:eastAsia="Times New Roman" w:cs="Times New Roman"/>
                <w:b/>
                <w:bCs/>
                <w:caps w:val="0"/>
                <w:color w:val="auto"/>
                <w:spacing w:val="0"/>
                <w:position w:val="0"/>
                <w:highlight w:val="none"/>
              </w:rPr>
              <w:t>&gt;</w:t>
            </w:r>
            <w:r>
              <w:rPr>
                <w:rFonts w:hint="default"/>
                <w:b/>
                <w:bCs/>
                <w:caps w:val="0"/>
                <w:color w:val="auto"/>
                <w:spacing w:val="0"/>
                <w:position w:val="0"/>
                <w:highlight w:val="none"/>
              </w:rPr>
              <w:t>的通知》（赣自然资发</w:t>
            </w:r>
            <w:r>
              <w:rPr>
                <w:rFonts w:hint="default" w:ascii="Times New Roman" w:hAnsi="Times New Roman" w:eastAsia="Times New Roman" w:cs="Times New Roman"/>
                <w:b/>
                <w:bCs/>
                <w:caps w:val="0"/>
                <w:color w:val="auto"/>
                <w:spacing w:val="0"/>
                <w:position w:val="0"/>
                <w:highlight w:val="none"/>
              </w:rPr>
              <w:t>[2024]2</w:t>
            </w:r>
            <w:r>
              <w:rPr>
                <w:rFonts w:hint="default"/>
                <w:b/>
                <w:bCs/>
                <w:caps w:val="0"/>
                <w:color w:val="auto"/>
                <w:spacing w:val="0"/>
                <w:position w:val="0"/>
                <w:highlight w:val="none"/>
              </w:rPr>
              <w:t>号）</w:t>
            </w:r>
          </w:p>
          <w:p w14:paraId="51324AB3">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根据附图</w:t>
            </w:r>
            <w:r>
              <w:rPr>
                <w:rFonts w:hint="eastAsia"/>
                <w:caps w:val="0"/>
                <w:color w:val="auto"/>
                <w:spacing w:val="0"/>
                <w:position w:val="0"/>
                <w:highlight w:val="none"/>
                <w:lang w:val="en-US" w:eastAsia="zh-CN"/>
              </w:rPr>
              <w:t>10</w:t>
            </w:r>
            <w:r>
              <w:rPr>
                <w:rFonts w:hint="default"/>
                <w:caps w:val="0"/>
                <w:color w:val="auto"/>
                <w:spacing w:val="0"/>
                <w:position w:val="0"/>
                <w:highlight w:val="none"/>
              </w:rPr>
              <w:t>，本项目不在城镇开发边界内，但本项目属于</w:t>
            </w:r>
            <w:r>
              <w:rPr>
                <w:rFonts w:hint="eastAsia"/>
                <w:caps w:val="0"/>
                <w:color w:val="auto"/>
                <w:spacing w:val="0"/>
                <w:position w:val="0"/>
                <w:highlight w:val="none"/>
                <w:lang w:val="en-US" w:eastAsia="zh-CN"/>
              </w:rPr>
              <w:t>租赁</w:t>
            </w:r>
            <w:r>
              <w:rPr>
                <w:rFonts w:hint="default"/>
                <w:caps w:val="0"/>
                <w:color w:val="auto"/>
                <w:spacing w:val="0"/>
                <w:position w:val="0"/>
                <w:highlight w:val="none"/>
              </w:rPr>
              <w:t>现有企业原址内进行</w:t>
            </w:r>
            <w:r>
              <w:rPr>
                <w:rFonts w:hint="eastAsia"/>
                <w:caps w:val="0"/>
                <w:color w:val="auto"/>
                <w:spacing w:val="0"/>
                <w:position w:val="0"/>
                <w:highlight w:val="none"/>
                <w:lang w:val="en-US" w:eastAsia="zh-CN"/>
              </w:rPr>
              <w:t>建设</w:t>
            </w:r>
            <w:r>
              <w:rPr>
                <w:rFonts w:hint="default"/>
                <w:caps w:val="0"/>
                <w:color w:val="auto"/>
                <w:spacing w:val="0"/>
                <w:position w:val="0"/>
                <w:highlight w:val="none"/>
              </w:rPr>
              <w:t>，未新增用地，项目与赣自然资发</w:t>
            </w:r>
            <w:r>
              <w:rPr>
                <w:rFonts w:hint="default" w:ascii="Times New Roman" w:hAnsi="Times New Roman" w:eastAsia="Times New Roman" w:cs="Times New Roman"/>
                <w:caps w:val="0"/>
                <w:color w:val="auto"/>
                <w:spacing w:val="0"/>
                <w:position w:val="0"/>
                <w:highlight w:val="none"/>
              </w:rPr>
              <w:t>[2024]2</w:t>
            </w:r>
            <w:r>
              <w:rPr>
                <w:rFonts w:hint="default"/>
                <w:caps w:val="0"/>
                <w:color w:val="auto"/>
                <w:spacing w:val="0"/>
                <w:position w:val="0"/>
                <w:highlight w:val="none"/>
              </w:rPr>
              <w:t>号相符性分析见下表。</w:t>
            </w:r>
          </w:p>
          <w:p w14:paraId="1E4D1335">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表1-</w:t>
            </w:r>
            <w:r>
              <w:rPr>
                <w:rFonts w:hint="eastAsia"/>
                <w:caps w:val="0"/>
                <w:color w:val="auto"/>
                <w:spacing w:val="0"/>
                <w:position w:val="0"/>
                <w:highlight w:val="none"/>
                <w:lang w:val="en-US" w:eastAsia="zh-CN"/>
              </w:rPr>
              <w:t>5</w:t>
            </w:r>
            <w:r>
              <w:rPr>
                <w:rFonts w:hint="eastAsia"/>
                <w:caps w:val="0"/>
                <w:color w:val="auto"/>
                <w:spacing w:val="0"/>
                <w:position w:val="0"/>
                <w:highlight w:val="none"/>
              </w:rPr>
              <w:t xml:space="preserve"> 与赣自然资发[2024]2号相符性一览表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45"/>
              <w:gridCol w:w="3558"/>
              <w:gridCol w:w="1779"/>
              <w:gridCol w:w="912"/>
            </w:tblGrid>
            <w:tr w14:paraId="061F36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607" w:type="dxa"/>
                  <w:gridSpan w:val="2"/>
                  <w:tcBorders>
                    <w:tl2br w:val="nil"/>
                    <w:tr2bl w:val="nil"/>
                  </w:tcBorders>
                  <w:vAlign w:val="center"/>
                </w:tcPr>
                <w:p w14:paraId="70DE9B0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江西省城镇开发边界管理实施细则（试行）</w:t>
                  </w:r>
                </w:p>
              </w:tc>
              <w:tc>
                <w:tcPr>
                  <w:tcW w:w="1781" w:type="dxa"/>
                  <w:tcBorders>
                    <w:tl2br w:val="nil"/>
                    <w:tr2bl w:val="nil"/>
                  </w:tcBorders>
                  <w:vAlign w:val="center"/>
                </w:tcPr>
                <w:p w14:paraId="11386F9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本项目情况</w:t>
                  </w:r>
                </w:p>
              </w:tc>
              <w:tc>
                <w:tcPr>
                  <w:tcW w:w="913" w:type="dxa"/>
                  <w:tcBorders>
                    <w:tl2br w:val="nil"/>
                    <w:tr2bl w:val="nil"/>
                  </w:tcBorders>
                  <w:vAlign w:val="center"/>
                </w:tcPr>
                <w:p w14:paraId="62FA1AA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相符性</w:t>
                  </w:r>
                </w:p>
              </w:tc>
            </w:tr>
            <w:tr w14:paraId="088BF5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46" w:type="dxa"/>
                  <w:vMerge w:val="restart"/>
                  <w:tcBorders>
                    <w:tl2br w:val="nil"/>
                    <w:tr2bl w:val="nil"/>
                  </w:tcBorders>
                  <w:vAlign w:val="center"/>
                </w:tcPr>
                <w:p w14:paraId="368BE2F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城镇开发边界外管控要求</w:t>
                  </w:r>
                </w:p>
              </w:tc>
              <w:tc>
                <w:tcPr>
                  <w:tcW w:w="3561" w:type="dxa"/>
                  <w:tcBorders>
                    <w:tl2br w:val="nil"/>
                    <w:tr2bl w:val="nil"/>
                  </w:tcBorders>
                  <w:vAlign w:val="center"/>
                </w:tcPr>
                <w:p w14:paraId="0B1638D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caps w:val="0"/>
                      <w:color w:val="auto"/>
                      <w:spacing w:val="0"/>
                      <w:position w:val="0"/>
                      <w:highlight w:val="none"/>
                    </w:rPr>
                    <w:t>引导城镇建设用地在城镇开发边界内集中布局，城镇开发边界外不得进行城镇集中建设（含大学城、职教园），不得规划建设各类开发区和产业园区，不得规划城镇居住用地。</w:t>
                  </w:r>
                </w:p>
              </w:tc>
              <w:tc>
                <w:tcPr>
                  <w:tcW w:w="1781" w:type="dxa"/>
                  <w:tcBorders>
                    <w:tl2br w:val="nil"/>
                    <w:tr2bl w:val="nil"/>
                  </w:tcBorders>
                  <w:vAlign w:val="center"/>
                </w:tcPr>
                <w:p w14:paraId="05CAECAC">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caps w:val="0"/>
                      <w:color w:val="auto"/>
                      <w:spacing w:val="0"/>
                      <w:position w:val="0"/>
                      <w:highlight w:val="none"/>
                    </w:rPr>
                    <w:t>本项目用地性质为城镇建设用地（</w:t>
                  </w:r>
                  <w:r>
                    <w:rPr>
                      <w:rFonts w:hint="eastAsia"/>
                      <w:caps w:val="0"/>
                      <w:color w:val="auto"/>
                      <w:spacing w:val="0"/>
                      <w:position w:val="0"/>
                      <w:highlight w:val="none"/>
                      <w:lang w:val="en-US" w:eastAsia="zh-CN"/>
                    </w:rPr>
                    <w:t>工业用地</w:t>
                  </w:r>
                  <w:r>
                    <w:rPr>
                      <w:caps w:val="0"/>
                      <w:color w:val="auto"/>
                      <w:spacing w:val="0"/>
                      <w:position w:val="0"/>
                      <w:highlight w:val="none"/>
                    </w:rPr>
                    <w:t>），位于城镇开发边界外，但不属于城镇集中建设（含大学城、职教园），不属于建设各类开发区和产业园区</w:t>
                  </w:r>
                </w:p>
              </w:tc>
              <w:tc>
                <w:tcPr>
                  <w:tcW w:w="913" w:type="dxa"/>
                  <w:tcBorders>
                    <w:tl2br w:val="nil"/>
                    <w:tr2bl w:val="nil"/>
                  </w:tcBorders>
                  <w:vAlign w:val="center"/>
                </w:tcPr>
                <w:p w14:paraId="29A7BF31">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相符</w:t>
                  </w:r>
                </w:p>
              </w:tc>
            </w:tr>
            <w:tr w14:paraId="20CBA4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46" w:type="dxa"/>
                  <w:vMerge w:val="continue"/>
                  <w:tcBorders>
                    <w:tl2br w:val="nil"/>
                    <w:tr2bl w:val="nil"/>
                  </w:tcBorders>
                  <w:vAlign w:val="center"/>
                </w:tcPr>
                <w:p w14:paraId="48D2468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561" w:type="dxa"/>
                  <w:tcBorders>
                    <w:tl2br w:val="nil"/>
                    <w:tr2bl w:val="nil"/>
                  </w:tcBorders>
                  <w:vAlign w:val="center"/>
                </w:tcPr>
                <w:p w14:paraId="75A1DF7C">
                  <w:pPr>
                    <w:pStyle w:val="111"/>
                    <w:keepNext w:val="0"/>
                    <w:keepLines w:val="0"/>
                    <w:suppressLineNumbers w:val="0"/>
                    <w:bidi w:val="0"/>
                    <w:spacing w:before="0" w:beforeAutospacing="0" w:after="0" w:afterAutospacing="0"/>
                    <w:ind w:left="0" w:right="0"/>
                    <w:rPr>
                      <w:caps w:val="0"/>
                      <w:color w:val="auto"/>
                      <w:spacing w:val="0"/>
                      <w:position w:val="0"/>
                      <w:highlight w:val="none"/>
                    </w:rPr>
                  </w:pPr>
                  <w:r>
                    <w:rPr>
                      <w:caps w:val="0"/>
                      <w:color w:val="auto"/>
                      <w:spacing w:val="0"/>
                      <w:position w:val="0"/>
                      <w:highlight w:val="none"/>
                    </w:rPr>
                    <w:t>在城镇开发边界外可规划布局交通运输、水利、能源等基础设施用地，采矿、战略储备、应急救援等有资源依托和邻避要求的项目用地，以及军事、宗教、殡葬、监教场所等特殊用地。以上项目类型可按单独选址报批用地，符合土地征收要求的，可依法实施土地征收</w:t>
                  </w:r>
                </w:p>
              </w:tc>
              <w:tc>
                <w:tcPr>
                  <w:tcW w:w="1781" w:type="dxa"/>
                  <w:tcBorders>
                    <w:tl2br w:val="nil"/>
                    <w:tr2bl w:val="nil"/>
                  </w:tcBorders>
                  <w:vAlign w:val="center"/>
                </w:tcPr>
                <w:p w14:paraId="316F8EB4">
                  <w:pPr>
                    <w:pStyle w:val="111"/>
                    <w:keepNext w:val="0"/>
                    <w:keepLines w:val="0"/>
                    <w:suppressLineNumbers w:val="0"/>
                    <w:bidi w:val="0"/>
                    <w:spacing w:before="0" w:beforeAutospacing="0" w:after="0" w:afterAutospacing="0"/>
                    <w:ind w:left="0" w:right="0"/>
                    <w:rPr>
                      <w:caps w:val="0"/>
                      <w:color w:val="auto"/>
                      <w:spacing w:val="0"/>
                      <w:position w:val="0"/>
                      <w:highlight w:val="none"/>
                    </w:rPr>
                  </w:pPr>
                  <w:r>
                    <w:rPr>
                      <w:caps w:val="0"/>
                      <w:color w:val="auto"/>
                      <w:spacing w:val="0"/>
                      <w:position w:val="0"/>
                      <w:highlight w:val="none"/>
                    </w:rPr>
                    <w:t>不涉及此类项目</w:t>
                  </w:r>
                </w:p>
              </w:tc>
              <w:tc>
                <w:tcPr>
                  <w:tcW w:w="913" w:type="dxa"/>
                  <w:tcBorders>
                    <w:tl2br w:val="nil"/>
                    <w:tr2bl w:val="nil"/>
                  </w:tcBorders>
                  <w:vAlign w:val="center"/>
                </w:tcPr>
                <w:p w14:paraId="0B040C79">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相符</w:t>
                  </w:r>
                </w:p>
              </w:tc>
            </w:tr>
            <w:tr w14:paraId="2DEB3A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46" w:type="dxa"/>
                  <w:vMerge w:val="continue"/>
                  <w:tcBorders>
                    <w:tl2br w:val="nil"/>
                    <w:tr2bl w:val="nil"/>
                  </w:tcBorders>
                  <w:vAlign w:val="center"/>
                </w:tcPr>
                <w:p w14:paraId="14EEE80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561" w:type="dxa"/>
                  <w:tcBorders>
                    <w:tl2br w:val="nil"/>
                    <w:tr2bl w:val="nil"/>
                  </w:tcBorders>
                  <w:vAlign w:val="center"/>
                </w:tcPr>
                <w:p w14:paraId="7FC52A05">
                  <w:pPr>
                    <w:pStyle w:val="111"/>
                    <w:keepNext w:val="0"/>
                    <w:keepLines w:val="0"/>
                    <w:suppressLineNumbers w:val="0"/>
                    <w:bidi w:val="0"/>
                    <w:spacing w:before="0" w:beforeAutospacing="0" w:after="0" w:afterAutospacing="0"/>
                    <w:ind w:left="0" w:right="0"/>
                    <w:rPr>
                      <w:caps w:val="0"/>
                      <w:color w:val="auto"/>
                      <w:spacing w:val="0"/>
                      <w:position w:val="0"/>
                      <w:highlight w:val="none"/>
                    </w:rPr>
                  </w:pPr>
                  <w:r>
                    <w:rPr>
                      <w:caps w:val="0"/>
                      <w:color w:val="auto"/>
                      <w:spacing w:val="0"/>
                      <w:position w:val="0"/>
                      <w:highlight w:val="none"/>
                    </w:rPr>
                    <w:t>在落实最严格的耕地保护、节约用地和生态环境保护制度的前提下，结合城乡融合、区域一体化发展和旅游开发建设等合理需求，在城镇开发边界外可规划布局有特定选址要求的零星城镇建设用地，具体包括以下类型：</w:t>
                  </w:r>
                </w:p>
                <w:p w14:paraId="7C52FE2F">
                  <w:pPr>
                    <w:pStyle w:val="111"/>
                    <w:keepNext w:val="0"/>
                    <w:keepLines w:val="0"/>
                    <w:suppressLineNumbers w:val="0"/>
                    <w:bidi w:val="0"/>
                    <w:spacing w:before="0" w:beforeAutospacing="0" w:after="0" w:afterAutospacing="0"/>
                    <w:ind w:left="0" w:right="0"/>
                    <w:rPr>
                      <w:caps w:val="0"/>
                      <w:color w:val="auto"/>
                      <w:spacing w:val="0"/>
                      <w:position w:val="0"/>
                      <w:highlight w:val="none"/>
                    </w:rPr>
                  </w:pPr>
                  <w:r>
                    <w:rPr>
                      <w:caps w:val="0"/>
                      <w:color w:val="auto"/>
                      <w:spacing w:val="0"/>
                      <w:position w:val="0"/>
                      <w:highlight w:val="none"/>
                    </w:rPr>
                    <w:t>（一）中心城区、集镇（镇区）范围内，组团间连接性的城镇道路用地；</w:t>
                  </w:r>
                </w:p>
                <w:p w14:paraId="5AE844AA">
                  <w:pPr>
                    <w:pStyle w:val="111"/>
                    <w:keepNext w:val="0"/>
                    <w:keepLines w:val="0"/>
                    <w:suppressLineNumbers w:val="0"/>
                    <w:bidi w:val="0"/>
                    <w:spacing w:before="0" w:beforeAutospacing="0" w:after="0" w:afterAutospacing="0"/>
                    <w:ind w:left="0" w:right="0"/>
                    <w:rPr>
                      <w:caps w:val="0"/>
                      <w:color w:val="auto"/>
                      <w:spacing w:val="0"/>
                      <w:position w:val="0"/>
                      <w:highlight w:val="none"/>
                    </w:rPr>
                  </w:pPr>
                  <w:r>
                    <w:rPr>
                      <w:caps w:val="0"/>
                      <w:color w:val="auto"/>
                      <w:spacing w:val="0"/>
                      <w:position w:val="0"/>
                      <w:highlight w:val="none"/>
                    </w:rPr>
                    <w:t>（二）有特殊选址或邻避要求，需远离城镇或位于城镇边缘的城镇公用设施用地，如供水、排水、供电、燃气、供热、通信、广播电视、环卫、气象、综合防灾、污水处理、环境监测设施以及“平急两用”等其他公共设施等用地；</w:t>
                  </w:r>
                </w:p>
                <w:p w14:paraId="4F64E4F3">
                  <w:pPr>
                    <w:pStyle w:val="111"/>
                    <w:keepNext w:val="0"/>
                    <w:keepLines w:val="0"/>
                    <w:suppressLineNumbers w:val="0"/>
                    <w:bidi w:val="0"/>
                    <w:spacing w:before="0" w:beforeAutospacing="0" w:after="0" w:afterAutospacing="0"/>
                    <w:ind w:left="0" w:right="0"/>
                    <w:rPr>
                      <w:caps w:val="0"/>
                      <w:color w:val="auto"/>
                      <w:spacing w:val="0"/>
                      <w:position w:val="0"/>
                      <w:highlight w:val="none"/>
                    </w:rPr>
                  </w:pPr>
                  <w:r>
                    <w:rPr>
                      <w:caps w:val="0"/>
                      <w:color w:val="auto"/>
                      <w:spacing w:val="0"/>
                      <w:position w:val="0"/>
                      <w:highlight w:val="none"/>
                    </w:rPr>
                    <w:t>（三）对防护、隔离等有特殊选址要求的特殊医疗、零星工业、物流仓储、储备库等用地；（四）远离城镇零星布局的加油站、充换电站、加换气站等公用设施营业网点用地；</w:t>
                  </w:r>
                </w:p>
                <w:p w14:paraId="1E6161A4">
                  <w:pPr>
                    <w:pStyle w:val="111"/>
                    <w:keepNext w:val="0"/>
                    <w:keepLines w:val="0"/>
                    <w:suppressLineNumbers w:val="0"/>
                    <w:bidi w:val="0"/>
                    <w:spacing w:before="0" w:beforeAutospacing="0" w:after="0" w:afterAutospacing="0"/>
                    <w:ind w:left="0" w:right="0"/>
                    <w:rPr>
                      <w:caps w:val="0"/>
                      <w:color w:val="auto"/>
                      <w:spacing w:val="0"/>
                      <w:position w:val="0"/>
                      <w:highlight w:val="none"/>
                    </w:rPr>
                  </w:pPr>
                  <w:r>
                    <w:rPr>
                      <w:caps w:val="0"/>
                      <w:color w:val="auto"/>
                      <w:spacing w:val="0"/>
                      <w:position w:val="0"/>
                      <w:highlight w:val="none"/>
                    </w:rPr>
                    <w:t>（五）依托本地农业资源布局的农村一二三产业融合发展用地、乡村振兴等初级加工产业用地；</w:t>
                  </w:r>
                </w:p>
                <w:p w14:paraId="7DDFECD1">
                  <w:pPr>
                    <w:pStyle w:val="111"/>
                    <w:keepNext w:val="0"/>
                    <w:keepLines w:val="0"/>
                    <w:suppressLineNumbers w:val="0"/>
                    <w:bidi w:val="0"/>
                    <w:spacing w:before="0" w:beforeAutospacing="0" w:after="0" w:afterAutospacing="0"/>
                    <w:ind w:left="0" w:right="0"/>
                    <w:rPr>
                      <w:caps w:val="0"/>
                      <w:color w:val="auto"/>
                      <w:spacing w:val="0"/>
                      <w:position w:val="0"/>
                      <w:highlight w:val="none"/>
                    </w:rPr>
                  </w:pPr>
                  <w:r>
                    <w:rPr>
                      <w:caps w:val="0"/>
                      <w:color w:val="auto"/>
                      <w:spacing w:val="0"/>
                      <w:position w:val="0"/>
                      <w:highlight w:val="none"/>
                    </w:rPr>
                    <w:t>（六）依托自然景观、历史人文等旅游资源的服务配套设施用地；</w:t>
                  </w:r>
                </w:p>
                <w:p w14:paraId="58DA9D8C">
                  <w:pPr>
                    <w:pStyle w:val="111"/>
                    <w:keepNext w:val="0"/>
                    <w:keepLines w:val="0"/>
                    <w:suppressLineNumbers w:val="0"/>
                    <w:bidi w:val="0"/>
                    <w:spacing w:before="0" w:beforeAutospacing="0" w:after="0" w:afterAutospacing="0"/>
                    <w:ind w:left="0" w:right="0"/>
                    <w:rPr>
                      <w:caps w:val="0"/>
                      <w:color w:val="auto"/>
                      <w:spacing w:val="0"/>
                      <w:position w:val="0"/>
                      <w:highlight w:val="none"/>
                    </w:rPr>
                  </w:pPr>
                  <w:r>
                    <w:rPr>
                      <w:caps w:val="0"/>
                      <w:color w:val="auto"/>
                      <w:spacing w:val="0"/>
                      <w:position w:val="0"/>
                      <w:highlight w:val="none"/>
                    </w:rPr>
                    <w:t>（七）其他法律法规规定的可以在城镇开发边界外布局的建设项目用地。</w:t>
                  </w:r>
                </w:p>
                <w:p w14:paraId="1166717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caps w:val="0"/>
                      <w:color w:val="auto"/>
                      <w:spacing w:val="0"/>
                      <w:position w:val="0"/>
                      <w:highlight w:val="none"/>
                    </w:rPr>
                    <w:t>零星城镇建设用地在确定项目用地规模和布局后，可按批次用地报批，符合土地征收要求的，可依法实施土地征收。</w:t>
                  </w:r>
                </w:p>
              </w:tc>
              <w:tc>
                <w:tcPr>
                  <w:tcW w:w="1781" w:type="dxa"/>
                  <w:tcBorders>
                    <w:tl2br w:val="nil"/>
                    <w:tr2bl w:val="nil"/>
                  </w:tcBorders>
                  <w:vAlign w:val="center"/>
                </w:tcPr>
                <w:p w14:paraId="330BF5AB">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caps w:val="0"/>
                      <w:color w:val="auto"/>
                      <w:spacing w:val="0"/>
                      <w:position w:val="0"/>
                      <w:highlight w:val="none"/>
                    </w:rPr>
                    <w:t>本项目不新增用地，不占用耕地，属于“在城镇开发边界外可规划布局有特定选址要求的零星城镇建设用地”（三）中的零星工业等用地。</w:t>
                  </w:r>
                </w:p>
              </w:tc>
              <w:tc>
                <w:tcPr>
                  <w:tcW w:w="913" w:type="dxa"/>
                  <w:tcBorders>
                    <w:tl2br w:val="nil"/>
                    <w:tr2bl w:val="nil"/>
                  </w:tcBorders>
                  <w:vAlign w:val="center"/>
                </w:tcPr>
                <w:p w14:paraId="72F45D1A">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相符</w:t>
                  </w:r>
                </w:p>
              </w:tc>
            </w:tr>
            <w:tr w14:paraId="1405A8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46" w:type="dxa"/>
                  <w:vMerge w:val="continue"/>
                  <w:tcBorders>
                    <w:tl2br w:val="nil"/>
                    <w:tr2bl w:val="nil"/>
                  </w:tcBorders>
                  <w:vAlign w:val="center"/>
                </w:tcPr>
                <w:p w14:paraId="005F0EB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3561" w:type="dxa"/>
                  <w:tcBorders>
                    <w:tl2br w:val="nil"/>
                    <w:tr2bl w:val="nil"/>
                  </w:tcBorders>
                  <w:vAlign w:val="center"/>
                </w:tcPr>
                <w:p w14:paraId="4D35027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caps w:val="0"/>
                      <w:color w:val="auto"/>
                      <w:spacing w:val="0"/>
                      <w:position w:val="0"/>
                      <w:highlight w:val="none"/>
                    </w:rPr>
                    <w:t>因用地勘界、比例尺衔接、坐标转换等原因，造成用地范围与城镇开发边界存在细微差异的，面积不超过500平方米且不超过项目用地面积的5‰，可视为符合城镇开发边界管理要求，计入新增城镇建设用地规模</w:t>
                  </w:r>
                </w:p>
              </w:tc>
              <w:tc>
                <w:tcPr>
                  <w:tcW w:w="1781" w:type="dxa"/>
                  <w:tcBorders>
                    <w:tl2br w:val="nil"/>
                    <w:tr2bl w:val="nil"/>
                  </w:tcBorders>
                  <w:vAlign w:val="center"/>
                </w:tcPr>
                <w:p w14:paraId="110787A2">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caps w:val="0"/>
                      <w:color w:val="auto"/>
                      <w:spacing w:val="0"/>
                      <w:position w:val="0"/>
                      <w:highlight w:val="none"/>
                    </w:rPr>
                    <w:t>不涉及</w:t>
                  </w:r>
                </w:p>
              </w:tc>
              <w:tc>
                <w:tcPr>
                  <w:tcW w:w="913" w:type="dxa"/>
                  <w:tcBorders>
                    <w:tl2br w:val="nil"/>
                    <w:tr2bl w:val="nil"/>
                  </w:tcBorders>
                  <w:vAlign w:val="center"/>
                </w:tcPr>
                <w:p w14:paraId="0DE17470">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相符</w:t>
                  </w:r>
                </w:p>
              </w:tc>
            </w:tr>
          </w:tbl>
          <w:p w14:paraId="69BBBD27">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eastAsia"/>
                <w:b/>
                <w:bCs w:val="0"/>
                <w:caps w:val="0"/>
                <w:color w:val="auto"/>
                <w:spacing w:val="0"/>
                <w:position w:val="0"/>
                <w:highlight w:val="none"/>
                <w:lang w:val="en-US" w:eastAsia="zh-CN"/>
              </w:rPr>
              <w:t>5、</w:t>
            </w:r>
            <w:r>
              <w:rPr>
                <w:rFonts w:hint="eastAsia"/>
                <w:b/>
                <w:bCs w:val="0"/>
                <w:caps w:val="0"/>
                <w:color w:val="auto"/>
                <w:spacing w:val="0"/>
                <w:position w:val="0"/>
                <w:highlight w:val="none"/>
              </w:rPr>
              <w:t>与《长江经济带发展负面清单指南（试行，</w:t>
            </w:r>
            <w:r>
              <w:rPr>
                <w:rFonts w:hint="default"/>
                <w:b/>
                <w:bCs w:val="0"/>
                <w:caps w:val="0"/>
                <w:color w:val="auto"/>
                <w:spacing w:val="0"/>
                <w:position w:val="0"/>
                <w:highlight w:val="none"/>
              </w:rPr>
              <w:t>2022</w:t>
            </w:r>
            <w:r>
              <w:rPr>
                <w:rFonts w:hint="eastAsia"/>
                <w:b/>
                <w:bCs w:val="0"/>
                <w:caps w:val="0"/>
                <w:color w:val="auto"/>
                <w:spacing w:val="0"/>
                <w:position w:val="0"/>
                <w:highlight w:val="none"/>
              </w:rPr>
              <w:t>年版）》（长江办</w:t>
            </w:r>
            <w:r>
              <w:rPr>
                <w:rFonts w:hint="default"/>
                <w:b/>
                <w:bCs w:val="0"/>
                <w:caps w:val="0"/>
                <w:color w:val="auto"/>
                <w:spacing w:val="0"/>
                <w:position w:val="0"/>
                <w:highlight w:val="none"/>
              </w:rPr>
              <w:t>[2022]7</w:t>
            </w:r>
            <w:r>
              <w:rPr>
                <w:rFonts w:hint="eastAsia"/>
                <w:b/>
                <w:bCs w:val="0"/>
                <w:caps w:val="0"/>
                <w:color w:val="auto"/>
                <w:spacing w:val="0"/>
                <w:position w:val="0"/>
                <w:highlight w:val="none"/>
              </w:rPr>
              <w:t>号）相符性分析</w:t>
            </w:r>
          </w:p>
          <w:p w14:paraId="625482A4">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表1-</w:t>
            </w:r>
            <w:r>
              <w:rPr>
                <w:rFonts w:hint="eastAsia"/>
                <w:caps w:val="0"/>
                <w:color w:val="auto"/>
                <w:spacing w:val="0"/>
                <w:position w:val="0"/>
                <w:highlight w:val="none"/>
                <w:lang w:val="en-US" w:eastAsia="zh-CN"/>
              </w:rPr>
              <w:t>6</w:t>
            </w:r>
            <w:r>
              <w:rPr>
                <w:rFonts w:hint="eastAsia"/>
                <w:caps w:val="0"/>
                <w:color w:val="auto"/>
                <w:spacing w:val="0"/>
                <w:position w:val="0"/>
                <w:highlight w:val="none"/>
              </w:rPr>
              <w:t xml:space="preserve"> 与长江办[2022]7号相符性一览表</w:t>
            </w:r>
          </w:p>
          <w:tbl>
            <w:tblPr>
              <w:tblStyle w:val="2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85"/>
              <w:gridCol w:w="2252"/>
              <w:gridCol w:w="857"/>
            </w:tblGrid>
            <w:tr w14:paraId="1B6D73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869" w:type="pct"/>
                  <w:tcBorders>
                    <w:tl2br w:val="nil"/>
                    <w:tr2bl w:val="nil"/>
                  </w:tcBorders>
                  <w:vAlign w:val="center"/>
                </w:tcPr>
                <w:p w14:paraId="5F24C8F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内容</w:t>
                  </w:r>
                </w:p>
              </w:tc>
              <w:tc>
                <w:tcPr>
                  <w:tcW w:w="1544" w:type="pct"/>
                  <w:tcBorders>
                    <w:tl2br w:val="nil"/>
                    <w:tr2bl w:val="nil"/>
                  </w:tcBorders>
                  <w:vAlign w:val="center"/>
                </w:tcPr>
                <w:p w14:paraId="213F4B9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本项目情况</w:t>
                  </w:r>
                </w:p>
              </w:tc>
              <w:tc>
                <w:tcPr>
                  <w:tcW w:w="587" w:type="pct"/>
                  <w:tcBorders>
                    <w:tl2br w:val="nil"/>
                    <w:tr2bl w:val="nil"/>
                  </w:tcBorders>
                  <w:vAlign w:val="center"/>
                </w:tcPr>
                <w:p w14:paraId="14444DE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符合性</w:t>
                  </w:r>
                </w:p>
              </w:tc>
            </w:tr>
            <w:tr w14:paraId="2B8A8B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69" w:type="pct"/>
                  <w:tcBorders>
                    <w:tl2br w:val="nil"/>
                    <w:tr2bl w:val="nil"/>
                  </w:tcBorders>
                  <w:vAlign w:val="center"/>
                </w:tcPr>
                <w:p w14:paraId="50F5EF5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禁止建设不符合全国和省级港口布局规划以及港口总体规划的码头项目，禁止建设不符合《长江干线过江通道布局规划）的过长江通道项目。</w:t>
                  </w:r>
                </w:p>
              </w:tc>
              <w:tc>
                <w:tcPr>
                  <w:tcW w:w="1544" w:type="pct"/>
                  <w:tcBorders>
                    <w:tl2br w:val="nil"/>
                    <w:tr2bl w:val="nil"/>
                  </w:tcBorders>
                  <w:vAlign w:val="center"/>
                </w:tcPr>
                <w:p w14:paraId="05EC9D2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本项目属于固体废物治理，不属于码头项目及其配套设施、锚地等工程和过长江通道项目。</w:t>
                  </w:r>
                </w:p>
              </w:tc>
              <w:tc>
                <w:tcPr>
                  <w:tcW w:w="587" w:type="pct"/>
                  <w:tcBorders>
                    <w:tl2br w:val="nil"/>
                    <w:tr2bl w:val="nil"/>
                  </w:tcBorders>
                  <w:vAlign w:val="center"/>
                </w:tcPr>
                <w:p w14:paraId="615596E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3BE754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869" w:type="pct"/>
                  <w:tcBorders>
                    <w:tl2br w:val="nil"/>
                    <w:tr2bl w:val="nil"/>
                  </w:tcBorders>
                  <w:vAlign w:val="center"/>
                </w:tcPr>
                <w:p w14:paraId="7D1F7C2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禁止在自然保护区核心区、缓冲区的岸线和河段范围内投资建设旅游和生产经营项目。禁止在风景名胜区核心景区的岸线和河段范围内投资建设与风景名胜资源保护无关的项目。</w:t>
                  </w:r>
                </w:p>
              </w:tc>
              <w:tc>
                <w:tcPr>
                  <w:tcW w:w="1544" w:type="pct"/>
                  <w:tcBorders>
                    <w:tl2br w:val="nil"/>
                    <w:tr2bl w:val="nil"/>
                  </w:tcBorders>
                  <w:vAlign w:val="center"/>
                </w:tcPr>
                <w:p w14:paraId="3BEA70E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本项目不在自然保护区核心区、缓冲区的岸线和河段范围内。</w:t>
                  </w:r>
                </w:p>
              </w:tc>
              <w:tc>
                <w:tcPr>
                  <w:tcW w:w="587" w:type="pct"/>
                  <w:tcBorders>
                    <w:tl2br w:val="nil"/>
                    <w:tr2bl w:val="nil"/>
                  </w:tcBorders>
                  <w:vAlign w:val="center"/>
                </w:tcPr>
                <w:p w14:paraId="2BFA49A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658F5D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869" w:type="pct"/>
                  <w:tcBorders>
                    <w:tl2br w:val="nil"/>
                    <w:tr2bl w:val="nil"/>
                  </w:tcBorders>
                  <w:vAlign w:val="center"/>
                </w:tcPr>
                <w:p w14:paraId="34A8F4C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w:t>
                  </w:r>
                </w:p>
              </w:tc>
              <w:tc>
                <w:tcPr>
                  <w:tcW w:w="1544" w:type="pct"/>
                  <w:tcBorders>
                    <w:tl2br w:val="nil"/>
                    <w:tr2bl w:val="nil"/>
                  </w:tcBorders>
                  <w:vAlign w:val="center"/>
                </w:tcPr>
                <w:p w14:paraId="50C32E0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本项目不在饮用水水源一级、二级保护区的岸线和河段范围内。</w:t>
                  </w:r>
                </w:p>
              </w:tc>
              <w:tc>
                <w:tcPr>
                  <w:tcW w:w="587" w:type="pct"/>
                  <w:tcBorders>
                    <w:tl2br w:val="nil"/>
                    <w:tr2bl w:val="nil"/>
                  </w:tcBorders>
                  <w:vAlign w:val="center"/>
                </w:tcPr>
                <w:p w14:paraId="6ACA14D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3E6295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869" w:type="pct"/>
                  <w:tcBorders>
                    <w:tl2br w:val="nil"/>
                    <w:tr2bl w:val="nil"/>
                  </w:tcBorders>
                  <w:vAlign w:val="center"/>
                </w:tcPr>
                <w:p w14:paraId="47FBD02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禁止在水产种质资源保护区的岸线和河段范围内新建围湖造田、围海造地或围填海等投资建设项目。禁止在国家湿地公园的岸线和河段范围内挖沙、采矿，以及任何不符合主体功能定位的投资建设项目。</w:t>
                  </w:r>
                </w:p>
              </w:tc>
              <w:tc>
                <w:tcPr>
                  <w:tcW w:w="1544" w:type="pct"/>
                  <w:tcBorders>
                    <w:tl2br w:val="nil"/>
                    <w:tr2bl w:val="nil"/>
                  </w:tcBorders>
                  <w:vAlign w:val="center"/>
                </w:tcPr>
                <w:p w14:paraId="226D5F4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本项目不在水产种质资源保护区、国家湿地公园的岸线和河段范围内。</w:t>
                  </w:r>
                </w:p>
              </w:tc>
              <w:tc>
                <w:tcPr>
                  <w:tcW w:w="587" w:type="pct"/>
                  <w:tcBorders>
                    <w:tl2br w:val="nil"/>
                    <w:tr2bl w:val="nil"/>
                  </w:tcBorders>
                  <w:vAlign w:val="center"/>
                </w:tcPr>
                <w:p w14:paraId="58EE05D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2DDB96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869" w:type="pct"/>
                  <w:tcBorders>
                    <w:tl2br w:val="nil"/>
                    <w:tr2bl w:val="nil"/>
                  </w:tcBorders>
                  <w:vAlign w:val="center"/>
                </w:tcPr>
                <w:p w14:paraId="671594E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流及湖泊保护区、保留区内投资建设不利于水资源及自然生态保护的项目。</w:t>
                  </w:r>
                </w:p>
              </w:tc>
              <w:tc>
                <w:tcPr>
                  <w:tcW w:w="1544" w:type="pct"/>
                  <w:tcBorders>
                    <w:tl2br w:val="nil"/>
                    <w:tr2bl w:val="nil"/>
                  </w:tcBorders>
                  <w:vAlign w:val="center"/>
                </w:tcPr>
                <w:p w14:paraId="41FEF19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本项目不在《长江岸线保护和开发利用总体规划》划定的岸线保护区和保留区内。</w:t>
                  </w:r>
                </w:p>
              </w:tc>
              <w:tc>
                <w:tcPr>
                  <w:tcW w:w="587" w:type="pct"/>
                  <w:tcBorders>
                    <w:tl2br w:val="nil"/>
                    <w:tr2bl w:val="nil"/>
                  </w:tcBorders>
                  <w:vAlign w:val="center"/>
                </w:tcPr>
                <w:p w14:paraId="6C87B94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2FB835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869" w:type="pct"/>
                  <w:tcBorders>
                    <w:tl2br w:val="nil"/>
                    <w:tr2bl w:val="nil"/>
                  </w:tcBorders>
                  <w:vAlign w:val="center"/>
                </w:tcPr>
                <w:p w14:paraId="5C36528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禁止未经许可在长江干支流及湖泊新设、改设或扩大排污口。</w:t>
                  </w:r>
                </w:p>
              </w:tc>
              <w:tc>
                <w:tcPr>
                  <w:tcW w:w="1544" w:type="pct"/>
                  <w:tcBorders>
                    <w:tl2br w:val="nil"/>
                    <w:tr2bl w:val="nil"/>
                  </w:tcBorders>
                  <w:vAlign w:val="center"/>
                </w:tcPr>
                <w:p w14:paraId="2B07F2A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本项目未新设、改设或扩大排污口。</w:t>
                  </w:r>
                </w:p>
              </w:tc>
              <w:tc>
                <w:tcPr>
                  <w:tcW w:w="587" w:type="pct"/>
                  <w:tcBorders>
                    <w:tl2br w:val="nil"/>
                    <w:tr2bl w:val="nil"/>
                  </w:tcBorders>
                  <w:vAlign w:val="center"/>
                </w:tcPr>
                <w:p w14:paraId="6AF40D8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0D9FC5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869" w:type="pct"/>
                  <w:tcBorders>
                    <w:tl2br w:val="nil"/>
                    <w:tr2bl w:val="nil"/>
                  </w:tcBorders>
                  <w:vAlign w:val="center"/>
                </w:tcPr>
                <w:p w14:paraId="48D856B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禁止在</w:t>
                  </w:r>
                  <w:r>
                    <w:rPr>
                      <w:rFonts w:hint="default"/>
                      <w:caps w:val="0"/>
                      <w:color w:val="auto"/>
                      <w:spacing w:val="0"/>
                      <w:position w:val="0"/>
                      <w:highlight w:val="none"/>
                    </w:rPr>
                    <w:t>“</w:t>
                  </w:r>
                  <w:r>
                    <w:rPr>
                      <w:rFonts w:hint="eastAsia"/>
                      <w:caps w:val="0"/>
                      <w:color w:val="auto"/>
                      <w:spacing w:val="0"/>
                      <w:position w:val="0"/>
                      <w:highlight w:val="none"/>
                    </w:rPr>
                    <w:t>一江一口两湖七河</w:t>
                  </w:r>
                  <w:r>
                    <w:rPr>
                      <w:rFonts w:hint="default"/>
                      <w:caps w:val="0"/>
                      <w:color w:val="auto"/>
                      <w:spacing w:val="0"/>
                      <w:position w:val="0"/>
                      <w:highlight w:val="none"/>
                    </w:rPr>
                    <w:t>”</w:t>
                  </w:r>
                  <w:r>
                    <w:rPr>
                      <w:rFonts w:hint="eastAsia"/>
                      <w:caps w:val="0"/>
                      <w:color w:val="auto"/>
                      <w:spacing w:val="0"/>
                      <w:position w:val="0"/>
                      <w:highlight w:val="none"/>
                    </w:rPr>
                    <w:t>和</w:t>
                  </w:r>
                  <w:r>
                    <w:rPr>
                      <w:rFonts w:hint="default"/>
                      <w:caps w:val="0"/>
                      <w:color w:val="auto"/>
                      <w:spacing w:val="0"/>
                      <w:position w:val="0"/>
                      <w:highlight w:val="none"/>
                    </w:rPr>
                    <w:t>332</w:t>
                  </w:r>
                  <w:r>
                    <w:rPr>
                      <w:rFonts w:hint="eastAsia"/>
                      <w:caps w:val="0"/>
                      <w:color w:val="auto"/>
                      <w:spacing w:val="0"/>
                      <w:position w:val="0"/>
                      <w:highlight w:val="none"/>
                    </w:rPr>
                    <w:t>个水生生物保护区开展生产性捕捞。</w:t>
                  </w:r>
                </w:p>
              </w:tc>
              <w:tc>
                <w:tcPr>
                  <w:tcW w:w="1544" w:type="pct"/>
                  <w:tcBorders>
                    <w:tl2br w:val="nil"/>
                    <w:tr2bl w:val="nil"/>
                  </w:tcBorders>
                  <w:vAlign w:val="center"/>
                </w:tcPr>
                <w:p w14:paraId="2E82A0C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本项目未开展生产性捕捞。</w:t>
                  </w:r>
                </w:p>
              </w:tc>
              <w:tc>
                <w:tcPr>
                  <w:tcW w:w="587" w:type="pct"/>
                  <w:tcBorders>
                    <w:tl2br w:val="nil"/>
                    <w:tr2bl w:val="nil"/>
                  </w:tcBorders>
                  <w:vAlign w:val="center"/>
                </w:tcPr>
                <w:p w14:paraId="645E383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039BFF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869" w:type="pct"/>
                  <w:tcBorders>
                    <w:tl2br w:val="nil"/>
                    <w:tr2bl w:val="nil"/>
                  </w:tcBorders>
                  <w:vAlign w:val="center"/>
                </w:tcPr>
                <w:p w14:paraId="4561696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禁止在长江干支流、重要湖泊岸线一公里范围内新建、扩建化工园区和化工项目。禁止在长江干流岸线三公里范围内和重要支流岸线一公里范围内新建、改建、扩建尾矿库、冶炼渣库和磷</w:t>
                  </w:r>
                  <w:r>
                    <w:rPr>
                      <w:rFonts w:hint="eastAsia"/>
                      <w:caps w:val="0"/>
                      <w:color w:val="auto"/>
                      <w:spacing w:val="0"/>
                      <w:position w:val="0"/>
                      <w:highlight w:val="none"/>
                      <w:lang w:eastAsia="zh-CN"/>
                    </w:rPr>
                    <w:t>石膏</w:t>
                  </w:r>
                  <w:r>
                    <w:rPr>
                      <w:rFonts w:hint="eastAsia"/>
                      <w:caps w:val="0"/>
                      <w:color w:val="auto"/>
                      <w:spacing w:val="0"/>
                      <w:position w:val="0"/>
                      <w:highlight w:val="none"/>
                    </w:rPr>
                    <w:t>库，以提升安全、生态环境保护水平为目的的改建除外。</w:t>
                  </w:r>
                </w:p>
              </w:tc>
              <w:tc>
                <w:tcPr>
                  <w:tcW w:w="1544" w:type="pct"/>
                  <w:tcBorders>
                    <w:tl2br w:val="nil"/>
                    <w:tr2bl w:val="nil"/>
                  </w:tcBorders>
                  <w:vAlign w:val="center"/>
                </w:tcPr>
                <w:p w14:paraId="4515580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本项目不在长江干支流、重要湖泊岸线一公里范围内。</w:t>
                  </w:r>
                </w:p>
              </w:tc>
              <w:tc>
                <w:tcPr>
                  <w:tcW w:w="587" w:type="pct"/>
                  <w:tcBorders>
                    <w:tl2br w:val="nil"/>
                    <w:tr2bl w:val="nil"/>
                  </w:tcBorders>
                  <w:vAlign w:val="center"/>
                </w:tcPr>
                <w:p w14:paraId="5EDDF20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69B77E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869" w:type="pct"/>
                  <w:tcBorders>
                    <w:tl2br w:val="nil"/>
                    <w:tr2bl w:val="nil"/>
                  </w:tcBorders>
                  <w:vAlign w:val="center"/>
                </w:tcPr>
                <w:p w14:paraId="1298E6A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禁止在合规园区外新建、扩建钢铁、石化、化工、焦化、建材、有色、制浆造纸高污染项目。</w:t>
                  </w:r>
                </w:p>
              </w:tc>
              <w:tc>
                <w:tcPr>
                  <w:tcW w:w="1544" w:type="pct"/>
                  <w:tcBorders>
                    <w:tl2br w:val="nil"/>
                    <w:tr2bl w:val="nil"/>
                  </w:tcBorders>
                  <w:vAlign w:val="center"/>
                </w:tcPr>
                <w:p w14:paraId="0ED603FE">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eastAsia"/>
                      <w:caps w:val="0"/>
                      <w:color w:val="auto"/>
                      <w:spacing w:val="0"/>
                      <w:position w:val="0"/>
                      <w:highlight w:val="none"/>
                      <w:lang w:val="en-US" w:eastAsia="zh-CN"/>
                    </w:rPr>
                    <w:t>本项目不属于</w:t>
                  </w:r>
                  <w:r>
                    <w:rPr>
                      <w:rFonts w:hint="eastAsia"/>
                      <w:caps w:val="0"/>
                      <w:color w:val="auto"/>
                      <w:spacing w:val="0"/>
                      <w:position w:val="0"/>
                      <w:highlight w:val="none"/>
                    </w:rPr>
                    <w:t>钢铁、石化、化工、焦化、建材、有色、制浆造纸</w:t>
                  </w:r>
                  <w:r>
                    <w:rPr>
                      <w:rFonts w:hint="eastAsia"/>
                      <w:caps w:val="0"/>
                      <w:color w:val="auto"/>
                      <w:spacing w:val="0"/>
                      <w:position w:val="0"/>
                      <w:highlight w:val="none"/>
                      <w:lang w:val="en-US" w:eastAsia="zh-CN"/>
                    </w:rPr>
                    <w:t>等</w:t>
                  </w:r>
                  <w:r>
                    <w:rPr>
                      <w:rFonts w:hint="eastAsia"/>
                      <w:caps w:val="0"/>
                      <w:color w:val="auto"/>
                      <w:spacing w:val="0"/>
                      <w:position w:val="0"/>
                      <w:highlight w:val="none"/>
                    </w:rPr>
                    <w:t>高污染项目</w:t>
                  </w:r>
                  <w:r>
                    <w:rPr>
                      <w:rFonts w:hint="default"/>
                      <w:caps w:val="0"/>
                      <w:color w:val="auto"/>
                      <w:spacing w:val="0"/>
                      <w:position w:val="0"/>
                      <w:highlight w:val="none"/>
                    </w:rPr>
                    <w:t>。</w:t>
                  </w:r>
                </w:p>
              </w:tc>
              <w:tc>
                <w:tcPr>
                  <w:tcW w:w="587" w:type="pct"/>
                  <w:tcBorders>
                    <w:tl2br w:val="nil"/>
                    <w:tr2bl w:val="nil"/>
                  </w:tcBorders>
                  <w:vAlign w:val="center"/>
                </w:tcPr>
                <w:p w14:paraId="4363E0E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34B3E7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869" w:type="pct"/>
                  <w:tcBorders>
                    <w:tl2br w:val="nil"/>
                    <w:tr2bl w:val="nil"/>
                  </w:tcBorders>
                  <w:vAlign w:val="center"/>
                </w:tcPr>
                <w:p w14:paraId="3F88F8A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禁止新建、扩建不符合国家石化、现代煤化工等产业布局规划的项目。</w:t>
                  </w:r>
                </w:p>
              </w:tc>
              <w:tc>
                <w:tcPr>
                  <w:tcW w:w="1544" w:type="pct"/>
                  <w:tcBorders>
                    <w:tl2br w:val="nil"/>
                    <w:tr2bl w:val="nil"/>
                  </w:tcBorders>
                  <w:vAlign w:val="center"/>
                </w:tcPr>
                <w:p w14:paraId="04B831F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本项目不属于国家石化、现代煤化工等项目。</w:t>
                  </w:r>
                </w:p>
              </w:tc>
              <w:tc>
                <w:tcPr>
                  <w:tcW w:w="587" w:type="pct"/>
                  <w:tcBorders>
                    <w:tl2br w:val="nil"/>
                    <w:tr2bl w:val="nil"/>
                  </w:tcBorders>
                  <w:vAlign w:val="center"/>
                </w:tcPr>
                <w:p w14:paraId="296221B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563B99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869" w:type="pct"/>
                  <w:tcBorders>
                    <w:tl2br w:val="nil"/>
                    <w:tr2bl w:val="nil"/>
                  </w:tcBorders>
                  <w:vAlign w:val="center"/>
                </w:tcPr>
                <w:p w14:paraId="5CA7C2D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禁止新建、扩建法律法规和相关政策明令禁止的落后产能项目。禁止新建、扩建不符合国家产能置换要求的严重过剩产能行业的项目。禁止新建、扩建不符合要求的高耗能高排放项目。</w:t>
                  </w:r>
                </w:p>
              </w:tc>
              <w:tc>
                <w:tcPr>
                  <w:tcW w:w="1544" w:type="pct"/>
                  <w:tcBorders>
                    <w:tl2br w:val="nil"/>
                    <w:tr2bl w:val="nil"/>
                  </w:tcBorders>
                  <w:vAlign w:val="center"/>
                </w:tcPr>
                <w:p w14:paraId="2AEAF2B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本项目不属于法律法规和相关政策明令禁止的落后产能项目。本项目不属于国家产能置换要求的严重过剩产能行业的项目。</w:t>
                  </w:r>
                </w:p>
              </w:tc>
              <w:tc>
                <w:tcPr>
                  <w:tcW w:w="587" w:type="pct"/>
                  <w:tcBorders>
                    <w:tl2br w:val="nil"/>
                    <w:tr2bl w:val="nil"/>
                  </w:tcBorders>
                  <w:vAlign w:val="center"/>
                </w:tcPr>
                <w:p w14:paraId="126F632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bl>
          <w:p w14:paraId="478ADD86">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综上，本项目符合《长江经济带发展负面清单指南（试行，2022年版）》的内容。</w:t>
            </w:r>
          </w:p>
          <w:p w14:paraId="35612B88">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eastAsia"/>
                <w:b/>
                <w:bCs w:val="0"/>
                <w:caps w:val="0"/>
                <w:color w:val="auto"/>
                <w:spacing w:val="0"/>
                <w:position w:val="0"/>
                <w:highlight w:val="none"/>
                <w:lang w:val="en-US" w:eastAsia="zh-CN"/>
              </w:rPr>
              <w:t>6</w:t>
            </w:r>
            <w:r>
              <w:rPr>
                <w:rFonts w:hint="eastAsia"/>
                <w:b/>
                <w:bCs w:val="0"/>
                <w:caps w:val="0"/>
                <w:color w:val="auto"/>
                <w:spacing w:val="0"/>
                <w:position w:val="0"/>
                <w:highlight w:val="none"/>
              </w:rPr>
              <w:t>、与《江西省长江经济带发展负面清单实施细则（试行，</w:t>
            </w:r>
            <w:r>
              <w:rPr>
                <w:rFonts w:hint="default"/>
                <w:b/>
                <w:bCs w:val="0"/>
                <w:caps w:val="0"/>
                <w:color w:val="auto"/>
                <w:spacing w:val="0"/>
                <w:position w:val="0"/>
                <w:highlight w:val="none"/>
              </w:rPr>
              <w:t>2022</w:t>
            </w:r>
            <w:r>
              <w:rPr>
                <w:rFonts w:hint="eastAsia"/>
                <w:b/>
                <w:bCs w:val="0"/>
                <w:caps w:val="0"/>
                <w:color w:val="auto"/>
                <w:spacing w:val="0"/>
                <w:position w:val="0"/>
                <w:highlight w:val="none"/>
              </w:rPr>
              <w:t>年版）》（赣长江办</w:t>
            </w:r>
            <w:r>
              <w:rPr>
                <w:rFonts w:hint="default"/>
                <w:b/>
                <w:bCs w:val="0"/>
                <w:caps w:val="0"/>
                <w:color w:val="auto"/>
                <w:spacing w:val="0"/>
                <w:position w:val="0"/>
                <w:highlight w:val="none"/>
              </w:rPr>
              <w:t>[2022]7</w:t>
            </w:r>
            <w:r>
              <w:rPr>
                <w:rFonts w:hint="eastAsia"/>
                <w:b/>
                <w:bCs w:val="0"/>
                <w:caps w:val="0"/>
                <w:color w:val="auto"/>
                <w:spacing w:val="0"/>
                <w:position w:val="0"/>
                <w:highlight w:val="none"/>
              </w:rPr>
              <w:t>号）相符性分析</w:t>
            </w:r>
          </w:p>
          <w:p w14:paraId="6BCFCFAE">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表1</w:t>
            </w:r>
            <w:r>
              <w:rPr>
                <w:rFonts w:hint="default"/>
                <w:caps w:val="0"/>
                <w:color w:val="auto"/>
                <w:spacing w:val="0"/>
                <w:position w:val="0"/>
                <w:highlight w:val="none"/>
              </w:rPr>
              <w:t>-</w:t>
            </w:r>
            <w:r>
              <w:rPr>
                <w:rFonts w:hint="eastAsia"/>
                <w:caps w:val="0"/>
                <w:color w:val="auto"/>
                <w:spacing w:val="0"/>
                <w:position w:val="0"/>
                <w:highlight w:val="none"/>
                <w:lang w:val="en-US" w:eastAsia="zh-CN"/>
              </w:rPr>
              <w:t>7</w:t>
            </w:r>
            <w:r>
              <w:rPr>
                <w:rFonts w:hint="eastAsia"/>
                <w:caps w:val="0"/>
                <w:color w:val="auto"/>
                <w:spacing w:val="0"/>
                <w:position w:val="0"/>
                <w:highlight w:val="none"/>
              </w:rPr>
              <w:t xml:space="preserve"> 与赣长江办[2022]7号相符性分析一览表</w:t>
            </w:r>
          </w:p>
          <w:tbl>
            <w:tblPr>
              <w:tblStyle w:val="2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0"/>
              <w:gridCol w:w="3616"/>
              <w:gridCol w:w="2150"/>
              <w:gridCol w:w="858"/>
            </w:tblGrid>
            <w:tr w14:paraId="49DABB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459" w:type="pct"/>
                  <w:tcBorders>
                    <w:tl2br w:val="nil"/>
                    <w:tr2bl w:val="nil"/>
                  </w:tcBorders>
                  <w:vAlign w:val="center"/>
                </w:tcPr>
                <w:p w14:paraId="1E5F26C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类别</w:t>
                  </w:r>
                </w:p>
              </w:tc>
              <w:tc>
                <w:tcPr>
                  <w:tcW w:w="2478" w:type="pct"/>
                  <w:tcBorders>
                    <w:tl2br w:val="nil"/>
                    <w:tr2bl w:val="nil"/>
                  </w:tcBorders>
                  <w:vAlign w:val="center"/>
                </w:tcPr>
                <w:p w14:paraId="436018D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内容</w:t>
                  </w:r>
                </w:p>
              </w:tc>
              <w:tc>
                <w:tcPr>
                  <w:tcW w:w="1473" w:type="pct"/>
                  <w:tcBorders>
                    <w:tl2br w:val="nil"/>
                    <w:tr2bl w:val="nil"/>
                  </w:tcBorders>
                  <w:vAlign w:val="center"/>
                </w:tcPr>
                <w:p w14:paraId="58A56A1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本项目情况</w:t>
                  </w:r>
                </w:p>
              </w:tc>
              <w:tc>
                <w:tcPr>
                  <w:tcW w:w="588" w:type="pct"/>
                  <w:tcBorders>
                    <w:tl2br w:val="nil"/>
                    <w:tr2bl w:val="nil"/>
                  </w:tcBorders>
                  <w:vAlign w:val="center"/>
                </w:tcPr>
                <w:p w14:paraId="5CE49FF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相符性</w:t>
                  </w:r>
                </w:p>
              </w:tc>
            </w:tr>
            <w:tr w14:paraId="008D5B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restart"/>
                  <w:tcBorders>
                    <w:tl2br w:val="nil"/>
                    <w:tr2bl w:val="nil"/>
                  </w:tcBorders>
                  <w:vAlign w:val="center"/>
                </w:tcPr>
                <w:p w14:paraId="676089F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严格岸线河段管控</w:t>
                  </w:r>
                </w:p>
              </w:tc>
              <w:tc>
                <w:tcPr>
                  <w:tcW w:w="2478" w:type="pct"/>
                  <w:tcBorders>
                    <w:tl2br w:val="nil"/>
                    <w:tr2bl w:val="nil"/>
                  </w:tcBorders>
                  <w:vAlign w:val="center"/>
                </w:tcPr>
                <w:p w14:paraId="7D9A8A5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禁止建设不符合国家和省级港口布局规划以及港口总体规划的码头项目。禁止建设不符合《长江干线过江通道布局规划》的过长江通道项目</w:t>
                  </w:r>
                </w:p>
              </w:tc>
              <w:tc>
                <w:tcPr>
                  <w:tcW w:w="1473" w:type="pct"/>
                  <w:tcBorders>
                    <w:tl2br w:val="nil"/>
                    <w:tr2bl w:val="nil"/>
                  </w:tcBorders>
                  <w:vAlign w:val="center"/>
                </w:tcPr>
                <w:p w14:paraId="2CB95CB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本项目属于固体废物治理，不属于码头项目和过长江通道项目</w:t>
                  </w:r>
                </w:p>
              </w:tc>
              <w:tc>
                <w:tcPr>
                  <w:tcW w:w="588" w:type="pct"/>
                  <w:tcBorders>
                    <w:tl2br w:val="nil"/>
                    <w:tr2bl w:val="nil"/>
                  </w:tcBorders>
                  <w:vAlign w:val="center"/>
                </w:tcPr>
                <w:p w14:paraId="5E265B6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7D25A8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continue"/>
                  <w:tcBorders>
                    <w:tl2br w:val="nil"/>
                    <w:tr2bl w:val="nil"/>
                  </w:tcBorders>
                  <w:vAlign w:val="center"/>
                </w:tcPr>
                <w:p w14:paraId="49FB481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2478" w:type="pct"/>
                  <w:tcBorders>
                    <w:tl2br w:val="nil"/>
                    <w:tr2bl w:val="nil"/>
                  </w:tcBorders>
                  <w:vAlign w:val="center"/>
                </w:tcPr>
                <w:p w14:paraId="48095BF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禁止在自然保护区核心区、缓冲区的岸线和河段范围内投资建设旅游和生产经营项目</w:t>
                  </w:r>
                </w:p>
              </w:tc>
              <w:tc>
                <w:tcPr>
                  <w:tcW w:w="1473" w:type="pct"/>
                  <w:tcBorders>
                    <w:tl2br w:val="nil"/>
                    <w:tr2bl w:val="nil"/>
                  </w:tcBorders>
                  <w:vAlign w:val="center"/>
                </w:tcPr>
                <w:p w14:paraId="2A1B091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本项目不在自然保护区核心区、缓冲区的岸线和河段范围内</w:t>
                  </w:r>
                </w:p>
              </w:tc>
              <w:tc>
                <w:tcPr>
                  <w:tcW w:w="588" w:type="pct"/>
                  <w:tcBorders>
                    <w:tl2br w:val="nil"/>
                    <w:tr2bl w:val="nil"/>
                  </w:tcBorders>
                  <w:vAlign w:val="center"/>
                </w:tcPr>
                <w:p w14:paraId="6A37E3A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4BDDC0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continue"/>
                  <w:tcBorders>
                    <w:tl2br w:val="nil"/>
                    <w:tr2bl w:val="nil"/>
                  </w:tcBorders>
                  <w:vAlign w:val="center"/>
                </w:tcPr>
                <w:p w14:paraId="28B87C5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2478" w:type="pct"/>
                  <w:tcBorders>
                    <w:tl2br w:val="nil"/>
                    <w:tr2bl w:val="nil"/>
                  </w:tcBorders>
                  <w:vAlign w:val="center"/>
                </w:tcPr>
                <w:p w14:paraId="48878C0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在风景名胜区核心景区的岸线和河段范围内开展以下行为：（一）开山、采石、开矿、开荒、修坟立碑等破坏景观、植被和地形地貌的活动。（二）修建储存爆炸性、易燃性、放射性、毒害性、腐蚀性物品的设施。（三）违反风景名胜区规划，建设与风景名胜资源保护无关的设施。</w:t>
                  </w:r>
                </w:p>
              </w:tc>
              <w:tc>
                <w:tcPr>
                  <w:tcW w:w="1473" w:type="pct"/>
                  <w:tcBorders>
                    <w:tl2br w:val="nil"/>
                    <w:tr2bl w:val="nil"/>
                  </w:tcBorders>
                  <w:vAlign w:val="center"/>
                </w:tcPr>
                <w:p w14:paraId="13146BC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本项目不在风景名胜区核心景区的岸线和河段范围内</w:t>
                  </w:r>
                </w:p>
              </w:tc>
              <w:tc>
                <w:tcPr>
                  <w:tcW w:w="588" w:type="pct"/>
                  <w:tcBorders>
                    <w:tl2br w:val="nil"/>
                    <w:tr2bl w:val="nil"/>
                  </w:tcBorders>
                  <w:vAlign w:val="center"/>
                </w:tcPr>
                <w:p w14:paraId="117836D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57FDA0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continue"/>
                  <w:tcBorders>
                    <w:tl2br w:val="nil"/>
                    <w:tr2bl w:val="nil"/>
                  </w:tcBorders>
                  <w:vAlign w:val="center"/>
                </w:tcPr>
                <w:p w14:paraId="1532F1F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2478" w:type="pct"/>
                  <w:tcBorders>
                    <w:tl2br w:val="nil"/>
                    <w:tr2bl w:val="nil"/>
                  </w:tcBorders>
                  <w:vAlign w:val="center"/>
                </w:tcPr>
                <w:p w14:paraId="5E79940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在饮用水水源一级保护区的岸线和河段范围内开展下列行为：（一）新建、改建、扩建与供水设施和保护水源无关的建设项目；已建成的与供水设施和保护水源无关的建设项目，由县级以上人民政府责令拆除或者关闭。（二）禁止在饮用水水源一级保护区内从事网箱养殖、旅游、游泳、垂钓或者其他可能污染饮用水水体的活动。</w:t>
                  </w:r>
                </w:p>
              </w:tc>
              <w:tc>
                <w:tcPr>
                  <w:tcW w:w="1473" w:type="pct"/>
                  <w:tcBorders>
                    <w:tl2br w:val="nil"/>
                    <w:tr2bl w:val="nil"/>
                  </w:tcBorders>
                  <w:vAlign w:val="center"/>
                </w:tcPr>
                <w:p w14:paraId="792FCD3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本项目不在饮用水水源一级保护区的岸线和河段范围内</w:t>
                  </w:r>
                </w:p>
              </w:tc>
              <w:tc>
                <w:tcPr>
                  <w:tcW w:w="588" w:type="pct"/>
                  <w:tcBorders>
                    <w:tl2br w:val="nil"/>
                    <w:tr2bl w:val="nil"/>
                  </w:tcBorders>
                  <w:vAlign w:val="center"/>
                </w:tcPr>
                <w:p w14:paraId="39DFC10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368CE6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continue"/>
                  <w:tcBorders>
                    <w:tl2br w:val="nil"/>
                    <w:tr2bl w:val="nil"/>
                  </w:tcBorders>
                  <w:vAlign w:val="center"/>
                </w:tcPr>
                <w:p w14:paraId="380C08B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2478" w:type="pct"/>
                  <w:tcBorders>
                    <w:tl2br w:val="nil"/>
                    <w:tr2bl w:val="nil"/>
                  </w:tcBorders>
                  <w:vAlign w:val="center"/>
                </w:tcPr>
                <w:p w14:paraId="40B6313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在饮用水水源二级保护区的岸线和河段范围内开展下列行为：（一）新建、改建、扩建排放污染物的建设项目；已建成的排放污染物的建设项目，由县级以上人民政府责令拆除或者关闭。（二）在饮用水水源二级保护区内从事网箱养殖、旅游等活动的，应当按照规定采取措施，防止污染饮用水水体。</w:t>
                  </w:r>
                </w:p>
              </w:tc>
              <w:tc>
                <w:tcPr>
                  <w:tcW w:w="1473" w:type="pct"/>
                  <w:tcBorders>
                    <w:tl2br w:val="nil"/>
                    <w:tr2bl w:val="nil"/>
                  </w:tcBorders>
                  <w:vAlign w:val="center"/>
                </w:tcPr>
                <w:p w14:paraId="288AC65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本项目不在饮用水水源二级保护区的岸线和河段范围内</w:t>
                  </w:r>
                </w:p>
              </w:tc>
              <w:tc>
                <w:tcPr>
                  <w:tcW w:w="588" w:type="pct"/>
                  <w:tcBorders>
                    <w:tl2br w:val="nil"/>
                    <w:tr2bl w:val="nil"/>
                  </w:tcBorders>
                  <w:vAlign w:val="center"/>
                </w:tcPr>
                <w:p w14:paraId="6EE7329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4C4783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continue"/>
                  <w:tcBorders>
                    <w:tl2br w:val="nil"/>
                    <w:tr2bl w:val="nil"/>
                  </w:tcBorders>
                  <w:vAlign w:val="center"/>
                </w:tcPr>
                <w:p w14:paraId="566A415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2478" w:type="pct"/>
                  <w:tcBorders>
                    <w:tl2br w:val="nil"/>
                    <w:tr2bl w:val="nil"/>
                  </w:tcBorders>
                  <w:vAlign w:val="center"/>
                </w:tcPr>
                <w:p w14:paraId="4558F4B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在水产种质资源保护区的岸线和河段范围内新建围湖（河）造田（地）等投资建设项目。单位和个人在水产种质资源保护区内从事水生生物资源调查、科学研究、教学实习、参观游览、影视拍摄等活动，应当遵守有关法律法规和保护区管理制度，不得损害水产种质资源及其生存环境。</w:t>
                  </w:r>
                </w:p>
              </w:tc>
              <w:tc>
                <w:tcPr>
                  <w:tcW w:w="1473" w:type="pct"/>
                  <w:tcBorders>
                    <w:tl2br w:val="nil"/>
                    <w:tr2bl w:val="nil"/>
                  </w:tcBorders>
                  <w:vAlign w:val="center"/>
                </w:tcPr>
                <w:p w14:paraId="00B0784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本项目不在水产种质资源保护区的岸线和河段范围内</w:t>
                  </w:r>
                </w:p>
              </w:tc>
              <w:tc>
                <w:tcPr>
                  <w:tcW w:w="588" w:type="pct"/>
                  <w:tcBorders>
                    <w:tl2br w:val="nil"/>
                    <w:tr2bl w:val="nil"/>
                  </w:tcBorders>
                  <w:vAlign w:val="center"/>
                </w:tcPr>
                <w:p w14:paraId="0D03224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405B9A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continue"/>
                  <w:tcBorders>
                    <w:tl2br w:val="nil"/>
                    <w:tr2bl w:val="nil"/>
                  </w:tcBorders>
                  <w:vAlign w:val="center"/>
                </w:tcPr>
                <w:p w14:paraId="6E93161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2478" w:type="pct"/>
                  <w:tcBorders>
                    <w:tl2br w:val="nil"/>
                    <w:tr2bl w:val="nil"/>
                  </w:tcBorders>
                  <w:vAlign w:val="center"/>
                </w:tcPr>
                <w:p w14:paraId="1BC3662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除国家规定的外，禁止在国家湿地公园的岸线和河段范围内挖沙、采矿以及任何不符合主体功能定位的投资建设项目</w:t>
                  </w:r>
                </w:p>
              </w:tc>
              <w:tc>
                <w:tcPr>
                  <w:tcW w:w="1473" w:type="pct"/>
                  <w:tcBorders>
                    <w:tl2br w:val="nil"/>
                    <w:tr2bl w:val="nil"/>
                  </w:tcBorders>
                  <w:vAlign w:val="center"/>
                </w:tcPr>
                <w:p w14:paraId="3232619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本项目不在国家湿地公园的岸线和河段范围内</w:t>
                  </w:r>
                </w:p>
              </w:tc>
              <w:tc>
                <w:tcPr>
                  <w:tcW w:w="588" w:type="pct"/>
                  <w:tcBorders>
                    <w:tl2br w:val="nil"/>
                    <w:tr2bl w:val="nil"/>
                  </w:tcBorders>
                  <w:vAlign w:val="center"/>
                </w:tcPr>
                <w:p w14:paraId="51D7015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033370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continue"/>
                  <w:tcBorders>
                    <w:tl2br w:val="nil"/>
                    <w:tr2bl w:val="nil"/>
                  </w:tcBorders>
                  <w:vAlign w:val="center"/>
                </w:tcPr>
                <w:p w14:paraId="1537CC2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2478" w:type="pct"/>
                  <w:tcBorders>
                    <w:tl2br w:val="nil"/>
                    <w:tr2bl w:val="nil"/>
                  </w:tcBorders>
                  <w:vAlign w:val="center"/>
                </w:tcPr>
                <w:p w14:paraId="189FD96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w:t>
                  </w:r>
                </w:p>
              </w:tc>
              <w:tc>
                <w:tcPr>
                  <w:tcW w:w="1473" w:type="pct"/>
                  <w:tcBorders>
                    <w:tl2br w:val="nil"/>
                    <w:tr2bl w:val="nil"/>
                  </w:tcBorders>
                  <w:vAlign w:val="center"/>
                </w:tcPr>
                <w:p w14:paraId="4763E0B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本项目不在长江流域河湖岸线内</w:t>
                  </w:r>
                </w:p>
              </w:tc>
              <w:tc>
                <w:tcPr>
                  <w:tcW w:w="588" w:type="pct"/>
                  <w:tcBorders>
                    <w:tl2br w:val="nil"/>
                    <w:tr2bl w:val="nil"/>
                  </w:tcBorders>
                  <w:vAlign w:val="center"/>
                </w:tcPr>
                <w:p w14:paraId="5DB1A5D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52A871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continue"/>
                  <w:tcBorders>
                    <w:tl2br w:val="nil"/>
                    <w:tr2bl w:val="nil"/>
                  </w:tcBorders>
                  <w:vAlign w:val="center"/>
                </w:tcPr>
                <w:p w14:paraId="676E2C6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2478" w:type="pct"/>
                  <w:tcBorders>
                    <w:tl2br w:val="nil"/>
                    <w:tr2bl w:val="nil"/>
                  </w:tcBorders>
                  <w:vAlign w:val="center"/>
                </w:tcPr>
                <w:p w14:paraId="08AADEA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禁止在《全国重要江河湖泊水功能区划》划定的河段及湖泊保护区、保留区内投资建设不利于水资源及自然生态保护的项目</w:t>
                  </w:r>
                </w:p>
              </w:tc>
              <w:tc>
                <w:tcPr>
                  <w:tcW w:w="1473" w:type="pct"/>
                  <w:tcBorders>
                    <w:tl2br w:val="nil"/>
                    <w:tr2bl w:val="nil"/>
                  </w:tcBorders>
                  <w:vAlign w:val="center"/>
                </w:tcPr>
                <w:p w14:paraId="1E2BF4E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本项目不在《全国重要江河湖泊水功能区划》划定的河段及湖泊保护区、保留区内</w:t>
                  </w:r>
                </w:p>
              </w:tc>
              <w:tc>
                <w:tcPr>
                  <w:tcW w:w="588" w:type="pct"/>
                  <w:tcBorders>
                    <w:tl2br w:val="nil"/>
                    <w:tr2bl w:val="nil"/>
                  </w:tcBorders>
                  <w:vAlign w:val="center"/>
                </w:tcPr>
                <w:p w14:paraId="175FD62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701FDE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restart"/>
                  <w:tcBorders>
                    <w:tl2br w:val="nil"/>
                    <w:tr2bl w:val="nil"/>
                  </w:tcBorders>
                  <w:vAlign w:val="center"/>
                </w:tcPr>
                <w:p w14:paraId="2312B22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严格区域管控</w:t>
                  </w:r>
                </w:p>
              </w:tc>
              <w:tc>
                <w:tcPr>
                  <w:tcW w:w="2478" w:type="pct"/>
                  <w:tcBorders>
                    <w:tl2br w:val="nil"/>
                    <w:tr2bl w:val="nil"/>
                  </w:tcBorders>
                  <w:vAlign w:val="center"/>
                </w:tcPr>
                <w:p w14:paraId="1F49CEE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未经许可在长江干支流及湖泊新设、改设或扩大排污口。（省生态环境厅、省水利厅）第十四条禁止在长江干流江西段、鄱阳湖和《率先全面禁捕的长江流域水生生物保护区名录》中的水生生物保护区开展生产性捕捞</w:t>
                  </w:r>
                </w:p>
              </w:tc>
              <w:tc>
                <w:tcPr>
                  <w:tcW w:w="1473" w:type="pct"/>
                  <w:tcBorders>
                    <w:tl2br w:val="nil"/>
                    <w:tr2bl w:val="nil"/>
                  </w:tcBorders>
                  <w:vAlign w:val="center"/>
                </w:tcPr>
                <w:p w14:paraId="6D92242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本项目不属于新设、改设或扩大排污口</w:t>
                  </w:r>
                </w:p>
              </w:tc>
              <w:tc>
                <w:tcPr>
                  <w:tcW w:w="588" w:type="pct"/>
                  <w:tcBorders>
                    <w:tl2br w:val="nil"/>
                    <w:tr2bl w:val="nil"/>
                  </w:tcBorders>
                  <w:vAlign w:val="center"/>
                </w:tcPr>
                <w:p w14:paraId="1A815ED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37328F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continue"/>
                  <w:tcBorders>
                    <w:tl2br w:val="nil"/>
                    <w:tr2bl w:val="nil"/>
                  </w:tcBorders>
                  <w:vAlign w:val="center"/>
                </w:tcPr>
                <w:p w14:paraId="11ACAAB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2478" w:type="pct"/>
                  <w:tcBorders>
                    <w:tl2br w:val="nil"/>
                    <w:tr2bl w:val="nil"/>
                  </w:tcBorders>
                  <w:vAlign w:val="center"/>
                </w:tcPr>
                <w:p w14:paraId="281F165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禁止在长江干支流、重要湖泊岸线一公里范围内新建、扩建化工园区和化工项目</w:t>
                  </w:r>
                </w:p>
              </w:tc>
              <w:tc>
                <w:tcPr>
                  <w:tcW w:w="1473" w:type="pct"/>
                  <w:tcBorders>
                    <w:tl2br w:val="nil"/>
                    <w:tr2bl w:val="nil"/>
                  </w:tcBorders>
                  <w:vAlign w:val="center"/>
                </w:tcPr>
                <w:p w14:paraId="4BA9B15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本项目不属于新建、扩建化工园区和化工项目</w:t>
                  </w:r>
                </w:p>
              </w:tc>
              <w:tc>
                <w:tcPr>
                  <w:tcW w:w="588" w:type="pct"/>
                  <w:tcBorders>
                    <w:tl2br w:val="nil"/>
                    <w:tr2bl w:val="nil"/>
                  </w:tcBorders>
                  <w:vAlign w:val="center"/>
                </w:tcPr>
                <w:p w14:paraId="48065D3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4E484F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continue"/>
                  <w:tcBorders>
                    <w:tl2br w:val="nil"/>
                    <w:tr2bl w:val="nil"/>
                  </w:tcBorders>
                  <w:vAlign w:val="center"/>
                </w:tcPr>
                <w:p w14:paraId="29CA158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2478" w:type="pct"/>
                  <w:tcBorders>
                    <w:tl2br w:val="nil"/>
                    <w:tr2bl w:val="nil"/>
                  </w:tcBorders>
                  <w:vAlign w:val="center"/>
                </w:tcPr>
                <w:p w14:paraId="48A7CBB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禁止在长江干流岸线三公里范围内和重要支流岸线一公里范围内新建、改建、扩建尾矿库、冶炼渣库和鳞</w:t>
                  </w:r>
                  <w:r>
                    <w:rPr>
                      <w:rFonts w:hint="eastAsia"/>
                      <w:caps w:val="0"/>
                      <w:color w:val="auto"/>
                      <w:spacing w:val="0"/>
                      <w:position w:val="0"/>
                      <w:highlight w:val="none"/>
                      <w:lang w:eastAsia="zh-CN"/>
                    </w:rPr>
                    <w:t>石膏</w:t>
                  </w:r>
                  <w:r>
                    <w:rPr>
                      <w:rFonts w:hint="eastAsia"/>
                      <w:caps w:val="0"/>
                      <w:color w:val="auto"/>
                      <w:spacing w:val="0"/>
                      <w:position w:val="0"/>
                      <w:highlight w:val="none"/>
                    </w:rPr>
                    <w:t>库，以提升安全、生态环境保护水平为目的的改建除外</w:t>
                  </w:r>
                </w:p>
              </w:tc>
              <w:tc>
                <w:tcPr>
                  <w:tcW w:w="1473" w:type="pct"/>
                  <w:tcBorders>
                    <w:tl2br w:val="nil"/>
                    <w:tr2bl w:val="nil"/>
                  </w:tcBorders>
                  <w:vAlign w:val="center"/>
                </w:tcPr>
                <w:p w14:paraId="683FA4E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本项目不属于新建、改建、扩建尾矿库、冶炼渣库和鳞</w:t>
                  </w:r>
                  <w:r>
                    <w:rPr>
                      <w:rFonts w:hint="eastAsia"/>
                      <w:caps w:val="0"/>
                      <w:color w:val="auto"/>
                      <w:spacing w:val="0"/>
                      <w:position w:val="0"/>
                      <w:highlight w:val="none"/>
                      <w:lang w:eastAsia="zh-CN"/>
                    </w:rPr>
                    <w:t>石膏</w:t>
                  </w:r>
                  <w:r>
                    <w:rPr>
                      <w:rFonts w:hint="eastAsia"/>
                      <w:caps w:val="0"/>
                      <w:color w:val="auto"/>
                      <w:spacing w:val="0"/>
                      <w:position w:val="0"/>
                      <w:highlight w:val="none"/>
                    </w:rPr>
                    <w:t>库</w:t>
                  </w:r>
                </w:p>
              </w:tc>
              <w:tc>
                <w:tcPr>
                  <w:tcW w:w="588" w:type="pct"/>
                  <w:tcBorders>
                    <w:tl2br w:val="nil"/>
                    <w:tr2bl w:val="nil"/>
                  </w:tcBorders>
                  <w:vAlign w:val="center"/>
                </w:tcPr>
                <w:p w14:paraId="6CA698F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33CD88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continue"/>
                  <w:tcBorders>
                    <w:tl2br w:val="nil"/>
                    <w:tr2bl w:val="nil"/>
                  </w:tcBorders>
                  <w:vAlign w:val="center"/>
                </w:tcPr>
                <w:p w14:paraId="4719B62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2478" w:type="pct"/>
                  <w:tcBorders>
                    <w:tl2br w:val="nil"/>
                    <w:tr2bl w:val="nil"/>
                  </w:tcBorders>
                  <w:vAlign w:val="center"/>
                </w:tcPr>
                <w:p w14:paraId="406E747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禁止在合规园区外新建、扩建钢铁、石化、化工、焦化、建材、有色、制浆造纸等高污染项目</w:t>
                  </w:r>
                </w:p>
              </w:tc>
              <w:tc>
                <w:tcPr>
                  <w:tcW w:w="1473" w:type="pct"/>
                  <w:tcBorders>
                    <w:tl2br w:val="nil"/>
                    <w:tr2bl w:val="nil"/>
                  </w:tcBorders>
                  <w:vAlign w:val="center"/>
                </w:tcPr>
                <w:p w14:paraId="68773287">
                  <w:pPr>
                    <w:pStyle w:val="111"/>
                    <w:keepNext w:val="0"/>
                    <w:keepLines w:val="0"/>
                    <w:suppressLineNumbers w:val="0"/>
                    <w:bidi w:val="0"/>
                    <w:spacing w:before="0" w:beforeAutospacing="0" w:after="0" w:afterAutospacing="0"/>
                    <w:ind w:left="0" w:right="0"/>
                    <w:rPr>
                      <w:rFonts w:hint="eastAsia" w:eastAsia="宋体"/>
                      <w:caps w:val="0"/>
                      <w:color w:val="auto"/>
                      <w:spacing w:val="0"/>
                      <w:position w:val="0"/>
                      <w:highlight w:val="none"/>
                      <w:lang w:eastAsia="zh-CN"/>
                    </w:rPr>
                  </w:pPr>
                  <w:r>
                    <w:rPr>
                      <w:rFonts w:hint="eastAsia"/>
                      <w:caps w:val="0"/>
                      <w:color w:val="auto"/>
                      <w:spacing w:val="0"/>
                      <w:position w:val="0"/>
                      <w:highlight w:val="none"/>
                      <w:lang w:val="en-US" w:eastAsia="zh-CN"/>
                    </w:rPr>
                    <w:t>本项目不属于</w:t>
                  </w:r>
                  <w:r>
                    <w:rPr>
                      <w:rFonts w:hint="eastAsia"/>
                      <w:caps w:val="0"/>
                      <w:color w:val="auto"/>
                      <w:spacing w:val="0"/>
                      <w:position w:val="0"/>
                      <w:highlight w:val="none"/>
                    </w:rPr>
                    <w:t>钢铁、石化、化工、焦化、建材、有色、制浆造纸</w:t>
                  </w:r>
                  <w:r>
                    <w:rPr>
                      <w:rFonts w:hint="eastAsia"/>
                      <w:caps w:val="0"/>
                      <w:color w:val="auto"/>
                      <w:spacing w:val="0"/>
                      <w:position w:val="0"/>
                      <w:highlight w:val="none"/>
                      <w:lang w:val="en-US" w:eastAsia="zh-CN"/>
                    </w:rPr>
                    <w:t>等</w:t>
                  </w:r>
                  <w:r>
                    <w:rPr>
                      <w:rFonts w:hint="eastAsia"/>
                      <w:caps w:val="0"/>
                      <w:color w:val="auto"/>
                      <w:spacing w:val="0"/>
                      <w:position w:val="0"/>
                      <w:highlight w:val="none"/>
                    </w:rPr>
                    <w:t>高污染项目</w:t>
                  </w:r>
                  <w:r>
                    <w:rPr>
                      <w:rFonts w:hint="eastAsia"/>
                      <w:caps w:val="0"/>
                      <w:color w:val="auto"/>
                      <w:spacing w:val="0"/>
                      <w:position w:val="0"/>
                      <w:highlight w:val="none"/>
                      <w:lang w:eastAsia="zh-CN"/>
                    </w:rPr>
                    <w:t>。</w:t>
                  </w:r>
                </w:p>
              </w:tc>
              <w:tc>
                <w:tcPr>
                  <w:tcW w:w="588" w:type="pct"/>
                  <w:tcBorders>
                    <w:tl2br w:val="nil"/>
                    <w:tr2bl w:val="nil"/>
                  </w:tcBorders>
                  <w:vAlign w:val="center"/>
                </w:tcPr>
                <w:p w14:paraId="3FDA467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7C1B05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459" w:type="pct"/>
                  <w:vMerge w:val="restart"/>
                  <w:tcBorders>
                    <w:tl2br w:val="nil"/>
                    <w:tr2bl w:val="nil"/>
                  </w:tcBorders>
                  <w:vAlign w:val="center"/>
                </w:tcPr>
                <w:p w14:paraId="6F028D4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严格产业准入</w:t>
                  </w:r>
                </w:p>
              </w:tc>
              <w:tc>
                <w:tcPr>
                  <w:tcW w:w="2478" w:type="pct"/>
                  <w:tcBorders>
                    <w:tl2br w:val="nil"/>
                    <w:tr2bl w:val="nil"/>
                  </w:tcBorders>
                  <w:vAlign w:val="center"/>
                </w:tcPr>
                <w:p w14:paraId="4FF2AA7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禁止新建、扩建不符合国家石化、现代煤化工等产业布局规划的项目</w:t>
                  </w:r>
                </w:p>
              </w:tc>
              <w:tc>
                <w:tcPr>
                  <w:tcW w:w="1473" w:type="pct"/>
                  <w:tcBorders>
                    <w:tl2br w:val="nil"/>
                    <w:tr2bl w:val="nil"/>
                  </w:tcBorders>
                  <w:vAlign w:val="center"/>
                </w:tcPr>
                <w:p w14:paraId="2B838B8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不属于此类项目</w:t>
                  </w:r>
                </w:p>
              </w:tc>
              <w:tc>
                <w:tcPr>
                  <w:tcW w:w="588" w:type="pct"/>
                  <w:tcBorders>
                    <w:tl2br w:val="nil"/>
                    <w:tr2bl w:val="nil"/>
                  </w:tcBorders>
                  <w:vAlign w:val="center"/>
                </w:tcPr>
                <w:p w14:paraId="708D69A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064DB9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459" w:type="pct"/>
                  <w:vMerge w:val="continue"/>
                  <w:tcBorders>
                    <w:tl2br w:val="nil"/>
                    <w:tr2bl w:val="nil"/>
                  </w:tcBorders>
                  <w:vAlign w:val="center"/>
                </w:tcPr>
                <w:p w14:paraId="33BA9D7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2478" w:type="pct"/>
                  <w:tcBorders>
                    <w:tl2br w:val="nil"/>
                    <w:tr2bl w:val="nil"/>
                  </w:tcBorders>
                  <w:vAlign w:val="center"/>
                </w:tcPr>
                <w:p w14:paraId="1937617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新建、扩建法律法规和相关政策明令禁止的落后产能项目，严格执行《产业结构调整指导目录》中淘汰类和限制类有关规定，禁止开展投资建设属于淘汰类的项目及其相关活动，禁止开展投资新建、扩建属于限制类的项目及其相关活动。对于属于限制类的现有生产能力，允许企业在一定期限内采取措施改造升级，严禁以改造为名扩大产能</w:t>
                  </w:r>
                </w:p>
              </w:tc>
              <w:tc>
                <w:tcPr>
                  <w:tcW w:w="1473" w:type="pct"/>
                  <w:tcBorders>
                    <w:tl2br w:val="nil"/>
                    <w:tr2bl w:val="nil"/>
                  </w:tcBorders>
                  <w:vAlign w:val="center"/>
                </w:tcPr>
                <w:p w14:paraId="7CA271B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本项目不属于明令禁止的落后产能项目</w:t>
                  </w:r>
                </w:p>
              </w:tc>
              <w:tc>
                <w:tcPr>
                  <w:tcW w:w="588" w:type="pct"/>
                  <w:tcBorders>
                    <w:tl2br w:val="nil"/>
                    <w:tr2bl w:val="nil"/>
                  </w:tcBorders>
                  <w:vAlign w:val="center"/>
                </w:tcPr>
                <w:p w14:paraId="7EF1336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453023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459" w:type="pct"/>
                  <w:vMerge w:val="continue"/>
                  <w:tcBorders>
                    <w:tl2br w:val="nil"/>
                    <w:tr2bl w:val="nil"/>
                  </w:tcBorders>
                  <w:vAlign w:val="center"/>
                </w:tcPr>
                <w:p w14:paraId="6ED72CC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2478" w:type="pct"/>
                  <w:tcBorders>
                    <w:tl2br w:val="nil"/>
                    <w:tr2bl w:val="nil"/>
                  </w:tcBorders>
                  <w:vAlign w:val="center"/>
                </w:tcPr>
                <w:p w14:paraId="4FDDBF9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新建、扩建不符合国家产能置换要求的钢铁、电解铝、水泥熟料、平板玻璃、船舶等严重过剩产能行业的项目。严格执行《国务院关于化解产能严重过剩矛盾的指导意见》，各地各部门不得以任何名义、任何方式新增产能片；对确有必要建设的，必须严格执行产能置换实施办法，实施减量或等量置换，依法依规办理有关手续</w:t>
                  </w:r>
                </w:p>
              </w:tc>
              <w:tc>
                <w:tcPr>
                  <w:tcW w:w="1473" w:type="pct"/>
                  <w:tcBorders>
                    <w:tl2br w:val="nil"/>
                    <w:tr2bl w:val="nil"/>
                  </w:tcBorders>
                  <w:vAlign w:val="center"/>
                </w:tcPr>
                <w:p w14:paraId="090BA98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本项目不属于新建、扩建不符合国家产能置换要求的钢铁、电解铝、水泥熟料、平板玻璃、船舶等严重过剩产能行业的项目</w:t>
                  </w:r>
                </w:p>
              </w:tc>
              <w:tc>
                <w:tcPr>
                  <w:tcW w:w="588" w:type="pct"/>
                  <w:tcBorders>
                    <w:tl2br w:val="nil"/>
                    <w:tr2bl w:val="nil"/>
                  </w:tcBorders>
                  <w:vAlign w:val="center"/>
                </w:tcPr>
                <w:p w14:paraId="1F74215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r w14:paraId="09B53F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459" w:type="pct"/>
                  <w:vMerge w:val="continue"/>
                  <w:tcBorders>
                    <w:tl2br w:val="nil"/>
                    <w:tr2bl w:val="nil"/>
                  </w:tcBorders>
                  <w:vAlign w:val="center"/>
                </w:tcPr>
                <w:p w14:paraId="62D792F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2478" w:type="pct"/>
                  <w:tcBorders>
                    <w:tl2br w:val="nil"/>
                    <w:tr2bl w:val="nil"/>
                  </w:tcBorders>
                  <w:vAlign w:val="center"/>
                </w:tcPr>
                <w:p w14:paraId="032D623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禁止新建、扩建不符合要求的高耗能高排放项目。严格执行《江西省人民政府办公厅关于严格高耗能高排放项目准入管理的实施意见》（赣府厅发〔</w:t>
                  </w:r>
                  <w:r>
                    <w:rPr>
                      <w:rFonts w:hint="default"/>
                      <w:caps w:val="0"/>
                      <w:color w:val="auto"/>
                      <w:spacing w:val="0"/>
                      <w:position w:val="0"/>
                      <w:highlight w:val="none"/>
                    </w:rPr>
                    <w:t>2021</w:t>
                  </w:r>
                  <w:r>
                    <w:rPr>
                      <w:rFonts w:hint="eastAsia"/>
                      <w:caps w:val="0"/>
                      <w:color w:val="auto"/>
                      <w:spacing w:val="0"/>
                      <w:position w:val="0"/>
                      <w:highlight w:val="none"/>
                    </w:rPr>
                    <w:t>〕</w:t>
                  </w:r>
                  <w:r>
                    <w:rPr>
                      <w:rFonts w:hint="default"/>
                      <w:caps w:val="0"/>
                      <w:color w:val="auto"/>
                      <w:spacing w:val="0"/>
                      <w:position w:val="0"/>
                      <w:highlight w:val="none"/>
                    </w:rPr>
                    <w:t>33</w:t>
                  </w:r>
                  <w:r>
                    <w:rPr>
                      <w:rFonts w:hint="eastAsia"/>
                      <w:caps w:val="0"/>
                      <w:color w:val="auto"/>
                      <w:spacing w:val="0"/>
                      <w:position w:val="0"/>
                      <w:highlight w:val="none"/>
                    </w:rPr>
                    <w:t>号），加强项目审查论证，落实等量、减量替代要求，规范项目行政审批</w:t>
                  </w:r>
                </w:p>
              </w:tc>
              <w:tc>
                <w:tcPr>
                  <w:tcW w:w="1473" w:type="pct"/>
                  <w:tcBorders>
                    <w:tl2br w:val="nil"/>
                    <w:tr2bl w:val="nil"/>
                  </w:tcBorders>
                  <w:vAlign w:val="center"/>
                </w:tcPr>
                <w:p w14:paraId="7F1D03E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本项目不属于高耗能高排放项目</w:t>
                  </w:r>
                </w:p>
              </w:tc>
              <w:tc>
                <w:tcPr>
                  <w:tcW w:w="588" w:type="pct"/>
                  <w:tcBorders>
                    <w:tl2br w:val="nil"/>
                    <w:tr2bl w:val="nil"/>
                  </w:tcBorders>
                  <w:vAlign w:val="center"/>
                </w:tcPr>
                <w:p w14:paraId="172BE32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符合</w:t>
                  </w:r>
                </w:p>
              </w:tc>
            </w:tr>
          </w:tbl>
          <w:p w14:paraId="1E783BE0">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rPr>
              <w:t>本项目与《江西省长江经济带发展负面清单实施细则（试行，</w:t>
            </w:r>
            <w:r>
              <w:rPr>
                <w:rFonts w:hint="default"/>
                <w:caps w:val="0"/>
                <w:color w:val="auto"/>
                <w:spacing w:val="0"/>
                <w:position w:val="0"/>
                <w:highlight w:val="none"/>
              </w:rPr>
              <w:t>2022</w:t>
            </w:r>
            <w:r>
              <w:rPr>
                <w:rFonts w:hint="eastAsia"/>
                <w:caps w:val="0"/>
                <w:color w:val="auto"/>
                <w:spacing w:val="0"/>
                <w:position w:val="0"/>
                <w:highlight w:val="none"/>
              </w:rPr>
              <w:t>年版）》（赣长江办〔</w:t>
            </w:r>
            <w:r>
              <w:rPr>
                <w:rFonts w:hint="default"/>
                <w:caps w:val="0"/>
                <w:color w:val="auto"/>
                <w:spacing w:val="0"/>
                <w:position w:val="0"/>
                <w:highlight w:val="none"/>
              </w:rPr>
              <w:t>2022</w:t>
            </w:r>
            <w:r>
              <w:rPr>
                <w:rFonts w:hint="eastAsia"/>
                <w:caps w:val="0"/>
                <w:color w:val="auto"/>
                <w:spacing w:val="0"/>
                <w:position w:val="0"/>
                <w:highlight w:val="none"/>
              </w:rPr>
              <w:t>〕</w:t>
            </w:r>
            <w:r>
              <w:rPr>
                <w:rFonts w:hint="default"/>
                <w:caps w:val="0"/>
                <w:color w:val="auto"/>
                <w:spacing w:val="0"/>
                <w:position w:val="0"/>
                <w:highlight w:val="none"/>
              </w:rPr>
              <w:t>7</w:t>
            </w:r>
            <w:r>
              <w:rPr>
                <w:rFonts w:hint="eastAsia"/>
                <w:caps w:val="0"/>
                <w:color w:val="auto"/>
                <w:spacing w:val="0"/>
                <w:position w:val="0"/>
                <w:highlight w:val="none"/>
              </w:rPr>
              <w:t>号）相符。</w:t>
            </w:r>
          </w:p>
          <w:p w14:paraId="569A67D4">
            <w:pPr>
              <w:pStyle w:val="74"/>
              <w:keepNext w:val="0"/>
              <w:keepLines w:val="0"/>
              <w:numPr>
                <w:ilvl w:val="0"/>
                <w:numId w:val="0"/>
              </w:numPr>
              <w:suppressLineNumbers w:val="0"/>
              <w:bidi w:val="0"/>
              <w:spacing w:before="0" w:beforeAutospacing="0" w:after="0" w:afterAutospacing="0"/>
              <w:ind w:left="-2" w:leftChars="0" w:right="0" w:rightChars="0" w:firstLine="482" w:firstLineChars="0"/>
              <w:rPr>
                <w:rFonts w:hint="eastAsia"/>
                <w:b/>
                <w:bCs w:val="0"/>
                <w:caps w:val="0"/>
                <w:color w:val="auto"/>
                <w:spacing w:val="0"/>
                <w:position w:val="0"/>
                <w:highlight w:val="none"/>
                <w:lang w:val="en-US" w:eastAsia="zh-CN"/>
              </w:rPr>
            </w:pPr>
            <w:r>
              <w:rPr>
                <w:rFonts w:hint="eastAsia" w:cs="Times New Roman"/>
                <w:b/>
                <w:bCs w:val="0"/>
                <w:caps w:val="0"/>
                <w:color w:val="auto"/>
                <w:spacing w:val="0"/>
                <w:kern w:val="2"/>
                <w:position w:val="0"/>
                <w:sz w:val="24"/>
                <w:szCs w:val="24"/>
                <w:highlight w:val="none"/>
                <w:lang w:val="en-US" w:eastAsia="zh-CN" w:bidi="ar-SA"/>
              </w:rPr>
              <w:t>7</w:t>
            </w:r>
            <w:r>
              <w:rPr>
                <w:rFonts w:hint="eastAsia" w:ascii="Times New Roman" w:hAnsi="Times New Roman" w:eastAsia="宋体" w:cs="Times New Roman"/>
                <w:b/>
                <w:bCs w:val="0"/>
                <w:caps w:val="0"/>
                <w:color w:val="auto"/>
                <w:spacing w:val="0"/>
                <w:kern w:val="2"/>
                <w:position w:val="0"/>
                <w:sz w:val="24"/>
                <w:szCs w:val="24"/>
                <w:highlight w:val="none"/>
                <w:lang w:val="en-US" w:eastAsia="zh-CN" w:bidi="ar-SA"/>
              </w:rPr>
              <w:t>、</w:t>
            </w:r>
            <w:r>
              <w:rPr>
                <w:rFonts w:hint="eastAsia"/>
                <w:b/>
                <w:bCs w:val="0"/>
                <w:caps w:val="0"/>
                <w:color w:val="auto"/>
                <w:spacing w:val="0"/>
                <w:position w:val="0"/>
                <w:highlight w:val="none"/>
                <w:lang w:val="en-US" w:eastAsia="zh-CN"/>
              </w:rPr>
              <w:t>与江西省生态环境厅关于印发《固体废物管理指南锂盐生产(试行)》（赣环固体字〔2023〕372号）的通知相符性分析</w:t>
            </w:r>
          </w:p>
          <w:p w14:paraId="0F4F61C7">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根据政府发布批文</w:t>
            </w:r>
            <w:r>
              <w:rPr>
                <w:rFonts w:hint="eastAsia" w:ascii="Times New Roman" w:eastAsia="宋体"/>
                <w:b w:val="0"/>
                <w:bCs/>
                <w:caps w:val="0"/>
                <w:color w:val="auto"/>
                <w:spacing w:val="0"/>
                <w:position w:val="0"/>
                <w:highlight w:val="none"/>
                <w:lang w:val="en-US" w:eastAsia="zh-CN"/>
              </w:rPr>
              <w:t>〔</w:t>
            </w:r>
            <w:r>
              <w:rPr>
                <w:rFonts w:hint="eastAsia"/>
                <w:caps w:val="0"/>
                <w:color w:val="auto"/>
                <w:spacing w:val="0"/>
                <w:position w:val="0"/>
                <w:highlight w:val="none"/>
                <w:lang w:val="en-US" w:eastAsia="zh-CN"/>
              </w:rPr>
              <w:t>关于以更高标准推动高水平生态环境保护促进锂电新能源产业高质量发展的实施意见</w:t>
            </w:r>
            <w:r>
              <w:rPr>
                <w:rFonts w:hint="eastAsia" w:ascii="Times New Roman" w:eastAsia="宋体"/>
                <w:b w:val="0"/>
                <w:bCs/>
                <w:caps w:val="0"/>
                <w:color w:val="auto"/>
                <w:spacing w:val="0"/>
                <w:position w:val="0"/>
                <w:highlight w:val="none"/>
                <w:lang w:val="en-US" w:eastAsia="zh-CN"/>
              </w:rPr>
              <w:t>〕，（五）、强化锂冶炼剩余物监管。全面掌握锂盐企业数量、布局、产能、产量及锂冶炼剩余物产生情况，指导督促属地压实企业主体责任，做好锂盐企业的生产管理工作，如实规范填写固废产生、储存、处置利用三本台账，并及时在监管平台填报有关数据，实现工业固废可追溯、可查询闭环管理；按照国家标准建设一般固体废物和危险废物贮存设施、场所，安全分类存放。指导企业对锂冶炼剩余物进行属性鉴定，鉴定结果出具前按照省生态环境厅制定的《固体废物环境管理指南锂盐生产(试行)》要求进行管理。本项目与江西省生态环境厅关于印发《固体废物管理指南锂盐生产(试行)》（赣环固体字〔2023〕372号）的通知相符性分析见下表。</w:t>
            </w:r>
          </w:p>
          <w:p w14:paraId="48A132B9">
            <w:pPr>
              <w:pStyle w:val="75"/>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表1-8 与（赣环固体字〔2023〕372号）相符性分析</w:t>
            </w:r>
          </w:p>
          <w:tbl>
            <w:tblPr>
              <w:tblStyle w:val="24"/>
              <w:tblpPr w:vertAnchor="text" w:horzAnchor="page" w:tblpXSpec="center" w:tblpY="1"/>
              <w:tblOverlap w:val="never"/>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23"/>
              <w:gridCol w:w="3912"/>
              <w:gridCol w:w="1886"/>
              <w:gridCol w:w="973"/>
            </w:tblGrid>
            <w:tr w14:paraId="6231B1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tcBorders>
                    <w:tl2br w:val="nil"/>
                    <w:tr2bl w:val="nil"/>
                  </w:tcBorders>
                  <w:vAlign w:val="center"/>
                </w:tcPr>
                <w:p w14:paraId="1B0F0AA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序号</w:t>
                  </w:r>
                </w:p>
              </w:tc>
              <w:tc>
                <w:tcPr>
                  <w:tcW w:w="3485" w:type="dxa"/>
                  <w:tcBorders>
                    <w:tl2br w:val="nil"/>
                    <w:tr2bl w:val="nil"/>
                  </w:tcBorders>
                  <w:vAlign w:val="center"/>
                </w:tcPr>
                <w:p w14:paraId="793576F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文件要求</w:t>
                  </w:r>
                </w:p>
              </w:tc>
              <w:tc>
                <w:tcPr>
                  <w:tcW w:w="1681" w:type="dxa"/>
                  <w:tcBorders>
                    <w:tl2br w:val="nil"/>
                    <w:tr2bl w:val="nil"/>
                  </w:tcBorders>
                  <w:vAlign w:val="center"/>
                </w:tcPr>
                <w:p w14:paraId="0915AD9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本项目情况</w:t>
                  </w:r>
                </w:p>
              </w:tc>
              <w:tc>
                <w:tcPr>
                  <w:tcW w:w="867" w:type="dxa"/>
                  <w:tcBorders>
                    <w:tl2br w:val="nil"/>
                    <w:tr2bl w:val="nil"/>
                  </w:tcBorders>
                  <w:vAlign w:val="center"/>
                </w:tcPr>
                <w:p w14:paraId="7379979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相符性分析</w:t>
                  </w:r>
                </w:p>
              </w:tc>
            </w:tr>
            <w:tr w14:paraId="027A01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tcBorders>
                    <w:tl2br w:val="nil"/>
                    <w:tr2bl w:val="nil"/>
                  </w:tcBorders>
                  <w:vAlign w:val="center"/>
                </w:tcPr>
                <w:p w14:paraId="4CEA3B4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w:t>
                  </w:r>
                </w:p>
              </w:tc>
              <w:tc>
                <w:tcPr>
                  <w:tcW w:w="3485" w:type="dxa"/>
                  <w:tcBorders>
                    <w:tl2br w:val="nil"/>
                    <w:tr2bl w:val="nil"/>
                  </w:tcBorders>
                  <w:vAlign w:val="center"/>
                </w:tcPr>
                <w:p w14:paraId="5C6682B0">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落实污染环境防治责任制度。建立健全固体废物产生、收集、贮存、运输、利用、处置全过程的污染环境防治责任制度，坚持减量化、资源化、无害化原则，妥善利用处置产生的固体废物。加强危险废物规范化环境管理，提升重金属环境风险防范水平。</w:t>
                  </w:r>
                </w:p>
              </w:tc>
              <w:tc>
                <w:tcPr>
                  <w:tcW w:w="1681" w:type="dxa"/>
                  <w:tcBorders>
                    <w:tl2br w:val="nil"/>
                    <w:tr2bl w:val="nil"/>
                  </w:tcBorders>
                  <w:vAlign w:val="center"/>
                </w:tcPr>
                <w:p w14:paraId="1FD11233">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建立固体废物产生、收集、贮存、运输、利用、处置全过程的污染环境防治责任制度，坚持减量化、资源化、无害化原则，妥善利用处置产生的固体废物。加强危险废物规范化环境管理，提升重金属环境风险防范水平。</w:t>
                  </w:r>
                </w:p>
              </w:tc>
              <w:tc>
                <w:tcPr>
                  <w:tcW w:w="867" w:type="dxa"/>
                  <w:tcBorders>
                    <w:tl2br w:val="nil"/>
                    <w:tr2bl w:val="nil"/>
                  </w:tcBorders>
                  <w:vAlign w:val="center"/>
                </w:tcPr>
                <w:p w14:paraId="622316F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符合</w:t>
                  </w:r>
                </w:p>
              </w:tc>
            </w:tr>
            <w:tr w14:paraId="286558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tcBorders>
                    <w:tl2br w:val="nil"/>
                    <w:tr2bl w:val="nil"/>
                  </w:tcBorders>
                  <w:vAlign w:val="center"/>
                </w:tcPr>
                <w:p w14:paraId="45FDD77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w:t>
                  </w:r>
                </w:p>
              </w:tc>
              <w:tc>
                <w:tcPr>
                  <w:tcW w:w="3485" w:type="dxa"/>
                  <w:tcBorders>
                    <w:tl2br w:val="nil"/>
                    <w:tr2bl w:val="nil"/>
                  </w:tcBorders>
                  <w:vAlign w:val="center"/>
                </w:tcPr>
                <w:p w14:paraId="31C51291">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落实环境影响评价制度及环境保护“三同时”制度。依法开展环境影响评价，按照环评及批复要求使用含锂原料。落实《建设项目危险废物环境影响评价指南》要求，对产生的固体废物属性、种类、数量、利用或处置方式、环境影响以及环境风险等进行科学评价，并提出切实可行的污染防治对策措施。需要配套建设的固体废物贮存、利用和处置设施应当与主体工程同时设计、同时施工、同时投入使用。</w:t>
                  </w:r>
                </w:p>
              </w:tc>
              <w:tc>
                <w:tcPr>
                  <w:tcW w:w="1681" w:type="dxa"/>
                  <w:tcBorders>
                    <w:tl2br w:val="nil"/>
                    <w:tr2bl w:val="nil"/>
                  </w:tcBorders>
                  <w:vAlign w:val="center"/>
                </w:tcPr>
                <w:p w14:paraId="3F7EC4C5">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本项目正在开展环境影响评价，严格按环评及批复要求使用含锂原料。配套建设固体废物贮存等设施，严格落实“三同时”制度。</w:t>
                  </w:r>
                </w:p>
              </w:tc>
              <w:tc>
                <w:tcPr>
                  <w:tcW w:w="867" w:type="dxa"/>
                  <w:tcBorders>
                    <w:tl2br w:val="nil"/>
                    <w:tr2bl w:val="nil"/>
                  </w:tcBorders>
                  <w:vAlign w:val="center"/>
                </w:tcPr>
                <w:p w14:paraId="5018D7B6">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符合</w:t>
                  </w:r>
                </w:p>
              </w:tc>
            </w:tr>
            <w:tr w14:paraId="51E704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467" w:type="dxa"/>
                  <w:tcBorders>
                    <w:tl2br w:val="nil"/>
                    <w:tr2bl w:val="nil"/>
                  </w:tcBorders>
                  <w:vAlign w:val="center"/>
                </w:tcPr>
                <w:p w14:paraId="3C45A14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w:t>
                  </w:r>
                </w:p>
              </w:tc>
              <w:tc>
                <w:tcPr>
                  <w:tcW w:w="3485" w:type="dxa"/>
                  <w:tcBorders>
                    <w:tl2br w:val="nil"/>
                    <w:tr2bl w:val="nil"/>
                  </w:tcBorders>
                  <w:vAlign w:val="center"/>
                </w:tcPr>
                <w:p w14:paraId="70D4A5D4">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落实危险废物鉴别管理制度。浸出渣、除杂渣（净化渣）、钾钠盐、烟气脱氟脱硫渣委外利用处置时，应根据《国家危险废物名录》《危险废物鉴别标准》(GB5085.1―7)《危险废物鉴别技术规范》（HJ298）等进行鉴别，根据氟化物、铊、铍等特征污染因子浸出毒性、毒性物质含量判定其是否属于危险废物。对经鉴别属于一般工业固体废物的，应进一步检测分析明确其一般工业固体废物类型（第Ⅰ类或第Ⅱ类一般工业固体废物）。因原料、生产工艺发生变化可能造成固体废物属性发生变化的，应重新开展鉴别。未明确属性的固体废物采用危险废物“点对点”方式定向利用的，按照危险废物进行管理。</w:t>
                  </w:r>
                </w:p>
              </w:tc>
              <w:tc>
                <w:tcPr>
                  <w:tcW w:w="1681" w:type="dxa"/>
                  <w:tcBorders>
                    <w:tl2br w:val="nil"/>
                    <w:tr2bl w:val="nil"/>
                  </w:tcBorders>
                  <w:vAlign w:val="center"/>
                </w:tcPr>
                <w:p w14:paraId="65D230C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本项目锂冶炼剩余物原料来源于上游锂电企业鉴定为一般固废的浸出</w:t>
                  </w:r>
                  <w:r>
                    <w:rPr>
                      <w:rFonts w:hint="eastAsia" w:ascii="Times New Roman" w:eastAsia="宋体"/>
                      <w:caps w:val="0"/>
                      <w:color w:val="auto"/>
                      <w:spacing w:val="0"/>
                      <w:position w:val="0"/>
                      <w:highlight w:val="none"/>
                      <w:lang w:val="en-US" w:eastAsia="zh-CN"/>
                    </w:rPr>
                    <w:t>渣再经水洗为更洁净的水洗渣</w:t>
                  </w:r>
                  <w:r>
                    <w:rPr>
                      <w:rFonts w:hint="eastAsia"/>
                      <w:caps w:val="0"/>
                      <w:color w:val="auto"/>
                      <w:spacing w:val="0"/>
                      <w:position w:val="0"/>
                      <w:highlight w:val="none"/>
                      <w:lang w:val="en-US" w:eastAsia="zh-CN"/>
                    </w:rPr>
                    <w:t>，若</w:t>
                  </w:r>
                  <w:r>
                    <w:rPr>
                      <w:rFonts w:hint="default"/>
                      <w:caps w:val="0"/>
                      <w:color w:val="auto"/>
                      <w:spacing w:val="0"/>
                      <w:position w:val="0"/>
                      <w:highlight w:val="none"/>
                    </w:rPr>
                    <w:t>因原料、生产工艺发生变化可能造成固体废物属性发生变化的，应重新开展鉴别</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环评要求入场前需进一步检测分析明确其一般工业固体废物类型为</w:t>
                  </w:r>
                  <w:r>
                    <w:rPr>
                      <w:rFonts w:hint="default" w:ascii="Times New Roman" w:hAnsi="Times New Roman" w:cs="Times New Roman"/>
                      <w:caps w:val="0"/>
                      <w:color w:val="auto"/>
                      <w:spacing w:val="0"/>
                      <w:position w:val="0"/>
                      <w:highlight w:val="none"/>
                      <w:lang w:val="en-US" w:eastAsia="zh-CN"/>
                    </w:rPr>
                    <w:t>Ⅰ</w:t>
                  </w:r>
                  <w:r>
                    <w:rPr>
                      <w:rFonts w:hint="eastAsia"/>
                      <w:caps w:val="0"/>
                      <w:color w:val="auto"/>
                      <w:spacing w:val="0"/>
                      <w:position w:val="0"/>
                      <w:highlight w:val="none"/>
                      <w:lang w:val="en-US" w:eastAsia="zh-CN"/>
                    </w:rPr>
                    <w:t>类固废方可入厂，否则不允许入厂，本项目危险废物贮存及处置按照《危险废物贮存污染控制标准》（GB18597-2023）要求执行。</w:t>
                  </w:r>
                </w:p>
              </w:tc>
              <w:tc>
                <w:tcPr>
                  <w:tcW w:w="867" w:type="dxa"/>
                  <w:tcBorders>
                    <w:tl2br w:val="nil"/>
                    <w:tr2bl w:val="nil"/>
                  </w:tcBorders>
                  <w:vAlign w:val="center"/>
                </w:tcPr>
                <w:p w14:paraId="3A75D333">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符合</w:t>
                  </w:r>
                </w:p>
              </w:tc>
            </w:tr>
            <w:tr w14:paraId="09E3FE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tcBorders>
                    <w:tl2br w:val="nil"/>
                    <w:tr2bl w:val="nil"/>
                  </w:tcBorders>
                  <w:vAlign w:val="center"/>
                </w:tcPr>
                <w:p w14:paraId="31BAA43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4</w:t>
                  </w:r>
                </w:p>
              </w:tc>
              <w:tc>
                <w:tcPr>
                  <w:tcW w:w="3485" w:type="dxa"/>
                  <w:tcBorders>
                    <w:tl2br w:val="nil"/>
                    <w:tr2bl w:val="nil"/>
                  </w:tcBorders>
                  <w:vAlign w:val="center"/>
                </w:tcPr>
                <w:p w14:paraId="55D90B44">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落实固体废物识别标志制度。按照《危险废物识别标志设置技术规范》（HJ1276）有关规定，对危险废物的容器和包装物以及贮存、运输、利用、处置危险废物的设施、场所设置危险废物识别标志。一般工业固体废物贮存、处置场图形标志按照《环境保护图形标志固体废物贮存（处置）场》（GB15562.2）要求设置。</w:t>
                  </w:r>
                </w:p>
              </w:tc>
              <w:tc>
                <w:tcPr>
                  <w:tcW w:w="1681" w:type="dxa"/>
                  <w:tcBorders>
                    <w:tl2br w:val="nil"/>
                    <w:tr2bl w:val="nil"/>
                  </w:tcBorders>
                  <w:vAlign w:val="center"/>
                </w:tcPr>
                <w:p w14:paraId="5D714D40">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本项目建成后落实固体废物识别标志制度。</w:t>
                  </w:r>
                </w:p>
              </w:tc>
              <w:tc>
                <w:tcPr>
                  <w:tcW w:w="867" w:type="dxa"/>
                  <w:tcBorders>
                    <w:tl2br w:val="nil"/>
                    <w:tr2bl w:val="nil"/>
                  </w:tcBorders>
                  <w:vAlign w:val="center"/>
                </w:tcPr>
                <w:p w14:paraId="696584EB">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符合</w:t>
                  </w:r>
                </w:p>
              </w:tc>
            </w:tr>
            <w:tr w14:paraId="59D3AD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tcBorders>
                    <w:tl2br w:val="nil"/>
                    <w:tr2bl w:val="nil"/>
                  </w:tcBorders>
                  <w:vAlign w:val="center"/>
                </w:tcPr>
                <w:p w14:paraId="476C89F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5</w:t>
                  </w:r>
                </w:p>
              </w:tc>
              <w:tc>
                <w:tcPr>
                  <w:tcW w:w="3485" w:type="dxa"/>
                  <w:tcBorders>
                    <w:tl2br w:val="nil"/>
                    <w:tr2bl w:val="nil"/>
                  </w:tcBorders>
                  <w:vAlign w:val="center"/>
                </w:tcPr>
                <w:p w14:paraId="02340A4F">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落实危险废物管理计划制度。按照《危险废物管理计划和管理台账制定技术导则》有关要求通过固体废物管理信息系统填报危险废物管理计划，并通过系统报所在地生态环境主管部门备案。</w:t>
                  </w:r>
                </w:p>
              </w:tc>
              <w:tc>
                <w:tcPr>
                  <w:tcW w:w="1681" w:type="dxa"/>
                  <w:tcBorders>
                    <w:tl2br w:val="nil"/>
                    <w:tr2bl w:val="nil"/>
                  </w:tcBorders>
                  <w:vAlign w:val="center"/>
                </w:tcPr>
                <w:p w14:paraId="2CC733AB">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本项目建成后落实危险废物管理计划制度。</w:t>
                  </w:r>
                </w:p>
              </w:tc>
              <w:tc>
                <w:tcPr>
                  <w:tcW w:w="867" w:type="dxa"/>
                  <w:tcBorders>
                    <w:tl2br w:val="nil"/>
                    <w:tr2bl w:val="nil"/>
                  </w:tcBorders>
                  <w:vAlign w:val="center"/>
                </w:tcPr>
                <w:p w14:paraId="75C9BC55">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符合</w:t>
                  </w:r>
                </w:p>
              </w:tc>
            </w:tr>
            <w:tr w14:paraId="16ACDB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tcBorders>
                    <w:tl2br w:val="nil"/>
                    <w:tr2bl w:val="nil"/>
                  </w:tcBorders>
                  <w:vAlign w:val="center"/>
                </w:tcPr>
                <w:p w14:paraId="5890299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6</w:t>
                  </w:r>
                </w:p>
              </w:tc>
              <w:tc>
                <w:tcPr>
                  <w:tcW w:w="3485" w:type="dxa"/>
                  <w:tcBorders>
                    <w:tl2br w:val="nil"/>
                    <w:tr2bl w:val="nil"/>
                  </w:tcBorders>
                  <w:vAlign w:val="center"/>
                </w:tcPr>
                <w:p w14:paraId="2C24B34F">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落实排污许可制度。申请排污许可证应符合《排污许可证申请与核发技术规范工业固体废物（试行）》（HJ1200）有关要求。已经取得排污许可证的，执行排污许可管理制度的规定。</w:t>
                  </w:r>
                </w:p>
              </w:tc>
              <w:tc>
                <w:tcPr>
                  <w:tcW w:w="1681" w:type="dxa"/>
                  <w:tcBorders>
                    <w:tl2br w:val="nil"/>
                    <w:tr2bl w:val="nil"/>
                  </w:tcBorders>
                  <w:vAlign w:val="center"/>
                </w:tcPr>
                <w:p w14:paraId="2D292DF8">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本项目建成后申请排污许可证，落实排污许可制度。</w:t>
                  </w:r>
                </w:p>
              </w:tc>
              <w:tc>
                <w:tcPr>
                  <w:tcW w:w="867" w:type="dxa"/>
                  <w:tcBorders>
                    <w:tl2br w:val="nil"/>
                    <w:tr2bl w:val="nil"/>
                  </w:tcBorders>
                  <w:vAlign w:val="center"/>
                </w:tcPr>
                <w:p w14:paraId="56DAED82">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符合</w:t>
                  </w:r>
                </w:p>
              </w:tc>
            </w:tr>
            <w:tr w14:paraId="6215F4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467" w:type="dxa"/>
                  <w:tcBorders>
                    <w:tl2br w:val="nil"/>
                    <w:tr2bl w:val="nil"/>
                  </w:tcBorders>
                  <w:vAlign w:val="center"/>
                </w:tcPr>
                <w:p w14:paraId="35412A1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7</w:t>
                  </w:r>
                </w:p>
              </w:tc>
              <w:tc>
                <w:tcPr>
                  <w:tcW w:w="3485" w:type="dxa"/>
                  <w:tcBorders>
                    <w:tl2br w:val="nil"/>
                    <w:tr2bl w:val="nil"/>
                  </w:tcBorders>
                  <w:vAlign w:val="center"/>
                </w:tcPr>
                <w:p w14:paraId="30C7E454">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落实固体废物管理台账及申报制度。建立固体废物电子或纸质管理台账，如实记录固体废物的种类、数量、流向、贮存、利用、处置等信息，并通过固体废物管理信息系统或纸质方式向所在地生态环境主管部门申报固体废物的种类、数量、流向、贮存、利用、处置等有关资料，实现工业固体废物可追溯、可查询。</w:t>
                  </w:r>
                </w:p>
              </w:tc>
              <w:tc>
                <w:tcPr>
                  <w:tcW w:w="1681" w:type="dxa"/>
                  <w:tcBorders>
                    <w:tl2br w:val="nil"/>
                    <w:tr2bl w:val="nil"/>
                  </w:tcBorders>
                  <w:vAlign w:val="center"/>
                </w:tcPr>
                <w:p w14:paraId="6E583B50">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本项目建成后建立固废台账，落实固体废物管理台账及申报制度。</w:t>
                  </w:r>
                </w:p>
              </w:tc>
              <w:tc>
                <w:tcPr>
                  <w:tcW w:w="867" w:type="dxa"/>
                  <w:tcBorders>
                    <w:tl2br w:val="nil"/>
                    <w:tr2bl w:val="nil"/>
                  </w:tcBorders>
                  <w:vAlign w:val="center"/>
                </w:tcPr>
                <w:p w14:paraId="5B045EC7">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符合</w:t>
                  </w:r>
                </w:p>
              </w:tc>
            </w:tr>
            <w:tr w14:paraId="220111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tcBorders>
                    <w:tl2br w:val="nil"/>
                    <w:tr2bl w:val="nil"/>
                  </w:tcBorders>
                  <w:vAlign w:val="center"/>
                </w:tcPr>
                <w:p w14:paraId="3CF458E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8</w:t>
                  </w:r>
                </w:p>
              </w:tc>
              <w:tc>
                <w:tcPr>
                  <w:tcW w:w="3485" w:type="dxa"/>
                  <w:tcBorders>
                    <w:tl2br w:val="nil"/>
                    <w:tr2bl w:val="nil"/>
                  </w:tcBorders>
                  <w:vAlign w:val="center"/>
                </w:tcPr>
                <w:p w14:paraId="533BC3AA">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落实危险废物经营许可证制度。禁止将危险废物提供或委托给无危险废物经营许可证的单位或者其他生产经营者从事收集、贮存、利用、处置活动。</w:t>
                  </w:r>
                </w:p>
              </w:tc>
              <w:tc>
                <w:tcPr>
                  <w:tcW w:w="1681" w:type="dxa"/>
                  <w:tcBorders>
                    <w:tl2br w:val="nil"/>
                    <w:tr2bl w:val="nil"/>
                  </w:tcBorders>
                  <w:vAlign w:val="center"/>
                </w:tcPr>
                <w:p w14:paraId="0F5E0B67">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本项目危废交由资质单位处置。</w:t>
                  </w:r>
                </w:p>
              </w:tc>
              <w:tc>
                <w:tcPr>
                  <w:tcW w:w="867" w:type="dxa"/>
                  <w:tcBorders>
                    <w:tl2br w:val="nil"/>
                    <w:tr2bl w:val="nil"/>
                  </w:tcBorders>
                  <w:vAlign w:val="center"/>
                </w:tcPr>
                <w:p w14:paraId="5ECC504E">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符合</w:t>
                  </w:r>
                </w:p>
              </w:tc>
            </w:tr>
            <w:tr w14:paraId="72EABE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tcBorders>
                    <w:tl2br w:val="nil"/>
                    <w:tr2bl w:val="nil"/>
                  </w:tcBorders>
                  <w:vAlign w:val="center"/>
                </w:tcPr>
                <w:p w14:paraId="6433471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9</w:t>
                  </w:r>
                </w:p>
              </w:tc>
              <w:tc>
                <w:tcPr>
                  <w:tcW w:w="3485" w:type="dxa"/>
                  <w:tcBorders>
                    <w:tl2br w:val="nil"/>
                    <w:tr2bl w:val="nil"/>
                  </w:tcBorders>
                  <w:vAlign w:val="center"/>
                </w:tcPr>
                <w:p w14:paraId="3FF5B0E3">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落实危险废物转移制度。转移危险废物的，应按照《危险废物转移管理办法》有关规定通过固体废物管理信息系统填写、运行危险废物转移联单。跨省、自治区、直辖市转移危险废物的，应取得危险废物跨省转移行政许可。运输危险废物，应当采取防止污染环境的措施，并遵守国家有关危险货物运输管理的规定。</w:t>
                  </w:r>
                </w:p>
              </w:tc>
              <w:tc>
                <w:tcPr>
                  <w:tcW w:w="1681" w:type="dxa"/>
                  <w:tcBorders>
                    <w:tl2br w:val="nil"/>
                    <w:tr2bl w:val="nil"/>
                  </w:tcBorders>
                  <w:vAlign w:val="center"/>
                </w:tcPr>
                <w:p w14:paraId="07672CB5">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本项目建成后落实危险废物转移制度。</w:t>
                  </w:r>
                </w:p>
              </w:tc>
              <w:tc>
                <w:tcPr>
                  <w:tcW w:w="867" w:type="dxa"/>
                  <w:tcBorders>
                    <w:tl2br w:val="nil"/>
                    <w:tr2bl w:val="nil"/>
                  </w:tcBorders>
                  <w:vAlign w:val="center"/>
                </w:tcPr>
                <w:p w14:paraId="4D2D9634">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符合</w:t>
                  </w:r>
                </w:p>
              </w:tc>
            </w:tr>
            <w:tr w14:paraId="496659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tcBorders>
                    <w:tl2br w:val="nil"/>
                    <w:tr2bl w:val="nil"/>
                  </w:tcBorders>
                  <w:vAlign w:val="center"/>
                </w:tcPr>
                <w:p w14:paraId="195536B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10</w:t>
                  </w:r>
                </w:p>
              </w:tc>
              <w:tc>
                <w:tcPr>
                  <w:tcW w:w="3485" w:type="dxa"/>
                  <w:tcBorders>
                    <w:tl2br w:val="nil"/>
                    <w:tr2bl w:val="nil"/>
                  </w:tcBorders>
                  <w:vAlign w:val="center"/>
                </w:tcPr>
                <w:p w14:paraId="147171E6">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落实固体废物委托核实制度。工业固体废物委托他人运输、利用、处置的，应对受托方的主体资格和技术能力进行核实，依法签订书面合同，在合同中约定污染防治要求。跨省、自治区、直辖市转移一般工业固体废物进行贮存、处置的，应取得跨省转移行政许可；跨省、自治区、直辖市转移一般工业固体废物进行利用的，应报省级生态环境主管部门备案。</w:t>
                  </w:r>
                </w:p>
              </w:tc>
              <w:tc>
                <w:tcPr>
                  <w:tcW w:w="1681" w:type="dxa"/>
                  <w:tcBorders>
                    <w:tl2br w:val="nil"/>
                    <w:tr2bl w:val="nil"/>
                  </w:tcBorders>
                  <w:vAlign w:val="center"/>
                </w:tcPr>
                <w:p w14:paraId="694844A2">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本项目建成后落实固体废物委托核实制度。</w:t>
                  </w:r>
                </w:p>
              </w:tc>
              <w:tc>
                <w:tcPr>
                  <w:tcW w:w="867" w:type="dxa"/>
                  <w:tcBorders>
                    <w:tl2br w:val="nil"/>
                    <w:tr2bl w:val="nil"/>
                  </w:tcBorders>
                  <w:vAlign w:val="center"/>
                </w:tcPr>
                <w:p w14:paraId="3C7EA51F">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符合</w:t>
                  </w:r>
                </w:p>
              </w:tc>
            </w:tr>
            <w:tr w14:paraId="2C7875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467" w:type="dxa"/>
                  <w:tcBorders>
                    <w:tl2br w:val="nil"/>
                    <w:tr2bl w:val="nil"/>
                  </w:tcBorders>
                  <w:vAlign w:val="center"/>
                </w:tcPr>
                <w:p w14:paraId="072A162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11</w:t>
                  </w:r>
                </w:p>
              </w:tc>
              <w:tc>
                <w:tcPr>
                  <w:tcW w:w="3485" w:type="dxa"/>
                  <w:tcBorders>
                    <w:tl2br w:val="nil"/>
                    <w:tr2bl w:val="nil"/>
                  </w:tcBorders>
                  <w:vAlign w:val="center"/>
                </w:tcPr>
                <w:p w14:paraId="5215AD81">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落实环境应急预案制度。参照《危险废物经营单位编制应急预案指南》有关规定制定意外事故的防范措施和环境应急预案，并向所在地生态环境主管部门备案。针对事故易发环节，每年至少开展一次应急预案演练。</w:t>
                  </w:r>
                </w:p>
              </w:tc>
              <w:tc>
                <w:tcPr>
                  <w:tcW w:w="1681" w:type="dxa"/>
                  <w:tcBorders>
                    <w:tl2br w:val="nil"/>
                    <w:tr2bl w:val="nil"/>
                  </w:tcBorders>
                  <w:vAlign w:val="center"/>
                </w:tcPr>
                <w:p w14:paraId="0AFA2D7B">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本项目建成后落实环境应急预案制度，按要求编制突发环境事件应急预案完成备案工作并组织每年不少于1次的应急演练。</w:t>
                  </w:r>
                </w:p>
              </w:tc>
              <w:tc>
                <w:tcPr>
                  <w:tcW w:w="867" w:type="dxa"/>
                  <w:tcBorders>
                    <w:tl2br w:val="nil"/>
                    <w:tr2bl w:val="nil"/>
                  </w:tcBorders>
                  <w:vAlign w:val="center"/>
                </w:tcPr>
                <w:p w14:paraId="043B196E">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符合</w:t>
                  </w:r>
                </w:p>
              </w:tc>
            </w:tr>
            <w:tr w14:paraId="4B1DC7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tcBorders>
                    <w:tl2br w:val="nil"/>
                    <w:tr2bl w:val="nil"/>
                  </w:tcBorders>
                  <w:vAlign w:val="center"/>
                </w:tcPr>
                <w:p w14:paraId="1D396C8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12</w:t>
                  </w:r>
                </w:p>
              </w:tc>
              <w:tc>
                <w:tcPr>
                  <w:tcW w:w="3485" w:type="dxa"/>
                  <w:tcBorders>
                    <w:tl2br w:val="nil"/>
                    <w:tr2bl w:val="nil"/>
                  </w:tcBorders>
                  <w:vAlign w:val="center"/>
                </w:tcPr>
                <w:p w14:paraId="0A0E8971">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规范贮存固体废物。按照国家有关规定和环境保护标准要求贮存固体废物。一般工业固体废物贮存按照《一般工业固体废物贮存和填埋污染控制标准》（GB18599）执行。危险废物收集、贮存应当按照其特性分类进行，禁止将危险废物混入非危险废物中贮存。危险废物及未经鉴别明确固废属性的浸出渣、除杂渣（净化渣）、钾钠盐、烟气脱氟脱硫渣收集、贮存过程污染控制执行《危险物贮存污染控制标准》(GB18597)《危险废物收集贮存运输技术规范》（HJ2025）有关规定。已建成投入使用或环境影响评价文件已通过审批的贮存设施，自2025年9月1日起执行本指南要求，新建贮存设施自本指南发布之日起执行。</w:t>
                  </w:r>
                </w:p>
              </w:tc>
              <w:tc>
                <w:tcPr>
                  <w:tcW w:w="1681" w:type="dxa"/>
                  <w:tcBorders>
                    <w:tl2br w:val="nil"/>
                    <w:tr2bl w:val="nil"/>
                  </w:tcBorders>
                  <w:vAlign w:val="center"/>
                </w:tcPr>
                <w:p w14:paraId="15ED69C3">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本项目规范贮存固体废物。一般工业固体废物贮存按照《一般工业固体废物贮存和填埋污染控制标准》（GB18599）执行。危险废物收集、贮存过程污染控制执行《危险废物贮存污染控制标准》(GB18597)《危险废物收集贮存运输技术规范》（HJ2025）有关规定。</w:t>
                  </w:r>
                </w:p>
              </w:tc>
              <w:tc>
                <w:tcPr>
                  <w:tcW w:w="867" w:type="dxa"/>
                  <w:tcBorders>
                    <w:tl2br w:val="nil"/>
                    <w:tr2bl w:val="nil"/>
                  </w:tcBorders>
                  <w:vAlign w:val="center"/>
                </w:tcPr>
                <w:p w14:paraId="049E0199">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符合</w:t>
                  </w:r>
                </w:p>
              </w:tc>
            </w:tr>
            <w:tr w14:paraId="4D2198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tcBorders>
                    <w:tl2br w:val="nil"/>
                    <w:tr2bl w:val="nil"/>
                  </w:tcBorders>
                  <w:vAlign w:val="center"/>
                </w:tcPr>
                <w:p w14:paraId="1D63C9B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13</w:t>
                  </w:r>
                </w:p>
              </w:tc>
              <w:tc>
                <w:tcPr>
                  <w:tcW w:w="3485" w:type="dxa"/>
                  <w:tcBorders>
                    <w:tl2br w:val="nil"/>
                    <w:tr2bl w:val="nil"/>
                  </w:tcBorders>
                  <w:vAlign w:val="center"/>
                </w:tcPr>
                <w:p w14:paraId="6276F3F7">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规范开展固体废物利用处置活动。固体废物利用应遵循《固体废物再生利用污染防治技术导则》（HJ1091）有关规定，利用过程的污染控制应符合相应污染物排放标准要求。采取建材方式进行综合利用的，建材产品中砷、铅、镉、铬、铜、镍、锌、锰重金属含量及可浸出重金属含量参照《水泥窑协同处置固体废物技术规范》（GB30760）执行；固体废物填埋应按照《危险废物填埋污染控制标准》(GB18598)《一般工业固体废物贮存和填埋污染控制标准》（GB18599）进行选址、设计、施工及运行，并采取必要的风险防范措施，按照要求开展自行监测工作。进入Ⅰ类场的一般工业固体废物水溶性盐总量应小于2%，进入Ⅱ类场的应小于5%。鼓励开展一般工业固体废物充填或回填活动，充填或回填前应开展环境本底调查、进行环境风险评估，确保环境风险可以接受。</w:t>
                  </w:r>
                </w:p>
              </w:tc>
              <w:tc>
                <w:tcPr>
                  <w:tcW w:w="1681" w:type="dxa"/>
                  <w:tcBorders>
                    <w:tl2br w:val="nil"/>
                    <w:tr2bl w:val="nil"/>
                  </w:tcBorders>
                  <w:vAlign w:val="center"/>
                </w:tcPr>
                <w:p w14:paraId="38A22DCE">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本项目对一般固废进行综合利用，固体废物利用遵循《固体废物再生利用污染防治技术导则》（HJ1091）有关规定，利用过程的污染控制符合相应污染物排放标准要求。</w:t>
                  </w:r>
                </w:p>
              </w:tc>
              <w:tc>
                <w:tcPr>
                  <w:tcW w:w="867" w:type="dxa"/>
                  <w:tcBorders>
                    <w:tl2br w:val="nil"/>
                    <w:tr2bl w:val="nil"/>
                  </w:tcBorders>
                  <w:vAlign w:val="center"/>
                </w:tcPr>
                <w:p w14:paraId="1724473E">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符合</w:t>
                  </w:r>
                </w:p>
              </w:tc>
            </w:tr>
          </w:tbl>
          <w:p w14:paraId="4B2E6E07">
            <w:pPr>
              <w:pStyle w:val="74"/>
              <w:keepNext w:val="0"/>
              <w:keepLines w:val="0"/>
              <w:numPr>
                <w:ilvl w:val="0"/>
                <w:numId w:val="0"/>
              </w:numPr>
              <w:suppressLineNumbers w:val="0"/>
              <w:bidi w:val="0"/>
              <w:spacing w:before="0" w:beforeAutospacing="0" w:after="0" w:afterAutospacing="0" w:line="240" w:lineRule="auto"/>
              <w:ind w:left="60" w:leftChars="0" w:right="0" w:rightChars="0" w:firstLine="420" w:firstLineChars="0"/>
              <w:rPr>
                <w:rFonts w:hint="eastAsia"/>
                <w:b/>
                <w:bCs w:val="0"/>
                <w:caps w:val="0"/>
                <w:color w:val="auto"/>
                <w:spacing w:val="0"/>
                <w:position w:val="0"/>
                <w:highlight w:val="none"/>
                <w:lang w:val="en-US" w:eastAsia="zh-CN"/>
              </w:rPr>
            </w:pPr>
            <w:r>
              <w:rPr>
                <w:rFonts w:hint="eastAsia" w:cs="Times New Roman"/>
                <w:b/>
                <w:bCs w:val="0"/>
                <w:caps w:val="0"/>
                <w:color w:val="auto"/>
                <w:spacing w:val="0"/>
                <w:kern w:val="2"/>
                <w:position w:val="0"/>
                <w:sz w:val="24"/>
                <w:szCs w:val="24"/>
                <w:highlight w:val="none"/>
                <w:lang w:val="en-US" w:eastAsia="zh-CN" w:bidi="ar-SA"/>
              </w:rPr>
              <w:t>8</w:t>
            </w:r>
            <w:r>
              <w:rPr>
                <w:rFonts w:hint="eastAsia" w:ascii="Times New Roman" w:hAnsi="Times New Roman" w:eastAsia="宋体" w:cs="Times New Roman"/>
                <w:b/>
                <w:bCs w:val="0"/>
                <w:caps w:val="0"/>
                <w:color w:val="auto"/>
                <w:spacing w:val="0"/>
                <w:kern w:val="2"/>
                <w:position w:val="0"/>
                <w:sz w:val="24"/>
                <w:szCs w:val="24"/>
                <w:highlight w:val="none"/>
                <w:lang w:val="en-US" w:eastAsia="zh-CN" w:bidi="ar-SA"/>
              </w:rPr>
              <w:t>、</w:t>
            </w:r>
            <w:r>
              <w:rPr>
                <w:rFonts w:hint="eastAsia"/>
                <w:b/>
                <w:bCs w:val="0"/>
                <w:caps w:val="0"/>
                <w:color w:val="auto"/>
                <w:spacing w:val="0"/>
                <w:position w:val="0"/>
                <w:highlight w:val="none"/>
                <w:lang w:val="en-US" w:eastAsia="zh-CN"/>
              </w:rPr>
              <w:t>与《固废再生利用污染防治技术导则》（HJ1091-2020）相符性分析</w:t>
            </w:r>
          </w:p>
          <w:p w14:paraId="1529355D">
            <w:pPr>
              <w:pStyle w:val="75"/>
              <w:keepNext w:val="0"/>
              <w:keepLines w:val="0"/>
              <w:suppressLineNumbers w:val="0"/>
              <w:bidi w:val="0"/>
              <w:spacing w:before="0" w:beforeAutospacing="0" w:after="0" w:afterAutospacing="0"/>
              <w:ind w:left="0" w:right="0"/>
              <w:rPr>
                <w:rFonts w:hint="eastAsia"/>
                <w:b/>
                <w:bCs w:val="0"/>
                <w:caps w:val="0"/>
                <w:color w:val="auto"/>
                <w:spacing w:val="0"/>
                <w:position w:val="0"/>
                <w:highlight w:val="none"/>
                <w:lang w:val="en-US" w:eastAsia="zh-CN"/>
              </w:rPr>
            </w:pPr>
            <w:r>
              <w:rPr>
                <w:rFonts w:hint="eastAsia"/>
                <w:caps w:val="0"/>
                <w:color w:val="auto"/>
                <w:spacing w:val="0"/>
                <w:position w:val="0"/>
                <w:highlight w:val="none"/>
              </w:rPr>
              <w:t>表1</w:t>
            </w:r>
            <w:r>
              <w:rPr>
                <w:rFonts w:hint="default"/>
                <w:caps w:val="0"/>
                <w:color w:val="auto"/>
                <w:spacing w:val="0"/>
                <w:position w:val="0"/>
                <w:highlight w:val="none"/>
              </w:rPr>
              <w:t>-</w:t>
            </w:r>
            <w:r>
              <w:rPr>
                <w:rFonts w:hint="eastAsia"/>
                <w:caps w:val="0"/>
                <w:color w:val="auto"/>
                <w:spacing w:val="0"/>
                <w:position w:val="0"/>
                <w:highlight w:val="none"/>
                <w:lang w:val="en-US" w:eastAsia="zh-CN"/>
              </w:rPr>
              <w:t>9</w:t>
            </w:r>
            <w:r>
              <w:rPr>
                <w:rFonts w:hint="eastAsia"/>
                <w:caps w:val="0"/>
                <w:color w:val="auto"/>
                <w:spacing w:val="0"/>
                <w:position w:val="0"/>
                <w:highlight w:val="none"/>
              </w:rPr>
              <w:t xml:space="preserve"> 与</w:t>
            </w:r>
            <w:r>
              <w:rPr>
                <w:rFonts w:hint="eastAsia"/>
                <w:b/>
                <w:bCs w:val="0"/>
                <w:caps w:val="0"/>
                <w:color w:val="auto"/>
                <w:spacing w:val="0"/>
                <w:position w:val="0"/>
                <w:highlight w:val="none"/>
                <w:lang w:val="en-US" w:eastAsia="zh-CN"/>
              </w:rPr>
              <w:t>（HJ1091-2020）相符性分析</w:t>
            </w:r>
          </w:p>
          <w:tbl>
            <w:tblPr>
              <w:tblStyle w:val="93"/>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516"/>
              <w:gridCol w:w="3753"/>
              <w:gridCol w:w="2367"/>
              <w:gridCol w:w="658"/>
            </w:tblGrid>
            <w:tr w14:paraId="1D1AE2F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16" w:type="dxa"/>
                  <w:tcBorders>
                    <w:tl2br w:val="nil"/>
                    <w:tr2bl w:val="nil"/>
                  </w:tcBorders>
                  <w:vAlign w:val="center"/>
                </w:tcPr>
                <w:p w14:paraId="68B943E0">
                  <w:pPr>
                    <w:pStyle w:val="111"/>
                    <w:bidi w:val="0"/>
                    <w:rPr>
                      <w:caps w:val="0"/>
                      <w:color w:val="auto"/>
                      <w:spacing w:val="0"/>
                      <w:position w:val="0"/>
                      <w:highlight w:val="none"/>
                    </w:rPr>
                  </w:pPr>
                  <w:r>
                    <w:rPr>
                      <w:caps w:val="0"/>
                      <w:color w:val="auto"/>
                      <w:spacing w:val="0"/>
                      <w:position w:val="0"/>
                      <w:highlight w:val="none"/>
                    </w:rPr>
                    <w:t>标号</w:t>
                  </w:r>
                </w:p>
              </w:tc>
              <w:tc>
                <w:tcPr>
                  <w:tcW w:w="3757" w:type="dxa"/>
                  <w:tcBorders>
                    <w:tl2br w:val="nil"/>
                    <w:tr2bl w:val="nil"/>
                  </w:tcBorders>
                  <w:vAlign w:val="center"/>
                </w:tcPr>
                <w:p w14:paraId="36EFA8AE">
                  <w:pPr>
                    <w:pStyle w:val="111"/>
                    <w:bidi w:val="0"/>
                    <w:rPr>
                      <w:caps w:val="0"/>
                      <w:color w:val="auto"/>
                      <w:spacing w:val="0"/>
                      <w:position w:val="0"/>
                      <w:highlight w:val="none"/>
                    </w:rPr>
                  </w:pPr>
                  <w:r>
                    <w:rPr>
                      <w:caps w:val="0"/>
                      <w:color w:val="auto"/>
                      <w:spacing w:val="0"/>
                      <w:position w:val="0"/>
                      <w:highlight w:val="none"/>
                    </w:rPr>
                    <w:t>总体要求</w:t>
                  </w:r>
                </w:p>
              </w:tc>
              <w:tc>
                <w:tcPr>
                  <w:tcW w:w="2369" w:type="dxa"/>
                  <w:tcBorders>
                    <w:tl2br w:val="nil"/>
                    <w:tr2bl w:val="nil"/>
                  </w:tcBorders>
                  <w:vAlign w:val="center"/>
                </w:tcPr>
                <w:p w14:paraId="252038C5">
                  <w:pPr>
                    <w:pStyle w:val="111"/>
                    <w:bidi w:val="0"/>
                    <w:rPr>
                      <w:caps w:val="0"/>
                      <w:color w:val="auto"/>
                      <w:spacing w:val="0"/>
                      <w:position w:val="0"/>
                      <w:highlight w:val="none"/>
                    </w:rPr>
                  </w:pPr>
                  <w:r>
                    <w:rPr>
                      <w:caps w:val="0"/>
                      <w:color w:val="auto"/>
                      <w:spacing w:val="0"/>
                      <w:position w:val="0"/>
                      <w:highlight w:val="none"/>
                    </w:rPr>
                    <w:t>本项目</w:t>
                  </w:r>
                </w:p>
              </w:tc>
              <w:tc>
                <w:tcPr>
                  <w:tcW w:w="659" w:type="dxa"/>
                  <w:tcBorders>
                    <w:tl2br w:val="nil"/>
                    <w:tr2bl w:val="nil"/>
                  </w:tcBorders>
                  <w:vAlign w:val="center"/>
                </w:tcPr>
                <w:p w14:paraId="64FA28D3">
                  <w:pPr>
                    <w:pStyle w:val="111"/>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相符性</w:t>
                  </w:r>
                </w:p>
              </w:tc>
            </w:tr>
            <w:tr w14:paraId="09986D2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16" w:type="dxa"/>
                  <w:tcBorders>
                    <w:tl2br w:val="nil"/>
                    <w:tr2bl w:val="nil"/>
                  </w:tcBorders>
                  <w:vAlign w:val="center"/>
                </w:tcPr>
                <w:p w14:paraId="6587A5D1">
                  <w:pPr>
                    <w:pStyle w:val="111"/>
                    <w:bidi w:val="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4.1</w:t>
                  </w:r>
                </w:p>
              </w:tc>
              <w:tc>
                <w:tcPr>
                  <w:tcW w:w="3757" w:type="dxa"/>
                  <w:tcBorders>
                    <w:tl2br w:val="nil"/>
                    <w:tr2bl w:val="nil"/>
                  </w:tcBorders>
                  <w:vAlign w:val="center"/>
                </w:tcPr>
                <w:p w14:paraId="2F9A73C0">
                  <w:pPr>
                    <w:pStyle w:val="111"/>
                    <w:bidi w:val="0"/>
                    <w:rPr>
                      <w:caps w:val="0"/>
                      <w:color w:val="auto"/>
                      <w:spacing w:val="0"/>
                      <w:position w:val="0"/>
                      <w:highlight w:val="none"/>
                    </w:rPr>
                  </w:pPr>
                  <w:r>
                    <w:rPr>
                      <w:caps w:val="0"/>
                      <w:color w:val="auto"/>
                      <w:spacing w:val="0"/>
                      <w:position w:val="0"/>
                      <w:highlight w:val="none"/>
                    </w:rPr>
                    <w:t>固体废物再生利用应遵循环境安全优先的原则，保证固体废物再生利用全过程的环境安全与人体健康。</w:t>
                  </w:r>
                </w:p>
              </w:tc>
              <w:tc>
                <w:tcPr>
                  <w:tcW w:w="2369" w:type="dxa"/>
                  <w:tcBorders>
                    <w:tl2br w:val="nil"/>
                    <w:tr2bl w:val="nil"/>
                  </w:tcBorders>
                  <w:vAlign w:val="center"/>
                </w:tcPr>
                <w:p w14:paraId="6C111FDC">
                  <w:pPr>
                    <w:pStyle w:val="111"/>
                    <w:bidi w:val="0"/>
                    <w:rPr>
                      <w:caps w:val="0"/>
                      <w:color w:val="auto"/>
                      <w:spacing w:val="0"/>
                      <w:position w:val="0"/>
                      <w:highlight w:val="none"/>
                    </w:rPr>
                  </w:pPr>
                  <w:r>
                    <w:rPr>
                      <w:caps w:val="0"/>
                      <w:color w:val="auto"/>
                      <w:spacing w:val="0"/>
                      <w:position w:val="0"/>
                      <w:highlight w:val="none"/>
                    </w:rPr>
                    <w:t>本项目为锂冶炼剩余物再生利用</w:t>
                  </w:r>
                  <w:r>
                    <w:rPr>
                      <w:rFonts w:hint="eastAsia"/>
                      <w:caps w:val="0"/>
                      <w:color w:val="auto"/>
                      <w:spacing w:val="0"/>
                      <w:position w:val="0"/>
                      <w:highlight w:val="none"/>
                      <w:lang w:eastAsia="zh-CN"/>
                    </w:rPr>
                    <w:t>，</w:t>
                  </w:r>
                  <w:r>
                    <w:rPr>
                      <w:caps w:val="0"/>
                      <w:color w:val="auto"/>
                      <w:spacing w:val="0"/>
                      <w:position w:val="0"/>
                      <w:highlight w:val="none"/>
                    </w:rPr>
                    <w:t>遵循环境安全优先的原则，并保证固体废物再生利用全过程的环境安全与人体健康。</w:t>
                  </w:r>
                </w:p>
              </w:tc>
              <w:tc>
                <w:tcPr>
                  <w:tcW w:w="659" w:type="dxa"/>
                  <w:tcBorders>
                    <w:tl2br w:val="nil"/>
                    <w:tr2bl w:val="nil"/>
                  </w:tcBorders>
                  <w:vAlign w:val="center"/>
                </w:tcPr>
                <w:p w14:paraId="45A2E3E7">
                  <w:pPr>
                    <w:pStyle w:val="111"/>
                    <w:bidi w:val="0"/>
                    <w:rPr>
                      <w:rFonts w:hint="eastAsia"/>
                      <w:caps w:val="0"/>
                      <w:color w:val="auto"/>
                      <w:spacing w:val="0"/>
                      <w:position w:val="0"/>
                      <w:highlight w:val="none"/>
                      <w:lang w:val="en-US" w:eastAsia="zh-CN"/>
                    </w:rPr>
                  </w:pPr>
                  <w:r>
                    <w:rPr>
                      <w:caps w:val="0"/>
                      <w:color w:val="auto"/>
                      <w:spacing w:val="0"/>
                      <w:position w:val="0"/>
                      <w:highlight w:val="none"/>
                    </w:rPr>
                    <w:t>符合</w:t>
                  </w:r>
                </w:p>
              </w:tc>
            </w:tr>
            <w:tr w14:paraId="132F008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16" w:type="dxa"/>
                  <w:tcBorders>
                    <w:tl2br w:val="nil"/>
                    <w:tr2bl w:val="nil"/>
                  </w:tcBorders>
                  <w:vAlign w:val="center"/>
                </w:tcPr>
                <w:p w14:paraId="4437D87F">
                  <w:pPr>
                    <w:pStyle w:val="111"/>
                    <w:bidi w:val="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4.2</w:t>
                  </w:r>
                </w:p>
              </w:tc>
              <w:tc>
                <w:tcPr>
                  <w:tcW w:w="3757" w:type="dxa"/>
                  <w:tcBorders>
                    <w:tl2br w:val="nil"/>
                    <w:tr2bl w:val="nil"/>
                  </w:tcBorders>
                  <w:vAlign w:val="center"/>
                </w:tcPr>
                <w:p w14:paraId="24406AC7">
                  <w:pPr>
                    <w:pStyle w:val="111"/>
                    <w:bidi w:val="0"/>
                    <w:rPr>
                      <w:caps w:val="0"/>
                      <w:color w:val="auto"/>
                      <w:spacing w:val="0"/>
                      <w:position w:val="0"/>
                      <w:highlight w:val="none"/>
                    </w:rPr>
                  </w:pPr>
                  <w:r>
                    <w:rPr>
                      <w:caps w:val="0"/>
                      <w:color w:val="auto"/>
                      <w:spacing w:val="0"/>
                      <w:position w:val="0"/>
                      <w:highlight w:val="none"/>
                    </w:rPr>
                    <w:t>进行固体废物再生利用技术选择时，应在固体废物再生利用技术生命周期评价结果的基础上，结合相关法规及行业的产业政策要求。</w:t>
                  </w:r>
                </w:p>
              </w:tc>
              <w:tc>
                <w:tcPr>
                  <w:tcW w:w="2369" w:type="dxa"/>
                  <w:tcBorders>
                    <w:tl2br w:val="nil"/>
                    <w:tr2bl w:val="nil"/>
                  </w:tcBorders>
                  <w:vAlign w:val="center"/>
                </w:tcPr>
                <w:p w14:paraId="650D2342">
                  <w:pPr>
                    <w:pStyle w:val="111"/>
                    <w:bidi w:val="0"/>
                    <w:rPr>
                      <w:caps w:val="0"/>
                      <w:color w:val="auto"/>
                      <w:spacing w:val="0"/>
                      <w:position w:val="0"/>
                      <w:highlight w:val="none"/>
                    </w:rPr>
                  </w:pPr>
                  <w:r>
                    <w:rPr>
                      <w:caps w:val="0"/>
                      <w:color w:val="auto"/>
                      <w:spacing w:val="0"/>
                      <w:position w:val="0"/>
                      <w:highlight w:val="none"/>
                    </w:rPr>
                    <w:t>本项目符合相关法规及行业的产业政策要求。</w:t>
                  </w:r>
                </w:p>
              </w:tc>
              <w:tc>
                <w:tcPr>
                  <w:tcW w:w="659" w:type="dxa"/>
                  <w:tcBorders>
                    <w:tl2br w:val="nil"/>
                    <w:tr2bl w:val="nil"/>
                  </w:tcBorders>
                  <w:vAlign w:val="center"/>
                </w:tcPr>
                <w:p w14:paraId="1E240B7F">
                  <w:pPr>
                    <w:pStyle w:val="111"/>
                    <w:bidi w:val="0"/>
                    <w:rPr>
                      <w:rFonts w:hint="eastAsia"/>
                      <w:caps w:val="0"/>
                      <w:color w:val="auto"/>
                      <w:spacing w:val="0"/>
                      <w:position w:val="0"/>
                      <w:highlight w:val="none"/>
                      <w:lang w:val="en-US" w:eastAsia="zh-CN"/>
                    </w:rPr>
                  </w:pPr>
                  <w:r>
                    <w:rPr>
                      <w:caps w:val="0"/>
                      <w:color w:val="auto"/>
                      <w:spacing w:val="0"/>
                      <w:position w:val="0"/>
                      <w:highlight w:val="none"/>
                    </w:rPr>
                    <w:t>符合</w:t>
                  </w:r>
                </w:p>
              </w:tc>
            </w:tr>
            <w:tr w14:paraId="14989DB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16" w:type="dxa"/>
                  <w:tcBorders>
                    <w:tl2br w:val="nil"/>
                    <w:tr2bl w:val="nil"/>
                  </w:tcBorders>
                  <w:vAlign w:val="center"/>
                </w:tcPr>
                <w:p w14:paraId="2330E6A3">
                  <w:pPr>
                    <w:pStyle w:val="111"/>
                    <w:bidi w:val="0"/>
                    <w:rPr>
                      <w:caps w:val="0"/>
                      <w:color w:val="auto"/>
                      <w:spacing w:val="0"/>
                      <w:position w:val="0"/>
                      <w:highlight w:val="none"/>
                    </w:rPr>
                  </w:pPr>
                  <w:r>
                    <w:rPr>
                      <w:caps w:val="0"/>
                      <w:color w:val="auto"/>
                      <w:spacing w:val="0"/>
                      <w:position w:val="0"/>
                      <w:highlight w:val="none"/>
                    </w:rPr>
                    <w:t>4.3</w:t>
                  </w:r>
                </w:p>
              </w:tc>
              <w:tc>
                <w:tcPr>
                  <w:tcW w:w="3757" w:type="dxa"/>
                  <w:tcBorders>
                    <w:tl2br w:val="nil"/>
                    <w:tr2bl w:val="nil"/>
                  </w:tcBorders>
                  <w:vAlign w:val="center"/>
                </w:tcPr>
                <w:p w14:paraId="17AD9CE9">
                  <w:pPr>
                    <w:pStyle w:val="111"/>
                    <w:bidi w:val="0"/>
                    <w:rPr>
                      <w:caps w:val="0"/>
                      <w:color w:val="auto"/>
                      <w:spacing w:val="0"/>
                      <w:position w:val="0"/>
                      <w:highlight w:val="none"/>
                    </w:rPr>
                  </w:pPr>
                  <w:r>
                    <w:rPr>
                      <w:caps w:val="0"/>
                      <w:color w:val="auto"/>
                      <w:spacing w:val="0"/>
                      <w:position w:val="0"/>
                      <w:highlight w:val="none"/>
                    </w:rPr>
                    <w:t>固体废物再生利用建设项目的选址应符合区域性环境保护规划和当地的城乡总体规划。</w:t>
                  </w:r>
                </w:p>
              </w:tc>
              <w:tc>
                <w:tcPr>
                  <w:tcW w:w="2369" w:type="dxa"/>
                  <w:tcBorders>
                    <w:tl2br w:val="nil"/>
                    <w:tr2bl w:val="nil"/>
                  </w:tcBorders>
                  <w:vAlign w:val="center"/>
                </w:tcPr>
                <w:p w14:paraId="6DC15025">
                  <w:pPr>
                    <w:pStyle w:val="111"/>
                    <w:bidi w:val="0"/>
                    <w:rPr>
                      <w:caps w:val="0"/>
                      <w:color w:val="auto"/>
                      <w:spacing w:val="0"/>
                      <w:position w:val="0"/>
                      <w:highlight w:val="none"/>
                    </w:rPr>
                  </w:pPr>
                  <w:r>
                    <w:rPr>
                      <w:caps w:val="0"/>
                      <w:color w:val="auto"/>
                      <w:spacing w:val="0"/>
                      <w:position w:val="0"/>
                      <w:highlight w:val="none"/>
                    </w:rPr>
                    <w:t>本项目位于</w:t>
                  </w:r>
                  <w:r>
                    <w:rPr>
                      <w:rFonts w:hint="eastAsia"/>
                      <w:caps w:val="0"/>
                      <w:color w:val="auto"/>
                      <w:spacing w:val="0"/>
                      <w:position w:val="0"/>
                      <w:highlight w:val="none"/>
                      <w:lang w:eastAsia="zh-CN"/>
                    </w:rPr>
                    <w:t>高安市建山镇</w:t>
                  </w:r>
                  <w:r>
                    <w:rPr>
                      <w:caps w:val="0"/>
                      <w:color w:val="auto"/>
                      <w:spacing w:val="0"/>
                      <w:position w:val="0"/>
                      <w:highlight w:val="none"/>
                    </w:rPr>
                    <w:t>，</w:t>
                  </w:r>
                  <w:r>
                    <w:rPr>
                      <w:rFonts w:hint="eastAsia"/>
                      <w:caps w:val="0"/>
                      <w:color w:val="auto"/>
                      <w:spacing w:val="0"/>
                      <w:position w:val="0"/>
                      <w:highlight w:val="none"/>
                      <w:lang w:val="en-US" w:eastAsia="zh-CN"/>
                    </w:rPr>
                    <w:t>为工业用地，</w:t>
                  </w:r>
                  <w:r>
                    <w:rPr>
                      <w:caps w:val="0"/>
                      <w:color w:val="auto"/>
                      <w:spacing w:val="0"/>
                      <w:position w:val="0"/>
                      <w:highlight w:val="none"/>
                    </w:rPr>
                    <w:t>本项目</w:t>
                  </w:r>
                  <w:r>
                    <w:rPr>
                      <w:rFonts w:hint="eastAsia"/>
                      <w:caps w:val="0"/>
                      <w:color w:val="auto"/>
                      <w:spacing w:val="0"/>
                      <w:position w:val="0"/>
                      <w:highlight w:val="none"/>
                      <w:lang w:val="en-US" w:eastAsia="zh-CN"/>
                    </w:rPr>
                    <w:t>为锂渣再生资源利用，符合</w:t>
                  </w:r>
                  <w:r>
                    <w:rPr>
                      <w:caps w:val="0"/>
                      <w:color w:val="auto"/>
                      <w:spacing w:val="0"/>
                      <w:position w:val="0"/>
                      <w:highlight w:val="none"/>
                    </w:rPr>
                    <w:t>区域性环境保护规划和当地的城乡总体规划。</w:t>
                  </w:r>
                </w:p>
              </w:tc>
              <w:tc>
                <w:tcPr>
                  <w:tcW w:w="659" w:type="dxa"/>
                  <w:tcBorders>
                    <w:tl2br w:val="nil"/>
                    <w:tr2bl w:val="nil"/>
                  </w:tcBorders>
                  <w:vAlign w:val="center"/>
                </w:tcPr>
                <w:p w14:paraId="70F0D3C7">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397C3F9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16" w:type="dxa"/>
                  <w:tcBorders>
                    <w:tl2br w:val="nil"/>
                    <w:tr2bl w:val="nil"/>
                  </w:tcBorders>
                  <w:vAlign w:val="center"/>
                </w:tcPr>
                <w:p w14:paraId="6571E49A">
                  <w:pPr>
                    <w:pStyle w:val="111"/>
                    <w:bidi w:val="0"/>
                    <w:rPr>
                      <w:caps w:val="0"/>
                      <w:color w:val="auto"/>
                      <w:spacing w:val="0"/>
                      <w:position w:val="0"/>
                      <w:highlight w:val="none"/>
                    </w:rPr>
                  </w:pPr>
                  <w:r>
                    <w:rPr>
                      <w:caps w:val="0"/>
                      <w:color w:val="auto"/>
                      <w:spacing w:val="0"/>
                      <w:position w:val="0"/>
                      <w:highlight w:val="none"/>
                    </w:rPr>
                    <w:t>4.4</w:t>
                  </w:r>
                </w:p>
              </w:tc>
              <w:tc>
                <w:tcPr>
                  <w:tcW w:w="3757" w:type="dxa"/>
                  <w:tcBorders>
                    <w:tl2br w:val="nil"/>
                    <w:tr2bl w:val="nil"/>
                  </w:tcBorders>
                  <w:vAlign w:val="center"/>
                </w:tcPr>
                <w:p w14:paraId="39C8244A">
                  <w:pPr>
                    <w:pStyle w:val="111"/>
                    <w:bidi w:val="0"/>
                    <w:rPr>
                      <w:caps w:val="0"/>
                      <w:color w:val="auto"/>
                      <w:spacing w:val="0"/>
                      <w:position w:val="0"/>
                      <w:highlight w:val="none"/>
                    </w:rPr>
                  </w:pPr>
                  <w:r>
                    <w:rPr>
                      <w:caps w:val="0"/>
                      <w:color w:val="auto"/>
                      <w:spacing w:val="0"/>
                      <w:position w:val="0"/>
                      <w:highlight w:val="none"/>
                    </w:rPr>
                    <w:t>固体废物再生利用建设项目的设计、施工、验收和运行应遵守国家现行的相关法规的规定，同时建立完善的环境管理制度，包括环境影响评价、环境管理计划、环境保护责任、排污许可、监测、信息公开、环境应急预案和环境保护档案管理等制度。</w:t>
                  </w:r>
                </w:p>
              </w:tc>
              <w:tc>
                <w:tcPr>
                  <w:tcW w:w="2369" w:type="dxa"/>
                  <w:tcBorders>
                    <w:tl2br w:val="nil"/>
                    <w:tr2bl w:val="nil"/>
                  </w:tcBorders>
                  <w:vAlign w:val="center"/>
                </w:tcPr>
                <w:p w14:paraId="7A96FED9">
                  <w:pPr>
                    <w:pStyle w:val="111"/>
                    <w:bidi w:val="0"/>
                    <w:rPr>
                      <w:caps w:val="0"/>
                      <w:color w:val="auto"/>
                      <w:spacing w:val="0"/>
                      <w:position w:val="0"/>
                      <w:highlight w:val="none"/>
                    </w:rPr>
                  </w:pPr>
                  <w:r>
                    <w:rPr>
                      <w:caps w:val="0"/>
                      <w:color w:val="auto"/>
                      <w:spacing w:val="0"/>
                      <w:position w:val="0"/>
                      <w:highlight w:val="none"/>
                    </w:rPr>
                    <w:t>本项目遵守国家现行的相关法规的规定，正在履行环境影响评价制度。</w:t>
                  </w:r>
                </w:p>
              </w:tc>
              <w:tc>
                <w:tcPr>
                  <w:tcW w:w="659" w:type="dxa"/>
                  <w:tcBorders>
                    <w:tl2br w:val="nil"/>
                    <w:tr2bl w:val="nil"/>
                  </w:tcBorders>
                  <w:vAlign w:val="center"/>
                </w:tcPr>
                <w:p w14:paraId="6E0F9258">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5A15C43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16" w:type="dxa"/>
                  <w:tcBorders>
                    <w:tl2br w:val="nil"/>
                    <w:tr2bl w:val="nil"/>
                  </w:tcBorders>
                  <w:vAlign w:val="center"/>
                </w:tcPr>
                <w:p w14:paraId="52B0874F">
                  <w:pPr>
                    <w:pStyle w:val="111"/>
                    <w:bidi w:val="0"/>
                    <w:rPr>
                      <w:caps w:val="0"/>
                      <w:color w:val="auto"/>
                      <w:spacing w:val="0"/>
                      <w:position w:val="0"/>
                      <w:highlight w:val="none"/>
                    </w:rPr>
                  </w:pPr>
                  <w:r>
                    <w:rPr>
                      <w:caps w:val="0"/>
                      <w:color w:val="auto"/>
                      <w:spacing w:val="0"/>
                      <w:position w:val="0"/>
                      <w:highlight w:val="none"/>
                    </w:rPr>
                    <w:t>4.5</w:t>
                  </w:r>
                </w:p>
              </w:tc>
              <w:tc>
                <w:tcPr>
                  <w:tcW w:w="3757" w:type="dxa"/>
                  <w:tcBorders>
                    <w:tl2br w:val="nil"/>
                    <w:tr2bl w:val="nil"/>
                  </w:tcBorders>
                  <w:vAlign w:val="center"/>
                </w:tcPr>
                <w:p w14:paraId="238C011D">
                  <w:pPr>
                    <w:pStyle w:val="111"/>
                    <w:bidi w:val="0"/>
                    <w:rPr>
                      <w:caps w:val="0"/>
                      <w:color w:val="auto"/>
                      <w:spacing w:val="0"/>
                      <w:position w:val="0"/>
                      <w:highlight w:val="none"/>
                    </w:rPr>
                  </w:pPr>
                  <w:r>
                    <w:rPr>
                      <w:caps w:val="0"/>
                      <w:color w:val="auto"/>
                      <w:spacing w:val="0"/>
                      <w:position w:val="0"/>
                      <w:highlight w:val="none"/>
                    </w:rPr>
                    <w:t>应对固体废物再生利用各技术环节的环境污染因子进行识别，采取有效污染控制措施，配备污染物监测设备设施，避免污染物的无组织排放，防止发生二次污染，妥善处置产生的废物。</w:t>
                  </w:r>
                </w:p>
              </w:tc>
              <w:tc>
                <w:tcPr>
                  <w:tcW w:w="2369" w:type="dxa"/>
                  <w:tcBorders>
                    <w:tl2br w:val="nil"/>
                    <w:tr2bl w:val="nil"/>
                  </w:tcBorders>
                  <w:vAlign w:val="center"/>
                </w:tcPr>
                <w:p w14:paraId="283786D3">
                  <w:pPr>
                    <w:pStyle w:val="111"/>
                    <w:bidi w:val="0"/>
                    <w:rPr>
                      <w:caps w:val="0"/>
                      <w:color w:val="auto"/>
                      <w:spacing w:val="0"/>
                      <w:position w:val="0"/>
                      <w:highlight w:val="none"/>
                    </w:rPr>
                  </w:pPr>
                  <w:r>
                    <w:rPr>
                      <w:caps w:val="0"/>
                      <w:color w:val="auto"/>
                      <w:spacing w:val="0"/>
                      <w:position w:val="0"/>
                      <w:highlight w:val="none"/>
                    </w:rPr>
                    <w:t>本项目已对再生利用各技术环节的环境污染因子进行识别，并采取有效污染控制措施，本项目对厂界污染物进行例行监测，避免污</w:t>
                  </w:r>
                  <w:r>
                    <w:rPr>
                      <w:rFonts w:hint="eastAsia"/>
                      <w:caps w:val="0"/>
                      <w:color w:val="auto"/>
                      <w:spacing w:val="0"/>
                      <w:position w:val="0"/>
                      <w:highlight w:val="none"/>
                    </w:rPr>
                    <w:t>染物的无组织排放，各类固废均妥善处置。</w:t>
                  </w:r>
                </w:p>
              </w:tc>
              <w:tc>
                <w:tcPr>
                  <w:tcW w:w="659" w:type="dxa"/>
                  <w:tcBorders>
                    <w:tl2br w:val="nil"/>
                    <w:tr2bl w:val="nil"/>
                  </w:tcBorders>
                  <w:vAlign w:val="center"/>
                </w:tcPr>
                <w:p w14:paraId="4EF9CC87">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63C9859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16" w:type="dxa"/>
                  <w:tcBorders>
                    <w:tl2br w:val="nil"/>
                    <w:tr2bl w:val="nil"/>
                  </w:tcBorders>
                  <w:vAlign w:val="center"/>
                </w:tcPr>
                <w:p w14:paraId="71EC100E">
                  <w:pPr>
                    <w:pStyle w:val="111"/>
                    <w:bidi w:val="0"/>
                    <w:rPr>
                      <w:caps w:val="0"/>
                      <w:color w:val="auto"/>
                      <w:spacing w:val="0"/>
                      <w:position w:val="0"/>
                      <w:highlight w:val="none"/>
                    </w:rPr>
                  </w:pPr>
                  <w:r>
                    <w:rPr>
                      <w:caps w:val="0"/>
                      <w:color w:val="auto"/>
                      <w:spacing w:val="0"/>
                      <w:position w:val="0"/>
                      <w:highlight w:val="none"/>
                    </w:rPr>
                    <w:t>4.6</w:t>
                  </w:r>
                </w:p>
              </w:tc>
              <w:tc>
                <w:tcPr>
                  <w:tcW w:w="3757" w:type="dxa"/>
                  <w:tcBorders>
                    <w:tl2br w:val="nil"/>
                    <w:tr2bl w:val="nil"/>
                  </w:tcBorders>
                  <w:vAlign w:val="center"/>
                </w:tcPr>
                <w:p w14:paraId="57E9F6F7">
                  <w:pPr>
                    <w:pStyle w:val="111"/>
                    <w:bidi w:val="0"/>
                    <w:rPr>
                      <w:caps w:val="0"/>
                      <w:color w:val="auto"/>
                      <w:spacing w:val="0"/>
                      <w:position w:val="0"/>
                      <w:highlight w:val="none"/>
                    </w:rPr>
                  </w:pPr>
                  <w:r>
                    <w:rPr>
                      <w:caps w:val="0"/>
                      <w:color w:val="auto"/>
                      <w:spacing w:val="0"/>
                      <w:position w:val="0"/>
                      <w:highlight w:val="none"/>
                    </w:rPr>
                    <w:t>固体废物再生利用过程产生的各种污染物的排放应满足国家和地方的污染物排放</w:t>
                  </w:r>
                  <w:r>
                    <w:rPr>
                      <w:rFonts w:hint="eastAsia"/>
                      <w:caps w:val="0"/>
                      <w:color w:val="auto"/>
                      <w:spacing w:val="0"/>
                      <w:position w:val="0"/>
                      <w:highlight w:val="none"/>
                      <w:lang w:eastAsia="zh-CN"/>
                    </w:rPr>
                    <w:t>（</w:t>
                  </w:r>
                  <w:r>
                    <w:rPr>
                      <w:caps w:val="0"/>
                      <w:color w:val="auto"/>
                      <w:spacing w:val="0"/>
                      <w:position w:val="0"/>
                      <w:highlight w:val="none"/>
                    </w:rPr>
                    <w:t>控制</w:t>
                  </w:r>
                  <w:r>
                    <w:rPr>
                      <w:rFonts w:hint="eastAsia"/>
                      <w:caps w:val="0"/>
                      <w:color w:val="auto"/>
                      <w:spacing w:val="0"/>
                      <w:position w:val="0"/>
                      <w:highlight w:val="none"/>
                      <w:lang w:eastAsia="zh-CN"/>
                    </w:rPr>
                    <w:t>）</w:t>
                  </w:r>
                  <w:r>
                    <w:rPr>
                      <w:caps w:val="0"/>
                      <w:color w:val="auto"/>
                      <w:spacing w:val="0"/>
                      <w:position w:val="0"/>
                      <w:highlight w:val="none"/>
                    </w:rPr>
                    <w:t>标准与排污许可要求。</w:t>
                  </w:r>
                </w:p>
              </w:tc>
              <w:tc>
                <w:tcPr>
                  <w:tcW w:w="2369" w:type="dxa"/>
                  <w:tcBorders>
                    <w:tl2br w:val="nil"/>
                    <w:tr2bl w:val="nil"/>
                  </w:tcBorders>
                  <w:vAlign w:val="center"/>
                </w:tcPr>
                <w:p w14:paraId="19434418">
                  <w:pPr>
                    <w:pStyle w:val="111"/>
                    <w:bidi w:val="0"/>
                    <w:rPr>
                      <w:caps w:val="0"/>
                      <w:color w:val="auto"/>
                      <w:spacing w:val="0"/>
                      <w:position w:val="0"/>
                      <w:highlight w:val="none"/>
                    </w:rPr>
                  </w:pPr>
                  <w:r>
                    <w:rPr>
                      <w:caps w:val="0"/>
                      <w:color w:val="auto"/>
                      <w:spacing w:val="0"/>
                      <w:position w:val="0"/>
                      <w:highlight w:val="none"/>
                    </w:rPr>
                    <w:t>本项目各种污染物的排放均满足国家和地方的污染物排放标准与排污许可要求。</w:t>
                  </w:r>
                </w:p>
              </w:tc>
              <w:tc>
                <w:tcPr>
                  <w:tcW w:w="659" w:type="dxa"/>
                  <w:tcBorders>
                    <w:tl2br w:val="nil"/>
                    <w:tr2bl w:val="nil"/>
                  </w:tcBorders>
                  <w:vAlign w:val="center"/>
                </w:tcPr>
                <w:p w14:paraId="3BD562B9">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727427F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16" w:type="dxa"/>
                  <w:tcBorders>
                    <w:tl2br w:val="nil"/>
                    <w:tr2bl w:val="nil"/>
                  </w:tcBorders>
                  <w:vAlign w:val="center"/>
                </w:tcPr>
                <w:p w14:paraId="46451003">
                  <w:pPr>
                    <w:pStyle w:val="111"/>
                    <w:bidi w:val="0"/>
                    <w:rPr>
                      <w:caps w:val="0"/>
                      <w:color w:val="auto"/>
                      <w:spacing w:val="0"/>
                      <w:position w:val="0"/>
                      <w:highlight w:val="none"/>
                    </w:rPr>
                  </w:pPr>
                  <w:r>
                    <w:rPr>
                      <w:caps w:val="0"/>
                      <w:color w:val="auto"/>
                      <w:spacing w:val="0"/>
                      <w:position w:val="0"/>
                      <w:highlight w:val="none"/>
                    </w:rPr>
                    <w:t>4.7</w:t>
                  </w:r>
                </w:p>
              </w:tc>
              <w:tc>
                <w:tcPr>
                  <w:tcW w:w="3757" w:type="dxa"/>
                  <w:tcBorders>
                    <w:tl2br w:val="nil"/>
                    <w:tr2bl w:val="nil"/>
                  </w:tcBorders>
                  <w:vAlign w:val="center"/>
                </w:tcPr>
                <w:p w14:paraId="4E41290C">
                  <w:pPr>
                    <w:pStyle w:val="111"/>
                    <w:bidi w:val="0"/>
                    <w:rPr>
                      <w:caps w:val="0"/>
                      <w:color w:val="auto"/>
                      <w:spacing w:val="0"/>
                      <w:position w:val="0"/>
                      <w:highlight w:val="none"/>
                    </w:rPr>
                  </w:pPr>
                  <w:r>
                    <w:rPr>
                      <w:caps w:val="0"/>
                      <w:color w:val="auto"/>
                      <w:spacing w:val="0"/>
                      <w:position w:val="0"/>
                      <w:highlight w:val="none"/>
                    </w:rPr>
                    <w:t>固体废物再生利用产物作为产品的，应符合GB34330中要求的国家、地方制定或行业通行的产品质量标准，与国家相关污染控制标准或技术规范要求，包括该产物生产过程中排放到环境中的特征污染物含量标准和该产物中特征污染物的含量标准。</w:t>
                  </w:r>
                </w:p>
              </w:tc>
              <w:tc>
                <w:tcPr>
                  <w:tcW w:w="2369" w:type="dxa"/>
                  <w:tcBorders>
                    <w:tl2br w:val="nil"/>
                    <w:tr2bl w:val="nil"/>
                  </w:tcBorders>
                  <w:vAlign w:val="center"/>
                </w:tcPr>
                <w:p w14:paraId="6910ED76">
                  <w:pPr>
                    <w:pStyle w:val="111"/>
                    <w:bidi w:val="0"/>
                    <w:rPr>
                      <w:caps w:val="0"/>
                      <w:color w:val="auto"/>
                      <w:spacing w:val="0"/>
                      <w:position w:val="0"/>
                      <w:highlight w:val="none"/>
                    </w:rPr>
                  </w:pPr>
                  <w:r>
                    <w:rPr>
                      <w:caps w:val="0"/>
                      <w:color w:val="auto"/>
                      <w:spacing w:val="0"/>
                      <w:position w:val="0"/>
                      <w:highlight w:val="none"/>
                    </w:rPr>
                    <w:t>项目生产过程中各污染物排放均能达到国家相关污染控制标准要求。</w:t>
                  </w:r>
                </w:p>
              </w:tc>
              <w:tc>
                <w:tcPr>
                  <w:tcW w:w="659" w:type="dxa"/>
                  <w:tcBorders>
                    <w:tl2br w:val="nil"/>
                    <w:tr2bl w:val="nil"/>
                  </w:tcBorders>
                  <w:vAlign w:val="center"/>
                </w:tcPr>
                <w:p w14:paraId="79FAC450">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39AA226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16" w:type="dxa"/>
                  <w:tcBorders>
                    <w:tl2br w:val="nil"/>
                    <w:tr2bl w:val="nil"/>
                  </w:tcBorders>
                  <w:vAlign w:val="center"/>
                </w:tcPr>
                <w:p w14:paraId="30D661A3">
                  <w:pPr>
                    <w:pStyle w:val="111"/>
                    <w:bidi w:val="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4.7</w:t>
                  </w:r>
                </w:p>
              </w:tc>
              <w:tc>
                <w:tcPr>
                  <w:tcW w:w="3757" w:type="dxa"/>
                  <w:tcBorders>
                    <w:tl2br w:val="nil"/>
                    <w:tr2bl w:val="nil"/>
                  </w:tcBorders>
                  <w:shd w:val="clear" w:color="auto" w:fill="auto"/>
                  <w:vAlign w:val="center"/>
                </w:tcPr>
                <w:p w14:paraId="019B5AB2">
                  <w:pPr>
                    <w:pStyle w:val="111"/>
                    <w:bidi w:val="0"/>
                    <w:rPr>
                      <w:caps w:val="0"/>
                      <w:color w:val="auto"/>
                      <w:spacing w:val="0"/>
                      <w:position w:val="0"/>
                      <w:highlight w:val="none"/>
                      <w:lang w:val="en-US" w:eastAsia="zh-CN"/>
                    </w:rPr>
                  </w:pPr>
                  <w:r>
                    <w:rPr>
                      <w:caps w:val="0"/>
                      <w:color w:val="auto"/>
                      <w:spacing w:val="0"/>
                      <w:position w:val="0"/>
                      <w:highlight w:val="none"/>
                    </w:rPr>
                    <w:t>采取建材方式进行综合利用的，建材产品中砷、铅、镉、铬、铜、镍、锌、锰重金属含量及可浸出重金属含量参照《水泥窑协同处置固体废物技术规范》（GB30760）执行。</w:t>
                  </w:r>
                </w:p>
              </w:tc>
              <w:tc>
                <w:tcPr>
                  <w:tcW w:w="2369" w:type="dxa"/>
                  <w:tcBorders>
                    <w:tl2br w:val="nil"/>
                    <w:tr2bl w:val="nil"/>
                  </w:tcBorders>
                  <w:shd w:val="clear" w:color="auto" w:fill="auto"/>
                  <w:vAlign w:val="center"/>
                </w:tcPr>
                <w:p w14:paraId="439699DA">
                  <w:pPr>
                    <w:pStyle w:val="111"/>
                    <w:bidi w:val="0"/>
                    <w:rPr>
                      <w:caps w:val="0"/>
                      <w:color w:val="auto"/>
                      <w:spacing w:val="0"/>
                      <w:position w:val="0"/>
                      <w:highlight w:val="none"/>
                      <w:lang w:val="en-US" w:eastAsia="zh-CN"/>
                    </w:rPr>
                  </w:pPr>
                  <w:r>
                    <w:rPr>
                      <w:caps w:val="0"/>
                      <w:color w:val="auto"/>
                      <w:spacing w:val="0"/>
                      <w:position w:val="0"/>
                      <w:highlight w:val="none"/>
                    </w:rPr>
                    <w:t>本项目产品为水泥制品，为建材产品。本环评要求建设单位对水泥制品产品进行砷、铅、镉、铬、铜、 镍、锌、锰重金属含量及可浸出重金属含量进行检测，结果应满足《水泥窑协同处置固体废物技术规范》，不合格产品不得流入市场。</w:t>
                  </w:r>
                </w:p>
              </w:tc>
              <w:tc>
                <w:tcPr>
                  <w:tcW w:w="659" w:type="dxa"/>
                  <w:tcBorders>
                    <w:tl2br w:val="nil"/>
                    <w:tr2bl w:val="nil"/>
                  </w:tcBorders>
                  <w:shd w:val="clear" w:color="auto" w:fill="auto"/>
                  <w:vAlign w:val="center"/>
                </w:tcPr>
                <w:p w14:paraId="2FFF04D8">
                  <w:pPr>
                    <w:pStyle w:val="111"/>
                    <w:bidi w:val="0"/>
                    <w:rPr>
                      <w:rFonts w:hint="eastAsia"/>
                      <w:caps w:val="0"/>
                      <w:color w:val="auto"/>
                      <w:spacing w:val="0"/>
                      <w:position w:val="0"/>
                      <w:highlight w:val="none"/>
                      <w:lang w:val="en-US" w:eastAsia="zh-CN"/>
                    </w:rPr>
                  </w:pPr>
                  <w:r>
                    <w:rPr>
                      <w:caps w:val="0"/>
                      <w:color w:val="auto"/>
                      <w:spacing w:val="0"/>
                      <w:position w:val="0"/>
                      <w:highlight w:val="none"/>
                    </w:rPr>
                    <w:t>符合</w:t>
                  </w:r>
                </w:p>
              </w:tc>
            </w:tr>
            <w:tr w14:paraId="5320D40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16" w:type="dxa"/>
                  <w:tcBorders>
                    <w:tl2br w:val="nil"/>
                    <w:tr2bl w:val="nil"/>
                  </w:tcBorders>
                  <w:vAlign w:val="center"/>
                </w:tcPr>
                <w:p w14:paraId="2C80F9A7">
                  <w:pPr>
                    <w:pStyle w:val="111"/>
                    <w:bidi w:val="0"/>
                    <w:rPr>
                      <w:caps w:val="0"/>
                      <w:color w:val="auto"/>
                      <w:spacing w:val="0"/>
                      <w:position w:val="0"/>
                      <w:highlight w:val="none"/>
                    </w:rPr>
                  </w:pPr>
                  <w:r>
                    <w:rPr>
                      <w:caps w:val="0"/>
                      <w:color w:val="auto"/>
                      <w:spacing w:val="0"/>
                      <w:position w:val="0"/>
                      <w:highlight w:val="none"/>
                    </w:rPr>
                    <w:t>标号</w:t>
                  </w:r>
                </w:p>
              </w:tc>
              <w:tc>
                <w:tcPr>
                  <w:tcW w:w="3757" w:type="dxa"/>
                  <w:tcBorders>
                    <w:tl2br w:val="nil"/>
                    <w:tr2bl w:val="nil"/>
                  </w:tcBorders>
                  <w:vAlign w:val="center"/>
                </w:tcPr>
                <w:p w14:paraId="67536933">
                  <w:pPr>
                    <w:pStyle w:val="111"/>
                    <w:bidi w:val="0"/>
                    <w:rPr>
                      <w:caps w:val="0"/>
                      <w:color w:val="auto"/>
                      <w:spacing w:val="0"/>
                      <w:position w:val="0"/>
                      <w:highlight w:val="none"/>
                    </w:rPr>
                  </w:pPr>
                  <w:r>
                    <w:rPr>
                      <w:caps w:val="0"/>
                      <w:color w:val="auto"/>
                      <w:spacing w:val="0"/>
                      <w:position w:val="0"/>
                      <w:highlight w:val="none"/>
                    </w:rPr>
                    <w:t>主要工艺单元污染防治技术要求</w:t>
                  </w:r>
                </w:p>
              </w:tc>
              <w:tc>
                <w:tcPr>
                  <w:tcW w:w="2369" w:type="dxa"/>
                  <w:tcBorders>
                    <w:tl2br w:val="nil"/>
                    <w:tr2bl w:val="nil"/>
                  </w:tcBorders>
                  <w:vAlign w:val="center"/>
                </w:tcPr>
                <w:p w14:paraId="593946DE">
                  <w:pPr>
                    <w:pStyle w:val="111"/>
                    <w:bidi w:val="0"/>
                    <w:rPr>
                      <w:caps w:val="0"/>
                      <w:color w:val="auto"/>
                      <w:spacing w:val="0"/>
                      <w:position w:val="0"/>
                      <w:highlight w:val="none"/>
                    </w:rPr>
                  </w:pPr>
                  <w:r>
                    <w:rPr>
                      <w:caps w:val="0"/>
                      <w:color w:val="auto"/>
                      <w:spacing w:val="0"/>
                      <w:position w:val="0"/>
                      <w:highlight w:val="none"/>
                    </w:rPr>
                    <w:t>本项目</w:t>
                  </w:r>
                </w:p>
              </w:tc>
              <w:tc>
                <w:tcPr>
                  <w:tcW w:w="659" w:type="dxa"/>
                  <w:tcBorders>
                    <w:tl2br w:val="nil"/>
                    <w:tr2bl w:val="nil"/>
                  </w:tcBorders>
                  <w:vAlign w:val="center"/>
                </w:tcPr>
                <w:p w14:paraId="13AADB2B">
                  <w:pPr>
                    <w:pStyle w:val="111"/>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相符性</w:t>
                  </w:r>
                </w:p>
              </w:tc>
            </w:tr>
            <w:tr w14:paraId="3BF7B04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16" w:type="dxa"/>
                  <w:tcBorders>
                    <w:tl2br w:val="nil"/>
                    <w:tr2bl w:val="nil"/>
                  </w:tcBorders>
                  <w:vAlign w:val="center"/>
                </w:tcPr>
                <w:p w14:paraId="40B71350">
                  <w:pPr>
                    <w:pStyle w:val="111"/>
                    <w:bidi w:val="0"/>
                    <w:rPr>
                      <w:caps w:val="0"/>
                      <w:color w:val="auto"/>
                      <w:spacing w:val="0"/>
                      <w:position w:val="0"/>
                      <w:highlight w:val="none"/>
                    </w:rPr>
                  </w:pPr>
                  <w:r>
                    <w:rPr>
                      <w:caps w:val="0"/>
                      <w:color w:val="auto"/>
                      <w:spacing w:val="0"/>
                      <w:position w:val="0"/>
                      <w:highlight w:val="none"/>
                    </w:rPr>
                    <w:t>5.1.1</w:t>
                  </w:r>
                </w:p>
              </w:tc>
              <w:tc>
                <w:tcPr>
                  <w:tcW w:w="3757" w:type="dxa"/>
                  <w:tcBorders>
                    <w:tl2br w:val="nil"/>
                    <w:tr2bl w:val="nil"/>
                  </w:tcBorders>
                  <w:vAlign w:val="center"/>
                </w:tcPr>
                <w:p w14:paraId="70599466">
                  <w:pPr>
                    <w:pStyle w:val="111"/>
                    <w:bidi w:val="0"/>
                    <w:rPr>
                      <w:caps w:val="0"/>
                      <w:color w:val="auto"/>
                      <w:spacing w:val="0"/>
                      <w:position w:val="0"/>
                      <w:highlight w:val="none"/>
                    </w:rPr>
                  </w:pPr>
                  <w:r>
                    <w:rPr>
                      <w:caps w:val="0"/>
                      <w:color w:val="auto"/>
                      <w:spacing w:val="0"/>
                      <w:position w:val="0"/>
                      <w:highlight w:val="none"/>
                    </w:rPr>
                    <w:t>进行再生利用作业前，应明确固体废物的理化特性，并采取相应的安全防护措施，以防止固体废物在清洗、破碎、中和反应等过程中引起有毒有害物质的释放。</w:t>
                  </w:r>
                </w:p>
              </w:tc>
              <w:tc>
                <w:tcPr>
                  <w:tcW w:w="2369" w:type="dxa"/>
                  <w:tcBorders>
                    <w:tl2br w:val="nil"/>
                    <w:tr2bl w:val="nil"/>
                  </w:tcBorders>
                  <w:vAlign w:val="center"/>
                </w:tcPr>
                <w:p w14:paraId="5FCC5291">
                  <w:pPr>
                    <w:pStyle w:val="111"/>
                    <w:bidi w:val="0"/>
                    <w:rPr>
                      <w:caps w:val="0"/>
                      <w:color w:val="auto"/>
                      <w:spacing w:val="0"/>
                      <w:position w:val="0"/>
                      <w:highlight w:val="none"/>
                    </w:rPr>
                  </w:pPr>
                  <w:r>
                    <w:rPr>
                      <w:caps w:val="0"/>
                      <w:color w:val="auto"/>
                      <w:spacing w:val="0"/>
                      <w:position w:val="0"/>
                      <w:highlight w:val="none"/>
                    </w:rPr>
                    <w:t>本项目的原料都属于一般固废，本项目工艺不涉及清洗，项目在使用水泥与固化剂是不会产生有毒有害</w:t>
                  </w:r>
                  <w:r>
                    <w:rPr>
                      <w:rFonts w:hint="eastAsia"/>
                      <w:caps w:val="0"/>
                      <w:color w:val="auto"/>
                      <w:spacing w:val="0"/>
                      <w:position w:val="0"/>
                      <w:highlight w:val="none"/>
                      <w:lang w:val="en-US" w:eastAsia="zh-CN"/>
                    </w:rPr>
                    <w:t>气体</w:t>
                  </w:r>
                  <w:r>
                    <w:rPr>
                      <w:caps w:val="0"/>
                      <w:color w:val="auto"/>
                      <w:spacing w:val="0"/>
                      <w:position w:val="0"/>
                      <w:highlight w:val="none"/>
                    </w:rPr>
                    <w:t>。</w:t>
                  </w:r>
                </w:p>
              </w:tc>
              <w:tc>
                <w:tcPr>
                  <w:tcW w:w="659" w:type="dxa"/>
                  <w:tcBorders>
                    <w:tl2br w:val="nil"/>
                    <w:tr2bl w:val="nil"/>
                  </w:tcBorders>
                  <w:vAlign w:val="center"/>
                </w:tcPr>
                <w:p w14:paraId="1E1B70C5">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5171777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16" w:type="dxa"/>
                  <w:tcBorders>
                    <w:tl2br w:val="nil"/>
                    <w:tr2bl w:val="nil"/>
                  </w:tcBorders>
                  <w:vAlign w:val="center"/>
                </w:tcPr>
                <w:p w14:paraId="57AEAB04">
                  <w:pPr>
                    <w:pStyle w:val="111"/>
                    <w:bidi w:val="0"/>
                    <w:rPr>
                      <w:caps w:val="0"/>
                      <w:color w:val="auto"/>
                      <w:spacing w:val="0"/>
                      <w:position w:val="0"/>
                      <w:highlight w:val="none"/>
                    </w:rPr>
                  </w:pPr>
                  <w:r>
                    <w:rPr>
                      <w:caps w:val="0"/>
                      <w:color w:val="auto"/>
                      <w:spacing w:val="0"/>
                      <w:position w:val="0"/>
                      <w:highlight w:val="none"/>
                    </w:rPr>
                    <w:t>5.1.2</w:t>
                  </w:r>
                </w:p>
              </w:tc>
              <w:tc>
                <w:tcPr>
                  <w:tcW w:w="3757" w:type="dxa"/>
                  <w:tcBorders>
                    <w:tl2br w:val="nil"/>
                    <w:tr2bl w:val="nil"/>
                  </w:tcBorders>
                  <w:vAlign w:val="center"/>
                </w:tcPr>
                <w:p w14:paraId="7E696C3B">
                  <w:pPr>
                    <w:pStyle w:val="111"/>
                    <w:bidi w:val="0"/>
                    <w:rPr>
                      <w:caps w:val="0"/>
                      <w:color w:val="auto"/>
                      <w:spacing w:val="0"/>
                      <w:position w:val="0"/>
                      <w:highlight w:val="none"/>
                    </w:rPr>
                  </w:pPr>
                  <w:r>
                    <w:rPr>
                      <w:caps w:val="0"/>
                      <w:color w:val="auto"/>
                      <w:spacing w:val="0"/>
                      <w:position w:val="0"/>
                      <w:highlight w:val="none"/>
                    </w:rPr>
                    <w:t>具有物理化学危险特性的固体废物，应首先进行稳定化处理。</w:t>
                  </w:r>
                </w:p>
              </w:tc>
              <w:tc>
                <w:tcPr>
                  <w:tcW w:w="2369" w:type="dxa"/>
                  <w:tcBorders>
                    <w:tl2br w:val="nil"/>
                    <w:tr2bl w:val="nil"/>
                  </w:tcBorders>
                  <w:vAlign w:val="center"/>
                </w:tcPr>
                <w:p w14:paraId="7FC15315">
                  <w:pPr>
                    <w:pStyle w:val="111"/>
                    <w:bidi w:val="0"/>
                    <w:rPr>
                      <w:caps w:val="0"/>
                      <w:color w:val="auto"/>
                      <w:spacing w:val="0"/>
                      <w:position w:val="0"/>
                      <w:highlight w:val="none"/>
                    </w:rPr>
                  </w:pPr>
                  <w:r>
                    <w:rPr>
                      <w:caps w:val="0"/>
                      <w:color w:val="auto"/>
                      <w:spacing w:val="0"/>
                      <w:position w:val="0"/>
                      <w:highlight w:val="none"/>
                    </w:rPr>
                    <w:t>本项目原料不具有物理化学危险特性</w:t>
                  </w:r>
                </w:p>
              </w:tc>
              <w:tc>
                <w:tcPr>
                  <w:tcW w:w="659" w:type="dxa"/>
                  <w:tcBorders>
                    <w:tl2br w:val="nil"/>
                    <w:tr2bl w:val="nil"/>
                  </w:tcBorders>
                  <w:vAlign w:val="center"/>
                </w:tcPr>
                <w:p w14:paraId="5F30F596">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1218C01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16" w:type="dxa"/>
                  <w:tcBorders>
                    <w:tl2br w:val="nil"/>
                    <w:tr2bl w:val="nil"/>
                  </w:tcBorders>
                  <w:vAlign w:val="center"/>
                </w:tcPr>
                <w:p w14:paraId="5173A570">
                  <w:pPr>
                    <w:pStyle w:val="111"/>
                    <w:bidi w:val="0"/>
                    <w:rPr>
                      <w:caps w:val="0"/>
                      <w:color w:val="auto"/>
                      <w:spacing w:val="0"/>
                      <w:position w:val="0"/>
                      <w:highlight w:val="none"/>
                    </w:rPr>
                  </w:pPr>
                  <w:r>
                    <w:rPr>
                      <w:caps w:val="0"/>
                      <w:color w:val="auto"/>
                      <w:spacing w:val="0"/>
                      <w:position w:val="0"/>
                      <w:highlight w:val="none"/>
                    </w:rPr>
                    <w:t>5.1.3</w:t>
                  </w:r>
                </w:p>
              </w:tc>
              <w:tc>
                <w:tcPr>
                  <w:tcW w:w="3757" w:type="dxa"/>
                  <w:tcBorders>
                    <w:tl2br w:val="nil"/>
                    <w:tr2bl w:val="nil"/>
                  </w:tcBorders>
                  <w:vAlign w:val="center"/>
                </w:tcPr>
                <w:p w14:paraId="3D277344">
                  <w:pPr>
                    <w:pStyle w:val="111"/>
                    <w:bidi w:val="0"/>
                    <w:rPr>
                      <w:caps w:val="0"/>
                      <w:color w:val="auto"/>
                      <w:spacing w:val="0"/>
                      <w:position w:val="0"/>
                      <w:highlight w:val="none"/>
                    </w:rPr>
                  </w:pPr>
                  <w:r>
                    <w:rPr>
                      <w:caps w:val="0"/>
                      <w:color w:val="auto"/>
                      <w:spacing w:val="0"/>
                      <w:position w:val="0"/>
                      <w:highlight w:val="none"/>
                    </w:rPr>
                    <w:t>应根据固体废物的特性设置必要的防扬撒、防渗漏、防腐蚀设施，配备废气处理、废水处理、噪声控制等污染防治设施，按要求对主要环境影响指标进行在线监测。</w:t>
                  </w:r>
                </w:p>
              </w:tc>
              <w:tc>
                <w:tcPr>
                  <w:tcW w:w="2369" w:type="dxa"/>
                  <w:tcBorders>
                    <w:tl2br w:val="nil"/>
                    <w:tr2bl w:val="nil"/>
                  </w:tcBorders>
                  <w:vAlign w:val="center"/>
                </w:tcPr>
                <w:p w14:paraId="79E94469">
                  <w:pPr>
                    <w:pStyle w:val="111"/>
                    <w:bidi w:val="0"/>
                    <w:rPr>
                      <w:rFonts w:hint="default"/>
                      <w:caps w:val="0"/>
                      <w:color w:val="auto"/>
                      <w:spacing w:val="0"/>
                      <w:position w:val="0"/>
                      <w:highlight w:val="none"/>
                      <w:lang w:val="en-US"/>
                    </w:rPr>
                  </w:pPr>
                  <w:r>
                    <w:rPr>
                      <w:rFonts w:hint="eastAsia"/>
                      <w:caps w:val="0"/>
                      <w:color w:val="auto"/>
                      <w:spacing w:val="0"/>
                      <w:position w:val="0"/>
                      <w:highlight w:val="none"/>
                      <w:lang w:val="en-US" w:eastAsia="zh-CN"/>
                    </w:rPr>
                    <w:t>本项目按要求进行分区防渗，厂区入口配备洗车平台，废气设有布袋除尘设备，按要求设置铊、氟化物在线监测设备。</w:t>
                  </w:r>
                </w:p>
              </w:tc>
              <w:tc>
                <w:tcPr>
                  <w:tcW w:w="659" w:type="dxa"/>
                  <w:tcBorders>
                    <w:tl2br w:val="nil"/>
                    <w:tr2bl w:val="nil"/>
                  </w:tcBorders>
                  <w:vAlign w:val="center"/>
                </w:tcPr>
                <w:p w14:paraId="257EBA8B">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29B88A3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16" w:type="dxa"/>
                  <w:tcBorders>
                    <w:tl2br w:val="nil"/>
                    <w:tr2bl w:val="nil"/>
                  </w:tcBorders>
                  <w:vAlign w:val="center"/>
                </w:tcPr>
                <w:p w14:paraId="0A268851">
                  <w:pPr>
                    <w:pStyle w:val="111"/>
                    <w:bidi w:val="0"/>
                    <w:rPr>
                      <w:caps w:val="0"/>
                      <w:color w:val="auto"/>
                      <w:spacing w:val="0"/>
                      <w:position w:val="0"/>
                      <w:highlight w:val="none"/>
                    </w:rPr>
                  </w:pPr>
                  <w:r>
                    <w:rPr>
                      <w:caps w:val="0"/>
                      <w:color w:val="auto"/>
                      <w:spacing w:val="0"/>
                      <w:position w:val="0"/>
                      <w:highlight w:val="none"/>
                    </w:rPr>
                    <w:t>5.1.4</w:t>
                  </w:r>
                </w:p>
              </w:tc>
              <w:tc>
                <w:tcPr>
                  <w:tcW w:w="3757" w:type="dxa"/>
                  <w:tcBorders>
                    <w:tl2br w:val="nil"/>
                    <w:tr2bl w:val="nil"/>
                  </w:tcBorders>
                  <w:vAlign w:val="center"/>
                </w:tcPr>
                <w:p w14:paraId="1A8ACA40">
                  <w:pPr>
                    <w:pStyle w:val="111"/>
                    <w:bidi w:val="0"/>
                    <w:rPr>
                      <w:caps w:val="0"/>
                      <w:color w:val="auto"/>
                      <w:spacing w:val="0"/>
                      <w:position w:val="0"/>
                      <w:highlight w:val="none"/>
                    </w:rPr>
                  </w:pPr>
                  <w:r>
                    <w:rPr>
                      <w:caps w:val="0"/>
                      <w:color w:val="auto"/>
                      <w:spacing w:val="0"/>
                      <w:position w:val="0"/>
                      <w:highlight w:val="none"/>
                    </w:rPr>
                    <w:t>产生粉尘和有毒有害气体的作业区应采取除尘和有毒有害气体收集措施。扬尘点应设置吸尘罩和收尘设备，有毒有害气体逸散区应设置吸附(吸收)转化装置，保证作业区粉尘、有害气体浓度满足GBZ2.1的要求。</w:t>
                  </w:r>
                </w:p>
              </w:tc>
              <w:tc>
                <w:tcPr>
                  <w:tcW w:w="2369" w:type="dxa"/>
                  <w:tcBorders>
                    <w:tl2br w:val="nil"/>
                    <w:tr2bl w:val="nil"/>
                  </w:tcBorders>
                  <w:vAlign w:val="center"/>
                </w:tcPr>
                <w:p w14:paraId="671CEB00">
                  <w:pPr>
                    <w:pStyle w:val="111"/>
                    <w:bidi w:val="0"/>
                    <w:rPr>
                      <w:caps w:val="0"/>
                      <w:color w:val="auto"/>
                      <w:spacing w:val="0"/>
                      <w:position w:val="0"/>
                      <w:highlight w:val="none"/>
                    </w:rPr>
                  </w:pPr>
                  <w:r>
                    <w:rPr>
                      <w:caps w:val="0"/>
                      <w:color w:val="auto"/>
                      <w:spacing w:val="0"/>
                      <w:position w:val="0"/>
                      <w:highlight w:val="none"/>
                    </w:rPr>
                    <w:t>本项目在</w:t>
                  </w:r>
                  <w:r>
                    <w:rPr>
                      <w:rFonts w:hint="eastAsia"/>
                      <w:caps w:val="0"/>
                      <w:color w:val="auto"/>
                      <w:spacing w:val="0"/>
                      <w:position w:val="0"/>
                      <w:highlight w:val="none"/>
                      <w:lang w:val="en-US" w:eastAsia="zh-CN"/>
                    </w:rPr>
                    <w:t>搅拌</w:t>
                  </w:r>
                  <w:r>
                    <w:rPr>
                      <w:caps w:val="0"/>
                      <w:color w:val="auto"/>
                      <w:spacing w:val="0"/>
                      <w:position w:val="0"/>
                      <w:highlight w:val="none"/>
                    </w:rPr>
                    <w:t>工艺会产生粉尘，经收集处理后达标排放。</w:t>
                  </w:r>
                  <w:r>
                    <w:rPr>
                      <w:rFonts w:hint="eastAsia"/>
                      <w:caps w:val="0"/>
                      <w:color w:val="auto"/>
                      <w:spacing w:val="0"/>
                      <w:position w:val="0"/>
                      <w:highlight w:val="none"/>
                    </w:rPr>
                    <w:t>本项目不涉及有毒有害气体</w:t>
                  </w:r>
                  <w:r>
                    <w:rPr>
                      <w:caps w:val="0"/>
                      <w:color w:val="auto"/>
                      <w:spacing w:val="0"/>
                      <w:position w:val="0"/>
                      <w:highlight w:val="none"/>
                    </w:rPr>
                    <w:t>。</w:t>
                  </w:r>
                </w:p>
              </w:tc>
              <w:tc>
                <w:tcPr>
                  <w:tcW w:w="659" w:type="dxa"/>
                  <w:tcBorders>
                    <w:tl2br w:val="nil"/>
                    <w:tr2bl w:val="nil"/>
                  </w:tcBorders>
                  <w:vAlign w:val="center"/>
                </w:tcPr>
                <w:p w14:paraId="36DCDB75">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7D87351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16" w:type="dxa"/>
                  <w:tcBorders>
                    <w:tl2br w:val="nil"/>
                    <w:tr2bl w:val="nil"/>
                  </w:tcBorders>
                  <w:vAlign w:val="center"/>
                </w:tcPr>
                <w:p w14:paraId="0A21C509">
                  <w:pPr>
                    <w:pStyle w:val="111"/>
                    <w:bidi w:val="0"/>
                    <w:rPr>
                      <w:caps w:val="0"/>
                      <w:color w:val="auto"/>
                      <w:spacing w:val="0"/>
                      <w:position w:val="0"/>
                      <w:highlight w:val="none"/>
                    </w:rPr>
                  </w:pPr>
                  <w:r>
                    <w:rPr>
                      <w:caps w:val="0"/>
                      <w:color w:val="auto"/>
                      <w:spacing w:val="0"/>
                      <w:position w:val="0"/>
                      <w:highlight w:val="none"/>
                    </w:rPr>
                    <w:t>5.1.5</w:t>
                  </w:r>
                </w:p>
              </w:tc>
              <w:tc>
                <w:tcPr>
                  <w:tcW w:w="3757" w:type="dxa"/>
                  <w:tcBorders>
                    <w:tl2br w:val="nil"/>
                    <w:tr2bl w:val="nil"/>
                  </w:tcBorders>
                  <w:vAlign w:val="center"/>
                </w:tcPr>
                <w:p w14:paraId="150EBED2">
                  <w:pPr>
                    <w:pStyle w:val="111"/>
                    <w:bidi w:val="0"/>
                    <w:rPr>
                      <w:caps w:val="0"/>
                      <w:color w:val="auto"/>
                      <w:spacing w:val="0"/>
                      <w:position w:val="0"/>
                      <w:highlight w:val="none"/>
                    </w:rPr>
                  </w:pPr>
                  <w:r>
                    <w:rPr>
                      <w:caps w:val="0"/>
                      <w:color w:val="auto"/>
                      <w:spacing w:val="0"/>
                      <w:position w:val="0"/>
                      <w:highlight w:val="none"/>
                    </w:rPr>
                    <w:t>应采取大气污染控制措施，大气污染物排放应满足特定行业排放(控制)标准的要求。没有特定行业污染排放(控制)标准的，应满足GB16297的要求，特征污染物排放(控制)应满足环境影响评价要求。</w:t>
                  </w:r>
                </w:p>
              </w:tc>
              <w:tc>
                <w:tcPr>
                  <w:tcW w:w="2369" w:type="dxa"/>
                  <w:tcBorders>
                    <w:tl2br w:val="nil"/>
                    <w:tr2bl w:val="nil"/>
                  </w:tcBorders>
                  <w:vAlign w:val="center"/>
                </w:tcPr>
                <w:p w14:paraId="5C15D30D">
                  <w:pPr>
                    <w:pStyle w:val="111"/>
                    <w:bidi w:val="0"/>
                    <w:rPr>
                      <w:caps w:val="0"/>
                      <w:color w:val="auto"/>
                      <w:spacing w:val="0"/>
                      <w:position w:val="0"/>
                      <w:highlight w:val="none"/>
                    </w:rPr>
                  </w:pPr>
                  <w:r>
                    <w:rPr>
                      <w:caps w:val="0"/>
                      <w:color w:val="auto"/>
                      <w:spacing w:val="0"/>
                      <w:position w:val="0"/>
                      <w:highlight w:val="none"/>
                    </w:rPr>
                    <w:t>本项目投料、水泥仓</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搅拌</w:t>
                  </w:r>
                  <w:r>
                    <w:rPr>
                      <w:caps w:val="0"/>
                      <w:color w:val="auto"/>
                      <w:spacing w:val="0"/>
                      <w:position w:val="0"/>
                      <w:highlight w:val="none"/>
                    </w:rPr>
                    <w:t>产生的粉尘通过布袋除尘处理，均达标排放。</w:t>
                  </w:r>
                </w:p>
              </w:tc>
              <w:tc>
                <w:tcPr>
                  <w:tcW w:w="659" w:type="dxa"/>
                  <w:tcBorders>
                    <w:tl2br w:val="nil"/>
                    <w:tr2bl w:val="nil"/>
                  </w:tcBorders>
                  <w:vAlign w:val="center"/>
                </w:tcPr>
                <w:p w14:paraId="5AE0D7C4">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3E40D77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16" w:type="dxa"/>
                  <w:tcBorders>
                    <w:tl2br w:val="nil"/>
                    <w:tr2bl w:val="nil"/>
                  </w:tcBorders>
                  <w:vAlign w:val="center"/>
                </w:tcPr>
                <w:p w14:paraId="0428D119">
                  <w:pPr>
                    <w:pStyle w:val="111"/>
                    <w:bidi w:val="0"/>
                    <w:rPr>
                      <w:caps w:val="0"/>
                      <w:color w:val="auto"/>
                      <w:spacing w:val="0"/>
                      <w:position w:val="0"/>
                      <w:highlight w:val="none"/>
                    </w:rPr>
                  </w:pPr>
                  <w:r>
                    <w:rPr>
                      <w:caps w:val="0"/>
                      <w:color w:val="auto"/>
                      <w:spacing w:val="0"/>
                      <w:position w:val="0"/>
                      <w:highlight w:val="none"/>
                    </w:rPr>
                    <w:t>5.1.6</w:t>
                  </w:r>
                </w:p>
              </w:tc>
              <w:tc>
                <w:tcPr>
                  <w:tcW w:w="3757" w:type="dxa"/>
                  <w:tcBorders>
                    <w:tl2br w:val="nil"/>
                    <w:tr2bl w:val="nil"/>
                  </w:tcBorders>
                  <w:vAlign w:val="center"/>
                </w:tcPr>
                <w:p w14:paraId="55A9AA67">
                  <w:pPr>
                    <w:pStyle w:val="111"/>
                    <w:bidi w:val="0"/>
                    <w:rPr>
                      <w:caps w:val="0"/>
                      <w:color w:val="auto"/>
                      <w:spacing w:val="0"/>
                      <w:position w:val="0"/>
                      <w:highlight w:val="none"/>
                    </w:rPr>
                  </w:pPr>
                  <w:r>
                    <w:rPr>
                      <w:caps w:val="0"/>
                      <w:color w:val="auto"/>
                      <w:spacing w:val="0"/>
                      <w:position w:val="0"/>
                      <w:highlight w:val="none"/>
                    </w:rPr>
                    <w:t>应采取必要的措施防止恶臭物质扩散，周界恶臭污染物浓度应符合GB14554的要求。</w:t>
                  </w:r>
                </w:p>
              </w:tc>
              <w:tc>
                <w:tcPr>
                  <w:tcW w:w="2369" w:type="dxa"/>
                  <w:tcBorders>
                    <w:tl2br w:val="nil"/>
                    <w:tr2bl w:val="nil"/>
                  </w:tcBorders>
                  <w:vAlign w:val="center"/>
                </w:tcPr>
                <w:p w14:paraId="54CBA2D4">
                  <w:pPr>
                    <w:pStyle w:val="111"/>
                    <w:bidi w:val="0"/>
                    <w:rPr>
                      <w:rFonts w:hint="eastAsia"/>
                      <w:caps w:val="0"/>
                      <w:color w:val="auto"/>
                      <w:spacing w:val="0"/>
                      <w:position w:val="0"/>
                      <w:highlight w:val="none"/>
                      <w:lang w:eastAsia="zh-CN"/>
                    </w:rPr>
                  </w:pPr>
                  <w:r>
                    <w:rPr>
                      <w:caps w:val="0"/>
                      <w:color w:val="auto"/>
                      <w:spacing w:val="0"/>
                      <w:position w:val="0"/>
                      <w:highlight w:val="none"/>
                    </w:rPr>
                    <w:t>本项目</w:t>
                  </w:r>
                  <w:r>
                    <w:rPr>
                      <w:rFonts w:hint="eastAsia"/>
                      <w:caps w:val="0"/>
                      <w:color w:val="auto"/>
                      <w:spacing w:val="0"/>
                      <w:position w:val="0"/>
                      <w:highlight w:val="none"/>
                      <w:lang w:val="en-US" w:eastAsia="zh-CN"/>
                    </w:rPr>
                    <w:t>不涉及</w:t>
                  </w:r>
                </w:p>
              </w:tc>
              <w:tc>
                <w:tcPr>
                  <w:tcW w:w="659" w:type="dxa"/>
                  <w:tcBorders>
                    <w:tl2br w:val="nil"/>
                    <w:tr2bl w:val="nil"/>
                  </w:tcBorders>
                  <w:vAlign w:val="center"/>
                </w:tcPr>
                <w:p w14:paraId="26FD6A6F">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24ED50A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16" w:type="dxa"/>
                  <w:tcBorders>
                    <w:tl2br w:val="nil"/>
                    <w:tr2bl w:val="nil"/>
                  </w:tcBorders>
                  <w:vAlign w:val="center"/>
                </w:tcPr>
                <w:p w14:paraId="50472D91">
                  <w:pPr>
                    <w:pStyle w:val="111"/>
                    <w:bidi w:val="0"/>
                    <w:rPr>
                      <w:caps w:val="0"/>
                      <w:color w:val="auto"/>
                      <w:spacing w:val="0"/>
                      <w:position w:val="0"/>
                      <w:highlight w:val="none"/>
                    </w:rPr>
                  </w:pPr>
                  <w:r>
                    <w:rPr>
                      <w:caps w:val="0"/>
                      <w:color w:val="auto"/>
                      <w:spacing w:val="0"/>
                      <w:position w:val="0"/>
                      <w:highlight w:val="none"/>
                    </w:rPr>
                    <w:t>5.1.7</w:t>
                  </w:r>
                </w:p>
              </w:tc>
              <w:tc>
                <w:tcPr>
                  <w:tcW w:w="3757" w:type="dxa"/>
                  <w:tcBorders>
                    <w:tl2br w:val="nil"/>
                    <w:tr2bl w:val="nil"/>
                  </w:tcBorders>
                  <w:vAlign w:val="center"/>
                </w:tcPr>
                <w:p w14:paraId="4729C859">
                  <w:pPr>
                    <w:pStyle w:val="111"/>
                    <w:bidi w:val="0"/>
                    <w:rPr>
                      <w:caps w:val="0"/>
                      <w:color w:val="auto"/>
                      <w:spacing w:val="0"/>
                      <w:position w:val="0"/>
                      <w:highlight w:val="none"/>
                    </w:rPr>
                  </w:pPr>
                  <w:r>
                    <w:rPr>
                      <w:caps w:val="0"/>
                      <w:color w:val="auto"/>
                      <w:spacing w:val="0"/>
                      <w:position w:val="0"/>
                      <w:highlight w:val="none"/>
                    </w:rPr>
                    <w:t>产生的冷凝液、浓缩液、渗滤液等废液应进行有效收集后集中处理。处理后产生的废水应优先考虑循环利用</w:t>
                  </w:r>
                  <w:r>
                    <w:rPr>
                      <w:rFonts w:hint="eastAsia"/>
                      <w:caps w:val="0"/>
                      <w:color w:val="auto"/>
                      <w:spacing w:val="0"/>
                      <w:position w:val="0"/>
                      <w:highlight w:val="none"/>
                      <w:lang w:eastAsia="zh-CN"/>
                    </w:rPr>
                    <w:t>；</w:t>
                  </w:r>
                  <w:r>
                    <w:rPr>
                      <w:caps w:val="0"/>
                      <w:color w:val="auto"/>
                      <w:spacing w:val="0"/>
                      <w:position w:val="0"/>
                      <w:highlight w:val="none"/>
                    </w:rPr>
                    <w:t>排放时应满足特定行业排放(控制)标准的要求</w:t>
                  </w:r>
                  <w:r>
                    <w:rPr>
                      <w:rFonts w:hint="eastAsia"/>
                      <w:caps w:val="0"/>
                      <w:color w:val="auto"/>
                      <w:spacing w:val="0"/>
                      <w:position w:val="0"/>
                      <w:highlight w:val="none"/>
                      <w:lang w:eastAsia="zh-CN"/>
                    </w:rPr>
                    <w:t>；</w:t>
                  </w:r>
                  <w:r>
                    <w:rPr>
                      <w:caps w:val="0"/>
                      <w:color w:val="auto"/>
                      <w:spacing w:val="0"/>
                      <w:position w:val="0"/>
                      <w:highlight w:val="none"/>
                    </w:rPr>
                    <w:t>没有特定行业污染排放(控制)标准的，应满足GB8978的要求，特征污染物排放(控制)应满足环境影响评价要求。</w:t>
                  </w:r>
                </w:p>
              </w:tc>
              <w:tc>
                <w:tcPr>
                  <w:tcW w:w="2369" w:type="dxa"/>
                  <w:tcBorders>
                    <w:tl2br w:val="nil"/>
                    <w:tr2bl w:val="nil"/>
                  </w:tcBorders>
                  <w:vAlign w:val="center"/>
                </w:tcPr>
                <w:p w14:paraId="3A86A1C8">
                  <w:pPr>
                    <w:pStyle w:val="111"/>
                    <w:bidi w:val="0"/>
                    <w:rPr>
                      <w:rFonts w:hint="default" w:eastAsia="宋体"/>
                      <w:caps w:val="0"/>
                      <w:color w:val="auto"/>
                      <w:spacing w:val="0"/>
                      <w:position w:val="0"/>
                      <w:highlight w:val="none"/>
                      <w:lang w:val="en-US" w:eastAsia="zh-CN"/>
                    </w:rPr>
                  </w:pPr>
                  <w:r>
                    <w:rPr>
                      <w:caps w:val="0"/>
                      <w:color w:val="auto"/>
                      <w:spacing w:val="0"/>
                      <w:position w:val="0"/>
                      <w:highlight w:val="none"/>
                    </w:rPr>
                    <w:t>本项目</w:t>
                  </w:r>
                  <w:r>
                    <w:rPr>
                      <w:rFonts w:hint="eastAsia"/>
                      <w:caps w:val="0"/>
                      <w:color w:val="auto"/>
                      <w:spacing w:val="0"/>
                      <w:position w:val="0"/>
                      <w:highlight w:val="none"/>
                      <w:lang w:val="en-US" w:eastAsia="zh-CN"/>
                    </w:rPr>
                    <w:t>锂渣</w:t>
                  </w:r>
                  <w:r>
                    <w:rPr>
                      <w:caps w:val="0"/>
                      <w:color w:val="auto"/>
                      <w:spacing w:val="0"/>
                      <w:position w:val="0"/>
                      <w:highlight w:val="none"/>
                    </w:rPr>
                    <w:t>渗滤液收集后用于生产，</w:t>
                  </w:r>
                  <w:r>
                    <w:rPr>
                      <w:rFonts w:hint="eastAsia"/>
                      <w:caps w:val="0"/>
                      <w:color w:val="auto"/>
                      <w:spacing w:val="0"/>
                      <w:position w:val="0"/>
                      <w:highlight w:val="none"/>
                    </w:rPr>
                    <w:t>生活污水经化粪池处理后达到《农田灌溉水质标准》（GB5084-2021）表1中旱作标准后用于林地灌溉，不外排。</w:t>
                  </w:r>
                </w:p>
              </w:tc>
              <w:tc>
                <w:tcPr>
                  <w:tcW w:w="659" w:type="dxa"/>
                  <w:tcBorders>
                    <w:tl2br w:val="nil"/>
                    <w:tr2bl w:val="nil"/>
                  </w:tcBorders>
                  <w:vAlign w:val="center"/>
                </w:tcPr>
                <w:p w14:paraId="570FEEC8">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5DB2BBD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16" w:type="dxa"/>
                  <w:tcBorders>
                    <w:tl2br w:val="nil"/>
                    <w:tr2bl w:val="nil"/>
                  </w:tcBorders>
                  <w:vAlign w:val="center"/>
                </w:tcPr>
                <w:p w14:paraId="51045AE9">
                  <w:pPr>
                    <w:pStyle w:val="111"/>
                    <w:bidi w:val="0"/>
                    <w:rPr>
                      <w:caps w:val="0"/>
                      <w:color w:val="auto"/>
                      <w:spacing w:val="0"/>
                      <w:position w:val="0"/>
                      <w:highlight w:val="none"/>
                    </w:rPr>
                  </w:pPr>
                  <w:r>
                    <w:rPr>
                      <w:caps w:val="0"/>
                      <w:color w:val="auto"/>
                      <w:spacing w:val="0"/>
                      <w:position w:val="0"/>
                      <w:highlight w:val="none"/>
                    </w:rPr>
                    <w:t>5.1.8</w:t>
                  </w:r>
                </w:p>
              </w:tc>
              <w:tc>
                <w:tcPr>
                  <w:tcW w:w="3757" w:type="dxa"/>
                  <w:tcBorders>
                    <w:tl2br w:val="nil"/>
                    <w:tr2bl w:val="nil"/>
                  </w:tcBorders>
                  <w:vAlign w:val="center"/>
                </w:tcPr>
                <w:p w14:paraId="55B3B0DB">
                  <w:pPr>
                    <w:pStyle w:val="111"/>
                    <w:bidi w:val="0"/>
                    <w:rPr>
                      <w:caps w:val="0"/>
                      <w:color w:val="auto"/>
                      <w:spacing w:val="0"/>
                      <w:position w:val="0"/>
                      <w:highlight w:val="none"/>
                    </w:rPr>
                  </w:pPr>
                  <w:r>
                    <w:rPr>
                      <w:caps w:val="0"/>
                      <w:color w:val="auto"/>
                      <w:spacing w:val="0"/>
                      <w:position w:val="0"/>
                      <w:highlight w:val="none"/>
                    </w:rPr>
                    <w:t>应防止噪声污染。设备运转时厂界噪声应符合GB12348的要求，作业车间噪声应符合GBZ2.2的要求。</w:t>
                  </w:r>
                </w:p>
              </w:tc>
              <w:tc>
                <w:tcPr>
                  <w:tcW w:w="2369" w:type="dxa"/>
                  <w:tcBorders>
                    <w:tl2br w:val="nil"/>
                    <w:tr2bl w:val="nil"/>
                  </w:tcBorders>
                  <w:vAlign w:val="center"/>
                </w:tcPr>
                <w:p w14:paraId="08C12485">
                  <w:pPr>
                    <w:pStyle w:val="111"/>
                    <w:bidi w:val="0"/>
                    <w:rPr>
                      <w:caps w:val="0"/>
                      <w:color w:val="auto"/>
                      <w:spacing w:val="0"/>
                      <w:position w:val="0"/>
                      <w:highlight w:val="none"/>
                    </w:rPr>
                  </w:pPr>
                  <w:r>
                    <w:rPr>
                      <w:caps w:val="0"/>
                      <w:color w:val="auto"/>
                      <w:spacing w:val="0"/>
                      <w:position w:val="0"/>
                      <w:highlight w:val="none"/>
                    </w:rPr>
                    <w:t>本项目满足要求</w:t>
                  </w:r>
                </w:p>
              </w:tc>
              <w:tc>
                <w:tcPr>
                  <w:tcW w:w="659" w:type="dxa"/>
                  <w:tcBorders>
                    <w:tl2br w:val="nil"/>
                    <w:tr2bl w:val="nil"/>
                  </w:tcBorders>
                  <w:vAlign w:val="center"/>
                </w:tcPr>
                <w:p w14:paraId="344D84EA">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43A167B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16" w:type="dxa"/>
                  <w:tcBorders>
                    <w:tl2br w:val="nil"/>
                    <w:tr2bl w:val="nil"/>
                  </w:tcBorders>
                  <w:vAlign w:val="center"/>
                </w:tcPr>
                <w:p w14:paraId="0E38702F">
                  <w:pPr>
                    <w:pStyle w:val="111"/>
                    <w:bidi w:val="0"/>
                    <w:rPr>
                      <w:caps w:val="0"/>
                      <w:color w:val="auto"/>
                      <w:spacing w:val="0"/>
                      <w:position w:val="0"/>
                      <w:highlight w:val="none"/>
                    </w:rPr>
                  </w:pPr>
                  <w:r>
                    <w:rPr>
                      <w:caps w:val="0"/>
                      <w:color w:val="auto"/>
                      <w:spacing w:val="0"/>
                      <w:position w:val="0"/>
                      <w:highlight w:val="none"/>
                    </w:rPr>
                    <w:t>51.9</w:t>
                  </w:r>
                </w:p>
              </w:tc>
              <w:tc>
                <w:tcPr>
                  <w:tcW w:w="3757" w:type="dxa"/>
                  <w:tcBorders>
                    <w:tl2br w:val="nil"/>
                    <w:tr2bl w:val="nil"/>
                  </w:tcBorders>
                  <w:vAlign w:val="center"/>
                </w:tcPr>
                <w:p w14:paraId="2A383B04">
                  <w:pPr>
                    <w:pStyle w:val="111"/>
                    <w:bidi w:val="0"/>
                    <w:rPr>
                      <w:caps w:val="0"/>
                      <w:color w:val="auto"/>
                      <w:spacing w:val="0"/>
                      <w:position w:val="0"/>
                      <w:highlight w:val="none"/>
                    </w:rPr>
                  </w:pPr>
                  <w:r>
                    <w:rPr>
                      <w:caps w:val="0"/>
                      <w:color w:val="auto"/>
                      <w:spacing w:val="0"/>
                      <w:position w:val="0"/>
                      <w:highlight w:val="none"/>
                    </w:rPr>
                    <w:t>产生的污泥、底渣、废油类等固体废物应按照其管理属性分别处置。不能自行综合利用或处置的，应交给有相应资质和处理能力的企业进行综合利用或处置。</w:t>
                  </w:r>
                </w:p>
              </w:tc>
              <w:tc>
                <w:tcPr>
                  <w:tcW w:w="2369" w:type="dxa"/>
                  <w:tcBorders>
                    <w:tl2br w:val="nil"/>
                    <w:tr2bl w:val="nil"/>
                  </w:tcBorders>
                  <w:vAlign w:val="center"/>
                </w:tcPr>
                <w:p w14:paraId="409DD430">
                  <w:pPr>
                    <w:pStyle w:val="111"/>
                    <w:bidi w:val="0"/>
                    <w:rPr>
                      <w:rFonts w:hint="default"/>
                      <w:caps w:val="0"/>
                      <w:color w:val="auto"/>
                      <w:spacing w:val="0"/>
                      <w:position w:val="0"/>
                      <w:highlight w:val="none"/>
                      <w:lang w:val="en-US" w:eastAsia="zh-CN"/>
                    </w:rPr>
                  </w:pPr>
                  <w:r>
                    <w:rPr>
                      <w:caps w:val="0"/>
                      <w:color w:val="auto"/>
                      <w:spacing w:val="0"/>
                      <w:position w:val="0"/>
                      <w:highlight w:val="none"/>
                    </w:rPr>
                    <w:t>本项目</w:t>
                  </w:r>
                  <w:r>
                    <w:rPr>
                      <w:rFonts w:hint="eastAsia"/>
                      <w:caps w:val="0"/>
                      <w:color w:val="auto"/>
                      <w:spacing w:val="0"/>
                      <w:position w:val="0"/>
                      <w:highlight w:val="none"/>
                      <w:lang w:val="en-US" w:eastAsia="zh-CN"/>
                    </w:rPr>
                    <w:t>危废交给有资质单位处理</w:t>
                  </w:r>
                </w:p>
              </w:tc>
              <w:tc>
                <w:tcPr>
                  <w:tcW w:w="659" w:type="dxa"/>
                  <w:tcBorders>
                    <w:tl2br w:val="nil"/>
                    <w:tr2bl w:val="nil"/>
                  </w:tcBorders>
                  <w:vAlign w:val="center"/>
                </w:tcPr>
                <w:p w14:paraId="10CA2F51">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072C8EE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16" w:type="dxa"/>
                  <w:tcBorders>
                    <w:tl2br w:val="nil"/>
                    <w:tr2bl w:val="nil"/>
                  </w:tcBorders>
                  <w:vAlign w:val="center"/>
                </w:tcPr>
                <w:p w14:paraId="147E5893">
                  <w:pPr>
                    <w:pStyle w:val="111"/>
                    <w:bidi w:val="0"/>
                    <w:rPr>
                      <w:caps w:val="0"/>
                      <w:color w:val="auto"/>
                      <w:spacing w:val="0"/>
                      <w:position w:val="0"/>
                      <w:highlight w:val="none"/>
                    </w:rPr>
                  </w:pPr>
                  <w:r>
                    <w:rPr>
                      <w:caps w:val="0"/>
                      <w:color w:val="auto"/>
                      <w:spacing w:val="0"/>
                      <w:position w:val="0"/>
                      <w:highlight w:val="none"/>
                    </w:rPr>
                    <w:t>5.1.10</w:t>
                  </w:r>
                </w:p>
              </w:tc>
              <w:tc>
                <w:tcPr>
                  <w:tcW w:w="3757" w:type="dxa"/>
                  <w:tcBorders>
                    <w:tl2br w:val="nil"/>
                    <w:tr2bl w:val="nil"/>
                  </w:tcBorders>
                  <w:vAlign w:val="center"/>
                </w:tcPr>
                <w:p w14:paraId="61150567">
                  <w:pPr>
                    <w:pStyle w:val="111"/>
                    <w:bidi w:val="0"/>
                    <w:rPr>
                      <w:caps w:val="0"/>
                      <w:color w:val="auto"/>
                      <w:spacing w:val="0"/>
                      <w:position w:val="0"/>
                      <w:highlight w:val="none"/>
                    </w:rPr>
                  </w:pPr>
                  <w:r>
                    <w:rPr>
                      <w:caps w:val="0"/>
                      <w:color w:val="auto"/>
                      <w:spacing w:val="0"/>
                      <w:position w:val="0"/>
                      <w:highlight w:val="none"/>
                    </w:rPr>
                    <w:t>危险废物的贮存、包装、处置等应符合GB18597、HJ2042等危险废物专用标准的要求。</w:t>
                  </w:r>
                </w:p>
              </w:tc>
              <w:tc>
                <w:tcPr>
                  <w:tcW w:w="2369" w:type="dxa"/>
                  <w:tcBorders>
                    <w:tl2br w:val="nil"/>
                    <w:tr2bl w:val="nil"/>
                  </w:tcBorders>
                  <w:vAlign w:val="center"/>
                </w:tcPr>
                <w:p w14:paraId="63D82899">
                  <w:pPr>
                    <w:pStyle w:val="111"/>
                    <w:bidi w:val="0"/>
                    <w:rPr>
                      <w:caps w:val="0"/>
                      <w:color w:val="auto"/>
                      <w:spacing w:val="0"/>
                      <w:position w:val="0"/>
                      <w:highlight w:val="none"/>
                    </w:rPr>
                  </w:pPr>
                  <w:r>
                    <w:rPr>
                      <w:caps w:val="0"/>
                      <w:color w:val="auto"/>
                      <w:spacing w:val="0"/>
                      <w:position w:val="0"/>
                      <w:highlight w:val="none"/>
                    </w:rPr>
                    <w:t>本项目满足要求</w:t>
                  </w:r>
                </w:p>
              </w:tc>
              <w:tc>
                <w:tcPr>
                  <w:tcW w:w="659" w:type="dxa"/>
                  <w:tcBorders>
                    <w:tl2br w:val="nil"/>
                    <w:tr2bl w:val="nil"/>
                  </w:tcBorders>
                  <w:vAlign w:val="center"/>
                </w:tcPr>
                <w:p w14:paraId="3C5C2254">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2F9317E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301" w:type="dxa"/>
                  <w:gridSpan w:val="4"/>
                  <w:tcBorders>
                    <w:tl2br w:val="nil"/>
                    <w:tr2bl w:val="nil"/>
                  </w:tcBorders>
                  <w:vAlign w:val="center"/>
                </w:tcPr>
                <w:p w14:paraId="3068519F">
                  <w:pPr>
                    <w:pStyle w:val="111"/>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监测</w:t>
                  </w:r>
                </w:p>
              </w:tc>
            </w:tr>
            <w:tr w14:paraId="0170870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16" w:type="dxa"/>
                  <w:tcBorders>
                    <w:tl2br w:val="nil"/>
                    <w:tr2bl w:val="nil"/>
                  </w:tcBorders>
                  <w:vAlign w:val="center"/>
                </w:tcPr>
                <w:p w14:paraId="510EB44B">
                  <w:pPr>
                    <w:pStyle w:val="111"/>
                    <w:bidi w:val="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8.1</w:t>
                  </w:r>
                </w:p>
              </w:tc>
              <w:tc>
                <w:tcPr>
                  <w:tcW w:w="3757" w:type="dxa"/>
                  <w:tcBorders>
                    <w:tl2br w:val="nil"/>
                    <w:tr2bl w:val="nil"/>
                  </w:tcBorders>
                  <w:vAlign w:val="center"/>
                </w:tcPr>
                <w:p w14:paraId="5E87FA37">
                  <w:pPr>
                    <w:pStyle w:val="111"/>
                    <w:bidi w:val="0"/>
                    <w:rPr>
                      <w:caps w:val="0"/>
                      <w:color w:val="auto"/>
                      <w:spacing w:val="0"/>
                      <w:position w:val="0"/>
                      <w:highlight w:val="none"/>
                    </w:rPr>
                  </w:pPr>
                  <w:r>
                    <w:rPr>
                      <w:rFonts w:hint="eastAsia"/>
                      <w:caps w:val="0"/>
                      <w:color w:val="auto"/>
                      <w:spacing w:val="0"/>
                      <w:position w:val="0"/>
                      <w:highlight w:val="none"/>
                      <w:lang w:val="en-US" w:eastAsia="zh-CN"/>
                    </w:rPr>
                    <w:t>当首次再生利用除危险废物外的某种固体废物时，针对再生利用产品中的特征污染物监测频次不低于每周</w:t>
                  </w:r>
                  <w:r>
                    <w:rPr>
                      <w:rFonts w:hint="default"/>
                      <w:caps w:val="0"/>
                      <w:color w:val="auto"/>
                      <w:spacing w:val="0"/>
                      <w:position w:val="0"/>
                      <w:highlight w:val="none"/>
                      <w:lang w:val="en-US" w:eastAsia="zh-CN"/>
                    </w:rPr>
                    <w:t>3</w:t>
                  </w:r>
                  <w:r>
                    <w:rPr>
                      <w:rFonts w:hint="eastAsia"/>
                      <w:caps w:val="0"/>
                      <w:color w:val="auto"/>
                      <w:spacing w:val="0"/>
                      <w:position w:val="0"/>
                      <w:highlight w:val="none"/>
                      <w:lang w:val="en-US" w:eastAsia="zh-CN"/>
                    </w:rPr>
                    <w:t>次；连续两周监测结果均不超出环境风险评价结果时，在该废物来源及投加量稳定的前提下，频次可减为每月</w:t>
                  </w:r>
                  <w:r>
                    <w:rPr>
                      <w:rFonts w:hint="default"/>
                      <w:caps w:val="0"/>
                      <w:color w:val="auto"/>
                      <w:spacing w:val="0"/>
                      <w:position w:val="0"/>
                      <w:highlight w:val="none"/>
                      <w:lang w:val="en-US" w:eastAsia="zh-CN"/>
                    </w:rPr>
                    <w:t>1</w:t>
                  </w:r>
                  <w:r>
                    <w:rPr>
                      <w:rFonts w:hint="eastAsia"/>
                      <w:caps w:val="0"/>
                      <w:color w:val="auto"/>
                      <w:spacing w:val="0"/>
                      <w:position w:val="0"/>
                      <w:highlight w:val="none"/>
                      <w:lang w:val="en-US" w:eastAsia="zh-CN"/>
                    </w:rPr>
                    <w:t>次；连续三个月监测结果不超出环境风险评价结果时，频次可减为每年</w:t>
                  </w:r>
                  <w:r>
                    <w:rPr>
                      <w:rFonts w:hint="default"/>
                      <w:caps w:val="0"/>
                      <w:color w:val="auto"/>
                      <w:spacing w:val="0"/>
                      <w:position w:val="0"/>
                      <w:highlight w:val="none"/>
                      <w:lang w:val="en-US" w:eastAsia="zh-CN"/>
                    </w:rPr>
                    <w:t>1</w:t>
                  </w:r>
                  <w:r>
                    <w:rPr>
                      <w:rFonts w:hint="eastAsia"/>
                      <w:caps w:val="0"/>
                      <w:color w:val="auto"/>
                      <w:spacing w:val="0"/>
                      <w:position w:val="0"/>
                      <w:highlight w:val="none"/>
                      <w:lang w:val="en-US" w:eastAsia="zh-CN"/>
                    </w:rPr>
                    <w:t>次；若在此期间监测结果出现异常或固体废物来源发生变化或再生利用中断超过半年，则监测频次重新调整为不低于每周</w:t>
                  </w:r>
                  <w:r>
                    <w:rPr>
                      <w:rFonts w:hint="default"/>
                      <w:caps w:val="0"/>
                      <w:color w:val="auto"/>
                      <w:spacing w:val="0"/>
                      <w:position w:val="0"/>
                      <w:highlight w:val="none"/>
                      <w:lang w:val="en-US" w:eastAsia="zh-CN"/>
                    </w:rPr>
                    <w:t>3</w:t>
                  </w:r>
                  <w:r>
                    <w:rPr>
                      <w:rFonts w:hint="eastAsia"/>
                      <w:caps w:val="0"/>
                      <w:color w:val="auto"/>
                      <w:spacing w:val="0"/>
                      <w:position w:val="0"/>
                      <w:highlight w:val="none"/>
                      <w:lang w:val="en-US" w:eastAsia="zh-CN"/>
                    </w:rPr>
                    <w:t>次，依次重复</w:t>
                  </w:r>
                </w:p>
              </w:tc>
              <w:tc>
                <w:tcPr>
                  <w:tcW w:w="2369" w:type="dxa"/>
                  <w:tcBorders>
                    <w:tl2br w:val="nil"/>
                    <w:tr2bl w:val="nil"/>
                  </w:tcBorders>
                  <w:vAlign w:val="center"/>
                </w:tcPr>
                <w:p w14:paraId="2E148992">
                  <w:pPr>
                    <w:pStyle w:val="111"/>
                    <w:bidi w:val="0"/>
                    <w:rPr>
                      <w:caps w:val="0"/>
                      <w:color w:val="auto"/>
                      <w:spacing w:val="0"/>
                      <w:position w:val="0"/>
                      <w:highlight w:val="none"/>
                    </w:rPr>
                  </w:pPr>
                  <w:r>
                    <w:rPr>
                      <w:caps w:val="0"/>
                      <w:color w:val="auto"/>
                      <w:spacing w:val="0"/>
                      <w:position w:val="0"/>
                      <w:highlight w:val="none"/>
                    </w:rPr>
                    <w:t>本环评要求建设单位</w:t>
                  </w:r>
                  <w:r>
                    <w:rPr>
                      <w:rFonts w:hint="eastAsia"/>
                      <w:caps w:val="0"/>
                      <w:color w:val="auto"/>
                      <w:spacing w:val="0"/>
                      <w:position w:val="0"/>
                      <w:highlight w:val="none"/>
                      <w:lang w:val="en-US" w:eastAsia="zh-CN"/>
                    </w:rPr>
                    <w:t>建成后将按要求对产品中</w:t>
                  </w:r>
                  <w:r>
                    <w:rPr>
                      <w:caps w:val="0"/>
                      <w:color w:val="auto"/>
                      <w:spacing w:val="0"/>
                      <w:position w:val="0"/>
                      <w:highlight w:val="none"/>
                    </w:rPr>
                    <w:t>砷、铅、镉、铬、铜、镍、锌、锰重金属含量及可浸出重金属含量进行检测，结果应满足《水泥窑协同处置固体废物技术规范》，不合格产品不得流入市场。</w:t>
                  </w:r>
                </w:p>
              </w:tc>
              <w:tc>
                <w:tcPr>
                  <w:tcW w:w="659" w:type="dxa"/>
                  <w:tcBorders>
                    <w:tl2br w:val="nil"/>
                    <w:tr2bl w:val="nil"/>
                  </w:tcBorders>
                  <w:vAlign w:val="center"/>
                </w:tcPr>
                <w:p w14:paraId="587E3575">
                  <w:pPr>
                    <w:pStyle w:val="111"/>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相符</w:t>
                  </w:r>
                </w:p>
              </w:tc>
            </w:tr>
            <w:tr w14:paraId="761CC2E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16" w:type="dxa"/>
                  <w:tcBorders>
                    <w:tl2br w:val="nil"/>
                    <w:tr2bl w:val="nil"/>
                  </w:tcBorders>
                  <w:vAlign w:val="center"/>
                </w:tcPr>
                <w:p w14:paraId="6635D5E6">
                  <w:pPr>
                    <w:pStyle w:val="111"/>
                    <w:bidi w:val="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8.2</w:t>
                  </w:r>
                </w:p>
              </w:tc>
              <w:tc>
                <w:tcPr>
                  <w:tcW w:w="3757" w:type="dxa"/>
                  <w:tcBorders>
                    <w:tl2br w:val="nil"/>
                    <w:tr2bl w:val="nil"/>
                  </w:tcBorders>
                  <w:vAlign w:val="center"/>
                </w:tcPr>
                <w:p w14:paraId="59FA3DA0">
                  <w:pPr>
                    <w:pStyle w:val="111"/>
                    <w:bidi w:val="0"/>
                    <w:rPr>
                      <w:caps w:val="0"/>
                      <w:color w:val="auto"/>
                      <w:spacing w:val="0"/>
                      <w:position w:val="0"/>
                      <w:highlight w:val="none"/>
                    </w:rPr>
                  </w:pPr>
                  <w:r>
                    <w:rPr>
                      <w:rFonts w:hint="eastAsia"/>
                      <w:caps w:val="0"/>
                      <w:color w:val="auto"/>
                      <w:spacing w:val="0"/>
                      <w:position w:val="0"/>
                      <w:highlight w:val="none"/>
                      <w:lang w:val="en-US" w:eastAsia="zh-CN"/>
                    </w:rPr>
                    <w:t>固体废物再生利用企业应在固体废物再生利用过程中，按照相关要求，定期对场所和设施周边的大气、土壤、地表水和地下水等进行采样监测，以判断固体废物再生利用过程是否对大气、土壤、地表水和地下水造成二次污染</w:t>
                  </w:r>
                </w:p>
              </w:tc>
              <w:tc>
                <w:tcPr>
                  <w:tcW w:w="2369" w:type="dxa"/>
                  <w:tcBorders>
                    <w:tl2br w:val="nil"/>
                    <w:tr2bl w:val="nil"/>
                  </w:tcBorders>
                  <w:vAlign w:val="center"/>
                </w:tcPr>
                <w:p w14:paraId="5BD31085">
                  <w:pPr>
                    <w:pStyle w:val="111"/>
                    <w:bidi w:val="0"/>
                    <w:rPr>
                      <w:caps w:val="0"/>
                      <w:color w:val="auto"/>
                      <w:spacing w:val="0"/>
                      <w:position w:val="0"/>
                      <w:highlight w:val="none"/>
                    </w:rPr>
                  </w:pPr>
                  <w:r>
                    <w:rPr>
                      <w:rFonts w:hint="eastAsia"/>
                      <w:caps w:val="0"/>
                      <w:color w:val="auto"/>
                      <w:spacing w:val="0"/>
                      <w:position w:val="0"/>
                      <w:highlight w:val="none"/>
                      <w:lang w:val="en-US" w:eastAsia="zh-CN"/>
                    </w:rPr>
                    <w:t>项目锂冶炼剩余物再生利用废气主要为粉尘，经布袋除尘、洒水降尘处理后达标排放；项目对沉淀池、初期雨水池、危废暂存间等采取重点防渗处理，定期对场所和设施周边的大气、土壤、地表水和地下水等进行采样监测，以判断固体废物再生利用过程是否对大气、土壤、地表水和地下水造成二次污染。</w:t>
                  </w:r>
                </w:p>
              </w:tc>
              <w:tc>
                <w:tcPr>
                  <w:tcW w:w="659" w:type="dxa"/>
                  <w:tcBorders>
                    <w:tl2br w:val="nil"/>
                    <w:tr2bl w:val="nil"/>
                  </w:tcBorders>
                  <w:vAlign w:val="center"/>
                </w:tcPr>
                <w:p w14:paraId="4967EFCD">
                  <w:pPr>
                    <w:pStyle w:val="111"/>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相符</w:t>
                  </w:r>
                </w:p>
              </w:tc>
            </w:tr>
          </w:tbl>
          <w:p w14:paraId="3A5BBFCB">
            <w:pPr>
              <w:pStyle w:val="74"/>
              <w:keepNext w:val="0"/>
              <w:keepLines w:val="0"/>
              <w:suppressLineNumbers w:val="0"/>
              <w:bidi w:val="0"/>
              <w:spacing w:before="0" w:beforeAutospacing="0" w:after="0" w:afterAutospacing="0"/>
              <w:ind w:left="0" w:right="0"/>
              <w:rPr>
                <w:rFonts w:hint="eastAsia"/>
                <w:b/>
                <w:bCs w:val="0"/>
                <w:caps w:val="0"/>
                <w:color w:val="auto"/>
                <w:spacing w:val="0"/>
                <w:position w:val="0"/>
                <w:highlight w:val="none"/>
                <w:lang w:val="en-US" w:eastAsia="zh-CN"/>
              </w:rPr>
            </w:pPr>
            <w:r>
              <w:rPr>
                <w:rFonts w:hint="eastAsia"/>
                <w:b/>
                <w:bCs w:val="0"/>
                <w:caps w:val="0"/>
                <w:color w:val="auto"/>
                <w:spacing w:val="0"/>
                <w:position w:val="0"/>
                <w:highlight w:val="none"/>
                <w:lang w:val="en-US" w:eastAsia="zh-CN"/>
              </w:rPr>
              <w:t>9、与《中华人民共和国固体废物污染环境防治法》相符性分析</w:t>
            </w:r>
          </w:p>
          <w:p w14:paraId="59E45408">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表1-10 与《中华人民共和国固体废物污染环境防治法》相符性分析</w:t>
            </w:r>
          </w:p>
          <w:tbl>
            <w:tblPr>
              <w:tblStyle w:val="93"/>
              <w:tblW w:w="4999"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701"/>
              <w:gridCol w:w="3396"/>
              <w:gridCol w:w="2070"/>
              <w:gridCol w:w="1126"/>
            </w:tblGrid>
            <w:tr w14:paraId="23A3C05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02" w:type="dxa"/>
                  <w:tcBorders>
                    <w:tl2br w:val="nil"/>
                    <w:tr2bl w:val="nil"/>
                  </w:tcBorders>
                  <w:vAlign w:val="center"/>
                </w:tcPr>
                <w:p w14:paraId="3628DD2B">
                  <w:pPr>
                    <w:pStyle w:val="111"/>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标号</w:t>
                  </w:r>
                </w:p>
              </w:tc>
              <w:tc>
                <w:tcPr>
                  <w:tcW w:w="3399" w:type="dxa"/>
                  <w:tcBorders>
                    <w:tl2br w:val="nil"/>
                    <w:tr2bl w:val="nil"/>
                  </w:tcBorders>
                  <w:vAlign w:val="center"/>
                </w:tcPr>
                <w:p w14:paraId="46784AA6">
                  <w:pPr>
                    <w:pStyle w:val="111"/>
                    <w:bidi w:val="0"/>
                    <w:rPr>
                      <w:caps w:val="0"/>
                      <w:color w:val="auto"/>
                      <w:spacing w:val="0"/>
                      <w:position w:val="0"/>
                      <w:highlight w:val="none"/>
                    </w:rPr>
                  </w:pPr>
                  <w:r>
                    <w:rPr>
                      <w:caps w:val="0"/>
                      <w:color w:val="auto"/>
                      <w:spacing w:val="0"/>
                      <w:position w:val="0"/>
                      <w:highlight w:val="none"/>
                    </w:rPr>
                    <w:t>要求</w:t>
                  </w:r>
                </w:p>
              </w:tc>
              <w:tc>
                <w:tcPr>
                  <w:tcW w:w="2072" w:type="dxa"/>
                  <w:tcBorders>
                    <w:tl2br w:val="nil"/>
                    <w:tr2bl w:val="nil"/>
                  </w:tcBorders>
                  <w:vAlign w:val="center"/>
                </w:tcPr>
                <w:p w14:paraId="55727370">
                  <w:pPr>
                    <w:pStyle w:val="111"/>
                    <w:bidi w:val="0"/>
                    <w:rPr>
                      <w:caps w:val="0"/>
                      <w:color w:val="auto"/>
                      <w:spacing w:val="0"/>
                      <w:position w:val="0"/>
                      <w:highlight w:val="none"/>
                    </w:rPr>
                  </w:pPr>
                  <w:r>
                    <w:rPr>
                      <w:caps w:val="0"/>
                      <w:color w:val="auto"/>
                      <w:spacing w:val="0"/>
                      <w:position w:val="0"/>
                      <w:highlight w:val="none"/>
                    </w:rPr>
                    <w:t>本项目</w:t>
                  </w:r>
                </w:p>
              </w:tc>
              <w:tc>
                <w:tcPr>
                  <w:tcW w:w="1127" w:type="dxa"/>
                  <w:tcBorders>
                    <w:tl2br w:val="nil"/>
                    <w:tr2bl w:val="nil"/>
                  </w:tcBorders>
                  <w:vAlign w:val="center"/>
                </w:tcPr>
                <w:p w14:paraId="14113DBA">
                  <w:pPr>
                    <w:pStyle w:val="111"/>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相符性</w:t>
                  </w:r>
                </w:p>
              </w:tc>
            </w:tr>
            <w:tr w14:paraId="380164B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02" w:type="dxa"/>
                  <w:tcBorders>
                    <w:tl2br w:val="nil"/>
                    <w:tr2bl w:val="nil"/>
                  </w:tcBorders>
                  <w:vAlign w:val="center"/>
                </w:tcPr>
                <w:p w14:paraId="2B07AF7E">
                  <w:pPr>
                    <w:pStyle w:val="111"/>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第四条</w:t>
                  </w:r>
                </w:p>
              </w:tc>
              <w:tc>
                <w:tcPr>
                  <w:tcW w:w="3399" w:type="dxa"/>
                  <w:tcBorders>
                    <w:tl2br w:val="nil"/>
                    <w:tr2bl w:val="nil"/>
                  </w:tcBorders>
                  <w:vAlign w:val="center"/>
                </w:tcPr>
                <w:p w14:paraId="57AB229E">
                  <w:pPr>
                    <w:pStyle w:val="111"/>
                    <w:bidi w:val="0"/>
                    <w:rPr>
                      <w:caps w:val="0"/>
                      <w:color w:val="auto"/>
                      <w:spacing w:val="0"/>
                      <w:position w:val="0"/>
                      <w:highlight w:val="none"/>
                    </w:rPr>
                  </w:pPr>
                  <w:r>
                    <w:rPr>
                      <w:caps w:val="0"/>
                      <w:color w:val="auto"/>
                      <w:spacing w:val="0"/>
                      <w:position w:val="0"/>
                      <w:highlight w:val="none"/>
                    </w:rPr>
                    <w:t>固体废物污染环境防治坚持减量化、资源化和无害化的原则。任何单位和个人都应当采取措施，减少固体废物的产生量，促进固体废物的综合利用，降低固体废物的危害性。</w:t>
                  </w:r>
                </w:p>
              </w:tc>
              <w:tc>
                <w:tcPr>
                  <w:tcW w:w="2072" w:type="dxa"/>
                  <w:tcBorders>
                    <w:tl2br w:val="nil"/>
                    <w:tr2bl w:val="nil"/>
                  </w:tcBorders>
                  <w:vAlign w:val="center"/>
                </w:tcPr>
                <w:p w14:paraId="1436D4BB">
                  <w:pPr>
                    <w:pStyle w:val="111"/>
                    <w:bidi w:val="0"/>
                    <w:rPr>
                      <w:caps w:val="0"/>
                      <w:color w:val="auto"/>
                      <w:spacing w:val="0"/>
                      <w:position w:val="0"/>
                      <w:highlight w:val="none"/>
                    </w:rPr>
                  </w:pPr>
                  <w:r>
                    <w:rPr>
                      <w:caps w:val="0"/>
                      <w:color w:val="auto"/>
                      <w:spacing w:val="0"/>
                      <w:position w:val="0"/>
                      <w:highlight w:val="none"/>
                    </w:rPr>
                    <w:t>本项目原料为</w:t>
                  </w:r>
                  <w:r>
                    <w:rPr>
                      <w:rFonts w:hint="eastAsia"/>
                      <w:caps w:val="0"/>
                      <w:color w:val="auto"/>
                      <w:spacing w:val="0"/>
                      <w:position w:val="0"/>
                      <w:highlight w:val="none"/>
                      <w:lang w:val="en-US" w:eastAsia="zh-CN"/>
                    </w:rPr>
                    <w:t>压榨尾泥</w:t>
                  </w:r>
                  <w:r>
                    <w:rPr>
                      <w:caps w:val="0"/>
                      <w:color w:val="auto"/>
                      <w:spacing w:val="0"/>
                      <w:position w:val="0"/>
                      <w:highlight w:val="none"/>
                    </w:rPr>
                    <w:t>、</w:t>
                  </w:r>
                  <w:r>
                    <w:rPr>
                      <w:rFonts w:hint="eastAsia"/>
                      <w:caps w:val="0"/>
                      <w:color w:val="auto"/>
                      <w:spacing w:val="0"/>
                      <w:position w:val="0"/>
                      <w:highlight w:val="none"/>
                    </w:rPr>
                    <w:t>锂冶炼剩余物</w:t>
                  </w:r>
                  <w:r>
                    <w:rPr>
                      <w:caps w:val="0"/>
                      <w:color w:val="auto"/>
                      <w:spacing w:val="0"/>
                      <w:position w:val="0"/>
                      <w:highlight w:val="none"/>
                    </w:rPr>
                    <w:t>等，加工后用于生产</w:t>
                  </w:r>
                  <w:r>
                    <w:rPr>
                      <w:rFonts w:hint="eastAsia"/>
                      <w:caps w:val="0"/>
                      <w:color w:val="auto"/>
                      <w:spacing w:val="0"/>
                      <w:position w:val="0"/>
                      <w:highlight w:val="none"/>
                      <w:lang w:val="en-US" w:eastAsia="zh-CN"/>
                    </w:rPr>
                    <w:t>发泡砖</w:t>
                  </w:r>
                  <w:r>
                    <w:rPr>
                      <w:caps w:val="0"/>
                      <w:color w:val="auto"/>
                      <w:spacing w:val="0"/>
                      <w:position w:val="0"/>
                      <w:highlight w:val="none"/>
                    </w:rPr>
                    <w:t>。</w:t>
                  </w:r>
                </w:p>
              </w:tc>
              <w:tc>
                <w:tcPr>
                  <w:tcW w:w="1127" w:type="dxa"/>
                  <w:tcBorders>
                    <w:tl2br w:val="nil"/>
                    <w:tr2bl w:val="nil"/>
                  </w:tcBorders>
                  <w:vAlign w:val="center"/>
                </w:tcPr>
                <w:p w14:paraId="25EFE1E9">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1D6B217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02" w:type="dxa"/>
                  <w:tcBorders>
                    <w:tl2br w:val="nil"/>
                    <w:tr2bl w:val="nil"/>
                  </w:tcBorders>
                  <w:vAlign w:val="center"/>
                </w:tcPr>
                <w:p w14:paraId="23654423">
                  <w:pPr>
                    <w:pStyle w:val="111"/>
                    <w:bidi w:val="0"/>
                    <w:rPr>
                      <w:caps w:val="0"/>
                      <w:color w:val="auto"/>
                      <w:spacing w:val="0"/>
                      <w:position w:val="0"/>
                      <w:highlight w:val="none"/>
                      <w:lang w:val="en-US" w:eastAsia="en-US"/>
                    </w:rPr>
                  </w:pPr>
                  <w:r>
                    <w:rPr>
                      <w:rFonts w:hint="eastAsia"/>
                      <w:caps w:val="0"/>
                      <w:color w:val="auto"/>
                      <w:spacing w:val="0"/>
                      <w:position w:val="0"/>
                      <w:highlight w:val="none"/>
                      <w:lang w:val="en-US" w:eastAsia="zh-CN"/>
                    </w:rPr>
                    <w:t>第十七条</w:t>
                  </w:r>
                </w:p>
              </w:tc>
              <w:tc>
                <w:tcPr>
                  <w:tcW w:w="3399" w:type="dxa"/>
                  <w:tcBorders>
                    <w:tl2br w:val="nil"/>
                    <w:tr2bl w:val="nil"/>
                  </w:tcBorders>
                  <w:vAlign w:val="center"/>
                </w:tcPr>
                <w:p w14:paraId="5381A718">
                  <w:pPr>
                    <w:pStyle w:val="111"/>
                    <w:bidi w:val="0"/>
                    <w:rPr>
                      <w:caps w:val="0"/>
                      <w:color w:val="auto"/>
                      <w:spacing w:val="0"/>
                      <w:position w:val="0"/>
                      <w:highlight w:val="none"/>
                    </w:rPr>
                  </w:pPr>
                  <w:r>
                    <w:rPr>
                      <w:caps w:val="0"/>
                      <w:color w:val="auto"/>
                      <w:spacing w:val="0"/>
                      <w:position w:val="0"/>
                      <w:highlight w:val="none"/>
                    </w:rPr>
                    <w:t>建设产生、贮存、利用、处置固体废物的项目，应当依法进行环境影响评价，并遵</w:t>
                  </w:r>
                  <w:r>
                    <w:rPr>
                      <w:caps w:val="0"/>
                      <w:color w:val="auto"/>
                      <w:spacing w:val="0"/>
                      <w:position w:val="0"/>
                      <w:highlight w:val="none"/>
                      <w:lang w:val="en-US" w:eastAsia="en-US"/>
                    </w:rPr>
                    <w:t>守国家有关建设项目环境保护管理的规定。</w:t>
                  </w:r>
                </w:p>
              </w:tc>
              <w:tc>
                <w:tcPr>
                  <w:tcW w:w="2072" w:type="dxa"/>
                  <w:tcBorders>
                    <w:tl2br w:val="nil"/>
                    <w:tr2bl w:val="nil"/>
                  </w:tcBorders>
                  <w:vAlign w:val="center"/>
                </w:tcPr>
                <w:p w14:paraId="4E61371D">
                  <w:pPr>
                    <w:pStyle w:val="111"/>
                    <w:bidi w:val="0"/>
                    <w:rPr>
                      <w:caps w:val="0"/>
                      <w:color w:val="auto"/>
                      <w:spacing w:val="0"/>
                      <w:position w:val="0"/>
                      <w:highlight w:val="none"/>
                    </w:rPr>
                  </w:pPr>
                  <w:r>
                    <w:rPr>
                      <w:rFonts w:hint="eastAsia"/>
                      <w:caps w:val="0"/>
                      <w:color w:val="auto"/>
                      <w:spacing w:val="0"/>
                      <w:position w:val="0"/>
                      <w:highlight w:val="none"/>
                      <w:lang w:val="en-US" w:eastAsia="zh-CN"/>
                    </w:rPr>
                    <w:t>本项目依法进行</w:t>
                  </w:r>
                  <w:r>
                    <w:rPr>
                      <w:caps w:val="0"/>
                      <w:color w:val="auto"/>
                      <w:spacing w:val="0"/>
                      <w:position w:val="0"/>
                      <w:highlight w:val="none"/>
                    </w:rPr>
                    <w:t>环境影响评价，遵</w:t>
                  </w:r>
                  <w:r>
                    <w:rPr>
                      <w:caps w:val="0"/>
                      <w:color w:val="auto"/>
                      <w:spacing w:val="0"/>
                      <w:position w:val="0"/>
                      <w:highlight w:val="none"/>
                      <w:lang w:val="en-US" w:eastAsia="en-US"/>
                    </w:rPr>
                    <w:t>守国家有关建设项目环境保护管理的规定。</w:t>
                  </w:r>
                </w:p>
              </w:tc>
              <w:tc>
                <w:tcPr>
                  <w:tcW w:w="1127" w:type="dxa"/>
                  <w:tcBorders>
                    <w:tl2br w:val="nil"/>
                    <w:tr2bl w:val="nil"/>
                  </w:tcBorders>
                  <w:vAlign w:val="center"/>
                </w:tcPr>
                <w:p w14:paraId="5EB072CA">
                  <w:pPr>
                    <w:pStyle w:val="111"/>
                    <w:bidi w:val="0"/>
                    <w:rPr>
                      <w:caps w:val="0"/>
                      <w:color w:val="auto"/>
                      <w:spacing w:val="0"/>
                      <w:position w:val="0"/>
                      <w:highlight w:val="none"/>
                      <w:lang w:val="en-US" w:eastAsia="en-US"/>
                    </w:rPr>
                  </w:pPr>
                  <w:r>
                    <w:rPr>
                      <w:rFonts w:hint="eastAsia"/>
                      <w:caps w:val="0"/>
                      <w:color w:val="auto"/>
                      <w:spacing w:val="0"/>
                      <w:position w:val="0"/>
                      <w:highlight w:val="none"/>
                      <w:lang w:val="en-US" w:eastAsia="zh-CN"/>
                    </w:rPr>
                    <w:t>相符</w:t>
                  </w:r>
                </w:p>
              </w:tc>
            </w:tr>
            <w:tr w14:paraId="3916DC8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02" w:type="dxa"/>
                  <w:tcBorders>
                    <w:tl2br w:val="nil"/>
                    <w:tr2bl w:val="nil"/>
                  </w:tcBorders>
                  <w:vAlign w:val="center"/>
                </w:tcPr>
                <w:p w14:paraId="31768C52">
                  <w:pPr>
                    <w:pStyle w:val="111"/>
                    <w:bidi w:val="0"/>
                    <w:rPr>
                      <w:caps w:val="0"/>
                      <w:color w:val="auto"/>
                      <w:spacing w:val="0"/>
                      <w:position w:val="0"/>
                      <w:highlight w:val="none"/>
                    </w:rPr>
                  </w:pPr>
                  <w:r>
                    <w:rPr>
                      <w:rFonts w:hint="eastAsia"/>
                      <w:caps w:val="0"/>
                      <w:color w:val="auto"/>
                      <w:spacing w:val="0"/>
                      <w:position w:val="0"/>
                      <w:highlight w:val="none"/>
                      <w:lang w:val="en-US" w:eastAsia="zh-CN"/>
                    </w:rPr>
                    <w:t>第十八条</w:t>
                  </w:r>
                </w:p>
              </w:tc>
              <w:tc>
                <w:tcPr>
                  <w:tcW w:w="3399" w:type="dxa"/>
                  <w:tcBorders>
                    <w:tl2br w:val="nil"/>
                    <w:tr2bl w:val="nil"/>
                  </w:tcBorders>
                  <w:vAlign w:val="center"/>
                </w:tcPr>
                <w:p w14:paraId="5373E097">
                  <w:pPr>
                    <w:pStyle w:val="111"/>
                    <w:bidi w:val="0"/>
                    <w:rPr>
                      <w:caps w:val="0"/>
                      <w:color w:val="auto"/>
                      <w:spacing w:val="0"/>
                      <w:position w:val="0"/>
                      <w:highlight w:val="none"/>
                    </w:rPr>
                  </w:pPr>
                  <w:r>
                    <w:rPr>
                      <w:caps w:val="0"/>
                      <w:color w:val="auto"/>
                      <w:spacing w:val="0"/>
                      <w:position w:val="0"/>
                      <w:highlight w:val="none"/>
                    </w:rPr>
                    <w:t>建设项目的环境影响评价文件确定需要配套建设的固体废物污染环境防治设施，应当与主体工程同时设计、同时施工、同时投入使用。建设项目的初步设计，应当按照环境保护设计规范的要求，将固体废物污染环境防治内容纳入环境影响评价文件，落实防治固体废物污染环境和破坏生态的措施以及固体废物污染环境防治设施投资概算。</w:t>
                  </w:r>
                </w:p>
              </w:tc>
              <w:tc>
                <w:tcPr>
                  <w:tcW w:w="2072" w:type="dxa"/>
                  <w:tcBorders>
                    <w:tl2br w:val="nil"/>
                    <w:tr2bl w:val="nil"/>
                  </w:tcBorders>
                  <w:vAlign w:val="center"/>
                </w:tcPr>
                <w:p w14:paraId="68EAE918">
                  <w:pPr>
                    <w:pStyle w:val="111"/>
                    <w:bidi w:val="0"/>
                    <w:rPr>
                      <w:caps w:val="0"/>
                      <w:color w:val="auto"/>
                      <w:spacing w:val="0"/>
                      <w:position w:val="0"/>
                      <w:highlight w:val="none"/>
                    </w:rPr>
                  </w:pPr>
                  <w:r>
                    <w:rPr>
                      <w:caps w:val="0"/>
                      <w:color w:val="auto"/>
                      <w:spacing w:val="0"/>
                      <w:position w:val="0"/>
                      <w:highlight w:val="none"/>
                    </w:rPr>
                    <w:t>本</w:t>
                  </w:r>
                  <w:r>
                    <w:rPr>
                      <w:rFonts w:hint="eastAsia"/>
                      <w:caps w:val="0"/>
                      <w:color w:val="auto"/>
                      <w:spacing w:val="0"/>
                      <w:position w:val="0"/>
                      <w:highlight w:val="none"/>
                      <w:lang w:val="en-US" w:eastAsia="zh-CN"/>
                    </w:rPr>
                    <w:t>环评已确定配套环保工程，并要求建设单位</w:t>
                  </w:r>
                  <w:r>
                    <w:rPr>
                      <w:caps w:val="0"/>
                      <w:color w:val="auto"/>
                      <w:spacing w:val="0"/>
                      <w:position w:val="0"/>
                      <w:highlight w:val="none"/>
                    </w:rPr>
                    <w:t>满足</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三同时”</w:t>
                  </w:r>
                  <w:r>
                    <w:rPr>
                      <w:caps w:val="0"/>
                      <w:color w:val="auto"/>
                      <w:spacing w:val="0"/>
                      <w:position w:val="0"/>
                      <w:highlight w:val="none"/>
                    </w:rPr>
                    <w:t>要求</w:t>
                  </w:r>
                  <w:r>
                    <w:rPr>
                      <w:rFonts w:hint="eastAsia"/>
                      <w:caps w:val="0"/>
                      <w:color w:val="auto"/>
                      <w:spacing w:val="0"/>
                      <w:position w:val="0"/>
                      <w:highlight w:val="none"/>
                      <w:lang w:eastAsia="zh-CN"/>
                    </w:rPr>
                    <w:t>。</w:t>
                  </w:r>
                </w:p>
              </w:tc>
              <w:tc>
                <w:tcPr>
                  <w:tcW w:w="1127" w:type="dxa"/>
                  <w:tcBorders>
                    <w:tl2br w:val="nil"/>
                    <w:tr2bl w:val="nil"/>
                  </w:tcBorders>
                  <w:vAlign w:val="center"/>
                </w:tcPr>
                <w:p w14:paraId="04824552">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675636E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02" w:type="dxa"/>
                  <w:tcBorders>
                    <w:tl2br w:val="nil"/>
                    <w:tr2bl w:val="nil"/>
                  </w:tcBorders>
                  <w:vAlign w:val="center"/>
                </w:tcPr>
                <w:p w14:paraId="0CF078A1">
                  <w:pPr>
                    <w:pStyle w:val="111"/>
                    <w:bidi w:val="0"/>
                    <w:rPr>
                      <w:caps w:val="0"/>
                      <w:color w:val="auto"/>
                      <w:spacing w:val="0"/>
                      <w:position w:val="0"/>
                      <w:highlight w:val="none"/>
                    </w:rPr>
                  </w:pPr>
                  <w:r>
                    <w:rPr>
                      <w:rFonts w:hint="eastAsia"/>
                      <w:caps w:val="0"/>
                      <w:color w:val="auto"/>
                      <w:spacing w:val="0"/>
                      <w:position w:val="0"/>
                      <w:highlight w:val="none"/>
                      <w:lang w:val="en-US" w:eastAsia="zh-CN"/>
                    </w:rPr>
                    <w:t>第十九条</w:t>
                  </w:r>
                </w:p>
              </w:tc>
              <w:tc>
                <w:tcPr>
                  <w:tcW w:w="3399" w:type="dxa"/>
                  <w:tcBorders>
                    <w:tl2br w:val="nil"/>
                    <w:tr2bl w:val="nil"/>
                  </w:tcBorders>
                  <w:vAlign w:val="center"/>
                </w:tcPr>
                <w:p w14:paraId="73EC1B4D">
                  <w:pPr>
                    <w:pStyle w:val="111"/>
                    <w:bidi w:val="0"/>
                    <w:rPr>
                      <w:caps w:val="0"/>
                      <w:color w:val="auto"/>
                      <w:spacing w:val="0"/>
                      <w:position w:val="0"/>
                      <w:highlight w:val="none"/>
                    </w:rPr>
                  </w:pPr>
                  <w:r>
                    <w:rPr>
                      <w:caps w:val="0"/>
                      <w:color w:val="auto"/>
                      <w:spacing w:val="0"/>
                      <w:position w:val="0"/>
                      <w:highlight w:val="none"/>
                    </w:rPr>
                    <w:t>收集、贮存、运输、利用、处置固体废物的单位和其他生产经营者，应当加强对相关设施、设备和场所的管理和维护，保证其正常运行和使用。建设单位应当依照有关法律法规的规定，对配套建设的固体废物污染环境防治设施进行验收，编制验收报告，并向社会公开。</w:t>
                  </w:r>
                </w:p>
              </w:tc>
              <w:tc>
                <w:tcPr>
                  <w:tcW w:w="2072" w:type="dxa"/>
                  <w:tcBorders>
                    <w:tl2br w:val="nil"/>
                    <w:tr2bl w:val="nil"/>
                  </w:tcBorders>
                  <w:vAlign w:val="center"/>
                </w:tcPr>
                <w:p w14:paraId="450EDD53">
                  <w:pPr>
                    <w:pStyle w:val="111"/>
                    <w:bidi w:val="0"/>
                    <w:rPr>
                      <w:caps w:val="0"/>
                      <w:color w:val="auto"/>
                      <w:spacing w:val="0"/>
                      <w:position w:val="0"/>
                      <w:highlight w:val="none"/>
                    </w:rPr>
                  </w:pPr>
                  <w:r>
                    <w:rPr>
                      <w:rFonts w:hint="eastAsia"/>
                      <w:caps w:val="0"/>
                      <w:color w:val="auto"/>
                      <w:spacing w:val="0"/>
                      <w:position w:val="0"/>
                      <w:highlight w:val="none"/>
                      <w:lang w:val="en-US" w:eastAsia="zh-CN"/>
                    </w:rPr>
                    <w:t>本环评要求建设单位</w:t>
                  </w:r>
                  <w:r>
                    <w:rPr>
                      <w:caps w:val="0"/>
                      <w:color w:val="auto"/>
                      <w:spacing w:val="0"/>
                      <w:position w:val="0"/>
                      <w:highlight w:val="none"/>
                    </w:rPr>
                    <w:t>加强对相关设施、设备和场所的管理和维护，保证其正常运行和使用。</w:t>
                  </w:r>
                </w:p>
              </w:tc>
              <w:tc>
                <w:tcPr>
                  <w:tcW w:w="1127" w:type="dxa"/>
                  <w:tcBorders>
                    <w:tl2br w:val="nil"/>
                    <w:tr2bl w:val="nil"/>
                  </w:tcBorders>
                  <w:vAlign w:val="center"/>
                </w:tcPr>
                <w:p w14:paraId="3EAB4046">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43E40C0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02" w:type="dxa"/>
                  <w:tcBorders>
                    <w:tl2br w:val="nil"/>
                    <w:tr2bl w:val="nil"/>
                  </w:tcBorders>
                  <w:vAlign w:val="center"/>
                </w:tcPr>
                <w:p w14:paraId="06A57568">
                  <w:pPr>
                    <w:pStyle w:val="111"/>
                    <w:bidi w:val="0"/>
                    <w:rPr>
                      <w:caps w:val="0"/>
                      <w:color w:val="auto"/>
                      <w:spacing w:val="0"/>
                      <w:position w:val="0"/>
                      <w:highlight w:val="none"/>
                    </w:rPr>
                  </w:pPr>
                  <w:r>
                    <w:rPr>
                      <w:rFonts w:hint="eastAsia"/>
                      <w:caps w:val="0"/>
                      <w:color w:val="auto"/>
                      <w:spacing w:val="0"/>
                      <w:position w:val="0"/>
                      <w:highlight w:val="none"/>
                      <w:lang w:val="en-US" w:eastAsia="zh-CN"/>
                    </w:rPr>
                    <w:t>第二十一条</w:t>
                  </w:r>
                </w:p>
              </w:tc>
              <w:tc>
                <w:tcPr>
                  <w:tcW w:w="3399" w:type="dxa"/>
                  <w:tcBorders>
                    <w:tl2br w:val="nil"/>
                    <w:tr2bl w:val="nil"/>
                  </w:tcBorders>
                  <w:vAlign w:val="center"/>
                </w:tcPr>
                <w:p w14:paraId="5FB4C354">
                  <w:pPr>
                    <w:pStyle w:val="111"/>
                    <w:bidi w:val="0"/>
                    <w:rPr>
                      <w:caps w:val="0"/>
                      <w:color w:val="auto"/>
                      <w:spacing w:val="0"/>
                      <w:position w:val="0"/>
                      <w:highlight w:val="none"/>
                    </w:rPr>
                  </w:pPr>
                  <w:r>
                    <w:rPr>
                      <w:caps w:val="0"/>
                      <w:color w:val="auto"/>
                      <w:spacing w:val="0"/>
                      <w:position w:val="0"/>
                      <w:highlight w:val="none"/>
                    </w:rPr>
                    <w:t>在生态保护红线区域、永久基本农田集中区域和其他需要特别保护的区域内，禁止建设工业固体废物、危险废物集中贮存、利用、处置的设施、场所和生活垃圾填埋场。</w:t>
                  </w:r>
                </w:p>
              </w:tc>
              <w:tc>
                <w:tcPr>
                  <w:tcW w:w="2072" w:type="dxa"/>
                  <w:tcBorders>
                    <w:tl2br w:val="nil"/>
                    <w:tr2bl w:val="nil"/>
                  </w:tcBorders>
                  <w:vAlign w:val="center"/>
                </w:tcPr>
                <w:p w14:paraId="054B14D3">
                  <w:pPr>
                    <w:pStyle w:val="111"/>
                    <w:bidi w:val="0"/>
                    <w:rPr>
                      <w:rFonts w:hint="eastAsia" w:eastAsia="宋体"/>
                      <w:caps w:val="0"/>
                      <w:color w:val="auto"/>
                      <w:spacing w:val="0"/>
                      <w:position w:val="0"/>
                      <w:highlight w:val="none"/>
                      <w:lang w:eastAsia="zh-CN"/>
                    </w:rPr>
                  </w:pPr>
                  <w:r>
                    <w:rPr>
                      <w:caps w:val="0"/>
                      <w:color w:val="auto"/>
                      <w:spacing w:val="0"/>
                      <w:position w:val="0"/>
                      <w:highlight w:val="none"/>
                    </w:rPr>
                    <w:t>本项目不</w:t>
                  </w:r>
                  <w:r>
                    <w:rPr>
                      <w:rFonts w:hint="eastAsia"/>
                      <w:caps w:val="0"/>
                      <w:color w:val="auto"/>
                      <w:spacing w:val="0"/>
                      <w:position w:val="0"/>
                      <w:highlight w:val="none"/>
                      <w:lang w:val="en-US" w:eastAsia="zh-CN"/>
                    </w:rPr>
                    <w:t>位于</w:t>
                  </w:r>
                  <w:r>
                    <w:rPr>
                      <w:caps w:val="0"/>
                      <w:color w:val="auto"/>
                      <w:spacing w:val="0"/>
                      <w:position w:val="0"/>
                      <w:highlight w:val="none"/>
                    </w:rPr>
                    <w:t>生态保护红线区域、永久基本农田集中区域和其他需要特别保护的区域内</w:t>
                  </w:r>
                  <w:r>
                    <w:rPr>
                      <w:rFonts w:hint="eastAsia"/>
                      <w:caps w:val="0"/>
                      <w:color w:val="auto"/>
                      <w:spacing w:val="0"/>
                      <w:position w:val="0"/>
                      <w:highlight w:val="none"/>
                      <w:lang w:eastAsia="zh-CN"/>
                    </w:rPr>
                    <w:t>。</w:t>
                  </w:r>
                </w:p>
              </w:tc>
              <w:tc>
                <w:tcPr>
                  <w:tcW w:w="1127" w:type="dxa"/>
                  <w:tcBorders>
                    <w:tl2br w:val="nil"/>
                    <w:tr2bl w:val="nil"/>
                  </w:tcBorders>
                  <w:vAlign w:val="center"/>
                </w:tcPr>
                <w:p w14:paraId="50E85B2E">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bl>
          <w:p w14:paraId="3583B8C7">
            <w:pPr>
              <w:pStyle w:val="74"/>
              <w:keepNext w:val="0"/>
              <w:keepLines w:val="0"/>
              <w:numPr>
                <w:ilvl w:val="0"/>
                <w:numId w:val="0"/>
              </w:numPr>
              <w:suppressLineNumbers w:val="0"/>
              <w:bidi w:val="0"/>
              <w:spacing w:before="0" w:beforeAutospacing="0" w:after="0" w:afterAutospacing="0"/>
              <w:ind w:left="60" w:leftChars="0" w:right="0" w:rightChars="0" w:firstLine="420" w:firstLineChars="0"/>
              <w:rPr>
                <w:rFonts w:hint="default"/>
                <w:b/>
                <w:bCs w:val="0"/>
                <w:caps w:val="0"/>
                <w:color w:val="auto"/>
                <w:spacing w:val="0"/>
                <w:position w:val="0"/>
                <w:highlight w:val="none"/>
              </w:rPr>
            </w:pPr>
            <w:r>
              <w:rPr>
                <w:rFonts w:hint="eastAsia" w:cs="Times New Roman"/>
                <w:b/>
                <w:bCs w:val="0"/>
                <w:caps w:val="0"/>
                <w:color w:val="auto"/>
                <w:spacing w:val="0"/>
                <w:kern w:val="2"/>
                <w:position w:val="0"/>
                <w:sz w:val="24"/>
                <w:szCs w:val="24"/>
                <w:highlight w:val="none"/>
                <w:lang w:val="en-US" w:eastAsia="zh-CN" w:bidi="ar-SA"/>
              </w:rPr>
              <w:t>10</w:t>
            </w:r>
            <w:r>
              <w:rPr>
                <w:rFonts w:hint="default" w:ascii="Times New Roman" w:hAnsi="Times New Roman" w:eastAsia="宋体" w:cs="Times New Roman"/>
                <w:b/>
                <w:bCs w:val="0"/>
                <w:caps w:val="0"/>
                <w:color w:val="auto"/>
                <w:spacing w:val="0"/>
                <w:kern w:val="2"/>
                <w:position w:val="0"/>
                <w:sz w:val="24"/>
                <w:szCs w:val="24"/>
                <w:highlight w:val="none"/>
                <w:lang w:val="en-US" w:eastAsia="zh-CN" w:bidi="ar-SA"/>
              </w:rPr>
              <w:t>、</w:t>
            </w:r>
            <w:r>
              <w:rPr>
                <w:rFonts w:hint="default"/>
                <w:b/>
                <w:bCs w:val="0"/>
                <w:caps w:val="0"/>
                <w:color w:val="auto"/>
                <w:spacing w:val="0"/>
                <w:position w:val="0"/>
                <w:highlight w:val="none"/>
              </w:rPr>
              <w:t>与《一般工业固体废物贮存和填埋污染控制标准》（</w:t>
            </w:r>
            <w:r>
              <w:rPr>
                <w:rFonts w:hint="default" w:ascii="Times New Roman" w:hAnsi="Times New Roman" w:eastAsia="Times New Roman" w:cs="Times New Roman"/>
                <w:b/>
                <w:bCs w:val="0"/>
                <w:caps w:val="0"/>
                <w:color w:val="auto"/>
                <w:spacing w:val="0"/>
                <w:position w:val="0"/>
                <w:highlight w:val="none"/>
              </w:rPr>
              <w:t>GB1599-2020</w:t>
            </w:r>
            <w:r>
              <w:rPr>
                <w:rFonts w:hint="default"/>
                <w:b/>
                <w:bCs w:val="0"/>
                <w:caps w:val="0"/>
                <w:color w:val="auto"/>
                <w:spacing w:val="0"/>
                <w:position w:val="0"/>
                <w:highlight w:val="none"/>
              </w:rPr>
              <w:t>）相符性分析</w:t>
            </w:r>
          </w:p>
          <w:p w14:paraId="197930C8">
            <w:pPr>
              <w:keepNext w:val="0"/>
              <w:keepLines w:val="0"/>
              <w:widowControl w:val="0"/>
              <w:suppressLineNumbers w:val="0"/>
              <w:bidi w:val="0"/>
              <w:spacing w:before="0" w:beforeAutospacing="0" w:after="0" w:afterAutospacing="0" w:line="240" w:lineRule="auto"/>
              <w:ind w:left="0" w:right="0" w:firstLine="0" w:firstLineChars="0"/>
              <w:jc w:val="center"/>
              <w:rPr>
                <w:rFonts w:hint="eastAsia" w:ascii="Times New Roman" w:hAnsi="Times New Roman" w:eastAsia="宋体" w:cs="Times New Roman"/>
                <w:b/>
                <w:bCs/>
                <w:caps w:val="0"/>
                <w:color w:val="auto"/>
                <w:spacing w:val="0"/>
                <w:kern w:val="2"/>
                <w:position w:val="0"/>
                <w:sz w:val="24"/>
                <w:szCs w:val="24"/>
                <w:highlight w:val="none"/>
                <w:lang w:val="en-US" w:eastAsia="zh-CN" w:bidi="ar-SA"/>
              </w:rPr>
            </w:pPr>
            <w:r>
              <w:rPr>
                <w:rFonts w:hint="eastAsia" w:ascii="Times New Roman" w:hAnsi="Times New Roman" w:eastAsia="宋体" w:cs="Times New Roman"/>
                <w:b/>
                <w:bCs/>
                <w:caps w:val="0"/>
                <w:color w:val="auto"/>
                <w:spacing w:val="0"/>
                <w:kern w:val="2"/>
                <w:position w:val="0"/>
                <w:sz w:val="24"/>
                <w:szCs w:val="24"/>
                <w:highlight w:val="none"/>
                <w:lang w:val="en-US" w:eastAsia="zh-CN" w:bidi="ar-SA"/>
              </w:rPr>
              <w:t>表1-1</w:t>
            </w:r>
            <w:r>
              <w:rPr>
                <w:rFonts w:hint="eastAsia" w:cs="Times New Roman"/>
                <w:b/>
                <w:bCs/>
                <w:caps w:val="0"/>
                <w:color w:val="auto"/>
                <w:spacing w:val="0"/>
                <w:kern w:val="2"/>
                <w:position w:val="0"/>
                <w:sz w:val="24"/>
                <w:szCs w:val="24"/>
                <w:highlight w:val="none"/>
                <w:lang w:val="en-US" w:eastAsia="zh-CN" w:bidi="ar-SA"/>
              </w:rPr>
              <w:t>1</w:t>
            </w:r>
            <w:r>
              <w:rPr>
                <w:rFonts w:hint="eastAsia" w:ascii="Times New Roman" w:hAnsi="Times New Roman" w:eastAsia="宋体" w:cs="Times New Roman"/>
                <w:b/>
                <w:bCs/>
                <w:caps w:val="0"/>
                <w:color w:val="auto"/>
                <w:spacing w:val="0"/>
                <w:kern w:val="2"/>
                <w:position w:val="0"/>
                <w:sz w:val="24"/>
                <w:szCs w:val="24"/>
                <w:highlight w:val="none"/>
                <w:lang w:val="en-US" w:eastAsia="zh-CN" w:bidi="ar-SA"/>
              </w:rPr>
              <w:t xml:space="preserve"> 与GB1599-2020相符性分析</w:t>
            </w:r>
          </w:p>
          <w:tbl>
            <w:tblPr>
              <w:tblStyle w:val="93"/>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384"/>
              <w:gridCol w:w="3776"/>
              <w:gridCol w:w="2667"/>
              <w:gridCol w:w="467"/>
            </w:tblGrid>
            <w:tr w14:paraId="45CEE97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05" w:hRule="atLeast"/>
                <w:jc w:val="center"/>
              </w:trPr>
              <w:tc>
                <w:tcPr>
                  <w:tcW w:w="384" w:type="dxa"/>
                  <w:tcBorders>
                    <w:tl2br w:val="nil"/>
                    <w:tr2bl w:val="nil"/>
                  </w:tcBorders>
                  <w:vAlign w:val="center"/>
                </w:tcPr>
                <w:p w14:paraId="233CBCB7">
                  <w:pPr>
                    <w:pStyle w:val="111"/>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序号</w:t>
                  </w:r>
                </w:p>
              </w:tc>
              <w:tc>
                <w:tcPr>
                  <w:tcW w:w="3780" w:type="dxa"/>
                  <w:tcBorders>
                    <w:tl2br w:val="nil"/>
                    <w:tr2bl w:val="nil"/>
                  </w:tcBorders>
                  <w:vAlign w:val="center"/>
                </w:tcPr>
                <w:p w14:paraId="7CBC5F18">
                  <w:pPr>
                    <w:pStyle w:val="111"/>
                    <w:bidi w:val="0"/>
                    <w:rPr>
                      <w:caps w:val="0"/>
                      <w:color w:val="auto"/>
                      <w:spacing w:val="0"/>
                      <w:position w:val="0"/>
                      <w:highlight w:val="none"/>
                    </w:rPr>
                  </w:pPr>
                  <w:r>
                    <w:rPr>
                      <w:caps w:val="0"/>
                      <w:color w:val="auto"/>
                      <w:spacing w:val="0"/>
                      <w:position w:val="0"/>
                      <w:highlight w:val="none"/>
                    </w:rPr>
                    <w:t>要求</w:t>
                  </w:r>
                </w:p>
              </w:tc>
              <w:tc>
                <w:tcPr>
                  <w:tcW w:w="2670" w:type="dxa"/>
                  <w:tcBorders>
                    <w:tl2br w:val="nil"/>
                    <w:tr2bl w:val="nil"/>
                  </w:tcBorders>
                  <w:vAlign w:val="center"/>
                </w:tcPr>
                <w:p w14:paraId="06EF3C20">
                  <w:pPr>
                    <w:pStyle w:val="111"/>
                    <w:bidi w:val="0"/>
                    <w:rPr>
                      <w:caps w:val="0"/>
                      <w:color w:val="auto"/>
                      <w:spacing w:val="0"/>
                      <w:position w:val="0"/>
                      <w:highlight w:val="none"/>
                    </w:rPr>
                  </w:pPr>
                  <w:r>
                    <w:rPr>
                      <w:caps w:val="0"/>
                      <w:color w:val="auto"/>
                      <w:spacing w:val="0"/>
                      <w:position w:val="0"/>
                      <w:highlight w:val="none"/>
                    </w:rPr>
                    <w:t>本项目情况</w:t>
                  </w:r>
                </w:p>
              </w:tc>
              <w:tc>
                <w:tcPr>
                  <w:tcW w:w="467" w:type="dxa"/>
                  <w:tcBorders>
                    <w:tl2br w:val="nil"/>
                    <w:tr2bl w:val="nil"/>
                  </w:tcBorders>
                  <w:vAlign w:val="center"/>
                </w:tcPr>
                <w:p w14:paraId="08049C15">
                  <w:pPr>
                    <w:pStyle w:val="111"/>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相符性</w:t>
                  </w:r>
                </w:p>
              </w:tc>
            </w:tr>
            <w:tr w14:paraId="446F711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444" w:hRule="atLeast"/>
                <w:jc w:val="center"/>
              </w:trPr>
              <w:tc>
                <w:tcPr>
                  <w:tcW w:w="384" w:type="dxa"/>
                  <w:tcBorders>
                    <w:tl2br w:val="nil"/>
                    <w:tr2bl w:val="nil"/>
                  </w:tcBorders>
                  <w:vAlign w:val="center"/>
                </w:tcPr>
                <w:p w14:paraId="20A90A0D">
                  <w:pPr>
                    <w:pStyle w:val="111"/>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1</w:t>
                  </w:r>
                </w:p>
              </w:tc>
              <w:tc>
                <w:tcPr>
                  <w:tcW w:w="3780" w:type="dxa"/>
                  <w:tcBorders>
                    <w:tl2br w:val="nil"/>
                    <w:tr2bl w:val="nil"/>
                  </w:tcBorders>
                  <w:vAlign w:val="center"/>
                </w:tcPr>
                <w:p w14:paraId="5123AAC4">
                  <w:pPr>
                    <w:pStyle w:val="111"/>
                    <w:bidi w:val="0"/>
                    <w:rPr>
                      <w:caps w:val="0"/>
                      <w:color w:val="auto"/>
                      <w:spacing w:val="0"/>
                      <w:position w:val="0"/>
                      <w:highlight w:val="none"/>
                    </w:rPr>
                  </w:pPr>
                  <w:r>
                    <w:rPr>
                      <w:caps w:val="0"/>
                      <w:color w:val="auto"/>
                      <w:spacing w:val="0"/>
                      <w:position w:val="0"/>
                      <w:highlight w:val="none"/>
                    </w:rPr>
                    <w:t>一般工业固体废物贮存场、填埋场的选址应符合环境保护法律法规及相关法定规划要求。</w:t>
                  </w:r>
                </w:p>
              </w:tc>
              <w:tc>
                <w:tcPr>
                  <w:tcW w:w="2670" w:type="dxa"/>
                  <w:tcBorders>
                    <w:tl2br w:val="nil"/>
                    <w:tr2bl w:val="nil"/>
                  </w:tcBorders>
                  <w:vAlign w:val="center"/>
                </w:tcPr>
                <w:p w14:paraId="0E417333">
                  <w:pPr>
                    <w:pStyle w:val="111"/>
                    <w:bidi w:val="0"/>
                    <w:rPr>
                      <w:caps w:val="0"/>
                      <w:color w:val="auto"/>
                      <w:spacing w:val="0"/>
                      <w:position w:val="0"/>
                      <w:highlight w:val="none"/>
                    </w:rPr>
                  </w:pPr>
                  <w:r>
                    <w:rPr>
                      <w:caps w:val="0"/>
                      <w:color w:val="auto"/>
                      <w:spacing w:val="0"/>
                      <w:position w:val="0"/>
                      <w:highlight w:val="none"/>
                    </w:rPr>
                    <w:t>本项目的原料与产生的一般废物贮存场选址符合环境保护法律法规及相关法定规划要求。</w:t>
                  </w:r>
                </w:p>
              </w:tc>
              <w:tc>
                <w:tcPr>
                  <w:tcW w:w="467" w:type="dxa"/>
                  <w:tcBorders>
                    <w:tl2br w:val="nil"/>
                    <w:tr2bl w:val="nil"/>
                  </w:tcBorders>
                  <w:vAlign w:val="center"/>
                </w:tcPr>
                <w:p w14:paraId="2544F5B0">
                  <w:pPr>
                    <w:pStyle w:val="111"/>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相符</w:t>
                  </w:r>
                </w:p>
              </w:tc>
            </w:tr>
            <w:tr w14:paraId="4C3BD9F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728" w:hRule="atLeast"/>
                <w:jc w:val="center"/>
              </w:trPr>
              <w:tc>
                <w:tcPr>
                  <w:tcW w:w="384" w:type="dxa"/>
                  <w:tcBorders>
                    <w:tl2br w:val="nil"/>
                    <w:tr2bl w:val="nil"/>
                  </w:tcBorders>
                  <w:vAlign w:val="center"/>
                </w:tcPr>
                <w:p w14:paraId="25567FDD">
                  <w:pPr>
                    <w:pStyle w:val="111"/>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2</w:t>
                  </w:r>
                </w:p>
              </w:tc>
              <w:tc>
                <w:tcPr>
                  <w:tcW w:w="3780" w:type="dxa"/>
                  <w:tcBorders>
                    <w:tl2br w:val="nil"/>
                    <w:tr2bl w:val="nil"/>
                  </w:tcBorders>
                  <w:vAlign w:val="center"/>
                </w:tcPr>
                <w:p w14:paraId="1C92527B">
                  <w:pPr>
                    <w:pStyle w:val="111"/>
                    <w:bidi w:val="0"/>
                    <w:rPr>
                      <w:caps w:val="0"/>
                      <w:color w:val="auto"/>
                      <w:spacing w:val="0"/>
                      <w:position w:val="0"/>
                      <w:highlight w:val="none"/>
                    </w:rPr>
                  </w:pPr>
                  <w:r>
                    <w:rPr>
                      <w:caps w:val="0"/>
                      <w:color w:val="auto"/>
                      <w:spacing w:val="0"/>
                      <w:position w:val="0"/>
                      <w:highlight w:val="none"/>
                    </w:rPr>
                    <w:t>贮存场、填埋场的位置与周围居民区的距离应依据环境影响评价文件及审批意见确定。</w:t>
                  </w:r>
                </w:p>
              </w:tc>
              <w:tc>
                <w:tcPr>
                  <w:tcW w:w="2670" w:type="dxa"/>
                  <w:tcBorders>
                    <w:tl2br w:val="nil"/>
                    <w:tr2bl w:val="nil"/>
                  </w:tcBorders>
                  <w:vAlign w:val="center"/>
                </w:tcPr>
                <w:p w14:paraId="485E29E3">
                  <w:pPr>
                    <w:pStyle w:val="111"/>
                    <w:bidi w:val="0"/>
                    <w:rPr>
                      <w:caps w:val="0"/>
                      <w:color w:val="auto"/>
                      <w:spacing w:val="0"/>
                      <w:position w:val="0"/>
                      <w:highlight w:val="none"/>
                    </w:rPr>
                  </w:pPr>
                  <w:r>
                    <w:rPr>
                      <w:caps w:val="0"/>
                      <w:color w:val="auto"/>
                      <w:spacing w:val="0"/>
                      <w:position w:val="0"/>
                      <w:highlight w:val="none"/>
                    </w:rPr>
                    <w:t>本项目位于</w:t>
                  </w:r>
                  <w:r>
                    <w:rPr>
                      <w:rFonts w:hint="eastAsia"/>
                      <w:caps w:val="0"/>
                      <w:color w:val="auto"/>
                      <w:spacing w:val="0"/>
                      <w:position w:val="0"/>
                      <w:highlight w:val="none"/>
                      <w:lang w:val="en-US" w:eastAsia="zh-CN"/>
                    </w:rPr>
                    <w:t>高安市建山镇</w:t>
                  </w:r>
                  <w:r>
                    <w:rPr>
                      <w:caps w:val="0"/>
                      <w:color w:val="auto"/>
                      <w:spacing w:val="0"/>
                      <w:position w:val="0"/>
                      <w:highlight w:val="none"/>
                    </w:rPr>
                    <w:t>，</w:t>
                  </w:r>
                  <w:r>
                    <w:rPr>
                      <w:rFonts w:hint="eastAsia"/>
                      <w:caps w:val="0"/>
                      <w:color w:val="auto"/>
                      <w:spacing w:val="0"/>
                      <w:position w:val="0"/>
                      <w:highlight w:val="none"/>
                      <w:lang w:val="en-US" w:eastAsia="zh-CN"/>
                    </w:rPr>
                    <w:t>已</w:t>
                  </w:r>
                  <w:r>
                    <w:rPr>
                      <w:caps w:val="0"/>
                      <w:color w:val="auto"/>
                      <w:spacing w:val="0"/>
                      <w:position w:val="0"/>
                      <w:highlight w:val="none"/>
                    </w:rPr>
                    <w:t>设置卫生防护距离，防护距离内无敏感目标。</w:t>
                  </w:r>
                </w:p>
              </w:tc>
              <w:tc>
                <w:tcPr>
                  <w:tcW w:w="467" w:type="dxa"/>
                  <w:tcBorders>
                    <w:tl2br w:val="nil"/>
                    <w:tr2bl w:val="nil"/>
                  </w:tcBorders>
                  <w:vAlign w:val="center"/>
                </w:tcPr>
                <w:p w14:paraId="61E1DBA1">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6534A39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444" w:hRule="atLeast"/>
                <w:jc w:val="center"/>
              </w:trPr>
              <w:tc>
                <w:tcPr>
                  <w:tcW w:w="384" w:type="dxa"/>
                  <w:tcBorders>
                    <w:tl2br w:val="nil"/>
                    <w:tr2bl w:val="nil"/>
                  </w:tcBorders>
                  <w:vAlign w:val="center"/>
                </w:tcPr>
                <w:p w14:paraId="2A3BB258">
                  <w:pPr>
                    <w:pStyle w:val="111"/>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3</w:t>
                  </w:r>
                </w:p>
              </w:tc>
              <w:tc>
                <w:tcPr>
                  <w:tcW w:w="3780" w:type="dxa"/>
                  <w:tcBorders>
                    <w:tl2br w:val="nil"/>
                    <w:tr2bl w:val="nil"/>
                  </w:tcBorders>
                  <w:vAlign w:val="center"/>
                </w:tcPr>
                <w:p w14:paraId="553C671C">
                  <w:pPr>
                    <w:pStyle w:val="111"/>
                    <w:bidi w:val="0"/>
                    <w:rPr>
                      <w:caps w:val="0"/>
                      <w:color w:val="auto"/>
                      <w:spacing w:val="0"/>
                      <w:position w:val="0"/>
                      <w:highlight w:val="none"/>
                    </w:rPr>
                  </w:pPr>
                  <w:r>
                    <w:rPr>
                      <w:caps w:val="0"/>
                      <w:color w:val="auto"/>
                      <w:spacing w:val="0"/>
                      <w:position w:val="0"/>
                      <w:highlight w:val="none"/>
                    </w:rPr>
                    <w:t>贮存场、填埋场不得选在生态保护红线区域、永久基本农田集中区域和其他需要特别保护的区域内。</w:t>
                  </w:r>
                </w:p>
              </w:tc>
              <w:tc>
                <w:tcPr>
                  <w:tcW w:w="2670" w:type="dxa"/>
                  <w:tcBorders>
                    <w:tl2br w:val="nil"/>
                    <w:tr2bl w:val="nil"/>
                  </w:tcBorders>
                  <w:vAlign w:val="center"/>
                </w:tcPr>
                <w:p w14:paraId="618FA1FE">
                  <w:pPr>
                    <w:pStyle w:val="111"/>
                    <w:bidi w:val="0"/>
                    <w:rPr>
                      <w:rFonts w:hint="eastAsia" w:eastAsia="宋体"/>
                      <w:caps w:val="0"/>
                      <w:color w:val="auto"/>
                      <w:spacing w:val="0"/>
                      <w:position w:val="0"/>
                      <w:highlight w:val="none"/>
                      <w:lang w:val="en-US" w:eastAsia="zh-CN"/>
                    </w:rPr>
                  </w:pPr>
                  <w:r>
                    <w:rPr>
                      <w:caps w:val="0"/>
                      <w:color w:val="auto"/>
                      <w:spacing w:val="0"/>
                      <w:position w:val="0"/>
                      <w:highlight w:val="none"/>
                    </w:rPr>
                    <w:t>本项目位于</w:t>
                  </w:r>
                  <w:r>
                    <w:rPr>
                      <w:rFonts w:hint="eastAsia"/>
                      <w:caps w:val="0"/>
                      <w:color w:val="auto"/>
                      <w:spacing w:val="0"/>
                      <w:position w:val="0"/>
                      <w:highlight w:val="none"/>
                      <w:lang w:eastAsia="zh-CN"/>
                    </w:rPr>
                    <w:t>高安市建山镇</w:t>
                  </w:r>
                  <w:r>
                    <w:rPr>
                      <w:rFonts w:hint="eastAsia"/>
                      <w:caps w:val="0"/>
                      <w:color w:val="auto"/>
                      <w:spacing w:val="0"/>
                      <w:position w:val="0"/>
                      <w:highlight w:val="none"/>
                      <w:lang w:val="en-US" w:eastAsia="zh-CN"/>
                    </w:rPr>
                    <w:t>现有建设用地</w:t>
                  </w:r>
                  <w:r>
                    <w:rPr>
                      <w:caps w:val="0"/>
                      <w:color w:val="auto"/>
                      <w:spacing w:val="0"/>
                      <w:position w:val="0"/>
                      <w:highlight w:val="none"/>
                    </w:rPr>
                    <w:t>，</w:t>
                  </w:r>
                  <w:r>
                    <w:rPr>
                      <w:rFonts w:hint="eastAsia"/>
                      <w:caps w:val="0"/>
                      <w:color w:val="auto"/>
                      <w:spacing w:val="0"/>
                      <w:position w:val="0"/>
                      <w:highlight w:val="none"/>
                      <w:lang w:val="en-US" w:eastAsia="zh-CN"/>
                    </w:rPr>
                    <w:t>不位于</w:t>
                  </w:r>
                  <w:r>
                    <w:rPr>
                      <w:caps w:val="0"/>
                      <w:color w:val="auto"/>
                      <w:spacing w:val="0"/>
                      <w:position w:val="0"/>
                      <w:highlight w:val="none"/>
                    </w:rPr>
                    <w:t>生态红线内</w:t>
                  </w:r>
                  <w:r>
                    <w:rPr>
                      <w:rFonts w:hint="eastAsia"/>
                      <w:caps w:val="0"/>
                      <w:color w:val="auto"/>
                      <w:spacing w:val="0"/>
                      <w:position w:val="0"/>
                      <w:highlight w:val="none"/>
                      <w:lang w:eastAsia="zh-CN"/>
                    </w:rPr>
                    <w:t>、</w:t>
                  </w:r>
                  <w:r>
                    <w:rPr>
                      <w:caps w:val="0"/>
                      <w:color w:val="auto"/>
                      <w:spacing w:val="0"/>
                      <w:position w:val="0"/>
                      <w:highlight w:val="none"/>
                    </w:rPr>
                    <w:t>永久基本农田集中区域和其他需要特别保护的区域内</w:t>
                  </w:r>
                  <w:r>
                    <w:rPr>
                      <w:rFonts w:hint="eastAsia"/>
                      <w:caps w:val="0"/>
                      <w:color w:val="auto"/>
                      <w:spacing w:val="0"/>
                      <w:position w:val="0"/>
                      <w:highlight w:val="none"/>
                      <w:lang w:eastAsia="zh-CN"/>
                    </w:rPr>
                    <w:t>。</w:t>
                  </w:r>
                </w:p>
              </w:tc>
              <w:tc>
                <w:tcPr>
                  <w:tcW w:w="467" w:type="dxa"/>
                  <w:tcBorders>
                    <w:tl2br w:val="nil"/>
                    <w:tr2bl w:val="nil"/>
                  </w:tcBorders>
                  <w:vAlign w:val="center"/>
                </w:tcPr>
                <w:p w14:paraId="72629CC9">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3B2F2D8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804" w:hRule="atLeast"/>
                <w:jc w:val="center"/>
              </w:trPr>
              <w:tc>
                <w:tcPr>
                  <w:tcW w:w="384" w:type="dxa"/>
                  <w:tcBorders>
                    <w:tl2br w:val="nil"/>
                    <w:tr2bl w:val="nil"/>
                  </w:tcBorders>
                  <w:vAlign w:val="center"/>
                </w:tcPr>
                <w:p w14:paraId="2EA72105">
                  <w:pPr>
                    <w:pStyle w:val="111"/>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4</w:t>
                  </w:r>
                </w:p>
              </w:tc>
              <w:tc>
                <w:tcPr>
                  <w:tcW w:w="3780" w:type="dxa"/>
                  <w:tcBorders>
                    <w:tl2br w:val="nil"/>
                    <w:tr2bl w:val="nil"/>
                  </w:tcBorders>
                  <w:vAlign w:val="center"/>
                </w:tcPr>
                <w:p w14:paraId="4A153906">
                  <w:pPr>
                    <w:pStyle w:val="111"/>
                    <w:bidi w:val="0"/>
                    <w:rPr>
                      <w:caps w:val="0"/>
                      <w:color w:val="auto"/>
                      <w:spacing w:val="0"/>
                      <w:position w:val="0"/>
                      <w:highlight w:val="none"/>
                    </w:rPr>
                  </w:pPr>
                  <w:r>
                    <w:rPr>
                      <w:caps w:val="0"/>
                      <w:color w:val="auto"/>
                      <w:spacing w:val="0"/>
                      <w:position w:val="0"/>
                      <w:highlight w:val="none"/>
                    </w:rPr>
                    <w:t>贮存场、填埋场应避开活动断层、溶洞区、天然滑坡或泥石流影响区以及湿地等区域。</w:t>
                  </w:r>
                </w:p>
              </w:tc>
              <w:tc>
                <w:tcPr>
                  <w:tcW w:w="2670" w:type="dxa"/>
                  <w:tcBorders>
                    <w:tl2br w:val="nil"/>
                    <w:tr2bl w:val="nil"/>
                  </w:tcBorders>
                  <w:vAlign w:val="center"/>
                </w:tcPr>
                <w:p w14:paraId="523AF659">
                  <w:pPr>
                    <w:pStyle w:val="111"/>
                    <w:bidi w:val="0"/>
                    <w:rPr>
                      <w:rFonts w:hint="eastAsia"/>
                      <w:caps w:val="0"/>
                      <w:color w:val="auto"/>
                      <w:spacing w:val="0"/>
                      <w:position w:val="0"/>
                      <w:highlight w:val="none"/>
                      <w:lang w:eastAsia="zh-CN"/>
                    </w:rPr>
                  </w:pPr>
                  <w:r>
                    <w:rPr>
                      <w:caps w:val="0"/>
                      <w:color w:val="auto"/>
                      <w:spacing w:val="0"/>
                      <w:position w:val="0"/>
                      <w:highlight w:val="none"/>
                    </w:rPr>
                    <w:t>本项目位于</w:t>
                  </w:r>
                  <w:r>
                    <w:rPr>
                      <w:rFonts w:hint="eastAsia"/>
                      <w:caps w:val="0"/>
                      <w:color w:val="auto"/>
                      <w:spacing w:val="0"/>
                      <w:position w:val="0"/>
                      <w:highlight w:val="none"/>
                      <w:lang w:eastAsia="zh-CN"/>
                    </w:rPr>
                    <w:t>高安市建山镇</w:t>
                  </w:r>
                  <w:r>
                    <w:rPr>
                      <w:caps w:val="0"/>
                      <w:color w:val="auto"/>
                      <w:spacing w:val="0"/>
                      <w:position w:val="0"/>
                      <w:highlight w:val="none"/>
                    </w:rPr>
                    <w:t>，已避开活动断层、溶洞区、天然滑坡或泥石流影响区以及湿地等区域</w:t>
                  </w:r>
                  <w:r>
                    <w:rPr>
                      <w:rFonts w:hint="eastAsia"/>
                      <w:caps w:val="0"/>
                      <w:color w:val="auto"/>
                      <w:spacing w:val="0"/>
                      <w:position w:val="0"/>
                      <w:highlight w:val="none"/>
                      <w:lang w:eastAsia="zh-CN"/>
                    </w:rPr>
                    <w:t>。</w:t>
                  </w:r>
                </w:p>
              </w:tc>
              <w:tc>
                <w:tcPr>
                  <w:tcW w:w="467" w:type="dxa"/>
                  <w:tcBorders>
                    <w:tl2br w:val="nil"/>
                    <w:tr2bl w:val="nil"/>
                  </w:tcBorders>
                  <w:vAlign w:val="center"/>
                </w:tcPr>
                <w:p w14:paraId="23AE6206">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3399C30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804" w:hRule="atLeast"/>
                <w:jc w:val="center"/>
              </w:trPr>
              <w:tc>
                <w:tcPr>
                  <w:tcW w:w="384" w:type="dxa"/>
                  <w:tcBorders>
                    <w:tl2br w:val="nil"/>
                    <w:tr2bl w:val="nil"/>
                  </w:tcBorders>
                  <w:vAlign w:val="center"/>
                </w:tcPr>
                <w:p w14:paraId="02F0E674">
                  <w:pPr>
                    <w:pStyle w:val="111"/>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5</w:t>
                  </w:r>
                </w:p>
              </w:tc>
              <w:tc>
                <w:tcPr>
                  <w:tcW w:w="3780" w:type="dxa"/>
                  <w:tcBorders>
                    <w:tl2br w:val="nil"/>
                    <w:tr2bl w:val="nil"/>
                  </w:tcBorders>
                  <w:vAlign w:val="center"/>
                </w:tcPr>
                <w:p w14:paraId="38712F85">
                  <w:pPr>
                    <w:pStyle w:val="111"/>
                    <w:bidi w:val="0"/>
                    <w:rPr>
                      <w:caps w:val="0"/>
                      <w:color w:val="auto"/>
                      <w:spacing w:val="0"/>
                      <w:position w:val="0"/>
                      <w:highlight w:val="none"/>
                    </w:rPr>
                  </w:pPr>
                  <w:r>
                    <w:rPr>
                      <w:caps w:val="0"/>
                      <w:color w:val="auto"/>
                      <w:spacing w:val="0"/>
                      <w:position w:val="0"/>
                      <w:highlight w:val="none"/>
                    </w:rPr>
                    <w:t>贮存场、填埋场不得选在江河、湖泊、运河、渠道、水库最高水位线以下的滩地和岸坡，以及国家和地方长远规划中的水库等人工蓄水设施的淹没区和保护区之内。</w:t>
                  </w:r>
                </w:p>
              </w:tc>
              <w:tc>
                <w:tcPr>
                  <w:tcW w:w="2670" w:type="dxa"/>
                  <w:tcBorders>
                    <w:tl2br w:val="nil"/>
                    <w:tr2bl w:val="nil"/>
                  </w:tcBorders>
                  <w:vAlign w:val="center"/>
                </w:tcPr>
                <w:p w14:paraId="287DBFC2">
                  <w:pPr>
                    <w:pStyle w:val="111"/>
                    <w:bidi w:val="0"/>
                    <w:rPr>
                      <w:caps w:val="0"/>
                      <w:color w:val="auto"/>
                      <w:spacing w:val="0"/>
                      <w:position w:val="0"/>
                      <w:highlight w:val="none"/>
                    </w:rPr>
                  </w:pPr>
                  <w:r>
                    <w:rPr>
                      <w:caps w:val="0"/>
                      <w:color w:val="auto"/>
                      <w:spacing w:val="0"/>
                      <w:position w:val="0"/>
                      <w:highlight w:val="none"/>
                    </w:rPr>
                    <w:t>本项目位于</w:t>
                  </w:r>
                  <w:r>
                    <w:rPr>
                      <w:rFonts w:hint="eastAsia"/>
                      <w:caps w:val="0"/>
                      <w:color w:val="auto"/>
                      <w:spacing w:val="0"/>
                      <w:position w:val="0"/>
                      <w:highlight w:val="none"/>
                      <w:lang w:eastAsia="zh-CN"/>
                    </w:rPr>
                    <w:t>高安市建山镇</w:t>
                  </w:r>
                  <w:r>
                    <w:rPr>
                      <w:rFonts w:hint="eastAsia"/>
                      <w:caps w:val="0"/>
                      <w:color w:val="auto"/>
                      <w:spacing w:val="0"/>
                      <w:position w:val="0"/>
                      <w:highlight w:val="none"/>
                      <w:lang w:val="en-US" w:eastAsia="zh-CN"/>
                    </w:rPr>
                    <w:t>现有建设用地</w:t>
                  </w:r>
                  <w:r>
                    <w:rPr>
                      <w:caps w:val="0"/>
                      <w:color w:val="auto"/>
                      <w:spacing w:val="0"/>
                      <w:position w:val="0"/>
                      <w:highlight w:val="none"/>
                    </w:rPr>
                    <w:t>，</w:t>
                  </w:r>
                  <w:r>
                    <w:rPr>
                      <w:rFonts w:hint="eastAsia"/>
                      <w:caps w:val="0"/>
                      <w:color w:val="auto"/>
                      <w:spacing w:val="0"/>
                      <w:position w:val="0"/>
                      <w:highlight w:val="none"/>
                      <w:lang w:val="en-US" w:eastAsia="zh-CN"/>
                    </w:rPr>
                    <w:t>不位于</w:t>
                  </w:r>
                  <w:r>
                    <w:rPr>
                      <w:caps w:val="0"/>
                      <w:color w:val="auto"/>
                      <w:spacing w:val="0"/>
                      <w:position w:val="0"/>
                      <w:highlight w:val="none"/>
                    </w:rPr>
                    <w:t>江河、湖泊、运河、渠道、水库最高水位线以下的滩地和岸坡，以及国家和地方长远规划中的水库等人工蓄水设施的淹没区和保护区之内。</w:t>
                  </w:r>
                </w:p>
              </w:tc>
              <w:tc>
                <w:tcPr>
                  <w:tcW w:w="467" w:type="dxa"/>
                  <w:tcBorders>
                    <w:tl2br w:val="nil"/>
                    <w:tr2bl w:val="nil"/>
                  </w:tcBorders>
                  <w:vAlign w:val="center"/>
                </w:tcPr>
                <w:p w14:paraId="46E4DEA1">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3CD2DE5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085" w:hRule="atLeast"/>
                <w:jc w:val="center"/>
              </w:trPr>
              <w:tc>
                <w:tcPr>
                  <w:tcW w:w="384" w:type="dxa"/>
                  <w:tcBorders>
                    <w:tl2br w:val="nil"/>
                    <w:tr2bl w:val="nil"/>
                  </w:tcBorders>
                  <w:vAlign w:val="center"/>
                </w:tcPr>
                <w:p w14:paraId="6F8A347E">
                  <w:pPr>
                    <w:pStyle w:val="111"/>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6</w:t>
                  </w:r>
                </w:p>
              </w:tc>
              <w:tc>
                <w:tcPr>
                  <w:tcW w:w="3780" w:type="dxa"/>
                  <w:tcBorders>
                    <w:tl2br w:val="nil"/>
                    <w:tr2bl w:val="nil"/>
                  </w:tcBorders>
                  <w:vAlign w:val="center"/>
                </w:tcPr>
                <w:p w14:paraId="2150DEAB">
                  <w:pPr>
                    <w:pStyle w:val="111"/>
                    <w:bidi w:val="0"/>
                    <w:rPr>
                      <w:caps w:val="0"/>
                      <w:color w:val="auto"/>
                      <w:spacing w:val="0"/>
                      <w:position w:val="0"/>
                      <w:highlight w:val="none"/>
                    </w:rPr>
                  </w:pPr>
                  <w:r>
                    <w:rPr>
                      <w:caps w:val="0"/>
                      <w:color w:val="auto"/>
                      <w:spacing w:val="0"/>
                      <w:position w:val="0"/>
                      <w:highlight w:val="none"/>
                    </w:rPr>
                    <w:t>不相容的一般工业固体废物应设置不同的分区进行贮存和填埋作业。</w:t>
                  </w:r>
                </w:p>
              </w:tc>
              <w:tc>
                <w:tcPr>
                  <w:tcW w:w="2670" w:type="dxa"/>
                  <w:tcBorders>
                    <w:tl2br w:val="nil"/>
                    <w:tr2bl w:val="nil"/>
                  </w:tcBorders>
                  <w:vAlign w:val="center"/>
                </w:tcPr>
                <w:p w14:paraId="20BB77DA">
                  <w:pPr>
                    <w:pStyle w:val="111"/>
                    <w:bidi w:val="0"/>
                    <w:rPr>
                      <w:caps w:val="0"/>
                      <w:color w:val="auto"/>
                      <w:spacing w:val="0"/>
                      <w:position w:val="0"/>
                      <w:highlight w:val="none"/>
                    </w:rPr>
                  </w:pPr>
                  <w:r>
                    <w:rPr>
                      <w:caps w:val="0"/>
                      <w:color w:val="auto"/>
                      <w:spacing w:val="0"/>
                      <w:position w:val="0"/>
                      <w:highlight w:val="none"/>
                    </w:rPr>
                    <w:t>本项目一般固废分区储存。</w:t>
                  </w:r>
                </w:p>
              </w:tc>
              <w:tc>
                <w:tcPr>
                  <w:tcW w:w="467" w:type="dxa"/>
                  <w:tcBorders>
                    <w:tl2br w:val="nil"/>
                    <w:tr2bl w:val="nil"/>
                  </w:tcBorders>
                  <w:vAlign w:val="center"/>
                </w:tcPr>
                <w:p w14:paraId="338746B1">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080A96C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085" w:hRule="atLeast"/>
                <w:jc w:val="center"/>
              </w:trPr>
              <w:tc>
                <w:tcPr>
                  <w:tcW w:w="384" w:type="dxa"/>
                  <w:tcBorders>
                    <w:tl2br w:val="nil"/>
                    <w:tr2bl w:val="nil"/>
                  </w:tcBorders>
                  <w:vAlign w:val="center"/>
                </w:tcPr>
                <w:p w14:paraId="772005FE">
                  <w:pPr>
                    <w:pStyle w:val="111"/>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7</w:t>
                  </w:r>
                </w:p>
              </w:tc>
              <w:tc>
                <w:tcPr>
                  <w:tcW w:w="3780" w:type="dxa"/>
                  <w:tcBorders>
                    <w:tl2br w:val="nil"/>
                    <w:tr2bl w:val="nil"/>
                  </w:tcBorders>
                  <w:vAlign w:val="center"/>
                </w:tcPr>
                <w:p w14:paraId="023D3797">
                  <w:pPr>
                    <w:pStyle w:val="111"/>
                    <w:bidi w:val="0"/>
                    <w:rPr>
                      <w:caps w:val="0"/>
                      <w:color w:val="auto"/>
                      <w:spacing w:val="0"/>
                      <w:position w:val="0"/>
                      <w:highlight w:val="none"/>
                    </w:rPr>
                  </w:pPr>
                  <w:r>
                    <w:rPr>
                      <w:caps w:val="0"/>
                      <w:color w:val="auto"/>
                      <w:spacing w:val="0"/>
                      <w:position w:val="0"/>
                      <w:highlight w:val="none"/>
                    </w:rPr>
                    <w:t>贮存场、填埋场应制定运行计划，运行管理人员应定期参加企业的岗位培训。</w:t>
                  </w:r>
                </w:p>
              </w:tc>
              <w:tc>
                <w:tcPr>
                  <w:tcW w:w="2670" w:type="dxa"/>
                  <w:tcBorders>
                    <w:tl2br w:val="nil"/>
                    <w:tr2bl w:val="nil"/>
                  </w:tcBorders>
                  <w:vAlign w:val="center"/>
                </w:tcPr>
                <w:p w14:paraId="12ACC061">
                  <w:pPr>
                    <w:pStyle w:val="111"/>
                    <w:bidi w:val="0"/>
                    <w:rPr>
                      <w:caps w:val="0"/>
                      <w:color w:val="auto"/>
                      <w:spacing w:val="0"/>
                      <w:position w:val="0"/>
                      <w:highlight w:val="none"/>
                    </w:rPr>
                  </w:pPr>
                  <w:r>
                    <w:rPr>
                      <w:caps w:val="0"/>
                      <w:color w:val="auto"/>
                      <w:spacing w:val="0"/>
                      <w:position w:val="0"/>
                      <w:highlight w:val="none"/>
                    </w:rPr>
                    <w:t>企业将按要求建立环境风险防范和编制相应应急预案。</w:t>
                  </w:r>
                </w:p>
              </w:tc>
              <w:tc>
                <w:tcPr>
                  <w:tcW w:w="467" w:type="dxa"/>
                  <w:tcBorders>
                    <w:tl2br w:val="nil"/>
                    <w:tr2bl w:val="nil"/>
                  </w:tcBorders>
                  <w:vAlign w:val="center"/>
                </w:tcPr>
                <w:p w14:paraId="619B53DF">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r w14:paraId="4EC472E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804" w:hRule="atLeast"/>
                <w:jc w:val="center"/>
              </w:trPr>
              <w:tc>
                <w:tcPr>
                  <w:tcW w:w="384" w:type="dxa"/>
                  <w:tcBorders>
                    <w:tl2br w:val="nil"/>
                    <w:tr2bl w:val="nil"/>
                  </w:tcBorders>
                  <w:vAlign w:val="center"/>
                </w:tcPr>
                <w:p w14:paraId="46858461">
                  <w:pPr>
                    <w:pStyle w:val="111"/>
                    <w:bidi w:val="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8</w:t>
                  </w:r>
                </w:p>
              </w:tc>
              <w:tc>
                <w:tcPr>
                  <w:tcW w:w="3780" w:type="dxa"/>
                  <w:tcBorders>
                    <w:tl2br w:val="nil"/>
                    <w:tr2bl w:val="nil"/>
                  </w:tcBorders>
                  <w:vAlign w:val="center"/>
                </w:tcPr>
                <w:p w14:paraId="2F123275">
                  <w:pPr>
                    <w:pStyle w:val="111"/>
                    <w:bidi w:val="0"/>
                    <w:rPr>
                      <w:caps w:val="0"/>
                      <w:color w:val="auto"/>
                      <w:spacing w:val="0"/>
                      <w:position w:val="0"/>
                      <w:highlight w:val="none"/>
                    </w:rPr>
                  </w:pPr>
                  <w:r>
                    <w:rPr>
                      <w:caps w:val="0"/>
                      <w:color w:val="auto"/>
                      <w:spacing w:val="0"/>
                      <w:position w:val="0"/>
                      <w:highlight w:val="none"/>
                    </w:rPr>
                    <w:t>易产生扬尘的贮存或填埋场应采取分区作业、覆盖、洒水等有效抑尘措施防止扬尘污染。尾矿库应采取均匀放矿、洒水抑尘等措施防止干滩扬尘污染。</w:t>
                  </w:r>
                </w:p>
              </w:tc>
              <w:tc>
                <w:tcPr>
                  <w:tcW w:w="2670" w:type="dxa"/>
                  <w:tcBorders>
                    <w:tl2br w:val="nil"/>
                    <w:tr2bl w:val="nil"/>
                  </w:tcBorders>
                  <w:vAlign w:val="center"/>
                </w:tcPr>
                <w:p w14:paraId="7EFC5C7B">
                  <w:pPr>
                    <w:pStyle w:val="111"/>
                    <w:bidi w:val="0"/>
                    <w:rPr>
                      <w:caps w:val="0"/>
                      <w:color w:val="auto"/>
                      <w:spacing w:val="0"/>
                      <w:position w:val="0"/>
                      <w:highlight w:val="none"/>
                    </w:rPr>
                  </w:pPr>
                  <w:r>
                    <w:rPr>
                      <w:caps w:val="0"/>
                      <w:color w:val="auto"/>
                      <w:spacing w:val="0"/>
                      <w:position w:val="0"/>
                      <w:highlight w:val="none"/>
                    </w:rPr>
                    <w:t>项目易产生扬尘的贮存</w:t>
                  </w:r>
                  <w:r>
                    <w:rPr>
                      <w:rFonts w:hint="eastAsia"/>
                      <w:caps w:val="0"/>
                      <w:color w:val="auto"/>
                      <w:spacing w:val="0"/>
                      <w:position w:val="0"/>
                      <w:highlight w:val="none"/>
                      <w:lang w:val="en-US" w:eastAsia="zh-CN"/>
                    </w:rPr>
                    <w:t>区域</w:t>
                  </w:r>
                  <w:r>
                    <w:rPr>
                      <w:caps w:val="0"/>
                      <w:color w:val="auto"/>
                      <w:spacing w:val="0"/>
                      <w:position w:val="0"/>
                      <w:highlight w:val="none"/>
                    </w:rPr>
                    <w:t>已采取</w:t>
                  </w:r>
                  <w:r>
                    <w:rPr>
                      <w:rFonts w:hint="eastAsia"/>
                      <w:caps w:val="0"/>
                      <w:color w:val="auto"/>
                      <w:spacing w:val="0"/>
                      <w:position w:val="0"/>
                      <w:highlight w:val="none"/>
                      <w:lang w:val="en-US" w:eastAsia="zh-CN"/>
                    </w:rPr>
                    <w:t>沉降、</w:t>
                  </w:r>
                  <w:r>
                    <w:rPr>
                      <w:caps w:val="0"/>
                      <w:color w:val="auto"/>
                      <w:spacing w:val="0"/>
                      <w:position w:val="0"/>
                      <w:highlight w:val="none"/>
                    </w:rPr>
                    <w:t>洒水等有效抑尘措施防止扬尘污染。</w:t>
                  </w:r>
                </w:p>
              </w:tc>
              <w:tc>
                <w:tcPr>
                  <w:tcW w:w="467" w:type="dxa"/>
                  <w:tcBorders>
                    <w:tl2br w:val="nil"/>
                    <w:tr2bl w:val="nil"/>
                  </w:tcBorders>
                  <w:vAlign w:val="center"/>
                </w:tcPr>
                <w:p w14:paraId="554F56B5">
                  <w:pPr>
                    <w:pStyle w:val="111"/>
                    <w:bidi w:val="0"/>
                    <w:rPr>
                      <w:caps w:val="0"/>
                      <w:color w:val="auto"/>
                      <w:spacing w:val="0"/>
                      <w:position w:val="0"/>
                      <w:highlight w:val="none"/>
                    </w:rPr>
                  </w:pPr>
                  <w:r>
                    <w:rPr>
                      <w:rFonts w:hint="eastAsia"/>
                      <w:caps w:val="0"/>
                      <w:color w:val="auto"/>
                      <w:spacing w:val="0"/>
                      <w:position w:val="0"/>
                      <w:highlight w:val="none"/>
                      <w:lang w:val="en-US" w:eastAsia="zh-CN"/>
                    </w:rPr>
                    <w:t>相符</w:t>
                  </w:r>
                </w:p>
              </w:tc>
            </w:tr>
          </w:tbl>
          <w:p w14:paraId="18BE7C95">
            <w:pPr>
              <w:pStyle w:val="74"/>
              <w:keepNext w:val="0"/>
              <w:keepLines w:val="0"/>
              <w:numPr>
                <w:ilvl w:val="0"/>
                <w:numId w:val="0"/>
              </w:numPr>
              <w:suppressLineNumbers w:val="0"/>
              <w:bidi w:val="0"/>
              <w:spacing w:before="0" w:beforeAutospacing="0" w:after="0" w:afterAutospacing="0"/>
              <w:ind w:left="0" w:right="0" w:firstLine="482" w:firstLineChars="200"/>
              <w:rPr>
                <w:rFonts w:hint="default"/>
                <w:b/>
                <w:bCs w:val="0"/>
                <w:caps w:val="0"/>
                <w:color w:val="auto"/>
                <w:spacing w:val="0"/>
                <w:position w:val="0"/>
                <w:highlight w:val="none"/>
              </w:rPr>
            </w:pPr>
            <w:r>
              <w:rPr>
                <w:rFonts w:hint="default" w:ascii="Times New Roman" w:hAnsi="Times New Roman" w:eastAsia="宋体" w:cs="Times New Roman"/>
                <w:b/>
                <w:bCs w:val="0"/>
                <w:caps w:val="0"/>
                <w:color w:val="auto"/>
                <w:spacing w:val="0"/>
                <w:kern w:val="2"/>
                <w:position w:val="0"/>
                <w:sz w:val="24"/>
                <w:szCs w:val="24"/>
                <w:highlight w:val="none"/>
                <w:lang w:val="en-US" w:eastAsia="zh-CN" w:bidi="ar-SA"/>
              </w:rPr>
              <w:t>1</w:t>
            </w:r>
            <w:r>
              <w:rPr>
                <w:rFonts w:hint="eastAsia" w:cs="Times New Roman"/>
                <w:b/>
                <w:bCs w:val="0"/>
                <w:caps w:val="0"/>
                <w:color w:val="auto"/>
                <w:spacing w:val="0"/>
                <w:kern w:val="2"/>
                <w:position w:val="0"/>
                <w:sz w:val="24"/>
                <w:szCs w:val="24"/>
                <w:highlight w:val="none"/>
                <w:lang w:val="en-US" w:eastAsia="zh-CN" w:bidi="ar-SA"/>
              </w:rPr>
              <w:t>1</w:t>
            </w:r>
            <w:r>
              <w:rPr>
                <w:rFonts w:hint="default" w:ascii="Times New Roman" w:hAnsi="Times New Roman" w:eastAsia="宋体" w:cs="Times New Roman"/>
                <w:b/>
                <w:bCs w:val="0"/>
                <w:caps w:val="0"/>
                <w:color w:val="auto"/>
                <w:spacing w:val="0"/>
                <w:kern w:val="2"/>
                <w:position w:val="0"/>
                <w:sz w:val="24"/>
                <w:szCs w:val="24"/>
                <w:highlight w:val="none"/>
                <w:lang w:val="en-US" w:eastAsia="zh-CN" w:bidi="ar-SA"/>
              </w:rPr>
              <w:t>、</w:t>
            </w:r>
            <w:r>
              <w:rPr>
                <w:rFonts w:hint="default"/>
                <w:b/>
                <w:bCs w:val="0"/>
                <w:caps w:val="0"/>
                <w:color w:val="auto"/>
                <w:spacing w:val="0"/>
                <w:position w:val="0"/>
                <w:highlight w:val="none"/>
              </w:rPr>
              <w:t>与《国家工业固体废物资源综合利用产品目录》相符性分析</w:t>
            </w:r>
          </w:p>
          <w:p w14:paraId="68595EF8">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default"/>
                <w:caps w:val="0"/>
                <w:color w:val="auto"/>
                <w:spacing w:val="0"/>
                <w:position w:val="0"/>
                <w:highlight w:val="none"/>
                <w:lang w:val="en-US" w:eastAsia="zh-CN"/>
              </w:rPr>
              <w:t>本项目根据《国家工业固体废物资源综合利用产品目录》属于工业固体废物种类</w:t>
            </w:r>
            <w:r>
              <w:rPr>
                <w:rFonts w:hint="eastAsia"/>
                <w:caps w:val="0"/>
                <w:color w:val="auto"/>
                <w:spacing w:val="0"/>
                <w:position w:val="0"/>
                <w:highlight w:val="none"/>
                <w:lang w:val="en-US" w:eastAsia="zh-CN"/>
              </w:rPr>
              <w:t>三</w:t>
            </w:r>
            <w:r>
              <w:rPr>
                <w:rFonts w:hint="default"/>
                <w:caps w:val="0"/>
                <w:color w:val="auto"/>
                <w:spacing w:val="0"/>
                <w:position w:val="0"/>
                <w:highlight w:val="none"/>
                <w:lang w:val="en-US" w:eastAsia="zh-CN"/>
              </w:rPr>
              <w:t>、</w:t>
            </w:r>
            <w:r>
              <w:rPr>
                <w:rFonts w:hint="eastAsia"/>
                <w:caps w:val="0"/>
                <w:color w:val="auto"/>
                <w:spacing w:val="0"/>
                <w:position w:val="0"/>
                <w:highlight w:val="none"/>
                <w:lang w:val="en-US" w:eastAsia="zh-CN"/>
              </w:rPr>
              <w:t>冶炼渣（不含危险废物）</w:t>
            </w:r>
            <w:r>
              <w:rPr>
                <w:rFonts w:hint="default"/>
                <w:caps w:val="0"/>
                <w:color w:val="auto"/>
                <w:spacing w:val="0"/>
                <w:position w:val="0"/>
                <w:highlight w:val="none"/>
                <w:lang w:val="en-US" w:eastAsia="zh-CN"/>
              </w:rPr>
              <w:t>-</w:t>
            </w:r>
            <w:r>
              <w:rPr>
                <w:rFonts w:hint="eastAsia"/>
                <w:caps w:val="0"/>
                <w:color w:val="auto"/>
                <w:spacing w:val="0"/>
                <w:position w:val="0"/>
                <w:highlight w:val="none"/>
                <w:lang w:val="en-US" w:eastAsia="zh-CN"/>
              </w:rPr>
              <w:t>3.9中</w:t>
            </w:r>
            <w:r>
              <w:rPr>
                <w:rFonts w:hint="default"/>
                <w:caps w:val="0"/>
                <w:color w:val="auto"/>
                <w:spacing w:val="0"/>
                <w:position w:val="0"/>
                <w:highlight w:val="none"/>
                <w:lang w:val="en-US" w:eastAsia="zh-CN"/>
              </w:rPr>
              <w:t>砖瓦、砌块，其中综合利用技术条件和要求</w:t>
            </w:r>
            <w:r>
              <w:rPr>
                <w:rFonts w:hint="eastAsia"/>
                <w:caps w:val="0"/>
                <w:color w:val="auto"/>
                <w:spacing w:val="0"/>
                <w:position w:val="0"/>
                <w:highlight w:val="none"/>
                <w:lang w:val="en-US" w:eastAsia="zh-CN"/>
              </w:rPr>
              <w:t>：</w:t>
            </w:r>
          </w:p>
          <w:p w14:paraId="470C36BD">
            <w:pPr>
              <w:pStyle w:val="74"/>
              <w:keepNext w:val="0"/>
              <w:keepLines w:val="0"/>
              <w:numPr>
                <w:ilvl w:val="0"/>
                <w:numId w:val="0"/>
              </w:numPr>
              <w:suppressLineNumbers w:val="0"/>
              <w:bidi w:val="0"/>
              <w:spacing w:before="0" w:beforeAutospacing="0" w:after="0" w:afterAutospacing="0"/>
              <w:ind w:left="0" w:right="0" w:firstLine="480" w:firstLineChars="200"/>
              <w:rPr>
                <w:rFonts w:hint="default" w:ascii="Times New Roman" w:hAnsi="Times New Roman" w:cs="Times New Roman"/>
                <w:caps w:val="0"/>
                <w:color w:val="auto"/>
                <w:spacing w:val="0"/>
                <w:position w:val="0"/>
                <w:highlight w:val="none"/>
                <w:lang w:val="en-US" w:eastAsia="zh-CN"/>
              </w:rPr>
            </w:pPr>
            <w:r>
              <w:rPr>
                <w:rFonts w:hint="eastAsia" w:cs="Times New Roman"/>
                <w:bCs/>
                <w:caps w:val="0"/>
                <w:color w:val="auto"/>
                <w:spacing w:val="0"/>
                <w:kern w:val="2"/>
                <w:position w:val="0"/>
                <w:sz w:val="24"/>
                <w:szCs w:val="24"/>
                <w:highlight w:val="none"/>
                <w:lang w:val="en-US" w:eastAsia="zh-CN" w:bidi="ar-SA"/>
              </w:rPr>
              <w:t>（1）</w:t>
            </w:r>
            <w:r>
              <w:rPr>
                <w:rFonts w:hint="default"/>
                <w:caps w:val="0"/>
                <w:color w:val="auto"/>
                <w:spacing w:val="0"/>
                <w:position w:val="0"/>
                <w:highlight w:val="none"/>
                <w:lang w:val="en-US" w:eastAsia="zh-CN"/>
              </w:rPr>
              <w:t>产品符合有《混凝土实心砖》（GB/T 21144</w:t>
            </w:r>
            <w:r>
              <w:rPr>
                <w:rFonts w:hint="eastAsia"/>
                <w:caps w:val="0"/>
                <w:color w:val="auto"/>
                <w:spacing w:val="0"/>
                <w:position w:val="0"/>
                <w:highlight w:val="none"/>
                <w:lang w:val="en-US" w:eastAsia="zh-CN"/>
              </w:rPr>
              <w:t>-2007</w:t>
            </w:r>
            <w:r>
              <w:rPr>
                <w:rFonts w:hint="default"/>
                <w:caps w:val="0"/>
                <w:color w:val="auto"/>
                <w:spacing w:val="0"/>
                <w:position w:val="0"/>
                <w:highlight w:val="none"/>
                <w:lang w:val="en-US" w:eastAsia="zh-CN"/>
              </w:rPr>
              <w:t>）、</w:t>
            </w:r>
            <w:r>
              <w:rPr>
                <w:rFonts w:hint="default" w:ascii="Times New Roman" w:hAnsi="Times New Roman" w:cs="Times New Roman"/>
                <w:caps w:val="0"/>
                <w:color w:val="auto"/>
                <w:spacing w:val="0"/>
                <w:position w:val="0"/>
                <w:highlight w:val="none"/>
                <w:lang w:val="en-US" w:eastAsia="zh-CN"/>
              </w:rPr>
              <w:t>《混凝土路面砖》（GB/T 28635-2012）标准</w:t>
            </w:r>
            <w:r>
              <w:rPr>
                <w:rFonts w:hint="eastAsia" w:ascii="Times New Roman" w:hAnsi="Times New Roman" w:cs="Times New Roman"/>
                <w:caps w:val="0"/>
                <w:color w:val="auto"/>
                <w:spacing w:val="0"/>
                <w:position w:val="0"/>
                <w:highlight w:val="none"/>
                <w:lang w:val="en-US" w:eastAsia="zh-CN"/>
              </w:rPr>
              <w:t>、</w:t>
            </w:r>
            <w:r>
              <w:rPr>
                <w:rFonts w:hint="default"/>
                <w:caps w:val="0"/>
                <w:color w:val="auto"/>
                <w:spacing w:val="0"/>
                <w:position w:val="0"/>
                <w:highlight w:val="none"/>
                <w:lang w:val="en-US" w:eastAsia="zh-CN"/>
              </w:rPr>
              <w:t>江西省地方标准《公路工程利用锂渣技术规范第1部分：路基工程（试行）》（DB36/T1968-2024）</w:t>
            </w:r>
            <w:r>
              <w:rPr>
                <w:rFonts w:hint="default" w:ascii="Times New Roman" w:hAnsi="Times New Roman" w:cs="Times New Roman"/>
                <w:caps w:val="0"/>
                <w:color w:val="auto"/>
                <w:spacing w:val="0"/>
                <w:position w:val="0"/>
                <w:highlight w:val="none"/>
                <w:lang w:val="en-US" w:eastAsia="zh-CN"/>
              </w:rPr>
              <w:t>；</w:t>
            </w:r>
          </w:p>
          <w:p w14:paraId="488A73D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w:t>
            </w:r>
            <w:r>
              <w:rPr>
                <w:rFonts w:hint="default"/>
                <w:caps w:val="0"/>
                <w:color w:val="auto"/>
                <w:spacing w:val="0"/>
                <w:position w:val="0"/>
                <w:highlight w:val="none"/>
                <w:lang w:val="en-US" w:eastAsia="zh-CN"/>
              </w:rPr>
              <w:t>产品符合《建筑材料放射性核素限量》（GB6566）。</w:t>
            </w:r>
          </w:p>
          <w:p w14:paraId="0F4BC689">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eastAsia"/>
                <w:b/>
                <w:bCs w:val="0"/>
                <w:caps w:val="0"/>
                <w:color w:val="auto"/>
                <w:spacing w:val="0"/>
                <w:position w:val="0"/>
                <w:highlight w:val="none"/>
                <w:lang w:val="en-US" w:eastAsia="zh-CN"/>
              </w:rPr>
              <w:t>12、</w:t>
            </w:r>
            <w:r>
              <w:rPr>
                <w:rFonts w:hint="default"/>
                <w:b/>
                <w:bCs w:val="0"/>
                <w:caps w:val="0"/>
                <w:color w:val="auto"/>
                <w:spacing w:val="0"/>
                <w:position w:val="0"/>
                <w:highlight w:val="none"/>
              </w:rPr>
              <w:t>项目与《江西省生态环境厅关于规范涉铊企业铊污染物重点防控工作的通知》（赣环固体字〔2023〕9号）</w:t>
            </w:r>
          </w:p>
          <w:p w14:paraId="2F53E2F5">
            <w:pPr>
              <w:pStyle w:val="75"/>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表1-12 与（赣环固体字〔2023〕9号）相符性分析</w:t>
            </w:r>
          </w:p>
          <w:tbl>
            <w:tblPr>
              <w:tblStyle w:val="23"/>
              <w:tblpPr w:vertAnchor="text" w:tblpXSpec="center" w:tblpY="1"/>
              <w:tblOverlap w:val="never"/>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06"/>
              <w:gridCol w:w="3967"/>
              <w:gridCol w:w="1779"/>
              <w:gridCol w:w="942"/>
            </w:tblGrid>
            <w:tr w14:paraId="33EC1D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4514" w:type="dxa"/>
                  <w:gridSpan w:val="2"/>
                  <w:tcBorders>
                    <w:tl2br w:val="nil"/>
                    <w:tr2bl w:val="nil"/>
                  </w:tcBorders>
                  <w:noWrap w:val="0"/>
                  <w:vAlign w:val="center"/>
                </w:tcPr>
                <w:p w14:paraId="3BCEA4D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文件要求</w:t>
                  </w:r>
                </w:p>
              </w:tc>
              <w:tc>
                <w:tcPr>
                  <w:tcW w:w="1751" w:type="dxa"/>
                  <w:tcBorders>
                    <w:tl2br w:val="nil"/>
                    <w:tr2bl w:val="nil"/>
                  </w:tcBorders>
                  <w:noWrap w:val="0"/>
                  <w:vAlign w:val="center"/>
                </w:tcPr>
                <w:p w14:paraId="7C0E9E2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本项目实际情况</w:t>
                  </w:r>
                </w:p>
              </w:tc>
              <w:tc>
                <w:tcPr>
                  <w:tcW w:w="914" w:type="dxa"/>
                  <w:tcBorders>
                    <w:tl2br w:val="nil"/>
                    <w:tr2bl w:val="nil"/>
                  </w:tcBorders>
                  <w:noWrap w:val="0"/>
                  <w:vAlign w:val="center"/>
                </w:tcPr>
                <w:p w14:paraId="351BEEC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相符性</w:t>
                  </w:r>
                </w:p>
              </w:tc>
            </w:tr>
            <w:tr w14:paraId="2C37BE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80" w:type="dxa"/>
                  <w:tcBorders>
                    <w:tl2br w:val="nil"/>
                    <w:tr2bl w:val="nil"/>
                  </w:tcBorders>
                  <w:noWrap w:val="0"/>
                  <w:vAlign w:val="center"/>
                </w:tcPr>
                <w:p w14:paraId="0251438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一、摸清涉铊企业底数</w:t>
                  </w:r>
                </w:p>
              </w:tc>
              <w:tc>
                <w:tcPr>
                  <w:tcW w:w="3934" w:type="dxa"/>
                  <w:tcBorders>
                    <w:tl2br w:val="nil"/>
                    <w:tr2bl w:val="nil"/>
                  </w:tcBorders>
                  <w:noWrap w:val="0"/>
                  <w:vAlign w:val="center"/>
                </w:tcPr>
                <w:p w14:paraId="196E824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各地生态环境部门要按照《意见》《江西省生态环境厅关于开展碳酸锂等涉铊行业企业排查整治工作的紧急通知》（赣环应急〔2022〕29号）要求，深入开展碳酸锂、重有色金属冶炼（铜、铅锌、镍钴、锡、锑和汞冶炼，含再生冶炼</w:t>
                  </w:r>
                  <w:r>
                    <w:rPr>
                      <w:rFonts w:hint="eastAsia"/>
                      <w:caps w:val="0"/>
                      <w:color w:val="auto"/>
                      <w:spacing w:val="0"/>
                      <w:position w:val="0"/>
                      <w:highlight w:val="none"/>
                      <w:lang w:eastAsia="zh-CN"/>
                    </w:rPr>
                    <w:t>）</w:t>
                  </w:r>
                  <w:r>
                    <w:rPr>
                      <w:rFonts w:hint="eastAsia"/>
                      <w:caps w:val="0"/>
                      <w:color w:val="auto"/>
                      <w:spacing w:val="0"/>
                      <w:position w:val="0"/>
                      <w:highlight w:val="none"/>
                    </w:rPr>
                    <w:t>、钢铁等涉铊行业企业排查，摸清企业底数，建立涉铊企业清单。</w:t>
                  </w:r>
                </w:p>
              </w:tc>
              <w:tc>
                <w:tcPr>
                  <w:tcW w:w="1751" w:type="dxa"/>
                  <w:tcBorders>
                    <w:tl2br w:val="nil"/>
                    <w:tr2bl w:val="nil"/>
                  </w:tcBorders>
                  <w:noWrap w:val="0"/>
                  <w:vAlign w:val="center"/>
                </w:tcPr>
                <w:p w14:paraId="10176CB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企业按要求</w:t>
                  </w:r>
                  <w:r>
                    <w:rPr>
                      <w:rFonts w:hint="eastAsia"/>
                      <w:caps w:val="0"/>
                      <w:color w:val="auto"/>
                      <w:spacing w:val="0"/>
                      <w:position w:val="0"/>
                      <w:highlight w:val="none"/>
                      <w:lang w:val="en-US" w:eastAsia="zh-CN"/>
                    </w:rPr>
                    <w:t>积极</w:t>
                  </w:r>
                  <w:r>
                    <w:rPr>
                      <w:rFonts w:hint="eastAsia"/>
                      <w:caps w:val="0"/>
                      <w:color w:val="auto"/>
                      <w:spacing w:val="0"/>
                      <w:position w:val="0"/>
                      <w:highlight w:val="none"/>
                    </w:rPr>
                    <w:t>配合</w:t>
                  </w:r>
                  <w:r>
                    <w:rPr>
                      <w:rFonts w:hint="eastAsia"/>
                      <w:caps w:val="0"/>
                      <w:color w:val="auto"/>
                      <w:spacing w:val="0"/>
                      <w:position w:val="0"/>
                      <w:highlight w:val="none"/>
                      <w:lang w:val="en-US" w:eastAsia="zh-CN"/>
                    </w:rPr>
                    <w:t>各级</w:t>
                  </w:r>
                  <w:r>
                    <w:rPr>
                      <w:rFonts w:hint="eastAsia"/>
                      <w:caps w:val="0"/>
                      <w:color w:val="auto"/>
                      <w:spacing w:val="0"/>
                      <w:position w:val="0"/>
                      <w:highlight w:val="none"/>
                    </w:rPr>
                    <w:t>生态环境部门</w:t>
                  </w:r>
                </w:p>
              </w:tc>
              <w:tc>
                <w:tcPr>
                  <w:tcW w:w="914" w:type="dxa"/>
                  <w:tcBorders>
                    <w:tl2br w:val="nil"/>
                    <w:tr2bl w:val="nil"/>
                  </w:tcBorders>
                  <w:noWrap w:val="0"/>
                  <w:vAlign w:val="center"/>
                </w:tcPr>
                <w:p w14:paraId="5F8DA35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567D95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80" w:type="dxa"/>
                  <w:tcBorders>
                    <w:tl2br w:val="nil"/>
                    <w:tr2bl w:val="nil"/>
                  </w:tcBorders>
                  <w:noWrap w:val="0"/>
                  <w:vAlign w:val="center"/>
                </w:tcPr>
                <w:p w14:paraId="138320D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二、强化项目审批要求</w:t>
                  </w:r>
                </w:p>
              </w:tc>
              <w:tc>
                <w:tcPr>
                  <w:tcW w:w="3934" w:type="dxa"/>
                  <w:tcBorders>
                    <w:tl2br w:val="nil"/>
                    <w:tr2bl w:val="nil"/>
                  </w:tcBorders>
                  <w:noWrap w:val="0"/>
                  <w:vAlign w:val="center"/>
                </w:tcPr>
                <w:p w14:paraId="1BC16D7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健全环评审批和重金属管理部门联动机制，对新审批的涉铊企业（项目</w:t>
                  </w:r>
                  <w:r>
                    <w:rPr>
                      <w:rFonts w:hint="eastAsia"/>
                      <w:caps w:val="0"/>
                      <w:color w:val="auto"/>
                      <w:spacing w:val="0"/>
                      <w:position w:val="0"/>
                      <w:highlight w:val="none"/>
                      <w:lang w:eastAsia="zh-CN"/>
                    </w:rPr>
                    <w:t>）</w:t>
                  </w:r>
                  <w:r>
                    <w:rPr>
                      <w:rFonts w:hint="eastAsia"/>
                      <w:caps w:val="0"/>
                      <w:color w:val="auto"/>
                      <w:spacing w:val="0"/>
                      <w:position w:val="0"/>
                      <w:highlight w:val="none"/>
                    </w:rPr>
                    <w:t>，环评报告中要明确要求企业加强重金属污染源头防控，减少使用高铊的矿石原料，对矿石原料、主副产品和生产废物中铊成分进行分析，要完善铊元素物料平衡分析，明确铊污染物排放量或最终去向，实现铊元素可核算可追踪；有废水、废气排放的涉铊企业要设置除铊治理设施，需相应达到《无机化学工业污染物排放标准》(GB31573</w:t>
                  </w:r>
                  <w:r>
                    <w:rPr>
                      <w:rFonts w:hint="eastAsia"/>
                      <w:caps w:val="0"/>
                      <w:color w:val="auto"/>
                      <w:spacing w:val="0"/>
                      <w:position w:val="0"/>
                      <w:highlight w:val="none"/>
                      <w:lang w:val="en-US" w:eastAsia="zh-CN"/>
                    </w:rPr>
                    <w:t>-</w:t>
                  </w:r>
                  <w:r>
                    <w:rPr>
                      <w:rFonts w:hint="eastAsia"/>
                      <w:caps w:val="0"/>
                      <w:color w:val="auto"/>
                      <w:spacing w:val="0"/>
                      <w:position w:val="0"/>
                      <w:highlight w:val="none"/>
                    </w:rPr>
                    <w:t>2015)、《钢铁工业水污染物排放标准》(GB13456</w:t>
                  </w:r>
                  <w:r>
                    <w:rPr>
                      <w:rFonts w:hint="eastAsia"/>
                      <w:caps w:val="0"/>
                      <w:color w:val="auto"/>
                      <w:spacing w:val="0"/>
                      <w:position w:val="0"/>
                      <w:highlight w:val="none"/>
                      <w:lang w:val="en-US" w:eastAsia="zh-CN"/>
                    </w:rPr>
                    <w:t>-</w:t>
                  </w:r>
                  <w:r>
                    <w:rPr>
                      <w:rFonts w:hint="eastAsia"/>
                      <w:caps w:val="0"/>
                      <w:color w:val="auto"/>
                      <w:spacing w:val="0"/>
                      <w:position w:val="0"/>
                      <w:highlight w:val="none"/>
                    </w:rPr>
                    <w:t>2012)、《工业废水铊污染物排放标准》</w:t>
                  </w:r>
                  <w:r>
                    <w:rPr>
                      <w:rFonts w:hint="eastAsia"/>
                      <w:caps w:val="0"/>
                      <w:color w:val="auto"/>
                      <w:spacing w:val="0"/>
                      <w:position w:val="0"/>
                      <w:highlight w:val="none"/>
                      <w:lang w:eastAsia="zh-CN"/>
                    </w:rPr>
                    <w:t>（</w:t>
                  </w:r>
                  <w:r>
                    <w:rPr>
                      <w:rFonts w:hint="eastAsia"/>
                      <w:caps w:val="0"/>
                      <w:color w:val="auto"/>
                      <w:spacing w:val="0"/>
                      <w:position w:val="0"/>
                      <w:highlight w:val="none"/>
                    </w:rPr>
                    <w:t>DB36/1149</w:t>
                  </w:r>
                  <w:r>
                    <w:rPr>
                      <w:rFonts w:hint="eastAsia"/>
                      <w:caps w:val="0"/>
                      <w:color w:val="auto"/>
                      <w:spacing w:val="0"/>
                      <w:position w:val="0"/>
                      <w:highlight w:val="none"/>
                      <w:lang w:val="en-US" w:eastAsia="zh-CN"/>
                    </w:rPr>
                    <w:t>-</w:t>
                  </w:r>
                  <w:r>
                    <w:rPr>
                      <w:rFonts w:hint="eastAsia"/>
                      <w:caps w:val="0"/>
                      <w:color w:val="auto"/>
                      <w:spacing w:val="0"/>
                      <w:position w:val="0"/>
                      <w:highlight w:val="none"/>
                    </w:rPr>
                    <w:t>2019</w:t>
                  </w:r>
                  <w:r>
                    <w:rPr>
                      <w:rFonts w:hint="eastAsia"/>
                      <w:caps w:val="0"/>
                      <w:color w:val="auto"/>
                      <w:spacing w:val="0"/>
                      <w:position w:val="0"/>
                      <w:highlight w:val="none"/>
                      <w:lang w:eastAsia="zh-CN"/>
                    </w:rPr>
                    <w:t>）</w:t>
                  </w:r>
                  <w:r>
                    <w:rPr>
                      <w:rFonts w:hint="eastAsia"/>
                      <w:caps w:val="0"/>
                      <w:color w:val="auto"/>
                      <w:spacing w:val="0"/>
                      <w:position w:val="0"/>
                      <w:highlight w:val="none"/>
                    </w:rPr>
                    <w:t>等标准要求，对于生产废水零排放的项目，应明确企业废水总排口中铊不得检出。自本通知印发之日起，对涉铊项目未分析铊污染物产排情况的，依法依规不予受理环评文件。涉铊项目环评报告、排污许可中铊污染防控内容是污染防治攻坚战重金属污染防治考核重要内容，请各地生态环境部门对2022年以来审批的涉铊项目，于2023年2月底前完成环评文件、排污许可证排查，在相关文件中补齐有关要求，并存档备查；对2022年以前已经建成并投入生产的涉铊项目，在换发排污许可证时，完善有关污染防治措施和排放标准要求。</w:t>
                  </w:r>
                </w:p>
              </w:tc>
              <w:tc>
                <w:tcPr>
                  <w:tcW w:w="1751" w:type="dxa"/>
                  <w:tcBorders>
                    <w:tl2br w:val="nil"/>
                    <w:tr2bl w:val="nil"/>
                  </w:tcBorders>
                  <w:noWrap w:val="0"/>
                  <w:vAlign w:val="center"/>
                </w:tcPr>
                <w:p w14:paraId="7A8E194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根据本项目原料锂冶炼剩余物（水洗渣）成分检测报告，本项目锂冶炼剩余物中含有铊因子，已对原料、产品、生产废物中铊成分进行分析，并给出铊元素物料平衡分析，明确了铊污染物排放量和最终去向。</w:t>
                  </w:r>
                  <w:r>
                    <w:rPr>
                      <w:rFonts w:hint="default" w:ascii="Times New Roman" w:hAnsi="Times New Roman" w:eastAsia="宋体" w:cs="Times New Roman"/>
                      <w:caps w:val="0"/>
                      <w:color w:val="auto"/>
                      <w:spacing w:val="0"/>
                      <w:position w:val="0"/>
                      <w:highlight w:val="none"/>
                      <w:lang w:val="en-US" w:eastAsia="zh-CN"/>
                    </w:rPr>
                    <w:t>生产废水回用不外排</w:t>
                  </w:r>
                  <w:r>
                    <w:rPr>
                      <w:rFonts w:hint="eastAsia" w:ascii="Times New Roman" w:hAnsi="Times New Roman" w:eastAsia="宋体" w:cs="Times New Roman"/>
                      <w:caps w:val="0"/>
                      <w:color w:val="auto"/>
                      <w:spacing w:val="0"/>
                      <w:position w:val="0"/>
                      <w:highlight w:val="none"/>
                      <w:lang w:val="en-US" w:eastAsia="zh-CN"/>
                    </w:rPr>
                    <w:t>，</w:t>
                  </w:r>
                  <w:r>
                    <w:rPr>
                      <w:rFonts w:hint="default"/>
                      <w:caps w:val="0"/>
                      <w:color w:val="auto"/>
                      <w:spacing w:val="0"/>
                      <w:position w:val="0"/>
                      <w:highlight w:val="none"/>
                      <w:lang w:val="en-US" w:eastAsia="zh-CN"/>
                    </w:rPr>
                    <w:t>本环评要求建设单位在雨水排放口安装氟化物、铊在线监测设备，并与市、县两级在线监控管理平台联网。</w:t>
                  </w:r>
                </w:p>
              </w:tc>
              <w:tc>
                <w:tcPr>
                  <w:tcW w:w="914" w:type="dxa"/>
                  <w:tcBorders>
                    <w:tl2br w:val="nil"/>
                    <w:tr2bl w:val="nil"/>
                  </w:tcBorders>
                  <w:noWrap w:val="0"/>
                  <w:vAlign w:val="center"/>
                </w:tcPr>
                <w:p w14:paraId="1DBD22D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2C2DB1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80" w:type="dxa"/>
                  <w:tcBorders>
                    <w:tl2br w:val="nil"/>
                    <w:tr2bl w:val="nil"/>
                  </w:tcBorders>
                  <w:noWrap w:val="0"/>
                  <w:vAlign w:val="center"/>
                </w:tcPr>
                <w:p w14:paraId="1097117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三、压实环境监管责任</w:t>
                  </w:r>
                </w:p>
              </w:tc>
              <w:tc>
                <w:tcPr>
                  <w:tcW w:w="3934" w:type="dxa"/>
                  <w:tcBorders>
                    <w:tl2br w:val="nil"/>
                    <w:tr2bl w:val="nil"/>
                  </w:tcBorders>
                  <w:noWrap w:val="0"/>
                  <w:vAlign w:val="center"/>
                </w:tcPr>
                <w:p w14:paraId="61F4E9F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各地生态环境部门要进一步强化生态环境安全“底线思维”，建立健全涉铊企业全链条闭环管理体系，将铊污染物纳入重点防控范围，督促涉铊企业落实环境风险主体责任，积极排除涉铊企业环境风险隐患，切实防范化解涉铊企业生态环境安全风险。</w:t>
                  </w:r>
                </w:p>
              </w:tc>
              <w:tc>
                <w:tcPr>
                  <w:tcW w:w="1751" w:type="dxa"/>
                  <w:tcBorders>
                    <w:tl2br w:val="nil"/>
                    <w:tr2bl w:val="nil"/>
                  </w:tcBorders>
                  <w:noWrap w:val="0"/>
                  <w:vAlign w:val="center"/>
                </w:tcPr>
                <w:p w14:paraId="396CBA3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本项目锂冶炼剩余物中含有铊因子，已对原料、产品、生产废物中铊成分进行分析，并给出铊元素物料平衡分析，明确了铊污染物排放量和最终去向。</w:t>
                  </w:r>
                  <w:r>
                    <w:rPr>
                      <w:rFonts w:hint="default" w:ascii="Times New Roman" w:hAnsi="Times New Roman" w:eastAsia="宋体" w:cs="Times New Roman"/>
                      <w:caps w:val="0"/>
                      <w:color w:val="auto"/>
                      <w:spacing w:val="0"/>
                      <w:position w:val="0"/>
                      <w:highlight w:val="none"/>
                      <w:lang w:val="en-US" w:eastAsia="zh-CN"/>
                    </w:rPr>
                    <w:t>生产废水回用不外排</w:t>
                  </w:r>
                  <w:r>
                    <w:rPr>
                      <w:rFonts w:hint="eastAsia" w:ascii="Times New Roman" w:hAnsi="Times New Roman" w:eastAsia="宋体" w:cs="Times New Roman"/>
                      <w:caps w:val="0"/>
                      <w:color w:val="auto"/>
                      <w:spacing w:val="0"/>
                      <w:position w:val="0"/>
                      <w:highlight w:val="none"/>
                      <w:lang w:val="en-US" w:eastAsia="zh-CN"/>
                    </w:rPr>
                    <w:t>，</w:t>
                  </w:r>
                  <w:r>
                    <w:rPr>
                      <w:rFonts w:hint="default"/>
                      <w:caps w:val="0"/>
                      <w:color w:val="auto"/>
                      <w:spacing w:val="0"/>
                      <w:position w:val="0"/>
                      <w:highlight w:val="none"/>
                      <w:lang w:val="en-US" w:eastAsia="zh-CN"/>
                    </w:rPr>
                    <w:t>本环评要求建设单位在雨水排放口安装氟化物、铊在线监测设备，并与市、县两级在线监控管理平台联网。</w:t>
                  </w:r>
                </w:p>
              </w:tc>
              <w:tc>
                <w:tcPr>
                  <w:tcW w:w="914" w:type="dxa"/>
                  <w:tcBorders>
                    <w:tl2br w:val="nil"/>
                    <w:tr2bl w:val="nil"/>
                  </w:tcBorders>
                  <w:noWrap w:val="0"/>
                  <w:vAlign w:val="center"/>
                </w:tcPr>
                <w:p w14:paraId="4B8584F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bl>
          <w:p w14:paraId="242107C1">
            <w:pPr>
              <w:pStyle w:val="74"/>
              <w:keepNext w:val="0"/>
              <w:keepLines w:val="0"/>
              <w:suppressLineNumbers w:val="0"/>
              <w:bidi w:val="0"/>
              <w:spacing w:before="0" w:beforeAutospacing="0" w:after="0" w:afterAutospacing="0"/>
              <w:ind w:left="0" w:right="0"/>
              <w:rPr>
                <w:rFonts w:hint="eastAsia"/>
                <w:b/>
                <w:bCs w:val="0"/>
                <w:caps w:val="0"/>
                <w:color w:val="auto"/>
                <w:spacing w:val="0"/>
                <w:position w:val="0"/>
                <w:highlight w:val="none"/>
                <w:lang w:val="en-US" w:eastAsia="zh-CN"/>
              </w:rPr>
            </w:pPr>
            <w:r>
              <w:rPr>
                <w:rFonts w:hint="eastAsia"/>
                <w:b/>
                <w:bCs w:val="0"/>
                <w:caps w:val="0"/>
                <w:color w:val="auto"/>
                <w:spacing w:val="0"/>
                <w:position w:val="0"/>
                <w:highlight w:val="none"/>
                <w:lang w:val="en-US" w:eastAsia="zh-CN"/>
              </w:rPr>
              <w:t>13、《江西省生态环境厅铊污染防控工作方案》（赣环办字〔2023〕215号）</w:t>
            </w:r>
          </w:p>
          <w:p w14:paraId="75950A23">
            <w:pPr>
              <w:pStyle w:val="75"/>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表1-13 与（赣环办字〔2023〕215号）相符性分析</w:t>
            </w:r>
          </w:p>
          <w:tbl>
            <w:tblPr>
              <w:tblStyle w:val="23"/>
              <w:tblpPr w:vertAnchor="text" w:tblpXSpec="center" w:tblpY="1"/>
              <w:tblOverlap w:val="never"/>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06"/>
              <w:gridCol w:w="3705"/>
              <w:gridCol w:w="2214"/>
              <w:gridCol w:w="769"/>
            </w:tblGrid>
            <w:tr w14:paraId="61759E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4252" w:type="dxa"/>
                  <w:gridSpan w:val="2"/>
                  <w:tcBorders>
                    <w:tl2br w:val="nil"/>
                    <w:tr2bl w:val="nil"/>
                  </w:tcBorders>
                  <w:noWrap w:val="0"/>
                  <w:vAlign w:val="center"/>
                </w:tcPr>
                <w:p w14:paraId="23DA4F8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文件要求</w:t>
                  </w:r>
                </w:p>
              </w:tc>
              <w:tc>
                <w:tcPr>
                  <w:tcW w:w="2185" w:type="dxa"/>
                  <w:tcBorders>
                    <w:tl2br w:val="nil"/>
                    <w:tr2bl w:val="nil"/>
                  </w:tcBorders>
                  <w:noWrap w:val="0"/>
                  <w:vAlign w:val="center"/>
                </w:tcPr>
                <w:p w14:paraId="2A541E3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本项目实际情况</w:t>
                  </w:r>
                </w:p>
              </w:tc>
              <w:tc>
                <w:tcPr>
                  <w:tcW w:w="742" w:type="dxa"/>
                  <w:tcBorders>
                    <w:tl2br w:val="nil"/>
                    <w:tr2bl w:val="nil"/>
                  </w:tcBorders>
                  <w:noWrap w:val="0"/>
                  <w:vAlign w:val="center"/>
                </w:tcPr>
                <w:p w14:paraId="333FBDC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相符性</w:t>
                  </w:r>
                </w:p>
              </w:tc>
            </w:tr>
            <w:tr w14:paraId="3F15C3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80" w:type="dxa"/>
                  <w:tcBorders>
                    <w:tl2br w:val="nil"/>
                    <w:tr2bl w:val="nil"/>
                  </w:tcBorders>
                  <w:noWrap w:val="0"/>
                  <w:vAlign w:val="center"/>
                </w:tcPr>
                <w:p w14:paraId="775FE8A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w:t>
                  </w:r>
                </w:p>
              </w:tc>
              <w:tc>
                <w:tcPr>
                  <w:tcW w:w="3672" w:type="dxa"/>
                  <w:tcBorders>
                    <w:tl2br w:val="nil"/>
                    <w:tr2bl w:val="nil"/>
                  </w:tcBorders>
                  <w:noWrap w:val="0"/>
                  <w:vAlign w:val="center"/>
                </w:tcPr>
                <w:p w14:paraId="16F68F5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严格涉铊企业项目环评审批。对新审批的涉铊项目，环评文件中要明确要求企业加强重金属污染源头防控要求，减少使用高铊原料，完善铊元素物料平衡分析，废水、废气排放的涉铊企业要设置除铊治理设施，外排废气需满足相应行业污染物排放标准中铊污染物排放限值，外排废水执行《工业废水铊污染物排放标准》</w:t>
                  </w:r>
                  <w:r>
                    <w:rPr>
                      <w:rFonts w:hint="eastAsia"/>
                      <w:caps w:val="0"/>
                      <w:color w:val="auto"/>
                      <w:spacing w:val="0"/>
                      <w:position w:val="0"/>
                      <w:highlight w:val="none"/>
                      <w:lang w:eastAsia="zh-CN"/>
                    </w:rPr>
                    <w:t>（</w:t>
                  </w:r>
                  <w:r>
                    <w:rPr>
                      <w:rFonts w:hint="default"/>
                      <w:caps w:val="0"/>
                      <w:color w:val="auto"/>
                      <w:spacing w:val="0"/>
                      <w:position w:val="0"/>
                      <w:highlight w:val="none"/>
                    </w:rPr>
                    <w:t>DB36/1149-2019</w:t>
                  </w:r>
                  <w:r>
                    <w:rPr>
                      <w:rFonts w:hint="eastAsia"/>
                      <w:caps w:val="0"/>
                      <w:color w:val="auto"/>
                      <w:spacing w:val="0"/>
                      <w:position w:val="0"/>
                      <w:highlight w:val="none"/>
                      <w:lang w:eastAsia="zh-CN"/>
                    </w:rPr>
                    <w:t>）</w:t>
                  </w:r>
                  <w:r>
                    <w:rPr>
                      <w:rFonts w:hint="default"/>
                      <w:caps w:val="0"/>
                      <w:color w:val="auto"/>
                      <w:spacing w:val="0"/>
                      <w:position w:val="0"/>
                      <w:highlight w:val="none"/>
                    </w:rPr>
                    <w:t>等标准要求。对于生产废水零排放的项目，监测计划中应在企业总排口和雨水排口增加铊污染监测因子。对涉铊项目未分析铊污染物产排情况的，各级生态环境部门依法依规不予受理环评文件。</w:t>
                  </w:r>
                </w:p>
              </w:tc>
              <w:tc>
                <w:tcPr>
                  <w:tcW w:w="2185" w:type="dxa"/>
                  <w:tcBorders>
                    <w:tl2br w:val="nil"/>
                    <w:tr2bl w:val="nil"/>
                  </w:tcBorders>
                  <w:noWrap w:val="0"/>
                  <w:vAlign w:val="center"/>
                </w:tcPr>
                <w:p w14:paraId="6A6B06C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本项目锂冶炼剩余物中含有铊因子，根据工艺过程，已对原料、产品、生产废物中铊成分进行分析，并给出铊元素物料平衡分析，明确了铊污染物排放量和最终去向。</w:t>
                  </w:r>
                  <w:r>
                    <w:rPr>
                      <w:rFonts w:hint="default" w:ascii="Times New Roman" w:hAnsi="Times New Roman" w:eastAsia="宋体" w:cs="Times New Roman"/>
                      <w:caps w:val="0"/>
                      <w:color w:val="auto"/>
                      <w:spacing w:val="0"/>
                      <w:position w:val="0"/>
                      <w:highlight w:val="none"/>
                      <w:lang w:val="en-US" w:eastAsia="zh-CN"/>
                    </w:rPr>
                    <w:t>生产废水回用不外排</w:t>
                  </w:r>
                  <w:r>
                    <w:rPr>
                      <w:rFonts w:hint="eastAsia" w:ascii="Times New Roman" w:hAnsi="Times New Roman" w:eastAsia="宋体" w:cs="Times New Roman"/>
                      <w:caps w:val="0"/>
                      <w:color w:val="auto"/>
                      <w:spacing w:val="0"/>
                      <w:position w:val="0"/>
                      <w:highlight w:val="none"/>
                      <w:lang w:val="en-US" w:eastAsia="zh-CN"/>
                    </w:rPr>
                    <w:t>，</w:t>
                  </w:r>
                  <w:r>
                    <w:rPr>
                      <w:rFonts w:hint="default"/>
                      <w:caps w:val="0"/>
                      <w:color w:val="auto"/>
                      <w:spacing w:val="0"/>
                      <w:position w:val="0"/>
                      <w:highlight w:val="none"/>
                      <w:lang w:val="en-US" w:eastAsia="zh-CN"/>
                    </w:rPr>
                    <w:t>本环评要求建设单位在雨水排放口安装氟化物、铊在线监测设备，并与市、县两级在线监控管理平台联网。</w:t>
                  </w:r>
                </w:p>
              </w:tc>
              <w:tc>
                <w:tcPr>
                  <w:tcW w:w="742" w:type="dxa"/>
                  <w:tcBorders>
                    <w:tl2br w:val="nil"/>
                    <w:tr2bl w:val="nil"/>
                  </w:tcBorders>
                  <w:noWrap w:val="0"/>
                  <w:vAlign w:val="center"/>
                </w:tcPr>
                <w:p w14:paraId="3986C00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13443A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80" w:type="dxa"/>
                  <w:tcBorders>
                    <w:tl2br w:val="nil"/>
                    <w:tr2bl w:val="nil"/>
                  </w:tcBorders>
                  <w:noWrap w:val="0"/>
                  <w:vAlign w:val="center"/>
                </w:tcPr>
                <w:p w14:paraId="4E81CA3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w:t>
                  </w:r>
                </w:p>
              </w:tc>
              <w:tc>
                <w:tcPr>
                  <w:tcW w:w="3672" w:type="dxa"/>
                  <w:tcBorders>
                    <w:tl2br w:val="nil"/>
                    <w:tr2bl w:val="nil"/>
                  </w:tcBorders>
                  <w:noWrap w:val="0"/>
                  <w:vAlign w:val="center"/>
                </w:tcPr>
                <w:p w14:paraId="4E9A5A0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强化涉铊固体废物原料监管。研究制定《江西省跨省转入危险废物原料成分抽查检测工作方案》，采取“采测分离、分总结合”方式，加强跨省转入危险废物原料成分含量随机抽查检测，客观、准确地掌握跨省转入危险废物原料有价元素以及铊等有害元素含量，强化涉铊危险废物跨省转移管控力度，严厉打击提供虚假检测报告等违法违规行为。涉铊企业要对固体废物原料进行检测，并建立涉铊原料来源、数量、时间、检测结果等信息台账。</w:t>
                  </w:r>
                </w:p>
              </w:tc>
              <w:tc>
                <w:tcPr>
                  <w:tcW w:w="2185" w:type="dxa"/>
                  <w:tcBorders>
                    <w:tl2br w:val="nil"/>
                    <w:tr2bl w:val="nil"/>
                  </w:tcBorders>
                  <w:noWrap w:val="0"/>
                  <w:vAlign w:val="center"/>
                </w:tcPr>
                <w:p w14:paraId="7ACB1F8B">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本项目锂冶炼剩余物中含有铊因子，建设单位按要求对</w:t>
                  </w:r>
                  <w:r>
                    <w:rPr>
                      <w:rFonts w:hint="eastAsia"/>
                      <w:caps w:val="0"/>
                      <w:color w:val="auto"/>
                      <w:spacing w:val="0"/>
                      <w:position w:val="0"/>
                      <w:highlight w:val="none"/>
                    </w:rPr>
                    <w:t>涉铊原料来源、数量、时间、检测结果等</w:t>
                  </w:r>
                  <w:r>
                    <w:rPr>
                      <w:rFonts w:hint="eastAsia"/>
                      <w:caps w:val="0"/>
                      <w:color w:val="auto"/>
                      <w:spacing w:val="0"/>
                      <w:position w:val="0"/>
                      <w:highlight w:val="none"/>
                      <w:lang w:val="en-US" w:eastAsia="zh-CN"/>
                    </w:rPr>
                    <w:t>建立</w:t>
                  </w:r>
                  <w:r>
                    <w:rPr>
                      <w:rFonts w:hint="eastAsia"/>
                      <w:caps w:val="0"/>
                      <w:color w:val="auto"/>
                      <w:spacing w:val="0"/>
                      <w:position w:val="0"/>
                      <w:highlight w:val="none"/>
                    </w:rPr>
                    <w:t>信息台账</w:t>
                  </w:r>
                  <w:r>
                    <w:rPr>
                      <w:rFonts w:hint="eastAsia"/>
                      <w:caps w:val="0"/>
                      <w:color w:val="auto"/>
                      <w:spacing w:val="0"/>
                      <w:position w:val="0"/>
                      <w:highlight w:val="none"/>
                      <w:lang w:eastAsia="zh-CN"/>
                    </w:rPr>
                    <w:t>。</w:t>
                  </w:r>
                </w:p>
              </w:tc>
              <w:tc>
                <w:tcPr>
                  <w:tcW w:w="742" w:type="dxa"/>
                  <w:tcBorders>
                    <w:tl2br w:val="nil"/>
                    <w:tr2bl w:val="nil"/>
                  </w:tcBorders>
                  <w:noWrap w:val="0"/>
                  <w:vAlign w:val="center"/>
                </w:tcPr>
                <w:p w14:paraId="2B9A359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0C26D5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80" w:type="dxa"/>
                  <w:tcBorders>
                    <w:tl2br w:val="nil"/>
                    <w:tr2bl w:val="nil"/>
                  </w:tcBorders>
                  <w:noWrap w:val="0"/>
                  <w:vAlign w:val="center"/>
                </w:tcPr>
                <w:p w14:paraId="04957579">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eastAsia"/>
                      <w:caps w:val="0"/>
                      <w:color w:val="auto"/>
                      <w:spacing w:val="0"/>
                      <w:position w:val="0"/>
                      <w:highlight w:val="none"/>
                      <w:lang w:val="en-US" w:eastAsia="zh-CN"/>
                    </w:rPr>
                    <w:t>3</w:t>
                  </w:r>
                </w:p>
              </w:tc>
              <w:tc>
                <w:tcPr>
                  <w:tcW w:w="3672" w:type="dxa"/>
                  <w:tcBorders>
                    <w:tl2br w:val="nil"/>
                    <w:tr2bl w:val="nil"/>
                  </w:tcBorders>
                  <w:noWrap w:val="0"/>
                  <w:vAlign w:val="center"/>
                </w:tcPr>
                <w:p w14:paraId="23251F4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1、</w:t>
                  </w:r>
                  <w:r>
                    <w:rPr>
                      <w:rFonts w:hint="default"/>
                      <w:caps w:val="0"/>
                      <w:color w:val="auto"/>
                      <w:spacing w:val="0"/>
                      <w:position w:val="0"/>
                      <w:highlight w:val="none"/>
                    </w:rPr>
                    <w:t>构建涉铊企业全链条闭环管理体系。各级生态环境部门要构建涉铊企业全链条闭环管理体系，督促企业对原料、主副产品和生产废物中铊成分进行检测分析，实现铊元素可核算可追踪。</w:t>
                  </w:r>
                </w:p>
                <w:p w14:paraId="4706324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2、</w:t>
                  </w:r>
                  <w:r>
                    <w:rPr>
                      <w:rFonts w:hint="default"/>
                      <w:caps w:val="0"/>
                      <w:color w:val="auto"/>
                      <w:spacing w:val="0"/>
                      <w:position w:val="0"/>
                      <w:highlight w:val="none"/>
                    </w:rPr>
                    <w:t>重有色金属冶炼、钢铁、碳酸锂等典型涉铊企业要开展生产废水治理设施除铊升级改造并保障废水处理设施持续稳定运行，严格执行车间或生产设施废水排放口达标要求，生产废水循环使用不外排的，循环水应配套除铊措施，防止废水中铊的不断累积，保障环境安全。</w:t>
                  </w:r>
                </w:p>
                <w:p w14:paraId="3901858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3、</w:t>
                  </w:r>
                  <w:r>
                    <w:rPr>
                      <w:rFonts w:hint="default"/>
                      <w:caps w:val="0"/>
                      <w:color w:val="auto"/>
                      <w:spacing w:val="0"/>
                      <w:position w:val="0"/>
                      <w:highlight w:val="none"/>
                    </w:rPr>
                    <w:t>重有色金属冶炼企业要加强生产车间低空逸散烟气收集处理，有效减少无组织排放。重有色金属矿采选企业要按照规定完善废石堆场、排土场周边雨污分流设施，建设酸性废水、选矿废水、矿坑涌水等废水收集与处理设施，处理达标后排放。</w:t>
                  </w:r>
                </w:p>
                <w:p w14:paraId="65880C0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4、</w:t>
                  </w:r>
                  <w:r>
                    <w:rPr>
                      <w:rFonts w:hint="default"/>
                      <w:caps w:val="0"/>
                      <w:color w:val="auto"/>
                      <w:spacing w:val="0"/>
                      <w:position w:val="0"/>
                      <w:highlight w:val="none"/>
                    </w:rPr>
                    <w:t>钢铁冶炼、铅锌冶炼、碳酸锂行业企业要规范建立废水处理含铊污泥、除尘灰等固体废物产生、贮存、转移、处置台账，加强含铊固体废物环境管理，对</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等开展资源化利用和分级分类管理。</w:t>
                  </w:r>
                </w:p>
              </w:tc>
              <w:tc>
                <w:tcPr>
                  <w:tcW w:w="2185" w:type="dxa"/>
                  <w:tcBorders>
                    <w:tl2br w:val="nil"/>
                    <w:tr2bl w:val="nil"/>
                  </w:tcBorders>
                  <w:noWrap w:val="0"/>
                  <w:vAlign w:val="center"/>
                </w:tcPr>
                <w:p w14:paraId="4B310871">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1、本项目锂冶炼剩余物中含有铊因子，已对原料、产品、生产废物中铊成分进行分析，并给出铊元素物料平衡分析，明确了铊污染物排放量和最终去向。</w:t>
                  </w:r>
                  <w:r>
                    <w:rPr>
                      <w:rFonts w:hint="default" w:ascii="Times New Roman" w:hAnsi="Times New Roman" w:eastAsia="宋体" w:cs="Times New Roman"/>
                      <w:caps w:val="0"/>
                      <w:color w:val="auto"/>
                      <w:spacing w:val="0"/>
                      <w:position w:val="0"/>
                      <w:highlight w:val="none"/>
                      <w:lang w:val="en-US" w:eastAsia="zh-CN"/>
                    </w:rPr>
                    <w:t>生产废水回用不外排</w:t>
                  </w:r>
                  <w:r>
                    <w:rPr>
                      <w:rFonts w:hint="eastAsia"/>
                      <w:caps w:val="0"/>
                      <w:color w:val="auto"/>
                      <w:spacing w:val="0"/>
                      <w:position w:val="0"/>
                      <w:highlight w:val="none"/>
                      <w:lang w:val="en-US" w:eastAsia="zh-CN"/>
                    </w:rPr>
                    <w:t>；</w:t>
                  </w:r>
                </w:p>
                <w:p w14:paraId="4326022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2~4、本项目不属于</w:t>
                  </w:r>
                  <w:r>
                    <w:rPr>
                      <w:rFonts w:hint="default"/>
                      <w:caps w:val="0"/>
                      <w:color w:val="auto"/>
                      <w:spacing w:val="0"/>
                      <w:position w:val="0"/>
                      <w:highlight w:val="none"/>
                    </w:rPr>
                    <w:t>重有色金属冶炼、钢铁、</w:t>
                  </w:r>
                  <w:r>
                    <w:rPr>
                      <w:rFonts w:hint="eastAsia"/>
                      <w:caps w:val="0"/>
                      <w:color w:val="auto"/>
                      <w:spacing w:val="0"/>
                      <w:position w:val="0"/>
                      <w:highlight w:val="none"/>
                      <w:lang w:val="en-US" w:eastAsia="zh-CN"/>
                    </w:rPr>
                    <w:t>铅锌冶炼、</w:t>
                  </w:r>
                  <w:r>
                    <w:rPr>
                      <w:rFonts w:hint="default"/>
                      <w:caps w:val="0"/>
                      <w:color w:val="auto"/>
                      <w:spacing w:val="0"/>
                      <w:position w:val="0"/>
                      <w:highlight w:val="none"/>
                    </w:rPr>
                    <w:t>碳酸锂等</w:t>
                  </w:r>
                  <w:r>
                    <w:rPr>
                      <w:rFonts w:hint="eastAsia"/>
                      <w:caps w:val="0"/>
                      <w:color w:val="auto"/>
                      <w:spacing w:val="0"/>
                      <w:position w:val="0"/>
                      <w:highlight w:val="none"/>
                      <w:lang w:val="en-US" w:eastAsia="zh-CN"/>
                    </w:rPr>
                    <w:t>典型涉铊企业，属于对锂冶炼剩余物开展资源化利用，根据附件10中水洗渣检测报告显示水出渣成分中含有铊因子，</w:t>
                  </w:r>
                  <w:r>
                    <w:rPr>
                      <w:rFonts w:hint="default"/>
                      <w:caps w:val="0"/>
                      <w:color w:val="auto"/>
                      <w:spacing w:val="0"/>
                      <w:position w:val="0"/>
                      <w:highlight w:val="none"/>
                      <w:lang w:val="en-US" w:eastAsia="zh-CN"/>
                    </w:rPr>
                    <w:t>本环评要求建设单位在雨水排放口安装氟化物、铊在线监测设备，并与市、县两级在线监控管理平台联网。</w:t>
                  </w:r>
                </w:p>
              </w:tc>
              <w:tc>
                <w:tcPr>
                  <w:tcW w:w="742" w:type="dxa"/>
                  <w:tcBorders>
                    <w:tl2br w:val="nil"/>
                    <w:tr2bl w:val="nil"/>
                  </w:tcBorders>
                  <w:noWrap w:val="0"/>
                  <w:vAlign w:val="center"/>
                </w:tcPr>
                <w:p w14:paraId="3EC6D1D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102B75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80" w:type="dxa"/>
                  <w:tcBorders>
                    <w:tl2br w:val="nil"/>
                    <w:tr2bl w:val="nil"/>
                  </w:tcBorders>
                  <w:noWrap w:val="0"/>
                  <w:vAlign w:val="center"/>
                </w:tcPr>
                <w:p w14:paraId="39A98F26">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4</w:t>
                  </w:r>
                </w:p>
              </w:tc>
              <w:tc>
                <w:tcPr>
                  <w:tcW w:w="3672" w:type="dxa"/>
                  <w:tcBorders>
                    <w:tl2br w:val="nil"/>
                    <w:tr2bl w:val="nil"/>
                  </w:tcBorders>
                  <w:noWrap w:val="0"/>
                  <w:vAlign w:val="center"/>
                </w:tcPr>
                <w:p w14:paraId="4D15BFA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rPr>
                    <w:t>持续推进涉铊企业排查整治。按照《江西省涉铊企业专项排查整治工作方案》《江西省生态环境厅关于开展碳酸锂等涉铊行业企业排查整治工作的紧急通知》</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2023年全省生态环境保护重点执法检查计划》等有关文件和技术指南要求，在前期涉铊企业专项排查整治工作基础上，继续结合重点排污单位名录、土壤污染重点监管单位、清洁生产审核重点企业名单、全口径涉重金属重点行业企业清单等信息，持续完善健全《涉铊企业排查信息登记表》《涉铊企业排查整治情况汇总表》等排查表，分类形成涉铊企业清单，全面开展全流程涉铊溯源工作，压实涉铊企业环境风险防控责任。各地生态环境部门要对排查发现的涉铊企业未安装除铊污染防治设施、排口铊浓度超标、自行监测方案未纳入铊因子等情形，指导督促涉铊企业建立铊污染风险问题台账并制定问题整改方案，通过企业自行整改、市县督促检查、省级抽查和指导帮扶，推进涉铊企业全面整改，实现涉铊企业“数量清、分布清、问题清、治理好”，促进涉铊企业绿色安全发展。</w:t>
                  </w:r>
                </w:p>
              </w:tc>
              <w:tc>
                <w:tcPr>
                  <w:tcW w:w="2185" w:type="dxa"/>
                  <w:tcBorders>
                    <w:tl2br w:val="nil"/>
                    <w:tr2bl w:val="nil"/>
                  </w:tcBorders>
                  <w:noWrap w:val="0"/>
                  <w:vAlign w:val="center"/>
                </w:tcPr>
                <w:p w14:paraId="1B0AD90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本项目锂冶炼剩余物中含有铊因子，</w:t>
                  </w:r>
                  <w:r>
                    <w:rPr>
                      <w:rFonts w:hint="default"/>
                      <w:caps w:val="0"/>
                      <w:color w:val="auto"/>
                      <w:spacing w:val="0"/>
                      <w:position w:val="0"/>
                      <w:highlight w:val="none"/>
                      <w:lang w:val="en-US" w:eastAsia="zh-CN"/>
                    </w:rPr>
                    <w:t>本环评要求建设单位在雨水排放口安装氟化物、铊在线监测设备，并与市、县两级在线监控管理平台联网。</w:t>
                  </w:r>
                </w:p>
              </w:tc>
              <w:tc>
                <w:tcPr>
                  <w:tcW w:w="742" w:type="dxa"/>
                  <w:tcBorders>
                    <w:tl2br w:val="nil"/>
                    <w:tr2bl w:val="nil"/>
                  </w:tcBorders>
                  <w:noWrap w:val="0"/>
                  <w:vAlign w:val="center"/>
                </w:tcPr>
                <w:p w14:paraId="32B5529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331301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80" w:type="dxa"/>
                  <w:tcBorders>
                    <w:tl2br w:val="nil"/>
                    <w:tr2bl w:val="nil"/>
                  </w:tcBorders>
                  <w:noWrap w:val="0"/>
                  <w:vAlign w:val="center"/>
                </w:tcPr>
                <w:p w14:paraId="1D172975">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5</w:t>
                  </w:r>
                </w:p>
              </w:tc>
              <w:tc>
                <w:tcPr>
                  <w:tcW w:w="3672" w:type="dxa"/>
                  <w:tcBorders>
                    <w:tl2br w:val="nil"/>
                    <w:tr2bl w:val="nil"/>
                  </w:tcBorders>
                  <w:noWrap w:val="0"/>
                  <w:vAlign w:val="center"/>
                </w:tcPr>
                <w:p w14:paraId="64BA83BF">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default"/>
                      <w:caps w:val="0"/>
                      <w:color w:val="auto"/>
                      <w:spacing w:val="0"/>
                      <w:position w:val="0"/>
                      <w:highlight w:val="none"/>
                    </w:rPr>
                    <w:t>落实排污许可管理制度。严格落实《排污许可管理条例》，依法将涉铊企业纳入排污许可管理。依据国家和地方标准、相关行业排污许可技术规范以及企业环境影响评价批复等文件及地方相关文件要求，在排污许可证中明确许可铊污染因子排放浓度等信息，并提出有关污染防治措施。对于已经建成并投产的涉铊项目，应对原辅材料、生产工艺、产排污节点进行深入分析，依据法规政策、排放标准和技术规范等文件要求，2023年年底前对排污许可证中铊污染因子的许可和管理要求进行变更。到2025年，涉铊企业排污许可证环境管理台账、自行监测和执行报告数据基本实现完整，有效支撑重点行业企业排放量管理</w:t>
                  </w:r>
                  <w:r>
                    <w:rPr>
                      <w:rFonts w:hint="eastAsia"/>
                      <w:caps w:val="0"/>
                      <w:color w:val="auto"/>
                      <w:spacing w:val="0"/>
                      <w:position w:val="0"/>
                      <w:highlight w:val="none"/>
                      <w:lang w:eastAsia="zh-CN"/>
                    </w:rPr>
                    <w:t>。</w:t>
                  </w:r>
                </w:p>
              </w:tc>
              <w:tc>
                <w:tcPr>
                  <w:tcW w:w="2185" w:type="dxa"/>
                  <w:tcBorders>
                    <w:tl2br w:val="nil"/>
                    <w:tr2bl w:val="nil"/>
                  </w:tcBorders>
                  <w:noWrap w:val="0"/>
                  <w:vAlign w:val="center"/>
                </w:tcPr>
                <w:p w14:paraId="459F468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本项目建成后按要求申请排污许可证。</w:t>
                  </w:r>
                </w:p>
              </w:tc>
              <w:tc>
                <w:tcPr>
                  <w:tcW w:w="742" w:type="dxa"/>
                  <w:tcBorders>
                    <w:tl2br w:val="nil"/>
                    <w:tr2bl w:val="nil"/>
                  </w:tcBorders>
                  <w:noWrap w:val="0"/>
                  <w:vAlign w:val="center"/>
                </w:tcPr>
                <w:p w14:paraId="17F96D2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446A57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80" w:type="dxa"/>
                  <w:tcBorders>
                    <w:tl2br w:val="nil"/>
                    <w:tr2bl w:val="nil"/>
                  </w:tcBorders>
                  <w:noWrap w:val="0"/>
                  <w:vAlign w:val="center"/>
                </w:tcPr>
                <w:p w14:paraId="1B862C7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6</w:t>
                  </w:r>
                </w:p>
              </w:tc>
              <w:tc>
                <w:tcPr>
                  <w:tcW w:w="3672" w:type="dxa"/>
                  <w:tcBorders>
                    <w:tl2br w:val="nil"/>
                    <w:tr2bl w:val="nil"/>
                  </w:tcBorders>
                  <w:noWrap w:val="0"/>
                  <w:vAlign w:val="center"/>
                </w:tcPr>
                <w:p w14:paraId="170DA987">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default"/>
                      <w:caps w:val="0"/>
                      <w:color w:val="auto"/>
                      <w:spacing w:val="0"/>
                      <w:position w:val="0"/>
                      <w:highlight w:val="none"/>
                    </w:rPr>
                    <w:t>强化铊因子监测监控。根据国家监测方案逐步完善铊因子的环境监测网络。试点对县级及以上饮用水源地，涉铊风险的国、省控断面开展专项监测。省生态环境厅、设区市生态环境局、赣江新区生态环境</w:t>
                  </w:r>
                  <w:r>
                    <w:rPr>
                      <w:rFonts w:hint="eastAsia"/>
                      <w:caps w:val="0"/>
                      <w:color w:val="auto"/>
                      <w:spacing w:val="0"/>
                      <w:position w:val="0"/>
                      <w:highlight w:val="none"/>
                      <w:lang w:val="en-US" w:eastAsia="zh-CN"/>
                    </w:rPr>
                    <w:t>局</w:t>
                  </w:r>
                  <w:r>
                    <w:rPr>
                      <w:rFonts w:hint="default"/>
                      <w:caps w:val="0"/>
                      <w:color w:val="auto"/>
                      <w:spacing w:val="0"/>
                      <w:position w:val="0"/>
                      <w:highlight w:val="none"/>
                    </w:rPr>
                    <w:t>分别开展涉铊企业自行监测专项帮扶和检查，督促指导企业按照规范要求将铊因子纳入自行监测方案。各设区市生态环境局、赣江新区生态环境局结合涉铊排查整治工作，加强对辖区内涉铊企业雨水排口、污水排口、烟气处理废水循环水池、初期雨水池和地面冲洗水收集池以及有涉铊企业的工业园区排污口等的监测，督促涉铊企业按照排放标准要求在车间或生产设施排口安装铊因子自动监测设备，鼓励在工业园区污水处理厂排口安装铊因子自动监测设备</w:t>
                  </w:r>
                  <w:r>
                    <w:rPr>
                      <w:rFonts w:hint="eastAsia"/>
                      <w:caps w:val="0"/>
                      <w:color w:val="auto"/>
                      <w:spacing w:val="0"/>
                      <w:position w:val="0"/>
                      <w:highlight w:val="none"/>
                      <w:lang w:eastAsia="zh-CN"/>
                    </w:rPr>
                    <w:t>。</w:t>
                  </w:r>
                </w:p>
              </w:tc>
              <w:tc>
                <w:tcPr>
                  <w:tcW w:w="2185" w:type="dxa"/>
                  <w:tcBorders>
                    <w:tl2br w:val="nil"/>
                    <w:tr2bl w:val="nil"/>
                  </w:tcBorders>
                  <w:noWrap w:val="0"/>
                  <w:vAlign w:val="center"/>
                </w:tcPr>
                <w:p w14:paraId="4C35AF7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本环评要求建设单位在雨水排放口安装氟化物、铊在线监测设备，并与市、县两级在线监控管理平台联网。</w:t>
                  </w:r>
                </w:p>
              </w:tc>
              <w:tc>
                <w:tcPr>
                  <w:tcW w:w="742" w:type="dxa"/>
                  <w:tcBorders>
                    <w:tl2br w:val="nil"/>
                    <w:tr2bl w:val="nil"/>
                  </w:tcBorders>
                  <w:noWrap w:val="0"/>
                  <w:vAlign w:val="center"/>
                </w:tcPr>
                <w:p w14:paraId="6AAFF66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bl>
          <w:p w14:paraId="69015CBC">
            <w:pPr>
              <w:pStyle w:val="74"/>
              <w:keepNext w:val="0"/>
              <w:keepLines w:val="0"/>
              <w:suppressLineNumbers w:val="0"/>
              <w:bidi w:val="0"/>
              <w:spacing w:before="0" w:beforeAutospacing="0" w:after="0" w:afterAutospacing="0"/>
              <w:ind w:left="0" w:right="0"/>
              <w:rPr>
                <w:rFonts w:hint="eastAsia"/>
                <w:b/>
                <w:bCs w:val="0"/>
                <w:caps w:val="0"/>
                <w:color w:val="auto"/>
                <w:spacing w:val="0"/>
                <w:position w:val="0"/>
                <w:highlight w:val="none"/>
                <w:lang w:val="en-US" w:eastAsia="zh-CN"/>
              </w:rPr>
            </w:pPr>
            <w:r>
              <w:rPr>
                <w:rFonts w:hint="eastAsia"/>
                <w:b/>
                <w:bCs w:val="0"/>
                <w:caps w:val="0"/>
                <w:color w:val="auto"/>
                <w:spacing w:val="0"/>
                <w:position w:val="0"/>
                <w:highlight w:val="none"/>
                <w:lang w:val="en-US" w:eastAsia="zh-CN"/>
              </w:rPr>
              <w:t>14、《江西省生态环境厅关于开展涉铊重点行业企业自动监控工作的通知》（赣环应急〔2023〕2号）</w:t>
            </w:r>
          </w:p>
          <w:p w14:paraId="4B514D3B">
            <w:pPr>
              <w:pStyle w:val="75"/>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表1-14 与赣环应急〔2023〕2号相符性分析表</w:t>
            </w:r>
          </w:p>
          <w:tbl>
            <w:tblPr>
              <w:tblStyle w:val="23"/>
              <w:tblpPr w:vertAnchor="text" w:tblpXSpec="center" w:tblpY="1"/>
              <w:tblOverlap w:val="never"/>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06"/>
              <w:gridCol w:w="3427"/>
              <w:gridCol w:w="2312"/>
              <w:gridCol w:w="949"/>
            </w:tblGrid>
            <w:tr w14:paraId="55DA6D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975" w:type="dxa"/>
                  <w:gridSpan w:val="2"/>
                  <w:tcBorders>
                    <w:tl2br w:val="nil"/>
                    <w:tr2bl w:val="nil"/>
                  </w:tcBorders>
                  <w:noWrap w:val="0"/>
                  <w:vAlign w:val="center"/>
                </w:tcPr>
                <w:p w14:paraId="33C55FA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文件要求</w:t>
                  </w:r>
                </w:p>
              </w:tc>
              <w:tc>
                <w:tcPr>
                  <w:tcW w:w="2282" w:type="dxa"/>
                  <w:tcBorders>
                    <w:tl2br w:val="nil"/>
                    <w:tr2bl w:val="nil"/>
                  </w:tcBorders>
                  <w:noWrap w:val="0"/>
                  <w:vAlign w:val="center"/>
                </w:tcPr>
                <w:p w14:paraId="4A9481B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本项目实际情况</w:t>
                  </w:r>
                </w:p>
              </w:tc>
              <w:tc>
                <w:tcPr>
                  <w:tcW w:w="922" w:type="dxa"/>
                  <w:tcBorders>
                    <w:tl2br w:val="nil"/>
                    <w:tr2bl w:val="nil"/>
                  </w:tcBorders>
                  <w:noWrap w:val="0"/>
                  <w:vAlign w:val="center"/>
                </w:tcPr>
                <w:p w14:paraId="75D1C1A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相符性</w:t>
                  </w:r>
                </w:p>
              </w:tc>
            </w:tr>
            <w:tr w14:paraId="5684B1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80" w:type="dxa"/>
                  <w:vMerge w:val="restart"/>
                  <w:tcBorders>
                    <w:tl2br w:val="nil"/>
                    <w:tr2bl w:val="nil"/>
                  </w:tcBorders>
                  <w:noWrap w:val="0"/>
                  <w:vAlign w:val="center"/>
                </w:tcPr>
                <w:p w14:paraId="51EB2C9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建设要求</w:t>
                  </w:r>
                </w:p>
              </w:tc>
              <w:tc>
                <w:tcPr>
                  <w:tcW w:w="3395" w:type="dxa"/>
                  <w:tcBorders>
                    <w:tl2br w:val="nil"/>
                    <w:tr2bl w:val="nil"/>
                  </w:tcBorders>
                  <w:noWrap w:val="0"/>
                  <w:vAlign w:val="center"/>
                </w:tcPr>
                <w:p w14:paraId="30C4525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各地可在前期制定的全口径涉重金属重点行业企业清单的基础上，结合当地涉铊重点行业企业主要包括铅、锌、锡、锑、汞等重有色金属冶炼及采选；钢铁；涉及硫铁矿制硫酸的硫酸制造和磷肥制造：涉铊、锌、铜、铅重金属无机化合物；以锂辉石和锂云母为原料制备锂盐产品；其他含铊矿</w:t>
                  </w:r>
                  <w:r>
                    <w:rPr>
                      <w:rFonts w:hint="eastAsia"/>
                      <w:caps w:val="0"/>
                      <w:color w:val="auto"/>
                      <w:spacing w:val="0"/>
                      <w:position w:val="0"/>
                      <w:highlight w:val="none"/>
                      <w:lang w:eastAsia="zh-CN"/>
                    </w:rPr>
                    <w:t>（</w:t>
                  </w:r>
                  <w:r>
                    <w:rPr>
                      <w:rFonts w:hint="default"/>
                      <w:caps w:val="0"/>
                      <w:color w:val="auto"/>
                      <w:spacing w:val="0"/>
                      <w:position w:val="0"/>
                      <w:highlight w:val="none"/>
                    </w:rPr>
                    <w:t>稀土等</w:t>
                  </w:r>
                  <w:r>
                    <w:rPr>
                      <w:rFonts w:hint="eastAsia"/>
                      <w:caps w:val="0"/>
                      <w:color w:val="auto"/>
                      <w:spacing w:val="0"/>
                      <w:position w:val="0"/>
                      <w:highlight w:val="none"/>
                      <w:lang w:eastAsia="zh-CN"/>
                    </w:rPr>
                    <w:t>）</w:t>
                  </w:r>
                  <w:r>
                    <w:rPr>
                      <w:rFonts w:hint="default"/>
                      <w:caps w:val="0"/>
                      <w:color w:val="auto"/>
                      <w:spacing w:val="0"/>
                      <w:position w:val="0"/>
                      <w:highlight w:val="none"/>
                    </w:rPr>
                    <w:t>采选以及含铊灰渣</w:t>
                  </w:r>
                  <w:r>
                    <w:rPr>
                      <w:rFonts w:hint="eastAsia"/>
                      <w:caps w:val="0"/>
                      <w:color w:val="auto"/>
                      <w:spacing w:val="0"/>
                      <w:position w:val="0"/>
                      <w:highlight w:val="none"/>
                      <w:lang w:eastAsia="zh-CN"/>
                    </w:rPr>
                    <w:t>（</w:t>
                  </w:r>
                  <w:r>
                    <w:rPr>
                      <w:rFonts w:hint="default"/>
                      <w:caps w:val="0"/>
                      <w:color w:val="auto"/>
                      <w:spacing w:val="0"/>
                      <w:position w:val="0"/>
                      <w:highlight w:val="none"/>
                    </w:rPr>
                    <w:t>瓦斯灰等</w:t>
                  </w:r>
                  <w:r>
                    <w:rPr>
                      <w:rFonts w:hint="eastAsia"/>
                      <w:caps w:val="0"/>
                      <w:color w:val="auto"/>
                      <w:spacing w:val="0"/>
                      <w:position w:val="0"/>
                      <w:highlight w:val="none"/>
                      <w:lang w:eastAsia="zh-CN"/>
                    </w:rPr>
                    <w:t>）</w:t>
                  </w:r>
                  <w:r>
                    <w:rPr>
                      <w:rFonts w:hint="default"/>
                      <w:caps w:val="0"/>
                      <w:color w:val="auto"/>
                      <w:spacing w:val="0"/>
                      <w:position w:val="0"/>
                      <w:highlight w:val="none"/>
                    </w:rPr>
                    <w:t>利用等高风险行业的企业情况，凡属重点单位</w:t>
                  </w:r>
                  <w:r>
                    <w:rPr>
                      <w:rFonts w:hint="eastAsia"/>
                      <w:caps w:val="0"/>
                      <w:color w:val="auto"/>
                      <w:spacing w:val="0"/>
                      <w:position w:val="0"/>
                      <w:highlight w:val="none"/>
                      <w:lang w:eastAsia="zh-CN"/>
                    </w:rPr>
                    <w:t>（</w:t>
                  </w:r>
                  <w:r>
                    <w:rPr>
                      <w:rFonts w:hint="default"/>
                      <w:caps w:val="0"/>
                      <w:color w:val="auto"/>
                      <w:spacing w:val="0"/>
                      <w:position w:val="0"/>
                      <w:highlight w:val="none"/>
                    </w:rPr>
                    <w:t>含重点排污单位及排污许可重点管理单位</w:t>
                  </w:r>
                  <w:r>
                    <w:rPr>
                      <w:rFonts w:hint="eastAsia"/>
                      <w:caps w:val="0"/>
                      <w:color w:val="auto"/>
                      <w:spacing w:val="0"/>
                      <w:position w:val="0"/>
                      <w:highlight w:val="none"/>
                      <w:lang w:eastAsia="zh-CN"/>
                    </w:rPr>
                    <w:t>）</w:t>
                  </w:r>
                  <w:r>
                    <w:rPr>
                      <w:rFonts w:hint="default"/>
                      <w:caps w:val="0"/>
                      <w:color w:val="auto"/>
                      <w:spacing w:val="0"/>
                      <w:position w:val="0"/>
                      <w:highlight w:val="none"/>
                    </w:rPr>
                    <w:t>且具备污染源自动监测安装条件的，确定为实施铊污染物排放自动监测的排污单位。</w:t>
                  </w:r>
                </w:p>
              </w:tc>
              <w:tc>
                <w:tcPr>
                  <w:tcW w:w="2282" w:type="dxa"/>
                  <w:tcBorders>
                    <w:tl2br w:val="nil"/>
                    <w:tr2bl w:val="nil"/>
                  </w:tcBorders>
                  <w:noWrap w:val="0"/>
                  <w:vAlign w:val="center"/>
                </w:tcPr>
                <w:p w14:paraId="6F97DEA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根据表列涉铊重点行业类别，本项目不属于涉铊重点行业企业，本项目锂冶炼剩余物中含有铊因子，已对原料、产品、生产废物中铊成分进行分析，并给出铊元素物料平衡分析，明确了铊污染物排放量和最终去向。</w:t>
                  </w:r>
                  <w:r>
                    <w:rPr>
                      <w:rFonts w:hint="default" w:ascii="Times New Roman" w:hAnsi="Times New Roman" w:eastAsia="宋体" w:cs="Times New Roman"/>
                      <w:caps w:val="0"/>
                      <w:color w:val="auto"/>
                      <w:spacing w:val="0"/>
                      <w:position w:val="0"/>
                      <w:highlight w:val="none"/>
                      <w:lang w:val="en-US" w:eastAsia="zh-CN"/>
                    </w:rPr>
                    <w:t>生产废水回用不外排</w:t>
                  </w:r>
                  <w:r>
                    <w:rPr>
                      <w:rFonts w:hint="eastAsia" w:ascii="Times New Roman" w:hAnsi="Times New Roman" w:eastAsia="宋体" w:cs="Times New Roman"/>
                      <w:caps w:val="0"/>
                      <w:color w:val="auto"/>
                      <w:spacing w:val="0"/>
                      <w:position w:val="0"/>
                      <w:highlight w:val="none"/>
                      <w:lang w:val="en-US" w:eastAsia="zh-CN"/>
                    </w:rPr>
                    <w:t>，</w:t>
                  </w:r>
                  <w:r>
                    <w:rPr>
                      <w:rFonts w:hint="default"/>
                      <w:caps w:val="0"/>
                      <w:color w:val="auto"/>
                      <w:spacing w:val="0"/>
                      <w:position w:val="0"/>
                      <w:highlight w:val="none"/>
                      <w:lang w:val="en-US" w:eastAsia="zh-CN"/>
                    </w:rPr>
                    <w:t>本环评要求建设单位在雨水排放口安装氟化物、铊在线监测设备，并与市、县两级在线监控管理平台联网。</w:t>
                  </w:r>
                </w:p>
              </w:tc>
              <w:tc>
                <w:tcPr>
                  <w:tcW w:w="922" w:type="dxa"/>
                  <w:tcBorders>
                    <w:tl2br w:val="nil"/>
                    <w:tr2bl w:val="nil"/>
                  </w:tcBorders>
                  <w:noWrap w:val="0"/>
                  <w:vAlign w:val="center"/>
                </w:tcPr>
                <w:p w14:paraId="30BB5DC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79FF73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80" w:type="dxa"/>
                  <w:vMerge w:val="continue"/>
                  <w:tcBorders>
                    <w:tl2br w:val="nil"/>
                    <w:tr2bl w:val="nil"/>
                  </w:tcBorders>
                  <w:noWrap w:val="0"/>
                  <w:vAlign w:val="center"/>
                </w:tcPr>
                <w:p w14:paraId="2045185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p>
              </w:tc>
              <w:tc>
                <w:tcPr>
                  <w:tcW w:w="3395" w:type="dxa"/>
                  <w:tcBorders>
                    <w:tl2br w:val="nil"/>
                    <w:tr2bl w:val="nil"/>
                  </w:tcBorders>
                  <w:noWrap w:val="0"/>
                  <w:vAlign w:val="center"/>
                </w:tcPr>
                <w:p w14:paraId="034514F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涉铊重点单位为安装铊污染物排放自动监测设备的责任主体，承担自动监测设备的建设、运行、维护费用。</w:t>
                  </w:r>
                </w:p>
                <w:p w14:paraId="4F05F98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地方生态环境部门负责指导、协调及监督铊污染物排放自动监测设备的管理工作</w:t>
                  </w:r>
                </w:p>
              </w:tc>
              <w:tc>
                <w:tcPr>
                  <w:tcW w:w="2282" w:type="dxa"/>
                  <w:tcBorders>
                    <w:tl2br w:val="nil"/>
                    <w:tr2bl w:val="nil"/>
                  </w:tcBorders>
                  <w:noWrap w:val="0"/>
                  <w:vAlign w:val="center"/>
                </w:tcPr>
                <w:p w14:paraId="1F140AD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rPr>
                  </w:pPr>
                  <w:r>
                    <w:rPr>
                      <w:rFonts w:hint="default"/>
                      <w:caps w:val="0"/>
                      <w:color w:val="auto"/>
                      <w:spacing w:val="0"/>
                      <w:position w:val="0"/>
                      <w:highlight w:val="none"/>
                      <w:lang w:val="en-US" w:eastAsia="zh-CN"/>
                    </w:rPr>
                    <w:t>本环评要求建设单位在雨水排放口安装氟化物、铊在线监测设备，并与市、县两级在线监控管理平台联网</w:t>
                  </w:r>
                  <w:r>
                    <w:rPr>
                      <w:rFonts w:hint="eastAsia"/>
                      <w:caps w:val="0"/>
                      <w:color w:val="auto"/>
                      <w:spacing w:val="0"/>
                      <w:position w:val="0"/>
                      <w:highlight w:val="none"/>
                      <w:lang w:val="en-US" w:eastAsia="zh-CN"/>
                    </w:rPr>
                    <w:t>。</w:t>
                  </w:r>
                </w:p>
              </w:tc>
              <w:tc>
                <w:tcPr>
                  <w:tcW w:w="922" w:type="dxa"/>
                  <w:tcBorders>
                    <w:tl2br w:val="nil"/>
                    <w:tr2bl w:val="nil"/>
                  </w:tcBorders>
                  <w:noWrap w:val="0"/>
                  <w:vAlign w:val="center"/>
                </w:tcPr>
                <w:p w14:paraId="5D1E474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6830F4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80" w:type="dxa"/>
                  <w:vMerge w:val="continue"/>
                  <w:tcBorders>
                    <w:tl2br w:val="nil"/>
                    <w:tr2bl w:val="nil"/>
                  </w:tcBorders>
                  <w:noWrap w:val="0"/>
                  <w:vAlign w:val="center"/>
                </w:tcPr>
                <w:p w14:paraId="1AD3F3D6">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p>
              </w:tc>
              <w:tc>
                <w:tcPr>
                  <w:tcW w:w="3395" w:type="dxa"/>
                  <w:tcBorders>
                    <w:tl2br w:val="nil"/>
                    <w:tr2bl w:val="nil"/>
                  </w:tcBorders>
                  <w:noWrap w:val="0"/>
                  <w:vAlign w:val="center"/>
                </w:tcPr>
                <w:p w14:paraId="2B3F740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涉铊重点单位须按照《工业废水铊污染物排放标准》</w:t>
                  </w:r>
                  <w:r>
                    <w:rPr>
                      <w:rFonts w:hint="eastAsia"/>
                      <w:caps w:val="0"/>
                      <w:color w:val="auto"/>
                      <w:spacing w:val="0"/>
                      <w:position w:val="0"/>
                      <w:highlight w:val="none"/>
                      <w:lang w:eastAsia="zh-CN"/>
                    </w:rPr>
                    <w:t>（</w:t>
                  </w:r>
                  <w:r>
                    <w:rPr>
                      <w:rFonts w:hint="default"/>
                      <w:caps w:val="0"/>
                      <w:color w:val="auto"/>
                      <w:spacing w:val="0"/>
                      <w:position w:val="0"/>
                      <w:highlight w:val="none"/>
                    </w:rPr>
                    <w:t>DB36/1149-2019</w:t>
                  </w:r>
                  <w:r>
                    <w:rPr>
                      <w:rFonts w:hint="eastAsia"/>
                      <w:caps w:val="0"/>
                      <w:color w:val="auto"/>
                      <w:spacing w:val="0"/>
                      <w:position w:val="0"/>
                      <w:highlight w:val="none"/>
                      <w:lang w:eastAsia="zh-CN"/>
                    </w:rPr>
                    <w:t>）</w:t>
                  </w:r>
                  <w:r>
                    <w:rPr>
                      <w:rFonts w:hint="default"/>
                      <w:caps w:val="0"/>
                      <w:color w:val="auto"/>
                      <w:spacing w:val="0"/>
                      <w:position w:val="0"/>
                      <w:highlight w:val="none"/>
                    </w:rPr>
                    <w:t>或相关行业排放标准及其修改单规定要求，在车间或生产设施废水排放口安装铊污染物排放自动监测设备，并与省污染源自动监控平台联网，同时在涉铊工艺、设施、储存点、车间和生产设施排放口等重点区域安装视频监控。鼓励在企业总排口同步安装铊污染物排放自动监测设备，在重点部位和关键节点安装用电（能）监控。各地有更严格规定的，从其规定。设备建设运行应满足《江西省污染源自动监控管理办法》要求。</w:t>
                  </w:r>
                </w:p>
              </w:tc>
              <w:tc>
                <w:tcPr>
                  <w:tcW w:w="2282" w:type="dxa"/>
                  <w:tcBorders>
                    <w:tl2br w:val="nil"/>
                    <w:tr2bl w:val="nil"/>
                  </w:tcBorders>
                  <w:noWrap w:val="0"/>
                  <w:vAlign w:val="center"/>
                </w:tcPr>
                <w:p w14:paraId="4603870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根据表列涉铊重点行业类别，本项目不属于涉铊重点行业企业，</w:t>
                  </w:r>
                  <w:r>
                    <w:rPr>
                      <w:rFonts w:hint="default"/>
                      <w:caps w:val="0"/>
                      <w:color w:val="auto"/>
                      <w:spacing w:val="0"/>
                      <w:position w:val="0"/>
                      <w:highlight w:val="none"/>
                      <w:lang w:val="en-US" w:eastAsia="zh-CN"/>
                    </w:rPr>
                    <w:t>本环评要求建设单位在雨水排放口安装氟化物、铊在线监测设备，并与市、县两级在线监控管理平台联网。</w:t>
                  </w:r>
                </w:p>
              </w:tc>
              <w:tc>
                <w:tcPr>
                  <w:tcW w:w="922" w:type="dxa"/>
                  <w:tcBorders>
                    <w:tl2br w:val="nil"/>
                    <w:tr2bl w:val="nil"/>
                  </w:tcBorders>
                  <w:noWrap w:val="0"/>
                  <w:vAlign w:val="center"/>
                </w:tcPr>
                <w:p w14:paraId="7E2CF2A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6BBD40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80" w:type="dxa"/>
                  <w:vMerge w:val="continue"/>
                  <w:tcBorders>
                    <w:tl2br w:val="nil"/>
                    <w:tr2bl w:val="nil"/>
                  </w:tcBorders>
                  <w:noWrap w:val="0"/>
                  <w:vAlign w:val="center"/>
                </w:tcPr>
                <w:p w14:paraId="0B706C9A">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p>
              </w:tc>
              <w:tc>
                <w:tcPr>
                  <w:tcW w:w="3395" w:type="dxa"/>
                  <w:tcBorders>
                    <w:tl2br w:val="nil"/>
                    <w:tr2bl w:val="nil"/>
                  </w:tcBorders>
                  <w:noWrap w:val="0"/>
                  <w:vAlign w:val="center"/>
                </w:tcPr>
                <w:p w14:paraId="356DAB1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涉铊重点单位应优先选择性能稳定性好的铊污染物排放自动监测设备，相关设备的安装、验收、运行及数据有效性判别可参照水污染源在线监测系统（CODCr、NH3-N等）安装、验收、运行、数据有效性判别相关技术规范要求，具体性能指标应满足设备操作或使用说明书要求。相关单位需严格落实铊自动监测设备运维及质控要求，保证设备正常运行，确保数据真实准确，每月至少开展1次铊自动监测设备比对监测</w:t>
                  </w:r>
                </w:p>
              </w:tc>
              <w:tc>
                <w:tcPr>
                  <w:tcW w:w="2282" w:type="dxa"/>
                  <w:tcBorders>
                    <w:tl2br w:val="nil"/>
                    <w:tr2bl w:val="nil"/>
                  </w:tcBorders>
                  <w:noWrap w:val="0"/>
                  <w:vAlign w:val="center"/>
                </w:tcPr>
                <w:p w14:paraId="732CC58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本项目将严格落实铊自动监测设备运维及质控要求，保证设备正常运行，确保数据真实准确，每月至少开展1次铊自动监测设备比对监测。</w:t>
                  </w:r>
                </w:p>
              </w:tc>
              <w:tc>
                <w:tcPr>
                  <w:tcW w:w="922" w:type="dxa"/>
                  <w:tcBorders>
                    <w:tl2br w:val="nil"/>
                    <w:tr2bl w:val="nil"/>
                  </w:tcBorders>
                  <w:noWrap w:val="0"/>
                  <w:vAlign w:val="center"/>
                </w:tcPr>
                <w:p w14:paraId="52A4F0B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bl>
          <w:p w14:paraId="4F9BA51F">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lang w:val="en-US" w:eastAsia="zh-CN"/>
              </w:rPr>
            </w:pPr>
            <w:r>
              <w:rPr>
                <w:rFonts w:hint="eastAsia"/>
                <w:b/>
                <w:bCs w:val="0"/>
                <w:caps w:val="0"/>
                <w:color w:val="auto"/>
                <w:spacing w:val="0"/>
                <w:position w:val="0"/>
                <w:highlight w:val="none"/>
                <w:lang w:val="en-US" w:eastAsia="zh-CN"/>
              </w:rPr>
              <w:t>15、</w:t>
            </w:r>
            <w:r>
              <w:rPr>
                <w:rFonts w:hint="default"/>
                <w:b/>
                <w:bCs w:val="0"/>
                <w:caps w:val="0"/>
                <w:color w:val="auto"/>
                <w:spacing w:val="0"/>
                <w:position w:val="0"/>
                <w:highlight w:val="none"/>
                <w:lang w:val="en-US" w:eastAsia="zh-CN"/>
              </w:rPr>
              <w:t>与《</w:t>
            </w:r>
            <w:r>
              <w:rPr>
                <w:rFonts w:hint="default"/>
                <w:b/>
                <w:bCs w:val="0"/>
                <w:caps w:val="0"/>
                <w:color w:val="auto"/>
                <w:spacing w:val="0"/>
                <w:position w:val="0"/>
                <w:highlight w:val="none"/>
              </w:rPr>
              <w:t>关于进一步加强重金属污染防控的意见</w:t>
            </w:r>
            <w:r>
              <w:rPr>
                <w:rFonts w:hint="default"/>
                <w:b/>
                <w:bCs w:val="0"/>
                <w:caps w:val="0"/>
                <w:color w:val="auto"/>
                <w:spacing w:val="0"/>
                <w:position w:val="0"/>
                <w:highlight w:val="none"/>
                <w:lang w:val="en-US" w:eastAsia="zh-CN"/>
              </w:rPr>
              <w:t>》（环固体〔2022〕17号）相符性分析</w:t>
            </w:r>
          </w:p>
          <w:p w14:paraId="3052E116">
            <w:pPr>
              <w:pStyle w:val="75"/>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表1-15 与环固体〔2022〕17号相符性分析表</w:t>
            </w:r>
          </w:p>
          <w:tbl>
            <w:tblPr>
              <w:tblStyle w:val="23"/>
              <w:tblpPr w:vertAnchor="text" w:tblpXSpec="center" w:tblpY="1"/>
              <w:tblOverlap w:val="never"/>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740"/>
              <w:gridCol w:w="2521"/>
              <w:gridCol w:w="1033"/>
            </w:tblGrid>
            <w:tr w14:paraId="10CC33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5" w:hRule="atLeast"/>
                <w:tblHeader/>
                <w:jc w:val="center"/>
              </w:trPr>
              <w:tc>
                <w:tcPr>
                  <w:tcW w:w="3704" w:type="dxa"/>
                  <w:tcBorders>
                    <w:tl2br w:val="nil"/>
                    <w:tr2bl w:val="nil"/>
                  </w:tcBorders>
                  <w:noWrap w:val="0"/>
                  <w:vAlign w:val="center"/>
                </w:tcPr>
                <w:p w14:paraId="51D4A703">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文件要求</w:t>
                  </w:r>
                </w:p>
              </w:tc>
              <w:tc>
                <w:tcPr>
                  <w:tcW w:w="2489" w:type="dxa"/>
                  <w:tcBorders>
                    <w:tl2br w:val="nil"/>
                    <w:tr2bl w:val="nil"/>
                  </w:tcBorders>
                  <w:noWrap w:val="0"/>
                  <w:vAlign w:val="center"/>
                </w:tcPr>
                <w:p w14:paraId="37078A7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本项目实际情况</w:t>
                  </w:r>
                </w:p>
              </w:tc>
              <w:tc>
                <w:tcPr>
                  <w:tcW w:w="1005" w:type="dxa"/>
                  <w:tcBorders>
                    <w:tl2br w:val="nil"/>
                    <w:tr2bl w:val="nil"/>
                  </w:tcBorders>
                  <w:noWrap w:val="0"/>
                  <w:vAlign w:val="center"/>
                </w:tcPr>
                <w:p w14:paraId="1A2A239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相符性</w:t>
                  </w:r>
                </w:p>
              </w:tc>
            </w:tr>
            <w:tr w14:paraId="582850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3" w:hRule="atLeast"/>
                <w:jc w:val="center"/>
              </w:trPr>
              <w:tc>
                <w:tcPr>
                  <w:tcW w:w="3704" w:type="dxa"/>
                  <w:tcBorders>
                    <w:tl2br w:val="nil"/>
                    <w:tr2bl w:val="nil"/>
                  </w:tcBorders>
                  <w:noWrap w:val="0"/>
                  <w:vAlign w:val="center"/>
                </w:tcPr>
                <w:p w14:paraId="1B836A4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严格重点行业企业准入管理。新、改、扩建重点行业建设项目应符合“三线一单”、产业政策、区域环评、规划环评和行业环境准入管控要求。重点区域的新、改、扩建重点行业建设项目应遵循重点重金属污染物排放“减量替代”原则，减量替代比例不低于1.2：1；其他区域遵循“等量替代”原则。建设单位在提交环境影响评价文件时应明确重点重金属污染物排放总量及来源。无明确具体总量来源的，各级生态环境部门不得批准相关环境影响评价文件。总量来源原则上应是同一重点行业内企业削减的重点重金属污染物排放量，当同一重点行业内企业削减量无法满足时可从其他重点行业调剂。严格重点行业建设项目环境影响评价审批，审慎下放审批权限，不得以改革试点为名降低审批要求</w:t>
                  </w:r>
                </w:p>
              </w:tc>
              <w:tc>
                <w:tcPr>
                  <w:tcW w:w="2489" w:type="dxa"/>
                  <w:tcBorders>
                    <w:tl2br w:val="nil"/>
                    <w:tr2bl w:val="nil"/>
                  </w:tcBorders>
                  <w:noWrap w:val="0"/>
                  <w:vAlign w:val="center"/>
                </w:tcPr>
                <w:p w14:paraId="65B00DF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本项目为新建项目，建设符合“三线一单、产业政策和行业环境准入管控要求”，不涉及重金属污染物的排放。</w:t>
                  </w:r>
                </w:p>
              </w:tc>
              <w:tc>
                <w:tcPr>
                  <w:tcW w:w="1005" w:type="dxa"/>
                  <w:tcBorders>
                    <w:tl2br w:val="nil"/>
                    <w:tr2bl w:val="nil"/>
                  </w:tcBorders>
                  <w:noWrap w:val="0"/>
                  <w:vAlign w:val="center"/>
                </w:tcPr>
                <w:p w14:paraId="29CB323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712B2E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3704" w:type="dxa"/>
                  <w:tcBorders>
                    <w:tl2br w:val="nil"/>
                    <w:tr2bl w:val="nil"/>
                  </w:tcBorders>
                  <w:noWrap w:val="0"/>
                  <w:vAlign w:val="center"/>
                </w:tcPr>
                <w:p w14:paraId="2E17D4C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依法推动落后产能退出。根据《产业结构调整指导目录》《限期淘汰产生严重污染环境的工业固体废物的落后生产工艺设备名录》等要求，推动依法淘汰涉重金属落后产能和化解过剩产能。严格执行生态环境保护等相关法规标准，推动经整改仍达不到要求的产能依法依规关闭退出</w:t>
                  </w:r>
                </w:p>
              </w:tc>
              <w:tc>
                <w:tcPr>
                  <w:tcW w:w="2489" w:type="dxa"/>
                  <w:tcBorders>
                    <w:tl2br w:val="nil"/>
                    <w:tr2bl w:val="nil"/>
                  </w:tcBorders>
                  <w:noWrap w:val="0"/>
                  <w:vAlign w:val="center"/>
                </w:tcPr>
                <w:p w14:paraId="6690507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rPr>
                  </w:pPr>
                  <w:r>
                    <w:rPr>
                      <w:rFonts w:hint="default"/>
                      <w:caps w:val="0"/>
                      <w:color w:val="auto"/>
                      <w:spacing w:val="0"/>
                      <w:position w:val="0"/>
                      <w:highlight w:val="none"/>
                      <w:lang w:val="en-US"/>
                    </w:rPr>
                    <w:t>本项目属于</w:t>
                  </w:r>
                  <w:r>
                    <w:rPr>
                      <w:rFonts w:hint="eastAsia"/>
                      <w:caps w:val="0"/>
                      <w:color w:val="auto"/>
                      <w:spacing w:val="0"/>
                      <w:position w:val="0"/>
                      <w:highlight w:val="none"/>
                      <w:lang w:val="en-US" w:eastAsia="zh-CN"/>
                    </w:rPr>
                    <w:t>“</w:t>
                  </w:r>
                  <w:r>
                    <w:rPr>
                      <w:rFonts w:hint="default"/>
                      <w:caps w:val="0"/>
                      <w:color w:val="auto"/>
                      <w:spacing w:val="0"/>
                      <w:position w:val="0"/>
                      <w:highlight w:val="none"/>
                      <w:lang w:val="en-US" w:eastAsia="zh-CN"/>
                    </w:rPr>
                    <w:t>第一类鼓励类</w:t>
                  </w:r>
                  <w:r>
                    <w:rPr>
                      <w:rFonts w:hint="eastAsia"/>
                      <w:caps w:val="0"/>
                      <w:color w:val="auto"/>
                      <w:spacing w:val="0"/>
                      <w:position w:val="0"/>
                      <w:highlight w:val="none"/>
                      <w:lang w:val="en-US" w:eastAsia="zh-CN"/>
                    </w:rPr>
                    <w:t>”</w:t>
                  </w:r>
                  <w:r>
                    <w:rPr>
                      <w:rFonts w:hint="default"/>
                      <w:caps w:val="0"/>
                      <w:color w:val="auto"/>
                      <w:spacing w:val="0"/>
                      <w:position w:val="0"/>
                      <w:highlight w:val="none"/>
                      <w:lang w:val="en-US" w:eastAsia="zh-CN"/>
                    </w:rPr>
                    <w:t>中</w:t>
                  </w:r>
                  <w:r>
                    <w:rPr>
                      <w:rFonts w:hint="eastAsia"/>
                      <w:caps w:val="0"/>
                      <w:color w:val="auto"/>
                      <w:spacing w:val="0"/>
                      <w:position w:val="0"/>
                      <w:highlight w:val="none"/>
                      <w:lang w:val="en-US" w:eastAsia="zh-CN"/>
                    </w:rPr>
                    <w:t>“</w:t>
                  </w:r>
                  <w:r>
                    <w:rPr>
                      <w:rFonts w:hint="default"/>
                      <w:caps w:val="0"/>
                      <w:color w:val="auto"/>
                      <w:spacing w:val="0"/>
                      <w:position w:val="0"/>
                      <w:highlight w:val="none"/>
                      <w:lang w:val="en-US" w:eastAsia="zh-CN"/>
                    </w:rPr>
                    <w:t>四十二、环境保护与资源节约综合利用8、废弃物循环利用：煤矸石、粉煤灰、尾矿（共伴生矿）、冶炼渣、工业副产石膏、赤泥、</w:t>
                  </w:r>
                  <w:r>
                    <w:rPr>
                      <w:rFonts w:hint="eastAsia"/>
                      <w:caps w:val="0"/>
                      <w:color w:val="auto"/>
                      <w:spacing w:val="0"/>
                      <w:position w:val="0"/>
                      <w:highlight w:val="none"/>
                      <w:lang w:val="en-US" w:eastAsia="zh-CN"/>
                    </w:rPr>
                    <w:t>建筑废料</w:t>
                  </w:r>
                  <w:r>
                    <w:rPr>
                      <w:rFonts w:hint="default"/>
                      <w:caps w:val="0"/>
                      <w:color w:val="auto"/>
                      <w:spacing w:val="0"/>
                      <w:position w:val="0"/>
                      <w:highlight w:val="none"/>
                      <w:lang w:val="en-US" w:eastAsia="zh-CN"/>
                    </w:rPr>
                    <w:t>等工业废弃物循环利用</w:t>
                  </w:r>
                  <w:r>
                    <w:rPr>
                      <w:rFonts w:hint="eastAsia"/>
                      <w:caps w:val="0"/>
                      <w:color w:val="auto"/>
                      <w:spacing w:val="0"/>
                      <w:position w:val="0"/>
                      <w:highlight w:val="none"/>
                      <w:lang w:val="en-US" w:eastAsia="zh-CN"/>
                    </w:rPr>
                    <w:t>”</w:t>
                  </w:r>
                  <w:r>
                    <w:rPr>
                      <w:rFonts w:hint="default"/>
                      <w:caps w:val="0"/>
                      <w:color w:val="auto"/>
                      <w:spacing w:val="0"/>
                      <w:position w:val="0"/>
                      <w:highlight w:val="none"/>
                      <w:lang w:val="en-US" w:eastAsia="zh-CN"/>
                    </w:rPr>
                    <w:t>，</w:t>
                  </w:r>
                  <w:r>
                    <w:rPr>
                      <w:rFonts w:hint="eastAsia"/>
                      <w:caps w:val="0"/>
                      <w:color w:val="auto"/>
                      <w:spacing w:val="0"/>
                      <w:position w:val="0"/>
                      <w:highlight w:val="none"/>
                      <w:lang w:val="en-US" w:eastAsia="zh-CN"/>
                    </w:rPr>
                    <w:t>本项目设备不属于《限期淘汰产生严重污染环境的工业固体废物的落后生产工艺设备名录》</w:t>
                  </w:r>
                </w:p>
              </w:tc>
              <w:tc>
                <w:tcPr>
                  <w:tcW w:w="1005" w:type="dxa"/>
                  <w:tcBorders>
                    <w:tl2br w:val="nil"/>
                    <w:tr2bl w:val="nil"/>
                  </w:tcBorders>
                  <w:noWrap w:val="0"/>
                  <w:vAlign w:val="center"/>
                </w:tcPr>
                <w:p w14:paraId="696C4A2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7BA9DD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3" w:hRule="atLeast"/>
                <w:jc w:val="center"/>
              </w:trPr>
              <w:tc>
                <w:tcPr>
                  <w:tcW w:w="3704" w:type="dxa"/>
                  <w:tcBorders>
                    <w:tl2br w:val="nil"/>
                    <w:tr2bl w:val="nil"/>
                  </w:tcBorders>
                  <w:noWrap w:val="0"/>
                  <w:vAlign w:val="center"/>
                </w:tcPr>
                <w:p w14:paraId="5C398BEF">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default"/>
                      <w:caps w:val="0"/>
                      <w:color w:val="auto"/>
                      <w:spacing w:val="0"/>
                      <w:position w:val="0"/>
                      <w:highlight w:val="none"/>
                    </w:rPr>
                    <w:t>优化重点行业企业布局。推动涉重金属产业集中优化发展，禁止低端落后产能向长江、黄河中上游地区转移。禁止新建用汞的电石法</w:t>
                  </w:r>
                  <w:r>
                    <w:rPr>
                      <w:rFonts w:hint="eastAsia"/>
                      <w:caps w:val="0"/>
                      <w:color w:val="auto"/>
                      <w:spacing w:val="0"/>
                      <w:position w:val="0"/>
                      <w:highlight w:val="none"/>
                      <w:lang w:eastAsia="zh-CN"/>
                    </w:rPr>
                    <w:t>（</w:t>
                  </w:r>
                  <w:r>
                    <w:rPr>
                      <w:rFonts w:hint="default"/>
                      <w:caps w:val="0"/>
                      <w:color w:val="auto"/>
                      <w:spacing w:val="0"/>
                      <w:position w:val="0"/>
                      <w:highlight w:val="none"/>
                    </w:rPr>
                    <w:t>聚</w:t>
                  </w:r>
                  <w:r>
                    <w:rPr>
                      <w:rFonts w:hint="eastAsia"/>
                      <w:caps w:val="0"/>
                      <w:color w:val="auto"/>
                      <w:spacing w:val="0"/>
                      <w:position w:val="0"/>
                      <w:highlight w:val="none"/>
                      <w:lang w:eastAsia="zh-CN"/>
                    </w:rPr>
                    <w:t>）</w:t>
                  </w:r>
                  <w:r>
                    <w:rPr>
                      <w:rFonts w:hint="default"/>
                      <w:caps w:val="0"/>
                      <w:color w:val="auto"/>
                      <w:spacing w:val="0"/>
                      <w:position w:val="0"/>
                      <w:highlight w:val="none"/>
                    </w:rPr>
                    <w:t>氯乙烯生产工艺。新建、扩建的重有色金属冶炼、电镀、制革企业优先选择布设在依法合规设立并经规划环评的产业园区。广东、江苏、辽宁、山东、河北等省份加快推进专业电镀企业入园，力争到2025年底专业电镀企业入园率达到75%</w:t>
                  </w:r>
                  <w:r>
                    <w:rPr>
                      <w:rFonts w:hint="eastAsia"/>
                      <w:caps w:val="0"/>
                      <w:color w:val="auto"/>
                      <w:spacing w:val="0"/>
                      <w:position w:val="0"/>
                      <w:highlight w:val="none"/>
                      <w:lang w:eastAsia="zh-CN"/>
                    </w:rPr>
                    <w:t>。</w:t>
                  </w:r>
                </w:p>
              </w:tc>
              <w:tc>
                <w:tcPr>
                  <w:tcW w:w="2489" w:type="dxa"/>
                  <w:tcBorders>
                    <w:tl2br w:val="nil"/>
                    <w:tr2bl w:val="nil"/>
                  </w:tcBorders>
                  <w:noWrap w:val="0"/>
                  <w:vAlign w:val="center"/>
                </w:tcPr>
                <w:p w14:paraId="21F52DA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本项目不涉及</w:t>
                  </w:r>
                  <w:r>
                    <w:rPr>
                      <w:rFonts w:hint="default"/>
                      <w:caps w:val="0"/>
                      <w:color w:val="auto"/>
                      <w:spacing w:val="0"/>
                      <w:position w:val="0"/>
                      <w:highlight w:val="none"/>
                    </w:rPr>
                    <w:t>重金属</w:t>
                  </w:r>
                  <w:r>
                    <w:rPr>
                      <w:rFonts w:hint="eastAsia"/>
                      <w:caps w:val="0"/>
                      <w:color w:val="auto"/>
                      <w:spacing w:val="0"/>
                      <w:position w:val="0"/>
                      <w:highlight w:val="none"/>
                      <w:lang w:eastAsia="zh-CN"/>
                    </w:rPr>
                    <w:t>、</w:t>
                  </w:r>
                  <w:r>
                    <w:rPr>
                      <w:rFonts w:hint="default"/>
                      <w:caps w:val="0"/>
                      <w:color w:val="auto"/>
                      <w:spacing w:val="0"/>
                      <w:position w:val="0"/>
                      <w:highlight w:val="none"/>
                    </w:rPr>
                    <w:t>新建用汞的电石法</w:t>
                  </w:r>
                  <w:r>
                    <w:rPr>
                      <w:rFonts w:hint="eastAsia"/>
                      <w:caps w:val="0"/>
                      <w:color w:val="auto"/>
                      <w:spacing w:val="0"/>
                      <w:position w:val="0"/>
                      <w:highlight w:val="none"/>
                      <w:lang w:eastAsia="zh-CN"/>
                    </w:rPr>
                    <w:t>（</w:t>
                  </w:r>
                  <w:r>
                    <w:rPr>
                      <w:rFonts w:hint="default"/>
                      <w:caps w:val="0"/>
                      <w:color w:val="auto"/>
                      <w:spacing w:val="0"/>
                      <w:position w:val="0"/>
                      <w:highlight w:val="none"/>
                    </w:rPr>
                    <w:t>聚</w:t>
                  </w:r>
                  <w:r>
                    <w:rPr>
                      <w:rFonts w:hint="eastAsia"/>
                      <w:caps w:val="0"/>
                      <w:color w:val="auto"/>
                      <w:spacing w:val="0"/>
                      <w:position w:val="0"/>
                      <w:highlight w:val="none"/>
                      <w:lang w:eastAsia="zh-CN"/>
                    </w:rPr>
                    <w:t>）</w:t>
                  </w:r>
                  <w:r>
                    <w:rPr>
                      <w:rFonts w:hint="default"/>
                      <w:caps w:val="0"/>
                      <w:color w:val="auto"/>
                      <w:spacing w:val="0"/>
                      <w:position w:val="0"/>
                      <w:highlight w:val="none"/>
                    </w:rPr>
                    <w:t>氯乙烯生产工艺</w:t>
                  </w:r>
                  <w:r>
                    <w:rPr>
                      <w:rFonts w:hint="eastAsia"/>
                      <w:caps w:val="0"/>
                      <w:color w:val="auto"/>
                      <w:spacing w:val="0"/>
                      <w:position w:val="0"/>
                      <w:highlight w:val="none"/>
                      <w:lang w:eastAsia="zh-CN"/>
                    </w:rPr>
                    <w:t>、</w:t>
                  </w:r>
                  <w:r>
                    <w:rPr>
                      <w:rFonts w:hint="default"/>
                      <w:caps w:val="0"/>
                      <w:color w:val="auto"/>
                      <w:spacing w:val="0"/>
                      <w:position w:val="0"/>
                      <w:highlight w:val="none"/>
                    </w:rPr>
                    <w:t>重有色金属冶炼、电镀、制革企业</w:t>
                  </w:r>
                  <w:r>
                    <w:rPr>
                      <w:rFonts w:hint="eastAsia"/>
                      <w:caps w:val="0"/>
                      <w:color w:val="auto"/>
                      <w:spacing w:val="0"/>
                      <w:position w:val="0"/>
                      <w:highlight w:val="none"/>
                      <w:lang w:eastAsia="zh-CN"/>
                    </w:rPr>
                    <w:t>。</w:t>
                  </w:r>
                </w:p>
              </w:tc>
              <w:tc>
                <w:tcPr>
                  <w:tcW w:w="1005" w:type="dxa"/>
                  <w:tcBorders>
                    <w:tl2br w:val="nil"/>
                    <w:tr2bl w:val="nil"/>
                  </w:tcBorders>
                  <w:noWrap w:val="0"/>
                  <w:vAlign w:val="center"/>
                </w:tcPr>
                <w:p w14:paraId="346565D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6370E0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73" w:hRule="atLeast"/>
                <w:jc w:val="center"/>
              </w:trPr>
              <w:tc>
                <w:tcPr>
                  <w:tcW w:w="3704" w:type="dxa"/>
                  <w:tcBorders>
                    <w:tl2br w:val="nil"/>
                    <w:tr2bl w:val="nil"/>
                  </w:tcBorders>
                  <w:noWrap w:val="0"/>
                  <w:vAlign w:val="center"/>
                </w:tcPr>
                <w:p w14:paraId="69B17E6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加强重点行业企业清洁生产改造。加强重点行业清洁生产工艺的开发和应用。重点行业企业</w:t>
                  </w:r>
                  <w:r>
                    <w:rPr>
                      <w:rFonts w:hint="eastAsia"/>
                      <w:caps w:val="0"/>
                      <w:color w:val="auto"/>
                      <w:spacing w:val="0"/>
                      <w:position w:val="0"/>
                      <w:highlight w:val="none"/>
                      <w:lang w:val="en-US" w:eastAsia="zh-CN"/>
                    </w:rPr>
                    <w:t>“</w:t>
                  </w:r>
                  <w:r>
                    <w:rPr>
                      <w:rFonts w:hint="default"/>
                      <w:caps w:val="0"/>
                      <w:color w:val="auto"/>
                      <w:spacing w:val="0"/>
                      <w:position w:val="0"/>
                      <w:highlight w:val="none"/>
                      <w:lang w:val="en-US" w:eastAsia="zh-CN"/>
                    </w:rPr>
                    <w:t>十四五</w:t>
                  </w:r>
                  <w:r>
                    <w:rPr>
                      <w:rFonts w:hint="eastAsia"/>
                      <w:caps w:val="0"/>
                      <w:color w:val="auto"/>
                      <w:spacing w:val="0"/>
                      <w:position w:val="0"/>
                      <w:highlight w:val="none"/>
                      <w:lang w:val="en-US" w:eastAsia="zh-CN"/>
                    </w:rPr>
                    <w:t>”</w:t>
                  </w:r>
                  <w:r>
                    <w:rPr>
                      <w:rFonts w:hint="default"/>
                      <w:caps w:val="0"/>
                      <w:color w:val="auto"/>
                      <w:spacing w:val="0"/>
                      <w:position w:val="0"/>
                      <w:highlight w:val="none"/>
                      <w:lang w:val="en-US" w:eastAsia="zh-CN"/>
                    </w:rPr>
                    <w:t>期间依法至少开展一轮强制性清洁生产审核。到2025年底，重点行业企业基本达到国内清洁生产先进水平。加强重金属污染源头防控，减少使用高镉、高砷或高铊的矿石原料。加大重有色金属冶炼行业企业生产工艺设备清洁生产改造力度，积极推动竖罐炼锌设备替代改造和铜冶炼转炉吹炼工艺提升改造。电石法</w:t>
                  </w:r>
                  <w:r>
                    <w:rPr>
                      <w:rFonts w:hint="eastAsia"/>
                      <w:caps w:val="0"/>
                      <w:color w:val="auto"/>
                      <w:spacing w:val="0"/>
                      <w:position w:val="0"/>
                      <w:highlight w:val="none"/>
                      <w:lang w:val="en-US" w:eastAsia="zh-CN"/>
                    </w:rPr>
                    <w:t>（</w:t>
                  </w:r>
                  <w:r>
                    <w:rPr>
                      <w:rFonts w:hint="default"/>
                      <w:caps w:val="0"/>
                      <w:color w:val="auto"/>
                      <w:spacing w:val="0"/>
                      <w:position w:val="0"/>
                      <w:highlight w:val="none"/>
                      <w:lang w:val="en-US" w:eastAsia="zh-CN"/>
                    </w:rPr>
                    <w:t>聚</w:t>
                  </w:r>
                  <w:r>
                    <w:rPr>
                      <w:rFonts w:hint="eastAsia"/>
                      <w:caps w:val="0"/>
                      <w:color w:val="auto"/>
                      <w:spacing w:val="0"/>
                      <w:position w:val="0"/>
                      <w:highlight w:val="none"/>
                      <w:lang w:val="en-US" w:eastAsia="zh-CN"/>
                    </w:rPr>
                    <w:t>）</w:t>
                  </w:r>
                  <w:r>
                    <w:rPr>
                      <w:rFonts w:hint="default"/>
                      <w:caps w:val="0"/>
                      <w:color w:val="auto"/>
                      <w:spacing w:val="0"/>
                      <w:position w:val="0"/>
                      <w:highlight w:val="none"/>
                      <w:lang w:val="en-US" w:eastAsia="zh-CN"/>
                    </w:rPr>
                    <w:t>氯乙烯生产企业生产每吨聚氯乙烯用汞量不得超过49.14克，并确保持续稳中有降。</w:t>
                  </w:r>
                </w:p>
              </w:tc>
              <w:tc>
                <w:tcPr>
                  <w:tcW w:w="2489" w:type="dxa"/>
                  <w:tcBorders>
                    <w:tl2br w:val="nil"/>
                    <w:tr2bl w:val="nil"/>
                  </w:tcBorders>
                  <w:noWrap w:val="0"/>
                  <w:vAlign w:val="center"/>
                </w:tcPr>
                <w:p w14:paraId="5FDCA5B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本项目不属于重有色金属冶炼行业，污染物排放浓度和排放量满足相应的标准要求，</w:t>
                  </w:r>
                  <w:r>
                    <w:rPr>
                      <w:rFonts w:hint="eastAsia"/>
                      <w:caps w:val="0"/>
                      <w:color w:val="auto"/>
                      <w:spacing w:val="0"/>
                      <w:position w:val="0"/>
                      <w:highlight w:val="none"/>
                      <w:lang w:val="en-US" w:eastAsia="zh-CN"/>
                    </w:rPr>
                    <w:t>本项目原料锂冶炼剩余物涉及铊因子，</w:t>
                  </w:r>
                  <w:r>
                    <w:rPr>
                      <w:rFonts w:hint="default"/>
                      <w:caps w:val="0"/>
                      <w:color w:val="auto"/>
                      <w:spacing w:val="0"/>
                      <w:position w:val="0"/>
                      <w:highlight w:val="none"/>
                      <w:lang w:val="en-US" w:eastAsia="zh-CN"/>
                    </w:rPr>
                    <w:t>本环评要求建设单位在雨水排放口安装氟化物、铊在线监测设备，并与市、县两级在线监控管理平台联网。</w:t>
                  </w:r>
                </w:p>
              </w:tc>
              <w:tc>
                <w:tcPr>
                  <w:tcW w:w="1005" w:type="dxa"/>
                  <w:tcBorders>
                    <w:tl2br w:val="nil"/>
                    <w:tr2bl w:val="nil"/>
                  </w:tcBorders>
                  <w:noWrap w:val="0"/>
                  <w:vAlign w:val="center"/>
                </w:tcPr>
                <w:p w14:paraId="6BA60DC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4A63F6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3704" w:type="dxa"/>
                  <w:tcBorders>
                    <w:tl2br w:val="nil"/>
                    <w:tr2bl w:val="nil"/>
                  </w:tcBorders>
                  <w:noWrap w:val="0"/>
                  <w:vAlign w:val="center"/>
                </w:tcPr>
                <w:p w14:paraId="0FC20E4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推动重金属污染深度治理。自2023年起，重点区域铅锌冶炼和铜冶炼行业企业，执行颗粒物和重点重金属污染物特别排放限值。根据排放标准相关规定和重金属污染防控需求，省级人民政府可增加执行特别排放限值的地域范围。上述执行特别排放限值的地域范围，由省级人民政府通过公告或印发相关文件等适当方式予以公布。重有色金属冶炼企业应加强生产车间低空逸散烟气收集处理，有效减少无组织排放。重有色金属矿采选企业要按照规定完善废石堆场、排土场周边雨污分流设施，建设酸性废水收集与处理设施，处理达标后排放。采用洒水、旋风等简易除尘治理工艺的重有色金属矿采选企业，应加强废气收集，实施过滤除尘等颗粒物治理升级改造工程。开展电镀行业重金属污染综合整治，推进专业电镀园区、专业电镀企业重金属污染深度治理。排放汞及汞化合物的企业应当采用最佳可行技术和最佳环境实践，控制并减少汞及汞化合物的排放和释放</w:t>
                  </w:r>
                  <w:r>
                    <w:rPr>
                      <w:rFonts w:hint="eastAsia"/>
                      <w:caps w:val="0"/>
                      <w:color w:val="auto"/>
                      <w:spacing w:val="0"/>
                      <w:position w:val="0"/>
                      <w:highlight w:val="none"/>
                      <w:lang w:val="en-US" w:eastAsia="zh-CN"/>
                    </w:rPr>
                    <w:t>。</w:t>
                  </w:r>
                </w:p>
              </w:tc>
              <w:tc>
                <w:tcPr>
                  <w:tcW w:w="2489" w:type="dxa"/>
                  <w:tcBorders>
                    <w:tl2br w:val="nil"/>
                    <w:tr2bl w:val="nil"/>
                  </w:tcBorders>
                  <w:noWrap w:val="0"/>
                  <w:vAlign w:val="center"/>
                </w:tcPr>
                <w:p w14:paraId="4B4A7B2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本项目不属于铅锌冶炼、铜冶炼等有色金属冶炼企业，不属于</w:t>
                  </w:r>
                  <w:r>
                    <w:rPr>
                      <w:rFonts w:hint="default"/>
                      <w:caps w:val="0"/>
                      <w:color w:val="auto"/>
                      <w:spacing w:val="0"/>
                      <w:position w:val="0"/>
                      <w:highlight w:val="none"/>
                      <w:lang w:val="en-US" w:eastAsia="zh-CN"/>
                    </w:rPr>
                    <w:t>重有色金属矿采选企业</w:t>
                  </w:r>
                  <w:r>
                    <w:rPr>
                      <w:rFonts w:hint="eastAsia"/>
                      <w:caps w:val="0"/>
                      <w:color w:val="auto"/>
                      <w:spacing w:val="0"/>
                      <w:position w:val="0"/>
                      <w:highlight w:val="none"/>
                      <w:lang w:val="en-US" w:eastAsia="zh-CN"/>
                    </w:rPr>
                    <w:t>，不属于</w:t>
                  </w:r>
                  <w:r>
                    <w:rPr>
                      <w:rFonts w:hint="default"/>
                      <w:caps w:val="0"/>
                      <w:color w:val="auto"/>
                      <w:spacing w:val="0"/>
                      <w:position w:val="0"/>
                      <w:highlight w:val="none"/>
                      <w:lang w:val="en-US" w:eastAsia="zh-CN"/>
                    </w:rPr>
                    <w:t>电镀行业</w:t>
                  </w:r>
                  <w:r>
                    <w:rPr>
                      <w:rFonts w:hint="eastAsia"/>
                      <w:caps w:val="0"/>
                      <w:color w:val="auto"/>
                      <w:spacing w:val="0"/>
                      <w:position w:val="0"/>
                      <w:highlight w:val="none"/>
                      <w:lang w:val="en-US" w:eastAsia="zh-CN"/>
                    </w:rPr>
                    <w:t>。</w:t>
                  </w:r>
                </w:p>
              </w:tc>
              <w:tc>
                <w:tcPr>
                  <w:tcW w:w="1005" w:type="dxa"/>
                  <w:tcBorders>
                    <w:tl2br w:val="nil"/>
                    <w:tr2bl w:val="nil"/>
                  </w:tcBorders>
                  <w:noWrap w:val="0"/>
                  <w:vAlign w:val="center"/>
                </w:tcPr>
                <w:p w14:paraId="47B370AC">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default"/>
                      <w:caps w:val="0"/>
                      <w:color w:val="auto"/>
                      <w:spacing w:val="0"/>
                      <w:position w:val="0"/>
                      <w:highlight w:val="none"/>
                    </w:rPr>
                    <w:t>符合</w:t>
                  </w:r>
                </w:p>
              </w:tc>
            </w:tr>
            <w:tr w14:paraId="588422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3704" w:type="dxa"/>
                  <w:tcBorders>
                    <w:tl2br w:val="nil"/>
                    <w:tr2bl w:val="nil"/>
                  </w:tcBorders>
                  <w:noWrap w:val="0"/>
                  <w:vAlign w:val="center"/>
                </w:tcPr>
                <w:p w14:paraId="13B617A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开展涉镉涉铊企业排查整治行动。开展农用地土壤镉等重金属污染源头防治行动，持续推进耕地周边涉镉等重金属行业企业排查整治。全面排查涉铊企业，指导督促涉铊企业建立铊污染风险问题台账并制定问题整改方案。开展重有色金属冶炼、钢铁等典型涉铊企业废水治理设施除铊升级改造，严格执行车间或生产设施废水排放口达标要求。各地生态环境部门构建涉铊企业全链条闭环管理体系，督促企业对矿石原料、主副产品和生产废物中铊成分进行检测分析，实现铊元素可核算可追踪。江西、湖南、广西、贵州、云南、陕西、甘肃等省份要制定铊污染防控方案，强化涉铊企业综合整治，严防铊污染问题发生。</w:t>
                  </w:r>
                </w:p>
              </w:tc>
              <w:tc>
                <w:tcPr>
                  <w:tcW w:w="2489" w:type="dxa"/>
                  <w:tcBorders>
                    <w:tl2br w:val="nil"/>
                    <w:tr2bl w:val="nil"/>
                  </w:tcBorders>
                  <w:noWrap w:val="0"/>
                  <w:vAlign w:val="center"/>
                </w:tcPr>
                <w:p w14:paraId="0E9DA97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本项目</w:t>
                  </w:r>
                  <w:r>
                    <w:rPr>
                      <w:rFonts w:hint="eastAsia"/>
                      <w:caps w:val="0"/>
                      <w:color w:val="auto"/>
                      <w:spacing w:val="0"/>
                      <w:position w:val="0"/>
                      <w:highlight w:val="none"/>
                      <w:lang w:val="en-US" w:eastAsia="zh-CN"/>
                    </w:rPr>
                    <w:t>不属于</w:t>
                  </w:r>
                  <w:r>
                    <w:rPr>
                      <w:rFonts w:hint="default"/>
                      <w:caps w:val="0"/>
                      <w:color w:val="auto"/>
                      <w:spacing w:val="0"/>
                      <w:position w:val="0"/>
                      <w:highlight w:val="none"/>
                      <w:lang w:val="en-US" w:eastAsia="zh-CN"/>
                    </w:rPr>
                    <w:t>重有色金属冶炼、钢铁等典型涉铊企业</w:t>
                  </w:r>
                  <w:r>
                    <w:rPr>
                      <w:rFonts w:hint="eastAsia"/>
                      <w:caps w:val="0"/>
                      <w:color w:val="auto"/>
                      <w:spacing w:val="0"/>
                      <w:position w:val="0"/>
                      <w:highlight w:val="none"/>
                      <w:lang w:val="en-US" w:eastAsia="zh-CN"/>
                    </w:rPr>
                    <w:t>，</w:t>
                  </w:r>
                  <w:r>
                    <w:rPr>
                      <w:rFonts w:hint="default"/>
                      <w:caps w:val="0"/>
                      <w:color w:val="auto"/>
                      <w:spacing w:val="0"/>
                      <w:position w:val="0"/>
                      <w:highlight w:val="none"/>
                      <w:lang w:val="en-US" w:eastAsia="zh-CN"/>
                    </w:rPr>
                    <w:t>原材料中</w:t>
                  </w:r>
                  <w:r>
                    <w:rPr>
                      <w:rFonts w:hint="eastAsia"/>
                      <w:caps w:val="0"/>
                      <w:color w:val="auto"/>
                      <w:spacing w:val="0"/>
                      <w:position w:val="0"/>
                      <w:highlight w:val="none"/>
                      <w:lang w:val="en-US" w:eastAsia="zh-CN"/>
                    </w:rPr>
                    <w:t>锂冶炼剩余物</w:t>
                  </w:r>
                  <w:r>
                    <w:rPr>
                      <w:rFonts w:hint="default"/>
                      <w:caps w:val="0"/>
                      <w:color w:val="auto"/>
                      <w:spacing w:val="0"/>
                      <w:position w:val="0"/>
                      <w:highlight w:val="none"/>
                      <w:lang w:val="en-US" w:eastAsia="zh-CN"/>
                    </w:rPr>
                    <w:t>涉及含铊物质，本环评要求建设单位在雨水排放口安装氟化物、铊在线监测设备，并与市、县两级在线监控管理平台联网</w:t>
                  </w:r>
                  <w:r>
                    <w:rPr>
                      <w:rFonts w:hint="eastAsia"/>
                      <w:caps w:val="0"/>
                      <w:color w:val="auto"/>
                      <w:spacing w:val="0"/>
                      <w:position w:val="0"/>
                      <w:highlight w:val="none"/>
                      <w:lang w:val="en-US" w:eastAsia="zh-CN"/>
                    </w:rPr>
                    <w:t>；运营</w:t>
                  </w:r>
                  <w:r>
                    <w:rPr>
                      <w:rFonts w:hint="default"/>
                      <w:caps w:val="0"/>
                      <w:color w:val="auto"/>
                      <w:spacing w:val="0"/>
                      <w:position w:val="0"/>
                      <w:highlight w:val="none"/>
                      <w:lang w:val="en-US" w:eastAsia="zh-CN"/>
                    </w:rPr>
                    <w:t>后建立铊污染风险问题台账并制定问题整改方案</w:t>
                  </w:r>
                  <w:r>
                    <w:rPr>
                      <w:rFonts w:hint="eastAsia"/>
                      <w:caps w:val="0"/>
                      <w:color w:val="auto"/>
                      <w:spacing w:val="0"/>
                      <w:position w:val="0"/>
                      <w:highlight w:val="none"/>
                      <w:lang w:val="en-US" w:eastAsia="zh-CN"/>
                    </w:rPr>
                    <w:t>。</w:t>
                  </w:r>
                </w:p>
              </w:tc>
              <w:tc>
                <w:tcPr>
                  <w:tcW w:w="1005" w:type="dxa"/>
                  <w:tcBorders>
                    <w:tl2br w:val="nil"/>
                    <w:tr2bl w:val="nil"/>
                  </w:tcBorders>
                  <w:noWrap w:val="0"/>
                  <w:vAlign w:val="center"/>
                </w:tcPr>
                <w:p w14:paraId="1FBB0A7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4F17AE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3704" w:type="dxa"/>
                  <w:tcBorders>
                    <w:tl2br w:val="nil"/>
                    <w:tr2bl w:val="nil"/>
                  </w:tcBorders>
                  <w:noWrap w:val="0"/>
                  <w:vAlign w:val="center"/>
                </w:tcPr>
                <w:p w14:paraId="194F08C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加强涉重金属固体废物环境管理。加强重点行业企业废渣场环境管理，完善防渗漏、防流失、防扬散等措施。推动锌湿法冶炼工艺按有关规定配套建设浸出渣无害化处理系统及硫渣处理设施。加强尾矿污染防控，开展长江经济带尾矿库污染治理“回头看”和黄河流域、嘉陵江上游尾矿库污染治理。严格废铅蓄电池、冶炼灰渣、钢厂烟灰等含重金属固体废物收集、贮存、转移、利用处置过程的环境管理，防止二次污染。</w:t>
                  </w:r>
                </w:p>
              </w:tc>
              <w:tc>
                <w:tcPr>
                  <w:tcW w:w="2489" w:type="dxa"/>
                  <w:tcBorders>
                    <w:tl2br w:val="nil"/>
                    <w:tr2bl w:val="nil"/>
                  </w:tcBorders>
                  <w:noWrap w:val="0"/>
                  <w:vAlign w:val="center"/>
                </w:tcPr>
                <w:p w14:paraId="340D55A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本项目在原料锂冶炼剩余物、压榨尾泥等堆场均要求做好防渗、防流失、防扬散等措施</w:t>
                  </w:r>
                </w:p>
              </w:tc>
              <w:tc>
                <w:tcPr>
                  <w:tcW w:w="1005" w:type="dxa"/>
                  <w:tcBorders>
                    <w:tl2br w:val="nil"/>
                    <w:tr2bl w:val="nil"/>
                  </w:tcBorders>
                  <w:noWrap w:val="0"/>
                  <w:vAlign w:val="center"/>
                </w:tcPr>
                <w:p w14:paraId="7305196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符合</w:t>
                  </w:r>
                </w:p>
              </w:tc>
            </w:tr>
          </w:tbl>
          <w:p w14:paraId="5E5E6FA0">
            <w:pPr>
              <w:pStyle w:val="74"/>
              <w:keepNext w:val="0"/>
              <w:keepLines w:val="0"/>
              <w:numPr>
                <w:ilvl w:val="0"/>
                <w:numId w:val="0"/>
              </w:numPr>
              <w:suppressLineNumbers w:val="0"/>
              <w:bidi w:val="0"/>
              <w:spacing w:before="0" w:beforeAutospacing="0" w:after="0" w:afterAutospacing="0"/>
              <w:ind w:left="0" w:leftChars="0" w:right="0" w:rightChars="0" w:firstLine="482" w:firstLineChars="200"/>
              <w:rPr>
                <w:rFonts w:hint="eastAsia"/>
                <w:b/>
                <w:bCs w:val="0"/>
                <w:caps w:val="0"/>
                <w:color w:val="auto"/>
                <w:spacing w:val="0"/>
                <w:position w:val="0"/>
                <w:highlight w:val="none"/>
                <w:lang w:val="en-US" w:eastAsia="zh-CN"/>
              </w:rPr>
            </w:pPr>
            <w:r>
              <w:rPr>
                <w:rFonts w:hint="eastAsia" w:ascii="Times New Roman" w:hAnsi="Times New Roman" w:eastAsia="宋体" w:cs="Times New Roman"/>
                <w:b/>
                <w:bCs w:val="0"/>
                <w:caps w:val="0"/>
                <w:color w:val="auto"/>
                <w:spacing w:val="0"/>
                <w:kern w:val="2"/>
                <w:position w:val="0"/>
                <w:sz w:val="24"/>
                <w:szCs w:val="24"/>
                <w:highlight w:val="none"/>
                <w:lang w:val="en-US" w:eastAsia="zh-CN" w:bidi="ar-SA"/>
              </w:rPr>
              <w:t>1</w:t>
            </w:r>
            <w:r>
              <w:rPr>
                <w:rFonts w:hint="eastAsia" w:cs="Times New Roman"/>
                <w:b/>
                <w:bCs w:val="0"/>
                <w:caps w:val="0"/>
                <w:color w:val="auto"/>
                <w:spacing w:val="0"/>
                <w:kern w:val="2"/>
                <w:position w:val="0"/>
                <w:sz w:val="24"/>
                <w:szCs w:val="24"/>
                <w:highlight w:val="none"/>
                <w:lang w:val="en-US" w:eastAsia="zh-CN" w:bidi="ar-SA"/>
              </w:rPr>
              <w:t>6</w:t>
            </w:r>
            <w:r>
              <w:rPr>
                <w:rFonts w:hint="eastAsia" w:ascii="Times New Roman" w:hAnsi="Times New Roman" w:eastAsia="宋体" w:cs="Times New Roman"/>
                <w:b/>
                <w:bCs w:val="0"/>
                <w:caps w:val="0"/>
                <w:color w:val="auto"/>
                <w:spacing w:val="0"/>
                <w:kern w:val="2"/>
                <w:position w:val="0"/>
                <w:sz w:val="24"/>
                <w:szCs w:val="24"/>
                <w:highlight w:val="none"/>
                <w:lang w:val="en-US" w:eastAsia="zh-CN" w:bidi="ar-SA"/>
              </w:rPr>
              <w:t>、</w:t>
            </w:r>
            <w:r>
              <w:rPr>
                <w:rFonts w:hint="eastAsia"/>
                <w:b/>
                <w:bCs w:val="0"/>
                <w:caps w:val="0"/>
                <w:color w:val="auto"/>
                <w:spacing w:val="0"/>
                <w:position w:val="0"/>
                <w:highlight w:val="none"/>
                <w:lang w:val="en-US" w:eastAsia="zh-CN"/>
              </w:rPr>
              <w:t>江西省生态环境厅关于印发《江西省关于进一步加强重金属污染防控工作方案》的通知（赣环固体〔2022〕44号）相符性分析</w:t>
            </w:r>
          </w:p>
          <w:p w14:paraId="5E6D7A59">
            <w:pPr>
              <w:pStyle w:val="75"/>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表1-16 与（赣环固体〔2022〕44号）相符性分析</w:t>
            </w:r>
          </w:p>
          <w:tbl>
            <w:tblPr>
              <w:tblStyle w:val="23"/>
              <w:tblpPr w:vertAnchor="text" w:horzAnchor="page" w:tblpXSpec="center" w:tblpY="1"/>
              <w:tblOverlap w:val="never"/>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522"/>
              <w:gridCol w:w="3049"/>
              <w:gridCol w:w="723"/>
            </w:tblGrid>
            <w:tr w14:paraId="61E2A2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487" w:type="dxa"/>
                  <w:tcBorders>
                    <w:tl2br w:val="nil"/>
                    <w:tr2bl w:val="nil"/>
                  </w:tcBorders>
                  <w:noWrap w:val="0"/>
                  <w:vAlign w:val="center"/>
                </w:tcPr>
                <w:p w14:paraId="01839A37">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文件要求</w:t>
                  </w:r>
                </w:p>
              </w:tc>
              <w:tc>
                <w:tcPr>
                  <w:tcW w:w="3016" w:type="dxa"/>
                  <w:tcBorders>
                    <w:tl2br w:val="nil"/>
                    <w:tr2bl w:val="nil"/>
                  </w:tcBorders>
                  <w:noWrap w:val="0"/>
                  <w:vAlign w:val="center"/>
                </w:tcPr>
                <w:p w14:paraId="20C381A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本项目实际情况</w:t>
                  </w:r>
                </w:p>
              </w:tc>
              <w:tc>
                <w:tcPr>
                  <w:tcW w:w="695" w:type="dxa"/>
                  <w:tcBorders>
                    <w:tl2br w:val="nil"/>
                    <w:tr2bl w:val="nil"/>
                  </w:tcBorders>
                  <w:noWrap w:val="0"/>
                  <w:vAlign w:val="center"/>
                </w:tcPr>
                <w:p w14:paraId="716708D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相符性</w:t>
                  </w:r>
                </w:p>
              </w:tc>
            </w:tr>
            <w:tr w14:paraId="627638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487" w:type="dxa"/>
                  <w:tcBorders>
                    <w:tl2br w:val="nil"/>
                    <w:tr2bl w:val="nil"/>
                  </w:tcBorders>
                  <w:noWrap w:val="0"/>
                  <w:vAlign w:val="center"/>
                </w:tcPr>
                <w:p w14:paraId="7DB697B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1、</w:t>
                  </w:r>
                  <w:r>
                    <w:rPr>
                      <w:rFonts w:hint="default"/>
                      <w:caps w:val="0"/>
                      <w:color w:val="auto"/>
                      <w:spacing w:val="0"/>
                      <w:position w:val="0"/>
                      <w:highlight w:val="none"/>
                    </w:rPr>
                    <w:t>严格重点行业企业准入管理。总量来源原则上应是同一重点行业内企业削减的重点重金属污染物排放量，当同一重点行业内企业削减量无法满足时可从其他重点行业调剂。</w:t>
                  </w:r>
                </w:p>
                <w:p w14:paraId="4DC9D56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建设单位在提交环境影响评价文件时应明确重点重金属污染物排放总量及来源，无明确具体总量指标来源、超过重点重金属污染物总量控制指标的，各级生态环境部门不得批准相关环境影响评价文件。严格重点行业建设项目环境影响评价审批，审慎下放审批权限，不得以改革试点为名降低审批要求。建立健全环评审批与重金属总量管理部门联动会商机制，实现信息共享、互联互通，提升工作质效。</w:t>
                  </w:r>
                </w:p>
              </w:tc>
              <w:tc>
                <w:tcPr>
                  <w:tcW w:w="3016" w:type="dxa"/>
                  <w:tcBorders>
                    <w:tl2br w:val="nil"/>
                    <w:tr2bl w:val="nil"/>
                  </w:tcBorders>
                  <w:noWrap w:val="0"/>
                  <w:vAlign w:val="center"/>
                </w:tcPr>
                <w:p w14:paraId="6F3E079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本项目不涉及重金属污染物排放总量</w:t>
                  </w:r>
                </w:p>
              </w:tc>
              <w:tc>
                <w:tcPr>
                  <w:tcW w:w="695" w:type="dxa"/>
                  <w:tcBorders>
                    <w:tl2br w:val="nil"/>
                    <w:tr2bl w:val="nil"/>
                  </w:tcBorders>
                  <w:noWrap w:val="0"/>
                  <w:vAlign w:val="center"/>
                </w:tcPr>
                <w:p w14:paraId="158CE94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符合</w:t>
                  </w:r>
                </w:p>
              </w:tc>
            </w:tr>
            <w:tr w14:paraId="555050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487" w:type="dxa"/>
                  <w:tcBorders>
                    <w:tl2br w:val="nil"/>
                    <w:tr2bl w:val="nil"/>
                  </w:tcBorders>
                  <w:noWrap w:val="0"/>
                  <w:vAlign w:val="center"/>
                </w:tcPr>
                <w:p w14:paraId="5E9872F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2、</w:t>
                  </w:r>
                  <w:r>
                    <w:rPr>
                      <w:rFonts w:hint="default"/>
                      <w:caps w:val="0"/>
                      <w:color w:val="auto"/>
                      <w:spacing w:val="0"/>
                      <w:position w:val="0"/>
                      <w:highlight w:val="none"/>
                    </w:rPr>
                    <w:t>优化产业结构和企业布局。根据《产业结构调整指导目录》《限期淘汰产生严重污染环境的工业固体废物的落后生产工艺设备名录》等要求，严格执行生态环境保护等相关法规标准，配合有关部门依法淘汰涉重金属落后产能和化解过剩产能，推动经整改仍达不到要求的产能依法依规关闭退出。禁止涉重金属产业低端落后产能向我省转移。禁止新建用汞的电石法（聚）氯乙烯生产工艺。新建、扩建的重有色金属冶炼、电镀、制革企业应当选择布设在依法合规设立并经规划环评的产业园区。</w:t>
                  </w:r>
                </w:p>
              </w:tc>
              <w:tc>
                <w:tcPr>
                  <w:tcW w:w="3016" w:type="dxa"/>
                  <w:tcBorders>
                    <w:tl2br w:val="nil"/>
                    <w:tr2bl w:val="nil"/>
                  </w:tcBorders>
                  <w:noWrap w:val="0"/>
                  <w:vAlign w:val="center"/>
                </w:tcPr>
                <w:p w14:paraId="2EDC1578">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default"/>
                      <w:caps w:val="0"/>
                      <w:color w:val="auto"/>
                      <w:spacing w:val="0"/>
                      <w:position w:val="0"/>
                      <w:highlight w:val="none"/>
                      <w:lang w:val="en-US"/>
                    </w:rPr>
                    <w:t>项目属于</w:t>
                  </w:r>
                  <w:r>
                    <w:rPr>
                      <w:rFonts w:hint="eastAsia"/>
                      <w:caps w:val="0"/>
                      <w:color w:val="auto"/>
                      <w:spacing w:val="0"/>
                      <w:position w:val="0"/>
                      <w:highlight w:val="none"/>
                      <w:lang w:val="en-US" w:eastAsia="zh-CN"/>
                    </w:rPr>
                    <w:t>“</w:t>
                  </w:r>
                  <w:r>
                    <w:rPr>
                      <w:rFonts w:hint="default"/>
                      <w:caps w:val="0"/>
                      <w:color w:val="auto"/>
                      <w:spacing w:val="0"/>
                      <w:position w:val="0"/>
                      <w:highlight w:val="none"/>
                      <w:lang w:val="en-US" w:eastAsia="zh-CN"/>
                    </w:rPr>
                    <w:t>第一类鼓励类</w:t>
                  </w:r>
                  <w:r>
                    <w:rPr>
                      <w:rFonts w:hint="eastAsia"/>
                      <w:caps w:val="0"/>
                      <w:color w:val="auto"/>
                      <w:spacing w:val="0"/>
                      <w:position w:val="0"/>
                      <w:highlight w:val="none"/>
                      <w:lang w:val="en-US" w:eastAsia="zh-CN"/>
                    </w:rPr>
                    <w:t>”</w:t>
                  </w:r>
                  <w:r>
                    <w:rPr>
                      <w:rFonts w:hint="default"/>
                      <w:caps w:val="0"/>
                      <w:color w:val="auto"/>
                      <w:spacing w:val="0"/>
                      <w:position w:val="0"/>
                      <w:highlight w:val="none"/>
                      <w:lang w:val="en-US" w:eastAsia="zh-CN"/>
                    </w:rPr>
                    <w:t>中</w:t>
                  </w:r>
                  <w:r>
                    <w:rPr>
                      <w:rFonts w:hint="eastAsia"/>
                      <w:caps w:val="0"/>
                      <w:color w:val="auto"/>
                      <w:spacing w:val="0"/>
                      <w:position w:val="0"/>
                      <w:highlight w:val="none"/>
                      <w:lang w:val="en-US" w:eastAsia="zh-CN"/>
                    </w:rPr>
                    <w:t>“</w:t>
                  </w:r>
                  <w:r>
                    <w:rPr>
                      <w:rFonts w:hint="default"/>
                      <w:caps w:val="0"/>
                      <w:color w:val="auto"/>
                      <w:spacing w:val="0"/>
                      <w:position w:val="0"/>
                      <w:highlight w:val="none"/>
                      <w:lang w:val="en-US" w:eastAsia="zh-CN"/>
                    </w:rPr>
                    <w:t>四十二、环境保护与资源节约综合利用8、废弃物循环利用：煤矸石、粉煤灰、尾矿（共伴生矿）、冶炼渣、工业副产石膏、赤泥、</w:t>
                  </w:r>
                  <w:r>
                    <w:rPr>
                      <w:rFonts w:hint="eastAsia"/>
                      <w:caps w:val="0"/>
                      <w:color w:val="auto"/>
                      <w:spacing w:val="0"/>
                      <w:position w:val="0"/>
                      <w:highlight w:val="none"/>
                      <w:lang w:val="en-US" w:eastAsia="zh-CN"/>
                    </w:rPr>
                    <w:t>建筑废料</w:t>
                  </w:r>
                  <w:r>
                    <w:rPr>
                      <w:rFonts w:hint="default"/>
                      <w:caps w:val="0"/>
                      <w:color w:val="auto"/>
                      <w:spacing w:val="0"/>
                      <w:position w:val="0"/>
                      <w:highlight w:val="none"/>
                      <w:lang w:val="en-US" w:eastAsia="zh-CN"/>
                    </w:rPr>
                    <w:t>等工业废弃物循环利用</w:t>
                  </w:r>
                  <w:r>
                    <w:rPr>
                      <w:rFonts w:hint="eastAsia"/>
                      <w:caps w:val="0"/>
                      <w:color w:val="auto"/>
                      <w:spacing w:val="0"/>
                      <w:position w:val="0"/>
                      <w:highlight w:val="none"/>
                      <w:lang w:val="en-US" w:eastAsia="zh-CN"/>
                    </w:rPr>
                    <w:t>”</w:t>
                  </w:r>
                  <w:r>
                    <w:rPr>
                      <w:rFonts w:hint="default"/>
                      <w:caps w:val="0"/>
                      <w:color w:val="auto"/>
                      <w:spacing w:val="0"/>
                      <w:position w:val="0"/>
                      <w:highlight w:val="none"/>
                      <w:lang w:val="en-US" w:eastAsia="zh-CN"/>
                    </w:rPr>
                    <w:t>，</w:t>
                  </w:r>
                  <w:r>
                    <w:rPr>
                      <w:rFonts w:hint="eastAsia"/>
                      <w:caps w:val="0"/>
                      <w:color w:val="auto"/>
                      <w:spacing w:val="0"/>
                      <w:position w:val="0"/>
                      <w:highlight w:val="none"/>
                      <w:lang w:val="en-US" w:eastAsia="zh-CN"/>
                    </w:rPr>
                    <w:t>本项目设备不属于《限期淘汰产生严重污染环境的工业固体废物的落后生产工艺设备名录》；本项目不涉及</w:t>
                  </w:r>
                  <w:r>
                    <w:rPr>
                      <w:rFonts w:hint="default"/>
                      <w:caps w:val="0"/>
                      <w:color w:val="auto"/>
                      <w:spacing w:val="0"/>
                      <w:position w:val="0"/>
                      <w:highlight w:val="none"/>
                    </w:rPr>
                    <w:t>重金属</w:t>
                  </w:r>
                  <w:r>
                    <w:rPr>
                      <w:rFonts w:hint="eastAsia"/>
                      <w:caps w:val="0"/>
                      <w:color w:val="auto"/>
                      <w:spacing w:val="0"/>
                      <w:position w:val="0"/>
                      <w:highlight w:val="none"/>
                      <w:lang w:eastAsia="zh-CN"/>
                    </w:rPr>
                    <w:t>、</w:t>
                  </w:r>
                  <w:r>
                    <w:rPr>
                      <w:rFonts w:hint="default"/>
                      <w:caps w:val="0"/>
                      <w:color w:val="auto"/>
                      <w:spacing w:val="0"/>
                      <w:position w:val="0"/>
                      <w:highlight w:val="none"/>
                    </w:rPr>
                    <w:t>新建用汞的电石法</w:t>
                  </w:r>
                  <w:r>
                    <w:rPr>
                      <w:rFonts w:hint="eastAsia"/>
                      <w:caps w:val="0"/>
                      <w:color w:val="auto"/>
                      <w:spacing w:val="0"/>
                      <w:position w:val="0"/>
                      <w:highlight w:val="none"/>
                      <w:lang w:eastAsia="zh-CN"/>
                    </w:rPr>
                    <w:t>（</w:t>
                  </w:r>
                  <w:r>
                    <w:rPr>
                      <w:rFonts w:hint="default"/>
                      <w:caps w:val="0"/>
                      <w:color w:val="auto"/>
                      <w:spacing w:val="0"/>
                      <w:position w:val="0"/>
                      <w:highlight w:val="none"/>
                    </w:rPr>
                    <w:t>聚</w:t>
                  </w:r>
                  <w:r>
                    <w:rPr>
                      <w:rFonts w:hint="eastAsia"/>
                      <w:caps w:val="0"/>
                      <w:color w:val="auto"/>
                      <w:spacing w:val="0"/>
                      <w:position w:val="0"/>
                      <w:highlight w:val="none"/>
                      <w:lang w:eastAsia="zh-CN"/>
                    </w:rPr>
                    <w:t>）</w:t>
                  </w:r>
                  <w:r>
                    <w:rPr>
                      <w:rFonts w:hint="default"/>
                      <w:caps w:val="0"/>
                      <w:color w:val="auto"/>
                      <w:spacing w:val="0"/>
                      <w:position w:val="0"/>
                      <w:highlight w:val="none"/>
                    </w:rPr>
                    <w:t>氯乙烯生产工艺</w:t>
                  </w:r>
                  <w:r>
                    <w:rPr>
                      <w:rFonts w:hint="eastAsia"/>
                      <w:caps w:val="0"/>
                      <w:color w:val="auto"/>
                      <w:spacing w:val="0"/>
                      <w:position w:val="0"/>
                      <w:highlight w:val="none"/>
                      <w:lang w:eastAsia="zh-CN"/>
                    </w:rPr>
                    <w:t>、</w:t>
                  </w:r>
                  <w:r>
                    <w:rPr>
                      <w:rFonts w:hint="default"/>
                      <w:caps w:val="0"/>
                      <w:color w:val="auto"/>
                      <w:spacing w:val="0"/>
                      <w:position w:val="0"/>
                      <w:highlight w:val="none"/>
                    </w:rPr>
                    <w:t>重有色金属冶炼、电镀、制革企业</w:t>
                  </w:r>
                  <w:r>
                    <w:rPr>
                      <w:rFonts w:hint="eastAsia"/>
                      <w:caps w:val="0"/>
                      <w:color w:val="auto"/>
                      <w:spacing w:val="0"/>
                      <w:position w:val="0"/>
                      <w:highlight w:val="none"/>
                      <w:lang w:eastAsia="zh-CN"/>
                    </w:rPr>
                    <w:t>。</w:t>
                  </w:r>
                </w:p>
              </w:tc>
              <w:tc>
                <w:tcPr>
                  <w:tcW w:w="695" w:type="dxa"/>
                  <w:tcBorders>
                    <w:tl2br w:val="nil"/>
                    <w:tr2bl w:val="nil"/>
                  </w:tcBorders>
                  <w:noWrap w:val="0"/>
                  <w:vAlign w:val="center"/>
                </w:tcPr>
                <w:p w14:paraId="6450911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符合</w:t>
                  </w:r>
                </w:p>
              </w:tc>
            </w:tr>
            <w:tr w14:paraId="21C8B2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487" w:type="dxa"/>
                  <w:tcBorders>
                    <w:tl2br w:val="nil"/>
                    <w:tr2bl w:val="nil"/>
                  </w:tcBorders>
                  <w:noWrap w:val="0"/>
                  <w:vAlign w:val="center"/>
                </w:tcPr>
                <w:p w14:paraId="4BBF2C74">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eastAsia"/>
                      <w:caps w:val="0"/>
                      <w:color w:val="auto"/>
                      <w:spacing w:val="0"/>
                      <w:position w:val="0"/>
                      <w:highlight w:val="none"/>
                      <w:lang w:eastAsia="zh-CN"/>
                    </w:rPr>
                    <w:t>3、加强重点行业企业清洁生产改造。深入推进全省重点行业企业清洁生产审核，重点行业企业“十四五”期间依法至少开展一轮强制性清洁生产审核。到2025年底，重点行业企业基本达到国内清洁生产先进水平。电镀行业（包括电镀车间）大力推进清洁生产先进工艺，鼓励采用三价铬和无铬钝化工艺。加强重金属污染源头防控，减少使用高镉、高砷或高钝的矿石原料，积极推动铜冶炼转炉吹炼工艺提升改造。</w:t>
                  </w:r>
                </w:p>
              </w:tc>
              <w:tc>
                <w:tcPr>
                  <w:tcW w:w="3016" w:type="dxa"/>
                  <w:tcBorders>
                    <w:tl2br w:val="nil"/>
                    <w:tr2bl w:val="nil"/>
                  </w:tcBorders>
                  <w:noWrap w:val="0"/>
                  <w:vAlign w:val="center"/>
                </w:tcPr>
                <w:p w14:paraId="508C92E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本项目不属于重有色金属冶炼行业，污染物排放浓度和排放量满足相应的标准要求，</w:t>
                  </w:r>
                  <w:r>
                    <w:rPr>
                      <w:rFonts w:hint="eastAsia"/>
                      <w:caps w:val="0"/>
                      <w:color w:val="auto"/>
                      <w:spacing w:val="0"/>
                      <w:position w:val="0"/>
                      <w:highlight w:val="none"/>
                      <w:lang w:val="en-US" w:eastAsia="zh-CN"/>
                    </w:rPr>
                    <w:t>本项目不属于电镀行业，不涉及钝化工艺。本项目锂冶炼剩余物中含有铊因子，不使用</w:t>
                  </w:r>
                  <w:r>
                    <w:rPr>
                      <w:rFonts w:hint="eastAsia"/>
                      <w:caps w:val="0"/>
                      <w:color w:val="auto"/>
                      <w:spacing w:val="0"/>
                      <w:position w:val="0"/>
                      <w:highlight w:val="none"/>
                      <w:lang w:eastAsia="zh-CN"/>
                    </w:rPr>
                    <w:t>高镉、高砷或高钝的矿石原料，</w:t>
                  </w:r>
                  <w:r>
                    <w:rPr>
                      <w:rFonts w:hint="eastAsia"/>
                      <w:caps w:val="0"/>
                      <w:color w:val="auto"/>
                      <w:spacing w:val="0"/>
                      <w:position w:val="0"/>
                      <w:highlight w:val="none"/>
                      <w:lang w:val="en-US" w:eastAsia="zh-CN"/>
                    </w:rPr>
                    <w:t>不属于铜冶炼企业</w:t>
                  </w:r>
                </w:p>
              </w:tc>
              <w:tc>
                <w:tcPr>
                  <w:tcW w:w="695" w:type="dxa"/>
                  <w:tcBorders>
                    <w:tl2br w:val="nil"/>
                    <w:tr2bl w:val="nil"/>
                  </w:tcBorders>
                  <w:noWrap w:val="0"/>
                  <w:vAlign w:val="center"/>
                </w:tcPr>
                <w:p w14:paraId="0876F489">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符合</w:t>
                  </w:r>
                </w:p>
              </w:tc>
            </w:tr>
            <w:tr w14:paraId="084D6E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487" w:type="dxa"/>
                  <w:tcBorders>
                    <w:tl2br w:val="nil"/>
                    <w:tr2bl w:val="nil"/>
                  </w:tcBorders>
                  <w:noWrap w:val="0"/>
                  <w:vAlign w:val="center"/>
                </w:tcPr>
                <w:p w14:paraId="4AB8AF8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4</w:t>
                  </w:r>
                  <w:r>
                    <w:rPr>
                      <w:rFonts w:hint="eastAsia"/>
                      <w:caps w:val="0"/>
                      <w:color w:val="auto"/>
                      <w:spacing w:val="0"/>
                      <w:position w:val="0"/>
                      <w:highlight w:val="none"/>
                      <w:lang w:val="en-US" w:eastAsia="zh-CN"/>
                    </w:rPr>
                    <w:t>、</w:t>
                  </w:r>
                  <w:r>
                    <w:rPr>
                      <w:rFonts w:hint="default"/>
                      <w:caps w:val="0"/>
                      <w:color w:val="auto"/>
                      <w:spacing w:val="0"/>
                      <w:position w:val="0"/>
                      <w:highlight w:val="none"/>
                      <w:lang w:val="en-US" w:eastAsia="zh-CN"/>
                    </w:rPr>
                    <w:t>推动重金属污染深度治理。自2023年起，我省8个重点区域铅锌冶炼和铜冶炼行业企业，执行颗粒物和重点重金属污染物特别排放限值。重有色金属冶炼企业要加强生产车间低空逸散烟气收集处理，有效减少无组织排放。重有色金属矿采选企业要按照规定完善废石堆场、排土场周边雨污分流设施，建设酸性废水收集与处理设施。采用洒水</w:t>
                  </w:r>
                  <w:r>
                    <w:rPr>
                      <w:rFonts w:hint="eastAsia"/>
                      <w:caps w:val="0"/>
                      <w:color w:val="auto"/>
                      <w:spacing w:val="0"/>
                      <w:position w:val="0"/>
                      <w:highlight w:val="none"/>
                      <w:lang w:val="en-US" w:eastAsia="zh-CN"/>
                    </w:rPr>
                    <w:t>、</w:t>
                  </w:r>
                  <w:r>
                    <w:rPr>
                      <w:rFonts w:hint="default"/>
                      <w:caps w:val="0"/>
                      <w:color w:val="auto"/>
                      <w:spacing w:val="0"/>
                      <w:position w:val="0"/>
                      <w:highlight w:val="none"/>
                      <w:lang w:val="en-US" w:eastAsia="zh-CN"/>
                    </w:rPr>
                    <w:t>旋风等简易除尘治理工艺的重有色金属矿采选企业，要加强废气收集，实施过滤除尘等颗粒物治理升级改造工程。持续推进专业电镀园区、专业电镀企业重金属污染深度治理。排放汞及汞化合物的企业应当采用最佳可行技术和最佳环境实践，控制并减少汞及汞化合物的排放和释放。</w:t>
                  </w:r>
                </w:p>
              </w:tc>
              <w:tc>
                <w:tcPr>
                  <w:tcW w:w="3016" w:type="dxa"/>
                  <w:tcBorders>
                    <w:tl2br w:val="nil"/>
                    <w:tr2bl w:val="nil"/>
                  </w:tcBorders>
                  <w:noWrap w:val="0"/>
                  <w:vAlign w:val="center"/>
                </w:tcPr>
                <w:p w14:paraId="1FA541A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本项目不属于重有色金属冶炼及重有色金属金属矿采选企业</w:t>
                  </w:r>
                  <w:r>
                    <w:rPr>
                      <w:rFonts w:hint="eastAsia"/>
                      <w:caps w:val="0"/>
                      <w:color w:val="auto"/>
                      <w:spacing w:val="0"/>
                      <w:position w:val="0"/>
                      <w:highlight w:val="none"/>
                      <w:lang w:val="en-US" w:eastAsia="zh-CN"/>
                    </w:rPr>
                    <w:t>；不属于电镀企业，不排放汞及汞化合物</w:t>
                  </w:r>
                </w:p>
              </w:tc>
              <w:tc>
                <w:tcPr>
                  <w:tcW w:w="695" w:type="dxa"/>
                  <w:tcBorders>
                    <w:tl2br w:val="nil"/>
                    <w:tr2bl w:val="nil"/>
                  </w:tcBorders>
                  <w:noWrap w:val="0"/>
                  <w:vAlign w:val="center"/>
                </w:tcPr>
                <w:p w14:paraId="018DE54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符合</w:t>
                  </w:r>
                </w:p>
              </w:tc>
            </w:tr>
          </w:tbl>
          <w:p w14:paraId="030FA1C4">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lang w:val="en-US" w:eastAsia="zh-CN"/>
              </w:rPr>
            </w:pPr>
            <w:r>
              <w:rPr>
                <w:rFonts w:hint="eastAsia"/>
                <w:b/>
                <w:bCs w:val="0"/>
                <w:caps w:val="0"/>
                <w:color w:val="auto"/>
                <w:spacing w:val="0"/>
                <w:position w:val="0"/>
                <w:highlight w:val="none"/>
                <w:lang w:val="en-US" w:eastAsia="zh-CN"/>
              </w:rPr>
              <w:t>17</w:t>
            </w:r>
            <w:r>
              <w:rPr>
                <w:rFonts w:hint="default"/>
                <w:b/>
                <w:bCs w:val="0"/>
                <w:caps w:val="0"/>
                <w:color w:val="auto"/>
                <w:spacing w:val="0"/>
                <w:position w:val="0"/>
                <w:highlight w:val="none"/>
                <w:lang w:val="en-US" w:eastAsia="zh-CN"/>
              </w:rPr>
              <w:t>、与《关于相关企业和工业园区污水处理厂落实涉铊涉氟废水监测和处理要求的意见》（2023年1月3日）相符性分析</w:t>
            </w:r>
          </w:p>
          <w:p w14:paraId="08CB86F1">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 xml:space="preserve">表1-17 </w:t>
            </w:r>
            <w:r>
              <w:rPr>
                <w:rFonts w:hint="default"/>
                <w:caps w:val="0"/>
                <w:color w:val="auto"/>
                <w:spacing w:val="0"/>
                <w:position w:val="0"/>
                <w:highlight w:val="none"/>
                <w:lang w:val="en-US" w:eastAsia="zh-CN"/>
              </w:rPr>
              <w:t>与《关于相关企业和工业园区污水处理厂落实涉铊涉氟</w:t>
            </w:r>
          </w:p>
          <w:tbl>
            <w:tblPr>
              <w:tblStyle w:val="23"/>
              <w:tblpPr w:vertAnchor="text" w:horzAnchor="page" w:tblpX="130" w:tblpY="129"/>
              <w:tblOverlap w:val="never"/>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807"/>
              <w:gridCol w:w="2196"/>
              <w:gridCol w:w="491"/>
            </w:tblGrid>
            <w:tr w14:paraId="7D5A93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06" w:type="dxa"/>
                  <w:gridSpan w:val="2"/>
                  <w:noWrap w:val="0"/>
                  <w:vAlign w:val="center"/>
                </w:tcPr>
                <w:p w14:paraId="5BA0211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具体要求</w:t>
                  </w:r>
                </w:p>
              </w:tc>
              <w:tc>
                <w:tcPr>
                  <w:tcW w:w="1957" w:type="dxa"/>
                  <w:noWrap w:val="0"/>
                  <w:vAlign w:val="center"/>
                </w:tcPr>
                <w:p w14:paraId="604F50F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项目情况</w:t>
                  </w:r>
                </w:p>
              </w:tc>
              <w:tc>
                <w:tcPr>
                  <w:tcW w:w="437" w:type="dxa"/>
                  <w:noWrap w:val="0"/>
                  <w:vAlign w:val="center"/>
                </w:tcPr>
                <w:p w14:paraId="5083184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相符性</w:t>
                  </w:r>
                </w:p>
              </w:tc>
            </w:tr>
            <w:tr w14:paraId="2C9A8B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3" w:type="dxa"/>
                  <w:noWrap w:val="0"/>
                  <w:vAlign w:val="center"/>
                </w:tcPr>
                <w:p w14:paraId="3BE8CCE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迅速开展全面调研</w:t>
                  </w:r>
                </w:p>
              </w:tc>
              <w:tc>
                <w:tcPr>
                  <w:tcW w:w="3393" w:type="dxa"/>
                  <w:noWrap w:val="0"/>
                  <w:vAlign w:val="center"/>
                </w:tcPr>
                <w:p w14:paraId="28B1E5B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市经开区和各县(市、区)工业园区管委会牵头，联合属地生态环境部门和工业污水处理厂，立即对辖区内涉</w:t>
                  </w:r>
                  <w:r>
                    <w:rPr>
                      <w:rFonts w:hint="default"/>
                      <w:caps w:val="0"/>
                      <w:color w:val="auto"/>
                      <w:spacing w:val="0"/>
                      <w:position w:val="0"/>
                      <w:highlight w:val="none"/>
                      <w:lang w:val="en-US" w:eastAsia="zh-CN"/>
                    </w:rPr>
                    <w:t>铊</w:t>
                  </w:r>
                  <w:r>
                    <w:rPr>
                      <w:rFonts w:hint="default"/>
                      <w:caps w:val="0"/>
                      <w:color w:val="auto"/>
                      <w:spacing w:val="0"/>
                      <w:position w:val="0"/>
                      <w:highlight w:val="none"/>
                    </w:rPr>
                    <w:t>涉氟企业进行全面调研，彻底摸清涉</w:t>
                  </w:r>
                  <w:r>
                    <w:rPr>
                      <w:rFonts w:hint="default"/>
                      <w:caps w:val="0"/>
                      <w:color w:val="auto"/>
                      <w:spacing w:val="0"/>
                      <w:position w:val="0"/>
                      <w:highlight w:val="none"/>
                      <w:lang w:val="en-US" w:eastAsia="zh-CN"/>
                    </w:rPr>
                    <w:t>铊</w:t>
                  </w:r>
                  <w:r>
                    <w:rPr>
                      <w:rFonts w:hint="default"/>
                      <w:caps w:val="0"/>
                      <w:color w:val="auto"/>
                      <w:spacing w:val="0"/>
                      <w:position w:val="0"/>
                      <w:highlight w:val="none"/>
                    </w:rPr>
                    <w:t>涉氟污染源底数，全面掌握各企业氟化物和重金属等特征污染物的产生、排放和处理处置等情况，为后续确定处理方案提供依据。</w:t>
                  </w:r>
                </w:p>
              </w:tc>
              <w:tc>
                <w:tcPr>
                  <w:tcW w:w="1957" w:type="dxa"/>
                  <w:noWrap w:val="0"/>
                  <w:vAlign w:val="center"/>
                </w:tcPr>
                <w:p w14:paraId="67B20DD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eastAsia="zh-CN"/>
                    </w:rPr>
                  </w:pPr>
                  <w:r>
                    <w:rPr>
                      <w:rFonts w:hint="default"/>
                      <w:caps w:val="0"/>
                      <w:color w:val="auto"/>
                      <w:spacing w:val="0"/>
                      <w:position w:val="0"/>
                      <w:highlight w:val="none"/>
                    </w:rPr>
                    <w:t>本项目</w:t>
                  </w:r>
                  <w:r>
                    <w:rPr>
                      <w:rFonts w:hint="default"/>
                      <w:caps w:val="0"/>
                      <w:color w:val="auto"/>
                      <w:spacing w:val="0"/>
                      <w:position w:val="0"/>
                      <w:highlight w:val="none"/>
                      <w:lang w:eastAsia="zh-CN"/>
                    </w:rPr>
                    <w:t>锂冶炼剩余物</w:t>
                  </w:r>
                  <w:r>
                    <w:rPr>
                      <w:rFonts w:hint="default"/>
                      <w:caps w:val="0"/>
                      <w:color w:val="auto"/>
                      <w:spacing w:val="0"/>
                      <w:position w:val="0"/>
                      <w:highlight w:val="none"/>
                    </w:rPr>
                    <w:t>中含有铊因子，本项目已完善铊元素物料平衡分析，明确铊最终去向，</w:t>
                  </w:r>
                  <w:r>
                    <w:rPr>
                      <w:rFonts w:hint="default"/>
                      <w:caps w:val="0"/>
                      <w:color w:val="auto"/>
                      <w:spacing w:val="0"/>
                      <w:position w:val="0"/>
                      <w:highlight w:val="none"/>
                      <w:lang w:val="en-US" w:eastAsia="zh-CN"/>
                    </w:rPr>
                    <w:t>已明确</w:t>
                  </w:r>
                  <w:r>
                    <w:rPr>
                      <w:rFonts w:hint="default"/>
                      <w:caps w:val="0"/>
                      <w:color w:val="auto"/>
                      <w:spacing w:val="0"/>
                      <w:position w:val="0"/>
                      <w:highlight w:val="none"/>
                    </w:rPr>
                    <w:t>铊污染物的产生、排放和处理处置等情况</w:t>
                  </w:r>
                  <w:r>
                    <w:rPr>
                      <w:rFonts w:hint="default"/>
                      <w:caps w:val="0"/>
                      <w:color w:val="auto"/>
                      <w:spacing w:val="0"/>
                      <w:position w:val="0"/>
                      <w:highlight w:val="none"/>
                      <w:lang w:eastAsia="zh-CN"/>
                    </w:rPr>
                    <w:t>。</w:t>
                  </w:r>
                </w:p>
              </w:tc>
              <w:tc>
                <w:tcPr>
                  <w:tcW w:w="437" w:type="dxa"/>
                  <w:noWrap w:val="0"/>
                  <w:vAlign w:val="center"/>
                </w:tcPr>
                <w:p w14:paraId="510EA33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730C94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3" w:type="dxa"/>
                  <w:noWrap w:val="0"/>
                  <w:vAlign w:val="center"/>
                </w:tcPr>
                <w:p w14:paraId="3B48766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严格落实“一企一管”要求</w:t>
                  </w:r>
                </w:p>
              </w:tc>
              <w:tc>
                <w:tcPr>
                  <w:tcW w:w="3393" w:type="dxa"/>
                  <w:noWrap w:val="0"/>
                  <w:vAlign w:val="center"/>
                </w:tcPr>
                <w:p w14:paraId="5C0560F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园区及涉铊涉氟相关企业要严格落实“一企一管”要求合理设置涉铊涉氟废水专用管网连通至园区污水处理厂，确保涉铊涉氟废水可精确溯源、可及时管控。</w:t>
                  </w:r>
                </w:p>
              </w:tc>
              <w:tc>
                <w:tcPr>
                  <w:tcW w:w="1957" w:type="dxa"/>
                  <w:noWrap w:val="0"/>
                  <w:vAlign w:val="center"/>
                </w:tcPr>
                <w:p w14:paraId="5C1213D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本项目不涉及生产废水排放</w:t>
                  </w:r>
                  <w:r>
                    <w:rPr>
                      <w:rFonts w:hint="default"/>
                      <w:caps w:val="0"/>
                      <w:color w:val="auto"/>
                      <w:spacing w:val="0"/>
                      <w:position w:val="0"/>
                      <w:highlight w:val="none"/>
                    </w:rPr>
                    <w:t>。</w:t>
                  </w:r>
                </w:p>
              </w:tc>
              <w:tc>
                <w:tcPr>
                  <w:tcW w:w="437" w:type="dxa"/>
                  <w:noWrap w:val="0"/>
                  <w:vAlign w:val="center"/>
                </w:tcPr>
                <w:p w14:paraId="5F7D23D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r w14:paraId="3B803B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13" w:type="dxa"/>
                  <w:noWrap w:val="0"/>
                  <w:vAlign w:val="center"/>
                </w:tcPr>
                <w:p w14:paraId="77A9EBC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发挥在线监测防范预警作用</w:t>
                  </w:r>
                </w:p>
              </w:tc>
              <w:tc>
                <w:tcPr>
                  <w:tcW w:w="3393" w:type="dxa"/>
                  <w:noWrap w:val="0"/>
                  <w:vAlign w:val="center"/>
                </w:tcPr>
                <w:p w14:paraId="7C0DCCD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涉铊涉氟企业除在废水总排口和厂区雨水排口安装铊和氟化物的在线监测设备外，还应在车间或生产设施废水排放口安装铊在线监测设备。</w:t>
                  </w:r>
                </w:p>
              </w:tc>
              <w:tc>
                <w:tcPr>
                  <w:tcW w:w="1957" w:type="dxa"/>
                  <w:noWrap w:val="0"/>
                  <w:vAlign w:val="center"/>
                </w:tcPr>
                <w:p w14:paraId="570BEC2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本项目车间不外排生产废水，</w:t>
                  </w:r>
                  <w:r>
                    <w:rPr>
                      <w:rFonts w:hint="default"/>
                      <w:caps w:val="0"/>
                      <w:color w:val="auto"/>
                      <w:spacing w:val="0"/>
                      <w:position w:val="0"/>
                      <w:highlight w:val="none"/>
                      <w:lang w:val="en-US" w:eastAsia="zh-CN"/>
                    </w:rPr>
                    <w:t>本环评要求建设单位在雨水排放口安装氟化物、铊在线监测设备，并与市、县两级在线监控管理平台联网</w:t>
                  </w:r>
                  <w:r>
                    <w:rPr>
                      <w:rFonts w:hint="eastAsia"/>
                      <w:caps w:val="0"/>
                      <w:color w:val="auto"/>
                      <w:spacing w:val="0"/>
                      <w:position w:val="0"/>
                      <w:highlight w:val="none"/>
                      <w:lang w:val="en-US" w:eastAsia="zh-CN"/>
                    </w:rPr>
                    <w:t>。</w:t>
                  </w:r>
                </w:p>
              </w:tc>
              <w:tc>
                <w:tcPr>
                  <w:tcW w:w="437" w:type="dxa"/>
                  <w:noWrap w:val="0"/>
                  <w:vAlign w:val="center"/>
                </w:tcPr>
                <w:p w14:paraId="1565DAE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相符</w:t>
                  </w:r>
                </w:p>
              </w:tc>
            </w:tr>
          </w:tbl>
          <w:p w14:paraId="07AA171D">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lang w:val="en-US" w:eastAsia="zh-CN"/>
              </w:rPr>
            </w:pPr>
            <w:r>
              <w:rPr>
                <w:rFonts w:hint="default"/>
                <w:b/>
                <w:bCs w:val="0"/>
                <w:caps w:val="0"/>
                <w:color w:val="auto"/>
                <w:spacing w:val="0"/>
                <w:position w:val="0"/>
                <w:highlight w:val="none"/>
                <w:lang w:val="en-US" w:eastAsia="zh-CN"/>
              </w:rPr>
              <w:t>1</w:t>
            </w:r>
            <w:r>
              <w:rPr>
                <w:rFonts w:hint="eastAsia"/>
                <w:b/>
                <w:bCs w:val="0"/>
                <w:caps w:val="0"/>
                <w:color w:val="auto"/>
                <w:spacing w:val="0"/>
                <w:position w:val="0"/>
                <w:highlight w:val="none"/>
                <w:lang w:val="en-US" w:eastAsia="zh-CN"/>
              </w:rPr>
              <w:t>8</w:t>
            </w:r>
            <w:r>
              <w:rPr>
                <w:rFonts w:hint="default"/>
                <w:b/>
                <w:bCs w:val="0"/>
                <w:caps w:val="0"/>
                <w:color w:val="auto"/>
                <w:spacing w:val="0"/>
                <w:position w:val="0"/>
                <w:highlight w:val="none"/>
                <w:lang w:val="en-US" w:eastAsia="zh-CN"/>
              </w:rPr>
              <w:t>、与《宜春市重点行业企业生态环境问题大排查大整治行动方案》的通知（宜环执法[2023]2号）相符性分析</w:t>
            </w:r>
          </w:p>
          <w:p w14:paraId="24FA18C6">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eastAsia="zh-CN"/>
              </w:rPr>
            </w:pPr>
            <w:r>
              <w:rPr>
                <w:rFonts w:hint="default"/>
                <w:caps w:val="0"/>
                <w:color w:val="auto"/>
                <w:spacing w:val="0"/>
                <w:position w:val="0"/>
                <w:highlight w:val="none"/>
                <w:lang w:eastAsia="zh-CN"/>
              </w:rPr>
              <w:t>宜环执法[2023]2号文要求：全市电新能源(含锂瓷矿开采、理云母等含锂矿石选矿、碳酸锂等含锂化合物生产、锂冶炼剩余物等二次提锂加工、含锂卤水制取、锂电池正负极材料生产、锂电池及相关配件制造、废旧锂电池回收)、铅酸蓄电池(含铅酸蓄电池制造、废旧铅酸蓄电池收储、铅酸蓄电池拆解)、有色金属冶炼和化工等重点行业领域存在的生态环境问题，按照《宜春市涉锂电主要行业生态环境监管标准(试行)》要求开展全面整治。对未进行氟化物和铊等特征污染物分析评价的环评，依法开展后评价，并重新申领排污许可证。</w:t>
            </w:r>
          </w:p>
          <w:p w14:paraId="0EBE9CD0">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本环评</w:t>
            </w:r>
            <w:r>
              <w:rPr>
                <w:rFonts w:hint="eastAsia" w:cs="Times New Roman"/>
                <w:caps w:val="0"/>
                <w:color w:val="auto"/>
                <w:spacing w:val="0"/>
                <w:position w:val="0"/>
                <w:highlight w:val="none"/>
                <w:lang w:val="en-US" w:eastAsia="zh-CN"/>
              </w:rPr>
              <w:t>已</w:t>
            </w:r>
            <w:r>
              <w:rPr>
                <w:rFonts w:hint="default"/>
                <w:caps w:val="0"/>
                <w:color w:val="auto"/>
                <w:spacing w:val="0"/>
                <w:position w:val="0"/>
                <w:highlight w:val="none"/>
              </w:rPr>
              <w:t>本项目已完善铊</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氟化物</w:t>
            </w:r>
            <w:r>
              <w:rPr>
                <w:rFonts w:hint="default"/>
                <w:caps w:val="0"/>
                <w:color w:val="auto"/>
                <w:spacing w:val="0"/>
                <w:position w:val="0"/>
                <w:highlight w:val="none"/>
              </w:rPr>
              <w:t>物料平衡分析，明确铊</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氟化物</w:t>
            </w:r>
            <w:r>
              <w:rPr>
                <w:rFonts w:hint="default"/>
                <w:caps w:val="0"/>
                <w:color w:val="auto"/>
                <w:spacing w:val="0"/>
                <w:position w:val="0"/>
                <w:highlight w:val="none"/>
              </w:rPr>
              <w:t>最终去向，</w:t>
            </w:r>
            <w:r>
              <w:rPr>
                <w:rFonts w:hint="default"/>
                <w:caps w:val="0"/>
                <w:color w:val="auto"/>
                <w:spacing w:val="0"/>
                <w:position w:val="0"/>
                <w:highlight w:val="none"/>
                <w:lang w:val="en-US" w:eastAsia="zh-CN"/>
              </w:rPr>
              <w:t>已明确</w:t>
            </w:r>
            <w:r>
              <w:rPr>
                <w:rFonts w:hint="default"/>
                <w:caps w:val="0"/>
                <w:color w:val="auto"/>
                <w:spacing w:val="0"/>
                <w:position w:val="0"/>
                <w:highlight w:val="none"/>
              </w:rPr>
              <w:t>铊</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氟化物</w:t>
            </w:r>
            <w:r>
              <w:rPr>
                <w:rFonts w:hint="default"/>
                <w:caps w:val="0"/>
                <w:color w:val="auto"/>
                <w:spacing w:val="0"/>
                <w:position w:val="0"/>
                <w:highlight w:val="none"/>
              </w:rPr>
              <w:t>污染物的产生、排放和处理处置等情况</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并</w:t>
            </w:r>
            <w:r>
              <w:rPr>
                <w:rFonts w:hint="default" w:ascii="Times New Roman" w:hAnsi="Times New Roman" w:cs="Times New Roman"/>
                <w:caps w:val="0"/>
                <w:color w:val="auto"/>
                <w:spacing w:val="0"/>
                <w:position w:val="0"/>
                <w:highlight w:val="none"/>
                <w:lang w:val="en-US" w:eastAsia="zh-CN"/>
              </w:rPr>
              <w:t>要求建设单位在雨水排放口安装氟化物、铊在线监测设备，并与市、县两级在线监控管理平台联网。</w:t>
            </w:r>
          </w:p>
          <w:p w14:paraId="69787684">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lang w:val="en-US" w:eastAsia="zh-CN"/>
              </w:rPr>
            </w:pPr>
            <w:r>
              <w:rPr>
                <w:rFonts w:hint="default"/>
                <w:b/>
                <w:bCs w:val="0"/>
                <w:caps w:val="0"/>
                <w:color w:val="auto"/>
                <w:spacing w:val="0"/>
                <w:position w:val="0"/>
                <w:highlight w:val="none"/>
                <w:lang w:val="en-US" w:eastAsia="zh-CN"/>
              </w:rPr>
              <w:t>1</w:t>
            </w:r>
            <w:r>
              <w:rPr>
                <w:rFonts w:hint="eastAsia"/>
                <w:b/>
                <w:bCs w:val="0"/>
                <w:caps w:val="0"/>
                <w:color w:val="auto"/>
                <w:spacing w:val="0"/>
                <w:position w:val="0"/>
                <w:highlight w:val="none"/>
                <w:lang w:val="en-US" w:eastAsia="zh-CN"/>
              </w:rPr>
              <w:t>9</w:t>
            </w:r>
            <w:r>
              <w:rPr>
                <w:rFonts w:hint="default"/>
                <w:b/>
                <w:bCs w:val="0"/>
                <w:caps w:val="0"/>
                <w:color w:val="auto"/>
                <w:spacing w:val="0"/>
                <w:position w:val="0"/>
                <w:highlight w:val="none"/>
                <w:lang w:val="en-US" w:eastAsia="zh-CN"/>
              </w:rPr>
              <w:t>、与《关于进一步加强对全市</w:t>
            </w:r>
            <w:r>
              <w:rPr>
                <w:rFonts w:hint="eastAsia"/>
                <w:b/>
                <w:bCs w:val="0"/>
                <w:caps w:val="0"/>
                <w:color w:val="auto"/>
                <w:spacing w:val="0"/>
                <w:position w:val="0"/>
                <w:highlight w:val="none"/>
                <w:lang w:val="en-US" w:eastAsia="zh-CN"/>
              </w:rPr>
              <w:t>锂冶炼剩余物</w:t>
            </w:r>
            <w:r>
              <w:rPr>
                <w:rFonts w:hint="default"/>
                <w:b/>
                <w:bCs w:val="0"/>
                <w:caps w:val="0"/>
                <w:color w:val="auto"/>
                <w:spacing w:val="0"/>
                <w:position w:val="0"/>
                <w:highlight w:val="none"/>
                <w:lang w:val="en-US" w:eastAsia="zh-CN"/>
              </w:rPr>
              <w:t>利用处置指导的通知》宜环委办字[2024]33号相符性分析</w:t>
            </w:r>
          </w:p>
          <w:p w14:paraId="2AA908BD">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为推进宜春市碳酸锂行业健康稳步发展，帮助企业解决当前阶段</w:t>
            </w:r>
            <w:r>
              <w:rPr>
                <w:rFonts w:hint="eastAsia"/>
                <w:caps w:val="0"/>
                <w:color w:val="auto"/>
                <w:spacing w:val="0"/>
                <w:position w:val="0"/>
                <w:highlight w:val="none"/>
                <w:lang w:val="en-US" w:eastAsia="zh-CN"/>
              </w:rPr>
              <w:t>锂冶炼剩余物</w:t>
            </w:r>
            <w:r>
              <w:rPr>
                <w:rFonts w:hint="default"/>
                <w:caps w:val="0"/>
                <w:color w:val="auto"/>
                <w:spacing w:val="0"/>
                <w:position w:val="0"/>
                <w:highlight w:val="none"/>
                <w:lang w:val="en-US" w:eastAsia="zh-CN"/>
              </w:rPr>
              <w:t>利用处置难题，4月11日-12日，宜春市特邀中国环境科学研究院等单位5位专家，召开了宜春市</w:t>
            </w:r>
            <w:r>
              <w:rPr>
                <w:rFonts w:hint="eastAsia"/>
                <w:caps w:val="0"/>
                <w:color w:val="auto"/>
                <w:spacing w:val="0"/>
                <w:position w:val="0"/>
                <w:highlight w:val="none"/>
                <w:lang w:val="en-US" w:eastAsia="zh-CN"/>
              </w:rPr>
              <w:t>锂冶炼剩余物</w:t>
            </w:r>
            <w:r>
              <w:rPr>
                <w:rFonts w:hint="default"/>
                <w:caps w:val="0"/>
                <w:color w:val="auto"/>
                <w:spacing w:val="0"/>
                <w:position w:val="0"/>
                <w:highlight w:val="none"/>
                <w:lang w:val="en-US" w:eastAsia="zh-CN"/>
              </w:rPr>
              <w:t>利用处置相关问题培训暨专家咨询会。与会专家听取了锂电产业有关情况和企业对</w:t>
            </w:r>
            <w:r>
              <w:rPr>
                <w:rFonts w:hint="eastAsia"/>
                <w:caps w:val="0"/>
                <w:color w:val="auto"/>
                <w:spacing w:val="0"/>
                <w:position w:val="0"/>
                <w:highlight w:val="none"/>
                <w:lang w:val="en-US" w:eastAsia="zh-CN"/>
              </w:rPr>
              <w:t>锂冶炼剩余物</w:t>
            </w:r>
            <w:r>
              <w:rPr>
                <w:rFonts w:hint="default"/>
                <w:caps w:val="0"/>
                <w:color w:val="auto"/>
                <w:spacing w:val="0"/>
                <w:position w:val="0"/>
                <w:highlight w:val="none"/>
                <w:lang w:val="en-US" w:eastAsia="zh-CN"/>
              </w:rPr>
              <w:t>处理工艺的介绍，对宜春市当前</w:t>
            </w:r>
            <w:r>
              <w:rPr>
                <w:rFonts w:hint="eastAsia"/>
                <w:caps w:val="0"/>
                <w:color w:val="auto"/>
                <w:spacing w:val="0"/>
                <w:position w:val="0"/>
                <w:highlight w:val="none"/>
                <w:lang w:val="en-US" w:eastAsia="zh-CN"/>
              </w:rPr>
              <w:t>锂冶炼剩余物</w:t>
            </w:r>
            <w:r>
              <w:rPr>
                <w:rFonts w:hint="default"/>
                <w:caps w:val="0"/>
                <w:color w:val="auto"/>
                <w:spacing w:val="0"/>
                <w:position w:val="0"/>
                <w:highlight w:val="none"/>
                <w:lang w:val="en-US" w:eastAsia="zh-CN"/>
              </w:rPr>
              <w:t>处置急需解决的问题进行了充分讨论，形成了《宜春市</w:t>
            </w:r>
            <w:r>
              <w:rPr>
                <w:rFonts w:hint="eastAsia"/>
                <w:caps w:val="0"/>
                <w:color w:val="auto"/>
                <w:spacing w:val="0"/>
                <w:position w:val="0"/>
                <w:highlight w:val="none"/>
                <w:lang w:val="en-US" w:eastAsia="zh-CN"/>
              </w:rPr>
              <w:t>锂冶炼剩余物</w:t>
            </w:r>
            <w:r>
              <w:rPr>
                <w:rFonts w:hint="default"/>
                <w:caps w:val="0"/>
                <w:color w:val="auto"/>
                <w:spacing w:val="0"/>
                <w:position w:val="0"/>
                <w:highlight w:val="none"/>
                <w:lang w:val="en-US" w:eastAsia="zh-CN"/>
              </w:rPr>
              <w:t>利用处置相关问题专家咨询意见》，为宜春市碳酸锂企业</w:t>
            </w:r>
            <w:r>
              <w:rPr>
                <w:rFonts w:hint="eastAsia"/>
                <w:caps w:val="0"/>
                <w:color w:val="auto"/>
                <w:spacing w:val="0"/>
                <w:position w:val="0"/>
                <w:highlight w:val="none"/>
                <w:lang w:val="en-US" w:eastAsia="zh-CN"/>
              </w:rPr>
              <w:t>锂冶炼剩余物</w:t>
            </w:r>
            <w:r>
              <w:rPr>
                <w:rFonts w:hint="default"/>
                <w:caps w:val="0"/>
                <w:color w:val="auto"/>
                <w:spacing w:val="0"/>
                <w:position w:val="0"/>
                <w:highlight w:val="none"/>
                <w:lang w:val="en-US" w:eastAsia="zh-CN"/>
              </w:rPr>
              <w:t>处置明确了思路指明了路径和方法。专家五条咨询意见及相关要求见</w:t>
            </w:r>
            <w:r>
              <w:rPr>
                <w:rFonts w:hint="eastAsia"/>
                <w:caps w:val="0"/>
                <w:color w:val="auto"/>
                <w:spacing w:val="0"/>
                <w:position w:val="0"/>
                <w:highlight w:val="none"/>
                <w:lang w:val="en-US" w:eastAsia="zh-CN"/>
              </w:rPr>
              <w:t>下</w:t>
            </w:r>
            <w:r>
              <w:rPr>
                <w:rFonts w:hint="default"/>
                <w:caps w:val="0"/>
                <w:color w:val="auto"/>
                <w:spacing w:val="0"/>
                <w:position w:val="0"/>
                <w:highlight w:val="none"/>
                <w:lang w:val="en-US" w:eastAsia="zh-CN"/>
              </w:rPr>
              <w:t>表，需结合实际，认真贯彻执行。</w:t>
            </w:r>
          </w:p>
          <w:p w14:paraId="41DCE37D">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 xml:space="preserve">表1-18 </w:t>
            </w:r>
            <w:r>
              <w:rPr>
                <w:rFonts w:hint="default"/>
                <w:caps w:val="0"/>
                <w:color w:val="auto"/>
                <w:spacing w:val="0"/>
                <w:position w:val="0"/>
                <w:highlight w:val="none"/>
              </w:rPr>
              <w:t>项目与《关于进一步加强对全市</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利用处置指导的通知》宜环委办字</w:t>
            </w:r>
            <w:r>
              <w:rPr>
                <w:rFonts w:hint="default"/>
                <w:caps w:val="0"/>
                <w:color w:val="auto"/>
                <w:spacing w:val="0"/>
                <w:position w:val="0"/>
                <w:highlight w:val="none"/>
                <w:lang w:eastAsia="zh-CN"/>
              </w:rPr>
              <w:t>[2024]33号</w:t>
            </w:r>
            <w:r>
              <w:rPr>
                <w:rFonts w:hint="default"/>
                <w:caps w:val="0"/>
                <w:color w:val="auto"/>
                <w:spacing w:val="0"/>
                <w:position w:val="0"/>
                <w:highlight w:val="none"/>
              </w:rPr>
              <w:t>相符性分析</w:t>
            </w:r>
          </w:p>
          <w:tbl>
            <w:tblPr>
              <w:tblStyle w:val="23"/>
              <w:tblpPr w:vertAnchor="text" w:tblpXSpec="center" w:tblpY="1"/>
              <w:tblOverlap w:val="never"/>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9"/>
              <w:gridCol w:w="4219"/>
              <w:gridCol w:w="1621"/>
              <w:gridCol w:w="725"/>
            </w:tblGrid>
            <w:tr w14:paraId="630BCA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0" w:hRule="atLeast"/>
                <w:tblHeader/>
                <w:jc w:val="center"/>
              </w:trPr>
              <w:tc>
                <w:tcPr>
                  <w:tcW w:w="741" w:type="dxa"/>
                  <w:noWrap w:val="0"/>
                  <w:vAlign w:val="center"/>
                </w:tcPr>
                <w:p w14:paraId="584F07F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eastAsia="zh-CN"/>
                    </w:rPr>
                  </w:pPr>
                  <w:r>
                    <w:rPr>
                      <w:rFonts w:hint="default"/>
                      <w:caps w:val="0"/>
                      <w:color w:val="auto"/>
                      <w:spacing w:val="0"/>
                      <w:position w:val="0"/>
                      <w:highlight w:val="none"/>
                      <w:lang w:val="en-US" w:eastAsia="zh-CN"/>
                    </w:rPr>
                    <w:t>序号</w:t>
                  </w:r>
                </w:p>
              </w:tc>
              <w:tc>
                <w:tcPr>
                  <w:tcW w:w="4508" w:type="dxa"/>
                  <w:noWrap w:val="0"/>
                  <w:vAlign w:val="center"/>
                </w:tcPr>
                <w:p w14:paraId="794F556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eastAsia="zh-CN"/>
                    </w:rPr>
                  </w:pPr>
                  <w:r>
                    <w:rPr>
                      <w:rFonts w:hint="default"/>
                      <w:caps w:val="0"/>
                      <w:color w:val="auto"/>
                      <w:spacing w:val="0"/>
                      <w:position w:val="0"/>
                      <w:highlight w:val="none"/>
                      <w:lang w:val="en-US" w:eastAsia="zh-CN"/>
                    </w:rPr>
                    <w:t>总体要求</w:t>
                  </w:r>
                </w:p>
              </w:tc>
              <w:tc>
                <w:tcPr>
                  <w:tcW w:w="1705" w:type="dxa"/>
                  <w:noWrap w:val="0"/>
                  <w:vAlign w:val="center"/>
                </w:tcPr>
                <w:p w14:paraId="0F4FDF8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本项目情况</w:t>
                  </w:r>
                </w:p>
              </w:tc>
              <w:tc>
                <w:tcPr>
                  <w:tcW w:w="737" w:type="dxa"/>
                  <w:noWrap w:val="0"/>
                  <w:vAlign w:val="center"/>
                </w:tcPr>
                <w:p w14:paraId="21E4D7F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是否符合</w:t>
                  </w:r>
                </w:p>
              </w:tc>
            </w:tr>
            <w:tr w14:paraId="27B9BF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5" w:hRule="atLeast"/>
                <w:tblHeader/>
                <w:jc w:val="center"/>
              </w:trPr>
              <w:tc>
                <w:tcPr>
                  <w:tcW w:w="741" w:type="dxa"/>
                  <w:noWrap w:val="0"/>
                  <w:vAlign w:val="center"/>
                </w:tcPr>
                <w:p w14:paraId="64A9A09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eastAsia="zh-CN"/>
                    </w:rPr>
                  </w:pPr>
                  <w:r>
                    <w:rPr>
                      <w:rFonts w:hint="default"/>
                      <w:caps w:val="0"/>
                      <w:color w:val="auto"/>
                      <w:spacing w:val="0"/>
                      <w:position w:val="0"/>
                      <w:highlight w:val="none"/>
                      <w:lang w:val="en-US" w:eastAsia="zh-CN"/>
                    </w:rPr>
                    <w:t>1</w:t>
                  </w:r>
                </w:p>
              </w:tc>
              <w:tc>
                <w:tcPr>
                  <w:tcW w:w="4508" w:type="dxa"/>
                  <w:noWrap w:val="0"/>
                  <w:vAlign w:val="center"/>
                </w:tcPr>
                <w:p w14:paraId="72AE6CD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一、</w:t>
                  </w:r>
                  <w:r>
                    <w:rPr>
                      <w:rFonts w:hint="default"/>
                      <w:caps w:val="0"/>
                      <w:color w:val="auto"/>
                      <w:spacing w:val="0"/>
                      <w:position w:val="0"/>
                      <w:highlight w:val="none"/>
                    </w:rPr>
                    <w:t>以提锂为目标的水洗、固铊固铍技术路线是可行的，在</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处理过程中应关注铊、铍等浸出毒性及毒性物质含量。环评手续按照建设项目环境管理相关规定执行。</w:t>
                  </w:r>
                </w:p>
                <w:p w14:paraId="0C73924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专家指出，目前，宜春市碳酸锂企业通过水洗</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并进行提锂，解决</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中重金属超标的技术路线，是属于固体废物利用的过程，符合国家《危险废物鉴别标准通则》要求，政策上可行，予以支持。但纯粹以进消纳场为目的的固铊固铍技术路线，工艺上没有提锂环节，不符合国家《危险废物鉴别标准通则》要求，因此不予支持。专家认为，通过水洗</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提锂，虽然利用的是原有生产线但原材料、辅料药剂等发生了较大变化，必须根据企业实际情况重新报批环评手续。环评手续应按照国家建设项目环境管理相关规定执行。如果企业需重新建设</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水洗线，政策上也是支持的，但也要按照国家建设项目环境管理相关规定办理环评手续。</w:t>
                  </w:r>
                </w:p>
              </w:tc>
              <w:tc>
                <w:tcPr>
                  <w:tcW w:w="1705" w:type="dxa"/>
                  <w:noWrap w:val="0"/>
                  <w:vAlign w:val="center"/>
                </w:tcPr>
                <w:p w14:paraId="10A14FA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本项目</w:t>
                  </w:r>
                  <w:r>
                    <w:rPr>
                      <w:rFonts w:hint="default"/>
                      <w:caps w:val="0"/>
                      <w:color w:val="auto"/>
                      <w:spacing w:val="0"/>
                      <w:position w:val="0"/>
                      <w:highlight w:val="none"/>
                    </w:rPr>
                    <w:t>工艺</w:t>
                  </w:r>
                  <w:r>
                    <w:rPr>
                      <w:rFonts w:hint="default"/>
                      <w:caps w:val="0"/>
                      <w:color w:val="auto"/>
                      <w:spacing w:val="0"/>
                      <w:position w:val="0"/>
                      <w:highlight w:val="none"/>
                      <w:lang w:val="en-US" w:eastAsia="zh-CN"/>
                    </w:rPr>
                    <w:t>不涉及</w:t>
                  </w:r>
                  <w:r>
                    <w:rPr>
                      <w:rFonts w:hint="default"/>
                      <w:caps w:val="0"/>
                      <w:color w:val="auto"/>
                      <w:spacing w:val="0"/>
                      <w:position w:val="0"/>
                      <w:highlight w:val="none"/>
                    </w:rPr>
                    <w:t>提锂环节，</w:t>
                  </w:r>
                  <w:r>
                    <w:rPr>
                      <w:rFonts w:hint="default"/>
                      <w:caps w:val="0"/>
                      <w:color w:val="auto"/>
                      <w:spacing w:val="0"/>
                      <w:position w:val="0"/>
                      <w:highlight w:val="none"/>
                      <w:lang w:val="en-US" w:eastAsia="zh-CN"/>
                    </w:rPr>
                    <w:t>原料为</w:t>
                  </w:r>
                  <w:r>
                    <w:rPr>
                      <w:rFonts w:hint="eastAsia"/>
                      <w:caps w:val="0"/>
                      <w:color w:val="auto"/>
                      <w:spacing w:val="0"/>
                      <w:position w:val="0"/>
                      <w:highlight w:val="none"/>
                      <w:lang w:eastAsia="zh-CN"/>
                    </w:rPr>
                    <w:t>锂冶炼剩余物</w:t>
                  </w:r>
                  <w:r>
                    <w:rPr>
                      <w:rFonts w:hint="default"/>
                      <w:caps w:val="0"/>
                      <w:color w:val="auto"/>
                      <w:spacing w:val="0"/>
                      <w:position w:val="0"/>
                      <w:highlight w:val="none"/>
                      <w:lang w:val="en-US" w:eastAsia="zh-CN"/>
                    </w:rPr>
                    <w:t>，现按照</w:t>
                  </w:r>
                  <w:r>
                    <w:rPr>
                      <w:rFonts w:hint="default"/>
                      <w:caps w:val="0"/>
                      <w:color w:val="auto"/>
                      <w:spacing w:val="0"/>
                      <w:position w:val="0"/>
                      <w:highlight w:val="none"/>
                    </w:rPr>
                    <w:t>国家建设项目环境管理相关规定办理环评手续。</w:t>
                  </w:r>
                </w:p>
              </w:tc>
              <w:tc>
                <w:tcPr>
                  <w:tcW w:w="737" w:type="dxa"/>
                  <w:noWrap w:val="0"/>
                  <w:vAlign w:val="center"/>
                </w:tcPr>
                <w:p w14:paraId="299F957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1FAF1B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5" w:hRule="atLeast"/>
                <w:tblHeader/>
                <w:jc w:val="center"/>
              </w:trPr>
              <w:tc>
                <w:tcPr>
                  <w:tcW w:w="741" w:type="dxa"/>
                  <w:noWrap w:val="0"/>
                  <w:vAlign w:val="center"/>
                </w:tcPr>
                <w:p w14:paraId="18174A8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2</w:t>
                  </w:r>
                </w:p>
              </w:tc>
              <w:tc>
                <w:tcPr>
                  <w:tcW w:w="4508" w:type="dxa"/>
                  <w:noWrap w:val="0"/>
                  <w:vAlign w:val="center"/>
                </w:tcPr>
                <w:p w14:paraId="30E793F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二、</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属性鉴别应按照国家程序执行。在</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属性鉴别过程中，基于锂云母原料来源、辅料来源的不同，在鉴别方案编制过程中应系统分析特征污染因子，检测因子根据</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中关键特征污染因子铍、铊、氟化物等确定。</w:t>
                  </w:r>
                </w:p>
                <w:p w14:paraId="507CBDC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eastAsia="zh-CN"/>
                    </w:rPr>
                  </w:pPr>
                  <w:r>
                    <w:rPr>
                      <w:rFonts w:hint="default"/>
                      <w:caps w:val="0"/>
                      <w:color w:val="auto"/>
                      <w:spacing w:val="0"/>
                      <w:position w:val="0"/>
                      <w:highlight w:val="none"/>
                    </w:rPr>
                    <w:t>专家指出，危险废物属性鉴别程序，应按照《关于加强危险废物鉴别工作的通知》规定执行，程序上不能简化。但在</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属性鉴别过程中的具体操作上，可以根据锂云母原料、辅料来源的不同，在鉴别方案的编制过程中，系统分析特征污染因子，减少初步筛查的检测因子种类，再根据初步筛查出的关键特征污染因子(铍、铊、氟化物)等，确定鉴别工作需要检测分析的因子，不需要做全因子检测。通过简化初步筛查、采样分析的工作量，缩短属性鉴别时间，减少企业属性鉴别成本</w:t>
                  </w:r>
                  <w:r>
                    <w:rPr>
                      <w:rFonts w:hint="default"/>
                      <w:caps w:val="0"/>
                      <w:color w:val="auto"/>
                      <w:spacing w:val="0"/>
                      <w:position w:val="0"/>
                      <w:highlight w:val="none"/>
                      <w:lang w:eastAsia="zh-CN"/>
                    </w:rPr>
                    <w:t>。</w:t>
                  </w:r>
                </w:p>
              </w:tc>
              <w:tc>
                <w:tcPr>
                  <w:tcW w:w="1705" w:type="dxa"/>
                  <w:noWrap w:val="0"/>
                  <w:vAlign w:val="center"/>
                </w:tcPr>
                <w:p w14:paraId="63840DB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本项目锂冶炼剩余物原料来源于上游锂电企业鉴定为一般固废的浸出</w:t>
                  </w:r>
                  <w:r>
                    <w:rPr>
                      <w:rFonts w:hint="eastAsia"/>
                      <w:caps w:val="0"/>
                      <w:color w:val="auto"/>
                      <w:spacing w:val="0"/>
                      <w:position w:val="0"/>
                      <w:highlight w:val="none"/>
                      <w:lang w:val="en-US" w:eastAsia="zh-CN"/>
                    </w:rPr>
                    <w:t>渣再经水洗为更洁净的水洗渣。</w:t>
                  </w:r>
                </w:p>
              </w:tc>
              <w:tc>
                <w:tcPr>
                  <w:tcW w:w="737" w:type="dxa"/>
                  <w:noWrap w:val="0"/>
                  <w:vAlign w:val="center"/>
                </w:tcPr>
                <w:p w14:paraId="2045C99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01D676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5" w:hRule="atLeast"/>
                <w:tblHeader/>
                <w:jc w:val="center"/>
              </w:trPr>
              <w:tc>
                <w:tcPr>
                  <w:tcW w:w="741" w:type="dxa"/>
                  <w:noWrap w:val="0"/>
                  <w:vAlign w:val="center"/>
                </w:tcPr>
                <w:p w14:paraId="1C63C5B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3</w:t>
                  </w:r>
                </w:p>
              </w:tc>
              <w:tc>
                <w:tcPr>
                  <w:tcW w:w="4508" w:type="dxa"/>
                  <w:noWrap w:val="0"/>
                  <w:vAlign w:val="center"/>
                </w:tcPr>
                <w:p w14:paraId="7E703CD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三、在开展</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属性鉴别工作过程中，如批次检测数据(具资质检测单位出具)证明其不具有危险特性并满足Ⅱ类一般工业固废入场要求，则该批次</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可进入消纳场分区贮存。鉴别工作完成后，企业应履行主体责任开展自行监测工作，如</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不符合入场要求，企业应承担相应的法律责任。</w:t>
                  </w:r>
                </w:p>
                <w:p w14:paraId="30BAC78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针对企业反映</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属性鉴别时间长，从启动属性鉴别到拿到属性鉴别结果需要五、六个月</w:t>
                  </w:r>
                  <w:r>
                    <w:rPr>
                      <w:rFonts w:hint="default"/>
                      <w:caps w:val="0"/>
                      <w:color w:val="auto"/>
                      <w:spacing w:val="0"/>
                      <w:position w:val="0"/>
                      <w:highlight w:val="none"/>
                      <w:lang w:eastAsia="zh-CN"/>
                    </w:rPr>
                    <w:t>，在</w:t>
                  </w:r>
                  <w:r>
                    <w:rPr>
                      <w:rFonts w:hint="default"/>
                      <w:caps w:val="0"/>
                      <w:color w:val="auto"/>
                      <w:spacing w:val="0"/>
                      <w:position w:val="0"/>
                      <w:highlight w:val="none"/>
                    </w:rPr>
                    <w:t>属性鉴别期间已检测达标但未拿到属性鉴别结果之前，能否将</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先贮存到消纳场的问题，专家认为，在</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检测达标的情况下，</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可以先进入消纳场，但在具体操作时，要满足一定的前提条件</w:t>
                  </w:r>
                  <w:r>
                    <w:rPr>
                      <w:rFonts w:hint="default"/>
                      <w:caps w:val="0"/>
                      <w:color w:val="auto"/>
                      <w:spacing w:val="0"/>
                      <w:position w:val="0"/>
                      <w:highlight w:val="none"/>
                      <w:lang w:eastAsia="zh-CN"/>
                    </w:rPr>
                    <w:t>：</w:t>
                  </w:r>
                  <w:r>
                    <w:rPr>
                      <w:rFonts w:hint="default"/>
                      <w:caps w:val="0"/>
                      <w:color w:val="auto"/>
                      <w:spacing w:val="0"/>
                      <w:position w:val="0"/>
                      <w:highlight w:val="none"/>
                    </w:rPr>
                    <w:t>一是企业要请有资质的检测单位对进入消纳场的</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进行检测，并出具检测报告，不能由企业自己检测出报告。对检测数据证明其不具有危险特性并且满足II类一般工业固废要求的</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，可以先进入消纳场贮存</w:t>
                  </w:r>
                  <w:r>
                    <w:rPr>
                      <w:rFonts w:hint="default"/>
                      <w:caps w:val="0"/>
                      <w:color w:val="auto"/>
                      <w:spacing w:val="0"/>
                      <w:position w:val="0"/>
                      <w:highlight w:val="none"/>
                      <w:lang w:eastAsia="zh-CN"/>
                    </w:rPr>
                    <w:t>；</w:t>
                  </w:r>
                  <w:r>
                    <w:rPr>
                      <w:rFonts w:hint="default"/>
                      <w:caps w:val="0"/>
                      <w:color w:val="auto"/>
                      <w:spacing w:val="0"/>
                      <w:position w:val="0"/>
                      <w:highlight w:val="none"/>
                    </w:rPr>
                    <w:t>二是进入消纳场的</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，要按企业进行分区贮存，便于后期溯源</w:t>
                  </w:r>
                  <w:r>
                    <w:rPr>
                      <w:rFonts w:hint="default"/>
                      <w:caps w:val="0"/>
                      <w:color w:val="auto"/>
                      <w:spacing w:val="0"/>
                      <w:position w:val="0"/>
                      <w:highlight w:val="none"/>
                      <w:lang w:eastAsia="zh-CN"/>
                    </w:rPr>
                    <w:t>；</w:t>
                  </w:r>
                  <w:r>
                    <w:rPr>
                      <w:rFonts w:hint="default"/>
                      <w:caps w:val="0"/>
                      <w:color w:val="auto"/>
                      <w:spacing w:val="0"/>
                      <w:position w:val="0"/>
                      <w:highlight w:val="none"/>
                    </w:rPr>
                    <w:t>三是鉴别工作完成后，企业仍然要履行主体责任，继续对每批次进入消纳场的</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开展检测工作，确保</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达到入场要求。</w:t>
                  </w:r>
                </w:p>
                <w:p w14:paraId="1D66C06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专家强调，宜春库存</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量巨大，企业检测批次较多，政府职能部门过程监管很难周全，必须全面压实企业主体责任坚持结果导向，企业必须对自己的</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检测结果全面负责，进入消纳场后分区堆放，如果后续在上级督查或检测中发现进入消纳场的</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属于危险废物，则企业要承担非法处置危险废物的法律责任。</w:t>
                  </w:r>
                </w:p>
                <w:p w14:paraId="4C074A1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专家建议，为解决库存</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水洗利用后又返回仓库暂存再进行属性鉴别，造成资金浪费、转运环境风险的问题，在库存</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返回水洗利用生产工序上，可参照动态</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属性鉴别的做法，在水洗利用生产线上就可以进行属性鉴别。</w:t>
                  </w:r>
                </w:p>
              </w:tc>
              <w:tc>
                <w:tcPr>
                  <w:tcW w:w="1705" w:type="dxa"/>
                  <w:noWrap w:val="0"/>
                  <w:vAlign w:val="center"/>
                </w:tcPr>
                <w:p w14:paraId="28976FC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本项目锂冶炼剩余物原料来源于上游锂电企业鉴定为一般固废的浸出</w:t>
                  </w:r>
                  <w:r>
                    <w:rPr>
                      <w:rFonts w:hint="eastAsia"/>
                      <w:caps w:val="0"/>
                      <w:color w:val="auto"/>
                      <w:spacing w:val="0"/>
                      <w:position w:val="0"/>
                      <w:highlight w:val="none"/>
                      <w:lang w:val="en-US" w:eastAsia="zh-CN"/>
                    </w:rPr>
                    <w:t>渣再经水洗为更洁净的水洗渣，不涉及鉴别过程</w:t>
                  </w:r>
                </w:p>
              </w:tc>
              <w:tc>
                <w:tcPr>
                  <w:tcW w:w="737" w:type="dxa"/>
                  <w:noWrap w:val="0"/>
                  <w:vAlign w:val="center"/>
                </w:tcPr>
                <w:p w14:paraId="7C8E91D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711DC1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5" w:hRule="atLeast"/>
                <w:tblHeader/>
                <w:jc w:val="center"/>
              </w:trPr>
              <w:tc>
                <w:tcPr>
                  <w:tcW w:w="741" w:type="dxa"/>
                  <w:noWrap w:val="0"/>
                  <w:vAlign w:val="center"/>
                </w:tcPr>
                <w:p w14:paraId="667979B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4</w:t>
                  </w:r>
                </w:p>
              </w:tc>
              <w:tc>
                <w:tcPr>
                  <w:tcW w:w="4508" w:type="dxa"/>
                  <w:noWrap w:val="0"/>
                  <w:vAlign w:val="center"/>
                </w:tcPr>
                <w:p w14:paraId="4AD1EDD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四、</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返回原厂进行利用、开展</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“点对点”利用政策上可行，程序按照相关法律法规执行。</w:t>
                  </w:r>
                </w:p>
                <w:p w14:paraId="6FE2F2D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eastAsia="zh-CN"/>
                    </w:rPr>
                  </w:pPr>
                  <w:r>
                    <w:rPr>
                      <w:rFonts w:hint="default"/>
                      <w:caps w:val="0"/>
                      <w:color w:val="auto"/>
                      <w:spacing w:val="0"/>
                      <w:position w:val="0"/>
                      <w:highlight w:val="none"/>
                    </w:rPr>
                    <w:t>针对我市部分企业将</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异地贮存和有的县市区存在无主</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的情况，专家指出，异地贮存的</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可以直接运回原企业进行水洗利用，但必须做好台账。对没有企业认领的无主</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，应压实属地政府责任，可由属地政府采取行政代处置的办法委托企业代处置，经费由属地政府解决</w:t>
                  </w:r>
                  <w:r>
                    <w:rPr>
                      <w:rFonts w:hint="default"/>
                      <w:caps w:val="0"/>
                      <w:color w:val="auto"/>
                      <w:spacing w:val="0"/>
                      <w:position w:val="0"/>
                      <w:highlight w:val="none"/>
                      <w:lang w:eastAsia="zh-CN"/>
                    </w:rPr>
                    <w:t>。</w:t>
                  </w:r>
                </w:p>
                <w:p w14:paraId="7E00707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eastAsia="zh-CN"/>
                    </w:rPr>
                    <w:t>针对部分企业提出能否将自己产生的</w:t>
                  </w:r>
                  <w:r>
                    <w:rPr>
                      <w:rFonts w:hint="eastAsia"/>
                      <w:caps w:val="0"/>
                      <w:color w:val="auto"/>
                      <w:spacing w:val="0"/>
                      <w:position w:val="0"/>
                      <w:highlight w:val="none"/>
                      <w:lang w:eastAsia="zh-CN"/>
                    </w:rPr>
                    <w:t>锂冶炼剩余物</w:t>
                  </w:r>
                  <w:r>
                    <w:rPr>
                      <w:rFonts w:hint="default"/>
                      <w:caps w:val="0"/>
                      <w:color w:val="auto"/>
                      <w:spacing w:val="0"/>
                      <w:position w:val="0"/>
                      <w:highlight w:val="none"/>
                      <w:lang w:eastAsia="zh-CN"/>
                    </w:rPr>
                    <w:t>委托其他企业代为水洗利用的问题，专家认为，</w:t>
                  </w:r>
                  <w:r>
                    <w:rPr>
                      <w:rFonts w:hint="eastAsia"/>
                      <w:caps w:val="0"/>
                      <w:color w:val="auto"/>
                      <w:spacing w:val="0"/>
                      <w:position w:val="0"/>
                      <w:highlight w:val="none"/>
                      <w:lang w:eastAsia="zh-CN"/>
                    </w:rPr>
                    <w:t>锂冶炼剩余物</w:t>
                  </w:r>
                  <w:r>
                    <w:rPr>
                      <w:rFonts w:hint="default"/>
                      <w:caps w:val="0"/>
                      <w:color w:val="auto"/>
                      <w:spacing w:val="0"/>
                      <w:position w:val="0"/>
                      <w:highlight w:val="none"/>
                      <w:lang w:eastAsia="zh-CN"/>
                    </w:rPr>
                    <w:t>产生单位委托其他企业对其</w:t>
                  </w:r>
                  <w:r>
                    <w:rPr>
                      <w:rFonts w:hint="eastAsia"/>
                      <w:caps w:val="0"/>
                      <w:color w:val="auto"/>
                      <w:spacing w:val="0"/>
                      <w:position w:val="0"/>
                      <w:highlight w:val="none"/>
                      <w:lang w:eastAsia="zh-CN"/>
                    </w:rPr>
                    <w:t>锂冶炼剩余物</w:t>
                  </w:r>
                  <w:r>
                    <w:rPr>
                      <w:rFonts w:hint="default"/>
                      <w:caps w:val="0"/>
                      <w:color w:val="auto"/>
                      <w:spacing w:val="0"/>
                      <w:position w:val="0"/>
                      <w:highlight w:val="none"/>
                      <w:lang w:eastAsia="zh-CN"/>
                    </w:rPr>
                    <w:t>进行水洗利用，符合省生态环境厅印发的《江西省危险废物“点对点”定向利用试点工作方案》有关要求，政策上可行。但在具体操作上，要按照相关法律法规以及方案的要求执</w:t>
                  </w:r>
                  <w:r>
                    <w:rPr>
                      <w:rFonts w:hint="default"/>
                      <w:caps w:val="0"/>
                      <w:color w:val="auto"/>
                      <w:spacing w:val="0"/>
                      <w:position w:val="0"/>
                      <w:highlight w:val="none"/>
                      <w:lang w:val="en-US" w:eastAsia="zh-CN"/>
                    </w:rPr>
                    <w:t>行。</w:t>
                  </w:r>
                </w:p>
              </w:tc>
              <w:tc>
                <w:tcPr>
                  <w:tcW w:w="1705" w:type="dxa"/>
                  <w:noWrap w:val="0"/>
                  <w:vAlign w:val="center"/>
                </w:tcPr>
                <w:p w14:paraId="12B751F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rPr>
                  </w:pPr>
                  <w:r>
                    <w:rPr>
                      <w:rFonts w:hint="default"/>
                      <w:caps w:val="0"/>
                      <w:color w:val="auto"/>
                      <w:spacing w:val="0"/>
                      <w:position w:val="0"/>
                      <w:highlight w:val="none"/>
                      <w:lang w:val="en-US" w:eastAsia="zh-CN"/>
                    </w:rPr>
                    <w:t>本项目</w:t>
                  </w:r>
                  <w:r>
                    <w:rPr>
                      <w:rFonts w:hint="eastAsia"/>
                      <w:caps w:val="0"/>
                      <w:color w:val="auto"/>
                      <w:spacing w:val="0"/>
                      <w:position w:val="0"/>
                      <w:highlight w:val="none"/>
                      <w:lang w:val="en-US" w:eastAsia="zh-CN"/>
                    </w:rPr>
                    <w:t>不涉及锂冶炼剩余物水洗利用工序</w:t>
                  </w:r>
                  <w:r>
                    <w:rPr>
                      <w:rFonts w:hint="default"/>
                      <w:caps w:val="0"/>
                      <w:color w:val="auto"/>
                      <w:spacing w:val="0"/>
                      <w:position w:val="0"/>
                      <w:highlight w:val="none"/>
                      <w:lang w:val="en-US" w:eastAsia="zh-CN"/>
                    </w:rPr>
                    <w:t>。</w:t>
                  </w:r>
                </w:p>
              </w:tc>
              <w:tc>
                <w:tcPr>
                  <w:tcW w:w="737" w:type="dxa"/>
                  <w:noWrap w:val="0"/>
                  <w:vAlign w:val="center"/>
                </w:tcPr>
                <w:p w14:paraId="080D14D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074C1D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5" w:hRule="atLeast"/>
                <w:tblHeader/>
                <w:jc w:val="center"/>
              </w:trPr>
              <w:tc>
                <w:tcPr>
                  <w:tcW w:w="741" w:type="dxa"/>
                  <w:noWrap w:val="0"/>
                  <w:vAlign w:val="center"/>
                </w:tcPr>
                <w:p w14:paraId="43AAC00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5</w:t>
                  </w:r>
                </w:p>
              </w:tc>
              <w:tc>
                <w:tcPr>
                  <w:tcW w:w="4508" w:type="dxa"/>
                  <w:noWrap w:val="0"/>
                  <w:vAlign w:val="center"/>
                </w:tcPr>
                <w:p w14:paraId="4E0C5C8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五、</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贮存按照省生态环境厅《固体废物环境管理指南</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生产》(指南)执行。已建成投入使用的</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贮存设施自2025年9月1日起执行指南要求，新建贮存设施要求自指南发布之日起执行。</w:t>
                  </w:r>
                </w:p>
                <w:p w14:paraId="2069D1F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省生态环境厅印发的《指南》要求，未经鉴别明确固废属性的</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需按照危险废物标准贮存。但目前绝大部分</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是在《指南》下发之前就贮存在普通仓库里，而且仓库均达不到危险废物贮存标准。对此，专家指出，在2025年9月1日前，可按现有条件进行贮存，但要加强管理，防止环境风险。在2025年9月1日之后，未进行属性鉴别的库存</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必须落实《指南》要求，按危险废物标准进行贮存。新建</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贮存设施要求则从指南发布之日起执行。</w:t>
                  </w:r>
                </w:p>
                <w:p w14:paraId="39D6EA6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各地要高度重视，积极帮扶指导企业抓紧推进</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水洗利用工作，按照专家咨询意见，对符合要求的</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水洗利用工艺要依法依规积极推进，对不符合要求的固铍固铊工艺，要指导企业及时调整与改进，确保</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水洗工艺合法合规。各地要指导企业抓紧完成水洗利用工艺的相关环评手续，严格按照国家建设项目环境影响评价相关规定，针对企业不同实际，采取不同方式，尽快完善好环评手续。各地要加强对库存</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的环境监管，建立巡查检查制度，定期组织人员对辖区内</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仓库进行巡查检查，特别是对库顶漏雨、墙体破损、渗滤液渗漏等情况要及时处理，对</w:t>
                  </w:r>
                  <w:r>
                    <w:rPr>
                      <w:rFonts w:hint="eastAsia"/>
                      <w:caps w:val="0"/>
                      <w:color w:val="auto"/>
                      <w:spacing w:val="0"/>
                      <w:position w:val="0"/>
                      <w:highlight w:val="none"/>
                      <w:lang w:eastAsia="zh-CN"/>
                    </w:rPr>
                    <w:t>锂冶炼剩余物</w:t>
                  </w:r>
                  <w:r>
                    <w:rPr>
                      <w:rFonts w:hint="default"/>
                      <w:caps w:val="0"/>
                      <w:color w:val="auto"/>
                      <w:spacing w:val="0"/>
                      <w:position w:val="0"/>
                      <w:highlight w:val="none"/>
                    </w:rPr>
                    <w:t>贮存时间过长的仓库，必要时对其周地土壤、地下水开展监测检测，对存在环境污染隐患的要及时处理，坚决杜绝环境风险。</w:t>
                  </w:r>
                </w:p>
              </w:tc>
              <w:tc>
                <w:tcPr>
                  <w:tcW w:w="1705" w:type="dxa"/>
                  <w:noWrap w:val="0"/>
                  <w:vAlign w:val="center"/>
                </w:tcPr>
                <w:p w14:paraId="618515B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本项目锂冶炼剩余物原料来源于上游锂电企业鉴定为一般固废的浸出</w:t>
                  </w:r>
                  <w:r>
                    <w:rPr>
                      <w:rFonts w:hint="eastAsia"/>
                      <w:caps w:val="0"/>
                      <w:color w:val="auto"/>
                      <w:spacing w:val="0"/>
                      <w:position w:val="0"/>
                      <w:highlight w:val="none"/>
                      <w:lang w:val="en-US" w:eastAsia="zh-CN"/>
                    </w:rPr>
                    <w:t>渣再经水洗为更洁净的水洗渣</w:t>
                  </w:r>
                  <w:r>
                    <w:rPr>
                      <w:rFonts w:hint="default"/>
                      <w:caps w:val="0"/>
                      <w:color w:val="auto"/>
                      <w:spacing w:val="0"/>
                      <w:position w:val="0"/>
                      <w:highlight w:val="none"/>
                    </w:rPr>
                    <w:t>。</w:t>
                  </w:r>
                </w:p>
              </w:tc>
              <w:tc>
                <w:tcPr>
                  <w:tcW w:w="737" w:type="dxa"/>
                  <w:noWrap w:val="0"/>
                  <w:vAlign w:val="center"/>
                </w:tcPr>
                <w:p w14:paraId="00C9F35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bl>
          <w:p w14:paraId="570A3C07">
            <w:pPr>
              <w:pStyle w:val="94"/>
              <w:keepNext w:val="0"/>
              <w:keepLines w:val="0"/>
              <w:suppressLineNumbers w:val="0"/>
              <w:spacing w:before="36" w:beforeAutospacing="0" w:after="0" w:afterAutospacing="0" w:line="219" w:lineRule="auto"/>
              <w:ind w:left="107" w:right="0"/>
              <w:rPr>
                <w:rFonts w:hint="default"/>
                <w:caps w:val="0"/>
                <w:color w:val="auto"/>
                <w:spacing w:val="0"/>
                <w:position w:val="0"/>
                <w:sz w:val="24"/>
                <w:szCs w:val="24"/>
                <w:highlight w:val="none"/>
              </w:rPr>
            </w:pPr>
            <w:r>
              <w:rPr>
                <w:rFonts w:hint="eastAsia" w:ascii="Times New Roman" w:hAnsi="Times New Roman" w:cs="Times New Roman"/>
                <w:b/>
                <w:bCs/>
                <w:caps w:val="0"/>
                <w:color w:val="auto"/>
                <w:spacing w:val="0"/>
                <w:position w:val="0"/>
                <w:sz w:val="24"/>
                <w:szCs w:val="24"/>
                <w:highlight w:val="none"/>
                <w:lang w:val="en-US" w:eastAsia="zh-CN"/>
              </w:rPr>
              <w:t>20</w:t>
            </w:r>
            <w:r>
              <w:rPr>
                <w:rFonts w:hint="default"/>
                <w:b/>
                <w:bCs/>
                <w:caps w:val="0"/>
                <w:color w:val="auto"/>
                <w:spacing w:val="0"/>
                <w:position w:val="0"/>
                <w:sz w:val="24"/>
                <w:szCs w:val="24"/>
                <w:highlight w:val="none"/>
              </w:rPr>
              <w:t>、与《宜春市“十四五</w:t>
            </w:r>
            <w:r>
              <w:rPr>
                <w:rFonts w:hint="default"/>
                <w:caps w:val="0"/>
                <w:color w:val="auto"/>
                <w:spacing w:val="0"/>
                <w:position w:val="0"/>
                <w:sz w:val="24"/>
                <w:szCs w:val="24"/>
                <w:highlight w:val="none"/>
              </w:rPr>
              <w:t xml:space="preserve"> </w:t>
            </w:r>
            <w:r>
              <w:rPr>
                <w:rFonts w:hint="default"/>
                <w:b/>
                <w:bCs/>
                <w:caps w:val="0"/>
                <w:color w:val="auto"/>
                <w:spacing w:val="0"/>
                <w:position w:val="0"/>
                <w:sz w:val="24"/>
                <w:szCs w:val="24"/>
                <w:highlight w:val="none"/>
              </w:rPr>
              <w:t>”生态环境保护规划》相符性分析</w:t>
            </w:r>
          </w:p>
          <w:p w14:paraId="2EA88CE9">
            <w:pPr>
              <w:keepNext w:val="0"/>
              <w:keepLines w:val="0"/>
              <w:widowControl w:val="0"/>
              <w:suppressLineNumbers w:val="0"/>
              <w:bidi w:val="0"/>
              <w:spacing w:before="0" w:beforeAutospacing="0" w:after="0" w:afterAutospacing="0" w:line="360" w:lineRule="auto"/>
              <w:ind w:left="0" w:right="0" w:firstLine="480" w:firstLineChars="200"/>
              <w:jc w:val="both"/>
              <w:rPr>
                <w:rFonts w:hint="default" w:ascii="Times New Roman" w:hAnsi="Times New Roman" w:eastAsia="宋体" w:cs="Times New Roman"/>
                <w:bCs/>
                <w:caps w:val="0"/>
                <w:color w:val="auto"/>
                <w:spacing w:val="0"/>
                <w:kern w:val="2"/>
                <w:position w:val="0"/>
                <w:sz w:val="24"/>
                <w:szCs w:val="24"/>
                <w:highlight w:val="none"/>
                <w:lang w:val="en-US" w:eastAsia="zh-CN" w:bidi="ar-SA"/>
              </w:rPr>
            </w:pPr>
            <w:r>
              <w:rPr>
                <w:rFonts w:hint="default" w:ascii="Times New Roman" w:hAnsi="Times New Roman" w:eastAsia="宋体" w:cs="Times New Roman"/>
                <w:bCs/>
                <w:caps w:val="0"/>
                <w:color w:val="auto"/>
                <w:spacing w:val="0"/>
                <w:kern w:val="2"/>
                <w:position w:val="0"/>
                <w:sz w:val="24"/>
                <w:szCs w:val="24"/>
                <w:highlight w:val="none"/>
                <w:lang w:val="en-US" w:eastAsia="zh-CN" w:bidi="ar-SA"/>
              </w:rPr>
              <w:t>规划提出：促进产业绿色转型升级，加快绿色低碳发展；控制温室气体排放，积极应对气候变化；强化协同控制，改善大气环境质量；坚持三水统筹，巩固水生态环境质量；推进系统防治，提升土壤和地下水环境质量；加强生态空间监管，筑牢生态安全屏障；强化环境风险管控，严守环境安全底线；推进系统防治，提升土壤和地下水环境质量；构建现代环境管控体系，提高生态环境治理能力。</w:t>
            </w:r>
          </w:p>
          <w:p w14:paraId="737C1A9E">
            <w:pPr>
              <w:pStyle w:val="74"/>
              <w:keepNext w:val="0"/>
              <w:keepLines w:val="0"/>
              <w:numPr>
                <w:ilvl w:val="0"/>
                <w:numId w:val="0"/>
              </w:numPr>
              <w:suppressLineNumbers w:val="0"/>
              <w:bidi w:val="0"/>
              <w:spacing w:before="0" w:beforeAutospacing="0" w:after="0" w:afterAutospacing="0"/>
              <w:ind w:left="0" w:leftChars="0" w:right="0" w:rightChars="0" w:firstLine="480" w:firstLineChars="200"/>
              <w:rPr>
                <w:rFonts w:hint="eastAsia" w:ascii="Times New Roman" w:hAnsi="Times New Roman" w:eastAsia="宋体" w:cs="Times New Roman"/>
                <w:b/>
                <w:bCs w:val="0"/>
                <w:caps w:val="0"/>
                <w:color w:val="auto"/>
                <w:spacing w:val="0"/>
                <w:kern w:val="2"/>
                <w:position w:val="0"/>
                <w:sz w:val="24"/>
                <w:szCs w:val="24"/>
                <w:highlight w:val="none"/>
                <w:lang w:val="en-US" w:eastAsia="zh-CN" w:bidi="ar-SA"/>
              </w:rPr>
            </w:pPr>
            <w:r>
              <w:rPr>
                <w:rFonts w:hint="default" w:ascii="Times New Roman" w:hAnsi="Times New Roman" w:eastAsia="宋体" w:cs="Times New Roman"/>
                <w:bCs/>
                <w:caps w:val="0"/>
                <w:color w:val="auto"/>
                <w:spacing w:val="0"/>
                <w:kern w:val="2"/>
                <w:position w:val="0"/>
                <w:sz w:val="24"/>
                <w:szCs w:val="24"/>
                <w:highlight w:val="none"/>
                <w:lang w:val="en-US" w:eastAsia="zh-CN" w:bidi="ar-SA"/>
              </w:rPr>
              <w:t>本项目产生废气粉尘采取袋式除尘器处理，</w:t>
            </w:r>
            <w:r>
              <w:rPr>
                <w:rFonts w:hint="default" w:ascii="Times New Roman" w:hAnsi="Times New Roman" w:eastAsia="宋体" w:cs="Times New Roman"/>
                <w:caps w:val="0"/>
                <w:color w:val="auto"/>
                <w:spacing w:val="0"/>
                <w:position w:val="0"/>
                <w:highlight w:val="none"/>
                <w:lang w:val="en-US" w:eastAsia="zh-CN"/>
              </w:rPr>
              <w:t>生产废水回用不外排</w:t>
            </w:r>
            <w:r>
              <w:rPr>
                <w:rFonts w:hint="eastAsia" w:ascii="Times New Roman" w:hAnsi="Times New Roman" w:eastAsia="宋体" w:cs="Times New Roman"/>
                <w:caps w:val="0"/>
                <w:color w:val="auto"/>
                <w:spacing w:val="0"/>
                <w:position w:val="0"/>
                <w:highlight w:val="none"/>
                <w:lang w:val="en-US" w:eastAsia="zh-CN"/>
              </w:rPr>
              <w:t>，</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生活废水经化粪池处理后达到《农田灌溉水质标准》（GB5084-2021）表1“旱地作物”标准用于灌溉林地。雨水总排口安装氟化物和铊特征污染物在线监测设备。项目废水、废气、固废、噪声污染物经处理后均可以达标排放，对外环境影响不大，不会改变现有环境功能。因此，项目建设符合《宜春市“十四五”生态环境保护规划》相关要求。</w:t>
            </w:r>
          </w:p>
          <w:p w14:paraId="746A1998">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eastAsia"/>
                <w:b/>
                <w:bCs w:val="0"/>
                <w:caps w:val="0"/>
                <w:color w:val="auto"/>
                <w:spacing w:val="0"/>
                <w:position w:val="0"/>
                <w:highlight w:val="none"/>
                <w:lang w:val="en-US" w:eastAsia="zh-CN"/>
              </w:rPr>
              <w:t>21、</w:t>
            </w:r>
            <w:r>
              <w:rPr>
                <w:rFonts w:hint="default"/>
                <w:b/>
                <w:bCs w:val="0"/>
                <w:caps w:val="0"/>
                <w:color w:val="auto"/>
                <w:spacing w:val="0"/>
                <w:position w:val="0"/>
                <w:highlight w:val="none"/>
              </w:rPr>
              <w:t>与《关于做好发挥监测预警作用、防范我市锂电产业环境风险相关工作的通知》（宜环委办字〔2022〕113号）相符性分析</w:t>
            </w:r>
          </w:p>
          <w:p w14:paraId="6999DE86">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表1-</w:t>
            </w:r>
            <w:r>
              <w:rPr>
                <w:rFonts w:hint="eastAsia"/>
                <w:caps w:val="0"/>
                <w:color w:val="auto"/>
                <w:spacing w:val="0"/>
                <w:position w:val="0"/>
                <w:highlight w:val="none"/>
                <w:lang w:val="en-US" w:eastAsia="zh-CN"/>
              </w:rPr>
              <w:t>19</w:t>
            </w:r>
            <w:r>
              <w:rPr>
                <w:rFonts w:hint="default"/>
                <w:caps w:val="0"/>
                <w:color w:val="auto"/>
                <w:spacing w:val="0"/>
                <w:position w:val="0"/>
                <w:highlight w:val="none"/>
              </w:rPr>
              <w:t xml:space="preserve"> 与宜环委办字〔2022〕113号（节选）符合性</w:t>
            </w:r>
          </w:p>
          <w:tbl>
            <w:tblPr>
              <w:tblStyle w:val="93"/>
              <w:tblW w:w="4995"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784"/>
              <w:gridCol w:w="3899"/>
              <w:gridCol w:w="1864"/>
              <w:gridCol w:w="740"/>
            </w:tblGrid>
            <w:tr w14:paraId="1EAC023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85" w:type="dxa"/>
                  <w:tcBorders>
                    <w:tl2br w:val="nil"/>
                    <w:tr2bl w:val="nil"/>
                  </w:tcBorders>
                  <w:vAlign w:val="center"/>
                </w:tcPr>
                <w:p w14:paraId="2BC12CCE">
                  <w:pPr>
                    <w:pStyle w:val="111"/>
                    <w:bidi w:val="0"/>
                    <w:rPr>
                      <w:caps w:val="0"/>
                      <w:color w:val="auto"/>
                      <w:spacing w:val="0"/>
                      <w:position w:val="0"/>
                      <w:highlight w:val="none"/>
                    </w:rPr>
                  </w:pPr>
                  <w:r>
                    <w:rPr>
                      <w:caps w:val="0"/>
                      <w:color w:val="auto"/>
                      <w:spacing w:val="0"/>
                      <w:position w:val="0"/>
                      <w:highlight w:val="none"/>
                    </w:rPr>
                    <w:t>类别</w:t>
                  </w:r>
                </w:p>
              </w:tc>
              <w:tc>
                <w:tcPr>
                  <w:tcW w:w="3902" w:type="dxa"/>
                  <w:tcBorders>
                    <w:tl2br w:val="nil"/>
                    <w:tr2bl w:val="nil"/>
                  </w:tcBorders>
                  <w:vAlign w:val="center"/>
                </w:tcPr>
                <w:p w14:paraId="0BD4AC8E">
                  <w:pPr>
                    <w:pStyle w:val="111"/>
                    <w:bidi w:val="0"/>
                    <w:rPr>
                      <w:caps w:val="0"/>
                      <w:color w:val="auto"/>
                      <w:spacing w:val="0"/>
                      <w:position w:val="0"/>
                      <w:highlight w:val="none"/>
                    </w:rPr>
                  </w:pPr>
                  <w:r>
                    <w:rPr>
                      <w:caps w:val="0"/>
                      <w:color w:val="auto"/>
                      <w:spacing w:val="0"/>
                      <w:position w:val="0"/>
                      <w:highlight w:val="none"/>
                    </w:rPr>
                    <w:t>要求</w:t>
                  </w:r>
                </w:p>
              </w:tc>
              <w:tc>
                <w:tcPr>
                  <w:tcW w:w="1866" w:type="dxa"/>
                  <w:tcBorders>
                    <w:tl2br w:val="nil"/>
                    <w:tr2bl w:val="nil"/>
                  </w:tcBorders>
                  <w:vAlign w:val="center"/>
                </w:tcPr>
                <w:p w14:paraId="518D7692">
                  <w:pPr>
                    <w:pStyle w:val="111"/>
                    <w:bidi w:val="0"/>
                    <w:rPr>
                      <w:caps w:val="0"/>
                      <w:color w:val="auto"/>
                      <w:spacing w:val="0"/>
                      <w:position w:val="0"/>
                      <w:highlight w:val="none"/>
                    </w:rPr>
                  </w:pPr>
                  <w:r>
                    <w:rPr>
                      <w:caps w:val="0"/>
                      <w:color w:val="auto"/>
                      <w:spacing w:val="0"/>
                      <w:position w:val="0"/>
                      <w:highlight w:val="none"/>
                    </w:rPr>
                    <w:t>本项目</w:t>
                  </w:r>
                </w:p>
              </w:tc>
              <w:tc>
                <w:tcPr>
                  <w:tcW w:w="741" w:type="dxa"/>
                  <w:tcBorders>
                    <w:tl2br w:val="nil"/>
                    <w:tr2bl w:val="nil"/>
                  </w:tcBorders>
                  <w:vAlign w:val="center"/>
                </w:tcPr>
                <w:p w14:paraId="628DA525">
                  <w:pPr>
                    <w:pStyle w:val="111"/>
                    <w:bidi w:val="0"/>
                    <w:rPr>
                      <w:caps w:val="0"/>
                      <w:color w:val="auto"/>
                      <w:spacing w:val="0"/>
                      <w:position w:val="0"/>
                      <w:highlight w:val="none"/>
                    </w:rPr>
                  </w:pPr>
                  <w:r>
                    <w:rPr>
                      <w:caps w:val="0"/>
                      <w:color w:val="auto"/>
                      <w:spacing w:val="0"/>
                      <w:position w:val="0"/>
                      <w:highlight w:val="none"/>
                    </w:rPr>
                    <w:t>相符性</w:t>
                  </w:r>
                </w:p>
              </w:tc>
            </w:tr>
            <w:tr w14:paraId="44EFEE0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85" w:type="dxa"/>
                  <w:tcBorders>
                    <w:tl2br w:val="nil"/>
                    <w:tr2bl w:val="nil"/>
                  </w:tcBorders>
                  <w:vAlign w:val="center"/>
                </w:tcPr>
                <w:p w14:paraId="15ABDB10">
                  <w:pPr>
                    <w:pStyle w:val="111"/>
                    <w:bidi w:val="0"/>
                    <w:rPr>
                      <w:caps w:val="0"/>
                      <w:color w:val="auto"/>
                      <w:spacing w:val="0"/>
                      <w:position w:val="0"/>
                      <w:highlight w:val="none"/>
                    </w:rPr>
                  </w:pPr>
                  <w:r>
                    <w:rPr>
                      <w:caps w:val="0"/>
                      <w:color w:val="auto"/>
                      <w:spacing w:val="0"/>
                      <w:position w:val="0"/>
                      <w:highlight w:val="none"/>
                    </w:rPr>
                    <w:t>一、提升监测断面自动监测预警能力</w:t>
                  </w:r>
                </w:p>
              </w:tc>
              <w:tc>
                <w:tcPr>
                  <w:tcW w:w="3902" w:type="dxa"/>
                  <w:tcBorders>
                    <w:tl2br w:val="nil"/>
                    <w:tr2bl w:val="nil"/>
                  </w:tcBorders>
                  <w:vAlign w:val="center"/>
                </w:tcPr>
                <w:p w14:paraId="387C8223">
                  <w:pPr>
                    <w:pStyle w:val="111"/>
                    <w:bidi w:val="0"/>
                    <w:rPr>
                      <w:caps w:val="0"/>
                      <w:color w:val="auto"/>
                      <w:spacing w:val="0"/>
                      <w:position w:val="0"/>
                      <w:highlight w:val="none"/>
                    </w:rPr>
                  </w:pPr>
                  <w:r>
                    <w:rPr>
                      <w:caps w:val="0"/>
                      <w:color w:val="auto"/>
                      <w:spacing w:val="0"/>
                      <w:position w:val="0"/>
                      <w:highlight w:val="none"/>
                    </w:rPr>
                    <w:t>各地应在全市锂电行业企业（包括但不限于锂云母浮选企业碳酸锂生产企业、锂电池制造企业和陶瓷窑炉改焙烧锂渣企业等，以下简称涉锂企业）污水处理设施排放口(含污水处理厂总排口）下游的主要市控自动监测站点加装特征污染物（氟化物和铊）在线监测设备。在线设备与市</w:t>
                  </w:r>
                  <w:r>
                    <w:rPr>
                      <w:rFonts w:hint="eastAsia"/>
                      <w:caps w:val="0"/>
                      <w:color w:val="auto"/>
                      <w:spacing w:val="0"/>
                      <w:position w:val="0"/>
                      <w:highlight w:val="none"/>
                      <w:lang w:eastAsia="zh-CN"/>
                    </w:rPr>
                    <w:t>、</w:t>
                  </w:r>
                  <w:r>
                    <w:rPr>
                      <w:caps w:val="0"/>
                      <w:color w:val="auto"/>
                      <w:spacing w:val="0"/>
                      <w:position w:val="0"/>
                      <w:highlight w:val="none"/>
                    </w:rPr>
                    <w:t>县两级水质自动监测管理平台联网，自动监测数据传输应满足有关技术要求。</w:t>
                  </w:r>
                </w:p>
              </w:tc>
              <w:tc>
                <w:tcPr>
                  <w:tcW w:w="1866" w:type="dxa"/>
                  <w:tcBorders>
                    <w:tl2br w:val="nil"/>
                    <w:tr2bl w:val="nil"/>
                  </w:tcBorders>
                  <w:vAlign w:val="center"/>
                </w:tcPr>
                <w:p w14:paraId="2FABB1A3">
                  <w:pPr>
                    <w:pStyle w:val="111"/>
                    <w:bidi w:val="0"/>
                    <w:rPr>
                      <w:caps w:val="0"/>
                      <w:color w:val="auto"/>
                      <w:spacing w:val="0"/>
                      <w:position w:val="0"/>
                      <w:highlight w:val="none"/>
                    </w:rPr>
                  </w:pPr>
                  <w:r>
                    <w:rPr>
                      <w:caps w:val="0"/>
                      <w:color w:val="auto"/>
                      <w:spacing w:val="0"/>
                      <w:position w:val="0"/>
                      <w:highlight w:val="none"/>
                    </w:rPr>
                    <w:t>项目生产废水不外排，</w:t>
                  </w:r>
                  <w:r>
                    <w:rPr>
                      <w:rFonts w:hint="default"/>
                      <w:caps w:val="0"/>
                      <w:color w:val="auto"/>
                      <w:spacing w:val="0"/>
                      <w:position w:val="0"/>
                      <w:highlight w:val="none"/>
                      <w:lang w:val="en-US" w:eastAsia="zh-CN"/>
                    </w:rPr>
                    <w:t>生活废水经化粪池处理后达到《农田灌溉水质标准》（GB5084-2021）表1“旱地作物”标准用于灌溉林地</w:t>
                  </w:r>
                  <w:r>
                    <w:rPr>
                      <w:caps w:val="0"/>
                      <w:color w:val="auto"/>
                      <w:spacing w:val="0"/>
                      <w:position w:val="0"/>
                      <w:highlight w:val="none"/>
                    </w:rPr>
                    <w:t>，评价要求企业在雨水排放口安装在线监测装置（氟化物、铊）。</w:t>
                  </w:r>
                </w:p>
              </w:tc>
              <w:tc>
                <w:tcPr>
                  <w:tcW w:w="741" w:type="dxa"/>
                  <w:tcBorders>
                    <w:tl2br w:val="nil"/>
                    <w:tr2bl w:val="nil"/>
                  </w:tcBorders>
                  <w:vAlign w:val="center"/>
                </w:tcPr>
                <w:p w14:paraId="17FF88FF">
                  <w:pPr>
                    <w:pStyle w:val="111"/>
                    <w:bidi w:val="0"/>
                    <w:rPr>
                      <w:caps w:val="0"/>
                      <w:color w:val="auto"/>
                      <w:spacing w:val="0"/>
                      <w:position w:val="0"/>
                      <w:highlight w:val="none"/>
                    </w:rPr>
                  </w:pPr>
                  <w:r>
                    <w:rPr>
                      <w:caps w:val="0"/>
                      <w:color w:val="auto"/>
                      <w:spacing w:val="0"/>
                      <w:position w:val="0"/>
                      <w:highlight w:val="none"/>
                    </w:rPr>
                    <w:t>符合</w:t>
                  </w:r>
                </w:p>
              </w:tc>
            </w:tr>
            <w:tr w14:paraId="3899A4D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85" w:type="dxa"/>
                  <w:vMerge w:val="restart"/>
                  <w:tcBorders>
                    <w:tl2br w:val="nil"/>
                    <w:tr2bl w:val="nil"/>
                  </w:tcBorders>
                  <w:vAlign w:val="center"/>
                </w:tcPr>
                <w:p w14:paraId="573A87BF">
                  <w:pPr>
                    <w:pStyle w:val="111"/>
                    <w:bidi w:val="0"/>
                    <w:rPr>
                      <w:caps w:val="0"/>
                      <w:color w:val="auto"/>
                      <w:spacing w:val="0"/>
                      <w:position w:val="0"/>
                      <w:highlight w:val="none"/>
                    </w:rPr>
                  </w:pPr>
                  <w:r>
                    <w:rPr>
                      <w:caps w:val="0"/>
                      <w:color w:val="auto"/>
                      <w:spacing w:val="0"/>
                      <w:position w:val="0"/>
                      <w:highlight w:val="none"/>
                    </w:rPr>
                    <w:t>二、督促企业落实自行监测主体责任</w:t>
                  </w:r>
                </w:p>
              </w:tc>
              <w:tc>
                <w:tcPr>
                  <w:tcW w:w="3902" w:type="dxa"/>
                  <w:tcBorders>
                    <w:tl2br w:val="nil"/>
                    <w:tr2bl w:val="nil"/>
                  </w:tcBorders>
                  <w:vAlign w:val="center"/>
                </w:tcPr>
                <w:p w14:paraId="0AFFE941">
                  <w:pPr>
                    <w:pStyle w:val="111"/>
                    <w:bidi w:val="0"/>
                    <w:rPr>
                      <w:caps w:val="0"/>
                      <w:color w:val="auto"/>
                      <w:spacing w:val="0"/>
                      <w:position w:val="0"/>
                      <w:highlight w:val="none"/>
                    </w:rPr>
                  </w:pPr>
                  <w:r>
                    <w:rPr>
                      <w:caps w:val="0"/>
                      <w:color w:val="auto"/>
                      <w:spacing w:val="0"/>
                      <w:position w:val="0"/>
                      <w:highlight w:val="none"/>
                    </w:rPr>
                    <w:t>（一）涉锂企业在废水污染防治设施排口和厂区雨水排口安装特征污染物（氟化物和铊）在线监测设备。在线设备应与市。县两级污染源监控系统平台联网，自动监测数据传输应满足有关技术要求。</w:t>
                  </w:r>
                </w:p>
              </w:tc>
              <w:tc>
                <w:tcPr>
                  <w:tcW w:w="1866" w:type="dxa"/>
                  <w:tcBorders>
                    <w:tl2br w:val="nil"/>
                    <w:tr2bl w:val="nil"/>
                  </w:tcBorders>
                  <w:vAlign w:val="center"/>
                </w:tcPr>
                <w:p w14:paraId="71AC3B92">
                  <w:pPr>
                    <w:pStyle w:val="111"/>
                    <w:bidi w:val="0"/>
                    <w:rPr>
                      <w:caps w:val="0"/>
                      <w:color w:val="auto"/>
                      <w:spacing w:val="0"/>
                      <w:position w:val="0"/>
                      <w:highlight w:val="none"/>
                    </w:rPr>
                  </w:pPr>
                  <w:r>
                    <w:rPr>
                      <w:caps w:val="0"/>
                      <w:color w:val="auto"/>
                      <w:spacing w:val="0"/>
                      <w:position w:val="0"/>
                      <w:highlight w:val="none"/>
                    </w:rPr>
                    <w:t>项目生产废水不外排，</w:t>
                  </w:r>
                  <w:r>
                    <w:rPr>
                      <w:rFonts w:hint="default"/>
                      <w:caps w:val="0"/>
                      <w:color w:val="auto"/>
                      <w:spacing w:val="0"/>
                      <w:position w:val="0"/>
                      <w:highlight w:val="none"/>
                      <w:lang w:val="en-US" w:eastAsia="zh-CN"/>
                    </w:rPr>
                    <w:t>生活废水经化粪池处理后达到《农田灌溉水质标准》（GB5084-2021）表1“旱地作物”标准用于灌溉林地</w:t>
                  </w:r>
                  <w:r>
                    <w:rPr>
                      <w:caps w:val="0"/>
                      <w:color w:val="auto"/>
                      <w:spacing w:val="0"/>
                      <w:position w:val="0"/>
                      <w:highlight w:val="none"/>
                    </w:rPr>
                    <w:t>，评价要求企业在雨水排放口安装在线监测装置（氟化物、铊）</w:t>
                  </w:r>
                  <w:r>
                    <w:rPr>
                      <w:rFonts w:hint="eastAsia"/>
                      <w:caps w:val="0"/>
                      <w:color w:val="auto"/>
                      <w:spacing w:val="0"/>
                      <w:position w:val="0"/>
                      <w:highlight w:val="none"/>
                    </w:rPr>
                    <w:t>。</w:t>
                  </w:r>
                </w:p>
              </w:tc>
              <w:tc>
                <w:tcPr>
                  <w:tcW w:w="741" w:type="dxa"/>
                  <w:tcBorders>
                    <w:tl2br w:val="nil"/>
                    <w:tr2bl w:val="nil"/>
                  </w:tcBorders>
                  <w:vAlign w:val="center"/>
                </w:tcPr>
                <w:p w14:paraId="612735F5">
                  <w:pPr>
                    <w:pStyle w:val="111"/>
                    <w:bidi w:val="0"/>
                    <w:rPr>
                      <w:caps w:val="0"/>
                      <w:color w:val="auto"/>
                      <w:spacing w:val="0"/>
                      <w:position w:val="0"/>
                      <w:highlight w:val="none"/>
                    </w:rPr>
                  </w:pPr>
                  <w:r>
                    <w:rPr>
                      <w:caps w:val="0"/>
                      <w:color w:val="auto"/>
                      <w:spacing w:val="0"/>
                      <w:position w:val="0"/>
                      <w:highlight w:val="none"/>
                    </w:rPr>
                    <w:t>符合</w:t>
                  </w:r>
                </w:p>
              </w:tc>
            </w:tr>
            <w:tr w14:paraId="13272B8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85" w:type="dxa"/>
                  <w:vMerge w:val="continue"/>
                  <w:tcBorders>
                    <w:tl2br w:val="nil"/>
                    <w:tr2bl w:val="nil"/>
                  </w:tcBorders>
                  <w:vAlign w:val="center"/>
                </w:tcPr>
                <w:p w14:paraId="1E9982AE">
                  <w:pPr>
                    <w:pStyle w:val="111"/>
                    <w:bidi w:val="0"/>
                    <w:rPr>
                      <w:caps w:val="0"/>
                      <w:color w:val="auto"/>
                      <w:spacing w:val="0"/>
                      <w:position w:val="0"/>
                      <w:highlight w:val="none"/>
                    </w:rPr>
                  </w:pPr>
                </w:p>
              </w:tc>
              <w:tc>
                <w:tcPr>
                  <w:tcW w:w="3902" w:type="dxa"/>
                  <w:tcBorders>
                    <w:tl2br w:val="nil"/>
                    <w:tr2bl w:val="nil"/>
                  </w:tcBorders>
                  <w:vAlign w:val="center"/>
                </w:tcPr>
                <w:p w14:paraId="143CACFA">
                  <w:pPr>
                    <w:pStyle w:val="111"/>
                    <w:bidi w:val="0"/>
                    <w:rPr>
                      <w:caps w:val="0"/>
                      <w:color w:val="auto"/>
                      <w:spacing w:val="0"/>
                      <w:position w:val="0"/>
                      <w:highlight w:val="none"/>
                    </w:rPr>
                  </w:pPr>
                  <w:r>
                    <w:rPr>
                      <w:rFonts w:hint="eastAsia"/>
                      <w:caps w:val="0"/>
                      <w:color w:val="auto"/>
                      <w:spacing w:val="0"/>
                      <w:position w:val="0"/>
                      <w:highlight w:val="none"/>
                    </w:rPr>
                    <w:t>（二）督促涉锂企业加密开展自行监测，原则上各废气、废水治理设施和雨水排口（有流动水的情况下)的特征污染物（氟化物和</w:t>
                  </w:r>
                  <w:r>
                    <w:rPr>
                      <w:rFonts w:hint="eastAsia"/>
                      <w:caps w:val="0"/>
                      <w:color w:val="auto"/>
                      <w:spacing w:val="0"/>
                      <w:position w:val="0"/>
                      <w:highlight w:val="none"/>
                      <w:lang w:val="en-US" w:eastAsia="zh-CN"/>
                    </w:rPr>
                    <w:t>铊</w:t>
                  </w:r>
                  <w:r>
                    <w:rPr>
                      <w:rFonts w:hint="eastAsia"/>
                      <w:caps w:val="0"/>
                      <w:color w:val="auto"/>
                      <w:spacing w:val="0"/>
                      <w:position w:val="0"/>
                      <w:highlight w:val="none"/>
                    </w:rPr>
                    <w:t>）自行监测频次不少于每月1次，监测结果及时报送属地生态环境管理部门。</w:t>
                  </w:r>
                </w:p>
              </w:tc>
              <w:tc>
                <w:tcPr>
                  <w:tcW w:w="1866" w:type="dxa"/>
                  <w:tcBorders>
                    <w:tl2br w:val="nil"/>
                    <w:tr2bl w:val="nil"/>
                  </w:tcBorders>
                  <w:shd w:val="clear" w:color="auto" w:fill="auto"/>
                  <w:vAlign w:val="center"/>
                </w:tcPr>
                <w:p w14:paraId="0CC339A0">
                  <w:pPr>
                    <w:pStyle w:val="111"/>
                    <w:bidi w:val="0"/>
                    <w:rPr>
                      <w:caps w:val="0"/>
                      <w:color w:val="auto"/>
                      <w:spacing w:val="0"/>
                      <w:position w:val="0"/>
                      <w:highlight w:val="none"/>
                      <w:lang w:val="en-US" w:eastAsia="en-US"/>
                    </w:rPr>
                  </w:pPr>
                  <w:r>
                    <w:rPr>
                      <w:caps w:val="0"/>
                      <w:color w:val="auto"/>
                      <w:spacing w:val="0"/>
                      <w:position w:val="0"/>
                      <w:highlight w:val="none"/>
                    </w:rPr>
                    <w:t>评价要求企业在雨水排放口安装在线监测装置(氟化物、铊），回用水池定期监测氟化物、铊等</w:t>
                  </w:r>
                  <w:r>
                    <w:rPr>
                      <w:rFonts w:hint="eastAsia"/>
                      <w:caps w:val="0"/>
                      <w:color w:val="auto"/>
                      <w:spacing w:val="0"/>
                      <w:position w:val="0"/>
                      <w:highlight w:val="none"/>
                      <w:lang w:eastAsia="zh-CN"/>
                    </w:rPr>
                    <w:t>，</w:t>
                  </w:r>
                  <w:r>
                    <w:rPr>
                      <w:caps w:val="0"/>
                      <w:color w:val="auto"/>
                      <w:spacing w:val="0"/>
                      <w:position w:val="0"/>
                      <w:highlight w:val="none"/>
                    </w:rPr>
                    <w:t>监测频次为每月一次。</w:t>
                  </w:r>
                </w:p>
              </w:tc>
              <w:tc>
                <w:tcPr>
                  <w:tcW w:w="741" w:type="dxa"/>
                  <w:tcBorders>
                    <w:tl2br w:val="nil"/>
                    <w:tr2bl w:val="nil"/>
                  </w:tcBorders>
                  <w:vAlign w:val="center"/>
                </w:tcPr>
                <w:p w14:paraId="3476065D">
                  <w:pPr>
                    <w:pStyle w:val="111"/>
                    <w:bidi w:val="0"/>
                    <w:rPr>
                      <w:caps w:val="0"/>
                      <w:color w:val="auto"/>
                      <w:spacing w:val="0"/>
                      <w:position w:val="0"/>
                      <w:highlight w:val="none"/>
                    </w:rPr>
                  </w:pPr>
                  <w:r>
                    <w:rPr>
                      <w:rFonts w:hint="default"/>
                      <w:caps w:val="0"/>
                      <w:color w:val="auto"/>
                      <w:spacing w:val="0"/>
                      <w:position w:val="0"/>
                      <w:highlight w:val="none"/>
                    </w:rPr>
                    <w:t>符合</w:t>
                  </w:r>
                </w:p>
              </w:tc>
            </w:tr>
            <w:tr w14:paraId="5A163C6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85" w:type="dxa"/>
                  <w:vMerge w:val="continue"/>
                  <w:tcBorders>
                    <w:tl2br w:val="nil"/>
                    <w:tr2bl w:val="nil"/>
                  </w:tcBorders>
                  <w:vAlign w:val="center"/>
                </w:tcPr>
                <w:p w14:paraId="26F2C895">
                  <w:pPr>
                    <w:pStyle w:val="111"/>
                    <w:bidi w:val="0"/>
                    <w:rPr>
                      <w:caps w:val="0"/>
                      <w:color w:val="auto"/>
                      <w:spacing w:val="0"/>
                      <w:position w:val="0"/>
                      <w:highlight w:val="none"/>
                    </w:rPr>
                  </w:pPr>
                </w:p>
              </w:tc>
              <w:tc>
                <w:tcPr>
                  <w:tcW w:w="3902" w:type="dxa"/>
                  <w:tcBorders>
                    <w:tl2br w:val="nil"/>
                    <w:tr2bl w:val="nil"/>
                  </w:tcBorders>
                  <w:vAlign w:val="center"/>
                </w:tcPr>
                <w:p w14:paraId="37E3B537">
                  <w:pPr>
                    <w:pStyle w:val="111"/>
                    <w:bidi w:val="0"/>
                    <w:rPr>
                      <w:caps w:val="0"/>
                      <w:color w:val="auto"/>
                      <w:spacing w:val="0"/>
                      <w:position w:val="0"/>
                      <w:highlight w:val="none"/>
                    </w:rPr>
                  </w:pPr>
                  <w:r>
                    <w:rPr>
                      <w:rFonts w:hint="eastAsia"/>
                      <w:caps w:val="0"/>
                      <w:color w:val="auto"/>
                      <w:spacing w:val="0"/>
                      <w:position w:val="0"/>
                      <w:highlight w:val="none"/>
                    </w:rPr>
                    <w:t>（三）督促涉锂企业的工业园区污水处理厂进水口、总排口和园区雨水总排口加装特征污染物（氟化物和铊）在线监测设备。在线设备与市、县两级污染源监控系统平台联网，自动监测数据传输应满足有关技术要求。</w:t>
                  </w:r>
                </w:p>
              </w:tc>
              <w:tc>
                <w:tcPr>
                  <w:tcW w:w="1866" w:type="dxa"/>
                  <w:tcBorders>
                    <w:tl2br w:val="nil"/>
                    <w:tr2bl w:val="nil"/>
                  </w:tcBorders>
                  <w:shd w:val="clear" w:color="auto" w:fill="auto"/>
                  <w:vAlign w:val="center"/>
                </w:tcPr>
                <w:p w14:paraId="45CAA1C7">
                  <w:pPr>
                    <w:pStyle w:val="111"/>
                    <w:bidi w:val="0"/>
                    <w:rPr>
                      <w:caps w:val="0"/>
                      <w:color w:val="auto"/>
                      <w:spacing w:val="0"/>
                      <w:position w:val="0"/>
                      <w:highlight w:val="none"/>
                      <w:lang w:val="en-US" w:eastAsia="en-US"/>
                    </w:rPr>
                  </w:pPr>
                  <w:r>
                    <w:rPr>
                      <w:rFonts w:hint="eastAsia"/>
                      <w:caps w:val="0"/>
                      <w:color w:val="auto"/>
                      <w:spacing w:val="0"/>
                      <w:position w:val="0"/>
                      <w:highlight w:val="none"/>
                      <w:lang w:val="en-US" w:eastAsia="zh-CN"/>
                    </w:rPr>
                    <w:t>不涉及</w:t>
                  </w:r>
                </w:p>
              </w:tc>
              <w:tc>
                <w:tcPr>
                  <w:tcW w:w="741" w:type="dxa"/>
                  <w:tcBorders>
                    <w:tl2br w:val="nil"/>
                    <w:tr2bl w:val="nil"/>
                  </w:tcBorders>
                  <w:vAlign w:val="center"/>
                </w:tcPr>
                <w:p w14:paraId="1A193395">
                  <w:pPr>
                    <w:pStyle w:val="111"/>
                    <w:bidi w:val="0"/>
                    <w:rPr>
                      <w:caps w:val="0"/>
                      <w:color w:val="auto"/>
                      <w:spacing w:val="0"/>
                      <w:position w:val="0"/>
                      <w:highlight w:val="none"/>
                    </w:rPr>
                  </w:pPr>
                  <w:r>
                    <w:rPr>
                      <w:rFonts w:hint="default"/>
                      <w:caps w:val="0"/>
                      <w:color w:val="auto"/>
                      <w:spacing w:val="0"/>
                      <w:position w:val="0"/>
                      <w:highlight w:val="none"/>
                    </w:rPr>
                    <w:t>符合</w:t>
                  </w:r>
                </w:p>
              </w:tc>
            </w:tr>
          </w:tbl>
          <w:p w14:paraId="0027BEEF">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lang w:val="en-US" w:eastAsia="zh-CN"/>
              </w:rPr>
            </w:pPr>
            <w:r>
              <w:rPr>
                <w:rFonts w:hint="eastAsia"/>
                <w:b/>
                <w:bCs w:val="0"/>
                <w:caps w:val="0"/>
                <w:color w:val="auto"/>
                <w:spacing w:val="0"/>
                <w:position w:val="0"/>
                <w:highlight w:val="none"/>
                <w:lang w:val="en-US" w:eastAsia="zh-CN"/>
              </w:rPr>
              <w:t>22、</w:t>
            </w:r>
            <w:r>
              <w:rPr>
                <w:rFonts w:hint="default"/>
                <w:b/>
                <w:bCs w:val="0"/>
                <w:caps w:val="0"/>
                <w:color w:val="auto"/>
                <w:spacing w:val="0"/>
                <w:position w:val="0"/>
                <w:highlight w:val="none"/>
                <w:lang w:val="en-US" w:eastAsia="zh-CN"/>
              </w:rPr>
              <w:t>与《关于以生态环境高水平保护助推锂电新能源等产业绿色高质量发展的二十条</w:t>
            </w:r>
            <w:r>
              <w:rPr>
                <w:rFonts w:hint="eastAsia"/>
                <w:b/>
                <w:bCs w:val="0"/>
                <w:caps w:val="0"/>
                <w:color w:val="auto"/>
                <w:spacing w:val="0"/>
                <w:position w:val="0"/>
                <w:highlight w:val="none"/>
                <w:lang w:val="en-US" w:eastAsia="zh-CN"/>
              </w:rPr>
              <w:t>二</w:t>
            </w:r>
            <w:r>
              <w:rPr>
                <w:rFonts w:hint="default"/>
                <w:b/>
                <w:bCs w:val="0"/>
                <w:caps w:val="0"/>
                <w:color w:val="auto"/>
                <w:spacing w:val="0"/>
                <w:position w:val="0"/>
                <w:highlight w:val="none"/>
                <w:lang w:val="en-US" w:eastAsia="zh-CN"/>
              </w:rPr>
              <w:t>措施》的通知（宜党发〔2023〕2号）相符性分析</w:t>
            </w:r>
          </w:p>
          <w:p w14:paraId="15E8634B">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表1-</w:t>
            </w:r>
            <w:r>
              <w:rPr>
                <w:rFonts w:hint="eastAsia"/>
                <w:caps w:val="0"/>
                <w:color w:val="auto"/>
                <w:spacing w:val="0"/>
                <w:position w:val="0"/>
                <w:highlight w:val="none"/>
                <w:lang w:val="en-US" w:eastAsia="zh-CN"/>
              </w:rPr>
              <w:t>20</w:t>
            </w:r>
            <w:r>
              <w:rPr>
                <w:rFonts w:hint="default"/>
                <w:caps w:val="0"/>
                <w:color w:val="auto"/>
                <w:spacing w:val="0"/>
                <w:position w:val="0"/>
                <w:highlight w:val="none"/>
                <w:lang w:val="en-US" w:eastAsia="zh-CN"/>
              </w:rPr>
              <w:t xml:space="preserve"> 与（宜党发〔2023〕2号）号相符性一览表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9"/>
              <w:gridCol w:w="3625"/>
              <w:gridCol w:w="2638"/>
              <w:gridCol w:w="582"/>
            </w:tblGrid>
            <w:tr w14:paraId="5A4899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07" w:type="pct"/>
                  <w:tcBorders>
                    <w:tl2br w:val="nil"/>
                    <w:tr2bl w:val="nil"/>
                  </w:tcBorders>
                  <w:vAlign w:val="center"/>
                </w:tcPr>
                <w:p w14:paraId="53F3E4B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序号</w:t>
                  </w:r>
                </w:p>
              </w:tc>
              <w:tc>
                <w:tcPr>
                  <w:tcW w:w="2484" w:type="pct"/>
                  <w:tcBorders>
                    <w:tl2br w:val="nil"/>
                    <w:tr2bl w:val="nil"/>
                  </w:tcBorders>
                  <w:vAlign w:val="center"/>
                </w:tcPr>
                <w:p w14:paraId="211E199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要求</w:t>
                  </w:r>
                </w:p>
              </w:tc>
              <w:tc>
                <w:tcPr>
                  <w:tcW w:w="1809" w:type="pct"/>
                  <w:tcBorders>
                    <w:tl2br w:val="nil"/>
                    <w:tr2bl w:val="nil"/>
                  </w:tcBorders>
                  <w:vAlign w:val="center"/>
                </w:tcPr>
                <w:p w14:paraId="43F7FD6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项目情况</w:t>
                  </w:r>
                </w:p>
              </w:tc>
              <w:tc>
                <w:tcPr>
                  <w:tcW w:w="400" w:type="pct"/>
                  <w:tcBorders>
                    <w:tl2br w:val="nil"/>
                    <w:tr2bl w:val="nil"/>
                  </w:tcBorders>
                  <w:vAlign w:val="center"/>
                </w:tcPr>
                <w:p w14:paraId="311A502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是否符合</w:t>
                  </w:r>
                </w:p>
              </w:tc>
            </w:tr>
            <w:tr w14:paraId="573241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07" w:type="pct"/>
                  <w:tcBorders>
                    <w:tl2br w:val="nil"/>
                    <w:tr2bl w:val="nil"/>
                  </w:tcBorders>
                  <w:vAlign w:val="center"/>
                </w:tcPr>
                <w:p w14:paraId="099CDAA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w:t>
                  </w:r>
                </w:p>
              </w:tc>
              <w:tc>
                <w:tcPr>
                  <w:tcW w:w="2484" w:type="pct"/>
                  <w:tcBorders>
                    <w:tl2br w:val="nil"/>
                    <w:tr2bl w:val="nil"/>
                  </w:tcBorders>
                  <w:vAlign w:val="center"/>
                </w:tcPr>
                <w:p w14:paraId="082D124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优化空间布局。认真落实长江经济带“共抓大保护、不搞大开发”要求，严格落实《产业结构调整指导目录（2019年）》《江西省长江经济带发展负面清单实施细则（试行）》。新建锂云母选矿项目原则上布局在宜丰县、奉新县、袁州区等锂资源所在地，新建锂盐项目布局在产业基础条件好的县市区，新建碳酸锂项目规模不得小于5000吨/年，碳酸锂及中间产品项目生产按照化工项目管理要求，不须进入化工园区但原则上应进入省政府认定的工业园区；铅酸蓄电池产业布局集中在宜丰县、上高县，保持现有产能，其他县市区不再引进新铅酸蓄电池项目。（责任单位：市发改委、市工信局、市生态环境局，各县市区政府）</w:t>
                  </w:r>
                </w:p>
              </w:tc>
              <w:tc>
                <w:tcPr>
                  <w:tcW w:w="1809" w:type="pct"/>
                  <w:tcBorders>
                    <w:tl2br w:val="nil"/>
                    <w:tr2bl w:val="nil"/>
                  </w:tcBorders>
                  <w:vAlign w:val="center"/>
                </w:tcPr>
                <w:p w14:paraId="6D9FABC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本项目满足《产业结构调整指导目录》《江西省长江经济带发展负面清单实施细则（试行）》要求</w:t>
                  </w:r>
                  <w:r>
                    <w:rPr>
                      <w:rFonts w:hint="eastAsia"/>
                      <w:caps w:val="0"/>
                      <w:color w:val="auto"/>
                      <w:spacing w:val="0"/>
                      <w:position w:val="0"/>
                      <w:highlight w:val="none"/>
                    </w:rPr>
                    <w:t>。本项目属于“第一类鼓励类”中“四十二、环境保护与资源节约综合利用8、废弃物循环利用：煤矸石、粉煤灰、尾矿（共伴生矿）、冶炼渣、工业副产石膏、赤泥、</w:t>
                  </w:r>
                  <w:r>
                    <w:rPr>
                      <w:rFonts w:hint="eastAsia"/>
                      <w:caps w:val="0"/>
                      <w:color w:val="auto"/>
                      <w:spacing w:val="0"/>
                      <w:position w:val="0"/>
                      <w:highlight w:val="none"/>
                      <w:lang w:eastAsia="zh-CN"/>
                    </w:rPr>
                    <w:t>建筑废料</w:t>
                  </w:r>
                  <w:r>
                    <w:rPr>
                      <w:rFonts w:hint="eastAsia"/>
                      <w:caps w:val="0"/>
                      <w:color w:val="auto"/>
                      <w:spacing w:val="0"/>
                      <w:position w:val="0"/>
                      <w:highlight w:val="none"/>
                    </w:rPr>
                    <w:t>等工业废弃物循环利用”，不属于碳酸锂生产型企业。</w:t>
                  </w:r>
                </w:p>
              </w:tc>
              <w:tc>
                <w:tcPr>
                  <w:tcW w:w="400" w:type="pct"/>
                  <w:tcBorders>
                    <w:tl2br w:val="nil"/>
                    <w:tr2bl w:val="nil"/>
                  </w:tcBorders>
                  <w:vAlign w:val="center"/>
                </w:tcPr>
                <w:p w14:paraId="0A75C7F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156EE1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07" w:type="pct"/>
                  <w:tcBorders>
                    <w:tl2br w:val="nil"/>
                    <w:tr2bl w:val="nil"/>
                  </w:tcBorders>
                  <w:vAlign w:val="center"/>
                </w:tcPr>
                <w:p w14:paraId="691DA0F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2</w:t>
                  </w:r>
                </w:p>
              </w:tc>
              <w:tc>
                <w:tcPr>
                  <w:tcW w:w="2484" w:type="pct"/>
                  <w:tcBorders>
                    <w:tl2br w:val="nil"/>
                    <w:tr2bl w:val="nil"/>
                  </w:tcBorders>
                  <w:vAlign w:val="center"/>
                </w:tcPr>
                <w:p w14:paraId="5925512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延链强链补链。积极发展产业链中后端领域，支持动力电池项目建设，做大做强锂电池生产环节。瞄准扩大锂电下游应用领域，加快引进知名新能源汽车生产企业以及“三电”等关键零部件配套企业，推动锂电产业链延伸和价值链提升。（责任单位：市工信局、市发改委、市商务局，各县市区政府）</w:t>
                  </w:r>
                </w:p>
              </w:tc>
              <w:tc>
                <w:tcPr>
                  <w:tcW w:w="1809" w:type="pct"/>
                  <w:tcBorders>
                    <w:tl2br w:val="nil"/>
                    <w:tr2bl w:val="nil"/>
                  </w:tcBorders>
                  <w:vAlign w:val="center"/>
                </w:tcPr>
                <w:p w14:paraId="6896D60D">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eastAsia"/>
                      <w:caps w:val="0"/>
                      <w:color w:val="auto"/>
                      <w:spacing w:val="0"/>
                      <w:position w:val="0"/>
                      <w:highlight w:val="none"/>
                    </w:rPr>
                    <w:t>本项目是对锂冶炼剩余物的综合利用，属于锂电新能源产业</w:t>
                  </w:r>
                  <w:r>
                    <w:rPr>
                      <w:rFonts w:hint="default"/>
                      <w:caps w:val="0"/>
                      <w:color w:val="auto"/>
                      <w:spacing w:val="0"/>
                      <w:position w:val="0"/>
                      <w:highlight w:val="none"/>
                    </w:rPr>
                    <w:t>链</w:t>
                  </w:r>
                  <w:r>
                    <w:rPr>
                      <w:rFonts w:hint="eastAsia"/>
                      <w:caps w:val="0"/>
                      <w:color w:val="auto"/>
                      <w:spacing w:val="0"/>
                      <w:position w:val="0"/>
                      <w:highlight w:val="none"/>
                      <w:lang w:val="en-US" w:eastAsia="zh-CN"/>
                    </w:rPr>
                    <w:t>的</w:t>
                  </w:r>
                  <w:r>
                    <w:rPr>
                      <w:rFonts w:hint="default"/>
                      <w:caps w:val="0"/>
                      <w:color w:val="auto"/>
                      <w:spacing w:val="0"/>
                      <w:position w:val="0"/>
                      <w:highlight w:val="none"/>
                    </w:rPr>
                    <w:t>延伸</w:t>
                  </w:r>
                  <w:r>
                    <w:rPr>
                      <w:rFonts w:hint="eastAsia"/>
                      <w:caps w:val="0"/>
                      <w:color w:val="auto"/>
                      <w:spacing w:val="0"/>
                      <w:position w:val="0"/>
                      <w:highlight w:val="none"/>
                      <w:lang w:eastAsia="zh-CN"/>
                    </w:rPr>
                    <w:t>。</w:t>
                  </w:r>
                </w:p>
              </w:tc>
              <w:tc>
                <w:tcPr>
                  <w:tcW w:w="400" w:type="pct"/>
                  <w:tcBorders>
                    <w:tl2br w:val="nil"/>
                    <w:tr2bl w:val="nil"/>
                  </w:tcBorders>
                  <w:vAlign w:val="center"/>
                </w:tcPr>
                <w:p w14:paraId="3546F8B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66DB54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07" w:type="pct"/>
                  <w:tcBorders>
                    <w:tl2br w:val="nil"/>
                    <w:tr2bl w:val="nil"/>
                  </w:tcBorders>
                  <w:vAlign w:val="center"/>
                </w:tcPr>
                <w:p w14:paraId="38FEF05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3</w:t>
                  </w:r>
                </w:p>
              </w:tc>
              <w:tc>
                <w:tcPr>
                  <w:tcW w:w="2484" w:type="pct"/>
                  <w:tcBorders>
                    <w:tl2br w:val="nil"/>
                    <w:tr2bl w:val="nil"/>
                  </w:tcBorders>
                  <w:vAlign w:val="center"/>
                </w:tcPr>
                <w:p w14:paraId="5F7E535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从严环境准入。严格执行《建设项目环境影响评价分类管理名录》要求，将以锂云母、锂辉石、锂渣等为原料进行焙烧生产碳酸锂及其他中间产品等项目划定为无机化工行业，编制环境影响评价报告书，污染物排放执行</w:t>
                  </w:r>
                  <w:r>
                    <w:rPr>
                      <w:rFonts w:hint="eastAsia"/>
                      <w:caps w:val="0"/>
                      <w:color w:val="auto"/>
                      <w:spacing w:val="0"/>
                      <w:position w:val="0"/>
                      <w:highlight w:val="none"/>
                      <w:lang w:eastAsia="zh-CN"/>
                    </w:rPr>
                    <w:t>《无机化学工业污染物排放标准》（GB31573-2015）</w:t>
                  </w:r>
                  <w:r>
                    <w:rPr>
                      <w:rFonts w:hint="default"/>
                      <w:caps w:val="0"/>
                      <w:color w:val="auto"/>
                      <w:spacing w:val="0"/>
                      <w:position w:val="0"/>
                      <w:highlight w:val="none"/>
                    </w:rPr>
                    <w:t>。碳酸锂及中间产品生产必须有合法合规的原料来源，如涉及危险废物、五类重金属、高氟等工业固废不得作为原料，严禁非法随意添加环评批复外的原辅材料。（责任单位：市生态环境局，各县市区政府）</w:t>
                  </w:r>
                </w:p>
              </w:tc>
              <w:tc>
                <w:tcPr>
                  <w:tcW w:w="1809" w:type="pct"/>
                  <w:tcBorders>
                    <w:tl2br w:val="nil"/>
                    <w:tr2bl w:val="nil"/>
                  </w:tcBorders>
                  <w:vAlign w:val="center"/>
                </w:tcPr>
                <w:p w14:paraId="4C98925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rPr>
                    <w:t>本项目是对锂冶炼剩余物的综合利用，使用的每批次锂冶炼剩余物进行固废属性鉴定（包含铊、氟化物在内的成分分析和放射性分析）</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并满足环评提出的要求。</w:t>
                  </w:r>
                </w:p>
              </w:tc>
              <w:tc>
                <w:tcPr>
                  <w:tcW w:w="400" w:type="pct"/>
                  <w:tcBorders>
                    <w:tl2br w:val="nil"/>
                    <w:tr2bl w:val="nil"/>
                  </w:tcBorders>
                  <w:vAlign w:val="center"/>
                </w:tcPr>
                <w:p w14:paraId="422BB5D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726964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07" w:type="pct"/>
                  <w:tcBorders>
                    <w:tl2br w:val="nil"/>
                    <w:tr2bl w:val="nil"/>
                  </w:tcBorders>
                  <w:vAlign w:val="center"/>
                </w:tcPr>
                <w:p w14:paraId="42C4F28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4</w:t>
                  </w:r>
                </w:p>
              </w:tc>
              <w:tc>
                <w:tcPr>
                  <w:tcW w:w="2484" w:type="pct"/>
                  <w:tcBorders>
                    <w:tl2br w:val="nil"/>
                    <w:tr2bl w:val="nil"/>
                  </w:tcBorders>
                  <w:vAlign w:val="center"/>
                </w:tcPr>
                <w:p w14:paraId="66C4465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加快能源绿色转型。加快推进宜丰县、袁州区、万载县、靖安县、铜鼓县和高安市6个省级以上工业园区循环化改造。鼓励具备条件的煤电机组开展灵活性改造，谋划推进全市热点联产项目建设，加强电煤有效供应与煤炭清洁高效利用。加快推进全市电网、燃气管网建设，打造与全市产业发展相适应的智能化电力、燃气输送网络，加快电力、天然气替代。大力推进光伏发电，鼓励锂电企业配套建设储能设施，不断提升可再生能源消纳能力。（责任单位：市发改委、市工信局、市财政局，各县市区政府）</w:t>
                  </w:r>
                </w:p>
              </w:tc>
              <w:tc>
                <w:tcPr>
                  <w:tcW w:w="1809" w:type="pct"/>
                  <w:tcBorders>
                    <w:tl2br w:val="nil"/>
                    <w:tr2bl w:val="nil"/>
                  </w:tcBorders>
                  <w:vAlign w:val="center"/>
                </w:tcPr>
                <w:p w14:paraId="3069AFC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项目位于</w:t>
                  </w:r>
                  <w:r>
                    <w:rPr>
                      <w:rFonts w:hint="eastAsia"/>
                      <w:caps w:val="0"/>
                      <w:color w:val="auto"/>
                      <w:spacing w:val="0"/>
                      <w:position w:val="0"/>
                      <w:highlight w:val="none"/>
                      <w:lang w:val="en-US" w:eastAsia="zh-CN"/>
                    </w:rPr>
                    <w:t>高安市建山镇</w:t>
                  </w:r>
                  <w:r>
                    <w:rPr>
                      <w:rFonts w:hint="eastAsia"/>
                      <w:caps w:val="0"/>
                      <w:color w:val="auto"/>
                      <w:spacing w:val="0"/>
                      <w:position w:val="0"/>
                      <w:highlight w:val="none"/>
                    </w:rPr>
                    <w:t>内</w:t>
                  </w:r>
                  <w:r>
                    <w:rPr>
                      <w:rFonts w:hint="default"/>
                      <w:caps w:val="0"/>
                      <w:color w:val="auto"/>
                      <w:spacing w:val="0"/>
                      <w:position w:val="0"/>
                      <w:highlight w:val="none"/>
                    </w:rPr>
                    <w:t>，</w:t>
                  </w:r>
                  <w:r>
                    <w:rPr>
                      <w:rFonts w:hint="eastAsia"/>
                      <w:caps w:val="0"/>
                      <w:color w:val="auto"/>
                      <w:spacing w:val="0"/>
                      <w:position w:val="0"/>
                      <w:highlight w:val="none"/>
                      <w:lang w:val="en-US" w:eastAsia="zh-CN"/>
                    </w:rPr>
                    <w:t>租赁厂区</w:t>
                  </w:r>
                  <w:r>
                    <w:rPr>
                      <w:rFonts w:hint="default"/>
                      <w:caps w:val="0"/>
                      <w:color w:val="auto"/>
                      <w:spacing w:val="0"/>
                      <w:position w:val="0"/>
                      <w:highlight w:val="none"/>
                    </w:rPr>
                    <w:t>已配套建设市政电网等</w:t>
                  </w:r>
                  <w:r>
                    <w:rPr>
                      <w:rFonts w:hint="eastAsia"/>
                      <w:caps w:val="0"/>
                      <w:color w:val="auto"/>
                      <w:spacing w:val="0"/>
                      <w:position w:val="0"/>
                      <w:highlight w:val="none"/>
                    </w:rPr>
                    <w:t>。</w:t>
                  </w:r>
                </w:p>
              </w:tc>
              <w:tc>
                <w:tcPr>
                  <w:tcW w:w="400" w:type="pct"/>
                  <w:tcBorders>
                    <w:tl2br w:val="nil"/>
                    <w:tr2bl w:val="nil"/>
                  </w:tcBorders>
                  <w:vAlign w:val="center"/>
                </w:tcPr>
                <w:p w14:paraId="462F474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7BC40D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07" w:type="pct"/>
                  <w:tcBorders>
                    <w:tl2br w:val="nil"/>
                    <w:tr2bl w:val="nil"/>
                  </w:tcBorders>
                  <w:vAlign w:val="center"/>
                </w:tcPr>
                <w:p w14:paraId="286AE59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5</w:t>
                  </w:r>
                </w:p>
              </w:tc>
              <w:tc>
                <w:tcPr>
                  <w:tcW w:w="2484" w:type="pct"/>
                  <w:tcBorders>
                    <w:tl2br w:val="nil"/>
                    <w:tr2bl w:val="nil"/>
                  </w:tcBorders>
                  <w:vAlign w:val="center"/>
                </w:tcPr>
                <w:p w14:paraId="5920E96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强化能耗强度硬性约束。认真落实《宜春市加强高耗能高排放项目准入管理若干措施》，对高耗能高排放项目全面推行清单管理、分类处置、动态监控。新建高耗能高排放项目严格落实产能、煤耗、能耗、碳排放、污染物排放等区域等量削减要求；对存量项目积极有序开展节能降碳技术改造，加快淘汰落后产能。（责任单位：市发改委、市工信局、市生态环境局，各县市区政府）</w:t>
                  </w:r>
                </w:p>
              </w:tc>
              <w:tc>
                <w:tcPr>
                  <w:tcW w:w="1809" w:type="pct"/>
                  <w:tcBorders>
                    <w:tl2br w:val="nil"/>
                    <w:tr2bl w:val="nil"/>
                  </w:tcBorders>
                  <w:vAlign w:val="center"/>
                </w:tcPr>
                <w:p w14:paraId="4AD4CDD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项目是对锂冶炼剩余物的综合利用，根据《江西省“两高”项目管理目录》（2023年版），本项目可不纳入“两高”项目管理。</w:t>
                  </w:r>
                </w:p>
              </w:tc>
              <w:tc>
                <w:tcPr>
                  <w:tcW w:w="400" w:type="pct"/>
                  <w:tcBorders>
                    <w:tl2br w:val="nil"/>
                    <w:tr2bl w:val="nil"/>
                  </w:tcBorders>
                  <w:vAlign w:val="center"/>
                </w:tcPr>
                <w:p w14:paraId="27818A3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69D636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07" w:type="pct"/>
                  <w:tcBorders>
                    <w:tl2br w:val="nil"/>
                    <w:tr2bl w:val="nil"/>
                  </w:tcBorders>
                  <w:vAlign w:val="center"/>
                </w:tcPr>
                <w:p w14:paraId="57DA93B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6</w:t>
                  </w:r>
                </w:p>
              </w:tc>
              <w:tc>
                <w:tcPr>
                  <w:tcW w:w="2484" w:type="pct"/>
                  <w:tcBorders>
                    <w:tl2br w:val="nil"/>
                    <w:tr2bl w:val="nil"/>
                  </w:tcBorders>
                  <w:vAlign w:val="center"/>
                </w:tcPr>
                <w:p w14:paraId="2464B4B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严格开展节能审查。按照《固定资产投资项目节能审查办法》和《江西省工业固定资产投资（技改）项目节能评估和审查办法》，加强固定资产投资项目节能管理。围绕锂电新能源、铅酸蓄电池等重点行业，开展节能审查未批先建情况自查，按照建成、在建、拟建、未批先建四种情形，形成四张清单，对未按规定进行节能审查，或节能审查未通过，擅自开工建设或擅自投入生产、使用的固定资产投资项目，由节能审查机关依法依规进行处理。（责任单位：市发改委、市工信局，各县市区政府）</w:t>
                  </w:r>
                </w:p>
              </w:tc>
              <w:tc>
                <w:tcPr>
                  <w:tcW w:w="1809" w:type="pct"/>
                  <w:tcBorders>
                    <w:tl2br w:val="nil"/>
                    <w:tr2bl w:val="nil"/>
                  </w:tcBorders>
                  <w:vAlign w:val="center"/>
                </w:tcPr>
                <w:p w14:paraId="1E98612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项目按要求开展节能审查</w:t>
                  </w:r>
                  <w:r>
                    <w:rPr>
                      <w:rFonts w:hint="eastAsia"/>
                      <w:caps w:val="0"/>
                      <w:color w:val="auto"/>
                      <w:spacing w:val="0"/>
                      <w:position w:val="0"/>
                      <w:highlight w:val="none"/>
                    </w:rPr>
                    <w:t>。</w:t>
                  </w:r>
                </w:p>
              </w:tc>
              <w:tc>
                <w:tcPr>
                  <w:tcW w:w="400" w:type="pct"/>
                  <w:tcBorders>
                    <w:tl2br w:val="nil"/>
                    <w:tr2bl w:val="nil"/>
                  </w:tcBorders>
                  <w:vAlign w:val="center"/>
                </w:tcPr>
                <w:p w14:paraId="16196FC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1E7486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07" w:type="pct"/>
                  <w:tcBorders>
                    <w:tl2br w:val="nil"/>
                    <w:tr2bl w:val="nil"/>
                  </w:tcBorders>
                  <w:vAlign w:val="center"/>
                </w:tcPr>
                <w:p w14:paraId="7C295C4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7</w:t>
                  </w:r>
                </w:p>
              </w:tc>
              <w:tc>
                <w:tcPr>
                  <w:tcW w:w="2484" w:type="pct"/>
                  <w:tcBorders>
                    <w:tl2br w:val="nil"/>
                    <w:tr2bl w:val="nil"/>
                  </w:tcBorders>
                  <w:vAlign w:val="center"/>
                </w:tcPr>
                <w:p w14:paraId="4D58333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强化科技研发。通过“揭榜挂帅”等方式激发创新潜能，鼓励锂电、铅酸蓄电池企业开展科技研发和技术攻关，将含锂瓷土矿绿色开采、锂云母选矿、锂渣消纳处置、废旧锂电池回收利用等技术等纳入全市科技计划，给予重点支持，尤其对锂电、铅酸蓄电池行业除氟、除铊等现有技术优化升级优先支持。（责任单位：市科技局）</w:t>
                  </w:r>
                </w:p>
              </w:tc>
              <w:tc>
                <w:tcPr>
                  <w:tcW w:w="1809" w:type="pct"/>
                  <w:tcBorders>
                    <w:tl2br w:val="nil"/>
                    <w:tr2bl w:val="nil"/>
                  </w:tcBorders>
                  <w:vAlign w:val="center"/>
                </w:tcPr>
                <w:p w14:paraId="3741167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本项目是对锂冶炼剩余物的综合利用，属于锂渣消纳处置</w:t>
                  </w:r>
                  <w:r>
                    <w:rPr>
                      <w:rFonts w:hint="eastAsia"/>
                      <w:caps w:val="0"/>
                      <w:color w:val="auto"/>
                      <w:spacing w:val="0"/>
                      <w:position w:val="0"/>
                      <w:highlight w:val="none"/>
                      <w:lang w:val="en-US" w:eastAsia="zh-CN"/>
                    </w:rPr>
                    <w:t>为</w:t>
                  </w:r>
                  <w:r>
                    <w:rPr>
                      <w:rFonts w:hint="default"/>
                      <w:caps w:val="0"/>
                      <w:color w:val="auto"/>
                      <w:spacing w:val="0"/>
                      <w:position w:val="0"/>
                      <w:highlight w:val="none"/>
                    </w:rPr>
                    <w:t>全市科技计划，</w:t>
                  </w:r>
                  <w:r>
                    <w:rPr>
                      <w:rFonts w:hint="eastAsia"/>
                      <w:caps w:val="0"/>
                      <w:color w:val="auto"/>
                      <w:spacing w:val="0"/>
                      <w:position w:val="0"/>
                      <w:highlight w:val="none"/>
                      <w:lang w:val="en-US" w:eastAsia="zh-CN"/>
                    </w:rPr>
                    <w:t>为</w:t>
                  </w:r>
                  <w:r>
                    <w:rPr>
                      <w:rFonts w:hint="default"/>
                      <w:caps w:val="0"/>
                      <w:color w:val="auto"/>
                      <w:spacing w:val="0"/>
                      <w:position w:val="0"/>
                      <w:highlight w:val="none"/>
                    </w:rPr>
                    <w:t>重点支持</w:t>
                  </w:r>
                  <w:r>
                    <w:rPr>
                      <w:rFonts w:hint="eastAsia"/>
                      <w:caps w:val="0"/>
                      <w:color w:val="auto"/>
                      <w:spacing w:val="0"/>
                      <w:position w:val="0"/>
                      <w:highlight w:val="none"/>
                      <w:lang w:val="en-US" w:eastAsia="zh-CN"/>
                    </w:rPr>
                    <w:t>项目</w:t>
                  </w:r>
                  <w:r>
                    <w:rPr>
                      <w:rFonts w:hint="eastAsia"/>
                      <w:caps w:val="0"/>
                      <w:color w:val="auto"/>
                      <w:spacing w:val="0"/>
                      <w:position w:val="0"/>
                      <w:highlight w:val="none"/>
                      <w:lang w:eastAsia="zh-CN"/>
                    </w:rPr>
                    <w:t>。</w:t>
                  </w:r>
                </w:p>
              </w:tc>
              <w:tc>
                <w:tcPr>
                  <w:tcW w:w="400" w:type="pct"/>
                  <w:tcBorders>
                    <w:tl2br w:val="nil"/>
                    <w:tr2bl w:val="nil"/>
                  </w:tcBorders>
                  <w:vAlign w:val="center"/>
                </w:tcPr>
                <w:p w14:paraId="4D51F6F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26CD2B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07" w:type="pct"/>
                  <w:tcBorders>
                    <w:tl2br w:val="nil"/>
                    <w:tr2bl w:val="nil"/>
                  </w:tcBorders>
                  <w:vAlign w:val="center"/>
                </w:tcPr>
                <w:p w14:paraId="0BA834A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8</w:t>
                  </w:r>
                </w:p>
              </w:tc>
              <w:tc>
                <w:tcPr>
                  <w:tcW w:w="2484" w:type="pct"/>
                  <w:tcBorders>
                    <w:tl2br w:val="nil"/>
                    <w:tr2bl w:val="nil"/>
                  </w:tcBorders>
                  <w:vAlign w:val="center"/>
                </w:tcPr>
                <w:p w14:paraId="53D135D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实现综合利用。以全面提高长石粉、锂渣综合利用能力和水平为目标，重点在拉长产业链上下功夫，强化创新驱动，通过技术手段拓展消纳处理途径，将长石粉、锂渣转变成更多产品。在宜丰县、奉新县、万载县、高安市、袁州区（含宜春经开区）五地规范建设锂渣消纳场，探索推进锂渣公路路基筑路材料应用等锂矿资源循环利用，基本实现贮存能力、处置能力与产废情况总体匹配。（责任单位：市工信局、市科技局、市交通运输局、市公路事业发展中心，宜丰县、奉新县、万载县、高安市、袁州区政府及宜春经开区管委会）</w:t>
                  </w:r>
                </w:p>
              </w:tc>
              <w:tc>
                <w:tcPr>
                  <w:tcW w:w="1809" w:type="pct"/>
                  <w:tcBorders>
                    <w:tl2br w:val="nil"/>
                    <w:tr2bl w:val="nil"/>
                  </w:tcBorders>
                  <w:vAlign w:val="center"/>
                </w:tcPr>
                <w:p w14:paraId="02FB8F2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本项目是对锂冶炼剩余物的综合利用。</w:t>
                  </w:r>
                </w:p>
              </w:tc>
              <w:tc>
                <w:tcPr>
                  <w:tcW w:w="400" w:type="pct"/>
                  <w:tcBorders>
                    <w:tl2br w:val="nil"/>
                    <w:tr2bl w:val="nil"/>
                  </w:tcBorders>
                  <w:vAlign w:val="center"/>
                </w:tcPr>
                <w:p w14:paraId="2EDBC3F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1DB69A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07" w:type="pct"/>
                  <w:tcBorders>
                    <w:tl2br w:val="nil"/>
                    <w:tr2bl w:val="nil"/>
                  </w:tcBorders>
                  <w:vAlign w:val="center"/>
                </w:tcPr>
                <w:p w14:paraId="3295A67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9</w:t>
                  </w:r>
                </w:p>
              </w:tc>
              <w:tc>
                <w:tcPr>
                  <w:tcW w:w="2484" w:type="pct"/>
                  <w:tcBorders>
                    <w:tl2br w:val="nil"/>
                    <w:tr2bl w:val="nil"/>
                  </w:tcBorders>
                  <w:vAlign w:val="center"/>
                </w:tcPr>
                <w:p w14:paraId="227759F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坚持规划引领科学布局。按照“统筹规划、合理布局、因地制宜、生态保护”原则，严守开发红线，集中设置矿权，发挥矿规龙头作用，严格落实矿山准入条件，实现小型矿山减量化，提高中大型矿山比例，全面落实矿产资源总体规划。（责任单位：市自然资源局、市生态环境局、市应急管理局、市林业局、市水利局、市农业农村局，各县市区政府）</w:t>
                  </w:r>
                </w:p>
              </w:tc>
              <w:tc>
                <w:tcPr>
                  <w:tcW w:w="1809" w:type="pct"/>
                  <w:tcBorders>
                    <w:tl2br w:val="nil"/>
                    <w:tr2bl w:val="nil"/>
                  </w:tcBorders>
                  <w:vAlign w:val="center"/>
                </w:tcPr>
                <w:p w14:paraId="156D3FF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本项目不属于矿山开采项目</w:t>
                  </w:r>
                  <w:r>
                    <w:rPr>
                      <w:rFonts w:hint="eastAsia"/>
                      <w:caps w:val="0"/>
                      <w:color w:val="auto"/>
                      <w:spacing w:val="0"/>
                      <w:position w:val="0"/>
                      <w:highlight w:val="none"/>
                    </w:rPr>
                    <w:t>。</w:t>
                  </w:r>
                </w:p>
              </w:tc>
              <w:tc>
                <w:tcPr>
                  <w:tcW w:w="400" w:type="pct"/>
                  <w:tcBorders>
                    <w:tl2br w:val="nil"/>
                    <w:tr2bl w:val="nil"/>
                  </w:tcBorders>
                  <w:vAlign w:val="center"/>
                </w:tcPr>
                <w:p w14:paraId="3B53AF0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2000B7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07" w:type="pct"/>
                  <w:tcBorders>
                    <w:tl2br w:val="nil"/>
                    <w:tr2bl w:val="nil"/>
                  </w:tcBorders>
                  <w:vAlign w:val="center"/>
                </w:tcPr>
                <w:p w14:paraId="2DA1F58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10</w:t>
                  </w:r>
                </w:p>
              </w:tc>
              <w:tc>
                <w:tcPr>
                  <w:tcW w:w="2484" w:type="pct"/>
                  <w:tcBorders>
                    <w:tl2br w:val="nil"/>
                    <w:tr2bl w:val="nil"/>
                  </w:tcBorders>
                  <w:vAlign w:val="center"/>
                </w:tcPr>
                <w:p w14:paraId="516D791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规范矿山开发利用。督促矿山企业严格按照采矿许可证证载规模和“三合一”方案（矿产资源开发利用、地质环境恢复治理和土地复垦方案）进行规范开采。扎实推进绿色矿山建设，新建含锂瓷土矿类矿山、选矿建设项目，必须制定尾砂尾泥工业化消纳处理方案，无法消纳处理尾砂尾泥的相关建设项目必须同步规划建设尾砂库。（责任单位：市自然资源局、市生态环境局、市应急管理局、市交通运输局，各县市区政府）</w:t>
                  </w:r>
                </w:p>
              </w:tc>
              <w:tc>
                <w:tcPr>
                  <w:tcW w:w="1809" w:type="pct"/>
                  <w:tcBorders>
                    <w:tl2br w:val="nil"/>
                    <w:tr2bl w:val="nil"/>
                  </w:tcBorders>
                  <w:vAlign w:val="center"/>
                </w:tcPr>
                <w:p w14:paraId="58C81EA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本项目不属于矿山开采项目</w:t>
                  </w:r>
                  <w:r>
                    <w:rPr>
                      <w:rFonts w:hint="eastAsia"/>
                      <w:caps w:val="0"/>
                      <w:color w:val="auto"/>
                      <w:spacing w:val="0"/>
                      <w:position w:val="0"/>
                      <w:highlight w:val="none"/>
                    </w:rPr>
                    <w:t>。</w:t>
                  </w:r>
                </w:p>
              </w:tc>
              <w:tc>
                <w:tcPr>
                  <w:tcW w:w="400" w:type="pct"/>
                  <w:tcBorders>
                    <w:tl2br w:val="nil"/>
                    <w:tr2bl w:val="nil"/>
                  </w:tcBorders>
                  <w:vAlign w:val="center"/>
                </w:tcPr>
                <w:p w14:paraId="0B12A13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4C1C5C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07" w:type="pct"/>
                  <w:tcBorders>
                    <w:tl2br w:val="nil"/>
                    <w:tr2bl w:val="nil"/>
                  </w:tcBorders>
                  <w:vAlign w:val="center"/>
                </w:tcPr>
                <w:p w14:paraId="5A5698E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11</w:t>
                  </w:r>
                </w:p>
              </w:tc>
              <w:tc>
                <w:tcPr>
                  <w:tcW w:w="2484" w:type="pct"/>
                  <w:tcBorders>
                    <w:tl2br w:val="nil"/>
                    <w:tr2bl w:val="nil"/>
                  </w:tcBorders>
                  <w:vAlign w:val="center"/>
                </w:tcPr>
                <w:p w14:paraId="4529F49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加强排土场监管。督促矿山企业做好开采时表土剥离工作，将表土层作为矿区后期复垦复绿土壤使用。排土场的选址应尽量少占土地，做好防尘管护及水土流失管护，对于已完成排土且暂不利用的排土场范围要做好复绿。（责任单位：市自然资源局、市生态环境局、市水利局，各县市区政府）</w:t>
                  </w:r>
                </w:p>
              </w:tc>
              <w:tc>
                <w:tcPr>
                  <w:tcW w:w="1809" w:type="pct"/>
                  <w:tcBorders>
                    <w:tl2br w:val="nil"/>
                    <w:tr2bl w:val="nil"/>
                  </w:tcBorders>
                  <w:vAlign w:val="center"/>
                </w:tcPr>
                <w:p w14:paraId="3D1A3D5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本项目不属于矿山开采项目</w:t>
                  </w:r>
                  <w:r>
                    <w:rPr>
                      <w:rFonts w:hint="eastAsia"/>
                      <w:caps w:val="0"/>
                      <w:color w:val="auto"/>
                      <w:spacing w:val="0"/>
                      <w:position w:val="0"/>
                      <w:highlight w:val="none"/>
                    </w:rPr>
                    <w:t>。</w:t>
                  </w:r>
                </w:p>
              </w:tc>
              <w:tc>
                <w:tcPr>
                  <w:tcW w:w="400" w:type="pct"/>
                  <w:tcBorders>
                    <w:tl2br w:val="nil"/>
                    <w:tr2bl w:val="nil"/>
                  </w:tcBorders>
                  <w:vAlign w:val="center"/>
                </w:tcPr>
                <w:p w14:paraId="08508E0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442940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07" w:type="pct"/>
                  <w:tcBorders>
                    <w:tl2br w:val="nil"/>
                    <w:tr2bl w:val="nil"/>
                  </w:tcBorders>
                  <w:vAlign w:val="center"/>
                </w:tcPr>
                <w:p w14:paraId="425CF67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12</w:t>
                  </w:r>
                </w:p>
              </w:tc>
              <w:tc>
                <w:tcPr>
                  <w:tcW w:w="2484" w:type="pct"/>
                  <w:tcBorders>
                    <w:tl2br w:val="nil"/>
                    <w:tr2bl w:val="nil"/>
                  </w:tcBorders>
                  <w:vAlign w:val="center"/>
                </w:tcPr>
                <w:p w14:paraId="10D41A3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加强水环境治理。按照“清污分流、雨污分流”“雨水明沟化、污水明管化”及园区纳管企业“一企一管”要求，对园区、企业管网进行全面升级改造，加强初期雨水收集、处理和回用，科学配备初期雨水收集池和事故应急池，督促对新建的含锂瓷土矿采选、碳酸锂生产、铅酸蓄电池、冶炼等企业及相关园区污水处理厂在开展项目环境风险评估时要对铊、氟等污染因子进行分析并落实防治措施，同时对已投产的项目立即进行环评后评估，根据评估意见确定是否增设除铊除氟设施。对锂电、铅酸蓄电池、冶炼、陶瓷等行业企业的污染防治设施排口和雨水排口，以及相关工业园区污水处理厂进水口、污水总排口和雨水总排口加装氟化物、铊等特征污染物在线监控设备。（责任单位：市生态环境局、市工信局，各县市区政府）</w:t>
                  </w:r>
                </w:p>
              </w:tc>
              <w:tc>
                <w:tcPr>
                  <w:tcW w:w="1809" w:type="pct"/>
                  <w:tcBorders>
                    <w:tl2br w:val="nil"/>
                    <w:tr2bl w:val="nil"/>
                  </w:tcBorders>
                  <w:vAlign w:val="center"/>
                </w:tcPr>
                <w:p w14:paraId="67BD5AF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1、项目位于</w:t>
                  </w:r>
                  <w:r>
                    <w:rPr>
                      <w:rFonts w:hint="eastAsia"/>
                      <w:caps w:val="0"/>
                      <w:color w:val="auto"/>
                      <w:spacing w:val="0"/>
                      <w:position w:val="0"/>
                      <w:highlight w:val="none"/>
                      <w:lang w:eastAsia="zh-CN"/>
                    </w:rPr>
                    <w:t>江西省宜春市高安市建山镇枫林村(原泰华公司工业广场南面场地)</w:t>
                  </w:r>
                  <w:r>
                    <w:rPr>
                      <w:rFonts w:hint="eastAsia"/>
                      <w:caps w:val="0"/>
                      <w:color w:val="auto"/>
                      <w:spacing w:val="0"/>
                      <w:position w:val="0"/>
                      <w:highlight w:val="none"/>
                    </w:rPr>
                    <w:t>，已布局好雨水管网和污水管网。</w:t>
                  </w:r>
                </w:p>
                <w:p w14:paraId="08D3E80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2、项目不属于锂电生产型企业，但本次评价要求建设单位在雨水排放口设有氟化物、铊在线监测设备，并与市、县两级在线监控管理平台联网。</w:t>
                  </w:r>
                </w:p>
              </w:tc>
              <w:tc>
                <w:tcPr>
                  <w:tcW w:w="400" w:type="pct"/>
                  <w:tcBorders>
                    <w:tl2br w:val="nil"/>
                    <w:tr2bl w:val="nil"/>
                  </w:tcBorders>
                  <w:vAlign w:val="center"/>
                </w:tcPr>
                <w:p w14:paraId="7845A53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330802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07" w:type="pct"/>
                  <w:tcBorders>
                    <w:tl2br w:val="nil"/>
                    <w:tr2bl w:val="nil"/>
                  </w:tcBorders>
                  <w:vAlign w:val="center"/>
                </w:tcPr>
                <w:p w14:paraId="665A905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13</w:t>
                  </w:r>
                </w:p>
              </w:tc>
              <w:tc>
                <w:tcPr>
                  <w:tcW w:w="2484" w:type="pct"/>
                  <w:tcBorders>
                    <w:tl2br w:val="nil"/>
                    <w:tr2bl w:val="nil"/>
                  </w:tcBorders>
                  <w:vAlign w:val="center"/>
                </w:tcPr>
                <w:p w14:paraId="43BF4A9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加强大气环境治理。督促相关企业特别是含锂瓷土矿采选、碳酸锂生产企业完善喷雾、喷淋、洒水等降尘抑尘和机扫吸尘除尘措施，高标准配备进出场车辆冲洗平台，沿线道路全面硬化，运输车辆全部篷布遮盖，严格控制碳酸锂生产企业铊等特征污染物汽化进入废气。（责任单位：市生态环境局，各县市区政府）</w:t>
                  </w:r>
                </w:p>
              </w:tc>
              <w:tc>
                <w:tcPr>
                  <w:tcW w:w="1809" w:type="pct"/>
                  <w:tcBorders>
                    <w:tl2br w:val="nil"/>
                    <w:tr2bl w:val="nil"/>
                  </w:tcBorders>
                  <w:vAlign w:val="center"/>
                </w:tcPr>
                <w:p w14:paraId="50A2F12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1、</w:t>
                  </w:r>
                  <w:r>
                    <w:rPr>
                      <w:rFonts w:hint="default"/>
                      <w:caps w:val="0"/>
                      <w:color w:val="auto"/>
                      <w:spacing w:val="0"/>
                      <w:position w:val="0"/>
                      <w:highlight w:val="none"/>
                    </w:rPr>
                    <w:t>项目运营期项目采用皮带输送机进行输送，物料装卸、储存、输送过程中产尘点均采取了有效抑尘措施（布袋除尘</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洒水抑尘和无组织沉降等</w:t>
                  </w:r>
                  <w:r>
                    <w:rPr>
                      <w:rFonts w:hint="default"/>
                      <w:caps w:val="0"/>
                      <w:color w:val="auto"/>
                      <w:spacing w:val="0"/>
                      <w:position w:val="0"/>
                      <w:highlight w:val="none"/>
                    </w:rPr>
                    <w:t>）</w:t>
                  </w:r>
                  <w:r>
                    <w:rPr>
                      <w:rFonts w:hint="eastAsia"/>
                      <w:caps w:val="0"/>
                      <w:color w:val="auto"/>
                      <w:spacing w:val="0"/>
                      <w:position w:val="0"/>
                      <w:highlight w:val="none"/>
                    </w:rPr>
                    <w:t>。</w:t>
                  </w:r>
                </w:p>
                <w:p w14:paraId="609C6FA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2、项目运输车辆使用遮盖运输，不进行敞篷运输。</w:t>
                  </w:r>
                </w:p>
              </w:tc>
              <w:tc>
                <w:tcPr>
                  <w:tcW w:w="400" w:type="pct"/>
                  <w:tcBorders>
                    <w:tl2br w:val="nil"/>
                    <w:tr2bl w:val="nil"/>
                  </w:tcBorders>
                  <w:vAlign w:val="center"/>
                </w:tcPr>
                <w:p w14:paraId="47CBDF6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2C6881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07" w:type="pct"/>
                  <w:tcBorders>
                    <w:tl2br w:val="nil"/>
                    <w:tr2bl w:val="nil"/>
                  </w:tcBorders>
                  <w:vAlign w:val="center"/>
                </w:tcPr>
                <w:p w14:paraId="4C80025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14</w:t>
                  </w:r>
                </w:p>
              </w:tc>
              <w:tc>
                <w:tcPr>
                  <w:tcW w:w="2484" w:type="pct"/>
                  <w:tcBorders>
                    <w:tl2br w:val="nil"/>
                    <w:tr2bl w:val="nil"/>
                  </w:tcBorders>
                  <w:vAlign w:val="center"/>
                </w:tcPr>
                <w:p w14:paraId="412AB0E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加强土壤污染防治。督促相关企业建立完善固废产生、储存、处置利用三本台账，实现工业固废可追溯、可查询闭环管理，建立健全全过程污染环境防治责任制度，按国家标准建设一般固体废物和危险废物贮存设施、场所，安全分类存放。对碳酸锂生产和锂渣坯生产等企业产生的二次提锂锂渣、废气处理循环池的污泥，组织开展危险废物属性鉴定，并根据鉴定结果实施分类管理，鉴定结果出来前，在污泥压榨、收集、储存、转运、利用、处置等环节参照危险废物管理要求进行管理。危废暂存库、污水处理池、事故池、生产车间等重点区域要严格按环评及批复要求落实防腐防渗措施，防止污染土壤和地下水。（责任单位：市生态环境局，各县市区政府）</w:t>
                  </w:r>
                </w:p>
              </w:tc>
              <w:tc>
                <w:tcPr>
                  <w:tcW w:w="1809" w:type="pct"/>
                  <w:tcBorders>
                    <w:tl2br w:val="nil"/>
                    <w:tr2bl w:val="nil"/>
                  </w:tcBorders>
                  <w:vAlign w:val="center"/>
                </w:tcPr>
                <w:p w14:paraId="761EB76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1、项目使用的原料为一般工业固废，设置了专门的储存区域。</w:t>
                  </w:r>
                </w:p>
                <w:p w14:paraId="523D86B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2、</w:t>
                  </w:r>
                  <w:r>
                    <w:rPr>
                      <w:rFonts w:hint="default"/>
                      <w:caps w:val="0"/>
                      <w:color w:val="auto"/>
                      <w:spacing w:val="0"/>
                      <w:position w:val="0"/>
                      <w:highlight w:val="none"/>
                    </w:rPr>
                    <w:t>危废暂存库、</w:t>
                  </w:r>
                  <w:r>
                    <w:rPr>
                      <w:rFonts w:hint="eastAsia"/>
                      <w:caps w:val="0"/>
                      <w:color w:val="auto"/>
                      <w:spacing w:val="0"/>
                      <w:position w:val="0"/>
                      <w:highlight w:val="none"/>
                      <w:lang w:val="en-US" w:eastAsia="zh-CN"/>
                    </w:rPr>
                    <w:t>沉淀池</w:t>
                  </w:r>
                  <w:r>
                    <w:rPr>
                      <w:rFonts w:hint="default"/>
                      <w:caps w:val="0"/>
                      <w:color w:val="auto"/>
                      <w:spacing w:val="0"/>
                      <w:position w:val="0"/>
                      <w:highlight w:val="none"/>
                    </w:rPr>
                    <w:t>、</w:t>
                  </w:r>
                  <w:r>
                    <w:rPr>
                      <w:rFonts w:hint="eastAsia"/>
                      <w:caps w:val="0"/>
                      <w:color w:val="auto"/>
                      <w:spacing w:val="0"/>
                      <w:position w:val="0"/>
                      <w:highlight w:val="none"/>
                      <w:lang w:val="en-US" w:eastAsia="zh-CN"/>
                    </w:rPr>
                    <w:t>初期雨水池</w:t>
                  </w:r>
                  <w:r>
                    <w:rPr>
                      <w:rFonts w:hint="eastAsia"/>
                      <w:caps w:val="0"/>
                      <w:color w:val="auto"/>
                      <w:spacing w:val="0"/>
                      <w:position w:val="0"/>
                      <w:highlight w:val="none"/>
                      <w:lang w:eastAsia="zh-CN"/>
                    </w:rPr>
                    <w:t>、</w:t>
                  </w:r>
                  <w:r>
                    <w:rPr>
                      <w:rFonts w:hint="default"/>
                      <w:caps w:val="0"/>
                      <w:color w:val="auto"/>
                      <w:spacing w:val="0"/>
                      <w:position w:val="0"/>
                      <w:highlight w:val="none"/>
                    </w:rPr>
                    <w:t>事故池、生产车间等重点区域严格按环评及批复要求落实防腐防渗措施，防止污染土壤和地下水。</w:t>
                  </w:r>
                </w:p>
              </w:tc>
              <w:tc>
                <w:tcPr>
                  <w:tcW w:w="400" w:type="pct"/>
                  <w:tcBorders>
                    <w:tl2br w:val="nil"/>
                    <w:tr2bl w:val="nil"/>
                  </w:tcBorders>
                  <w:vAlign w:val="center"/>
                </w:tcPr>
                <w:p w14:paraId="16CD780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109D4B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07" w:type="pct"/>
                  <w:tcBorders>
                    <w:tl2br w:val="nil"/>
                    <w:tr2bl w:val="nil"/>
                  </w:tcBorders>
                  <w:vAlign w:val="center"/>
                </w:tcPr>
                <w:p w14:paraId="7159D5A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15</w:t>
                  </w:r>
                </w:p>
              </w:tc>
              <w:tc>
                <w:tcPr>
                  <w:tcW w:w="2484" w:type="pct"/>
                  <w:tcBorders>
                    <w:tl2br w:val="nil"/>
                    <w:tr2bl w:val="nil"/>
                  </w:tcBorders>
                  <w:vAlign w:val="center"/>
                </w:tcPr>
                <w:p w14:paraId="044553D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加强应急协调联动。完善突发生态环境事件应急联动机制，组织生态环境、应急管理、公安、消防、水利、气象等部门，在联合执法、情况通报、信息共享、处置联动、协商交流、能力建设等方面加强合作，探索开展跨区域、跨流域演练。（责任单位：市生态环境局、市应急管理局、市公安局、市消防救援支队、市水利局、市气象局，各县市区政府）</w:t>
                  </w:r>
                </w:p>
              </w:tc>
              <w:tc>
                <w:tcPr>
                  <w:tcW w:w="1809" w:type="pct"/>
                  <w:tcBorders>
                    <w:tl2br w:val="nil"/>
                    <w:tr2bl w:val="nil"/>
                  </w:tcBorders>
                  <w:vAlign w:val="center"/>
                </w:tcPr>
                <w:p w14:paraId="5C061BA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本环评要求企业完善突发生态环境事件应急联动机制</w:t>
                  </w:r>
                  <w:r>
                    <w:rPr>
                      <w:rFonts w:hint="eastAsia"/>
                      <w:caps w:val="0"/>
                      <w:color w:val="auto"/>
                      <w:spacing w:val="0"/>
                      <w:position w:val="0"/>
                      <w:highlight w:val="none"/>
                    </w:rPr>
                    <w:t>。</w:t>
                  </w:r>
                </w:p>
              </w:tc>
              <w:tc>
                <w:tcPr>
                  <w:tcW w:w="400" w:type="pct"/>
                  <w:tcBorders>
                    <w:tl2br w:val="nil"/>
                    <w:tr2bl w:val="nil"/>
                  </w:tcBorders>
                  <w:vAlign w:val="center"/>
                </w:tcPr>
                <w:p w14:paraId="17778A0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7BE0C9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07" w:type="pct"/>
                  <w:tcBorders>
                    <w:tl2br w:val="nil"/>
                    <w:tr2bl w:val="nil"/>
                  </w:tcBorders>
                  <w:vAlign w:val="center"/>
                </w:tcPr>
                <w:p w14:paraId="5B9DFD8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16</w:t>
                  </w:r>
                </w:p>
              </w:tc>
              <w:tc>
                <w:tcPr>
                  <w:tcW w:w="2484" w:type="pct"/>
                  <w:tcBorders>
                    <w:tl2br w:val="nil"/>
                    <w:tr2bl w:val="nil"/>
                  </w:tcBorders>
                  <w:vAlign w:val="center"/>
                </w:tcPr>
                <w:p w14:paraId="6D23F06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开展风险隐患排查。紧盯危险废物、危险化学品、尾矿库等高风险领域和重点环节开展隐患大排查，建立健全河流环境隐患日常排查制度，加强干支流断面和饮用水水源地环境监管，定期巡查监测，发现水质异常及时报告、及时处理。（责任单位：市生态环境局、市应急管理局、市水利局，各县市区政府）</w:t>
                  </w:r>
                </w:p>
              </w:tc>
              <w:tc>
                <w:tcPr>
                  <w:tcW w:w="1809" w:type="pct"/>
                  <w:tcBorders>
                    <w:tl2br w:val="nil"/>
                    <w:tr2bl w:val="nil"/>
                  </w:tcBorders>
                  <w:vAlign w:val="center"/>
                </w:tcPr>
                <w:p w14:paraId="187BBE2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本项目严格按照固废管理制度执行</w:t>
                  </w:r>
                  <w:r>
                    <w:rPr>
                      <w:rFonts w:hint="eastAsia"/>
                      <w:caps w:val="0"/>
                      <w:color w:val="auto"/>
                      <w:spacing w:val="0"/>
                      <w:position w:val="0"/>
                      <w:highlight w:val="none"/>
                    </w:rPr>
                    <w:t>。</w:t>
                  </w:r>
                </w:p>
              </w:tc>
              <w:tc>
                <w:tcPr>
                  <w:tcW w:w="400" w:type="pct"/>
                  <w:tcBorders>
                    <w:tl2br w:val="nil"/>
                    <w:tr2bl w:val="nil"/>
                  </w:tcBorders>
                  <w:vAlign w:val="center"/>
                </w:tcPr>
                <w:p w14:paraId="29309ED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039447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07" w:type="pct"/>
                  <w:tcBorders>
                    <w:tl2br w:val="nil"/>
                    <w:tr2bl w:val="nil"/>
                  </w:tcBorders>
                  <w:vAlign w:val="center"/>
                </w:tcPr>
                <w:p w14:paraId="248E9E1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17</w:t>
                  </w:r>
                </w:p>
              </w:tc>
              <w:tc>
                <w:tcPr>
                  <w:tcW w:w="2484" w:type="pct"/>
                  <w:tcBorders>
                    <w:tl2br w:val="nil"/>
                    <w:tr2bl w:val="nil"/>
                  </w:tcBorders>
                  <w:vAlign w:val="center"/>
                </w:tcPr>
                <w:p w14:paraId="3692E3E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完善应急防控体系。完善应急预案，加强风险评估，实施分类分级管控，按照“就地就近、平衡分布、突出中心、辐射周边”原则在全市范围内建设应急物资储备库，针对锂电、铅酸蓄电池等行业风险特点有的放矢做好硫化钠沉淀剂、铊因子快检设备等应急物资储备，在袁州区、上高县、高安市分片建设三个区域中心库，为有效应对突发环境事件提供保障。（责任单位：市生态环境局、市应急管理局，各县市区政府）</w:t>
                  </w:r>
                </w:p>
              </w:tc>
              <w:tc>
                <w:tcPr>
                  <w:tcW w:w="1809" w:type="pct"/>
                  <w:tcBorders>
                    <w:tl2br w:val="nil"/>
                    <w:tr2bl w:val="nil"/>
                  </w:tcBorders>
                  <w:vAlign w:val="center"/>
                </w:tcPr>
                <w:p w14:paraId="5DD0FBB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本环评要求企业完善应急预案</w:t>
                  </w:r>
                  <w:r>
                    <w:rPr>
                      <w:rFonts w:hint="eastAsia"/>
                      <w:caps w:val="0"/>
                      <w:color w:val="auto"/>
                      <w:spacing w:val="0"/>
                      <w:position w:val="0"/>
                      <w:highlight w:val="none"/>
                    </w:rPr>
                    <w:t>。</w:t>
                  </w:r>
                </w:p>
              </w:tc>
              <w:tc>
                <w:tcPr>
                  <w:tcW w:w="400" w:type="pct"/>
                  <w:tcBorders>
                    <w:tl2br w:val="nil"/>
                    <w:tr2bl w:val="nil"/>
                  </w:tcBorders>
                  <w:vAlign w:val="center"/>
                </w:tcPr>
                <w:p w14:paraId="4CD99C4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6F546C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07" w:type="pct"/>
                  <w:tcBorders>
                    <w:tl2br w:val="nil"/>
                    <w:tr2bl w:val="nil"/>
                  </w:tcBorders>
                  <w:vAlign w:val="center"/>
                </w:tcPr>
                <w:p w14:paraId="3E66296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18</w:t>
                  </w:r>
                </w:p>
              </w:tc>
              <w:tc>
                <w:tcPr>
                  <w:tcW w:w="2484" w:type="pct"/>
                  <w:tcBorders>
                    <w:tl2br w:val="nil"/>
                    <w:tr2bl w:val="nil"/>
                  </w:tcBorders>
                  <w:vAlign w:val="center"/>
                </w:tcPr>
                <w:p w14:paraId="1F5B277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严格落实属地管理责任。按“党政同责、一岗双责”要求，压紧压实市、县、乡各级责任，在产业规划、空间布局、项目建设等各方面、全过程贯彻“生态优先、绿色发展”理念，坚决守住生态容量和环境质量两条底线，协同推进生态环境高水平保护和经济高质量跨越式发展。（责任单位：各县市区政府）</w:t>
                  </w:r>
                </w:p>
              </w:tc>
              <w:tc>
                <w:tcPr>
                  <w:tcW w:w="1809" w:type="pct"/>
                  <w:tcBorders>
                    <w:tl2br w:val="nil"/>
                    <w:tr2bl w:val="nil"/>
                  </w:tcBorders>
                  <w:vAlign w:val="center"/>
                </w:tcPr>
                <w:p w14:paraId="58F9E9B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本项目符合</w:t>
                  </w:r>
                  <w:r>
                    <w:rPr>
                      <w:rFonts w:hint="eastAsia"/>
                      <w:caps w:val="0"/>
                      <w:color w:val="auto"/>
                      <w:spacing w:val="0"/>
                      <w:position w:val="0"/>
                      <w:highlight w:val="none"/>
                      <w:lang w:val="en-US" w:eastAsia="zh-CN"/>
                    </w:rPr>
                    <w:t>建山镇</w:t>
                  </w:r>
                  <w:r>
                    <w:rPr>
                      <w:rFonts w:hint="default"/>
                      <w:caps w:val="0"/>
                      <w:color w:val="auto"/>
                      <w:spacing w:val="0"/>
                      <w:position w:val="0"/>
                      <w:highlight w:val="none"/>
                    </w:rPr>
                    <w:t>规划及准入要求，在采取环保措施的条件下，项目未突破生态容量和环境质量</w:t>
                  </w:r>
                  <w:r>
                    <w:rPr>
                      <w:rFonts w:hint="eastAsia"/>
                      <w:caps w:val="0"/>
                      <w:color w:val="auto"/>
                      <w:spacing w:val="0"/>
                      <w:position w:val="0"/>
                      <w:highlight w:val="none"/>
                    </w:rPr>
                    <w:t>。</w:t>
                  </w:r>
                </w:p>
              </w:tc>
              <w:tc>
                <w:tcPr>
                  <w:tcW w:w="400" w:type="pct"/>
                  <w:tcBorders>
                    <w:tl2br w:val="nil"/>
                    <w:tr2bl w:val="nil"/>
                  </w:tcBorders>
                  <w:vAlign w:val="center"/>
                </w:tcPr>
                <w:p w14:paraId="41DFC27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206D9D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07" w:type="pct"/>
                  <w:tcBorders>
                    <w:tl2br w:val="nil"/>
                    <w:tr2bl w:val="nil"/>
                  </w:tcBorders>
                  <w:vAlign w:val="center"/>
                </w:tcPr>
                <w:p w14:paraId="123ABE1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19</w:t>
                  </w:r>
                </w:p>
              </w:tc>
              <w:tc>
                <w:tcPr>
                  <w:tcW w:w="2484" w:type="pct"/>
                  <w:tcBorders>
                    <w:tl2br w:val="nil"/>
                    <w:tr2bl w:val="nil"/>
                  </w:tcBorders>
                  <w:vAlign w:val="center"/>
                </w:tcPr>
                <w:p w14:paraId="089BBFD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严格落实部门监管责任。认真贯彻生态环境部和最高法、最高检、国家发展改革委等18部门联合印发《关于推动职能部门做好生态环境保护工作的意见》，统筹组织发改、工信、自然资源等部门按“三管三必须”要求履行监管职责，聚焦园区基础设施建设、尾砂尾泥锂渣综合利用、节能审查、加强高耗能高排放项目准入管理、绿色矿山落实等方面，对行业领域内的突出问题紧盯不放、拉条挂账，直至整改到位。（责任单位：市直有关单位，各县市区政府）</w:t>
                  </w:r>
                </w:p>
              </w:tc>
              <w:tc>
                <w:tcPr>
                  <w:tcW w:w="1809" w:type="pct"/>
                  <w:tcBorders>
                    <w:tl2br w:val="nil"/>
                    <w:tr2bl w:val="nil"/>
                  </w:tcBorders>
                  <w:vAlign w:val="center"/>
                </w:tcPr>
                <w:p w14:paraId="41AAFEC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本项目是对锂冶炼剩余物的综合利用，使用的每批次锂冶炼剩余物进行固废属性鉴定（包含铊、氟化物在内的成分分析和放射性分析）</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并满足环评提出的要求。</w:t>
                  </w:r>
                </w:p>
              </w:tc>
              <w:tc>
                <w:tcPr>
                  <w:tcW w:w="400" w:type="pct"/>
                  <w:tcBorders>
                    <w:tl2br w:val="nil"/>
                    <w:tr2bl w:val="nil"/>
                  </w:tcBorders>
                  <w:vAlign w:val="center"/>
                </w:tcPr>
                <w:p w14:paraId="2AE8CE0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r w14:paraId="07D623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07" w:type="pct"/>
                  <w:tcBorders>
                    <w:tl2br w:val="nil"/>
                    <w:tr2bl w:val="nil"/>
                  </w:tcBorders>
                  <w:vAlign w:val="center"/>
                </w:tcPr>
                <w:p w14:paraId="32FD80D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20</w:t>
                  </w:r>
                </w:p>
              </w:tc>
              <w:tc>
                <w:tcPr>
                  <w:tcW w:w="2484" w:type="pct"/>
                  <w:tcBorders>
                    <w:tl2br w:val="nil"/>
                    <w:tr2bl w:val="nil"/>
                  </w:tcBorders>
                  <w:vAlign w:val="center"/>
                </w:tcPr>
                <w:p w14:paraId="4B2D09E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严格落实企业主体责任。督促企业进一步加大环保投入，改造提升工艺技术水平，不断提高工业废水、废气、废渣的处理和综合利用效率，最大限度地减少生产过程中的污染物排放，对顶风作案、偷排偷放的企业，一律上限顶格严惩，保持高压态势，形成强大震慑，倒逼责任落实。（责任单位：市生态环境局，各县市区政府）</w:t>
                  </w:r>
                </w:p>
              </w:tc>
              <w:tc>
                <w:tcPr>
                  <w:tcW w:w="1809" w:type="pct"/>
                  <w:tcBorders>
                    <w:tl2br w:val="nil"/>
                    <w:tr2bl w:val="nil"/>
                  </w:tcBorders>
                  <w:vAlign w:val="center"/>
                </w:tcPr>
                <w:p w14:paraId="6BA8FB0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w:t>
                  </w:r>
                  <w:r>
                    <w:rPr>
                      <w:rFonts w:hint="eastAsia"/>
                      <w:caps w:val="0"/>
                      <w:color w:val="auto"/>
                      <w:spacing w:val="0"/>
                      <w:position w:val="0"/>
                      <w:highlight w:val="none"/>
                    </w:rPr>
                    <w:t>设置了内部管理体制，对于每批次入场的原料均要求取得固废鉴定报告，杜绝危险废物入场。</w:t>
                  </w:r>
                </w:p>
              </w:tc>
              <w:tc>
                <w:tcPr>
                  <w:tcW w:w="400" w:type="pct"/>
                  <w:tcBorders>
                    <w:tl2br w:val="nil"/>
                    <w:tr2bl w:val="nil"/>
                  </w:tcBorders>
                  <w:vAlign w:val="center"/>
                </w:tcPr>
                <w:p w14:paraId="0CF87DC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w:t>
                  </w:r>
                </w:p>
              </w:tc>
            </w:tr>
          </w:tbl>
          <w:p w14:paraId="4B748857">
            <w:pPr>
              <w:pStyle w:val="74"/>
              <w:keepNext w:val="0"/>
              <w:keepLines w:val="0"/>
              <w:numPr>
                <w:ilvl w:val="0"/>
                <w:numId w:val="0"/>
              </w:numPr>
              <w:suppressLineNumbers w:val="0"/>
              <w:bidi w:val="0"/>
              <w:spacing w:before="0" w:beforeAutospacing="0" w:after="0" w:afterAutospacing="0"/>
              <w:ind w:left="0" w:leftChars="0" w:right="0" w:rightChars="0" w:firstLine="482" w:firstLineChars="200"/>
              <w:rPr>
                <w:rFonts w:hint="eastAsia"/>
                <w:b/>
                <w:bCs w:val="0"/>
                <w:caps w:val="0"/>
                <w:color w:val="auto"/>
                <w:spacing w:val="0"/>
                <w:position w:val="0"/>
                <w:highlight w:val="none"/>
                <w:lang w:val="en-US" w:eastAsia="zh-CN"/>
              </w:rPr>
            </w:pPr>
            <w:r>
              <w:rPr>
                <w:rFonts w:hint="eastAsia" w:cs="Times New Roman"/>
                <w:b/>
                <w:bCs w:val="0"/>
                <w:caps w:val="0"/>
                <w:color w:val="auto"/>
                <w:spacing w:val="0"/>
                <w:kern w:val="2"/>
                <w:position w:val="0"/>
                <w:sz w:val="24"/>
                <w:szCs w:val="24"/>
                <w:highlight w:val="none"/>
                <w:lang w:val="en-US" w:eastAsia="zh-CN" w:bidi="ar-SA"/>
              </w:rPr>
              <w:t>23</w:t>
            </w:r>
            <w:r>
              <w:rPr>
                <w:rFonts w:hint="eastAsia" w:ascii="Times New Roman" w:hAnsi="Times New Roman" w:eastAsia="宋体" w:cs="Times New Roman"/>
                <w:b/>
                <w:bCs w:val="0"/>
                <w:caps w:val="0"/>
                <w:color w:val="auto"/>
                <w:spacing w:val="0"/>
                <w:kern w:val="2"/>
                <w:position w:val="0"/>
                <w:sz w:val="24"/>
                <w:szCs w:val="24"/>
                <w:highlight w:val="none"/>
                <w:lang w:val="en-US" w:eastAsia="zh-CN" w:bidi="ar-SA"/>
              </w:rPr>
              <w:t>、</w:t>
            </w:r>
            <w:r>
              <w:rPr>
                <w:rFonts w:hint="eastAsia"/>
                <w:b/>
                <w:bCs w:val="0"/>
                <w:caps w:val="0"/>
                <w:color w:val="auto"/>
                <w:spacing w:val="0"/>
                <w:position w:val="0"/>
                <w:highlight w:val="none"/>
                <w:lang w:val="en-US" w:eastAsia="zh-CN"/>
              </w:rPr>
              <w:t>与其他文件相符性分析</w:t>
            </w:r>
          </w:p>
          <w:p w14:paraId="6E90AC7E">
            <w:pPr>
              <w:pStyle w:val="75"/>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default"/>
                <w:caps w:val="0"/>
                <w:color w:val="auto"/>
                <w:spacing w:val="0"/>
                <w:position w:val="0"/>
                <w:highlight w:val="none"/>
                <w:lang w:val="en-US" w:eastAsia="zh-CN"/>
              </w:rPr>
              <w:t>表1-</w:t>
            </w:r>
            <w:r>
              <w:rPr>
                <w:rFonts w:hint="eastAsia"/>
                <w:caps w:val="0"/>
                <w:color w:val="auto"/>
                <w:spacing w:val="0"/>
                <w:position w:val="0"/>
                <w:highlight w:val="none"/>
                <w:lang w:val="en-US" w:eastAsia="zh-CN"/>
              </w:rPr>
              <w:t>21</w:t>
            </w:r>
            <w:r>
              <w:rPr>
                <w:rFonts w:hint="default"/>
                <w:caps w:val="0"/>
                <w:color w:val="auto"/>
                <w:spacing w:val="0"/>
                <w:position w:val="0"/>
                <w:highlight w:val="none"/>
                <w:lang w:val="en-US" w:eastAsia="zh-CN"/>
              </w:rPr>
              <w:t xml:space="preserve"> 与其他文件相符性一览表</w:t>
            </w:r>
          </w:p>
          <w:tbl>
            <w:tblPr>
              <w:tblStyle w:val="24"/>
              <w:tblW w:w="730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72"/>
              <w:gridCol w:w="3813"/>
              <w:gridCol w:w="2193"/>
              <w:gridCol w:w="731"/>
            </w:tblGrid>
            <w:tr w14:paraId="70FD75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vAlign w:val="center"/>
                </w:tcPr>
                <w:p w14:paraId="1E968B7E">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序号</w:t>
                  </w:r>
                </w:p>
              </w:tc>
              <w:tc>
                <w:tcPr>
                  <w:tcW w:w="3813" w:type="dxa"/>
                  <w:tcBorders>
                    <w:tl2br w:val="nil"/>
                    <w:tr2bl w:val="nil"/>
                  </w:tcBorders>
                  <w:vAlign w:val="center"/>
                </w:tcPr>
                <w:p w14:paraId="5B36AEE7">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要求</w:t>
                  </w:r>
                </w:p>
              </w:tc>
              <w:tc>
                <w:tcPr>
                  <w:tcW w:w="2193" w:type="dxa"/>
                  <w:tcBorders>
                    <w:tl2br w:val="nil"/>
                    <w:tr2bl w:val="nil"/>
                  </w:tcBorders>
                  <w:vAlign w:val="center"/>
                </w:tcPr>
                <w:p w14:paraId="0A472AB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本项目情况</w:t>
                  </w:r>
                </w:p>
              </w:tc>
              <w:tc>
                <w:tcPr>
                  <w:tcW w:w="731" w:type="dxa"/>
                  <w:tcBorders>
                    <w:tl2br w:val="nil"/>
                    <w:tr2bl w:val="nil"/>
                  </w:tcBorders>
                  <w:vAlign w:val="center"/>
                </w:tcPr>
                <w:p w14:paraId="33B8C40D">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相符性</w:t>
                  </w:r>
                </w:p>
              </w:tc>
            </w:tr>
            <w:tr w14:paraId="414F1F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309" w:type="dxa"/>
                  <w:gridSpan w:val="4"/>
                  <w:tcBorders>
                    <w:tl2br w:val="nil"/>
                    <w:tr2bl w:val="nil"/>
                  </w:tcBorders>
                  <w:vAlign w:val="center"/>
                </w:tcPr>
                <w:p w14:paraId="16DA652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b/>
                      <w:bCs/>
                      <w:caps w:val="0"/>
                      <w:color w:val="auto"/>
                      <w:spacing w:val="0"/>
                      <w:position w:val="0"/>
                      <w:highlight w:val="none"/>
                    </w:rPr>
                    <w:t>《关于进一步加强环境影响评价管理防范环境风险的通知》（环发[2012]77号）相符性分析</w:t>
                  </w:r>
                </w:p>
              </w:tc>
            </w:tr>
            <w:tr w14:paraId="7412AA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shd w:val="clear" w:color="auto" w:fill="auto"/>
                  <w:vAlign w:val="center"/>
                </w:tcPr>
                <w:p w14:paraId="71954250">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1</w:t>
                  </w:r>
                </w:p>
              </w:tc>
              <w:tc>
                <w:tcPr>
                  <w:tcW w:w="3813" w:type="dxa"/>
                  <w:tcBorders>
                    <w:tl2br w:val="nil"/>
                    <w:tr2bl w:val="nil"/>
                  </w:tcBorders>
                  <w:shd w:val="clear" w:color="auto" w:fill="auto"/>
                  <w:vAlign w:val="center"/>
                </w:tcPr>
                <w:p w14:paraId="3B69778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rPr>
                    <w:t>建设项目环境风险评价是相关项目环境影响评价的重要组成部分。新、改、扩建相关建设项目环境影响评价应按照相应技术导则要求，科学预测评价突发性事件或事故可能引发的环境风险，提出环境风险防范和应急措施。论证重点如下：1．从环境风险源、扩散途径、保护目标三方面识别环境风险。环境风险识别应包括生产设施和危险物质的识别，有毒有害物质扩散途径的识别(如大气环境、水环境、土壤等)以及可能受影响的环境保护目标的识别。2．科学开展环境风险预测。环境风险预测设定的最大可信事故应包括项目施工、营运等过程中生产设施发生火灾、爆炸，危险物质发生泄漏等事故，并充分考虑伴生/次生的危险物质等，从大气、地表水、海洋、地下水、土壤等环境方面考虑并预测评价突发环境事件对环境的影响范围和程度。3．提出合理有效的环境风险防范和应急措施。结合风险预测结论，有针对性地提出环境风险防范和应急措施，并对措施的合理性和有效性进行充分论证。</w:t>
                  </w:r>
                </w:p>
              </w:tc>
              <w:tc>
                <w:tcPr>
                  <w:tcW w:w="2193" w:type="dxa"/>
                  <w:tcBorders>
                    <w:tl2br w:val="nil"/>
                    <w:tr2bl w:val="nil"/>
                  </w:tcBorders>
                  <w:shd w:val="clear" w:color="auto" w:fill="auto"/>
                  <w:vAlign w:val="center"/>
                </w:tcPr>
                <w:p w14:paraId="79616AC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rPr>
                    <w:t>1．本环评从环境风险源、扩散途径、保护目标三方面识别了环境风险，风险识别包括了生产设施和危险物质、有毒有害物质扩散途径(如大气环境、水环境)以及可能受影响的环境保护目标。2．本环评环境风险定性分析了项目施工、营运等过程中生产设施发生火灾、爆炸，危险物质发生泄漏等事故，并考虑了伴生/次生事故危害，从大气、地表水、地下水等环境方面</w:t>
                  </w:r>
                  <w:r>
                    <w:rPr>
                      <w:rFonts w:hint="eastAsia"/>
                      <w:caps w:val="0"/>
                      <w:color w:val="auto"/>
                      <w:spacing w:val="0"/>
                      <w:position w:val="0"/>
                      <w:highlight w:val="none"/>
                      <w:lang w:eastAsia="zh-CN"/>
                    </w:rPr>
                    <w:t>，</w:t>
                  </w:r>
                  <w:r>
                    <w:rPr>
                      <w:rFonts w:hint="eastAsia"/>
                      <w:caps w:val="0"/>
                      <w:color w:val="auto"/>
                      <w:spacing w:val="0"/>
                      <w:position w:val="0"/>
                      <w:highlight w:val="none"/>
                    </w:rPr>
                    <w:t>考虑突发环境事件对环境的影响范围和程度。3．本环评提出了合理有效的环境风险防范和应急措施。</w:t>
                  </w:r>
                </w:p>
              </w:tc>
              <w:tc>
                <w:tcPr>
                  <w:tcW w:w="731" w:type="dxa"/>
                  <w:tcBorders>
                    <w:tl2br w:val="nil"/>
                    <w:tr2bl w:val="nil"/>
                  </w:tcBorders>
                  <w:shd w:val="clear" w:color="auto" w:fill="auto"/>
                  <w:vAlign w:val="center"/>
                </w:tcPr>
                <w:p w14:paraId="6417D78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相符</w:t>
                  </w:r>
                </w:p>
              </w:tc>
            </w:tr>
            <w:tr w14:paraId="00FBC6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572" w:type="dxa"/>
                  <w:tcBorders>
                    <w:tl2br w:val="nil"/>
                    <w:tr2bl w:val="nil"/>
                  </w:tcBorders>
                  <w:shd w:val="clear" w:color="auto" w:fill="auto"/>
                  <w:vAlign w:val="center"/>
                </w:tcPr>
                <w:p w14:paraId="6D1EF55F">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2</w:t>
                  </w:r>
                </w:p>
              </w:tc>
              <w:tc>
                <w:tcPr>
                  <w:tcW w:w="3813" w:type="dxa"/>
                  <w:tcBorders>
                    <w:tl2br w:val="nil"/>
                    <w:tr2bl w:val="nil"/>
                  </w:tcBorders>
                  <w:shd w:val="clear" w:color="auto" w:fill="auto"/>
                  <w:vAlign w:val="center"/>
                </w:tcPr>
                <w:p w14:paraId="6DDD7BC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rPr>
                    <w:t>对存在较大环境风险的相关建设项目，应严格按照《环境影响评价公众参与暂行办法》（环发〔2006〕28号）做好环境影响评价公众参与工作。项目信息公示等内容中应包含项目实施可能产生的环境风险及相应的环境风险防范和应急措施。</w:t>
                  </w:r>
                </w:p>
              </w:tc>
              <w:tc>
                <w:tcPr>
                  <w:tcW w:w="2193" w:type="dxa"/>
                  <w:tcBorders>
                    <w:tl2br w:val="nil"/>
                    <w:tr2bl w:val="nil"/>
                  </w:tcBorders>
                  <w:shd w:val="clear" w:color="auto" w:fill="auto"/>
                  <w:vAlign w:val="center"/>
                </w:tcPr>
                <w:p w14:paraId="098AE67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本项目风险评价属于简单分析。</w:t>
                  </w:r>
                </w:p>
              </w:tc>
              <w:tc>
                <w:tcPr>
                  <w:tcW w:w="731" w:type="dxa"/>
                  <w:tcBorders>
                    <w:tl2br w:val="nil"/>
                    <w:tr2bl w:val="nil"/>
                  </w:tcBorders>
                  <w:shd w:val="clear" w:color="auto" w:fill="auto"/>
                  <w:vAlign w:val="center"/>
                </w:tcPr>
                <w:p w14:paraId="04F0A92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相符</w:t>
                  </w:r>
                </w:p>
              </w:tc>
            </w:tr>
            <w:tr w14:paraId="1FE056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shd w:val="clear" w:color="auto" w:fill="auto"/>
                  <w:vAlign w:val="center"/>
                </w:tcPr>
                <w:p w14:paraId="5CC9E07B">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3</w:t>
                  </w:r>
                </w:p>
              </w:tc>
              <w:tc>
                <w:tcPr>
                  <w:tcW w:w="3813" w:type="dxa"/>
                  <w:tcBorders>
                    <w:tl2br w:val="nil"/>
                    <w:tr2bl w:val="nil"/>
                  </w:tcBorders>
                  <w:shd w:val="clear" w:color="auto" w:fill="auto"/>
                  <w:vAlign w:val="center"/>
                </w:tcPr>
                <w:p w14:paraId="7E552BAB">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rPr>
                    <w:t>环境风险评价结论应作为相关建设项目环境影响评价文件结论的主要内容之一。无环境风险评价专章的相关建设项目环境影响评价文件不予受理；经论证，环境风险评价内容不完善的相关建设项目环境影响评价文件不予审批。</w:t>
                  </w:r>
                </w:p>
              </w:tc>
              <w:tc>
                <w:tcPr>
                  <w:tcW w:w="2193" w:type="dxa"/>
                  <w:tcBorders>
                    <w:tl2br w:val="nil"/>
                    <w:tr2bl w:val="nil"/>
                  </w:tcBorders>
                  <w:shd w:val="clear" w:color="auto" w:fill="auto"/>
                  <w:vAlign w:val="center"/>
                </w:tcPr>
                <w:p w14:paraId="69E2A09A">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rPr>
                    <w:t>本环评中</w:t>
                  </w:r>
                  <w:r>
                    <w:rPr>
                      <w:rFonts w:hint="eastAsia"/>
                      <w:caps w:val="0"/>
                      <w:color w:val="auto"/>
                      <w:spacing w:val="0"/>
                      <w:position w:val="0"/>
                      <w:highlight w:val="none"/>
                      <w:lang w:val="en-US" w:eastAsia="zh-CN"/>
                    </w:rPr>
                    <w:t>已分析了本项目环境风险</w:t>
                  </w:r>
                  <w:r>
                    <w:rPr>
                      <w:rFonts w:hint="eastAsia"/>
                      <w:caps w:val="0"/>
                      <w:color w:val="auto"/>
                      <w:spacing w:val="0"/>
                      <w:position w:val="0"/>
                      <w:highlight w:val="none"/>
                    </w:rPr>
                    <w:t>，</w:t>
                  </w:r>
                  <w:r>
                    <w:rPr>
                      <w:rFonts w:hint="eastAsia"/>
                      <w:caps w:val="0"/>
                      <w:color w:val="auto"/>
                      <w:spacing w:val="0"/>
                      <w:position w:val="0"/>
                      <w:highlight w:val="none"/>
                      <w:lang w:val="en-US" w:eastAsia="zh-CN"/>
                    </w:rPr>
                    <w:t>为简单分析，</w:t>
                  </w:r>
                  <w:r>
                    <w:rPr>
                      <w:rFonts w:hint="eastAsia"/>
                      <w:caps w:val="0"/>
                      <w:color w:val="auto"/>
                      <w:spacing w:val="0"/>
                      <w:position w:val="0"/>
                      <w:highlight w:val="none"/>
                    </w:rPr>
                    <w:t>环境风险评价内容完善。</w:t>
                  </w:r>
                </w:p>
              </w:tc>
              <w:tc>
                <w:tcPr>
                  <w:tcW w:w="731" w:type="dxa"/>
                  <w:tcBorders>
                    <w:tl2br w:val="nil"/>
                    <w:tr2bl w:val="nil"/>
                  </w:tcBorders>
                  <w:shd w:val="clear" w:color="auto" w:fill="auto"/>
                  <w:vAlign w:val="center"/>
                </w:tcPr>
                <w:p w14:paraId="0D067706">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相符</w:t>
                  </w:r>
                </w:p>
              </w:tc>
            </w:tr>
            <w:tr w14:paraId="2510AA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shd w:val="clear" w:color="auto" w:fill="auto"/>
                  <w:vAlign w:val="center"/>
                </w:tcPr>
                <w:p w14:paraId="64788E3D">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4</w:t>
                  </w:r>
                </w:p>
              </w:tc>
              <w:tc>
                <w:tcPr>
                  <w:tcW w:w="3813" w:type="dxa"/>
                  <w:tcBorders>
                    <w:tl2br w:val="nil"/>
                    <w:tr2bl w:val="nil"/>
                  </w:tcBorders>
                  <w:shd w:val="clear" w:color="auto" w:fill="auto"/>
                  <w:vAlign w:val="center"/>
                </w:tcPr>
                <w:p w14:paraId="5D73D791">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rPr>
                    <w:t>建设项目设计阶段，应按照或参照《化工建设项目环境保护设计规范》（GB50483）等国家标准和规范要求，设计有效防止泄漏物质、消防水、污染雨水等扩散至外环境的收集、导流、拦截、降污等环境风险防范设施。</w:t>
                  </w:r>
                </w:p>
              </w:tc>
              <w:tc>
                <w:tcPr>
                  <w:tcW w:w="2193" w:type="dxa"/>
                  <w:tcBorders>
                    <w:tl2br w:val="nil"/>
                    <w:tr2bl w:val="nil"/>
                  </w:tcBorders>
                  <w:shd w:val="clear" w:color="auto" w:fill="auto"/>
                  <w:vAlign w:val="center"/>
                </w:tcPr>
                <w:p w14:paraId="118D7BEA">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本项目新建厂房按</w:t>
                  </w:r>
                  <w:r>
                    <w:rPr>
                      <w:rFonts w:hint="eastAsia"/>
                      <w:caps w:val="0"/>
                      <w:color w:val="auto"/>
                      <w:spacing w:val="0"/>
                      <w:position w:val="0"/>
                      <w:highlight w:val="none"/>
                    </w:rPr>
                    <w:t>国家标准和规范要求，设计有效环境风险防范设施。</w:t>
                  </w:r>
                </w:p>
              </w:tc>
              <w:tc>
                <w:tcPr>
                  <w:tcW w:w="731" w:type="dxa"/>
                  <w:tcBorders>
                    <w:tl2br w:val="nil"/>
                    <w:tr2bl w:val="nil"/>
                  </w:tcBorders>
                  <w:shd w:val="clear" w:color="auto" w:fill="auto"/>
                  <w:vAlign w:val="center"/>
                </w:tcPr>
                <w:p w14:paraId="5333AA3C">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相符</w:t>
                  </w:r>
                </w:p>
              </w:tc>
            </w:tr>
            <w:tr w14:paraId="312ACA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shd w:val="clear" w:color="auto" w:fill="auto"/>
                  <w:vAlign w:val="center"/>
                </w:tcPr>
                <w:p w14:paraId="56956784">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5</w:t>
                  </w:r>
                </w:p>
              </w:tc>
              <w:tc>
                <w:tcPr>
                  <w:tcW w:w="3813" w:type="dxa"/>
                  <w:tcBorders>
                    <w:tl2br w:val="nil"/>
                    <w:tr2bl w:val="nil"/>
                  </w:tcBorders>
                  <w:shd w:val="clear" w:color="auto" w:fill="auto"/>
                  <w:vAlign w:val="center"/>
                </w:tcPr>
                <w:p w14:paraId="6736C1E3">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rPr>
                    <w:t>企业应建设并完善日常和应急监测系统，配备大气、水环境特征污染物监控设备，编制日常和应急监测方案，提高监控水平、应急响应速度和应急处理能力；建立完备的环境信息平台，定期向社会公布企业环境信息，接受公众监督。将企业突发环境事件应急预案演练和应急物资管理作为日常工作任务，不断提升环境风险防范应急保障能力。</w:t>
                  </w:r>
                </w:p>
              </w:tc>
              <w:tc>
                <w:tcPr>
                  <w:tcW w:w="2193" w:type="dxa"/>
                  <w:tcBorders>
                    <w:tl2br w:val="nil"/>
                    <w:tr2bl w:val="nil"/>
                  </w:tcBorders>
                  <w:shd w:val="clear" w:color="auto" w:fill="auto"/>
                  <w:vAlign w:val="center"/>
                </w:tcPr>
                <w:p w14:paraId="7B149644">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本项目将按要求</w:t>
                  </w:r>
                  <w:r>
                    <w:rPr>
                      <w:rFonts w:hint="eastAsia"/>
                      <w:caps w:val="0"/>
                      <w:color w:val="auto"/>
                      <w:spacing w:val="0"/>
                      <w:position w:val="0"/>
                      <w:highlight w:val="none"/>
                    </w:rPr>
                    <w:t>建设并完善日常和应急监测系统，</w:t>
                  </w:r>
                  <w:r>
                    <w:rPr>
                      <w:rFonts w:hint="eastAsia"/>
                      <w:caps w:val="0"/>
                      <w:color w:val="auto"/>
                      <w:spacing w:val="0"/>
                      <w:position w:val="0"/>
                      <w:highlight w:val="none"/>
                      <w:lang w:val="en-US" w:eastAsia="zh-CN"/>
                    </w:rPr>
                    <w:t>本环评要求雨水排放口设有氟化物、铊在线监测设备，并与市、县两级在线监控管理平台联网。</w:t>
                  </w:r>
                </w:p>
              </w:tc>
              <w:tc>
                <w:tcPr>
                  <w:tcW w:w="731" w:type="dxa"/>
                  <w:tcBorders>
                    <w:tl2br w:val="nil"/>
                    <w:tr2bl w:val="nil"/>
                  </w:tcBorders>
                  <w:shd w:val="clear" w:color="auto" w:fill="auto"/>
                  <w:vAlign w:val="center"/>
                </w:tcPr>
                <w:p w14:paraId="617E884D">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相符</w:t>
                  </w:r>
                </w:p>
              </w:tc>
            </w:tr>
            <w:tr w14:paraId="4AC11B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7309" w:type="dxa"/>
                  <w:gridSpan w:val="4"/>
                  <w:tcBorders>
                    <w:tl2br w:val="nil"/>
                    <w:tr2bl w:val="nil"/>
                  </w:tcBorders>
                  <w:vAlign w:val="center"/>
                </w:tcPr>
                <w:p w14:paraId="4791F1A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b/>
                      <w:bCs/>
                      <w:caps w:val="0"/>
                      <w:color w:val="auto"/>
                      <w:spacing w:val="0"/>
                      <w:position w:val="0"/>
                      <w:highlight w:val="none"/>
                    </w:rPr>
                    <w:t>与《关于切实加强风险防范严格环境影响评价管理的通知》（环发[2012]98号）相符性分析</w:t>
                  </w:r>
                </w:p>
              </w:tc>
            </w:tr>
            <w:tr w14:paraId="2EA935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vAlign w:val="center"/>
                </w:tcPr>
                <w:p w14:paraId="7DC8CFB6">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1</w:t>
                  </w:r>
                </w:p>
              </w:tc>
              <w:tc>
                <w:tcPr>
                  <w:tcW w:w="3813" w:type="dxa"/>
                  <w:tcBorders>
                    <w:tl2br w:val="nil"/>
                    <w:tr2bl w:val="nil"/>
                  </w:tcBorders>
                  <w:vAlign w:val="center"/>
                </w:tcPr>
                <w:p w14:paraId="1A9E56D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化工石化、有色冶炼、制浆造纸等可能引发环境风险的项目，在符合国家产业政策和清洁生产水平要求、满足污染物排放标准以及污染物排放总量控制指标的前提下，必须在依法设立、环境保护基础设施齐全并经规划环评的产业园区内布设。在环境风险防控重点区域如居民集中区、医院和学校附近、重要水源涵养生态功能区等，以及因环境污染导致环境质量不能稳定达标的区域内，禁止新建或扩建可能引发环境风险的项目。</w:t>
                  </w:r>
                </w:p>
              </w:tc>
              <w:tc>
                <w:tcPr>
                  <w:tcW w:w="2193" w:type="dxa"/>
                  <w:tcBorders>
                    <w:tl2br w:val="nil"/>
                    <w:tr2bl w:val="nil"/>
                  </w:tcBorders>
                  <w:vAlign w:val="center"/>
                </w:tcPr>
                <w:p w14:paraId="1FC7205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本项目符合国家产业政策和清洁生产要求、满足污染物排放标准及污染物排放总量控制要求，不在环境风险防控重点区域。</w:t>
                  </w:r>
                </w:p>
              </w:tc>
              <w:tc>
                <w:tcPr>
                  <w:tcW w:w="731" w:type="dxa"/>
                  <w:tcBorders>
                    <w:tl2br w:val="nil"/>
                    <w:tr2bl w:val="nil"/>
                  </w:tcBorders>
                  <w:vAlign w:val="center"/>
                </w:tcPr>
                <w:p w14:paraId="6CA3A74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相符</w:t>
                  </w:r>
                </w:p>
              </w:tc>
            </w:tr>
            <w:tr w14:paraId="3B9465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vAlign w:val="center"/>
                </w:tcPr>
                <w:p w14:paraId="2EF82918">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2</w:t>
                  </w:r>
                </w:p>
              </w:tc>
              <w:tc>
                <w:tcPr>
                  <w:tcW w:w="3813" w:type="dxa"/>
                  <w:tcBorders>
                    <w:tl2br w:val="nil"/>
                    <w:tr2bl w:val="nil"/>
                  </w:tcBorders>
                  <w:vAlign w:val="center"/>
                </w:tcPr>
                <w:p w14:paraId="7A24907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对“未批先建”、建设过程中擅自作出重大变更、“久拖不验”、“未验先投"等违法行为，要严格依法查处。企业建设项目环境违法问题严重的，对该企业及其上级集团实行环评限批。对区域内建设项目环境违法问题突出、引发群体性事件的地区，要约谈其政府负责人，提出改进工作的建议，督促当地政府依法履行职责，落实整改措施。</w:t>
                  </w:r>
                </w:p>
              </w:tc>
              <w:tc>
                <w:tcPr>
                  <w:tcW w:w="2193" w:type="dxa"/>
                  <w:tcBorders>
                    <w:tl2br w:val="nil"/>
                    <w:tr2bl w:val="nil"/>
                  </w:tcBorders>
                  <w:vAlign w:val="center"/>
                </w:tcPr>
                <w:p w14:paraId="6910EEE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rPr>
                    <w:t>本项目</w:t>
                  </w:r>
                  <w:r>
                    <w:rPr>
                      <w:rFonts w:hint="eastAsia"/>
                      <w:caps w:val="0"/>
                      <w:color w:val="auto"/>
                      <w:spacing w:val="0"/>
                      <w:position w:val="0"/>
                      <w:highlight w:val="none"/>
                      <w:lang w:val="en-US" w:eastAsia="zh-CN"/>
                    </w:rPr>
                    <w:t>为新建项目，租赁现有厂区，新建厂房，根据现场踏勘不存在未批先建。</w:t>
                  </w:r>
                </w:p>
              </w:tc>
              <w:tc>
                <w:tcPr>
                  <w:tcW w:w="731" w:type="dxa"/>
                  <w:tcBorders>
                    <w:tl2br w:val="nil"/>
                    <w:tr2bl w:val="nil"/>
                  </w:tcBorders>
                  <w:vAlign w:val="center"/>
                </w:tcPr>
                <w:p w14:paraId="3467074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相符</w:t>
                  </w:r>
                </w:p>
              </w:tc>
            </w:tr>
            <w:tr w14:paraId="1ADBD5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309" w:type="dxa"/>
                  <w:gridSpan w:val="4"/>
                  <w:tcBorders>
                    <w:tl2br w:val="nil"/>
                    <w:tr2bl w:val="nil"/>
                  </w:tcBorders>
                  <w:vAlign w:val="center"/>
                </w:tcPr>
                <w:p w14:paraId="2506BEF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b/>
                      <w:bCs/>
                      <w:caps w:val="0"/>
                      <w:color w:val="auto"/>
                      <w:spacing w:val="0"/>
                      <w:position w:val="0"/>
                      <w:highlight w:val="none"/>
                    </w:rPr>
                    <w:t>与《宜春市人民政府办公室关于印发宜春市含锂瓷土矿尾砂尾泥锂渣综合利用的实施意见》（宜府办字〔2022〕46号）相符性分析</w:t>
                  </w:r>
                </w:p>
              </w:tc>
            </w:tr>
            <w:tr w14:paraId="49B0BF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72" w:type="dxa"/>
                  <w:tcBorders>
                    <w:tl2br w:val="nil"/>
                    <w:tr2bl w:val="nil"/>
                  </w:tcBorders>
                  <w:vAlign w:val="center"/>
                </w:tcPr>
                <w:p w14:paraId="1CBE547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w:t>
                  </w:r>
                </w:p>
              </w:tc>
              <w:tc>
                <w:tcPr>
                  <w:tcW w:w="3813" w:type="dxa"/>
                  <w:tcBorders>
                    <w:tl2br w:val="nil"/>
                    <w:tr2bl w:val="nil"/>
                  </w:tcBorders>
                  <w:vAlign w:val="center"/>
                </w:tcPr>
                <w:p w14:paraId="38D0E696">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根据宜府办字〔2022〕46号文第九条：（九）新建含锂瓷土类矿山、选矿建设项目，必须制定尾砂尾泥工业化消纳处理方案，无法消纳处理尾砂尾泥的相关建设项目必须同步规划建设尾砂库。</w:t>
                  </w:r>
                </w:p>
              </w:tc>
              <w:tc>
                <w:tcPr>
                  <w:tcW w:w="2193" w:type="dxa"/>
                  <w:tcBorders>
                    <w:tl2br w:val="nil"/>
                    <w:tr2bl w:val="nil"/>
                  </w:tcBorders>
                  <w:vAlign w:val="center"/>
                </w:tcPr>
                <w:p w14:paraId="387FE036">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本项目是对</w:t>
                  </w:r>
                  <w:r>
                    <w:rPr>
                      <w:rFonts w:hint="eastAsia"/>
                      <w:caps w:val="0"/>
                      <w:color w:val="auto"/>
                      <w:spacing w:val="0"/>
                      <w:position w:val="0"/>
                      <w:highlight w:val="none"/>
                    </w:rPr>
                    <w:t>锂冶炼剩余物的综合利用</w:t>
                  </w:r>
                  <w:r>
                    <w:rPr>
                      <w:rFonts w:hint="eastAsia"/>
                      <w:caps w:val="0"/>
                      <w:color w:val="auto"/>
                      <w:spacing w:val="0"/>
                      <w:position w:val="0"/>
                      <w:highlight w:val="none"/>
                      <w:lang w:eastAsia="zh-CN"/>
                    </w:rPr>
                    <w:t>。</w:t>
                  </w:r>
                </w:p>
              </w:tc>
              <w:tc>
                <w:tcPr>
                  <w:tcW w:w="731" w:type="dxa"/>
                  <w:tcBorders>
                    <w:tl2br w:val="nil"/>
                    <w:tr2bl w:val="nil"/>
                  </w:tcBorders>
                  <w:vAlign w:val="center"/>
                </w:tcPr>
                <w:p w14:paraId="642D7DA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相符</w:t>
                  </w:r>
                </w:p>
              </w:tc>
            </w:tr>
            <w:tr w14:paraId="251F46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09" w:type="dxa"/>
                  <w:gridSpan w:val="4"/>
                  <w:tcBorders>
                    <w:tl2br w:val="nil"/>
                    <w:tr2bl w:val="nil"/>
                  </w:tcBorders>
                  <w:vAlign w:val="center"/>
                </w:tcPr>
                <w:p w14:paraId="4DCD71A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b/>
                      <w:bCs/>
                      <w:caps w:val="0"/>
                      <w:color w:val="auto"/>
                      <w:spacing w:val="0"/>
                      <w:position w:val="0"/>
                      <w:highlight w:val="none"/>
                    </w:rPr>
                    <w:t>与宜春市人民政府办公室关于印发《宜春市锂渣监督管理办法（试行）》和《宜春市涉锂长石粉和尾泥监督管理办法（试行）》的通知（宜府办发〔2023〕23号）相符性分析</w:t>
                  </w:r>
                </w:p>
              </w:tc>
            </w:tr>
            <w:tr w14:paraId="65F450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vAlign w:val="center"/>
                </w:tcPr>
                <w:p w14:paraId="68A238F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w:t>
                  </w:r>
                </w:p>
              </w:tc>
              <w:tc>
                <w:tcPr>
                  <w:tcW w:w="3813" w:type="dxa"/>
                  <w:tcBorders>
                    <w:tl2br w:val="nil"/>
                    <w:tr2bl w:val="nil"/>
                  </w:tcBorders>
                  <w:vAlign w:val="center"/>
                </w:tcPr>
                <w:p w14:paraId="19778D49">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第八条</w:t>
                  </w:r>
                  <w:r>
                    <w:rPr>
                      <w:rFonts w:hint="eastAsia"/>
                      <w:caps w:val="0"/>
                      <w:color w:val="auto"/>
                      <w:spacing w:val="0"/>
                      <w:position w:val="0"/>
                      <w:highlight w:val="none"/>
                      <w:lang w:eastAsia="zh-CN"/>
                    </w:rPr>
                    <w:t>、</w:t>
                  </w:r>
                  <w:r>
                    <w:rPr>
                      <w:rFonts w:hint="eastAsia"/>
                      <w:caps w:val="0"/>
                      <w:color w:val="auto"/>
                      <w:spacing w:val="0"/>
                      <w:position w:val="0"/>
                      <w:highlight w:val="none"/>
                    </w:rPr>
                    <w:t>确保锂渣安全。锂渣产生企业的废水处理污泥要严格按照危险废物处理，除杂渣与浸出渣应分开贮存，分类处理，严禁混掺一起。锂渣产生企业应按照环保有关要求，定期组织或委托有资质、有能力的第三方单位开展锂渣成份检测，确保重金属等指标达到要求，严禁不达标的锂渣出厂。</w:t>
                  </w:r>
                </w:p>
              </w:tc>
              <w:tc>
                <w:tcPr>
                  <w:tcW w:w="2193" w:type="dxa"/>
                  <w:tcBorders>
                    <w:tl2br w:val="nil"/>
                    <w:tr2bl w:val="nil"/>
                  </w:tcBorders>
                  <w:vAlign w:val="center"/>
                </w:tcPr>
                <w:p w14:paraId="04E8FD9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本项目原料入场需提供一般固废检测报告，并定期抽检。</w:t>
                  </w:r>
                </w:p>
              </w:tc>
              <w:tc>
                <w:tcPr>
                  <w:tcW w:w="731" w:type="dxa"/>
                  <w:tcBorders>
                    <w:tl2br w:val="nil"/>
                    <w:tr2bl w:val="nil"/>
                  </w:tcBorders>
                  <w:vAlign w:val="center"/>
                </w:tcPr>
                <w:p w14:paraId="0801AF6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相符</w:t>
                  </w:r>
                </w:p>
              </w:tc>
            </w:tr>
            <w:tr w14:paraId="29CDF6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vAlign w:val="center"/>
                </w:tcPr>
                <w:p w14:paraId="48EF343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w:t>
                  </w:r>
                </w:p>
              </w:tc>
              <w:tc>
                <w:tcPr>
                  <w:tcW w:w="3813" w:type="dxa"/>
                  <w:tcBorders>
                    <w:tl2br w:val="nil"/>
                    <w:tr2bl w:val="nil"/>
                  </w:tcBorders>
                  <w:vAlign w:val="center"/>
                </w:tcPr>
                <w:p w14:paraId="2D766AC5">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第九条</w:t>
                  </w:r>
                  <w:r>
                    <w:rPr>
                      <w:rFonts w:hint="eastAsia"/>
                      <w:caps w:val="0"/>
                      <w:color w:val="auto"/>
                      <w:spacing w:val="0"/>
                      <w:position w:val="0"/>
                      <w:highlight w:val="none"/>
                      <w:lang w:eastAsia="zh-CN"/>
                    </w:rPr>
                    <w:t>、</w:t>
                  </w:r>
                  <w:r>
                    <w:rPr>
                      <w:rFonts w:hint="eastAsia"/>
                      <w:caps w:val="0"/>
                      <w:color w:val="auto"/>
                      <w:spacing w:val="0"/>
                      <w:position w:val="0"/>
                      <w:highlight w:val="none"/>
                    </w:rPr>
                    <w:t>建立产消台账。锂渣产生企业应建立详细的锂渣台账，台账应涵盖主要原材料用量、产品产量和锂渣产生、入库、出库、处置利用等信息，实现锂渣可追溯、可查询。台账应每日更新，及时、全面、准确地记录数据，不得随意涂改、损毁、更换，并确保“账实"相符。</w:t>
                  </w:r>
                </w:p>
              </w:tc>
              <w:tc>
                <w:tcPr>
                  <w:tcW w:w="2193" w:type="dxa"/>
                  <w:tcBorders>
                    <w:tl2br w:val="nil"/>
                    <w:tr2bl w:val="nil"/>
                  </w:tcBorders>
                  <w:vAlign w:val="center"/>
                </w:tcPr>
                <w:p w14:paraId="1EA7ABD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本项目已设立原辅材料台账。</w:t>
                  </w:r>
                </w:p>
              </w:tc>
              <w:tc>
                <w:tcPr>
                  <w:tcW w:w="731" w:type="dxa"/>
                  <w:tcBorders>
                    <w:tl2br w:val="nil"/>
                    <w:tr2bl w:val="nil"/>
                  </w:tcBorders>
                  <w:vAlign w:val="center"/>
                </w:tcPr>
                <w:p w14:paraId="5028ED1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相符</w:t>
                  </w:r>
                </w:p>
              </w:tc>
            </w:tr>
            <w:tr w14:paraId="3D9600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vAlign w:val="center"/>
                </w:tcPr>
                <w:p w14:paraId="414195C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w:t>
                  </w:r>
                </w:p>
              </w:tc>
              <w:tc>
                <w:tcPr>
                  <w:tcW w:w="3813" w:type="dxa"/>
                  <w:tcBorders>
                    <w:tl2br w:val="nil"/>
                    <w:tr2bl w:val="nil"/>
                  </w:tcBorders>
                  <w:vAlign w:val="center"/>
                </w:tcPr>
                <w:p w14:paraId="6474577C">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第十一条规范贮存锂渣。锂渣产生企业应严格按照标准，建设锂渣贮存场所，并加强日常管理。企业自有锂渣贮存仓库贮存能力不足时，允许外租环保、安全等达标的仓库暂存锂渣。确需外租仓库的，应提前向锂渣产生企业所在地和仓库所在地县级人民政府报备，并直接与仓库所有者签订租赁协议，不得委托第三方租赁。</w:t>
                  </w:r>
                </w:p>
              </w:tc>
              <w:tc>
                <w:tcPr>
                  <w:tcW w:w="2193" w:type="dxa"/>
                  <w:tcBorders>
                    <w:tl2br w:val="nil"/>
                    <w:tr2bl w:val="nil"/>
                  </w:tcBorders>
                  <w:vAlign w:val="center"/>
                </w:tcPr>
                <w:p w14:paraId="5C2AB1E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本项目设有专门的锂渣仓库储存锂渣。</w:t>
                  </w:r>
                </w:p>
              </w:tc>
              <w:tc>
                <w:tcPr>
                  <w:tcW w:w="731" w:type="dxa"/>
                  <w:tcBorders>
                    <w:tl2br w:val="nil"/>
                    <w:tr2bl w:val="nil"/>
                  </w:tcBorders>
                  <w:vAlign w:val="center"/>
                </w:tcPr>
                <w:p w14:paraId="12DF74D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相符</w:t>
                  </w:r>
                </w:p>
              </w:tc>
            </w:tr>
            <w:tr w14:paraId="7AD6E5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vAlign w:val="center"/>
                </w:tcPr>
                <w:p w14:paraId="0CA2C5E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4</w:t>
                  </w:r>
                </w:p>
              </w:tc>
              <w:tc>
                <w:tcPr>
                  <w:tcW w:w="3813" w:type="dxa"/>
                  <w:tcBorders>
                    <w:tl2br w:val="nil"/>
                    <w:tr2bl w:val="nil"/>
                  </w:tcBorders>
                  <w:vAlign w:val="center"/>
                </w:tcPr>
                <w:p w14:paraId="4A6BE6EE">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第十二条加强运输管理。锂渣产生企业应配备锂渣运输专用车辆，具备卫星定位和视频监控功能，并与锂渣监管平台联网。</w:t>
                  </w:r>
                </w:p>
              </w:tc>
              <w:tc>
                <w:tcPr>
                  <w:tcW w:w="2193" w:type="dxa"/>
                  <w:tcBorders>
                    <w:tl2br w:val="nil"/>
                    <w:tr2bl w:val="nil"/>
                  </w:tcBorders>
                  <w:vAlign w:val="center"/>
                </w:tcPr>
                <w:p w14:paraId="49BB9BD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本项目不生产锂渣，锂渣入场时有台账记录。</w:t>
                  </w:r>
                </w:p>
              </w:tc>
              <w:tc>
                <w:tcPr>
                  <w:tcW w:w="731" w:type="dxa"/>
                  <w:tcBorders>
                    <w:tl2br w:val="nil"/>
                    <w:tr2bl w:val="nil"/>
                  </w:tcBorders>
                  <w:vAlign w:val="center"/>
                </w:tcPr>
                <w:p w14:paraId="5DCBCB7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相符</w:t>
                  </w:r>
                </w:p>
              </w:tc>
            </w:tr>
            <w:tr w14:paraId="5F389F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309" w:type="dxa"/>
                  <w:gridSpan w:val="4"/>
                  <w:tcBorders>
                    <w:tl2br w:val="nil"/>
                    <w:tr2bl w:val="nil"/>
                  </w:tcBorders>
                  <w:vAlign w:val="center"/>
                </w:tcPr>
                <w:p w14:paraId="4191605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b/>
                      <w:bCs/>
                      <w:caps w:val="0"/>
                      <w:color w:val="auto"/>
                      <w:spacing w:val="0"/>
                      <w:position w:val="0"/>
                      <w:highlight w:val="none"/>
                    </w:rPr>
                    <w:t>与《“十四五”大宗固体废弃物综合利用的指导意见》（发改环资〔2021〕381号）相符性分析</w:t>
                  </w:r>
                </w:p>
              </w:tc>
            </w:tr>
            <w:tr w14:paraId="5A4A16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vAlign w:val="center"/>
                </w:tcPr>
                <w:p w14:paraId="43BAB26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w:t>
                  </w:r>
                </w:p>
              </w:tc>
              <w:tc>
                <w:tcPr>
                  <w:tcW w:w="3813" w:type="dxa"/>
                  <w:tcBorders>
                    <w:tl2br w:val="nil"/>
                    <w:tr2bl w:val="nil"/>
                  </w:tcBorders>
                  <w:vAlign w:val="center"/>
                </w:tcPr>
                <w:p w14:paraId="7CDB7F00">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十三）推动利废行业绿色生产，强化过程控制。持续提升利废企业技术装备水平，加大小散乱污企业整治力度。强化大宗固废综合利用全流程管理，严格落实全过程环境污染防治责任。推行大宗固废绿色运输，鼓励使用专用运输设备和车辆，加强大宗固废运输过程管理。鼓励利废企业开展清洁生产审核，严格执行污染物排放标准，完善环境保护措施，防止二次污染。</w:t>
                  </w:r>
                </w:p>
              </w:tc>
              <w:tc>
                <w:tcPr>
                  <w:tcW w:w="2193" w:type="dxa"/>
                  <w:tcBorders>
                    <w:tl2br w:val="nil"/>
                    <w:tr2bl w:val="nil"/>
                  </w:tcBorders>
                  <w:vAlign w:val="center"/>
                </w:tcPr>
                <w:p w14:paraId="4EA2C64E">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项目固废处置过程全流程管理，并使用专用运输设备和车辆进行运输，防止二次污染。</w:t>
                  </w:r>
                </w:p>
              </w:tc>
              <w:tc>
                <w:tcPr>
                  <w:tcW w:w="731" w:type="dxa"/>
                  <w:tcBorders>
                    <w:tl2br w:val="nil"/>
                    <w:tr2bl w:val="nil"/>
                  </w:tcBorders>
                  <w:vAlign w:val="center"/>
                </w:tcPr>
                <w:p w14:paraId="61C1508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相符</w:t>
                  </w:r>
                </w:p>
              </w:tc>
            </w:tr>
            <w:tr w14:paraId="76145B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vAlign w:val="center"/>
                </w:tcPr>
                <w:p w14:paraId="25DC0D4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w:t>
                  </w:r>
                </w:p>
              </w:tc>
              <w:tc>
                <w:tcPr>
                  <w:tcW w:w="3813" w:type="dxa"/>
                  <w:tcBorders>
                    <w:tl2br w:val="nil"/>
                    <w:tr2bl w:val="nil"/>
                  </w:tcBorders>
                  <w:vAlign w:val="center"/>
                </w:tcPr>
                <w:p w14:paraId="1A2C51DE">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十四）强化大宗固废规范处置，守住环境底线。加强大宗固废贮存及处置管理，强化主体责任，推动建设符合有关国家标准的贮存设施，实现安全分类存放，杜绝混排混堆。统筹兼顾大宗固废增量消纳和存量治理，加大重点流域和重点区域大宗固废的综合整治力度，健全环保长效监督管理制度。</w:t>
                  </w:r>
                </w:p>
              </w:tc>
              <w:tc>
                <w:tcPr>
                  <w:tcW w:w="2193" w:type="dxa"/>
                  <w:tcBorders>
                    <w:tl2br w:val="nil"/>
                    <w:tr2bl w:val="nil"/>
                  </w:tcBorders>
                  <w:vAlign w:val="center"/>
                </w:tcPr>
                <w:p w14:paraId="51F3BEDC">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项目固废均能得到合理有效的处置，强化责任主体，贮存设施符合国家相关要求。</w:t>
                  </w:r>
                </w:p>
              </w:tc>
              <w:tc>
                <w:tcPr>
                  <w:tcW w:w="731" w:type="dxa"/>
                  <w:tcBorders>
                    <w:tl2br w:val="nil"/>
                    <w:tr2bl w:val="nil"/>
                  </w:tcBorders>
                  <w:vAlign w:val="center"/>
                </w:tcPr>
                <w:p w14:paraId="4BA24E9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相符</w:t>
                  </w:r>
                </w:p>
              </w:tc>
            </w:tr>
            <w:tr w14:paraId="236694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309" w:type="dxa"/>
                  <w:gridSpan w:val="4"/>
                  <w:tcBorders>
                    <w:tl2br w:val="nil"/>
                    <w:tr2bl w:val="nil"/>
                  </w:tcBorders>
                  <w:vAlign w:val="center"/>
                </w:tcPr>
                <w:p w14:paraId="0012664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b/>
                      <w:bCs/>
                      <w:caps w:val="0"/>
                      <w:color w:val="auto"/>
                      <w:spacing w:val="0"/>
                      <w:position w:val="0"/>
                      <w:highlight w:val="none"/>
                    </w:rPr>
                    <w:t>与《资源综合利用企业评价规范》（GB/T39780-2021）相符性分析</w:t>
                  </w:r>
                </w:p>
              </w:tc>
            </w:tr>
            <w:tr w14:paraId="7A687F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vAlign w:val="center"/>
                </w:tcPr>
                <w:p w14:paraId="4888DEF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w:t>
                  </w:r>
                </w:p>
              </w:tc>
              <w:tc>
                <w:tcPr>
                  <w:tcW w:w="3813" w:type="dxa"/>
                  <w:tcBorders>
                    <w:tl2br w:val="nil"/>
                    <w:tr2bl w:val="nil"/>
                  </w:tcBorders>
                  <w:vAlign w:val="center"/>
                </w:tcPr>
                <w:p w14:paraId="5C7DDCC7">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①企业建设项目备案、开工、竣工等手续需齐全；②企业主要原料来源于应是生产或生活产生的废弃物；③企业主要产品应属于再利用、再制造、再生利用的产品，优先体现再利用的特点；④产品应满足相应质量与安全标准的要求，并满足相关强制性产品认证要求；⑤生产、经营和管理活动应重点体现节能减排、清洁生产等过程要求；⑥新建和改扩建项目需符合国家产业政策和相关产业规划及布局要求，符合本地区土地利用总体规划、城市总体规划、环境保护规划等要求。企业建设应有规范性设计要求，采用节能环保技术及生产装备；⑦在国家法律、法规、规章和规划确定或县级及以上人民政府规定的自然保护区、风景名胜区、饮用水源保护区、基本农田保护区和其他需要特别保护的区域内，不应新建资源综合利用企业；已在上述区域投产运营的资源综合利用企业.应根据该区域规划要求，依法通过搬迁、转产等方式逐步退出；⑧企业新建、改扩建项目用地应以近期项目规模为主，兼顾远期规划，并为今后发展预留改、扩建的余地。</w:t>
                  </w:r>
                </w:p>
              </w:tc>
              <w:tc>
                <w:tcPr>
                  <w:tcW w:w="2193" w:type="dxa"/>
                  <w:tcBorders>
                    <w:tl2br w:val="nil"/>
                    <w:tr2bl w:val="nil"/>
                  </w:tcBorders>
                  <w:vAlign w:val="center"/>
                </w:tcPr>
                <w:p w14:paraId="18F80745">
                  <w:pPr>
                    <w:pStyle w:val="111"/>
                    <w:keepNext w:val="0"/>
                    <w:keepLines w:val="0"/>
                    <w:suppressLineNumbers w:val="0"/>
                    <w:bidi w:val="0"/>
                    <w:spacing w:before="0" w:beforeAutospacing="0" w:after="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rPr>
                    <w:t>①</w:t>
                  </w:r>
                  <w:r>
                    <w:rPr>
                      <w:rFonts w:hint="eastAsia"/>
                      <w:caps w:val="0"/>
                      <w:color w:val="auto"/>
                      <w:spacing w:val="0"/>
                      <w:position w:val="0"/>
                      <w:highlight w:val="none"/>
                      <w:lang w:val="en-US" w:eastAsia="zh-CN"/>
                    </w:rPr>
                    <w:t>本项目已办理备案，正按要求进行三同时。</w:t>
                  </w:r>
                  <w:r>
                    <w:rPr>
                      <w:rFonts w:hint="eastAsia"/>
                      <w:caps w:val="0"/>
                      <w:color w:val="auto"/>
                      <w:spacing w:val="0"/>
                      <w:position w:val="0"/>
                      <w:highlight w:val="none"/>
                    </w:rPr>
                    <w:t>②</w:t>
                  </w:r>
                  <w:r>
                    <w:rPr>
                      <w:rFonts w:hint="eastAsia"/>
                      <w:caps w:val="0"/>
                      <w:color w:val="auto"/>
                      <w:spacing w:val="0"/>
                      <w:position w:val="0"/>
                      <w:highlight w:val="none"/>
                      <w:lang w:val="en-US" w:eastAsia="zh-CN"/>
                    </w:rPr>
                    <w:t>-</w:t>
                  </w:r>
                  <w:r>
                    <w:rPr>
                      <w:rFonts w:hint="eastAsia"/>
                      <w:caps w:val="0"/>
                      <w:color w:val="auto"/>
                      <w:spacing w:val="0"/>
                      <w:position w:val="0"/>
                      <w:highlight w:val="none"/>
                    </w:rPr>
                    <w:t>③</w:t>
                  </w:r>
                  <w:r>
                    <w:rPr>
                      <w:rFonts w:hint="eastAsia"/>
                      <w:caps w:val="0"/>
                      <w:color w:val="auto"/>
                      <w:spacing w:val="0"/>
                      <w:position w:val="0"/>
                      <w:highlight w:val="none"/>
                      <w:lang w:val="en-US" w:eastAsia="zh-CN"/>
                    </w:rPr>
                    <w:t>本项目属于锂冶炼剩余物</w:t>
                  </w:r>
                  <w:r>
                    <w:rPr>
                      <w:rFonts w:hint="eastAsia"/>
                      <w:caps w:val="0"/>
                      <w:color w:val="auto"/>
                      <w:spacing w:val="0"/>
                      <w:position w:val="0"/>
                      <w:highlight w:val="none"/>
                    </w:rPr>
                    <w:t>综合利用项目</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产品为建筑材料，体现了对锂冶炼剩余物再利用的特点。</w:t>
                  </w:r>
                  <w:r>
                    <w:rPr>
                      <w:rFonts w:hint="eastAsia"/>
                      <w:caps w:val="0"/>
                      <w:color w:val="auto"/>
                      <w:spacing w:val="0"/>
                      <w:position w:val="0"/>
                      <w:highlight w:val="none"/>
                    </w:rPr>
                    <w:t>④</w:t>
                  </w:r>
                  <w:r>
                    <w:rPr>
                      <w:rFonts w:hint="eastAsia"/>
                      <w:caps w:val="0"/>
                      <w:color w:val="auto"/>
                      <w:spacing w:val="0"/>
                      <w:position w:val="0"/>
                      <w:highlight w:val="none"/>
                      <w:lang w:val="en-US" w:eastAsia="zh-CN"/>
                    </w:rPr>
                    <w:t>本环评要求</w:t>
                  </w:r>
                  <w:r>
                    <w:rPr>
                      <w:rFonts w:hint="eastAsia"/>
                      <w:caps w:val="0"/>
                      <w:color w:val="auto"/>
                      <w:spacing w:val="0"/>
                      <w:position w:val="0"/>
                      <w:highlight w:val="none"/>
                    </w:rPr>
                    <w:t>产品满足相应质量与安全标准的要求</w:t>
                  </w:r>
                  <w:r>
                    <w:rPr>
                      <w:rFonts w:hint="eastAsia"/>
                      <w:caps w:val="0"/>
                      <w:color w:val="auto"/>
                      <w:spacing w:val="0"/>
                      <w:position w:val="0"/>
                      <w:highlight w:val="none"/>
                      <w:lang w:eastAsia="zh-CN"/>
                    </w:rPr>
                    <w:t>。</w:t>
                  </w:r>
                  <w:r>
                    <w:rPr>
                      <w:rFonts w:hint="eastAsia"/>
                      <w:caps w:val="0"/>
                      <w:color w:val="auto"/>
                      <w:spacing w:val="0"/>
                      <w:position w:val="0"/>
                      <w:highlight w:val="none"/>
                    </w:rPr>
                    <w:t>⑤</w:t>
                  </w:r>
                  <w:r>
                    <w:rPr>
                      <w:rFonts w:hint="eastAsia"/>
                      <w:caps w:val="0"/>
                      <w:color w:val="auto"/>
                      <w:spacing w:val="0"/>
                      <w:position w:val="0"/>
                      <w:highlight w:val="none"/>
                      <w:lang w:val="en-US" w:eastAsia="zh-CN"/>
                    </w:rPr>
                    <w:t>本项目废气收集粉尘回用于生产，废水回用不外排。</w:t>
                  </w:r>
                  <w:r>
                    <w:rPr>
                      <w:rFonts w:hint="eastAsia"/>
                      <w:caps w:val="0"/>
                      <w:color w:val="auto"/>
                      <w:spacing w:val="0"/>
                      <w:position w:val="0"/>
                      <w:highlight w:val="none"/>
                    </w:rPr>
                    <w:t>⑥</w:t>
                  </w:r>
                  <w:r>
                    <w:rPr>
                      <w:rFonts w:hint="eastAsia"/>
                      <w:caps w:val="0"/>
                      <w:color w:val="auto"/>
                      <w:spacing w:val="0"/>
                      <w:position w:val="0"/>
                      <w:highlight w:val="none"/>
                      <w:lang w:val="en-US" w:eastAsia="zh-CN"/>
                    </w:rPr>
                    <w:t>本项目</w:t>
                  </w:r>
                  <w:r>
                    <w:rPr>
                      <w:rFonts w:hint="eastAsia"/>
                      <w:caps w:val="0"/>
                      <w:color w:val="auto"/>
                      <w:spacing w:val="0"/>
                      <w:position w:val="0"/>
                      <w:highlight w:val="none"/>
                    </w:rPr>
                    <w:t>符合国家产业政策和相关产业规划及布局要求，符合本地区土地利用总体规划、城市总体规划、环境保护规划等要求。⑦</w:t>
                  </w:r>
                  <w:r>
                    <w:rPr>
                      <w:rFonts w:hint="eastAsia"/>
                      <w:caps w:val="0"/>
                      <w:color w:val="auto"/>
                      <w:spacing w:val="0"/>
                      <w:position w:val="0"/>
                      <w:highlight w:val="none"/>
                      <w:lang w:val="en-US" w:eastAsia="zh-CN"/>
                    </w:rPr>
                    <w:t>本项目不位于</w:t>
                  </w:r>
                  <w:r>
                    <w:rPr>
                      <w:rFonts w:hint="eastAsia"/>
                      <w:caps w:val="0"/>
                      <w:color w:val="auto"/>
                      <w:spacing w:val="0"/>
                      <w:position w:val="0"/>
                      <w:highlight w:val="none"/>
                    </w:rPr>
                    <w:t>自然保护区、风景名胜区、饮用水源保护区、基本农田保护区和其他需要特别保护的区域内</w:t>
                  </w:r>
                  <w:r>
                    <w:rPr>
                      <w:rFonts w:hint="eastAsia"/>
                      <w:caps w:val="0"/>
                      <w:color w:val="auto"/>
                      <w:spacing w:val="0"/>
                      <w:position w:val="0"/>
                      <w:highlight w:val="none"/>
                      <w:lang w:eastAsia="zh-CN"/>
                    </w:rPr>
                    <w:t>。</w:t>
                  </w:r>
                  <w:r>
                    <w:rPr>
                      <w:rFonts w:hint="eastAsia"/>
                      <w:caps w:val="0"/>
                      <w:color w:val="auto"/>
                      <w:spacing w:val="0"/>
                      <w:position w:val="0"/>
                      <w:highlight w:val="none"/>
                    </w:rPr>
                    <w:t>⑧</w:t>
                  </w:r>
                  <w:r>
                    <w:rPr>
                      <w:rFonts w:hint="eastAsia"/>
                      <w:caps w:val="0"/>
                      <w:color w:val="auto"/>
                      <w:spacing w:val="0"/>
                      <w:position w:val="0"/>
                      <w:highlight w:val="none"/>
                      <w:lang w:val="en-US" w:eastAsia="zh-CN"/>
                    </w:rPr>
                    <w:t>本项目留有</w:t>
                  </w:r>
                  <w:r>
                    <w:rPr>
                      <w:rFonts w:hint="eastAsia"/>
                      <w:caps w:val="0"/>
                      <w:color w:val="auto"/>
                      <w:spacing w:val="0"/>
                      <w:position w:val="0"/>
                      <w:highlight w:val="none"/>
                    </w:rPr>
                    <w:t>扩建的余地。</w:t>
                  </w:r>
                </w:p>
              </w:tc>
              <w:tc>
                <w:tcPr>
                  <w:tcW w:w="731" w:type="dxa"/>
                  <w:tcBorders>
                    <w:tl2br w:val="nil"/>
                    <w:tr2bl w:val="nil"/>
                  </w:tcBorders>
                  <w:vAlign w:val="center"/>
                </w:tcPr>
                <w:p w14:paraId="5DB4F36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相符</w:t>
                  </w:r>
                </w:p>
              </w:tc>
            </w:tr>
            <w:tr w14:paraId="7265BE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vAlign w:val="center"/>
                </w:tcPr>
                <w:p w14:paraId="5AB81AD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w:t>
                  </w:r>
                </w:p>
              </w:tc>
              <w:tc>
                <w:tcPr>
                  <w:tcW w:w="3813" w:type="dxa"/>
                  <w:tcBorders>
                    <w:tl2br w:val="nil"/>
                    <w:tr2bl w:val="nil"/>
                  </w:tcBorders>
                  <w:vAlign w:val="center"/>
                </w:tcPr>
                <w:p w14:paraId="770CA5E5">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①企业应采用与资源综合利用活动相适应的先进适用技术和工艺，主要用能设备应达到相关国家能效标准1级要求；②新建、改扩建项目设计应根据规划年限、规模和建设目标，做到技术先进，经济合理，安全适用，运行稳定；③不应使用国家或有关部门发布的淘汰或禁止的技术、工艺、装备；④企业应具有与生产能力相匹配的厂区作业场地面积，贮存场地应符合GB18597.GB18599要求，露天贮存应具有防雨设施。</w:t>
                  </w:r>
                </w:p>
              </w:tc>
              <w:tc>
                <w:tcPr>
                  <w:tcW w:w="2193" w:type="dxa"/>
                  <w:tcBorders>
                    <w:tl2br w:val="nil"/>
                    <w:tr2bl w:val="nil"/>
                  </w:tcBorders>
                  <w:vAlign w:val="center"/>
                </w:tcPr>
                <w:p w14:paraId="6E30C34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rPr>
                    <w:t>①</w:t>
                  </w:r>
                  <w:r>
                    <w:rPr>
                      <w:rFonts w:hint="eastAsia"/>
                      <w:caps w:val="0"/>
                      <w:color w:val="auto"/>
                      <w:spacing w:val="0"/>
                      <w:position w:val="0"/>
                      <w:highlight w:val="none"/>
                      <w:lang w:val="en-US" w:eastAsia="zh-CN"/>
                    </w:rPr>
                    <w:t>-</w:t>
                  </w:r>
                  <w:r>
                    <w:rPr>
                      <w:rFonts w:hint="eastAsia"/>
                      <w:caps w:val="0"/>
                      <w:color w:val="auto"/>
                      <w:spacing w:val="0"/>
                      <w:position w:val="0"/>
                      <w:highlight w:val="none"/>
                    </w:rPr>
                    <w:t>③</w:t>
                  </w:r>
                  <w:r>
                    <w:rPr>
                      <w:rFonts w:hint="eastAsia"/>
                      <w:caps w:val="0"/>
                      <w:color w:val="auto"/>
                      <w:spacing w:val="0"/>
                      <w:position w:val="0"/>
                      <w:highlight w:val="none"/>
                      <w:lang w:val="en-US" w:eastAsia="zh-CN"/>
                    </w:rPr>
                    <w:t>本项目属于锂冶炼剩余物</w:t>
                  </w:r>
                  <w:r>
                    <w:rPr>
                      <w:rFonts w:hint="eastAsia"/>
                      <w:caps w:val="0"/>
                      <w:color w:val="auto"/>
                      <w:spacing w:val="0"/>
                      <w:position w:val="0"/>
                      <w:highlight w:val="none"/>
                    </w:rPr>
                    <w:t>综合利用项目</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属于</w:t>
                  </w:r>
                  <w:r>
                    <w:rPr>
                      <w:rFonts w:hint="eastAsia"/>
                      <w:caps w:val="0"/>
                      <w:color w:val="auto"/>
                      <w:spacing w:val="0"/>
                      <w:position w:val="0"/>
                      <w:highlight w:val="none"/>
                    </w:rPr>
                    <w:t>先进适用技术</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不使用</w:t>
                  </w:r>
                  <w:r>
                    <w:rPr>
                      <w:rFonts w:hint="eastAsia"/>
                      <w:caps w:val="0"/>
                      <w:color w:val="auto"/>
                      <w:spacing w:val="0"/>
                      <w:position w:val="0"/>
                      <w:highlight w:val="none"/>
                    </w:rPr>
                    <w:t>淘汰或禁止的技术、工艺、装备；④</w:t>
                  </w:r>
                  <w:r>
                    <w:rPr>
                      <w:rFonts w:hint="eastAsia"/>
                      <w:caps w:val="0"/>
                      <w:color w:val="auto"/>
                      <w:spacing w:val="0"/>
                      <w:position w:val="0"/>
                      <w:highlight w:val="none"/>
                      <w:lang w:val="en-US" w:eastAsia="zh-CN"/>
                    </w:rPr>
                    <w:t>根据工程分析，本项目场地作业区与生产能力相符。</w:t>
                  </w:r>
                </w:p>
              </w:tc>
              <w:tc>
                <w:tcPr>
                  <w:tcW w:w="731" w:type="dxa"/>
                  <w:tcBorders>
                    <w:tl2br w:val="nil"/>
                    <w:tr2bl w:val="nil"/>
                  </w:tcBorders>
                  <w:vAlign w:val="center"/>
                </w:tcPr>
                <w:p w14:paraId="2D336F8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相符</w:t>
                  </w:r>
                </w:p>
              </w:tc>
            </w:tr>
            <w:tr w14:paraId="791E7D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vAlign w:val="center"/>
                </w:tcPr>
                <w:p w14:paraId="005EF27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w:t>
                  </w:r>
                </w:p>
              </w:tc>
              <w:tc>
                <w:tcPr>
                  <w:tcW w:w="3813" w:type="dxa"/>
                  <w:tcBorders>
                    <w:tl2br w:val="nil"/>
                    <w:tr2bl w:val="nil"/>
                  </w:tcBorders>
                  <w:vAlign w:val="center"/>
                </w:tcPr>
                <w:p w14:paraId="54883A16">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①企业应对收集的废弃产品及固体废物进行充分利用，提高资源回收利用率，不应倾倒、焚烧与填埋。生产的资源综合利用产品中利用废弃产品或固体废物比例应达到相关现行政策及标准要求；②资源、能源消耗应达到相关国家标准要求。</w:t>
                  </w:r>
                </w:p>
              </w:tc>
              <w:tc>
                <w:tcPr>
                  <w:tcW w:w="2193" w:type="dxa"/>
                  <w:tcBorders>
                    <w:tl2br w:val="nil"/>
                    <w:tr2bl w:val="nil"/>
                  </w:tcBorders>
                  <w:vAlign w:val="center"/>
                </w:tcPr>
                <w:p w14:paraId="69C0E708">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①</w:t>
                  </w:r>
                  <w:r>
                    <w:rPr>
                      <w:rFonts w:hint="eastAsia"/>
                      <w:caps w:val="0"/>
                      <w:color w:val="auto"/>
                      <w:spacing w:val="0"/>
                      <w:position w:val="0"/>
                      <w:highlight w:val="none"/>
                      <w:lang w:val="en-US" w:eastAsia="zh-CN"/>
                    </w:rPr>
                    <w:t>本项目属于锂冶炼剩余物</w:t>
                  </w:r>
                  <w:r>
                    <w:rPr>
                      <w:rFonts w:hint="eastAsia"/>
                      <w:caps w:val="0"/>
                      <w:color w:val="auto"/>
                      <w:spacing w:val="0"/>
                      <w:position w:val="0"/>
                      <w:highlight w:val="none"/>
                    </w:rPr>
                    <w:t>综合利用项目</w:t>
                  </w:r>
                  <w:r>
                    <w:rPr>
                      <w:rFonts w:hint="eastAsia"/>
                      <w:caps w:val="0"/>
                      <w:color w:val="auto"/>
                      <w:spacing w:val="0"/>
                      <w:position w:val="0"/>
                      <w:highlight w:val="none"/>
                      <w:lang w:eastAsia="zh-CN"/>
                    </w:rPr>
                    <w:t>，</w:t>
                  </w:r>
                  <w:r>
                    <w:rPr>
                      <w:rFonts w:hint="eastAsia"/>
                      <w:caps w:val="0"/>
                      <w:color w:val="auto"/>
                      <w:spacing w:val="0"/>
                      <w:position w:val="0"/>
                      <w:highlight w:val="none"/>
                    </w:rPr>
                    <w:t>②资源、能源消耗应达到相关国家标准要求。</w:t>
                  </w:r>
                </w:p>
              </w:tc>
              <w:tc>
                <w:tcPr>
                  <w:tcW w:w="731" w:type="dxa"/>
                  <w:tcBorders>
                    <w:tl2br w:val="nil"/>
                    <w:tr2bl w:val="nil"/>
                  </w:tcBorders>
                  <w:vAlign w:val="center"/>
                </w:tcPr>
                <w:p w14:paraId="017968C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相符</w:t>
                  </w:r>
                </w:p>
              </w:tc>
            </w:tr>
            <w:tr w14:paraId="5A06D0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vAlign w:val="center"/>
                </w:tcPr>
                <w:p w14:paraId="143AADE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4</w:t>
                  </w:r>
                </w:p>
              </w:tc>
              <w:tc>
                <w:tcPr>
                  <w:tcW w:w="3813" w:type="dxa"/>
                  <w:tcBorders>
                    <w:tl2br w:val="nil"/>
                    <w:tr2bl w:val="nil"/>
                  </w:tcBorders>
                  <w:vAlign w:val="center"/>
                </w:tcPr>
                <w:p w14:paraId="43163E84">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①新建和改扩建项目应严格执行环境影响评价制度，并配套建设环境保护设施；②应大力推行清洁生产技术和工艺用消耗少、效率高无污染或少污染的工艺设备替代消耗高、效率低、污染重的工艺设备；③露天贮存场地应铺设不透水地面，并具有排水及污染物藏流设施，防止恶臭、污染土壤和地下水等污染环境的情况发生；④对收集的废弃产品及固体废物，如企业不具备利用条件应委托其他具有处理能力的企业处理.不应擅自丢弃、倾倒、焚烧与填埋。⑤利用的固体废物。属于列入《国家危险废物名录》的危险废物或者根据国家规定的危险废物鉴别标准和鉴别方法认定为危险废物的，应当取得生态环境主管部门颁发的《险废物经营许可证》，且许可经营范围包括该危险废物的利用；⑥企业废水排放应符合国家和地方水污染物排放标准及总量控制要求，采用高效节能环保的污泥处理工艺，或交由具有处理资格的废物处理机构，实现污泥无害化处理；⑦企业废气排放应符合国家和地方相关大气污染物排放标准的总量控制要求；⑧企业厂界噪声应符合GB 12348要求，具体标准要根据当地人民政府划定的区域类别执行；⑨企业应依法获得排污许可证，并按照许可证要求排放污染物。</w:t>
                  </w:r>
                </w:p>
              </w:tc>
              <w:tc>
                <w:tcPr>
                  <w:tcW w:w="2193" w:type="dxa"/>
                  <w:tcBorders>
                    <w:tl2br w:val="nil"/>
                    <w:tr2bl w:val="nil"/>
                  </w:tcBorders>
                  <w:vAlign w:val="center"/>
                </w:tcPr>
                <w:p w14:paraId="74C4902A">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①</w:t>
                  </w:r>
                  <w:r>
                    <w:rPr>
                      <w:rFonts w:hint="eastAsia"/>
                      <w:caps w:val="0"/>
                      <w:color w:val="auto"/>
                      <w:spacing w:val="0"/>
                      <w:position w:val="0"/>
                      <w:highlight w:val="none"/>
                      <w:lang w:val="en-US" w:eastAsia="zh-CN"/>
                    </w:rPr>
                    <w:t>本项目</w:t>
                  </w:r>
                  <w:r>
                    <w:rPr>
                      <w:rFonts w:hint="eastAsia"/>
                      <w:caps w:val="0"/>
                      <w:color w:val="auto"/>
                      <w:spacing w:val="0"/>
                      <w:position w:val="0"/>
                      <w:highlight w:val="none"/>
                    </w:rPr>
                    <w:t>严格执行环境影响评价制度，并配套建设环境保护设施；②</w:t>
                  </w:r>
                  <w:r>
                    <w:rPr>
                      <w:rFonts w:hint="eastAsia"/>
                      <w:caps w:val="0"/>
                      <w:color w:val="auto"/>
                      <w:spacing w:val="0"/>
                      <w:position w:val="0"/>
                      <w:highlight w:val="none"/>
                      <w:lang w:val="en-US" w:eastAsia="zh-CN"/>
                    </w:rPr>
                    <w:t>-</w:t>
                  </w:r>
                  <w:r>
                    <w:rPr>
                      <w:rFonts w:hint="eastAsia"/>
                      <w:caps w:val="0"/>
                      <w:color w:val="auto"/>
                      <w:spacing w:val="0"/>
                      <w:position w:val="0"/>
                      <w:highlight w:val="none"/>
                    </w:rPr>
                    <w:t>③</w:t>
                  </w:r>
                  <w:r>
                    <w:rPr>
                      <w:rFonts w:hint="eastAsia"/>
                      <w:caps w:val="0"/>
                      <w:color w:val="auto"/>
                      <w:spacing w:val="0"/>
                      <w:position w:val="0"/>
                      <w:highlight w:val="none"/>
                      <w:lang w:val="en-US" w:eastAsia="zh-CN"/>
                    </w:rPr>
                    <w:t>本项目工艺属于清洁工艺，不存在露天储存；</w:t>
                  </w:r>
                  <w:r>
                    <w:rPr>
                      <w:rFonts w:hint="eastAsia"/>
                      <w:caps w:val="0"/>
                      <w:color w:val="auto"/>
                      <w:spacing w:val="0"/>
                      <w:position w:val="0"/>
                      <w:highlight w:val="none"/>
                    </w:rPr>
                    <w:t>④</w:t>
                  </w:r>
                  <w:r>
                    <w:rPr>
                      <w:rFonts w:hint="eastAsia"/>
                      <w:caps w:val="0"/>
                      <w:color w:val="auto"/>
                      <w:spacing w:val="0"/>
                      <w:position w:val="0"/>
                      <w:highlight w:val="none"/>
                      <w:lang w:val="en-US" w:eastAsia="zh-CN"/>
                    </w:rPr>
                    <w:t>本项目危废委托有资质单位处理；</w:t>
                  </w:r>
                  <w:r>
                    <w:rPr>
                      <w:rFonts w:hint="eastAsia"/>
                      <w:caps w:val="0"/>
                      <w:color w:val="auto"/>
                      <w:spacing w:val="0"/>
                      <w:position w:val="0"/>
                      <w:highlight w:val="none"/>
                    </w:rPr>
                    <w:t>⑤</w:t>
                  </w:r>
                  <w:r>
                    <w:rPr>
                      <w:rFonts w:hint="eastAsia"/>
                      <w:caps w:val="0"/>
                      <w:color w:val="auto"/>
                      <w:spacing w:val="0"/>
                      <w:position w:val="0"/>
                      <w:highlight w:val="none"/>
                      <w:lang w:val="en-US" w:eastAsia="zh-CN"/>
                    </w:rPr>
                    <w:t>本项目不涉及；</w:t>
                  </w:r>
                  <w:r>
                    <w:rPr>
                      <w:rFonts w:hint="eastAsia"/>
                      <w:caps w:val="0"/>
                      <w:color w:val="auto"/>
                      <w:spacing w:val="0"/>
                      <w:position w:val="0"/>
                      <w:highlight w:val="none"/>
                    </w:rPr>
                    <w:t>⑥</w:t>
                  </w:r>
                  <w:r>
                    <w:rPr>
                      <w:rFonts w:hint="eastAsia"/>
                      <w:caps w:val="0"/>
                      <w:color w:val="auto"/>
                      <w:spacing w:val="0"/>
                      <w:position w:val="0"/>
                      <w:highlight w:val="none"/>
                      <w:lang w:val="en-US" w:eastAsia="zh-CN"/>
                    </w:rPr>
                    <w:t>本项目</w:t>
                  </w:r>
                  <w:r>
                    <w:rPr>
                      <w:rFonts w:hint="default" w:ascii="Times New Roman" w:hAnsi="Times New Roman" w:eastAsia="宋体" w:cs="Times New Roman"/>
                      <w:caps w:val="0"/>
                      <w:color w:val="auto"/>
                      <w:spacing w:val="0"/>
                      <w:position w:val="0"/>
                      <w:highlight w:val="none"/>
                      <w:lang w:val="en-US" w:eastAsia="zh-CN"/>
                    </w:rPr>
                    <w:t>生产废水回用不外排</w:t>
                  </w:r>
                  <w:r>
                    <w:rPr>
                      <w:rFonts w:hint="eastAsia" w:ascii="Times New Roman" w:hAnsi="Times New Roman" w:eastAsia="宋体" w:cs="Times New Roman"/>
                      <w:caps w:val="0"/>
                      <w:color w:val="auto"/>
                      <w:spacing w:val="0"/>
                      <w:position w:val="0"/>
                      <w:highlight w:val="none"/>
                      <w:lang w:val="en-US" w:eastAsia="zh-CN"/>
                    </w:rPr>
                    <w:t>，</w:t>
                  </w:r>
                  <w:r>
                    <w:rPr>
                      <w:rFonts w:hint="eastAsia"/>
                      <w:caps w:val="0"/>
                      <w:color w:val="auto"/>
                      <w:spacing w:val="0"/>
                      <w:position w:val="0"/>
                      <w:highlight w:val="none"/>
                    </w:rPr>
                    <w:t>⑦</w:t>
                  </w:r>
                  <w:r>
                    <w:rPr>
                      <w:rFonts w:hint="eastAsia"/>
                      <w:caps w:val="0"/>
                      <w:color w:val="auto"/>
                      <w:spacing w:val="0"/>
                      <w:position w:val="0"/>
                      <w:highlight w:val="none"/>
                      <w:lang w:val="en-US" w:eastAsia="zh-CN"/>
                    </w:rPr>
                    <w:t>项目按要求申请总量；</w:t>
                  </w:r>
                  <w:r>
                    <w:rPr>
                      <w:rFonts w:hint="eastAsia"/>
                      <w:caps w:val="0"/>
                      <w:color w:val="auto"/>
                      <w:spacing w:val="0"/>
                      <w:position w:val="0"/>
                      <w:highlight w:val="none"/>
                    </w:rPr>
                    <w:t>⑧企业厂界噪声应符合GB12348要求</w:t>
                  </w:r>
                  <w:r>
                    <w:rPr>
                      <w:rFonts w:hint="eastAsia"/>
                      <w:caps w:val="0"/>
                      <w:color w:val="auto"/>
                      <w:spacing w:val="0"/>
                      <w:position w:val="0"/>
                      <w:highlight w:val="none"/>
                      <w:lang w:eastAsia="zh-CN"/>
                    </w:rPr>
                    <w:t>；</w:t>
                  </w:r>
                  <w:r>
                    <w:rPr>
                      <w:rFonts w:hint="eastAsia"/>
                      <w:caps w:val="0"/>
                      <w:color w:val="auto"/>
                      <w:spacing w:val="0"/>
                      <w:position w:val="0"/>
                      <w:highlight w:val="none"/>
                    </w:rPr>
                    <w:t>⑨依法</w:t>
                  </w:r>
                  <w:r>
                    <w:rPr>
                      <w:rFonts w:hint="eastAsia"/>
                      <w:caps w:val="0"/>
                      <w:color w:val="auto"/>
                      <w:spacing w:val="0"/>
                      <w:position w:val="0"/>
                      <w:highlight w:val="none"/>
                      <w:lang w:val="en-US" w:eastAsia="zh-CN"/>
                    </w:rPr>
                    <w:t>申请</w:t>
                  </w:r>
                  <w:r>
                    <w:rPr>
                      <w:rFonts w:hint="eastAsia"/>
                      <w:caps w:val="0"/>
                      <w:color w:val="auto"/>
                      <w:spacing w:val="0"/>
                      <w:position w:val="0"/>
                      <w:highlight w:val="none"/>
                    </w:rPr>
                    <w:t>排污许可证，并按照许可证要求排放污染物</w:t>
                  </w:r>
                  <w:r>
                    <w:rPr>
                      <w:rFonts w:hint="eastAsia"/>
                      <w:caps w:val="0"/>
                      <w:color w:val="auto"/>
                      <w:spacing w:val="0"/>
                      <w:position w:val="0"/>
                      <w:highlight w:val="none"/>
                      <w:lang w:eastAsia="zh-CN"/>
                    </w:rPr>
                    <w:t>。</w:t>
                  </w:r>
                </w:p>
              </w:tc>
              <w:tc>
                <w:tcPr>
                  <w:tcW w:w="731" w:type="dxa"/>
                  <w:tcBorders>
                    <w:tl2br w:val="nil"/>
                    <w:tr2bl w:val="nil"/>
                  </w:tcBorders>
                  <w:vAlign w:val="center"/>
                </w:tcPr>
                <w:p w14:paraId="057EB1C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相符</w:t>
                  </w:r>
                </w:p>
              </w:tc>
            </w:tr>
            <w:tr w14:paraId="5139D3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vAlign w:val="center"/>
                </w:tcPr>
                <w:p w14:paraId="64542C2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5</w:t>
                  </w:r>
                </w:p>
              </w:tc>
              <w:tc>
                <w:tcPr>
                  <w:tcW w:w="3813" w:type="dxa"/>
                  <w:tcBorders>
                    <w:tl2br w:val="nil"/>
                    <w:tr2bl w:val="nil"/>
                  </w:tcBorders>
                  <w:vAlign w:val="center"/>
                </w:tcPr>
                <w:p w14:paraId="61549F92">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①鼓励企业建立消防安全检查制度、设施设备检修和维护制度及固体废物环保管理制度等；②鼓励和支持企业采用信息化技术，提升管理水平，降低生产成本，保障产品质量。鼓励企业建立相应的材料、产品可追溯制度；③企业应建立健全产品质量保证体系，开发高效率、高品质、高值化差别化、低成本、低消耗、低污染的资源综合利用产品。鼓励企业按照GB/T19001和GB/T24001分别建立、实施、保持并持续改进质量管理和环境管理等体系；④企业应进行能源、用水计量管理，能源计量器具配备应符合GB17167要求。鼓励企业设置专门机构或人员对能源、取水、排污情况进行统计、监督，对物质流向监管，并建立管理考核制度和数据统计系统；⑤企业应按照的要求建立档案管理制度.对进出企业的废弃产品或固体废物以及资源综合利用产品名称数量、时间.来源或去向进行登记记录，档案需保存3年以上。</w:t>
                  </w:r>
                </w:p>
              </w:tc>
              <w:tc>
                <w:tcPr>
                  <w:tcW w:w="2193" w:type="dxa"/>
                  <w:tcBorders>
                    <w:tl2br w:val="nil"/>
                    <w:tr2bl w:val="nil"/>
                  </w:tcBorders>
                  <w:vAlign w:val="center"/>
                </w:tcPr>
                <w:p w14:paraId="308A4E27">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rPr>
                    <w:t>①企业</w:t>
                  </w:r>
                  <w:r>
                    <w:rPr>
                      <w:rFonts w:hint="eastAsia"/>
                      <w:caps w:val="0"/>
                      <w:color w:val="auto"/>
                      <w:spacing w:val="0"/>
                      <w:position w:val="0"/>
                      <w:highlight w:val="none"/>
                      <w:lang w:val="en-US" w:eastAsia="zh-CN"/>
                    </w:rPr>
                    <w:t>将</w:t>
                  </w:r>
                  <w:r>
                    <w:rPr>
                      <w:rFonts w:hint="eastAsia"/>
                      <w:caps w:val="0"/>
                      <w:color w:val="auto"/>
                      <w:spacing w:val="0"/>
                      <w:position w:val="0"/>
                      <w:highlight w:val="none"/>
                    </w:rPr>
                    <w:t>建立消防安全检查制度、设施设备检修和维护制度及固体废物环保管理制度等；②</w:t>
                  </w:r>
                  <w:r>
                    <w:rPr>
                      <w:rFonts w:hint="eastAsia"/>
                      <w:caps w:val="0"/>
                      <w:color w:val="auto"/>
                      <w:spacing w:val="0"/>
                      <w:position w:val="0"/>
                      <w:highlight w:val="none"/>
                      <w:lang w:val="en-US" w:eastAsia="zh-CN"/>
                    </w:rPr>
                    <w:t>本环评要求企业设置原辅料、产品台账。</w:t>
                  </w:r>
                  <w:r>
                    <w:rPr>
                      <w:rFonts w:hint="eastAsia"/>
                      <w:caps w:val="0"/>
                      <w:color w:val="auto"/>
                      <w:spacing w:val="0"/>
                      <w:position w:val="0"/>
                      <w:highlight w:val="none"/>
                    </w:rPr>
                    <w:t>③</w:t>
                  </w:r>
                  <w:r>
                    <w:rPr>
                      <w:rFonts w:hint="eastAsia"/>
                      <w:caps w:val="0"/>
                      <w:color w:val="auto"/>
                      <w:spacing w:val="0"/>
                      <w:position w:val="0"/>
                      <w:highlight w:val="none"/>
                      <w:lang w:val="en-US" w:eastAsia="zh-CN"/>
                    </w:rPr>
                    <w:t>本环评要求产品出厂前做质量检测，合格方可出厂。</w:t>
                  </w:r>
                  <w:r>
                    <w:rPr>
                      <w:rFonts w:hint="eastAsia"/>
                      <w:caps w:val="0"/>
                      <w:color w:val="auto"/>
                      <w:spacing w:val="0"/>
                      <w:position w:val="0"/>
                      <w:highlight w:val="none"/>
                    </w:rPr>
                    <w:t>⑤</w:t>
                  </w:r>
                  <w:r>
                    <w:rPr>
                      <w:rFonts w:hint="eastAsia"/>
                      <w:caps w:val="0"/>
                      <w:color w:val="auto"/>
                      <w:spacing w:val="0"/>
                      <w:position w:val="0"/>
                      <w:highlight w:val="none"/>
                      <w:lang w:val="en-US" w:eastAsia="zh-CN"/>
                    </w:rPr>
                    <w:t>本环评要求</w:t>
                  </w:r>
                  <w:r>
                    <w:rPr>
                      <w:rFonts w:hint="eastAsia"/>
                      <w:caps w:val="0"/>
                      <w:color w:val="auto"/>
                      <w:spacing w:val="0"/>
                      <w:position w:val="0"/>
                      <w:highlight w:val="none"/>
                    </w:rPr>
                    <w:t>企业按照要求建立档案管理制度</w:t>
                  </w:r>
                  <w:r>
                    <w:rPr>
                      <w:rFonts w:hint="eastAsia"/>
                      <w:caps w:val="0"/>
                      <w:color w:val="auto"/>
                      <w:spacing w:val="0"/>
                      <w:position w:val="0"/>
                      <w:highlight w:val="none"/>
                      <w:lang w:eastAsia="zh-CN"/>
                    </w:rPr>
                    <w:t>，</w:t>
                  </w:r>
                  <w:r>
                    <w:rPr>
                      <w:rFonts w:hint="eastAsia"/>
                      <w:caps w:val="0"/>
                      <w:color w:val="auto"/>
                      <w:spacing w:val="0"/>
                      <w:position w:val="0"/>
                      <w:highlight w:val="none"/>
                    </w:rPr>
                    <w:t>对进出企业的废弃产品或固体废物以及资源综合利用产品名称数量、时间</w:t>
                  </w:r>
                  <w:r>
                    <w:rPr>
                      <w:rFonts w:hint="eastAsia"/>
                      <w:caps w:val="0"/>
                      <w:color w:val="auto"/>
                      <w:spacing w:val="0"/>
                      <w:position w:val="0"/>
                      <w:highlight w:val="none"/>
                      <w:lang w:eastAsia="zh-CN"/>
                    </w:rPr>
                    <w:t>、</w:t>
                  </w:r>
                  <w:r>
                    <w:rPr>
                      <w:rFonts w:hint="eastAsia"/>
                      <w:caps w:val="0"/>
                      <w:color w:val="auto"/>
                      <w:spacing w:val="0"/>
                      <w:position w:val="0"/>
                      <w:highlight w:val="none"/>
                    </w:rPr>
                    <w:t>来源或去向进行登记记录，档案需保存3年以上。</w:t>
                  </w:r>
                </w:p>
              </w:tc>
              <w:tc>
                <w:tcPr>
                  <w:tcW w:w="731" w:type="dxa"/>
                  <w:tcBorders>
                    <w:tl2br w:val="nil"/>
                    <w:tr2bl w:val="nil"/>
                  </w:tcBorders>
                  <w:vAlign w:val="center"/>
                </w:tcPr>
                <w:p w14:paraId="7A67AEF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相符</w:t>
                  </w:r>
                </w:p>
              </w:tc>
            </w:tr>
            <w:tr w14:paraId="756413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309" w:type="dxa"/>
                  <w:gridSpan w:val="4"/>
                  <w:tcBorders>
                    <w:tl2br w:val="nil"/>
                    <w:tr2bl w:val="nil"/>
                  </w:tcBorders>
                  <w:vAlign w:val="center"/>
                </w:tcPr>
                <w:p w14:paraId="1920DD6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b/>
                      <w:bCs/>
                      <w:caps w:val="0"/>
                      <w:color w:val="auto"/>
                      <w:spacing w:val="0"/>
                      <w:position w:val="0"/>
                      <w:highlight w:val="none"/>
                    </w:rPr>
                    <w:t>与《关于印发加快推动工业资源综合利用实施方案的通知》（工信部联节〔2022〕9号）相符性分析</w:t>
                  </w:r>
                </w:p>
              </w:tc>
            </w:tr>
            <w:tr w14:paraId="353D11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vAlign w:val="center"/>
                </w:tcPr>
                <w:p w14:paraId="731D51D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w:t>
                  </w:r>
                </w:p>
              </w:tc>
              <w:tc>
                <w:tcPr>
                  <w:tcW w:w="3813" w:type="dxa"/>
                  <w:tcBorders>
                    <w:tl2br w:val="nil"/>
                    <w:tr2bl w:val="nil"/>
                  </w:tcBorders>
                  <w:vAlign w:val="center"/>
                </w:tcPr>
                <w:p w14:paraId="306B2657">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二</w:t>
                  </w:r>
                  <w:r>
                    <w:rPr>
                      <w:rFonts w:hint="eastAsia"/>
                      <w:caps w:val="0"/>
                      <w:color w:val="auto"/>
                      <w:spacing w:val="0"/>
                      <w:position w:val="0"/>
                      <w:highlight w:val="none"/>
                      <w:lang w:eastAsia="zh-CN"/>
                    </w:rPr>
                    <w:t>）</w:t>
                  </w:r>
                  <w:r>
                    <w:rPr>
                      <w:rFonts w:hint="eastAsia"/>
                      <w:caps w:val="0"/>
                      <w:color w:val="auto"/>
                      <w:spacing w:val="0"/>
                      <w:position w:val="0"/>
                      <w:highlight w:val="none"/>
                    </w:rPr>
                    <w:t>促进产业循环链接。按照“横向耦合、纵向延伸、循环链接”原则，建设和引进关键项目，合理延伸产业链，推动产业循环式组合、企业循环式生产，促进项目间、企业间、产业间物料闭路循环、物尽其用，切实提高资源产出率。</w:t>
                  </w:r>
                </w:p>
              </w:tc>
              <w:tc>
                <w:tcPr>
                  <w:tcW w:w="2193" w:type="dxa"/>
                  <w:tcBorders>
                    <w:tl2br w:val="nil"/>
                    <w:tr2bl w:val="nil"/>
                  </w:tcBorders>
                  <w:vAlign w:val="center"/>
                </w:tcPr>
                <w:p w14:paraId="61964F70">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本</w:t>
                  </w:r>
                  <w:r>
                    <w:rPr>
                      <w:rFonts w:hint="eastAsia"/>
                      <w:caps w:val="0"/>
                      <w:color w:val="auto"/>
                      <w:spacing w:val="0"/>
                      <w:position w:val="0"/>
                      <w:highlight w:val="none"/>
                    </w:rPr>
                    <w:t>项目属于</w:t>
                  </w:r>
                  <w:r>
                    <w:rPr>
                      <w:rFonts w:hint="eastAsia"/>
                      <w:caps w:val="0"/>
                      <w:color w:val="auto"/>
                      <w:spacing w:val="0"/>
                      <w:position w:val="0"/>
                      <w:highlight w:val="none"/>
                      <w:lang w:val="en-US" w:eastAsia="zh-CN"/>
                    </w:rPr>
                    <w:t>锂冶炼剩余物</w:t>
                  </w:r>
                  <w:r>
                    <w:rPr>
                      <w:rFonts w:hint="eastAsia"/>
                      <w:caps w:val="0"/>
                      <w:color w:val="auto"/>
                      <w:spacing w:val="0"/>
                      <w:position w:val="0"/>
                      <w:highlight w:val="none"/>
                    </w:rPr>
                    <w:t>综合利用项目。</w:t>
                  </w:r>
                </w:p>
              </w:tc>
              <w:tc>
                <w:tcPr>
                  <w:tcW w:w="731" w:type="dxa"/>
                  <w:tcBorders>
                    <w:tl2br w:val="nil"/>
                    <w:tr2bl w:val="nil"/>
                  </w:tcBorders>
                  <w:vAlign w:val="center"/>
                </w:tcPr>
                <w:p w14:paraId="7E1381F2">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相符</w:t>
                  </w:r>
                </w:p>
              </w:tc>
            </w:tr>
            <w:tr w14:paraId="06DEDB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vAlign w:val="center"/>
                </w:tcPr>
                <w:p w14:paraId="2F4933B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w:t>
                  </w:r>
                </w:p>
              </w:tc>
              <w:tc>
                <w:tcPr>
                  <w:tcW w:w="3813" w:type="dxa"/>
                  <w:tcBorders>
                    <w:tl2br w:val="nil"/>
                    <w:tr2bl w:val="nil"/>
                  </w:tcBorders>
                  <w:vAlign w:val="center"/>
                </w:tcPr>
                <w:p w14:paraId="361A9A41">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四）推进资源高效利用、综合利用。园区重点企业全面推行清洁生产，促进原材料和废弃物源头减量。加强资源深度加工、伴生产品加工利用、副产物综合利用，推动产业废弃物回收及资源化利用。加强水资源高效利用、循环利用，推进中水回用和废水资源化利用。</w:t>
                  </w:r>
                </w:p>
              </w:tc>
              <w:tc>
                <w:tcPr>
                  <w:tcW w:w="2193" w:type="dxa"/>
                  <w:tcBorders>
                    <w:tl2br w:val="nil"/>
                    <w:tr2bl w:val="nil"/>
                  </w:tcBorders>
                  <w:vAlign w:val="center"/>
                </w:tcPr>
                <w:p w14:paraId="3E963888">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本</w:t>
                  </w:r>
                  <w:r>
                    <w:rPr>
                      <w:rFonts w:hint="eastAsia"/>
                      <w:caps w:val="0"/>
                      <w:color w:val="auto"/>
                      <w:spacing w:val="0"/>
                      <w:position w:val="0"/>
                      <w:highlight w:val="none"/>
                    </w:rPr>
                    <w:t>项目属于</w:t>
                  </w:r>
                  <w:r>
                    <w:rPr>
                      <w:rFonts w:hint="eastAsia"/>
                      <w:caps w:val="0"/>
                      <w:color w:val="auto"/>
                      <w:spacing w:val="0"/>
                      <w:position w:val="0"/>
                      <w:highlight w:val="none"/>
                      <w:lang w:val="en-US" w:eastAsia="zh-CN"/>
                    </w:rPr>
                    <w:t>锂冶炼剩余物</w:t>
                  </w:r>
                  <w:r>
                    <w:rPr>
                      <w:rFonts w:hint="eastAsia"/>
                      <w:caps w:val="0"/>
                      <w:color w:val="auto"/>
                      <w:spacing w:val="0"/>
                      <w:position w:val="0"/>
                      <w:highlight w:val="none"/>
                    </w:rPr>
                    <w:t>综合利用项目。</w:t>
                  </w:r>
                </w:p>
              </w:tc>
              <w:tc>
                <w:tcPr>
                  <w:tcW w:w="731" w:type="dxa"/>
                  <w:tcBorders>
                    <w:tl2br w:val="nil"/>
                    <w:tr2bl w:val="nil"/>
                  </w:tcBorders>
                  <w:vAlign w:val="center"/>
                </w:tcPr>
                <w:p w14:paraId="69D563A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相符</w:t>
                  </w:r>
                </w:p>
              </w:tc>
            </w:tr>
            <w:tr w14:paraId="585ED2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309" w:type="dxa"/>
                  <w:gridSpan w:val="4"/>
                  <w:tcBorders>
                    <w:tl2br w:val="nil"/>
                    <w:tr2bl w:val="nil"/>
                  </w:tcBorders>
                  <w:vAlign w:val="center"/>
                </w:tcPr>
                <w:p w14:paraId="016325A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b/>
                      <w:bCs/>
                      <w:caps w:val="0"/>
                      <w:color w:val="auto"/>
                      <w:spacing w:val="0"/>
                      <w:position w:val="0"/>
                      <w:highlight w:val="none"/>
                    </w:rPr>
                    <w:t>与《工业固体废物资源综合利用评价管理暂行办法》相符性分析</w:t>
                  </w:r>
                </w:p>
              </w:tc>
            </w:tr>
            <w:tr w14:paraId="1AABC4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vAlign w:val="center"/>
                </w:tcPr>
                <w:p w14:paraId="1E2ECDF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w:t>
                  </w:r>
                </w:p>
              </w:tc>
              <w:tc>
                <w:tcPr>
                  <w:tcW w:w="3813" w:type="dxa"/>
                  <w:tcBorders>
                    <w:tl2br w:val="nil"/>
                    <w:tr2bl w:val="nil"/>
                  </w:tcBorders>
                  <w:vAlign w:val="center"/>
                </w:tcPr>
                <w:p w14:paraId="5CF2674D">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（一）企业生产工艺、技术</w:t>
                  </w:r>
                  <w:r>
                    <w:rPr>
                      <w:rFonts w:hint="eastAsia"/>
                      <w:caps w:val="0"/>
                      <w:color w:val="auto"/>
                      <w:spacing w:val="0"/>
                      <w:position w:val="0"/>
                      <w:highlight w:val="none"/>
                      <w:lang w:val="en-US" w:eastAsia="zh-CN"/>
                    </w:rPr>
                    <w:t>需要</w:t>
                  </w:r>
                  <w:r>
                    <w:rPr>
                      <w:rFonts w:hint="eastAsia"/>
                      <w:caps w:val="0"/>
                      <w:color w:val="auto"/>
                      <w:spacing w:val="0"/>
                      <w:position w:val="0"/>
                      <w:highlight w:val="none"/>
                    </w:rPr>
                    <w:t>符合产业政策、技术规范；</w:t>
                  </w:r>
                </w:p>
              </w:tc>
              <w:tc>
                <w:tcPr>
                  <w:tcW w:w="2193" w:type="dxa"/>
                  <w:tcBorders>
                    <w:tl2br w:val="nil"/>
                    <w:tr2bl w:val="nil"/>
                  </w:tcBorders>
                  <w:vAlign w:val="center"/>
                </w:tcPr>
                <w:p w14:paraId="1B45CFC9">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本项目生产</w:t>
                  </w:r>
                  <w:r>
                    <w:rPr>
                      <w:rFonts w:hint="eastAsia"/>
                      <w:caps w:val="0"/>
                      <w:color w:val="auto"/>
                      <w:spacing w:val="0"/>
                      <w:position w:val="0"/>
                      <w:highlight w:val="none"/>
                    </w:rPr>
                    <w:t>工艺、技术符合产业政策、技术规范</w:t>
                  </w:r>
                  <w:r>
                    <w:rPr>
                      <w:rFonts w:hint="eastAsia"/>
                      <w:caps w:val="0"/>
                      <w:color w:val="auto"/>
                      <w:spacing w:val="0"/>
                      <w:position w:val="0"/>
                      <w:highlight w:val="none"/>
                      <w:lang w:eastAsia="zh-CN"/>
                    </w:rPr>
                    <w:t>。</w:t>
                  </w:r>
                </w:p>
              </w:tc>
              <w:tc>
                <w:tcPr>
                  <w:tcW w:w="731" w:type="dxa"/>
                  <w:tcBorders>
                    <w:tl2br w:val="nil"/>
                    <w:tr2bl w:val="nil"/>
                  </w:tcBorders>
                  <w:vAlign w:val="center"/>
                </w:tcPr>
                <w:p w14:paraId="1CE9851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相符</w:t>
                  </w:r>
                </w:p>
              </w:tc>
            </w:tr>
            <w:tr w14:paraId="4C3B30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vAlign w:val="center"/>
                </w:tcPr>
                <w:p w14:paraId="5C80953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w:t>
                  </w:r>
                </w:p>
              </w:tc>
              <w:tc>
                <w:tcPr>
                  <w:tcW w:w="3813" w:type="dxa"/>
                  <w:tcBorders>
                    <w:tl2br w:val="nil"/>
                    <w:tr2bl w:val="nil"/>
                  </w:tcBorders>
                  <w:vAlign w:val="center"/>
                </w:tcPr>
                <w:p w14:paraId="7BB4A0C3">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（二）企业综合利用的工业固体废物种类、产品是否符合目录要求；</w:t>
                  </w:r>
                </w:p>
              </w:tc>
              <w:tc>
                <w:tcPr>
                  <w:tcW w:w="2193" w:type="dxa"/>
                  <w:tcBorders>
                    <w:tl2br w:val="nil"/>
                    <w:tr2bl w:val="nil"/>
                  </w:tcBorders>
                  <w:vAlign w:val="center"/>
                </w:tcPr>
                <w:p w14:paraId="5DD91CCB">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本</w:t>
                  </w:r>
                  <w:r>
                    <w:rPr>
                      <w:rFonts w:hint="eastAsia"/>
                      <w:caps w:val="0"/>
                      <w:color w:val="auto"/>
                      <w:spacing w:val="0"/>
                      <w:position w:val="0"/>
                      <w:highlight w:val="none"/>
                    </w:rPr>
                    <w:t>项目属于</w:t>
                  </w:r>
                  <w:r>
                    <w:rPr>
                      <w:rFonts w:hint="eastAsia"/>
                      <w:caps w:val="0"/>
                      <w:color w:val="auto"/>
                      <w:spacing w:val="0"/>
                      <w:position w:val="0"/>
                      <w:highlight w:val="none"/>
                      <w:lang w:val="en-US" w:eastAsia="zh-CN"/>
                    </w:rPr>
                    <w:t>锂冶炼剩余物</w:t>
                  </w:r>
                  <w:r>
                    <w:rPr>
                      <w:rFonts w:hint="eastAsia"/>
                      <w:caps w:val="0"/>
                      <w:color w:val="auto"/>
                      <w:spacing w:val="0"/>
                      <w:position w:val="0"/>
                      <w:highlight w:val="none"/>
                    </w:rPr>
                    <w:t>综合利用项目。</w:t>
                  </w:r>
                </w:p>
              </w:tc>
              <w:tc>
                <w:tcPr>
                  <w:tcW w:w="731" w:type="dxa"/>
                  <w:tcBorders>
                    <w:tl2br w:val="nil"/>
                    <w:tr2bl w:val="nil"/>
                  </w:tcBorders>
                  <w:vAlign w:val="center"/>
                </w:tcPr>
                <w:p w14:paraId="3B4CE32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相符</w:t>
                  </w:r>
                </w:p>
              </w:tc>
            </w:tr>
            <w:tr w14:paraId="0AFAC3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72" w:type="dxa"/>
                  <w:tcBorders>
                    <w:tl2br w:val="nil"/>
                    <w:tr2bl w:val="nil"/>
                  </w:tcBorders>
                  <w:vAlign w:val="center"/>
                </w:tcPr>
                <w:p w14:paraId="3A8FE32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w:t>
                  </w:r>
                </w:p>
              </w:tc>
              <w:tc>
                <w:tcPr>
                  <w:tcW w:w="3813" w:type="dxa"/>
                  <w:tcBorders>
                    <w:tl2br w:val="nil"/>
                    <w:tr2bl w:val="nil"/>
                  </w:tcBorders>
                  <w:vAlign w:val="center"/>
                </w:tcPr>
                <w:p w14:paraId="44C0F56A">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（三）企业是否建立质量保证体系、环境管理体系；</w:t>
                  </w:r>
                </w:p>
              </w:tc>
              <w:tc>
                <w:tcPr>
                  <w:tcW w:w="2193" w:type="dxa"/>
                  <w:tcBorders>
                    <w:tl2br w:val="nil"/>
                    <w:tr2bl w:val="nil"/>
                  </w:tcBorders>
                  <w:vAlign w:val="center"/>
                </w:tcPr>
                <w:p w14:paraId="30C8A485">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eastAsia"/>
                      <w:caps w:val="0"/>
                      <w:color w:val="auto"/>
                      <w:spacing w:val="0"/>
                      <w:position w:val="0"/>
                      <w:highlight w:val="none"/>
                      <w:lang w:val="en-US" w:eastAsia="zh-CN"/>
                    </w:rPr>
                    <w:t>本项目已</w:t>
                  </w:r>
                  <w:r>
                    <w:rPr>
                      <w:rFonts w:hint="eastAsia"/>
                      <w:caps w:val="0"/>
                      <w:color w:val="auto"/>
                      <w:spacing w:val="0"/>
                      <w:position w:val="0"/>
                      <w:highlight w:val="none"/>
                    </w:rPr>
                    <w:t>建立质量保证体系、环境管理体系</w:t>
                  </w:r>
                  <w:r>
                    <w:rPr>
                      <w:rFonts w:hint="eastAsia"/>
                      <w:caps w:val="0"/>
                      <w:color w:val="auto"/>
                      <w:spacing w:val="0"/>
                      <w:position w:val="0"/>
                      <w:highlight w:val="none"/>
                      <w:lang w:eastAsia="zh-CN"/>
                    </w:rPr>
                    <w:t>。</w:t>
                  </w:r>
                </w:p>
              </w:tc>
              <w:tc>
                <w:tcPr>
                  <w:tcW w:w="731" w:type="dxa"/>
                  <w:tcBorders>
                    <w:tl2br w:val="nil"/>
                    <w:tr2bl w:val="nil"/>
                  </w:tcBorders>
                  <w:vAlign w:val="center"/>
                </w:tcPr>
                <w:p w14:paraId="74CB4F1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相符</w:t>
                  </w:r>
                </w:p>
              </w:tc>
            </w:tr>
          </w:tbl>
          <w:p w14:paraId="4F4C3071">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p>
          <w:p w14:paraId="6F414713">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p>
        </w:tc>
      </w:tr>
    </w:tbl>
    <w:p w14:paraId="0879806F">
      <w:pPr>
        <w:bidi w:val="0"/>
        <w:rPr>
          <w:caps w:val="0"/>
          <w:color w:val="auto"/>
          <w:spacing w:val="0"/>
          <w:position w:val="0"/>
          <w:highlight w:val="none"/>
        </w:rPr>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0D6B06">
      <w:pPr>
        <w:pStyle w:val="20"/>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jc w:val="center"/>
        <w:textAlignment w:val="auto"/>
        <w:outlineLvl w:val="0"/>
        <w:rPr>
          <w:rFonts w:hint="default" w:ascii="Times New Roman" w:hAnsi="Times New Roman" w:eastAsia="黑体" w:cs="Times New Roman"/>
          <w:caps w:val="0"/>
          <w:snapToGrid w:val="0"/>
          <w:color w:val="auto"/>
          <w:spacing w:val="0"/>
          <w:position w:val="0"/>
          <w:sz w:val="30"/>
          <w:szCs w:val="30"/>
          <w:highlight w:val="none"/>
        </w:rPr>
      </w:pPr>
      <w:bookmarkStart w:id="6" w:name="_Toc29662"/>
      <w:bookmarkStart w:id="7" w:name="_Toc21572"/>
      <w:r>
        <w:rPr>
          <w:rFonts w:hint="eastAsia" w:ascii="Times New Roman" w:hAnsi="Times New Roman" w:eastAsia="黑体" w:cs="Times New Roman"/>
          <w:caps w:val="0"/>
          <w:snapToGrid w:val="0"/>
          <w:color w:val="auto"/>
          <w:spacing w:val="0"/>
          <w:position w:val="0"/>
          <w:sz w:val="30"/>
          <w:szCs w:val="30"/>
          <w:highlight w:val="none"/>
          <w:lang w:val="en-US" w:eastAsia="zh-CN"/>
        </w:rPr>
        <w:t>二</w:t>
      </w:r>
      <w:r>
        <w:rPr>
          <w:rFonts w:hint="default" w:ascii="Times New Roman" w:hAnsi="Times New Roman" w:eastAsia="黑体" w:cs="Times New Roman"/>
          <w:caps w:val="0"/>
          <w:snapToGrid w:val="0"/>
          <w:color w:val="auto"/>
          <w:spacing w:val="0"/>
          <w:position w:val="0"/>
          <w:sz w:val="30"/>
          <w:szCs w:val="30"/>
          <w:highlight w:val="none"/>
        </w:rPr>
        <w:t>、建设项目工程分析</w:t>
      </w:r>
      <w:bookmarkEnd w:id="6"/>
      <w:bookmarkEnd w:id="7"/>
    </w:p>
    <w:tbl>
      <w:tblPr>
        <w:tblStyle w:val="23"/>
        <w:tblW w:w="913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37"/>
        <w:gridCol w:w="8296"/>
      </w:tblGrid>
      <w:tr w14:paraId="1DA791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3" w:type="dxa"/>
            <w:noWrap w:val="0"/>
            <w:vAlign w:val="center"/>
          </w:tcPr>
          <w:p w14:paraId="0AAE2A79">
            <w:pPr>
              <w:pStyle w:val="75"/>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szCs w:val="21"/>
                <w:highlight w:val="none"/>
              </w:rPr>
            </w:pPr>
            <w:r>
              <w:rPr>
                <w:rFonts w:hint="default" w:ascii="Times New Roman" w:hAnsi="Times New Roman" w:cs="Times New Roman"/>
                <w:caps w:val="0"/>
                <w:color w:val="auto"/>
                <w:spacing w:val="0"/>
                <w:position w:val="0"/>
                <w:highlight w:val="none"/>
              </w:rPr>
              <w:t>建设内容</w:t>
            </w:r>
          </w:p>
        </w:tc>
        <w:tc>
          <w:tcPr>
            <w:tcW w:w="8161" w:type="dxa"/>
            <w:noWrap w:val="0"/>
            <w:vAlign w:val="top"/>
          </w:tcPr>
          <w:p w14:paraId="54DABD0D">
            <w:pPr>
              <w:pStyle w:val="74"/>
              <w:keepNext w:val="0"/>
              <w:keepLines w:val="0"/>
              <w:suppressLineNumbers w:val="0"/>
              <w:bidi w:val="0"/>
              <w:spacing w:before="0" w:beforeAutospacing="0" w:after="0" w:afterAutospacing="0"/>
              <w:ind w:left="0" w:right="0"/>
              <w:rPr>
                <w:rFonts w:hint="default" w:ascii="Times New Roman" w:hAnsi="Times New Roman" w:cs="Times New Roman"/>
                <w:b/>
                <w:bCs w:val="0"/>
                <w:caps w:val="0"/>
                <w:color w:val="auto"/>
                <w:spacing w:val="0"/>
                <w:position w:val="0"/>
                <w:highlight w:val="none"/>
              </w:rPr>
            </w:pPr>
            <w:r>
              <w:rPr>
                <w:rFonts w:hint="default" w:ascii="Times New Roman" w:hAnsi="Times New Roman" w:cs="Times New Roman"/>
                <w:b/>
                <w:bCs w:val="0"/>
                <w:caps w:val="0"/>
                <w:color w:val="auto"/>
                <w:spacing w:val="0"/>
                <w:position w:val="0"/>
                <w:highlight w:val="none"/>
              </w:rPr>
              <w:t>1、项目名称、建设单位、总投资</w:t>
            </w:r>
          </w:p>
          <w:p w14:paraId="6CB3DE1C">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（1）项目名称：</w:t>
            </w:r>
            <w:r>
              <w:rPr>
                <w:rFonts w:hint="eastAsia" w:cs="Times New Roman"/>
                <w:caps w:val="0"/>
                <w:color w:val="auto"/>
                <w:spacing w:val="0"/>
                <w:position w:val="0"/>
                <w:highlight w:val="none"/>
                <w:lang w:val="en-US" w:eastAsia="zh-CN"/>
              </w:rPr>
              <w:t>江西腾灏环保科技有限公司发泡砖生产线建设项目</w:t>
            </w:r>
            <w:r>
              <w:rPr>
                <w:rFonts w:hint="default" w:ascii="Times New Roman" w:hAnsi="Times New Roman" w:cs="Times New Roman"/>
                <w:caps w:val="0"/>
                <w:color w:val="auto"/>
                <w:spacing w:val="0"/>
                <w:position w:val="0"/>
                <w:highlight w:val="none"/>
              </w:rPr>
              <w:t>；</w:t>
            </w:r>
          </w:p>
          <w:p w14:paraId="6E55796D">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（2）建设单位：</w:t>
            </w:r>
            <w:r>
              <w:rPr>
                <w:rFonts w:hint="eastAsia" w:cs="Times New Roman"/>
                <w:caps w:val="0"/>
                <w:color w:val="auto"/>
                <w:spacing w:val="0"/>
                <w:position w:val="0"/>
                <w:highlight w:val="none"/>
                <w:lang w:val="en-US" w:eastAsia="zh-CN"/>
              </w:rPr>
              <w:t>江西腾灏环保科技有限公司</w:t>
            </w:r>
            <w:r>
              <w:rPr>
                <w:rFonts w:hint="default" w:ascii="Times New Roman" w:hAnsi="Times New Roman" w:cs="Times New Roman"/>
                <w:caps w:val="0"/>
                <w:color w:val="auto"/>
                <w:spacing w:val="0"/>
                <w:position w:val="0"/>
                <w:highlight w:val="none"/>
              </w:rPr>
              <w:t>；</w:t>
            </w:r>
          </w:p>
          <w:p w14:paraId="5BF805DB">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（3）建设性质：</w:t>
            </w:r>
            <w:r>
              <w:rPr>
                <w:rFonts w:hint="default" w:ascii="Times New Roman" w:hAnsi="Times New Roman" w:cs="Times New Roman"/>
                <w:caps w:val="0"/>
                <w:color w:val="auto"/>
                <w:spacing w:val="0"/>
                <w:position w:val="0"/>
                <w:highlight w:val="none"/>
                <w:lang w:val="en-US" w:eastAsia="zh-CN"/>
              </w:rPr>
              <w:t>新建</w:t>
            </w:r>
            <w:r>
              <w:rPr>
                <w:rFonts w:hint="default" w:ascii="Times New Roman" w:hAnsi="Times New Roman" w:cs="Times New Roman"/>
                <w:caps w:val="0"/>
                <w:color w:val="auto"/>
                <w:spacing w:val="0"/>
                <w:position w:val="0"/>
                <w:highlight w:val="none"/>
              </w:rPr>
              <w:t>；</w:t>
            </w:r>
          </w:p>
          <w:p w14:paraId="130418EC">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（4）总投资：</w:t>
            </w:r>
            <w:r>
              <w:rPr>
                <w:rFonts w:hint="eastAsia" w:cs="Times New Roman"/>
                <w:caps w:val="0"/>
                <w:color w:val="auto"/>
                <w:spacing w:val="0"/>
                <w:position w:val="0"/>
                <w:highlight w:val="none"/>
                <w:lang w:val="en-US" w:eastAsia="zh-CN"/>
              </w:rPr>
              <w:t>650</w:t>
            </w:r>
            <w:r>
              <w:rPr>
                <w:rFonts w:hint="default" w:ascii="Times New Roman" w:hAnsi="Times New Roman" w:cs="Times New Roman"/>
                <w:caps w:val="0"/>
                <w:color w:val="auto"/>
                <w:spacing w:val="0"/>
                <w:position w:val="0"/>
                <w:highlight w:val="none"/>
              </w:rPr>
              <w:t>万元；</w:t>
            </w:r>
          </w:p>
          <w:p w14:paraId="3D68C1E8">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position w:val="0"/>
                <w:highlight w:val="none"/>
                <w:lang w:eastAsia="zh-CN"/>
              </w:rPr>
            </w:pPr>
            <w:r>
              <w:rPr>
                <w:rFonts w:hint="default" w:ascii="Times New Roman" w:hAnsi="Times New Roman" w:cs="Times New Roman"/>
                <w:caps w:val="0"/>
                <w:color w:val="auto"/>
                <w:spacing w:val="0"/>
                <w:position w:val="0"/>
                <w:highlight w:val="none"/>
              </w:rPr>
              <w:t>（5）建设地点：</w:t>
            </w:r>
            <w:r>
              <w:rPr>
                <w:rFonts w:hint="eastAsia" w:cs="Times New Roman"/>
                <w:caps w:val="0"/>
                <w:color w:val="auto"/>
                <w:spacing w:val="0"/>
                <w:position w:val="0"/>
                <w:highlight w:val="none"/>
                <w:lang w:val="en-US" w:eastAsia="zh-CN"/>
              </w:rPr>
              <w:t>江西省宜春市高安市建山镇枫林村(原泰华公司工业广场南面场地)</w:t>
            </w:r>
            <w:r>
              <w:rPr>
                <w:rFonts w:hint="default" w:ascii="Times New Roman" w:hAnsi="Times New Roman" w:cs="Times New Roman"/>
                <w:caps w:val="0"/>
                <w:color w:val="auto"/>
                <w:spacing w:val="0"/>
                <w:position w:val="0"/>
                <w:highlight w:val="none"/>
                <w:lang w:val="en-US" w:eastAsia="zh-CN"/>
              </w:rPr>
              <w:t>。</w:t>
            </w:r>
          </w:p>
          <w:p w14:paraId="2D132375">
            <w:pPr>
              <w:pStyle w:val="74"/>
              <w:keepNext w:val="0"/>
              <w:keepLines w:val="0"/>
              <w:suppressLineNumbers w:val="0"/>
              <w:bidi w:val="0"/>
              <w:spacing w:before="0" w:beforeAutospacing="0" w:after="0" w:afterAutospacing="0"/>
              <w:ind w:left="0" w:right="0"/>
              <w:rPr>
                <w:rFonts w:hint="default" w:ascii="Times New Roman" w:hAnsi="Times New Roman" w:cs="Times New Roman"/>
                <w:b/>
                <w:bCs w:val="0"/>
                <w:caps w:val="0"/>
                <w:color w:val="auto"/>
                <w:spacing w:val="0"/>
                <w:position w:val="0"/>
                <w:highlight w:val="none"/>
                <w:lang w:val="en-US" w:eastAsia="zh-CN"/>
              </w:rPr>
            </w:pPr>
            <w:r>
              <w:rPr>
                <w:rFonts w:hint="default" w:ascii="Times New Roman" w:hAnsi="Times New Roman" w:cs="Times New Roman"/>
                <w:b/>
                <w:bCs w:val="0"/>
                <w:caps w:val="0"/>
                <w:color w:val="auto"/>
                <w:spacing w:val="0"/>
                <w:position w:val="0"/>
                <w:highlight w:val="none"/>
                <w:lang w:val="en-US" w:eastAsia="zh-CN"/>
              </w:rPr>
              <w:t>2、</w:t>
            </w:r>
            <w:r>
              <w:rPr>
                <w:rFonts w:hint="default" w:ascii="Times New Roman" w:hAnsi="Times New Roman" w:cs="Times New Roman"/>
                <w:b/>
                <w:bCs w:val="0"/>
                <w:caps w:val="0"/>
                <w:color w:val="auto"/>
                <w:spacing w:val="0"/>
                <w:position w:val="0"/>
                <w:highlight w:val="none"/>
              </w:rPr>
              <w:t>项目</w:t>
            </w:r>
            <w:r>
              <w:rPr>
                <w:rFonts w:hint="default" w:ascii="Times New Roman" w:hAnsi="Times New Roman" w:cs="Times New Roman"/>
                <w:b/>
                <w:bCs w:val="0"/>
                <w:caps w:val="0"/>
                <w:color w:val="auto"/>
                <w:spacing w:val="0"/>
                <w:position w:val="0"/>
                <w:highlight w:val="none"/>
                <w:lang w:val="en-US" w:eastAsia="zh-CN"/>
              </w:rPr>
              <w:t>类别</w:t>
            </w:r>
          </w:p>
          <w:p w14:paraId="6462FAEE">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根据《国民经济行业分类》（GB/T4754-2017），本项目行业类别属于</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lang w:val="zh-CN" w:eastAsia="zh-CN"/>
              </w:rPr>
              <w:t>N7723固体废物治理</w:t>
            </w:r>
            <w:r>
              <w:rPr>
                <w:rFonts w:hint="eastAsia" w:cs="Times New Roman"/>
                <w:caps w:val="0"/>
                <w:color w:val="auto"/>
                <w:spacing w:val="0"/>
                <w:position w:val="0"/>
                <w:highlight w:val="none"/>
                <w:lang w:val="zh-CN" w:eastAsia="zh-CN"/>
              </w:rPr>
              <w:t>、</w:t>
            </w:r>
            <w:r>
              <w:rPr>
                <w:rFonts w:hint="default" w:ascii="Times New Roman" w:hAnsi="Times New Roman" w:cs="Times New Roman"/>
                <w:caps w:val="0"/>
                <w:color w:val="auto"/>
                <w:spacing w:val="0"/>
                <w:position w:val="0"/>
                <w:highlight w:val="none"/>
                <w:lang w:val="zh-CN" w:eastAsia="zh-CN"/>
              </w:rPr>
              <w:t>C3031粘土砖瓦及建筑砌块制造</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rPr>
              <w:t>。根据《中华人民共和国环境保护法</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rPr>
              <w:t>中华人民共和国环境影响评价法</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rPr>
              <w:t>建设项目环境保护管理条例》中的有关规定，本项目须开展环境影响评价工作。</w:t>
            </w:r>
          </w:p>
          <w:p w14:paraId="1C7D4E16">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position w:val="0"/>
                <w:szCs w:val="32"/>
                <w:highlight w:val="none"/>
              </w:rPr>
            </w:pPr>
            <w:r>
              <w:rPr>
                <w:rFonts w:hint="default" w:ascii="Times New Roman" w:hAnsi="Times New Roman" w:cs="Times New Roman"/>
                <w:caps w:val="0"/>
                <w:color w:val="auto"/>
                <w:spacing w:val="0"/>
                <w:position w:val="0"/>
                <w:highlight w:val="none"/>
              </w:rPr>
              <w:t>根据《建设项目环境影响评价分类管理名录（202</w:t>
            </w:r>
            <w:r>
              <w:rPr>
                <w:rFonts w:hint="eastAsia" w:cs="Times New Roman"/>
                <w:caps w:val="0"/>
                <w:color w:val="auto"/>
                <w:spacing w:val="0"/>
                <w:position w:val="0"/>
                <w:highlight w:val="none"/>
                <w:lang w:val="en-US" w:eastAsia="zh-CN"/>
              </w:rPr>
              <w:t>1</w:t>
            </w:r>
            <w:r>
              <w:rPr>
                <w:rFonts w:hint="default" w:ascii="Times New Roman" w:hAnsi="Times New Roman" w:cs="Times New Roman"/>
                <w:caps w:val="0"/>
                <w:color w:val="auto"/>
                <w:spacing w:val="0"/>
                <w:position w:val="0"/>
                <w:highlight w:val="none"/>
              </w:rPr>
              <w:t>年版）》，本项目属于</w:t>
            </w:r>
            <w:r>
              <w:rPr>
                <w:rFonts w:hint="default" w:ascii="Times New Roman" w:hAnsi="Times New Roman" w:cs="Times New Roman"/>
                <w:caps w:val="0"/>
                <w:color w:val="auto"/>
                <w:spacing w:val="0"/>
                <w:position w:val="0"/>
                <w:highlight w:val="none"/>
                <w:lang w:eastAsia="zh-CN"/>
              </w:rPr>
              <w:t>“二十七、非金属矿物制品业；55石膏、水泥制品及类似制品制造302水泥制品制造</w:t>
            </w:r>
            <w:r>
              <w:rPr>
                <w:rFonts w:hint="eastAsia" w:cs="Times New Roman"/>
                <w:caps w:val="0"/>
                <w:color w:val="auto"/>
                <w:spacing w:val="0"/>
                <w:position w:val="0"/>
                <w:highlight w:val="none"/>
                <w:lang w:val="en-US" w:eastAsia="zh-CN"/>
              </w:rPr>
              <w:t>和</w:t>
            </w:r>
            <w:r>
              <w:rPr>
                <w:rFonts w:hint="default" w:ascii="Times New Roman" w:hAnsi="Times New Roman" w:cs="Times New Roman"/>
                <w:caps w:val="0"/>
                <w:color w:val="auto"/>
                <w:spacing w:val="0"/>
                <w:position w:val="0"/>
                <w:highlight w:val="none"/>
                <w:lang w:eastAsia="zh-CN"/>
              </w:rPr>
              <w:t>56砖瓦、石材等建筑材料制造303-粘土砖瓦及建筑砌块制造、其他建筑材料制造；四十七、生态保护和环境治理业-103一般工业固体废物(含污水处理污泥)、建筑施工废弃物处置及综合利用其他”</w:t>
            </w:r>
            <w:r>
              <w:rPr>
                <w:rFonts w:hint="default" w:ascii="Times New Roman" w:hAnsi="Times New Roman" w:cs="Times New Roman"/>
                <w:caps w:val="0"/>
                <w:color w:val="auto"/>
                <w:spacing w:val="0"/>
                <w:position w:val="0"/>
                <w:highlight w:val="none"/>
              </w:rPr>
              <w:t>，本项目应编制环境影响评价报告表，具体判定见下表。</w:t>
            </w:r>
          </w:p>
          <w:p w14:paraId="7CDD6B56">
            <w:pPr>
              <w:pStyle w:val="75"/>
              <w:keepNext w:val="0"/>
              <w:keepLines w:val="0"/>
              <w:numPr>
                <w:ilvl w:val="0"/>
                <w:numId w:val="4"/>
              </w:numPr>
              <w:suppressLineNumbers w:val="0"/>
              <w:tabs>
                <w:tab w:val="left" w:pos="0"/>
                <w:tab w:val="clear" w:pos="420"/>
              </w:tabs>
              <w:bidi w:val="0"/>
              <w:spacing w:before="0" w:beforeAutospacing="0" w:after="0" w:afterAutospacing="0"/>
              <w:ind w:left="0" w:leftChars="0" w:right="0" w:firstLine="420" w:firstLineChars="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项目环评类别判定情况表</w:t>
            </w:r>
          </w:p>
          <w:tbl>
            <w:tblPr>
              <w:tblStyle w:val="23"/>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5"/>
              <w:gridCol w:w="1209"/>
              <w:gridCol w:w="1381"/>
              <w:gridCol w:w="1264"/>
              <w:gridCol w:w="1387"/>
              <w:gridCol w:w="445"/>
              <w:gridCol w:w="1644"/>
            </w:tblGrid>
            <w:tr w14:paraId="2E1F83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8" w:hRule="atLeast"/>
                <w:tblHeader/>
                <w:jc w:val="center"/>
              </w:trPr>
              <w:tc>
                <w:tcPr>
                  <w:tcW w:w="461" w:type="pct"/>
                  <w:vMerge w:val="restart"/>
                  <w:tcBorders>
                    <w:tl2br w:val="nil"/>
                    <w:tr2bl w:val="nil"/>
                  </w:tcBorders>
                  <w:noWrap w:val="0"/>
                  <w:vAlign w:val="center"/>
                </w:tcPr>
                <w:p w14:paraId="484F6467">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rPr>
                  </w:pPr>
                  <w:r>
                    <w:rPr>
                      <w:rFonts w:hint="default" w:ascii="Times New Roman" w:hAnsi="Times New Roman" w:cs="Times New Roman"/>
                      <w:b/>
                      <w:bCs/>
                      <w:caps w:val="0"/>
                      <w:color w:val="auto"/>
                      <w:spacing w:val="0"/>
                      <w:position w:val="0"/>
                      <w:highlight w:val="none"/>
                      <w:lang w:val="en-US" w:eastAsia="zh-CN"/>
                    </w:rPr>
                    <w:t>编制依据</w:t>
                  </w:r>
                </w:p>
              </w:tc>
              <w:tc>
                <w:tcPr>
                  <w:tcW w:w="1603" w:type="pct"/>
                  <w:gridSpan w:val="2"/>
                  <w:vMerge w:val="restart"/>
                  <w:tcBorders>
                    <w:tl2br w:val="nil"/>
                    <w:tr2bl w:val="nil"/>
                  </w:tcBorders>
                  <w:noWrap w:val="0"/>
                  <w:vAlign w:val="center"/>
                </w:tcPr>
                <w:p w14:paraId="2B70206A">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lang w:eastAsia="zh-CN"/>
                    </w:rPr>
                  </w:pPr>
                  <w:r>
                    <w:rPr>
                      <w:rFonts w:hint="default" w:ascii="Times New Roman" w:hAnsi="Times New Roman" w:cs="Times New Roman"/>
                      <w:b/>
                      <w:bCs/>
                      <w:caps w:val="0"/>
                      <w:color w:val="auto"/>
                      <w:spacing w:val="0"/>
                      <w:position w:val="0"/>
                      <w:highlight w:val="none"/>
                      <w:lang w:val="en-US" w:eastAsia="zh-CN"/>
                    </w:rPr>
                    <w:t>项目</w:t>
                  </w:r>
                  <w:r>
                    <w:rPr>
                      <w:rFonts w:hint="default" w:ascii="Times New Roman" w:hAnsi="Times New Roman" w:cs="Times New Roman"/>
                      <w:b/>
                      <w:bCs/>
                      <w:caps w:val="0"/>
                      <w:color w:val="auto"/>
                      <w:spacing w:val="0"/>
                      <w:position w:val="0"/>
                      <w:highlight w:val="none"/>
                      <w:lang w:eastAsia="zh-CN"/>
                    </w:rPr>
                    <w:t>类别</w:t>
                  </w:r>
                </w:p>
              </w:tc>
              <w:tc>
                <w:tcPr>
                  <w:tcW w:w="1917" w:type="pct"/>
                  <w:gridSpan w:val="3"/>
                  <w:tcBorders>
                    <w:tl2br w:val="nil"/>
                    <w:tr2bl w:val="nil"/>
                  </w:tcBorders>
                  <w:noWrap w:val="0"/>
                  <w:vAlign w:val="center"/>
                </w:tcPr>
                <w:p w14:paraId="17FC3251">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lang w:val="en-US" w:eastAsia="zh-CN"/>
                    </w:rPr>
                  </w:pPr>
                  <w:r>
                    <w:rPr>
                      <w:rFonts w:hint="default" w:ascii="Times New Roman" w:hAnsi="Times New Roman" w:cs="Times New Roman"/>
                      <w:b/>
                      <w:bCs/>
                      <w:caps w:val="0"/>
                      <w:color w:val="auto"/>
                      <w:spacing w:val="0"/>
                      <w:position w:val="0"/>
                      <w:highlight w:val="none"/>
                      <w:lang w:val="en-US" w:eastAsia="zh-CN"/>
                    </w:rPr>
                    <w:t>环评类别</w:t>
                  </w:r>
                </w:p>
              </w:tc>
              <w:tc>
                <w:tcPr>
                  <w:tcW w:w="1017" w:type="pct"/>
                  <w:vMerge w:val="restart"/>
                  <w:tcBorders>
                    <w:tl2br w:val="nil"/>
                    <w:tr2bl w:val="nil"/>
                  </w:tcBorders>
                  <w:noWrap w:val="0"/>
                  <w:vAlign w:val="center"/>
                </w:tcPr>
                <w:p w14:paraId="483765B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b/>
                      <w:bCs/>
                      <w:caps w:val="0"/>
                      <w:color w:val="auto"/>
                      <w:spacing w:val="0"/>
                      <w:position w:val="0"/>
                      <w:highlight w:val="none"/>
                      <w:lang w:val="en-US" w:eastAsia="zh-CN"/>
                    </w:rPr>
                    <w:t>判定结果</w:t>
                  </w:r>
                </w:p>
              </w:tc>
            </w:tr>
            <w:tr w14:paraId="738254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61" w:type="pct"/>
                  <w:vMerge w:val="continue"/>
                  <w:tcBorders>
                    <w:tl2br w:val="nil"/>
                    <w:tr2bl w:val="nil"/>
                  </w:tcBorders>
                  <w:noWrap w:val="0"/>
                  <w:vAlign w:val="center"/>
                </w:tcPr>
                <w:p w14:paraId="3A6B828B">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rPr>
                  </w:pPr>
                </w:p>
              </w:tc>
              <w:tc>
                <w:tcPr>
                  <w:tcW w:w="1603" w:type="pct"/>
                  <w:gridSpan w:val="2"/>
                  <w:vMerge w:val="continue"/>
                  <w:tcBorders>
                    <w:tl2br w:val="nil"/>
                    <w:tr2bl w:val="nil"/>
                  </w:tcBorders>
                  <w:noWrap w:val="0"/>
                  <w:vAlign w:val="center"/>
                </w:tcPr>
                <w:p w14:paraId="6D2BEC91">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rPr>
                  </w:pPr>
                </w:p>
              </w:tc>
              <w:tc>
                <w:tcPr>
                  <w:tcW w:w="782" w:type="pct"/>
                  <w:tcBorders>
                    <w:tl2br w:val="nil"/>
                    <w:tr2bl w:val="nil"/>
                  </w:tcBorders>
                  <w:noWrap w:val="0"/>
                  <w:vAlign w:val="center"/>
                </w:tcPr>
                <w:p w14:paraId="5AC25D0C">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lang w:val="en-US" w:eastAsia="zh-CN"/>
                    </w:rPr>
                  </w:pPr>
                  <w:r>
                    <w:rPr>
                      <w:rFonts w:hint="default" w:ascii="Times New Roman" w:hAnsi="Times New Roman" w:cs="Times New Roman"/>
                      <w:b/>
                      <w:bCs/>
                      <w:caps w:val="0"/>
                      <w:color w:val="auto"/>
                      <w:spacing w:val="0"/>
                      <w:position w:val="0"/>
                      <w:highlight w:val="none"/>
                      <w:lang w:val="en-US" w:eastAsia="zh-CN"/>
                    </w:rPr>
                    <w:t>报告书</w:t>
                  </w:r>
                </w:p>
              </w:tc>
              <w:tc>
                <w:tcPr>
                  <w:tcW w:w="858" w:type="pct"/>
                  <w:tcBorders>
                    <w:tl2br w:val="nil"/>
                    <w:tr2bl w:val="nil"/>
                  </w:tcBorders>
                  <w:noWrap w:val="0"/>
                  <w:vAlign w:val="center"/>
                </w:tcPr>
                <w:p w14:paraId="24203647">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lang w:val="en-US" w:eastAsia="zh-CN"/>
                    </w:rPr>
                  </w:pPr>
                  <w:r>
                    <w:rPr>
                      <w:rFonts w:hint="default" w:ascii="Times New Roman" w:hAnsi="Times New Roman" w:cs="Times New Roman"/>
                      <w:b/>
                      <w:bCs/>
                      <w:caps w:val="0"/>
                      <w:color w:val="auto"/>
                      <w:spacing w:val="0"/>
                      <w:position w:val="0"/>
                      <w:highlight w:val="none"/>
                      <w:lang w:val="en-US" w:eastAsia="zh-CN"/>
                    </w:rPr>
                    <w:t>报告表</w:t>
                  </w:r>
                </w:p>
              </w:tc>
              <w:tc>
                <w:tcPr>
                  <w:tcW w:w="275" w:type="pct"/>
                  <w:tcBorders>
                    <w:tl2br w:val="nil"/>
                    <w:tr2bl w:val="nil"/>
                  </w:tcBorders>
                  <w:noWrap w:val="0"/>
                  <w:vAlign w:val="center"/>
                </w:tcPr>
                <w:p w14:paraId="25800533">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lang w:val="en-US" w:eastAsia="zh-CN"/>
                    </w:rPr>
                  </w:pPr>
                  <w:r>
                    <w:rPr>
                      <w:rFonts w:hint="default" w:ascii="Times New Roman" w:hAnsi="Times New Roman" w:cs="Times New Roman"/>
                      <w:b/>
                      <w:bCs/>
                      <w:caps w:val="0"/>
                      <w:color w:val="auto"/>
                      <w:spacing w:val="0"/>
                      <w:position w:val="0"/>
                      <w:highlight w:val="none"/>
                      <w:lang w:val="en-US" w:eastAsia="zh-CN"/>
                    </w:rPr>
                    <w:t>登记表</w:t>
                  </w:r>
                </w:p>
              </w:tc>
              <w:tc>
                <w:tcPr>
                  <w:tcW w:w="1017" w:type="pct"/>
                  <w:vMerge w:val="continue"/>
                  <w:tcBorders>
                    <w:tl2br w:val="nil"/>
                    <w:tr2bl w:val="nil"/>
                  </w:tcBorders>
                  <w:noWrap w:val="0"/>
                  <w:vAlign w:val="center"/>
                </w:tcPr>
                <w:p w14:paraId="65F103D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r>
            <w:tr w14:paraId="54B902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61" w:type="pct"/>
                  <w:vMerge w:val="restart"/>
                  <w:tcBorders>
                    <w:tl2br w:val="nil"/>
                    <w:tr2bl w:val="nil"/>
                  </w:tcBorders>
                  <w:noWrap w:val="0"/>
                  <w:vAlign w:val="center"/>
                </w:tcPr>
                <w:p w14:paraId="557D9D0E">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《建设项目环境影响评价分类管理名录（2024年版）》</w:t>
                  </w:r>
                </w:p>
              </w:tc>
              <w:tc>
                <w:tcPr>
                  <w:tcW w:w="748" w:type="pct"/>
                  <w:tcBorders>
                    <w:tl2br w:val="nil"/>
                    <w:tr2bl w:val="nil"/>
                  </w:tcBorders>
                  <w:noWrap w:val="0"/>
                  <w:vAlign w:val="center"/>
                </w:tcPr>
                <w:p w14:paraId="4689A078">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四十七、生态保护和环境治理业</w:t>
                  </w:r>
                </w:p>
              </w:tc>
              <w:tc>
                <w:tcPr>
                  <w:tcW w:w="855" w:type="pct"/>
                  <w:tcBorders>
                    <w:tl2br w:val="nil"/>
                    <w:tr2bl w:val="nil"/>
                  </w:tcBorders>
                  <w:noWrap w:val="0"/>
                  <w:vAlign w:val="center"/>
                </w:tcPr>
                <w:p w14:paraId="5A23146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103、一般工业固体废物(含污水处理污泥)、建筑施工废弃物处置及综合利用</w:t>
                  </w:r>
                </w:p>
              </w:tc>
              <w:tc>
                <w:tcPr>
                  <w:tcW w:w="782" w:type="pct"/>
                  <w:tcBorders>
                    <w:tl2br w:val="nil"/>
                    <w:tr2bl w:val="nil"/>
                  </w:tcBorders>
                  <w:noWrap w:val="0"/>
                  <w:vAlign w:val="center"/>
                </w:tcPr>
                <w:p w14:paraId="4AE90182">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一般工业固体废物(含污水处理污泥)采取填埋、焚烧（水泥窑协同处置的改造项目除外）方式的</w:t>
                  </w:r>
                </w:p>
              </w:tc>
              <w:tc>
                <w:tcPr>
                  <w:tcW w:w="858" w:type="pct"/>
                  <w:tcBorders>
                    <w:tl2br w:val="nil"/>
                    <w:tr2bl w:val="nil"/>
                  </w:tcBorders>
                  <w:noWrap w:val="0"/>
                  <w:vAlign w:val="center"/>
                </w:tcPr>
                <w:p w14:paraId="674442B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eastAsia="zh-CN"/>
                    </w:rPr>
                  </w:pPr>
                  <w:r>
                    <w:rPr>
                      <w:rFonts w:hint="default" w:ascii="Times New Roman" w:hAnsi="Times New Roman" w:cs="Times New Roman"/>
                      <w:caps w:val="0"/>
                      <w:color w:val="auto"/>
                      <w:spacing w:val="0"/>
                      <w:position w:val="0"/>
                      <w:highlight w:val="none"/>
                      <w:lang w:eastAsia="zh-CN"/>
                    </w:rPr>
                    <w:t>其他</w:t>
                  </w:r>
                </w:p>
              </w:tc>
              <w:tc>
                <w:tcPr>
                  <w:tcW w:w="275" w:type="pct"/>
                  <w:tcBorders>
                    <w:tl2br w:val="nil"/>
                    <w:tr2bl w:val="nil"/>
                  </w:tcBorders>
                  <w:noWrap w:val="0"/>
                  <w:vAlign w:val="center"/>
                </w:tcPr>
                <w:p w14:paraId="6ECB2D9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eastAsia="zh-CN"/>
                    </w:rPr>
                  </w:pPr>
                  <w:r>
                    <w:rPr>
                      <w:rFonts w:hint="default" w:ascii="Times New Roman" w:hAnsi="Times New Roman" w:cs="Times New Roman"/>
                      <w:caps w:val="0"/>
                      <w:color w:val="auto"/>
                      <w:spacing w:val="0"/>
                      <w:position w:val="0"/>
                      <w:highlight w:val="none"/>
                      <w:lang w:val="en-US" w:eastAsia="zh-CN"/>
                    </w:rPr>
                    <w:t>/</w:t>
                  </w:r>
                </w:p>
              </w:tc>
              <w:tc>
                <w:tcPr>
                  <w:tcW w:w="1017" w:type="pct"/>
                  <w:tcBorders>
                    <w:tl2br w:val="nil"/>
                    <w:tr2bl w:val="nil"/>
                  </w:tcBorders>
                  <w:noWrap w:val="0"/>
                  <w:vAlign w:val="center"/>
                </w:tcPr>
                <w:p w14:paraId="31BEA9E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本项目为一般工业固体废物中其他，应编制环境影响报告表</w:t>
                  </w:r>
                </w:p>
              </w:tc>
            </w:tr>
            <w:tr w14:paraId="0CE366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61" w:type="pct"/>
                  <w:vMerge w:val="continue"/>
                  <w:tcBorders>
                    <w:tl2br w:val="nil"/>
                    <w:tr2bl w:val="nil"/>
                  </w:tcBorders>
                  <w:noWrap w:val="0"/>
                  <w:vAlign w:val="center"/>
                </w:tcPr>
                <w:p w14:paraId="1B32ED10">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p>
              </w:tc>
              <w:tc>
                <w:tcPr>
                  <w:tcW w:w="748" w:type="pct"/>
                  <w:tcBorders>
                    <w:tl2br w:val="nil"/>
                    <w:tr2bl w:val="nil"/>
                  </w:tcBorders>
                  <w:noWrap w:val="0"/>
                  <w:vAlign w:val="center"/>
                </w:tcPr>
                <w:p w14:paraId="089544C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二十七、非金属矿物制品业</w:t>
                  </w:r>
                </w:p>
              </w:tc>
              <w:tc>
                <w:tcPr>
                  <w:tcW w:w="855" w:type="pct"/>
                  <w:tcBorders>
                    <w:tl2br w:val="nil"/>
                    <w:tr2bl w:val="nil"/>
                  </w:tcBorders>
                  <w:noWrap w:val="0"/>
                  <w:vAlign w:val="center"/>
                </w:tcPr>
                <w:p w14:paraId="03F1DEE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56、砖瓦、石材等建筑材料制造</w:t>
                  </w:r>
                </w:p>
              </w:tc>
              <w:tc>
                <w:tcPr>
                  <w:tcW w:w="782" w:type="pct"/>
                  <w:tcBorders>
                    <w:tl2br w:val="nil"/>
                    <w:tr2bl w:val="nil"/>
                  </w:tcBorders>
                  <w:noWrap w:val="0"/>
                  <w:vAlign w:val="center"/>
                </w:tcPr>
                <w:p w14:paraId="6D5EAE38">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w:t>
                  </w:r>
                </w:p>
              </w:tc>
              <w:tc>
                <w:tcPr>
                  <w:tcW w:w="858" w:type="pct"/>
                  <w:tcBorders>
                    <w:tl2br w:val="nil"/>
                    <w:tr2bl w:val="nil"/>
                  </w:tcBorders>
                  <w:noWrap w:val="0"/>
                  <w:vAlign w:val="center"/>
                </w:tcPr>
                <w:p w14:paraId="49AE3F9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eastAsia="zh-CN"/>
                    </w:rPr>
                  </w:pPr>
                  <w:r>
                    <w:rPr>
                      <w:rFonts w:hint="default" w:ascii="Times New Roman" w:hAnsi="Times New Roman" w:cs="Times New Roman"/>
                      <w:caps w:val="0"/>
                      <w:color w:val="auto"/>
                      <w:spacing w:val="0"/>
                      <w:position w:val="0"/>
                      <w:highlight w:val="none"/>
                      <w:lang w:eastAsia="zh-CN"/>
                    </w:rPr>
                    <w:t>粘土砖瓦及建筑砌块制造；建筑用石加工；防水建筑材料制造；隔热、隔音材料制造；其他建筑材料制造（含干粉砂浆搅拌站）以上均不含利用石材板材切割、打磨、成型的</w:t>
                  </w:r>
                </w:p>
              </w:tc>
              <w:tc>
                <w:tcPr>
                  <w:tcW w:w="275" w:type="pct"/>
                  <w:tcBorders>
                    <w:tl2br w:val="nil"/>
                    <w:tr2bl w:val="nil"/>
                  </w:tcBorders>
                  <w:noWrap w:val="0"/>
                  <w:vAlign w:val="center"/>
                </w:tcPr>
                <w:p w14:paraId="0413DC2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w:t>
                  </w:r>
                </w:p>
              </w:tc>
              <w:tc>
                <w:tcPr>
                  <w:tcW w:w="1017" w:type="pct"/>
                  <w:tcBorders>
                    <w:tl2br w:val="nil"/>
                    <w:tr2bl w:val="nil"/>
                  </w:tcBorders>
                  <w:noWrap w:val="0"/>
                  <w:vAlign w:val="center"/>
                </w:tcPr>
                <w:p w14:paraId="573C5F6D">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本项目为</w:t>
                  </w:r>
                  <w:r>
                    <w:rPr>
                      <w:rFonts w:hint="default" w:ascii="Times New Roman" w:hAnsi="Times New Roman" w:eastAsia="宋体" w:cs="Times New Roman"/>
                      <w:caps w:val="0"/>
                      <w:color w:val="auto"/>
                      <w:spacing w:val="0"/>
                      <w:position w:val="0"/>
                      <w:highlight w:val="none"/>
                      <w:lang w:eastAsia="zh-CN"/>
                    </w:rPr>
                    <w:t>粘土砖瓦及建筑砌块制造</w:t>
                  </w:r>
                  <w:r>
                    <w:rPr>
                      <w:rFonts w:hint="default" w:ascii="Times New Roman" w:hAnsi="Times New Roman" w:cs="Times New Roman"/>
                      <w:caps w:val="0"/>
                      <w:color w:val="auto"/>
                      <w:spacing w:val="0"/>
                      <w:position w:val="0"/>
                      <w:highlight w:val="none"/>
                      <w:lang w:val="en-US" w:eastAsia="zh-CN"/>
                    </w:rPr>
                    <w:t>，应编制环境影响报告表</w:t>
                  </w:r>
                </w:p>
              </w:tc>
            </w:tr>
          </w:tbl>
          <w:p w14:paraId="6F536214">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eastAsia" w:cs="Times New Roman"/>
                <w:caps w:val="0"/>
                <w:color w:val="auto"/>
                <w:spacing w:val="0"/>
                <w:position w:val="0"/>
                <w:highlight w:val="none"/>
                <w:lang w:val="en-US" w:eastAsia="zh-CN"/>
              </w:rPr>
              <w:t>江西腾灏环保科技有限公司</w:t>
            </w:r>
            <w:r>
              <w:rPr>
                <w:rFonts w:hint="default" w:ascii="Times New Roman" w:hAnsi="Times New Roman" w:cs="Times New Roman"/>
                <w:caps w:val="0"/>
                <w:color w:val="auto"/>
                <w:spacing w:val="0"/>
                <w:position w:val="0"/>
                <w:highlight w:val="none"/>
              </w:rPr>
              <w:t>委托</w:t>
            </w:r>
            <w:r>
              <w:rPr>
                <w:rFonts w:hint="default" w:ascii="Times New Roman" w:hAnsi="Times New Roman" w:cs="Times New Roman"/>
                <w:caps w:val="0"/>
                <w:color w:val="auto"/>
                <w:spacing w:val="0"/>
                <w:position w:val="0"/>
                <w:highlight w:val="none"/>
                <w:lang w:val="en-US" w:eastAsia="zh-CN"/>
              </w:rPr>
              <w:t>本</w:t>
            </w:r>
            <w:r>
              <w:rPr>
                <w:rFonts w:hint="default" w:ascii="Times New Roman" w:hAnsi="Times New Roman" w:cs="Times New Roman"/>
                <w:caps w:val="0"/>
                <w:color w:val="auto"/>
                <w:spacing w:val="0"/>
                <w:position w:val="0"/>
                <w:highlight w:val="none"/>
              </w:rPr>
              <w:t>公司承担本项目的环境影响评价工作。本环评单位接受委托后，通过现场踏勘、资料收集、调查研究等工作，编制完成了本项目的《建设项目环境影响评价报告表》，作为项目建设的依据和生态环境行政主管部门管理的依据。</w:t>
            </w:r>
          </w:p>
          <w:p w14:paraId="07C272ED">
            <w:pPr>
              <w:pStyle w:val="74"/>
              <w:keepNext w:val="0"/>
              <w:keepLines w:val="0"/>
              <w:suppressLineNumbers w:val="0"/>
              <w:bidi w:val="0"/>
              <w:spacing w:before="0" w:beforeAutospacing="0" w:after="0" w:afterAutospacing="0"/>
              <w:ind w:left="0" w:right="0"/>
              <w:rPr>
                <w:rFonts w:hint="default" w:ascii="Times New Roman" w:hAnsi="Times New Roman" w:cs="Times New Roman"/>
                <w:b/>
                <w:bCs w:val="0"/>
                <w:caps w:val="0"/>
                <w:color w:val="auto"/>
                <w:spacing w:val="0"/>
                <w:position w:val="0"/>
                <w:highlight w:val="none"/>
              </w:rPr>
            </w:pPr>
            <w:r>
              <w:rPr>
                <w:rFonts w:hint="default" w:ascii="Times New Roman" w:hAnsi="Times New Roman" w:cs="Times New Roman"/>
                <w:b/>
                <w:bCs w:val="0"/>
                <w:caps w:val="0"/>
                <w:color w:val="auto"/>
                <w:spacing w:val="0"/>
                <w:position w:val="0"/>
                <w:highlight w:val="none"/>
                <w:lang w:val="en-US" w:eastAsia="zh-CN"/>
              </w:rPr>
              <w:t>3</w:t>
            </w:r>
            <w:r>
              <w:rPr>
                <w:rFonts w:hint="default" w:ascii="Times New Roman" w:hAnsi="Times New Roman" w:cs="Times New Roman"/>
                <w:b/>
                <w:bCs w:val="0"/>
                <w:caps w:val="0"/>
                <w:color w:val="auto"/>
                <w:spacing w:val="0"/>
                <w:position w:val="0"/>
                <w:highlight w:val="none"/>
              </w:rPr>
              <w:t>、项目主要建设内容</w:t>
            </w:r>
          </w:p>
          <w:p w14:paraId="35FC9271">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本项目位于</w:t>
            </w:r>
            <w:r>
              <w:rPr>
                <w:rFonts w:hint="eastAsia" w:cs="Times New Roman"/>
                <w:caps w:val="0"/>
                <w:color w:val="auto"/>
                <w:spacing w:val="0"/>
                <w:position w:val="0"/>
                <w:highlight w:val="none"/>
                <w:lang w:val="en-US" w:eastAsia="zh-CN"/>
              </w:rPr>
              <w:t>江西省宜春市高安市建山镇枫林村(原泰华公司工业广场南面场地)</w:t>
            </w:r>
            <w:r>
              <w:rPr>
                <w:rFonts w:hint="default" w:ascii="Times New Roman" w:hAnsi="Times New Roman" w:cs="Times New Roman"/>
                <w:caps w:val="0"/>
                <w:color w:val="auto"/>
                <w:spacing w:val="0"/>
                <w:position w:val="0"/>
                <w:highlight w:val="none"/>
                <w:lang w:val="en-US" w:eastAsia="zh-CN"/>
              </w:rPr>
              <w:t>，项目</w:t>
            </w:r>
            <w:r>
              <w:rPr>
                <w:rFonts w:hint="eastAsia" w:cs="Times New Roman"/>
                <w:caps w:val="0"/>
                <w:color w:val="auto"/>
                <w:spacing w:val="0"/>
                <w:position w:val="0"/>
                <w:highlight w:val="none"/>
                <w:lang w:val="en-US" w:eastAsia="zh-CN"/>
              </w:rPr>
              <w:t>整体</w:t>
            </w:r>
            <w:r>
              <w:rPr>
                <w:rFonts w:hint="default" w:ascii="Times New Roman" w:hAnsi="Times New Roman" w:cs="Times New Roman"/>
                <w:caps w:val="0"/>
                <w:color w:val="auto"/>
                <w:spacing w:val="0"/>
                <w:position w:val="0"/>
                <w:highlight w:val="none"/>
                <w:lang w:val="en-US" w:eastAsia="zh-CN"/>
              </w:rPr>
              <w:t>租赁</w:t>
            </w:r>
            <w:r>
              <w:rPr>
                <w:rFonts w:hint="eastAsia" w:cs="Times New Roman"/>
                <w:caps w:val="0"/>
                <w:color w:val="auto"/>
                <w:spacing w:val="0"/>
                <w:position w:val="0"/>
                <w:highlight w:val="none"/>
                <w:lang w:val="en-US" w:eastAsia="zh-CN"/>
              </w:rPr>
              <w:t>江西新余矿业有限责任公司英岗岭分公司</w:t>
            </w:r>
            <w:r>
              <w:rPr>
                <w:rFonts w:hint="default" w:ascii="Times New Roman" w:hAnsi="Times New Roman" w:cs="Times New Roman"/>
                <w:caps w:val="0"/>
                <w:color w:val="auto"/>
                <w:spacing w:val="0"/>
                <w:position w:val="0"/>
                <w:highlight w:val="none"/>
              </w:rPr>
              <w:t>的</w:t>
            </w:r>
            <w:r>
              <w:rPr>
                <w:rFonts w:hint="eastAsia"/>
                <w:caps w:val="0"/>
                <w:color w:val="auto"/>
                <w:spacing w:val="0"/>
                <w:position w:val="0"/>
                <w:highlight w:val="none"/>
                <w:lang w:val="en-US" w:eastAsia="zh-CN"/>
              </w:rPr>
              <w:t>厂区</w:t>
            </w:r>
            <w:r>
              <w:rPr>
                <w:rFonts w:hint="default" w:ascii="Times New Roman" w:hAnsi="Times New Roman" w:cs="Times New Roman"/>
                <w:caps w:val="0"/>
                <w:color w:val="auto"/>
                <w:spacing w:val="0"/>
                <w:position w:val="0"/>
                <w:highlight w:val="none"/>
                <w:lang w:val="en-US" w:eastAsia="zh-CN"/>
              </w:rPr>
              <w:t>建设本项目，</w:t>
            </w:r>
            <w:r>
              <w:rPr>
                <w:rFonts w:hint="eastAsia"/>
                <w:caps w:val="0"/>
                <w:color w:val="auto"/>
                <w:spacing w:val="0"/>
                <w:position w:val="0"/>
                <w:highlight w:val="none"/>
                <w:lang w:val="en-US" w:eastAsia="zh-CN"/>
              </w:rPr>
              <w:t>新建</w:t>
            </w:r>
            <w:r>
              <w:rPr>
                <w:rFonts w:hint="default" w:ascii="Times New Roman" w:hAnsi="Times New Roman" w:eastAsia="宋体" w:cs="Times New Roman"/>
                <w:caps w:val="0"/>
                <w:color w:val="auto"/>
                <w:spacing w:val="0"/>
                <w:position w:val="0"/>
                <w:sz w:val="24"/>
                <w:szCs w:val="24"/>
                <w:highlight w:val="none"/>
                <w:lang w:val="en-US" w:eastAsia="zh-CN"/>
              </w:rPr>
              <w:t>1栋生产</w:t>
            </w:r>
            <w:r>
              <w:rPr>
                <w:rFonts w:hint="eastAsia" w:cs="Times New Roman"/>
                <w:caps w:val="0"/>
                <w:color w:val="auto"/>
                <w:spacing w:val="0"/>
                <w:position w:val="0"/>
                <w:sz w:val="24"/>
                <w:szCs w:val="24"/>
                <w:highlight w:val="none"/>
                <w:lang w:val="en-US" w:eastAsia="zh-CN"/>
              </w:rPr>
              <w:t>厂房，里面设置生产区、</w:t>
            </w:r>
            <w:r>
              <w:rPr>
                <w:rFonts w:hint="default" w:ascii="Times New Roman" w:hAnsi="Times New Roman" w:eastAsia="宋体" w:cs="Times New Roman"/>
                <w:caps w:val="0"/>
                <w:color w:val="auto"/>
                <w:spacing w:val="0"/>
                <w:position w:val="0"/>
                <w:sz w:val="24"/>
                <w:szCs w:val="24"/>
                <w:highlight w:val="none"/>
                <w:lang w:val="en-US" w:eastAsia="zh-CN"/>
              </w:rPr>
              <w:t>原料仓库、</w:t>
            </w:r>
            <w:r>
              <w:rPr>
                <w:rFonts w:hint="eastAsia" w:cs="Times New Roman"/>
                <w:caps w:val="0"/>
                <w:color w:val="auto"/>
                <w:spacing w:val="0"/>
                <w:position w:val="0"/>
                <w:sz w:val="24"/>
                <w:szCs w:val="24"/>
                <w:highlight w:val="none"/>
                <w:lang w:val="en-US" w:eastAsia="zh-CN"/>
              </w:rPr>
              <w:t>锂渣仓库和养护区；</w:t>
            </w:r>
            <w:r>
              <w:rPr>
                <w:rFonts w:hint="default" w:ascii="Times New Roman" w:hAnsi="Times New Roman" w:eastAsia="宋体" w:cs="Times New Roman"/>
                <w:caps w:val="0"/>
                <w:color w:val="auto"/>
                <w:spacing w:val="0"/>
                <w:position w:val="0"/>
                <w:sz w:val="24"/>
                <w:szCs w:val="24"/>
                <w:highlight w:val="none"/>
                <w:lang w:val="en-US" w:eastAsia="zh-CN"/>
              </w:rPr>
              <w:t>办公室</w:t>
            </w:r>
            <w:r>
              <w:rPr>
                <w:rFonts w:hint="eastAsia" w:cs="Times New Roman"/>
                <w:caps w:val="0"/>
                <w:color w:val="auto"/>
                <w:spacing w:val="0"/>
                <w:position w:val="0"/>
                <w:sz w:val="24"/>
                <w:szCs w:val="24"/>
                <w:highlight w:val="none"/>
                <w:lang w:val="en-US" w:eastAsia="zh-CN"/>
              </w:rPr>
              <w:t>、洗车平台等</w:t>
            </w:r>
            <w:r>
              <w:rPr>
                <w:rFonts w:hint="default" w:ascii="Times New Roman" w:hAnsi="Times New Roman" w:eastAsia="宋体" w:cs="Times New Roman"/>
                <w:caps w:val="0"/>
                <w:color w:val="auto"/>
                <w:spacing w:val="0"/>
                <w:position w:val="0"/>
                <w:sz w:val="24"/>
                <w:szCs w:val="24"/>
                <w:highlight w:val="none"/>
                <w:lang w:val="en-US" w:eastAsia="zh-CN"/>
              </w:rPr>
              <w:t>配套附属设施</w:t>
            </w:r>
            <w:r>
              <w:rPr>
                <w:rFonts w:hint="eastAsia" w:cs="Times New Roman"/>
                <w:caps w:val="0"/>
                <w:color w:val="auto"/>
                <w:spacing w:val="0"/>
                <w:position w:val="0"/>
                <w:sz w:val="24"/>
                <w:szCs w:val="24"/>
                <w:highlight w:val="none"/>
                <w:lang w:val="en-US" w:eastAsia="zh-CN"/>
              </w:rPr>
              <w:t>依托现有</w:t>
            </w:r>
            <w:r>
              <w:rPr>
                <w:rFonts w:hint="default" w:ascii="Times New Roman" w:hAnsi="Times New Roman" w:eastAsia="宋体" w:cs="Times New Roman"/>
                <w:caps w:val="0"/>
                <w:color w:val="auto"/>
                <w:spacing w:val="0"/>
                <w:position w:val="0"/>
                <w:sz w:val="24"/>
                <w:szCs w:val="24"/>
                <w:highlight w:val="none"/>
                <w:lang w:val="en-US" w:eastAsia="zh-CN"/>
              </w:rPr>
              <w:t>，</w:t>
            </w:r>
            <w:r>
              <w:rPr>
                <w:rFonts w:hint="default" w:ascii="Times New Roman" w:hAnsi="Times New Roman" w:cs="Times New Roman"/>
                <w:caps w:val="0"/>
                <w:color w:val="auto"/>
                <w:spacing w:val="0"/>
                <w:position w:val="0"/>
                <w:highlight w:val="none"/>
                <w:lang w:val="en-US" w:eastAsia="zh-CN"/>
              </w:rPr>
              <w:t>项目总占地面积约</w:t>
            </w:r>
            <w:r>
              <w:rPr>
                <w:rFonts w:hint="eastAsia" w:cs="Times New Roman"/>
                <w:caps w:val="0"/>
                <w:color w:val="auto"/>
                <w:spacing w:val="0"/>
                <w:position w:val="0"/>
                <w:highlight w:val="none"/>
                <w:lang w:val="en-US" w:eastAsia="zh-CN"/>
              </w:rPr>
              <w:t>22500</w:t>
            </w:r>
            <w:r>
              <w:rPr>
                <w:rFonts w:hint="default" w:ascii="Times New Roman" w:hAnsi="Times New Roman" w:cs="Times New Roman"/>
                <w:caps w:val="0"/>
                <w:color w:val="auto"/>
                <w:spacing w:val="0"/>
                <w:position w:val="0"/>
                <w:highlight w:val="none"/>
                <w:lang w:val="en-US" w:eastAsia="zh-CN"/>
              </w:rPr>
              <w:t>m</w:t>
            </w:r>
            <w:r>
              <w:rPr>
                <w:rFonts w:hint="default" w:ascii="Times New Roman" w:hAnsi="Times New Roman" w:cs="Times New Roman"/>
                <w:caps w:val="0"/>
                <w:color w:val="auto"/>
                <w:spacing w:val="0"/>
                <w:position w:val="0"/>
                <w:highlight w:val="none"/>
                <w:vertAlign w:val="superscript"/>
                <w:lang w:val="en-US" w:eastAsia="zh-CN"/>
              </w:rPr>
              <w:t>2</w:t>
            </w:r>
            <w:r>
              <w:rPr>
                <w:rFonts w:hint="default" w:ascii="Times New Roman" w:hAnsi="Times New Roman" w:cs="Times New Roman"/>
                <w:caps w:val="0"/>
                <w:color w:val="auto"/>
                <w:spacing w:val="0"/>
                <w:position w:val="0"/>
                <w:highlight w:val="none"/>
                <w:lang w:val="en-US" w:eastAsia="zh-CN"/>
              </w:rPr>
              <w:t>，总建筑面积</w:t>
            </w:r>
            <w:r>
              <w:rPr>
                <w:rFonts w:hint="eastAsia" w:cs="Times New Roman"/>
                <w:caps w:val="0"/>
                <w:color w:val="auto"/>
                <w:spacing w:val="0"/>
                <w:position w:val="0"/>
                <w:highlight w:val="none"/>
                <w:lang w:val="en-US" w:eastAsia="zh-CN"/>
              </w:rPr>
              <w:t>6140</w:t>
            </w:r>
            <w:r>
              <w:rPr>
                <w:rFonts w:hint="default" w:ascii="Times New Roman" w:hAnsi="Times New Roman" w:cs="Times New Roman"/>
                <w:caps w:val="0"/>
                <w:color w:val="auto"/>
                <w:spacing w:val="0"/>
                <w:position w:val="0"/>
                <w:highlight w:val="none"/>
                <w:lang w:val="en-US" w:eastAsia="zh-CN"/>
              </w:rPr>
              <w:t>m</w:t>
            </w:r>
            <w:r>
              <w:rPr>
                <w:rFonts w:hint="default" w:ascii="Times New Roman" w:hAnsi="Times New Roman" w:cs="Times New Roman"/>
                <w:caps w:val="0"/>
                <w:color w:val="auto"/>
                <w:spacing w:val="0"/>
                <w:position w:val="0"/>
                <w:highlight w:val="none"/>
                <w:vertAlign w:val="superscript"/>
                <w:lang w:val="en-US" w:eastAsia="zh-CN"/>
              </w:rPr>
              <w:t>2</w:t>
            </w:r>
            <w:r>
              <w:rPr>
                <w:rFonts w:hint="eastAsia" w:cs="Times New Roman"/>
                <w:caps w:val="0"/>
                <w:color w:val="auto"/>
                <w:spacing w:val="0"/>
                <w:position w:val="0"/>
                <w:highlight w:val="none"/>
                <w:lang w:val="en-US" w:eastAsia="zh-CN"/>
              </w:rPr>
              <w:t>，</w:t>
            </w:r>
            <w:r>
              <w:rPr>
                <w:rFonts w:hint="default" w:ascii="Times New Roman" w:hAnsi="Times New Roman" w:cs="Times New Roman"/>
                <w:caps w:val="0"/>
                <w:color w:val="auto"/>
                <w:spacing w:val="0"/>
                <w:position w:val="0"/>
                <w:highlight w:val="none"/>
                <w:lang w:val="en-US" w:eastAsia="zh-CN"/>
              </w:rPr>
              <w:t>具体建设内容情况见下表</w:t>
            </w:r>
            <w:r>
              <w:rPr>
                <w:rFonts w:hint="default" w:ascii="Times New Roman" w:hAnsi="Times New Roman" w:cs="Times New Roman"/>
                <w:caps w:val="0"/>
                <w:color w:val="auto"/>
                <w:spacing w:val="0"/>
                <w:position w:val="0"/>
                <w:highlight w:val="none"/>
              </w:rPr>
              <w:t>。</w:t>
            </w:r>
          </w:p>
          <w:p w14:paraId="450EFD5C">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本项目锂冶炼剩余物由</w:t>
            </w:r>
            <w:r>
              <w:rPr>
                <w:rFonts w:hint="default" w:ascii="Times New Roman" w:hAnsi="Times New Roman" w:cs="Times New Roman"/>
                <w:caps w:val="0"/>
                <w:color w:val="auto"/>
                <w:spacing w:val="0"/>
                <w:position w:val="0"/>
                <w:highlight w:val="none"/>
                <w:lang w:val="en-US" w:eastAsia="zh-CN"/>
              </w:rPr>
              <w:t>物流公司</w:t>
            </w:r>
            <w:r>
              <w:rPr>
                <w:rFonts w:hint="default" w:ascii="Times New Roman" w:hAnsi="Times New Roman" w:cs="Times New Roman"/>
                <w:caps w:val="0"/>
                <w:color w:val="auto"/>
                <w:spacing w:val="0"/>
                <w:position w:val="0"/>
                <w:highlight w:val="none"/>
              </w:rPr>
              <w:t>负责运输，责任主体为</w:t>
            </w:r>
            <w:r>
              <w:rPr>
                <w:rFonts w:hint="default" w:ascii="Times New Roman" w:hAnsi="Times New Roman" w:cs="Times New Roman"/>
                <w:caps w:val="0"/>
                <w:color w:val="auto"/>
                <w:spacing w:val="0"/>
                <w:position w:val="0"/>
                <w:highlight w:val="none"/>
                <w:lang w:val="en-US" w:eastAsia="zh-CN"/>
              </w:rPr>
              <w:t>后期合作的物流公司</w:t>
            </w:r>
            <w:r>
              <w:rPr>
                <w:rFonts w:hint="default" w:ascii="Times New Roman" w:hAnsi="Times New Roman" w:cs="Times New Roman"/>
                <w:caps w:val="0"/>
                <w:color w:val="auto"/>
                <w:spacing w:val="0"/>
                <w:position w:val="0"/>
                <w:highlight w:val="none"/>
              </w:rPr>
              <w:t>，</w:t>
            </w:r>
            <w:r>
              <w:rPr>
                <w:rFonts w:hint="default" w:ascii="Times New Roman" w:hAnsi="Times New Roman" w:cs="Times New Roman"/>
                <w:b/>
                <w:bCs/>
                <w:caps w:val="0"/>
                <w:color w:val="auto"/>
                <w:spacing w:val="0"/>
                <w:position w:val="0"/>
                <w:highlight w:val="none"/>
              </w:rPr>
              <w:t>锂冶炼剩余物运输过程不属于本次评价内容</w:t>
            </w:r>
            <w:r>
              <w:rPr>
                <w:rFonts w:hint="default" w:ascii="Times New Roman" w:hAnsi="Times New Roman" w:cs="Times New Roman"/>
                <w:caps w:val="0"/>
                <w:color w:val="auto"/>
                <w:spacing w:val="0"/>
                <w:position w:val="0"/>
                <w:highlight w:val="none"/>
              </w:rPr>
              <w:t>。</w:t>
            </w:r>
          </w:p>
          <w:p w14:paraId="0BDDD1CB">
            <w:pPr>
              <w:pStyle w:val="75"/>
              <w:keepNext w:val="0"/>
              <w:keepLines w:val="0"/>
              <w:numPr>
                <w:ilvl w:val="0"/>
                <w:numId w:val="4"/>
              </w:numPr>
              <w:suppressLineNumbers w:val="0"/>
              <w:bidi w:val="0"/>
              <w:spacing w:before="0" w:beforeAutospacing="0" w:after="0" w:afterAutospacing="0"/>
              <w:ind w:left="0" w:leftChars="0" w:right="0" w:firstLine="420" w:firstLineChars="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项目主要建设内容一览表</w:t>
            </w:r>
          </w:p>
          <w:tbl>
            <w:tblPr>
              <w:tblStyle w:val="23"/>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79"/>
              <w:gridCol w:w="1257"/>
              <w:gridCol w:w="1566"/>
              <w:gridCol w:w="3366"/>
              <w:gridCol w:w="811"/>
            </w:tblGrid>
            <w:tr w14:paraId="0DE260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9" w:type="dxa"/>
                  <w:tcBorders>
                    <w:tl2br w:val="nil"/>
                    <w:tr2bl w:val="nil"/>
                  </w:tcBorders>
                  <w:vAlign w:val="center"/>
                </w:tcPr>
                <w:p w14:paraId="6DF4C452">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rPr>
                  </w:pPr>
                  <w:r>
                    <w:rPr>
                      <w:rFonts w:hint="default" w:ascii="Times New Roman" w:hAnsi="Times New Roman" w:cs="Times New Roman"/>
                      <w:b/>
                      <w:bCs/>
                      <w:caps w:val="0"/>
                      <w:color w:val="auto"/>
                      <w:spacing w:val="0"/>
                      <w:position w:val="0"/>
                      <w:highlight w:val="none"/>
                    </w:rPr>
                    <w:t>工程性质</w:t>
                  </w:r>
                </w:p>
              </w:tc>
              <w:tc>
                <w:tcPr>
                  <w:tcW w:w="1257" w:type="dxa"/>
                  <w:tcBorders>
                    <w:tl2br w:val="nil"/>
                    <w:tr2bl w:val="nil"/>
                  </w:tcBorders>
                  <w:vAlign w:val="center"/>
                </w:tcPr>
                <w:p w14:paraId="26AFA9FE">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rPr>
                  </w:pPr>
                  <w:r>
                    <w:rPr>
                      <w:rFonts w:hint="default" w:ascii="Times New Roman" w:hAnsi="Times New Roman" w:cs="Times New Roman"/>
                      <w:b/>
                      <w:bCs/>
                      <w:caps w:val="0"/>
                      <w:color w:val="auto"/>
                      <w:spacing w:val="0"/>
                      <w:position w:val="0"/>
                      <w:highlight w:val="none"/>
                    </w:rPr>
                    <w:t>项目内容</w:t>
                  </w:r>
                </w:p>
              </w:tc>
              <w:tc>
                <w:tcPr>
                  <w:tcW w:w="4932" w:type="dxa"/>
                  <w:gridSpan w:val="2"/>
                  <w:tcBorders>
                    <w:tl2br w:val="nil"/>
                    <w:tr2bl w:val="nil"/>
                  </w:tcBorders>
                  <w:vAlign w:val="center"/>
                </w:tcPr>
                <w:p w14:paraId="5144C0D2">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rPr>
                  </w:pPr>
                  <w:r>
                    <w:rPr>
                      <w:rFonts w:hint="default" w:ascii="Times New Roman" w:hAnsi="Times New Roman" w:cs="Times New Roman"/>
                      <w:b/>
                      <w:bCs/>
                      <w:caps w:val="0"/>
                      <w:color w:val="auto"/>
                      <w:spacing w:val="0"/>
                      <w:position w:val="0"/>
                      <w:highlight w:val="none"/>
                    </w:rPr>
                    <w:t>建设规模</w:t>
                  </w:r>
                </w:p>
              </w:tc>
              <w:tc>
                <w:tcPr>
                  <w:tcW w:w="811" w:type="dxa"/>
                  <w:tcBorders>
                    <w:tl2br w:val="nil"/>
                    <w:tr2bl w:val="nil"/>
                  </w:tcBorders>
                  <w:vAlign w:val="center"/>
                </w:tcPr>
                <w:p w14:paraId="463D6835">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rPr>
                  </w:pPr>
                  <w:r>
                    <w:rPr>
                      <w:rFonts w:hint="default" w:ascii="Times New Roman" w:hAnsi="Times New Roman" w:cs="Times New Roman"/>
                      <w:b/>
                      <w:bCs/>
                      <w:caps w:val="0"/>
                      <w:color w:val="auto"/>
                      <w:spacing w:val="0"/>
                      <w:position w:val="0"/>
                      <w:highlight w:val="none"/>
                    </w:rPr>
                    <w:t>备注</w:t>
                  </w:r>
                </w:p>
              </w:tc>
            </w:tr>
            <w:tr w14:paraId="3CD0F4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9" w:type="dxa"/>
                  <w:vMerge w:val="restart"/>
                  <w:tcBorders>
                    <w:tl2br w:val="nil"/>
                    <w:tr2bl w:val="nil"/>
                  </w:tcBorders>
                  <w:vAlign w:val="center"/>
                </w:tcPr>
                <w:p w14:paraId="3270BD02">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主体工程</w:t>
                  </w:r>
                </w:p>
              </w:tc>
              <w:tc>
                <w:tcPr>
                  <w:tcW w:w="1257" w:type="dxa"/>
                  <w:tcBorders>
                    <w:tl2br w:val="nil"/>
                    <w:tr2bl w:val="nil"/>
                  </w:tcBorders>
                  <w:shd w:val="clear" w:color="auto" w:fill="auto"/>
                  <w:vAlign w:val="center"/>
                </w:tcPr>
                <w:p w14:paraId="538C798B">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ascii="Times New Roman" w:hAnsi="Times New Roman" w:cs="Times New Roman"/>
                      <w:caps w:val="0"/>
                      <w:color w:val="auto"/>
                      <w:spacing w:val="0"/>
                      <w:position w:val="0"/>
                      <w:highlight w:val="none"/>
                      <w:lang w:val="en-US" w:eastAsia="zh-CN"/>
                    </w:rPr>
                    <w:t>生产厂房</w:t>
                  </w:r>
                </w:p>
              </w:tc>
              <w:tc>
                <w:tcPr>
                  <w:tcW w:w="4932" w:type="dxa"/>
                  <w:gridSpan w:val="2"/>
                  <w:tcBorders>
                    <w:tl2br w:val="nil"/>
                    <w:tr2bl w:val="nil"/>
                  </w:tcBorders>
                  <w:shd w:val="clear" w:color="auto" w:fill="auto"/>
                  <w:vAlign w:val="center"/>
                </w:tcPr>
                <w:p w14:paraId="70CEBCC5">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ascii="Times New Roman" w:hAnsi="Times New Roman" w:cs="Times New Roman"/>
                      <w:caps w:val="0"/>
                      <w:color w:val="auto"/>
                      <w:spacing w:val="0"/>
                      <w:position w:val="0"/>
                      <w:highlight w:val="none"/>
                      <w:lang w:val="en-US" w:eastAsia="zh-CN"/>
                    </w:rPr>
                    <w:t>位于租赁厂</w:t>
                  </w:r>
                  <w:r>
                    <w:rPr>
                      <w:rFonts w:hint="eastAsia" w:cs="Times New Roman"/>
                      <w:caps w:val="0"/>
                      <w:color w:val="auto"/>
                      <w:spacing w:val="0"/>
                      <w:position w:val="0"/>
                      <w:highlight w:val="none"/>
                      <w:lang w:val="en-US" w:eastAsia="zh-CN"/>
                    </w:rPr>
                    <w:t>区</w:t>
                  </w:r>
                  <w:r>
                    <w:rPr>
                      <w:rFonts w:hint="default" w:ascii="Times New Roman" w:hAnsi="Times New Roman" w:cs="Times New Roman"/>
                      <w:caps w:val="0"/>
                      <w:color w:val="auto"/>
                      <w:spacing w:val="0"/>
                      <w:position w:val="0"/>
                      <w:highlight w:val="none"/>
                      <w:lang w:val="en-US" w:eastAsia="zh-CN"/>
                    </w:rPr>
                    <w:t>西南侧，</w:t>
                  </w:r>
                  <w:r>
                    <w:rPr>
                      <w:rFonts w:hint="default" w:ascii="Times New Roman" w:hAnsi="Times New Roman" w:cs="Times New Roman"/>
                      <w:caps w:val="0"/>
                      <w:color w:val="auto"/>
                      <w:spacing w:val="0"/>
                      <w:position w:val="0"/>
                      <w:highlight w:val="none"/>
                    </w:rPr>
                    <w:t>1F，层高</w:t>
                  </w:r>
                  <w:r>
                    <w:rPr>
                      <w:rFonts w:hint="eastAsia" w:cs="Times New Roman"/>
                      <w:caps w:val="0"/>
                      <w:color w:val="auto"/>
                      <w:spacing w:val="0"/>
                      <w:position w:val="0"/>
                      <w:highlight w:val="none"/>
                      <w:lang w:val="en-US" w:eastAsia="zh-CN"/>
                    </w:rPr>
                    <w:t>8</w:t>
                  </w:r>
                  <w:r>
                    <w:rPr>
                      <w:rFonts w:hint="default" w:ascii="Times New Roman" w:hAnsi="Times New Roman" w:cs="Times New Roman"/>
                      <w:caps w:val="0"/>
                      <w:color w:val="auto"/>
                      <w:spacing w:val="0"/>
                      <w:position w:val="0"/>
                      <w:highlight w:val="none"/>
                    </w:rPr>
                    <w:t>m，建筑面积为</w:t>
                  </w:r>
                  <w:r>
                    <w:rPr>
                      <w:rFonts w:hint="eastAsia" w:cs="Times New Roman"/>
                      <w:caps w:val="0"/>
                      <w:color w:val="auto"/>
                      <w:spacing w:val="0"/>
                      <w:position w:val="0"/>
                      <w:highlight w:val="none"/>
                      <w:lang w:val="en-US" w:eastAsia="zh-CN"/>
                    </w:rPr>
                    <w:t>6100</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2</w:t>
                  </w:r>
                  <w:r>
                    <w:rPr>
                      <w:rFonts w:hint="default" w:ascii="Times New Roman" w:hAnsi="Times New Roman" w:cs="Times New Roman"/>
                      <w:caps w:val="0"/>
                      <w:color w:val="auto"/>
                      <w:spacing w:val="0"/>
                      <w:position w:val="0"/>
                      <w:highlight w:val="none"/>
                    </w:rPr>
                    <w:t>。</w:t>
                  </w:r>
                </w:p>
              </w:tc>
              <w:tc>
                <w:tcPr>
                  <w:tcW w:w="811" w:type="dxa"/>
                  <w:vMerge w:val="restart"/>
                  <w:tcBorders>
                    <w:tl2br w:val="nil"/>
                    <w:tr2bl w:val="nil"/>
                  </w:tcBorders>
                  <w:vAlign w:val="center"/>
                </w:tcPr>
                <w:p w14:paraId="69D83A6C">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eastAsia" w:cs="Times New Roman"/>
                      <w:caps w:val="0"/>
                      <w:color w:val="auto"/>
                      <w:spacing w:val="0"/>
                      <w:position w:val="0"/>
                      <w:highlight w:val="none"/>
                      <w:lang w:val="en-US" w:eastAsia="zh-CN"/>
                    </w:rPr>
                    <w:t>新建</w:t>
                  </w:r>
                </w:p>
              </w:tc>
            </w:tr>
            <w:tr w14:paraId="079488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9" w:type="dxa"/>
                  <w:vMerge w:val="continue"/>
                  <w:tcBorders>
                    <w:tl2br w:val="nil"/>
                    <w:tr2bl w:val="nil"/>
                  </w:tcBorders>
                  <w:vAlign w:val="center"/>
                </w:tcPr>
                <w:p w14:paraId="30C2D288">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257" w:type="dxa"/>
                  <w:tcBorders>
                    <w:tl2br w:val="nil"/>
                    <w:tr2bl w:val="nil"/>
                  </w:tcBorders>
                  <w:shd w:val="clear" w:color="auto" w:fill="auto"/>
                  <w:vAlign w:val="center"/>
                </w:tcPr>
                <w:p w14:paraId="4037A7AA">
                  <w:pPr>
                    <w:pStyle w:val="28"/>
                    <w:keepNext w:val="0"/>
                    <w:keepLines w:val="0"/>
                    <w:suppressLineNumbers w:val="0"/>
                    <w:bidi w:val="0"/>
                    <w:spacing w:beforeAutospacing="0" w:afterAutospacing="0"/>
                    <w:ind w:left="0" w:leftChars="0" w:right="0" w:rightChars="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生产区</w:t>
                  </w:r>
                </w:p>
              </w:tc>
              <w:tc>
                <w:tcPr>
                  <w:tcW w:w="4932" w:type="dxa"/>
                  <w:gridSpan w:val="2"/>
                  <w:tcBorders>
                    <w:tl2br w:val="nil"/>
                    <w:tr2bl w:val="nil"/>
                  </w:tcBorders>
                  <w:shd w:val="clear" w:color="auto" w:fill="auto"/>
                  <w:vAlign w:val="center"/>
                </w:tcPr>
                <w:p w14:paraId="0C07C714">
                  <w:pPr>
                    <w:pStyle w:val="28"/>
                    <w:keepNext w:val="0"/>
                    <w:keepLines w:val="0"/>
                    <w:suppressLineNumbers w:val="0"/>
                    <w:bidi w:val="0"/>
                    <w:spacing w:beforeAutospacing="0" w:afterAutospacing="0"/>
                    <w:ind w:left="0" w:leftChars="0" w:right="0" w:rightChars="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位于新建生产厂房南侧，</w:t>
                  </w:r>
                  <w:r>
                    <w:rPr>
                      <w:rFonts w:hint="default" w:ascii="Times New Roman" w:hAnsi="Times New Roman" w:cs="Times New Roman"/>
                      <w:caps w:val="0"/>
                      <w:color w:val="auto"/>
                      <w:spacing w:val="0"/>
                      <w:position w:val="0"/>
                      <w:highlight w:val="none"/>
                    </w:rPr>
                    <w:t>1F，层高</w:t>
                  </w:r>
                  <w:r>
                    <w:rPr>
                      <w:rFonts w:hint="eastAsia" w:cs="Times New Roman"/>
                      <w:caps w:val="0"/>
                      <w:color w:val="auto"/>
                      <w:spacing w:val="0"/>
                      <w:position w:val="0"/>
                      <w:highlight w:val="none"/>
                      <w:lang w:val="en-US" w:eastAsia="zh-CN"/>
                    </w:rPr>
                    <w:t>8</w:t>
                  </w:r>
                  <w:r>
                    <w:rPr>
                      <w:rFonts w:hint="default" w:ascii="Times New Roman" w:hAnsi="Times New Roman" w:cs="Times New Roman"/>
                      <w:caps w:val="0"/>
                      <w:color w:val="auto"/>
                      <w:spacing w:val="0"/>
                      <w:position w:val="0"/>
                      <w:highlight w:val="none"/>
                    </w:rPr>
                    <w:t>m，建筑面积为</w:t>
                  </w:r>
                  <w:r>
                    <w:rPr>
                      <w:rFonts w:hint="eastAsia" w:cs="Times New Roman"/>
                      <w:caps w:val="0"/>
                      <w:color w:val="auto"/>
                      <w:spacing w:val="0"/>
                      <w:position w:val="0"/>
                      <w:highlight w:val="none"/>
                      <w:lang w:val="en-US" w:eastAsia="zh-CN"/>
                    </w:rPr>
                    <w:t>2000</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2</w:t>
                  </w:r>
                  <w:r>
                    <w:rPr>
                      <w:rFonts w:hint="default" w:ascii="Times New Roman" w:hAnsi="Times New Roman" w:cs="Times New Roman"/>
                      <w:caps w:val="0"/>
                      <w:color w:val="auto"/>
                      <w:spacing w:val="0"/>
                      <w:position w:val="0"/>
                      <w:highlight w:val="none"/>
                    </w:rPr>
                    <w:t>。</w:t>
                  </w:r>
                </w:p>
              </w:tc>
              <w:tc>
                <w:tcPr>
                  <w:tcW w:w="811" w:type="dxa"/>
                  <w:vMerge w:val="continue"/>
                  <w:tcBorders>
                    <w:tl2br w:val="nil"/>
                    <w:tr2bl w:val="nil"/>
                  </w:tcBorders>
                  <w:vAlign w:val="center"/>
                </w:tcPr>
                <w:p w14:paraId="58B6E072">
                  <w:pPr>
                    <w:pStyle w:val="28"/>
                    <w:keepNext w:val="0"/>
                    <w:keepLines w:val="0"/>
                    <w:suppressLineNumbers w:val="0"/>
                    <w:bidi w:val="0"/>
                    <w:spacing w:beforeAutospacing="0" w:afterAutospacing="0"/>
                    <w:ind w:left="0" w:right="0"/>
                    <w:rPr>
                      <w:rFonts w:hint="eastAsia" w:cs="Times New Roman"/>
                      <w:caps w:val="0"/>
                      <w:color w:val="auto"/>
                      <w:spacing w:val="0"/>
                      <w:position w:val="0"/>
                      <w:highlight w:val="none"/>
                      <w:lang w:val="en-US" w:eastAsia="zh-CN"/>
                    </w:rPr>
                  </w:pPr>
                </w:p>
              </w:tc>
            </w:tr>
            <w:tr w14:paraId="14211C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1079" w:type="dxa"/>
                  <w:vMerge w:val="restart"/>
                  <w:tcBorders>
                    <w:tl2br w:val="nil"/>
                    <w:tr2bl w:val="nil"/>
                  </w:tcBorders>
                  <w:vAlign w:val="center"/>
                </w:tcPr>
                <w:p w14:paraId="0DF8102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储运工程</w:t>
                  </w:r>
                </w:p>
              </w:tc>
              <w:tc>
                <w:tcPr>
                  <w:tcW w:w="1257" w:type="dxa"/>
                  <w:tcBorders>
                    <w:tl2br w:val="nil"/>
                    <w:tr2bl w:val="nil"/>
                  </w:tcBorders>
                  <w:vAlign w:val="center"/>
                </w:tcPr>
                <w:p w14:paraId="71342D0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原料</w:t>
                  </w:r>
                  <w:r>
                    <w:rPr>
                      <w:rFonts w:hint="default" w:ascii="Times New Roman" w:hAnsi="Times New Roman" w:cs="Times New Roman"/>
                      <w:caps w:val="0"/>
                      <w:color w:val="auto"/>
                      <w:spacing w:val="0"/>
                      <w:position w:val="0"/>
                      <w:highlight w:val="none"/>
                    </w:rPr>
                    <w:t>仓</w:t>
                  </w:r>
                  <w:r>
                    <w:rPr>
                      <w:rFonts w:hint="default" w:ascii="Times New Roman" w:hAnsi="Times New Roman" w:cs="Times New Roman"/>
                      <w:caps w:val="0"/>
                      <w:color w:val="auto"/>
                      <w:spacing w:val="0"/>
                      <w:position w:val="0"/>
                      <w:highlight w:val="none"/>
                      <w:lang w:val="en-US" w:eastAsia="zh-CN"/>
                    </w:rPr>
                    <w:t>库</w:t>
                  </w:r>
                </w:p>
              </w:tc>
              <w:tc>
                <w:tcPr>
                  <w:tcW w:w="4932" w:type="dxa"/>
                  <w:gridSpan w:val="2"/>
                  <w:tcBorders>
                    <w:tl2br w:val="nil"/>
                    <w:tr2bl w:val="nil"/>
                  </w:tcBorders>
                  <w:vAlign w:val="center"/>
                </w:tcPr>
                <w:p w14:paraId="4EBED842">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位于</w:t>
                  </w:r>
                  <w:r>
                    <w:rPr>
                      <w:rFonts w:hint="eastAsia" w:cs="Times New Roman"/>
                      <w:caps w:val="0"/>
                      <w:color w:val="auto"/>
                      <w:spacing w:val="0"/>
                      <w:position w:val="0"/>
                      <w:highlight w:val="none"/>
                      <w:lang w:val="en-US" w:eastAsia="zh-CN"/>
                    </w:rPr>
                    <w:t>新建生产厂房东侧中部</w:t>
                  </w:r>
                  <w:r>
                    <w:rPr>
                      <w:rFonts w:hint="default" w:ascii="Times New Roman" w:hAnsi="Times New Roman" w:cs="Times New Roman"/>
                      <w:caps w:val="0"/>
                      <w:color w:val="auto"/>
                      <w:spacing w:val="0"/>
                      <w:position w:val="0"/>
                      <w:highlight w:val="none"/>
                      <w:lang w:val="en-US" w:eastAsia="zh-CN"/>
                    </w:rPr>
                    <w:t>，</w:t>
                  </w:r>
                  <w:r>
                    <w:rPr>
                      <w:rFonts w:hint="default" w:ascii="Times New Roman" w:hAnsi="Times New Roman" w:cs="Times New Roman"/>
                      <w:caps w:val="0"/>
                      <w:color w:val="auto"/>
                      <w:spacing w:val="0"/>
                      <w:position w:val="0"/>
                      <w:highlight w:val="none"/>
                    </w:rPr>
                    <w:t>1F，层高</w:t>
                  </w:r>
                  <w:r>
                    <w:rPr>
                      <w:rFonts w:hint="eastAsia" w:cs="Times New Roman"/>
                      <w:caps w:val="0"/>
                      <w:color w:val="auto"/>
                      <w:spacing w:val="0"/>
                      <w:position w:val="0"/>
                      <w:highlight w:val="none"/>
                      <w:lang w:val="en-US" w:eastAsia="zh-CN"/>
                    </w:rPr>
                    <w:t>8</w:t>
                  </w:r>
                  <w:r>
                    <w:rPr>
                      <w:rFonts w:hint="default" w:ascii="Times New Roman" w:hAnsi="Times New Roman" w:cs="Times New Roman"/>
                      <w:caps w:val="0"/>
                      <w:color w:val="auto"/>
                      <w:spacing w:val="0"/>
                      <w:position w:val="0"/>
                      <w:highlight w:val="none"/>
                    </w:rPr>
                    <w:t>m，建筑面积为</w:t>
                  </w:r>
                  <w:r>
                    <w:rPr>
                      <w:rFonts w:hint="eastAsia" w:cs="Times New Roman"/>
                      <w:caps w:val="0"/>
                      <w:color w:val="auto"/>
                      <w:spacing w:val="0"/>
                      <w:position w:val="0"/>
                      <w:highlight w:val="none"/>
                      <w:lang w:val="en-US" w:eastAsia="zh-CN"/>
                    </w:rPr>
                    <w:t>1000</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2</w:t>
                  </w:r>
                  <w:r>
                    <w:rPr>
                      <w:rFonts w:hint="default" w:ascii="Times New Roman" w:hAnsi="Times New Roman" w:cs="Times New Roman"/>
                      <w:caps w:val="0"/>
                      <w:color w:val="auto"/>
                      <w:spacing w:val="0"/>
                      <w:position w:val="0"/>
                      <w:highlight w:val="none"/>
                    </w:rPr>
                    <w:t>。</w:t>
                  </w:r>
                </w:p>
              </w:tc>
              <w:tc>
                <w:tcPr>
                  <w:tcW w:w="811" w:type="dxa"/>
                  <w:vMerge w:val="continue"/>
                  <w:tcBorders>
                    <w:tl2br w:val="nil"/>
                    <w:tr2bl w:val="nil"/>
                  </w:tcBorders>
                  <w:vAlign w:val="center"/>
                </w:tcPr>
                <w:p w14:paraId="515AF76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r>
            <w:tr w14:paraId="3D60C8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9" w:type="dxa"/>
                  <w:vMerge w:val="continue"/>
                  <w:tcBorders>
                    <w:tl2br w:val="nil"/>
                    <w:tr2bl w:val="nil"/>
                  </w:tcBorders>
                  <w:vAlign w:val="center"/>
                </w:tcPr>
                <w:p w14:paraId="3C4ABB9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257" w:type="dxa"/>
                  <w:tcBorders>
                    <w:tl2br w:val="nil"/>
                    <w:tr2bl w:val="nil"/>
                  </w:tcBorders>
                  <w:shd w:val="clear" w:color="auto" w:fill="auto"/>
                  <w:vAlign w:val="center"/>
                </w:tcPr>
                <w:p w14:paraId="267E7E4B">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ascii="Times New Roman" w:hAnsi="Times New Roman" w:cs="Times New Roman"/>
                      <w:caps w:val="0"/>
                      <w:color w:val="auto"/>
                      <w:spacing w:val="0"/>
                      <w:position w:val="0"/>
                      <w:highlight w:val="none"/>
                      <w:lang w:val="en-US" w:eastAsia="zh-CN"/>
                    </w:rPr>
                    <w:t>锂渣仓库</w:t>
                  </w:r>
                </w:p>
              </w:tc>
              <w:tc>
                <w:tcPr>
                  <w:tcW w:w="4932" w:type="dxa"/>
                  <w:gridSpan w:val="2"/>
                  <w:tcBorders>
                    <w:tl2br w:val="nil"/>
                    <w:tr2bl w:val="nil"/>
                  </w:tcBorders>
                  <w:shd w:val="clear" w:color="auto" w:fill="auto"/>
                  <w:vAlign w:val="center"/>
                </w:tcPr>
                <w:p w14:paraId="36D5F8C8">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ascii="Times New Roman" w:hAnsi="Times New Roman" w:cs="Times New Roman"/>
                      <w:caps w:val="0"/>
                      <w:color w:val="auto"/>
                      <w:spacing w:val="0"/>
                      <w:position w:val="0"/>
                      <w:highlight w:val="none"/>
                      <w:lang w:val="en-US" w:eastAsia="zh-CN"/>
                    </w:rPr>
                    <w:t>位于</w:t>
                  </w:r>
                  <w:r>
                    <w:rPr>
                      <w:rFonts w:hint="eastAsia" w:cs="Times New Roman"/>
                      <w:caps w:val="0"/>
                      <w:color w:val="auto"/>
                      <w:spacing w:val="0"/>
                      <w:position w:val="0"/>
                      <w:highlight w:val="none"/>
                      <w:lang w:val="en-US" w:eastAsia="zh-CN"/>
                    </w:rPr>
                    <w:t>新建生产厂房东北</w:t>
                  </w:r>
                  <w:r>
                    <w:rPr>
                      <w:rFonts w:hint="default" w:ascii="Times New Roman" w:hAnsi="Times New Roman" w:cs="Times New Roman"/>
                      <w:caps w:val="0"/>
                      <w:color w:val="auto"/>
                      <w:spacing w:val="0"/>
                      <w:position w:val="0"/>
                      <w:highlight w:val="none"/>
                      <w:lang w:val="en-US" w:eastAsia="zh-CN"/>
                    </w:rPr>
                    <w:t>侧，</w:t>
                  </w:r>
                  <w:r>
                    <w:rPr>
                      <w:rFonts w:hint="default" w:ascii="Times New Roman" w:hAnsi="Times New Roman" w:cs="Times New Roman"/>
                      <w:caps w:val="0"/>
                      <w:color w:val="auto"/>
                      <w:spacing w:val="0"/>
                      <w:position w:val="0"/>
                      <w:highlight w:val="none"/>
                    </w:rPr>
                    <w:t>1F，层高</w:t>
                  </w:r>
                  <w:r>
                    <w:rPr>
                      <w:rFonts w:hint="eastAsia" w:cs="Times New Roman"/>
                      <w:caps w:val="0"/>
                      <w:color w:val="auto"/>
                      <w:spacing w:val="0"/>
                      <w:position w:val="0"/>
                      <w:highlight w:val="none"/>
                      <w:lang w:val="en-US" w:eastAsia="zh-CN"/>
                    </w:rPr>
                    <w:t>8</w:t>
                  </w:r>
                  <w:r>
                    <w:rPr>
                      <w:rFonts w:hint="default" w:ascii="Times New Roman" w:hAnsi="Times New Roman" w:cs="Times New Roman"/>
                      <w:caps w:val="0"/>
                      <w:color w:val="auto"/>
                      <w:spacing w:val="0"/>
                      <w:position w:val="0"/>
                      <w:highlight w:val="none"/>
                    </w:rPr>
                    <w:t>m，建筑面积为</w:t>
                  </w:r>
                  <w:r>
                    <w:rPr>
                      <w:rFonts w:hint="eastAsia" w:cs="Times New Roman"/>
                      <w:caps w:val="0"/>
                      <w:color w:val="auto"/>
                      <w:spacing w:val="0"/>
                      <w:position w:val="0"/>
                      <w:highlight w:val="none"/>
                      <w:lang w:val="en-US" w:eastAsia="zh-CN"/>
                    </w:rPr>
                    <w:t>1000</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2</w:t>
                  </w:r>
                  <w:r>
                    <w:rPr>
                      <w:rFonts w:hint="default" w:ascii="Times New Roman" w:hAnsi="Times New Roman" w:cs="Times New Roman"/>
                      <w:caps w:val="0"/>
                      <w:color w:val="auto"/>
                      <w:spacing w:val="0"/>
                      <w:position w:val="0"/>
                      <w:highlight w:val="none"/>
                    </w:rPr>
                    <w:t>。</w:t>
                  </w:r>
                </w:p>
              </w:tc>
              <w:tc>
                <w:tcPr>
                  <w:tcW w:w="811" w:type="dxa"/>
                  <w:vMerge w:val="continue"/>
                  <w:tcBorders>
                    <w:tl2br w:val="nil"/>
                    <w:tr2bl w:val="nil"/>
                  </w:tcBorders>
                  <w:vAlign w:val="center"/>
                </w:tcPr>
                <w:p w14:paraId="74E582E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r>
            <w:tr w14:paraId="7CC325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9" w:type="dxa"/>
                  <w:vMerge w:val="continue"/>
                  <w:tcBorders>
                    <w:tl2br w:val="nil"/>
                    <w:tr2bl w:val="nil"/>
                  </w:tcBorders>
                  <w:vAlign w:val="center"/>
                </w:tcPr>
                <w:p w14:paraId="58B7EFE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257" w:type="dxa"/>
                  <w:tcBorders>
                    <w:tl2br w:val="nil"/>
                    <w:tr2bl w:val="nil"/>
                  </w:tcBorders>
                  <w:shd w:val="clear" w:color="auto" w:fill="auto"/>
                  <w:vAlign w:val="center"/>
                </w:tcPr>
                <w:p w14:paraId="03534C9A">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s="Times New Roman"/>
                      <w:caps w:val="0"/>
                      <w:color w:val="auto"/>
                      <w:spacing w:val="0"/>
                      <w:position w:val="0"/>
                      <w:highlight w:val="none"/>
                      <w:lang w:val="en-US" w:eastAsia="zh-CN"/>
                    </w:rPr>
                    <w:t>筒仓</w:t>
                  </w:r>
                </w:p>
              </w:tc>
              <w:tc>
                <w:tcPr>
                  <w:tcW w:w="4932" w:type="dxa"/>
                  <w:gridSpan w:val="2"/>
                  <w:tcBorders>
                    <w:tl2br w:val="nil"/>
                    <w:tr2bl w:val="nil"/>
                  </w:tcBorders>
                  <w:shd w:val="clear" w:color="auto" w:fill="auto"/>
                  <w:vAlign w:val="center"/>
                </w:tcPr>
                <w:p w14:paraId="32F65107">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s="Times New Roman"/>
                      <w:caps w:val="0"/>
                      <w:color w:val="auto"/>
                      <w:spacing w:val="0"/>
                      <w:position w:val="0"/>
                      <w:highlight w:val="none"/>
                      <w:lang w:val="en-US" w:eastAsia="zh-CN"/>
                    </w:rPr>
                    <w:t>100m</w:t>
                  </w:r>
                  <w:r>
                    <w:rPr>
                      <w:rFonts w:hint="eastAsia" w:cs="Times New Roman"/>
                      <w:caps w:val="0"/>
                      <w:color w:val="auto"/>
                      <w:spacing w:val="0"/>
                      <w:position w:val="0"/>
                      <w:highlight w:val="none"/>
                      <w:vertAlign w:val="superscript"/>
                      <w:lang w:val="en-US" w:eastAsia="zh-CN"/>
                    </w:rPr>
                    <w:t>3</w:t>
                  </w:r>
                  <w:r>
                    <w:rPr>
                      <w:rFonts w:hint="eastAsia" w:cs="Times New Roman"/>
                      <w:caps w:val="0"/>
                      <w:color w:val="auto"/>
                      <w:spacing w:val="0"/>
                      <w:position w:val="0"/>
                      <w:highlight w:val="none"/>
                      <w:vertAlign w:val="baseline"/>
                      <w:lang w:val="en-US" w:eastAsia="zh-CN"/>
                    </w:rPr>
                    <w:t>/个</w:t>
                  </w:r>
                  <w:r>
                    <w:rPr>
                      <w:rFonts w:hint="eastAsia" w:cs="Times New Roman"/>
                      <w:caps w:val="0"/>
                      <w:color w:val="auto"/>
                      <w:spacing w:val="0"/>
                      <w:position w:val="0"/>
                      <w:highlight w:val="none"/>
                      <w:lang w:val="en-US" w:eastAsia="zh-CN"/>
                    </w:rPr>
                    <w:t>，共3个，位于原料仓库内，直径5m，高度约5.1m。</w:t>
                  </w:r>
                </w:p>
              </w:tc>
              <w:tc>
                <w:tcPr>
                  <w:tcW w:w="811" w:type="dxa"/>
                  <w:vMerge w:val="continue"/>
                  <w:tcBorders>
                    <w:tl2br w:val="nil"/>
                    <w:tr2bl w:val="nil"/>
                  </w:tcBorders>
                  <w:vAlign w:val="center"/>
                </w:tcPr>
                <w:p w14:paraId="487342D7">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r>
            <w:tr w14:paraId="41E0DE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9" w:type="dxa"/>
                  <w:vMerge w:val="restart"/>
                  <w:tcBorders>
                    <w:tl2br w:val="nil"/>
                    <w:tr2bl w:val="nil"/>
                  </w:tcBorders>
                  <w:vAlign w:val="center"/>
                </w:tcPr>
                <w:p w14:paraId="7F605A5E">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辅助工程</w:t>
                  </w:r>
                </w:p>
              </w:tc>
              <w:tc>
                <w:tcPr>
                  <w:tcW w:w="1257" w:type="dxa"/>
                  <w:tcBorders>
                    <w:tl2br w:val="nil"/>
                    <w:tr2bl w:val="nil"/>
                  </w:tcBorders>
                  <w:vAlign w:val="center"/>
                </w:tcPr>
                <w:p w14:paraId="7A64D0D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环保砖养护区</w:t>
                  </w:r>
                </w:p>
              </w:tc>
              <w:tc>
                <w:tcPr>
                  <w:tcW w:w="4932" w:type="dxa"/>
                  <w:gridSpan w:val="2"/>
                  <w:tcBorders>
                    <w:tl2br w:val="nil"/>
                    <w:tr2bl w:val="nil"/>
                  </w:tcBorders>
                  <w:vAlign w:val="center"/>
                </w:tcPr>
                <w:p w14:paraId="0C0858FE">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位于</w:t>
                  </w:r>
                  <w:r>
                    <w:rPr>
                      <w:rFonts w:hint="eastAsia" w:cs="Times New Roman"/>
                      <w:caps w:val="0"/>
                      <w:color w:val="auto"/>
                      <w:spacing w:val="0"/>
                      <w:position w:val="0"/>
                      <w:highlight w:val="none"/>
                      <w:lang w:val="en-US" w:eastAsia="zh-CN"/>
                    </w:rPr>
                    <w:t>新建生产厂房西</w:t>
                  </w:r>
                  <w:r>
                    <w:rPr>
                      <w:rFonts w:hint="default" w:ascii="Times New Roman" w:hAnsi="Times New Roman" w:cs="Times New Roman"/>
                      <w:caps w:val="0"/>
                      <w:color w:val="auto"/>
                      <w:spacing w:val="0"/>
                      <w:position w:val="0"/>
                      <w:highlight w:val="none"/>
                      <w:lang w:val="en-US" w:eastAsia="zh-CN"/>
                    </w:rPr>
                    <w:t>侧</w:t>
                  </w:r>
                  <w:r>
                    <w:rPr>
                      <w:rFonts w:hint="eastAsia" w:cs="Times New Roman"/>
                      <w:caps w:val="0"/>
                      <w:color w:val="auto"/>
                      <w:spacing w:val="0"/>
                      <w:position w:val="0"/>
                      <w:highlight w:val="none"/>
                      <w:lang w:val="en-US" w:eastAsia="zh-CN"/>
                    </w:rPr>
                    <w:t>中北部</w:t>
                  </w:r>
                  <w:r>
                    <w:rPr>
                      <w:rFonts w:hint="default" w:ascii="Times New Roman" w:hAnsi="Times New Roman" w:cs="Times New Roman"/>
                      <w:caps w:val="0"/>
                      <w:color w:val="auto"/>
                      <w:spacing w:val="0"/>
                      <w:position w:val="0"/>
                      <w:highlight w:val="none"/>
                      <w:lang w:val="en-US" w:eastAsia="zh-CN"/>
                    </w:rPr>
                    <w:t>，</w:t>
                  </w:r>
                  <w:r>
                    <w:rPr>
                      <w:rFonts w:hint="default" w:ascii="Times New Roman" w:hAnsi="Times New Roman" w:cs="Times New Roman"/>
                      <w:caps w:val="0"/>
                      <w:color w:val="auto"/>
                      <w:spacing w:val="0"/>
                      <w:position w:val="0"/>
                      <w:highlight w:val="none"/>
                    </w:rPr>
                    <w:t>面积为</w:t>
                  </w:r>
                  <w:r>
                    <w:rPr>
                      <w:rFonts w:hint="eastAsia" w:cs="Times New Roman"/>
                      <w:caps w:val="0"/>
                      <w:color w:val="auto"/>
                      <w:spacing w:val="0"/>
                      <w:position w:val="0"/>
                      <w:highlight w:val="none"/>
                      <w:lang w:val="en-US" w:eastAsia="zh-CN"/>
                    </w:rPr>
                    <w:t>2000</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2</w:t>
                  </w:r>
                  <w:r>
                    <w:rPr>
                      <w:rFonts w:hint="default" w:ascii="Times New Roman" w:hAnsi="Times New Roman" w:cs="Times New Roman"/>
                      <w:caps w:val="0"/>
                      <w:color w:val="auto"/>
                      <w:spacing w:val="0"/>
                      <w:position w:val="0"/>
                      <w:highlight w:val="none"/>
                    </w:rPr>
                    <w:t>。</w:t>
                  </w:r>
                </w:p>
              </w:tc>
              <w:tc>
                <w:tcPr>
                  <w:tcW w:w="811" w:type="dxa"/>
                  <w:vMerge w:val="continue"/>
                  <w:tcBorders>
                    <w:tl2br w:val="nil"/>
                    <w:tr2bl w:val="nil"/>
                  </w:tcBorders>
                  <w:vAlign w:val="center"/>
                </w:tcPr>
                <w:p w14:paraId="759B0D9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eastAsia="zh-CN"/>
                    </w:rPr>
                  </w:pPr>
                </w:p>
              </w:tc>
            </w:tr>
            <w:tr w14:paraId="61A73E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9" w:type="dxa"/>
                  <w:vMerge w:val="continue"/>
                  <w:tcBorders>
                    <w:tl2br w:val="nil"/>
                    <w:tr2bl w:val="nil"/>
                  </w:tcBorders>
                  <w:vAlign w:val="center"/>
                </w:tcPr>
                <w:p w14:paraId="7EFE16F5">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position w:val="0"/>
                      <w:highlight w:val="none"/>
                      <w:lang w:eastAsia="zh-CN"/>
                    </w:rPr>
                  </w:pPr>
                  <w:r>
                    <w:rPr>
                      <w:rFonts w:hint="eastAsia" w:cs="Times New Roman"/>
                      <w:caps w:val="0"/>
                      <w:color w:val="auto"/>
                      <w:spacing w:val="0"/>
                      <w:position w:val="0"/>
                      <w:highlight w:val="none"/>
                      <w:lang w:eastAsia="zh-CN"/>
                    </w:rPr>
                    <w:t>，</w:t>
                  </w:r>
                </w:p>
              </w:tc>
              <w:tc>
                <w:tcPr>
                  <w:tcW w:w="1257" w:type="dxa"/>
                  <w:tcBorders>
                    <w:tl2br w:val="nil"/>
                    <w:tr2bl w:val="nil"/>
                  </w:tcBorders>
                  <w:shd w:val="clear" w:color="auto" w:fill="auto"/>
                  <w:vAlign w:val="center"/>
                </w:tcPr>
                <w:p w14:paraId="4317B762">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办公室</w:t>
                  </w:r>
                </w:p>
              </w:tc>
              <w:tc>
                <w:tcPr>
                  <w:tcW w:w="4932" w:type="dxa"/>
                  <w:gridSpan w:val="2"/>
                  <w:tcBorders>
                    <w:tl2br w:val="nil"/>
                    <w:tr2bl w:val="nil"/>
                  </w:tcBorders>
                  <w:shd w:val="clear" w:color="auto" w:fill="auto"/>
                  <w:vAlign w:val="center"/>
                </w:tcPr>
                <w:p w14:paraId="569C741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位于租赁厂区东北侧</w:t>
                  </w:r>
                  <w:r>
                    <w:rPr>
                      <w:rFonts w:hint="default" w:ascii="Times New Roman" w:hAnsi="Times New Roman" w:cs="Times New Roman"/>
                      <w:caps w:val="0"/>
                      <w:color w:val="auto"/>
                      <w:spacing w:val="0"/>
                      <w:position w:val="0"/>
                      <w:highlight w:val="none"/>
                      <w:lang w:val="en-US" w:eastAsia="zh-CN"/>
                    </w:rPr>
                    <w:t>，</w:t>
                  </w:r>
                  <w:r>
                    <w:rPr>
                      <w:rFonts w:hint="eastAsia" w:cs="Times New Roman"/>
                      <w:caps w:val="0"/>
                      <w:color w:val="auto"/>
                      <w:spacing w:val="0"/>
                      <w:position w:val="0"/>
                      <w:highlight w:val="none"/>
                      <w:lang w:val="en-US" w:eastAsia="zh-CN"/>
                    </w:rPr>
                    <w:t>1</w:t>
                  </w:r>
                  <w:r>
                    <w:rPr>
                      <w:rFonts w:hint="default" w:ascii="Times New Roman" w:hAnsi="Times New Roman" w:cs="Times New Roman"/>
                      <w:caps w:val="0"/>
                      <w:color w:val="auto"/>
                      <w:spacing w:val="0"/>
                      <w:position w:val="0"/>
                      <w:highlight w:val="none"/>
                    </w:rPr>
                    <w:t>F</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lang w:val="en-US" w:eastAsia="zh-CN"/>
                    </w:rPr>
                    <w:t>占地面积为</w:t>
                  </w:r>
                  <w:r>
                    <w:rPr>
                      <w:rFonts w:hint="eastAsia" w:cs="Times New Roman"/>
                      <w:caps w:val="0"/>
                      <w:color w:val="auto"/>
                      <w:spacing w:val="0"/>
                      <w:position w:val="0"/>
                      <w:highlight w:val="none"/>
                      <w:lang w:val="en-US" w:eastAsia="zh-CN"/>
                    </w:rPr>
                    <w:t>4</w:t>
                  </w:r>
                  <w:r>
                    <w:rPr>
                      <w:rFonts w:hint="default" w:ascii="Times New Roman" w:hAnsi="Times New Roman" w:cs="Times New Roman"/>
                      <w:caps w:val="0"/>
                      <w:color w:val="auto"/>
                      <w:spacing w:val="0"/>
                      <w:position w:val="0"/>
                      <w:highlight w:val="none"/>
                      <w:lang w:val="en-US" w:eastAsia="zh-CN"/>
                    </w:rPr>
                    <w:t>0</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2</w:t>
                  </w:r>
                  <w:r>
                    <w:rPr>
                      <w:rFonts w:hint="default" w:ascii="Times New Roman" w:hAnsi="Times New Roman" w:cs="Times New Roman"/>
                      <w:caps w:val="0"/>
                      <w:color w:val="auto"/>
                      <w:spacing w:val="0"/>
                      <w:position w:val="0"/>
                      <w:highlight w:val="none"/>
                    </w:rPr>
                    <w:t>。</w:t>
                  </w:r>
                </w:p>
              </w:tc>
              <w:tc>
                <w:tcPr>
                  <w:tcW w:w="811" w:type="dxa"/>
                  <w:tcBorders>
                    <w:tl2br w:val="nil"/>
                    <w:tr2bl w:val="nil"/>
                  </w:tcBorders>
                  <w:vAlign w:val="center"/>
                </w:tcPr>
                <w:p w14:paraId="48753443">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现有</w:t>
                  </w:r>
                </w:p>
              </w:tc>
            </w:tr>
            <w:tr w14:paraId="09FB73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9" w:type="dxa"/>
                  <w:vMerge w:val="restart"/>
                  <w:tcBorders>
                    <w:tl2br w:val="nil"/>
                    <w:tr2bl w:val="nil"/>
                  </w:tcBorders>
                  <w:vAlign w:val="center"/>
                </w:tcPr>
                <w:p w14:paraId="69A891A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公用工程</w:t>
                  </w:r>
                </w:p>
              </w:tc>
              <w:tc>
                <w:tcPr>
                  <w:tcW w:w="1257" w:type="dxa"/>
                  <w:tcBorders>
                    <w:tl2br w:val="nil"/>
                    <w:tr2bl w:val="nil"/>
                  </w:tcBorders>
                  <w:vAlign w:val="center"/>
                </w:tcPr>
                <w:p w14:paraId="6A1C90B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给排水</w:t>
                  </w:r>
                </w:p>
              </w:tc>
              <w:tc>
                <w:tcPr>
                  <w:tcW w:w="4932" w:type="dxa"/>
                  <w:gridSpan w:val="2"/>
                  <w:tcBorders>
                    <w:tl2br w:val="nil"/>
                    <w:tr2bl w:val="nil"/>
                  </w:tcBorders>
                  <w:vAlign w:val="center"/>
                </w:tcPr>
                <w:p w14:paraId="758F932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市政自来水管网供水。</w:t>
                  </w:r>
                </w:p>
              </w:tc>
              <w:tc>
                <w:tcPr>
                  <w:tcW w:w="811" w:type="dxa"/>
                  <w:vMerge w:val="restart"/>
                  <w:tcBorders>
                    <w:tl2br w:val="nil"/>
                    <w:tr2bl w:val="nil"/>
                  </w:tcBorders>
                  <w:vAlign w:val="center"/>
                </w:tcPr>
                <w:p w14:paraId="316C72D5">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现有</w:t>
                  </w:r>
                </w:p>
              </w:tc>
            </w:tr>
            <w:tr w14:paraId="6443B2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9" w:type="dxa"/>
                  <w:vMerge w:val="continue"/>
                  <w:tcBorders>
                    <w:tl2br w:val="nil"/>
                    <w:tr2bl w:val="nil"/>
                  </w:tcBorders>
                  <w:vAlign w:val="center"/>
                </w:tcPr>
                <w:p w14:paraId="476553B7">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257" w:type="dxa"/>
                  <w:tcBorders>
                    <w:tl2br w:val="nil"/>
                    <w:tr2bl w:val="nil"/>
                  </w:tcBorders>
                  <w:vAlign w:val="center"/>
                </w:tcPr>
                <w:p w14:paraId="340CBD1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供电</w:t>
                  </w:r>
                </w:p>
              </w:tc>
              <w:tc>
                <w:tcPr>
                  <w:tcW w:w="4932" w:type="dxa"/>
                  <w:gridSpan w:val="2"/>
                  <w:tcBorders>
                    <w:tl2br w:val="nil"/>
                    <w:tr2bl w:val="nil"/>
                  </w:tcBorders>
                  <w:vAlign w:val="center"/>
                </w:tcPr>
                <w:p w14:paraId="4C1C447B">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eastAsia"/>
                      <w:caps w:val="0"/>
                      <w:color w:val="auto"/>
                      <w:spacing w:val="0"/>
                      <w:position w:val="0"/>
                      <w:highlight w:val="none"/>
                    </w:rPr>
                    <w:t>国家电网供电</w:t>
                  </w:r>
                  <w:r>
                    <w:rPr>
                      <w:rFonts w:hint="default" w:ascii="Times New Roman" w:hAnsi="Times New Roman" w:cs="Times New Roman"/>
                      <w:caps w:val="0"/>
                      <w:color w:val="auto"/>
                      <w:spacing w:val="0"/>
                      <w:position w:val="0"/>
                      <w:highlight w:val="none"/>
                    </w:rPr>
                    <w:t>。</w:t>
                  </w:r>
                </w:p>
              </w:tc>
              <w:tc>
                <w:tcPr>
                  <w:tcW w:w="811" w:type="dxa"/>
                  <w:vMerge w:val="continue"/>
                  <w:tcBorders>
                    <w:tl2br w:val="nil"/>
                    <w:tr2bl w:val="nil"/>
                  </w:tcBorders>
                  <w:vAlign w:val="center"/>
                </w:tcPr>
                <w:p w14:paraId="33CD92C8">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eastAsia="zh-CN"/>
                    </w:rPr>
                  </w:pPr>
                </w:p>
              </w:tc>
            </w:tr>
            <w:tr w14:paraId="71622E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079" w:type="dxa"/>
                  <w:vMerge w:val="restart"/>
                  <w:tcBorders>
                    <w:tl2br w:val="nil"/>
                    <w:tr2bl w:val="nil"/>
                  </w:tcBorders>
                  <w:vAlign w:val="center"/>
                </w:tcPr>
                <w:p w14:paraId="3F28C01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环保工程</w:t>
                  </w:r>
                </w:p>
              </w:tc>
              <w:tc>
                <w:tcPr>
                  <w:tcW w:w="1257" w:type="dxa"/>
                  <w:vMerge w:val="restart"/>
                  <w:tcBorders>
                    <w:tl2br w:val="nil"/>
                    <w:tr2bl w:val="nil"/>
                  </w:tcBorders>
                  <w:vAlign w:val="center"/>
                </w:tcPr>
                <w:p w14:paraId="2BC95E1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eastAsia="zh-CN"/>
                    </w:rPr>
                  </w:pPr>
                  <w:r>
                    <w:rPr>
                      <w:rFonts w:hint="default" w:ascii="Times New Roman" w:hAnsi="Times New Roman" w:cs="Times New Roman"/>
                      <w:caps w:val="0"/>
                      <w:color w:val="auto"/>
                      <w:spacing w:val="0"/>
                      <w:position w:val="0"/>
                      <w:highlight w:val="none"/>
                    </w:rPr>
                    <w:t>废气处理措施</w:t>
                  </w:r>
                </w:p>
              </w:tc>
              <w:tc>
                <w:tcPr>
                  <w:tcW w:w="1566" w:type="dxa"/>
                  <w:tcBorders>
                    <w:tl2br w:val="nil"/>
                    <w:tr2bl w:val="nil"/>
                  </w:tcBorders>
                  <w:shd w:val="clear" w:color="auto" w:fill="auto"/>
                  <w:vAlign w:val="center"/>
                </w:tcPr>
                <w:p w14:paraId="675409F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投料</w:t>
                  </w:r>
                  <w:r>
                    <w:rPr>
                      <w:rFonts w:hint="default" w:ascii="Times New Roman" w:hAnsi="Times New Roman" w:cs="Times New Roman"/>
                      <w:caps w:val="0"/>
                      <w:color w:val="auto"/>
                      <w:spacing w:val="0"/>
                      <w:position w:val="0"/>
                      <w:highlight w:val="none"/>
                    </w:rPr>
                    <w:t>粉尘</w:t>
                  </w:r>
                </w:p>
              </w:tc>
              <w:tc>
                <w:tcPr>
                  <w:tcW w:w="3366" w:type="dxa"/>
                  <w:tcBorders>
                    <w:tl2br w:val="nil"/>
                    <w:tr2bl w:val="nil"/>
                  </w:tcBorders>
                  <w:vAlign w:val="center"/>
                </w:tcPr>
                <w:p w14:paraId="2BA2EDA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经</w:t>
                  </w:r>
                  <w:r>
                    <w:rPr>
                      <w:rFonts w:hint="eastAsia" w:cs="Times New Roman"/>
                      <w:caps w:val="0"/>
                      <w:color w:val="auto"/>
                      <w:spacing w:val="0"/>
                      <w:position w:val="0"/>
                      <w:highlight w:val="none"/>
                      <w:lang w:val="en-US" w:eastAsia="zh-CN"/>
                    </w:rPr>
                    <w:t>集气罩</w:t>
                  </w:r>
                  <w:r>
                    <w:rPr>
                      <w:rFonts w:hint="default" w:ascii="Times New Roman" w:hAnsi="Times New Roman" w:cs="Times New Roman"/>
                      <w:caps w:val="0"/>
                      <w:color w:val="auto"/>
                      <w:spacing w:val="0"/>
                      <w:position w:val="0"/>
                      <w:highlight w:val="none"/>
                      <w:lang w:val="en-US" w:eastAsia="zh-CN"/>
                    </w:rPr>
                    <w:t>收集+</w:t>
                  </w:r>
                  <w:r>
                    <w:rPr>
                      <w:rFonts w:hint="default" w:ascii="Times New Roman" w:hAnsi="Times New Roman" w:cs="Times New Roman"/>
                      <w:caps w:val="0"/>
                      <w:color w:val="auto"/>
                      <w:spacing w:val="0"/>
                      <w:position w:val="0"/>
                      <w:highlight w:val="none"/>
                    </w:rPr>
                    <w:t>袋式除尘器</w:t>
                  </w:r>
                  <w:r>
                    <w:rPr>
                      <w:rFonts w:hint="default" w:ascii="Times New Roman" w:hAnsi="Times New Roman" w:cs="Times New Roman"/>
                      <w:caps w:val="0"/>
                      <w:color w:val="auto"/>
                      <w:spacing w:val="0"/>
                      <w:position w:val="0"/>
                      <w:highlight w:val="none"/>
                      <w:lang w:val="en-US" w:eastAsia="zh-CN"/>
                    </w:rPr>
                    <w:t>处理后通过</w:t>
                  </w:r>
                  <w:r>
                    <w:rPr>
                      <w:rFonts w:hint="eastAsia" w:cs="Times New Roman"/>
                      <w:caps w:val="0"/>
                      <w:color w:val="auto"/>
                      <w:spacing w:val="0"/>
                      <w:position w:val="0"/>
                      <w:highlight w:val="none"/>
                      <w:lang w:val="en-US" w:eastAsia="zh-CN"/>
                    </w:rPr>
                    <w:t>15m</w:t>
                  </w:r>
                  <w:r>
                    <w:rPr>
                      <w:rFonts w:hint="default" w:ascii="Times New Roman" w:hAnsi="Times New Roman" w:cs="Times New Roman"/>
                      <w:caps w:val="0"/>
                      <w:color w:val="auto"/>
                      <w:spacing w:val="0"/>
                      <w:position w:val="0"/>
                      <w:highlight w:val="none"/>
                    </w:rPr>
                    <w:t>排气筒（DA</w:t>
                  </w:r>
                  <w:r>
                    <w:rPr>
                      <w:rFonts w:hint="default" w:ascii="Times New Roman" w:hAnsi="Times New Roman" w:cs="Times New Roman"/>
                      <w:caps w:val="0"/>
                      <w:color w:val="auto"/>
                      <w:spacing w:val="0"/>
                      <w:position w:val="0"/>
                      <w:highlight w:val="none"/>
                      <w:lang w:val="en-US" w:eastAsia="zh-CN"/>
                    </w:rPr>
                    <w:t>001</w:t>
                  </w: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排放</w:t>
                  </w:r>
                </w:p>
              </w:tc>
              <w:tc>
                <w:tcPr>
                  <w:tcW w:w="811" w:type="dxa"/>
                  <w:tcBorders>
                    <w:tl2br w:val="nil"/>
                    <w:tr2bl w:val="nil"/>
                  </w:tcBorders>
                  <w:vAlign w:val="center"/>
                </w:tcPr>
                <w:p w14:paraId="6C7CD5F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新建</w:t>
                  </w:r>
                </w:p>
              </w:tc>
            </w:tr>
            <w:tr w14:paraId="2C86A3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079" w:type="dxa"/>
                  <w:vMerge w:val="continue"/>
                  <w:tcBorders>
                    <w:tl2br w:val="nil"/>
                    <w:tr2bl w:val="nil"/>
                  </w:tcBorders>
                  <w:vAlign w:val="center"/>
                </w:tcPr>
                <w:p w14:paraId="22EEC60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257" w:type="dxa"/>
                  <w:vMerge w:val="continue"/>
                  <w:tcBorders>
                    <w:tl2br w:val="nil"/>
                    <w:tr2bl w:val="nil"/>
                  </w:tcBorders>
                  <w:vAlign w:val="center"/>
                </w:tcPr>
                <w:p w14:paraId="6435C49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566" w:type="dxa"/>
                  <w:tcBorders>
                    <w:tl2br w:val="nil"/>
                    <w:tr2bl w:val="nil"/>
                  </w:tcBorders>
                  <w:shd w:val="clear" w:color="auto" w:fill="auto"/>
                  <w:vAlign w:val="center"/>
                </w:tcPr>
                <w:p w14:paraId="6FFC0593">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s="Times New Roman"/>
                      <w:caps w:val="0"/>
                      <w:color w:val="auto"/>
                      <w:spacing w:val="0"/>
                      <w:position w:val="0"/>
                      <w:highlight w:val="none"/>
                      <w:lang w:val="en-US" w:eastAsia="zh-CN"/>
                    </w:rPr>
                    <w:t>筒</w:t>
                  </w:r>
                  <w:r>
                    <w:rPr>
                      <w:rFonts w:hint="default" w:ascii="Times New Roman" w:hAnsi="Times New Roman" w:cs="Times New Roman"/>
                      <w:caps w:val="0"/>
                      <w:color w:val="auto"/>
                      <w:spacing w:val="0"/>
                      <w:position w:val="0"/>
                      <w:highlight w:val="none"/>
                    </w:rPr>
                    <w:t>仓呼吸粉尘</w:t>
                  </w:r>
                </w:p>
              </w:tc>
              <w:tc>
                <w:tcPr>
                  <w:tcW w:w="3366" w:type="dxa"/>
                  <w:tcBorders>
                    <w:tl2br w:val="nil"/>
                    <w:tr2bl w:val="nil"/>
                  </w:tcBorders>
                  <w:shd w:val="clear" w:color="auto" w:fill="auto"/>
                  <w:vAlign w:val="center"/>
                </w:tcPr>
                <w:p w14:paraId="61B31201">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ascii="Times New Roman" w:hAnsi="Times New Roman" w:cs="Times New Roman"/>
                      <w:caps w:val="0"/>
                      <w:color w:val="auto"/>
                      <w:spacing w:val="0"/>
                      <w:position w:val="0"/>
                      <w:highlight w:val="none"/>
                      <w:lang w:val="en-US" w:eastAsia="zh-CN"/>
                    </w:rPr>
                    <w:t>经</w:t>
                  </w:r>
                  <w:r>
                    <w:rPr>
                      <w:rFonts w:hint="default" w:ascii="Times New Roman" w:hAnsi="Times New Roman" w:cs="Times New Roman"/>
                      <w:caps w:val="0"/>
                      <w:color w:val="auto"/>
                      <w:spacing w:val="0"/>
                      <w:position w:val="0"/>
                      <w:highlight w:val="none"/>
                    </w:rPr>
                    <w:t>袋式除尘器</w:t>
                  </w:r>
                  <w:r>
                    <w:rPr>
                      <w:rFonts w:hint="default" w:ascii="Times New Roman" w:hAnsi="Times New Roman" w:cs="Times New Roman"/>
                      <w:caps w:val="0"/>
                      <w:color w:val="auto"/>
                      <w:spacing w:val="0"/>
                      <w:position w:val="0"/>
                      <w:highlight w:val="none"/>
                      <w:lang w:val="en-US" w:eastAsia="zh-CN"/>
                    </w:rPr>
                    <w:t>处理后</w:t>
                  </w:r>
                  <w:r>
                    <w:rPr>
                      <w:rFonts w:hint="eastAsia" w:cs="Times New Roman"/>
                      <w:caps w:val="0"/>
                      <w:color w:val="auto"/>
                      <w:spacing w:val="0"/>
                      <w:position w:val="0"/>
                      <w:highlight w:val="none"/>
                      <w:lang w:val="en-US" w:eastAsia="zh-CN"/>
                    </w:rPr>
                    <w:t>无组织</w:t>
                  </w:r>
                  <w:r>
                    <w:rPr>
                      <w:rFonts w:hint="default" w:ascii="Times New Roman" w:hAnsi="Times New Roman" w:cs="Times New Roman"/>
                      <w:caps w:val="0"/>
                      <w:color w:val="auto"/>
                      <w:spacing w:val="0"/>
                      <w:position w:val="0"/>
                      <w:highlight w:val="none"/>
                      <w:lang w:val="en-US" w:eastAsia="zh-CN"/>
                    </w:rPr>
                    <w:t>排放</w:t>
                  </w:r>
                </w:p>
              </w:tc>
              <w:tc>
                <w:tcPr>
                  <w:tcW w:w="811" w:type="dxa"/>
                  <w:tcBorders>
                    <w:tl2br w:val="nil"/>
                    <w:tr2bl w:val="nil"/>
                  </w:tcBorders>
                  <w:shd w:val="clear" w:color="auto" w:fill="auto"/>
                  <w:vAlign w:val="center"/>
                </w:tcPr>
                <w:p w14:paraId="7BA82F68">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ascii="Times New Roman" w:hAnsi="Times New Roman" w:cs="Times New Roman"/>
                      <w:caps w:val="0"/>
                      <w:color w:val="auto"/>
                      <w:spacing w:val="0"/>
                      <w:position w:val="0"/>
                      <w:highlight w:val="none"/>
                    </w:rPr>
                    <w:t>新建</w:t>
                  </w:r>
                </w:p>
              </w:tc>
            </w:tr>
            <w:tr w14:paraId="46A297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79" w:type="dxa"/>
                  <w:vMerge w:val="continue"/>
                  <w:tcBorders>
                    <w:tl2br w:val="nil"/>
                    <w:tr2bl w:val="nil"/>
                  </w:tcBorders>
                  <w:vAlign w:val="center"/>
                </w:tcPr>
                <w:p w14:paraId="00C96710">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257" w:type="dxa"/>
                  <w:vMerge w:val="continue"/>
                  <w:tcBorders>
                    <w:tl2br w:val="nil"/>
                    <w:tr2bl w:val="nil"/>
                  </w:tcBorders>
                  <w:vAlign w:val="center"/>
                </w:tcPr>
                <w:p w14:paraId="4B826CD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566" w:type="dxa"/>
                  <w:tcBorders>
                    <w:tl2br w:val="nil"/>
                    <w:tr2bl w:val="nil"/>
                  </w:tcBorders>
                  <w:shd w:val="clear" w:color="auto" w:fill="auto"/>
                  <w:vAlign w:val="center"/>
                </w:tcPr>
                <w:p w14:paraId="2D66D61C">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搅拌粉尘</w:t>
                  </w:r>
                </w:p>
              </w:tc>
              <w:tc>
                <w:tcPr>
                  <w:tcW w:w="3366" w:type="dxa"/>
                  <w:tcBorders>
                    <w:tl2br w:val="nil"/>
                    <w:tr2bl w:val="nil"/>
                  </w:tcBorders>
                  <w:vAlign w:val="center"/>
                </w:tcPr>
                <w:p w14:paraId="48531B72">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经</w:t>
                  </w:r>
                  <w:r>
                    <w:rPr>
                      <w:rFonts w:hint="default" w:ascii="Times New Roman" w:hAnsi="Times New Roman" w:eastAsia="宋体" w:cs="Times New Roman"/>
                      <w:caps w:val="0"/>
                      <w:color w:val="auto"/>
                      <w:spacing w:val="0"/>
                      <w:position w:val="0"/>
                      <w:highlight w:val="none"/>
                      <w:lang w:val="en-US" w:eastAsia="zh-CN"/>
                    </w:rPr>
                    <w:t>密闭管道</w:t>
                  </w:r>
                  <w:r>
                    <w:rPr>
                      <w:rFonts w:hint="default" w:ascii="Times New Roman" w:hAnsi="Times New Roman" w:cs="Times New Roman"/>
                      <w:caps w:val="0"/>
                      <w:color w:val="auto"/>
                      <w:spacing w:val="0"/>
                      <w:position w:val="0"/>
                      <w:highlight w:val="none"/>
                      <w:lang w:val="en-US" w:eastAsia="zh-CN"/>
                    </w:rPr>
                    <w:t>收集+</w:t>
                  </w:r>
                  <w:r>
                    <w:rPr>
                      <w:rFonts w:hint="eastAsia" w:ascii="Times New Roman" w:hAnsi="Times New Roman" w:cs="Times New Roman"/>
                      <w:caps w:val="0"/>
                      <w:color w:val="auto"/>
                      <w:spacing w:val="0"/>
                      <w:position w:val="0"/>
                      <w:highlight w:val="none"/>
                      <w:lang w:val="en-US" w:eastAsia="zh-CN"/>
                    </w:rPr>
                    <w:t>自带</w:t>
                  </w:r>
                  <w:r>
                    <w:rPr>
                      <w:rFonts w:hint="default" w:ascii="Times New Roman" w:hAnsi="Times New Roman" w:cs="Times New Roman"/>
                      <w:caps w:val="0"/>
                      <w:color w:val="auto"/>
                      <w:spacing w:val="0"/>
                      <w:position w:val="0"/>
                      <w:highlight w:val="none"/>
                    </w:rPr>
                    <w:t>袋式除尘器</w:t>
                  </w:r>
                  <w:r>
                    <w:rPr>
                      <w:rFonts w:hint="default" w:ascii="Times New Roman" w:hAnsi="Times New Roman" w:cs="Times New Roman"/>
                      <w:caps w:val="0"/>
                      <w:color w:val="auto"/>
                      <w:spacing w:val="0"/>
                      <w:position w:val="0"/>
                      <w:highlight w:val="none"/>
                      <w:lang w:val="en-US" w:eastAsia="zh-CN"/>
                    </w:rPr>
                    <w:t>处理后通过</w:t>
                  </w:r>
                  <w:r>
                    <w:rPr>
                      <w:rFonts w:hint="eastAsia" w:cs="Times New Roman"/>
                      <w:caps w:val="0"/>
                      <w:color w:val="auto"/>
                      <w:spacing w:val="0"/>
                      <w:position w:val="0"/>
                      <w:highlight w:val="none"/>
                      <w:lang w:val="en-US" w:eastAsia="zh-CN"/>
                    </w:rPr>
                    <w:t>15m</w:t>
                  </w:r>
                  <w:r>
                    <w:rPr>
                      <w:rFonts w:hint="default" w:ascii="Times New Roman" w:hAnsi="Times New Roman" w:cs="Times New Roman"/>
                      <w:caps w:val="0"/>
                      <w:color w:val="auto"/>
                      <w:spacing w:val="0"/>
                      <w:position w:val="0"/>
                      <w:highlight w:val="none"/>
                    </w:rPr>
                    <w:t>排气筒（DA</w:t>
                  </w:r>
                  <w:r>
                    <w:rPr>
                      <w:rFonts w:hint="default" w:ascii="Times New Roman" w:hAnsi="Times New Roman" w:cs="Times New Roman"/>
                      <w:caps w:val="0"/>
                      <w:color w:val="auto"/>
                      <w:spacing w:val="0"/>
                      <w:position w:val="0"/>
                      <w:highlight w:val="none"/>
                      <w:lang w:val="en-US" w:eastAsia="zh-CN"/>
                    </w:rPr>
                    <w:t>001</w:t>
                  </w: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排放</w:t>
                  </w:r>
                </w:p>
              </w:tc>
              <w:tc>
                <w:tcPr>
                  <w:tcW w:w="811" w:type="dxa"/>
                  <w:tcBorders>
                    <w:tl2br w:val="nil"/>
                    <w:tr2bl w:val="nil"/>
                  </w:tcBorders>
                  <w:vAlign w:val="center"/>
                </w:tcPr>
                <w:p w14:paraId="23CF45B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新建</w:t>
                  </w:r>
                </w:p>
              </w:tc>
            </w:tr>
            <w:tr w14:paraId="0B1596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79" w:type="dxa"/>
                  <w:vMerge w:val="continue"/>
                  <w:tcBorders>
                    <w:tl2br w:val="nil"/>
                    <w:tr2bl w:val="nil"/>
                  </w:tcBorders>
                  <w:vAlign w:val="center"/>
                </w:tcPr>
                <w:p w14:paraId="00F83142">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257" w:type="dxa"/>
                  <w:vMerge w:val="continue"/>
                  <w:tcBorders>
                    <w:tl2br w:val="nil"/>
                    <w:tr2bl w:val="nil"/>
                  </w:tcBorders>
                  <w:shd w:val="clear" w:color="auto" w:fill="auto"/>
                  <w:vAlign w:val="center"/>
                </w:tcPr>
                <w:p w14:paraId="07277C68">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566" w:type="dxa"/>
                  <w:tcBorders>
                    <w:tl2br w:val="nil"/>
                    <w:tr2bl w:val="nil"/>
                  </w:tcBorders>
                  <w:shd w:val="clear" w:color="auto" w:fill="auto"/>
                  <w:vAlign w:val="center"/>
                </w:tcPr>
                <w:p w14:paraId="09B818A6">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position w:val="0"/>
                      <w:highlight w:val="none"/>
                      <w:lang w:val="en-US" w:eastAsia="zh-CN"/>
                    </w:rPr>
                  </w:pPr>
                  <w:r>
                    <w:rPr>
                      <w:rFonts w:hint="eastAsia" w:cs="Times New Roman"/>
                      <w:caps w:val="0"/>
                      <w:color w:val="auto"/>
                      <w:spacing w:val="0"/>
                      <w:position w:val="0"/>
                      <w:highlight w:val="none"/>
                      <w:lang w:eastAsia="zh-CN"/>
                    </w:rPr>
                    <w:t>储存粉尘</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rPr>
                    <w:t>卸料粉尘</w:t>
                  </w:r>
                  <w:r>
                    <w:rPr>
                      <w:rFonts w:hint="default" w:ascii="Times New Roman" w:hAnsi="Times New Roman" w:cs="Times New Roman"/>
                      <w:caps w:val="0"/>
                      <w:color w:val="auto"/>
                      <w:spacing w:val="0"/>
                      <w:position w:val="0"/>
                      <w:highlight w:val="none"/>
                      <w:lang w:eastAsia="zh-CN"/>
                    </w:rPr>
                    <w:t>）</w:t>
                  </w:r>
                </w:p>
              </w:tc>
              <w:tc>
                <w:tcPr>
                  <w:tcW w:w="3366" w:type="dxa"/>
                  <w:tcBorders>
                    <w:tl2br w:val="nil"/>
                    <w:tr2bl w:val="nil"/>
                  </w:tcBorders>
                  <w:shd w:val="clear" w:color="auto" w:fill="auto"/>
                  <w:vAlign w:val="center"/>
                </w:tcPr>
                <w:p w14:paraId="6781CD3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经沉降+洒水后无组织排放</w:t>
                  </w:r>
                </w:p>
              </w:tc>
              <w:tc>
                <w:tcPr>
                  <w:tcW w:w="811" w:type="dxa"/>
                  <w:vMerge w:val="restart"/>
                  <w:tcBorders>
                    <w:tl2br w:val="nil"/>
                    <w:tr2bl w:val="nil"/>
                  </w:tcBorders>
                  <w:shd w:val="clear" w:color="auto" w:fill="auto"/>
                  <w:vAlign w:val="center"/>
                </w:tcPr>
                <w:p w14:paraId="1E3C67E8">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新建</w:t>
                  </w:r>
                </w:p>
              </w:tc>
            </w:tr>
            <w:tr w14:paraId="2895C1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79" w:type="dxa"/>
                  <w:vMerge w:val="continue"/>
                  <w:tcBorders>
                    <w:tl2br w:val="nil"/>
                    <w:tr2bl w:val="nil"/>
                  </w:tcBorders>
                  <w:vAlign w:val="center"/>
                </w:tcPr>
                <w:p w14:paraId="6A65FB4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257" w:type="dxa"/>
                  <w:vMerge w:val="continue"/>
                  <w:tcBorders>
                    <w:tl2br w:val="nil"/>
                    <w:tr2bl w:val="nil"/>
                  </w:tcBorders>
                  <w:shd w:val="clear" w:color="auto" w:fill="auto"/>
                  <w:vAlign w:val="center"/>
                </w:tcPr>
                <w:p w14:paraId="32DFDBA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566" w:type="dxa"/>
                  <w:tcBorders>
                    <w:tl2br w:val="nil"/>
                    <w:tr2bl w:val="nil"/>
                  </w:tcBorders>
                  <w:shd w:val="clear" w:color="auto" w:fill="auto"/>
                  <w:vAlign w:val="center"/>
                </w:tcPr>
                <w:p w14:paraId="5F02B05E">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运输扬尘</w:t>
                  </w:r>
                </w:p>
              </w:tc>
              <w:tc>
                <w:tcPr>
                  <w:tcW w:w="3366" w:type="dxa"/>
                  <w:tcBorders>
                    <w:tl2br w:val="nil"/>
                    <w:tr2bl w:val="nil"/>
                  </w:tcBorders>
                  <w:shd w:val="clear" w:color="auto" w:fill="auto"/>
                  <w:vAlign w:val="center"/>
                </w:tcPr>
                <w:p w14:paraId="65F79B0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经棚布遮盖+清扫和洒水+控制车速后无组织</w:t>
                  </w:r>
                  <w:r>
                    <w:rPr>
                      <w:rFonts w:hint="eastAsia" w:cs="Times New Roman"/>
                      <w:caps w:val="0"/>
                      <w:color w:val="auto"/>
                      <w:spacing w:val="0"/>
                      <w:position w:val="0"/>
                      <w:highlight w:val="none"/>
                      <w:lang w:val="en-US" w:eastAsia="zh-CN"/>
                    </w:rPr>
                    <w:t>排放</w:t>
                  </w:r>
                </w:p>
              </w:tc>
              <w:tc>
                <w:tcPr>
                  <w:tcW w:w="811" w:type="dxa"/>
                  <w:vMerge w:val="continue"/>
                  <w:tcBorders>
                    <w:tl2br w:val="nil"/>
                    <w:tr2bl w:val="nil"/>
                  </w:tcBorders>
                  <w:shd w:val="clear" w:color="auto" w:fill="auto"/>
                  <w:vAlign w:val="center"/>
                </w:tcPr>
                <w:p w14:paraId="7EAEAED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r>
            <w:tr w14:paraId="6B9E04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79" w:type="dxa"/>
                  <w:vMerge w:val="continue"/>
                  <w:tcBorders>
                    <w:tl2br w:val="nil"/>
                    <w:tr2bl w:val="nil"/>
                  </w:tcBorders>
                  <w:vAlign w:val="center"/>
                </w:tcPr>
                <w:p w14:paraId="78F0B3CC">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257" w:type="dxa"/>
                  <w:vMerge w:val="restart"/>
                  <w:tcBorders>
                    <w:tl2br w:val="nil"/>
                    <w:tr2bl w:val="nil"/>
                  </w:tcBorders>
                  <w:shd w:val="clear" w:color="auto" w:fill="auto"/>
                  <w:vAlign w:val="center"/>
                </w:tcPr>
                <w:p w14:paraId="6F76BBCE">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废水处理措施</w:t>
                  </w:r>
                </w:p>
              </w:tc>
              <w:tc>
                <w:tcPr>
                  <w:tcW w:w="1566" w:type="dxa"/>
                  <w:tcBorders>
                    <w:tl2br w:val="nil"/>
                    <w:tr2bl w:val="nil"/>
                  </w:tcBorders>
                  <w:shd w:val="clear" w:color="auto" w:fill="auto"/>
                  <w:vAlign w:val="center"/>
                </w:tcPr>
                <w:p w14:paraId="63B23EA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生活污水</w:t>
                  </w:r>
                </w:p>
              </w:tc>
              <w:tc>
                <w:tcPr>
                  <w:tcW w:w="3366" w:type="dxa"/>
                  <w:tcBorders>
                    <w:tl2br w:val="nil"/>
                    <w:tr2bl w:val="nil"/>
                  </w:tcBorders>
                  <w:shd w:val="clear" w:color="auto" w:fill="auto"/>
                  <w:vAlign w:val="center"/>
                </w:tcPr>
                <w:p w14:paraId="3D880A3D">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经</w:t>
                  </w:r>
                  <w:r>
                    <w:rPr>
                      <w:rFonts w:hint="eastAsia" w:cs="Times New Roman"/>
                      <w:caps w:val="0"/>
                      <w:color w:val="auto"/>
                      <w:spacing w:val="0"/>
                      <w:position w:val="0"/>
                      <w:highlight w:val="none"/>
                      <w:lang w:val="en-US" w:eastAsia="zh-CN"/>
                    </w:rPr>
                    <w:t>化粪池</w:t>
                  </w:r>
                  <w:r>
                    <w:rPr>
                      <w:rFonts w:hint="default" w:ascii="Times New Roman" w:hAnsi="Times New Roman" w:cs="Times New Roman"/>
                      <w:caps w:val="0"/>
                      <w:color w:val="auto"/>
                      <w:spacing w:val="0"/>
                      <w:position w:val="0"/>
                      <w:highlight w:val="none"/>
                      <w:lang w:val="en-US" w:eastAsia="zh-CN"/>
                    </w:rPr>
                    <w:t>（处理能力</w:t>
                  </w:r>
                  <w:r>
                    <w:rPr>
                      <w:rFonts w:hint="eastAsia" w:cs="Times New Roman"/>
                      <w:caps w:val="0"/>
                      <w:color w:val="auto"/>
                      <w:spacing w:val="0"/>
                      <w:position w:val="0"/>
                      <w:highlight w:val="none"/>
                      <w:lang w:val="en-US" w:eastAsia="zh-CN"/>
                    </w:rPr>
                    <w:t>2</w:t>
                  </w:r>
                  <w:r>
                    <w:rPr>
                      <w:rFonts w:hint="default" w:ascii="Times New Roman" w:hAnsi="Times New Roman" w:cs="Times New Roman"/>
                      <w:caps w:val="0"/>
                      <w:color w:val="auto"/>
                      <w:spacing w:val="0"/>
                      <w:position w:val="0"/>
                      <w:highlight w:val="none"/>
                      <w:lang w:val="en-US" w:eastAsia="zh-CN"/>
                    </w:rPr>
                    <w:t>m</w:t>
                  </w:r>
                  <w:r>
                    <w:rPr>
                      <w:rFonts w:hint="default" w:ascii="Times New Roman" w:hAnsi="Times New Roman" w:cs="Times New Roman"/>
                      <w:caps w:val="0"/>
                      <w:color w:val="auto"/>
                      <w:spacing w:val="0"/>
                      <w:position w:val="0"/>
                      <w:highlight w:val="none"/>
                      <w:vertAlign w:val="superscript"/>
                      <w:lang w:val="en-US" w:eastAsia="zh-CN"/>
                    </w:rPr>
                    <w:t>3</w:t>
                  </w:r>
                  <w:r>
                    <w:rPr>
                      <w:rFonts w:hint="default" w:ascii="Times New Roman" w:hAnsi="Times New Roman" w:cs="Times New Roman"/>
                      <w:caps w:val="0"/>
                      <w:color w:val="auto"/>
                      <w:spacing w:val="0"/>
                      <w:position w:val="0"/>
                      <w:highlight w:val="none"/>
                      <w:lang w:val="en-US" w:eastAsia="zh-CN"/>
                    </w:rPr>
                    <w:t>/h）处理后</w:t>
                  </w:r>
                  <w:r>
                    <w:rPr>
                      <w:rFonts w:hint="eastAsia" w:cs="Times New Roman"/>
                      <w:caps w:val="0"/>
                      <w:color w:val="auto"/>
                      <w:spacing w:val="0"/>
                      <w:position w:val="0"/>
                      <w:highlight w:val="none"/>
                      <w:lang w:val="en-US" w:eastAsia="zh-CN"/>
                    </w:rPr>
                    <w:t>达到《农田灌溉水质标准》（GB5084-2021）表1中旱作标准后用于林地灌溉，不外排。</w:t>
                  </w:r>
                </w:p>
              </w:tc>
              <w:tc>
                <w:tcPr>
                  <w:tcW w:w="811" w:type="dxa"/>
                  <w:tcBorders>
                    <w:tl2br w:val="nil"/>
                    <w:tr2bl w:val="nil"/>
                  </w:tcBorders>
                  <w:shd w:val="clear" w:color="auto" w:fill="auto"/>
                  <w:vAlign w:val="center"/>
                </w:tcPr>
                <w:p w14:paraId="53CF30E3">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现有</w:t>
                  </w:r>
                </w:p>
              </w:tc>
            </w:tr>
            <w:tr w14:paraId="73BEA1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79" w:type="dxa"/>
                  <w:vMerge w:val="continue"/>
                  <w:tcBorders>
                    <w:tl2br w:val="nil"/>
                    <w:tr2bl w:val="nil"/>
                  </w:tcBorders>
                  <w:vAlign w:val="center"/>
                </w:tcPr>
                <w:p w14:paraId="714E4EB7">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257" w:type="dxa"/>
                  <w:vMerge w:val="continue"/>
                  <w:tcBorders>
                    <w:tl2br w:val="nil"/>
                    <w:tr2bl w:val="nil"/>
                  </w:tcBorders>
                  <w:shd w:val="clear" w:color="auto" w:fill="auto"/>
                  <w:vAlign w:val="center"/>
                </w:tcPr>
                <w:p w14:paraId="0CFDAE12">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566" w:type="dxa"/>
                  <w:tcBorders>
                    <w:tl2br w:val="nil"/>
                    <w:tr2bl w:val="nil"/>
                  </w:tcBorders>
                  <w:shd w:val="clear" w:color="auto" w:fill="auto"/>
                  <w:vAlign w:val="center"/>
                </w:tcPr>
                <w:p w14:paraId="0C8E19EE">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洗车废水</w:t>
                  </w:r>
                </w:p>
              </w:tc>
              <w:tc>
                <w:tcPr>
                  <w:tcW w:w="3366" w:type="dxa"/>
                  <w:tcBorders>
                    <w:tl2br w:val="nil"/>
                    <w:tr2bl w:val="nil"/>
                  </w:tcBorders>
                  <w:shd w:val="clear" w:color="auto" w:fill="auto"/>
                  <w:vAlign w:val="center"/>
                </w:tcPr>
                <w:p w14:paraId="76BBB11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eastAsia="宋体" w:cs="Times New Roman"/>
                      <w:caps w:val="0"/>
                      <w:color w:val="auto"/>
                      <w:spacing w:val="0"/>
                      <w:position w:val="0"/>
                      <w:sz w:val="21"/>
                      <w:szCs w:val="21"/>
                      <w:highlight w:val="none"/>
                      <w:lang w:val="en-US" w:eastAsia="zh-CN"/>
                    </w:rPr>
                    <w:t>经氧化+絮凝沉淀（1#沉淀池</w:t>
                  </w:r>
                  <w:r>
                    <w:rPr>
                      <w:rFonts w:hint="eastAsia" w:cs="Times New Roman"/>
                      <w:caps w:val="0"/>
                      <w:color w:val="auto"/>
                      <w:spacing w:val="0"/>
                      <w:position w:val="0"/>
                      <w:sz w:val="21"/>
                      <w:szCs w:val="21"/>
                      <w:highlight w:val="none"/>
                      <w:lang w:val="en-US" w:eastAsia="zh-CN"/>
                    </w:rPr>
                    <w:t xml:space="preserve">30 </w:t>
                  </w:r>
                  <w:r>
                    <w:rPr>
                      <w:rFonts w:hint="default" w:ascii="Times New Roman" w:hAnsi="Times New Roman" w:eastAsia="宋体" w:cs="Times New Roman"/>
                      <w:caps w:val="0"/>
                      <w:color w:val="auto"/>
                      <w:spacing w:val="0"/>
                      <w:position w:val="0"/>
                      <w:sz w:val="21"/>
                      <w:szCs w:val="21"/>
                      <w:highlight w:val="none"/>
                      <w:lang w:val="en-US" w:eastAsia="zh-CN"/>
                    </w:rPr>
                    <w:t>m³）处理后循环回用</w:t>
                  </w:r>
                  <w:r>
                    <w:rPr>
                      <w:rFonts w:hint="eastAsia" w:cs="Times New Roman"/>
                      <w:caps w:val="0"/>
                      <w:color w:val="auto"/>
                      <w:spacing w:val="0"/>
                      <w:position w:val="0"/>
                      <w:sz w:val="21"/>
                      <w:szCs w:val="21"/>
                      <w:highlight w:val="none"/>
                      <w:lang w:val="en-US" w:eastAsia="zh-CN"/>
                    </w:rPr>
                    <w:t>于搅拌用水。</w:t>
                  </w:r>
                </w:p>
              </w:tc>
              <w:tc>
                <w:tcPr>
                  <w:tcW w:w="811" w:type="dxa"/>
                  <w:tcBorders>
                    <w:tl2br w:val="nil"/>
                    <w:tr2bl w:val="nil"/>
                  </w:tcBorders>
                  <w:shd w:val="clear" w:color="auto" w:fill="auto"/>
                  <w:vAlign w:val="center"/>
                </w:tcPr>
                <w:p w14:paraId="0357FEB6">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position w:val="0"/>
                      <w:highlight w:val="none"/>
                      <w:lang w:eastAsia="zh-CN"/>
                    </w:rPr>
                  </w:pPr>
                  <w:r>
                    <w:rPr>
                      <w:rFonts w:hint="eastAsia" w:cs="Times New Roman"/>
                      <w:caps w:val="0"/>
                      <w:color w:val="auto"/>
                      <w:spacing w:val="0"/>
                      <w:position w:val="0"/>
                      <w:highlight w:val="none"/>
                      <w:lang w:val="en-US" w:eastAsia="zh-CN"/>
                    </w:rPr>
                    <w:t>现有</w:t>
                  </w:r>
                </w:p>
              </w:tc>
            </w:tr>
            <w:tr w14:paraId="41AED6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79" w:type="dxa"/>
                  <w:vMerge w:val="continue"/>
                  <w:tcBorders>
                    <w:tl2br w:val="nil"/>
                    <w:tr2bl w:val="nil"/>
                  </w:tcBorders>
                  <w:vAlign w:val="center"/>
                </w:tcPr>
                <w:p w14:paraId="1D18D87D">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257" w:type="dxa"/>
                  <w:vMerge w:val="continue"/>
                  <w:tcBorders>
                    <w:tl2br w:val="nil"/>
                    <w:tr2bl w:val="nil"/>
                  </w:tcBorders>
                  <w:shd w:val="clear" w:color="auto" w:fill="auto"/>
                  <w:vAlign w:val="center"/>
                </w:tcPr>
                <w:p w14:paraId="6F6D0CBE">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566" w:type="dxa"/>
                  <w:tcBorders>
                    <w:tl2br w:val="nil"/>
                    <w:tr2bl w:val="nil"/>
                  </w:tcBorders>
                  <w:shd w:val="clear" w:color="auto" w:fill="auto"/>
                  <w:vAlign w:val="center"/>
                </w:tcPr>
                <w:p w14:paraId="47506F9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设备清洗废水</w:t>
                  </w:r>
                </w:p>
              </w:tc>
              <w:tc>
                <w:tcPr>
                  <w:tcW w:w="3366" w:type="dxa"/>
                  <w:tcBorders>
                    <w:tl2br w:val="nil"/>
                    <w:tr2bl w:val="nil"/>
                  </w:tcBorders>
                  <w:shd w:val="clear" w:color="auto" w:fill="auto"/>
                  <w:vAlign w:val="center"/>
                </w:tcPr>
                <w:p w14:paraId="5E66D057">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eastAsia="宋体" w:cs="Times New Roman"/>
                      <w:caps w:val="0"/>
                      <w:color w:val="auto"/>
                      <w:spacing w:val="0"/>
                      <w:position w:val="0"/>
                      <w:sz w:val="21"/>
                      <w:szCs w:val="21"/>
                      <w:highlight w:val="none"/>
                      <w:lang w:val="en-US" w:eastAsia="zh-CN"/>
                    </w:rPr>
                    <w:t>经沉淀（2#沉淀池</w:t>
                  </w:r>
                  <w:r>
                    <w:rPr>
                      <w:rFonts w:hint="eastAsia" w:cs="Times New Roman"/>
                      <w:caps w:val="0"/>
                      <w:color w:val="auto"/>
                      <w:spacing w:val="0"/>
                      <w:position w:val="0"/>
                      <w:sz w:val="21"/>
                      <w:szCs w:val="21"/>
                      <w:highlight w:val="none"/>
                      <w:lang w:val="en-US" w:eastAsia="zh-CN"/>
                    </w:rPr>
                    <w:t>1</w:t>
                  </w:r>
                  <w:r>
                    <w:rPr>
                      <w:rFonts w:hint="default" w:ascii="Times New Roman" w:hAnsi="Times New Roman" w:eastAsia="宋体" w:cs="Times New Roman"/>
                      <w:caps w:val="0"/>
                      <w:color w:val="auto"/>
                      <w:spacing w:val="0"/>
                      <w:position w:val="0"/>
                      <w:sz w:val="21"/>
                      <w:szCs w:val="21"/>
                      <w:highlight w:val="none"/>
                      <w:lang w:val="en-US" w:eastAsia="zh-CN"/>
                    </w:rPr>
                    <w:t>0m³）处理后回用于</w:t>
                  </w:r>
                  <w:r>
                    <w:rPr>
                      <w:rFonts w:hint="default" w:ascii="Times New Roman" w:hAnsi="Times New Roman" w:cs="Times New Roman"/>
                      <w:caps w:val="0"/>
                      <w:color w:val="auto"/>
                      <w:spacing w:val="0"/>
                      <w:position w:val="0"/>
                      <w:highlight w:val="none"/>
                      <w:lang w:val="en-US" w:eastAsia="zh-CN"/>
                    </w:rPr>
                    <w:t>设备清洗</w:t>
                  </w:r>
                  <w:r>
                    <w:rPr>
                      <w:rFonts w:hint="eastAsia" w:ascii="Times New Roman" w:hAnsi="Times New Roman" w:cs="Times New Roman"/>
                      <w:caps w:val="0"/>
                      <w:color w:val="auto"/>
                      <w:spacing w:val="0"/>
                      <w:position w:val="0"/>
                      <w:highlight w:val="none"/>
                      <w:lang w:val="en-US" w:eastAsia="zh-CN"/>
                    </w:rPr>
                    <w:t>用水</w:t>
                  </w:r>
                  <w:r>
                    <w:rPr>
                      <w:rFonts w:hint="default" w:ascii="Times New Roman" w:hAnsi="Times New Roman" w:eastAsia="宋体" w:cs="Times New Roman"/>
                      <w:caps w:val="0"/>
                      <w:color w:val="auto"/>
                      <w:spacing w:val="0"/>
                      <w:position w:val="0"/>
                      <w:sz w:val="21"/>
                      <w:szCs w:val="21"/>
                      <w:highlight w:val="none"/>
                      <w:lang w:val="en-US" w:eastAsia="zh-CN"/>
                    </w:rPr>
                    <w:t>。</w:t>
                  </w:r>
                </w:p>
              </w:tc>
              <w:tc>
                <w:tcPr>
                  <w:tcW w:w="811" w:type="dxa"/>
                  <w:tcBorders>
                    <w:tl2br w:val="nil"/>
                    <w:tr2bl w:val="nil"/>
                  </w:tcBorders>
                  <w:shd w:val="clear" w:color="auto" w:fill="auto"/>
                  <w:vAlign w:val="center"/>
                </w:tcPr>
                <w:p w14:paraId="61109E4C">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新建</w:t>
                  </w:r>
                </w:p>
              </w:tc>
            </w:tr>
            <w:tr w14:paraId="6D63D9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79" w:type="dxa"/>
                  <w:vMerge w:val="continue"/>
                  <w:tcBorders>
                    <w:tl2br w:val="nil"/>
                    <w:tr2bl w:val="nil"/>
                  </w:tcBorders>
                  <w:vAlign w:val="center"/>
                </w:tcPr>
                <w:p w14:paraId="1297DA8C">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257" w:type="dxa"/>
                  <w:vMerge w:val="continue"/>
                  <w:tcBorders>
                    <w:tl2br w:val="nil"/>
                    <w:tr2bl w:val="nil"/>
                  </w:tcBorders>
                  <w:shd w:val="clear" w:color="auto" w:fill="auto"/>
                  <w:vAlign w:val="center"/>
                </w:tcPr>
                <w:p w14:paraId="1FF0E678">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566" w:type="dxa"/>
                  <w:tcBorders>
                    <w:tl2br w:val="nil"/>
                    <w:tr2bl w:val="nil"/>
                  </w:tcBorders>
                  <w:shd w:val="clear" w:color="auto" w:fill="auto"/>
                  <w:vAlign w:val="center"/>
                </w:tcPr>
                <w:p w14:paraId="12E4499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养护废水</w:t>
                  </w:r>
                </w:p>
              </w:tc>
              <w:tc>
                <w:tcPr>
                  <w:tcW w:w="3366" w:type="dxa"/>
                  <w:tcBorders>
                    <w:tl2br w:val="nil"/>
                    <w:tr2bl w:val="nil"/>
                  </w:tcBorders>
                  <w:shd w:val="clear" w:color="auto" w:fill="auto"/>
                  <w:vAlign w:val="center"/>
                </w:tcPr>
                <w:p w14:paraId="173F4625">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position w:val="0"/>
                      <w:sz w:val="21"/>
                      <w:szCs w:val="21"/>
                      <w:highlight w:val="none"/>
                      <w:lang w:val="en-US" w:eastAsia="zh-CN"/>
                    </w:rPr>
                  </w:pPr>
                  <w:r>
                    <w:rPr>
                      <w:rFonts w:hint="default" w:ascii="Times New Roman" w:hAnsi="Times New Roman" w:eastAsia="宋体" w:cs="Times New Roman"/>
                      <w:caps w:val="0"/>
                      <w:color w:val="auto"/>
                      <w:spacing w:val="0"/>
                      <w:position w:val="0"/>
                      <w:sz w:val="21"/>
                      <w:szCs w:val="21"/>
                      <w:highlight w:val="none"/>
                      <w:lang w:val="en-US" w:eastAsia="zh-CN"/>
                    </w:rPr>
                    <w:t>经沉淀（</w:t>
                  </w:r>
                  <w:r>
                    <w:rPr>
                      <w:rFonts w:hint="eastAsia" w:cs="Times New Roman"/>
                      <w:caps w:val="0"/>
                      <w:color w:val="auto"/>
                      <w:spacing w:val="0"/>
                      <w:position w:val="0"/>
                      <w:sz w:val="21"/>
                      <w:szCs w:val="21"/>
                      <w:highlight w:val="none"/>
                      <w:lang w:val="en-US" w:eastAsia="zh-CN"/>
                    </w:rPr>
                    <w:t>3</w:t>
                  </w:r>
                  <w:r>
                    <w:rPr>
                      <w:rFonts w:hint="default" w:ascii="Times New Roman" w:hAnsi="Times New Roman" w:eastAsia="宋体" w:cs="Times New Roman"/>
                      <w:caps w:val="0"/>
                      <w:color w:val="auto"/>
                      <w:spacing w:val="0"/>
                      <w:position w:val="0"/>
                      <w:sz w:val="21"/>
                      <w:szCs w:val="21"/>
                      <w:highlight w:val="none"/>
                      <w:lang w:val="en-US" w:eastAsia="zh-CN"/>
                    </w:rPr>
                    <w:t>#沉淀池</w:t>
                  </w:r>
                  <w:r>
                    <w:rPr>
                      <w:rFonts w:hint="eastAsia" w:cs="Times New Roman"/>
                      <w:caps w:val="0"/>
                      <w:color w:val="auto"/>
                      <w:spacing w:val="0"/>
                      <w:position w:val="0"/>
                      <w:sz w:val="21"/>
                      <w:szCs w:val="21"/>
                      <w:highlight w:val="none"/>
                      <w:lang w:val="en-US" w:eastAsia="zh-CN"/>
                    </w:rPr>
                    <w:t>1</w:t>
                  </w:r>
                  <w:r>
                    <w:rPr>
                      <w:rFonts w:hint="default" w:ascii="Times New Roman" w:hAnsi="Times New Roman" w:eastAsia="宋体" w:cs="Times New Roman"/>
                      <w:caps w:val="0"/>
                      <w:color w:val="auto"/>
                      <w:spacing w:val="0"/>
                      <w:position w:val="0"/>
                      <w:sz w:val="21"/>
                      <w:szCs w:val="21"/>
                      <w:highlight w:val="none"/>
                      <w:lang w:val="en-US" w:eastAsia="zh-CN"/>
                    </w:rPr>
                    <w:t>0m³）处理后回用于</w:t>
                  </w:r>
                  <w:r>
                    <w:rPr>
                      <w:rFonts w:hint="eastAsia" w:ascii="Times New Roman" w:hAnsi="Times New Roman" w:cs="Times New Roman"/>
                      <w:caps w:val="0"/>
                      <w:color w:val="auto"/>
                      <w:spacing w:val="0"/>
                      <w:position w:val="0"/>
                      <w:highlight w:val="none"/>
                      <w:lang w:val="en-US" w:eastAsia="zh-CN"/>
                    </w:rPr>
                    <w:t>养护用水</w:t>
                  </w:r>
                  <w:r>
                    <w:rPr>
                      <w:rFonts w:hint="default" w:ascii="Times New Roman" w:hAnsi="Times New Roman" w:eastAsia="宋体" w:cs="Times New Roman"/>
                      <w:caps w:val="0"/>
                      <w:color w:val="auto"/>
                      <w:spacing w:val="0"/>
                      <w:position w:val="0"/>
                      <w:sz w:val="21"/>
                      <w:szCs w:val="21"/>
                      <w:highlight w:val="none"/>
                      <w:lang w:val="en-US" w:eastAsia="zh-CN"/>
                    </w:rPr>
                    <w:t>。</w:t>
                  </w:r>
                </w:p>
              </w:tc>
              <w:tc>
                <w:tcPr>
                  <w:tcW w:w="811" w:type="dxa"/>
                  <w:tcBorders>
                    <w:tl2br w:val="nil"/>
                    <w:tr2bl w:val="nil"/>
                  </w:tcBorders>
                  <w:shd w:val="clear" w:color="auto" w:fill="auto"/>
                  <w:vAlign w:val="center"/>
                </w:tcPr>
                <w:p w14:paraId="586C574A">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ascii="Times New Roman" w:hAnsi="Times New Roman" w:cs="Times New Roman"/>
                      <w:caps w:val="0"/>
                      <w:color w:val="auto"/>
                      <w:spacing w:val="0"/>
                      <w:position w:val="0"/>
                      <w:highlight w:val="none"/>
                    </w:rPr>
                    <w:t>新建</w:t>
                  </w:r>
                </w:p>
              </w:tc>
            </w:tr>
            <w:tr w14:paraId="66F755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79" w:type="dxa"/>
                  <w:vMerge w:val="continue"/>
                  <w:tcBorders>
                    <w:tl2br w:val="nil"/>
                    <w:tr2bl w:val="nil"/>
                  </w:tcBorders>
                  <w:vAlign w:val="center"/>
                </w:tcPr>
                <w:p w14:paraId="2B7AA337">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257" w:type="dxa"/>
                  <w:vMerge w:val="continue"/>
                  <w:tcBorders>
                    <w:tl2br w:val="nil"/>
                    <w:tr2bl w:val="nil"/>
                  </w:tcBorders>
                  <w:shd w:val="clear" w:color="auto" w:fill="auto"/>
                  <w:vAlign w:val="center"/>
                </w:tcPr>
                <w:p w14:paraId="401A9B8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566" w:type="dxa"/>
                  <w:tcBorders>
                    <w:tl2br w:val="nil"/>
                    <w:tr2bl w:val="nil"/>
                  </w:tcBorders>
                  <w:shd w:val="clear" w:color="auto" w:fill="auto"/>
                  <w:vAlign w:val="center"/>
                </w:tcPr>
                <w:p w14:paraId="62EABE2B">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渗滤液</w:t>
                  </w:r>
                </w:p>
              </w:tc>
              <w:tc>
                <w:tcPr>
                  <w:tcW w:w="3366" w:type="dxa"/>
                  <w:tcBorders>
                    <w:tl2br w:val="nil"/>
                    <w:tr2bl w:val="nil"/>
                  </w:tcBorders>
                  <w:shd w:val="clear" w:color="auto" w:fill="auto"/>
                  <w:vAlign w:val="center"/>
                </w:tcPr>
                <w:p w14:paraId="70451EC6">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position w:val="0"/>
                      <w:sz w:val="21"/>
                      <w:szCs w:val="21"/>
                      <w:highlight w:val="none"/>
                      <w:lang w:val="en-US" w:eastAsia="zh-CN"/>
                    </w:rPr>
                  </w:pPr>
                  <w:r>
                    <w:rPr>
                      <w:rFonts w:hint="eastAsia" w:cs="Times New Roman"/>
                      <w:caps w:val="0"/>
                      <w:color w:val="auto"/>
                      <w:spacing w:val="0"/>
                      <w:position w:val="0"/>
                      <w:sz w:val="21"/>
                      <w:szCs w:val="21"/>
                      <w:highlight w:val="none"/>
                      <w:lang w:val="en-US" w:eastAsia="zh-CN"/>
                    </w:rPr>
                    <w:t>经渗滤液池</w:t>
                  </w:r>
                  <w:r>
                    <w:rPr>
                      <w:rFonts w:hint="default" w:ascii="Times New Roman" w:hAnsi="Times New Roman" w:eastAsia="宋体" w:cs="Times New Roman"/>
                      <w:caps w:val="0"/>
                      <w:color w:val="auto"/>
                      <w:spacing w:val="0"/>
                      <w:position w:val="0"/>
                      <w:sz w:val="21"/>
                      <w:szCs w:val="21"/>
                      <w:highlight w:val="none"/>
                      <w:lang w:val="en-US" w:eastAsia="zh-CN"/>
                    </w:rPr>
                    <w:t>（</w:t>
                  </w:r>
                  <w:r>
                    <w:rPr>
                      <w:rFonts w:hint="eastAsia" w:ascii="Times New Roman" w:hAnsi="Times New Roman" w:eastAsia="宋体" w:cs="Times New Roman"/>
                      <w:caps w:val="0"/>
                      <w:color w:val="auto"/>
                      <w:spacing w:val="0"/>
                      <w:position w:val="0"/>
                      <w:sz w:val="21"/>
                      <w:szCs w:val="21"/>
                      <w:highlight w:val="none"/>
                      <w:lang w:val="en-US" w:eastAsia="zh-CN"/>
                    </w:rPr>
                    <w:t>15</w:t>
                  </w:r>
                  <w:r>
                    <w:rPr>
                      <w:rFonts w:hint="default" w:ascii="Times New Roman" w:hAnsi="Times New Roman" w:eastAsia="宋体" w:cs="Times New Roman"/>
                      <w:caps w:val="0"/>
                      <w:color w:val="auto"/>
                      <w:spacing w:val="0"/>
                      <w:position w:val="0"/>
                      <w:sz w:val="21"/>
                      <w:szCs w:val="21"/>
                      <w:highlight w:val="none"/>
                      <w:lang w:val="en-US" w:eastAsia="zh-CN"/>
                    </w:rPr>
                    <w:t>m³）</w:t>
                  </w:r>
                  <w:r>
                    <w:rPr>
                      <w:rFonts w:hint="eastAsia" w:cs="Times New Roman"/>
                      <w:caps w:val="0"/>
                      <w:color w:val="auto"/>
                      <w:spacing w:val="0"/>
                      <w:position w:val="0"/>
                      <w:sz w:val="21"/>
                      <w:szCs w:val="21"/>
                      <w:highlight w:val="none"/>
                      <w:lang w:val="en-US" w:eastAsia="zh-CN"/>
                    </w:rPr>
                    <w:t>沉淀后回用于搅拌工序。</w:t>
                  </w:r>
                </w:p>
              </w:tc>
              <w:tc>
                <w:tcPr>
                  <w:tcW w:w="811" w:type="dxa"/>
                  <w:tcBorders>
                    <w:tl2br w:val="nil"/>
                    <w:tr2bl w:val="nil"/>
                  </w:tcBorders>
                  <w:shd w:val="clear" w:color="auto" w:fill="auto"/>
                  <w:vAlign w:val="center"/>
                </w:tcPr>
                <w:p w14:paraId="3EB8ED82">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ascii="Times New Roman" w:hAnsi="Times New Roman" w:cs="Times New Roman"/>
                      <w:caps w:val="0"/>
                      <w:color w:val="auto"/>
                      <w:spacing w:val="0"/>
                      <w:position w:val="0"/>
                      <w:highlight w:val="none"/>
                    </w:rPr>
                    <w:t>新建</w:t>
                  </w:r>
                </w:p>
              </w:tc>
            </w:tr>
            <w:tr w14:paraId="16CC69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79" w:type="dxa"/>
                  <w:vMerge w:val="continue"/>
                  <w:tcBorders>
                    <w:tl2br w:val="nil"/>
                    <w:tr2bl w:val="nil"/>
                  </w:tcBorders>
                  <w:vAlign w:val="center"/>
                </w:tcPr>
                <w:p w14:paraId="72E4312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257" w:type="dxa"/>
                  <w:vMerge w:val="continue"/>
                  <w:tcBorders>
                    <w:tl2br w:val="nil"/>
                    <w:tr2bl w:val="nil"/>
                  </w:tcBorders>
                  <w:shd w:val="clear" w:color="auto" w:fill="auto"/>
                  <w:vAlign w:val="center"/>
                </w:tcPr>
                <w:p w14:paraId="65D48D10">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566" w:type="dxa"/>
                  <w:tcBorders>
                    <w:tl2br w:val="nil"/>
                    <w:tr2bl w:val="nil"/>
                  </w:tcBorders>
                  <w:shd w:val="clear" w:color="auto" w:fill="auto"/>
                  <w:vAlign w:val="center"/>
                </w:tcPr>
                <w:p w14:paraId="38EED70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初期雨水</w:t>
                  </w:r>
                </w:p>
              </w:tc>
              <w:tc>
                <w:tcPr>
                  <w:tcW w:w="3366" w:type="dxa"/>
                  <w:tcBorders>
                    <w:tl2br w:val="nil"/>
                    <w:tr2bl w:val="nil"/>
                  </w:tcBorders>
                  <w:shd w:val="clear" w:color="auto" w:fill="auto"/>
                  <w:vAlign w:val="center"/>
                </w:tcPr>
                <w:p w14:paraId="48597BAC">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eastAsia="宋体" w:cs="Times New Roman"/>
                      <w:caps w:val="0"/>
                      <w:color w:val="auto"/>
                      <w:spacing w:val="0"/>
                      <w:position w:val="0"/>
                      <w:sz w:val="21"/>
                      <w:szCs w:val="21"/>
                      <w:highlight w:val="none"/>
                      <w:lang w:val="en-US" w:eastAsia="zh-CN"/>
                    </w:rPr>
                    <w:t>经</w:t>
                  </w:r>
                  <w:r>
                    <w:rPr>
                      <w:rFonts w:hint="default" w:ascii="Times New Roman" w:hAnsi="Times New Roman"/>
                      <w:caps w:val="0"/>
                      <w:color w:val="auto"/>
                      <w:spacing w:val="0"/>
                      <w:position w:val="0"/>
                      <w:szCs w:val="21"/>
                      <w:highlight w:val="none"/>
                      <w:lang w:val="en-US" w:eastAsia="zh-CN" w:bidi="ar"/>
                    </w:rPr>
                    <w:t>氧化+絮凝沉淀</w:t>
                  </w:r>
                  <w:r>
                    <w:rPr>
                      <w:rFonts w:hint="eastAsia" w:ascii="Times New Roman" w:hAnsi="Times New Roman"/>
                      <w:caps w:val="0"/>
                      <w:color w:val="auto"/>
                      <w:spacing w:val="0"/>
                      <w:position w:val="0"/>
                      <w:szCs w:val="21"/>
                      <w:highlight w:val="none"/>
                      <w:lang w:val="en-US" w:eastAsia="zh-CN" w:bidi="ar"/>
                    </w:rPr>
                    <w:t>（</w:t>
                  </w:r>
                  <w:r>
                    <w:rPr>
                      <w:rFonts w:hint="default" w:ascii="Times New Roman" w:hAnsi="Times New Roman" w:eastAsia="宋体" w:cs="Times New Roman"/>
                      <w:caps w:val="0"/>
                      <w:color w:val="auto"/>
                      <w:spacing w:val="0"/>
                      <w:position w:val="0"/>
                      <w:sz w:val="21"/>
                      <w:szCs w:val="21"/>
                      <w:highlight w:val="none"/>
                      <w:lang w:val="en-US" w:eastAsia="zh-CN"/>
                    </w:rPr>
                    <w:t>初期雨水收集池</w:t>
                  </w:r>
                  <w:r>
                    <w:rPr>
                      <w:rFonts w:hint="eastAsia" w:ascii="Times New Roman" w:hAnsi="Times New Roman" w:eastAsia="宋体" w:cs="Times New Roman"/>
                      <w:caps w:val="0"/>
                      <w:color w:val="auto"/>
                      <w:spacing w:val="0"/>
                      <w:position w:val="0"/>
                      <w:sz w:val="21"/>
                      <w:szCs w:val="21"/>
                      <w:highlight w:val="none"/>
                      <w:lang w:val="en-US" w:eastAsia="zh-CN"/>
                    </w:rPr>
                    <w:t>，</w:t>
                  </w:r>
                  <w:r>
                    <w:rPr>
                      <w:rFonts w:hint="eastAsia" w:cs="Times New Roman"/>
                      <w:caps w:val="0"/>
                      <w:color w:val="auto"/>
                      <w:spacing w:val="0"/>
                      <w:position w:val="0"/>
                      <w:sz w:val="21"/>
                      <w:szCs w:val="21"/>
                      <w:highlight w:val="none"/>
                      <w:lang w:val="en-US" w:eastAsia="zh-CN"/>
                    </w:rPr>
                    <w:t>7</w:t>
                  </w:r>
                  <w:r>
                    <w:rPr>
                      <w:rFonts w:hint="default" w:ascii="Times New Roman" w:hAnsi="Times New Roman" w:eastAsia="宋体" w:cs="Times New Roman"/>
                      <w:caps w:val="0"/>
                      <w:color w:val="auto"/>
                      <w:spacing w:val="0"/>
                      <w:position w:val="0"/>
                      <w:sz w:val="21"/>
                      <w:szCs w:val="21"/>
                      <w:highlight w:val="none"/>
                      <w:lang w:val="en-US" w:eastAsia="zh-CN"/>
                    </w:rPr>
                    <w:t>00m³）处理后回用于搅拌用水和降尘用水。</w:t>
                  </w:r>
                </w:p>
              </w:tc>
              <w:tc>
                <w:tcPr>
                  <w:tcW w:w="811" w:type="dxa"/>
                  <w:tcBorders>
                    <w:tl2br w:val="nil"/>
                    <w:tr2bl w:val="nil"/>
                  </w:tcBorders>
                  <w:shd w:val="clear" w:color="auto" w:fill="auto"/>
                  <w:vAlign w:val="center"/>
                </w:tcPr>
                <w:p w14:paraId="3332CE1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新建</w:t>
                  </w:r>
                </w:p>
              </w:tc>
            </w:tr>
            <w:tr w14:paraId="0B4822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9" w:type="dxa"/>
                  <w:vMerge w:val="continue"/>
                  <w:tcBorders>
                    <w:tl2br w:val="nil"/>
                    <w:tr2bl w:val="nil"/>
                  </w:tcBorders>
                  <w:vAlign w:val="center"/>
                </w:tcPr>
                <w:p w14:paraId="34F3CA4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257" w:type="dxa"/>
                  <w:tcBorders>
                    <w:tl2br w:val="nil"/>
                    <w:tr2bl w:val="nil"/>
                  </w:tcBorders>
                  <w:vAlign w:val="center"/>
                </w:tcPr>
                <w:p w14:paraId="3A98401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噪声处理措施</w:t>
                  </w:r>
                </w:p>
              </w:tc>
              <w:tc>
                <w:tcPr>
                  <w:tcW w:w="4932" w:type="dxa"/>
                  <w:gridSpan w:val="2"/>
                  <w:tcBorders>
                    <w:tl2br w:val="nil"/>
                    <w:tr2bl w:val="nil"/>
                  </w:tcBorders>
                  <w:vAlign w:val="center"/>
                </w:tcPr>
                <w:p w14:paraId="6F1A4CD0">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减振、车间隔声等措施。</w:t>
                  </w:r>
                </w:p>
              </w:tc>
              <w:tc>
                <w:tcPr>
                  <w:tcW w:w="811" w:type="dxa"/>
                  <w:tcBorders>
                    <w:tl2br w:val="nil"/>
                    <w:tr2bl w:val="nil"/>
                  </w:tcBorders>
                  <w:vAlign w:val="center"/>
                </w:tcPr>
                <w:p w14:paraId="1CA44FB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新建</w:t>
                  </w:r>
                </w:p>
              </w:tc>
            </w:tr>
            <w:tr w14:paraId="29A000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079" w:type="dxa"/>
                  <w:vMerge w:val="continue"/>
                  <w:tcBorders>
                    <w:tl2br w:val="nil"/>
                    <w:tr2bl w:val="nil"/>
                  </w:tcBorders>
                  <w:vAlign w:val="center"/>
                </w:tcPr>
                <w:p w14:paraId="43A3D53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257" w:type="dxa"/>
                  <w:vMerge w:val="restart"/>
                  <w:tcBorders>
                    <w:tl2br w:val="nil"/>
                    <w:tr2bl w:val="nil"/>
                  </w:tcBorders>
                  <w:vAlign w:val="center"/>
                </w:tcPr>
                <w:p w14:paraId="520899E8">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固废处理措施</w:t>
                  </w:r>
                </w:p>
              </w:tc>
              <w:tc>
                <w:tcPr>
                  <w:tcW w:w="4932" w:type="dxa"/>
                  <w:gridSpan w:val="2"/>
                  <w:tcBorders>
                    <w:tl2br w:val="nil"/>
                    <w:tr2bl w:val="nil"/>
                  </w:tcBorders>
                  <w:vAlign w:val="center"/>
                </w:tcPr>
                <w:p w14:paraId="1F8E4E9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生活垃圾交由环卫部门定期清理。</w:t>
                  </w:r>
                </w:p>
              </w:tc>
              <w:tc>
                <w:tcPr>
                  <w:tcW w:w="811" w:type="dxa"/>
                  <w:tcBorders>
                    <w:tl2br w:val="nil"/>
                    <w:tr2bl w:val="nil"/>
                  </w:tcBorders>
                  <w:vAlign w:val="center"/>
                </w:tcPr>
                <w:p w14:paraId="63797B9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新建</w:t>
                  </w:r>
                </w:p>
              </w:tc>
            </w:tr>
            <w:tr w14:paraId="71470E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9" w:type="dxa"/>
                  <w:vMerge w:val="continue"/>
                  <w:tcBorders>
                    <w:tl2br w:val="nil"/>
                    <w:tr2bl w:val="nil"/>
                  </w:tcBorders>
                  <w:vAlign w:val="center"/>
                </w:tcPr>
                <w:p w14:paraId="6561E6C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257" w:type="dxa"/>
                  <w:vMerge w:val="continue"/>
                  <w:tcBorders>
                    <w:tl2br w:val="nil"/>
                    <w:tr2bl w:val="nil"/>
                  </w:tcBorders>
                  <w:vAlign w:val="center"/>
                </w:tcPr>
                <w:p w14:paraId="0FAC5CC0">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4932" w:type="dxa"/>
                  <w:gridSpan w:val="2"/>
                  <w:tcBorders>
                    <w:tl2br w:val="nil"/>
                    <w:tr2bl w:val="nil"/>
                  </w:tcBorders>
                  <w:vAlign w:val="center"/>
                </w:tcPr>
                <w:p w14:paraId="7C221212">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rPr>
                  </w:pPr>
                  <w:r>
                    <w:rPr>
                      <w:rFonts w:hint="default" w:ascii="Times New Roman" w:hAnsi="Times New Roman" w:cs="Times New Roman"/>
                      <w:caps w:val="0"/>
                      <w:color w:val="auto"/>
                      <w:spacing w:val="0"/>
                      <w:position w:val="0"/>
                      <w:highlight w:val="none"/>
                    </w:rPr>
                    <w:t>一般固废间</w:t>
                  </w:r>
                  <w:r>
                    <w:rPr>
                      <w:rFonts w:hint="eastAsia" w:cs="Times New Roman"/>
                      <w:caps w:val="0"/>
                      <w:color w:val="auto"/>
                      <w:spacing w:val="0"/>
                      <w:position w:val="0"/>
                      <w:highlight w:val="none"/>
                      <w:lang w:val="en-US" w:eastAsia="zh-CN"/>
                    </w:rPr>
                    <w:t>5</w:t>
                  </w:r>
                  <w:r>
                    <w:rPr>
                      <w:rFonts w:hint="default" w:ascii="Times New Roman" w:hAnsi="Times New Roman" w:cs="Times New Roman"/>
                      <w:caps w:val="0"/>
                      <w:color w:val="auto"/>
                      <w:spacing w:val="0"/>
                      <w:position w:val="0"/>
                      <w:highlight w:val="none"/>
                      <w:lang w:val="en-US" w:eastAsia="zh-CN"/>
                    </w:rPr>
                    <w:t>0</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2</w:t>
                  </w:r>
                  <w:r>
                    <w:rPr>
                      <w:rFonts w:hint="default" w:ascii="Times New Roman" w:hAnsi="Times New Roman" w:cs="Times New Roman"/>
                      <w:caps w:val="0"/>
                      <w:color w:val="auto"/>
                      <w:spacing w:val="0"/>
                      <w:position w:val="0"/>
                      <w:highlight w:val="none"/>
                    </w:rPr>
                    <w:t>，危险固废间</w:t>
                  </w:r>
                  <w:r>
                    <w:rPr>
                      <w:rFonts w:hint="eastAsia" w:cs="Times New Roman"/>
                      <w:caps w:val="0"/>
                      <w:color w:val="auto"/>
                      <w:spacing w:val="0"/>
                      <w:position w:val="0"/>
                      <w:highlight w:val="none"/>
                      <w:lang w:val="en-US" w:eastAsia="zh-CN"/>
                    </w:rPr>
                    <w:t>10</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2</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lang w:val="en-US" w:eastAsia="zh-CN"/>
                    </w:rPr>
                    <w:t>位于厂</w:t>
                  </w:r>
                  <w:r>
                    <w:rPr>
                      <w:rFonts w:hint="eastAsia" w:cs="Times New Roman"/>
                      <w:caps w:val="0"/>
                      <w:color w:val="auto"/>
                      <w:spacing w:val="0"/>
                      <w:position w:val="0"/>
                      <w:highlight w:val="none"/>
                      <w:lang w:val="en-US" w:eastAsia="zh-CN"/>
                    </w:rPr>
                    <w:t>区东北</w:t>
                  </w:r>
                  <w:r>
                    <w:rPr>
                      <w:rFonts w:hint="default" w:ascii="Times New Roman" w:hAnsi="Times New Roman" w:cs="Times New Roman"/>
                      <w:caps w:val="0"/>
                      <w:color w:val="auto"/>
                      <w:spacing w:val="0"/>
                      <w:position w:val="0"/>
                      <w:highlight w:val="none"/>
                      <w:lang w:val="en-US" w:eastAsia="zh-CN"/>
                    </w:rPr>
                    <w:t>侧</w:t>
                  </w:r>
                  <w:r>
                    <w:rPr>
                      <w:rFonts w:hint="eastAsia" w:cs="Times New Roman"/>
                      <w:caps w:val="0"/>
                      <w:color w:val="auto"/>
                      <w:spacing w:val="0"/>
                      <w:position w:val="0"/>
                      <w:highlight w:val="none"/>
                      <w:lang w:val="en-US" w:eastAsia="zh-CN"/>
                    </w:rPr>
                    <w:t>，办公室西侧</w:t>
                  </w:r>
                  <w:r>
                    <w:rPr>
                      <w:rFonts w:hint="default" w:ascii="Times New Roman" w:hAnsi="Times New Roman" w:cs="Times New Roman"/>
                      <w:caps w:val="0"/>
                      <w:color w:val="auto"/>
                      <w:spacing w:val="0"/>
                      <w:position w:val="0"/>
                      <w:highlight w:val="none"/>
                      <w:lang w:val="en-US" w:eastAsia="zh-CN"/>
                    </w:rPr>
                    <w:t>。</w:t>
                  </w:r>
                </w:p>
              </w:tc>
              <w:tc>
                <w:tcPr>
                  <w:tcW w:w="811" w:type="dxa"/>
                  <w:tcBorders>
                    <w:tl2br w:val="nil"/>
                    <w:tr2bl w:val="nil"/>
                  </w:tcBorders>
                  <w:vAlign w:val="center"/>
                </w:tcPr>
                <w:p w14:paraId="0E666258">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position w:val="0"/>
                      <w:highlight w:val="none"/>
                      <w:lang w:eastAsia="zh-CN"/>
                    </w:rPr>
                  </w:pPr>
                  <w:r>
                    <w:rPr>
                      <w:rFonts w:hint="eastAsia" w:cs="Times New Roman"/>
                      <w:caps w:val="0"/>
                      <w:color w:val="auto"/>
                      <w:spacing w:val="0"/>
                      <w:position w:val="0"/>
                      <w:highlight w:val="none"/>
                      <w:lang w:val="en-US" w:eastAsia="zh-CN"/>
                    </w:rPr>
                    <w:t>现有</w:t>
                  </w:r>
                </w:p>
              </w:tc>
            </w:tr>
            <w:tr w14:paraId="40DC15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79" w:type="dxa"/>
                  <w:vMerge w:val="continue"/>
                  <w:tcBorders>
                    <w:tl2br w:val="nil"/>
                    <w:tr2bl w:val="nil"/>
                  </w:tcBorders>
                  <w:vAlign w:val="center"/>
                </w:tcPr>
                <w:p w14:paraId="4E84E2BB">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257" w:type="dxa"/>
                  <w:tcBorders>
                    <w:tl2br w:val="nil"/>
                    <w:tr2bl w:val="nil"/>
                  </w:tcBorders>
                  <w:shd w:val="clear" w:color="auto" w:fill="auto"/>
                  <w:vAlign w:val="center"/>
                </w:tcPr>
                <w:p w14:paraId="6468CCCF">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rPr>
                    <w:t>事故应急</w:t>
                  </w:r>
                </w:p>
              </w:tc>
              <w:tc>
                <w:tcPr>
                  <w:tcW w:w="4932" w:type="dxa"/>
                  <w:gridSpan w:val="2"/>
                  <w:tcBorders>
                    <w:tl2br w:val="nil"/>
                    <w:tr2bl w:val="nil"/>
                  </w:tcBorders>
                  <w:shd w:val="clear" w:color="auto" w:fill="auto"/>
                  <w:vAlign w:val="center"/>
                </w:tcPr>
                <w:p w14:paraId="17B808B2">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rPr>
                    <w:t>400m</w:t>
                  </w:r>
                  <w:r>
                    <w:rPr>
                      <w:rFonts w:hint="eastAsia"/>
                      <w:caps w:val="0"/>
                      <w:color w:val="auto"/>
                      <w:spacing w:val="0"/>
                      <w:position w:val="0"/>
                      <w:highlight w:val="none"/>
                      <w:vertAlign w:val="superscript"/>
                    </w:rPr>
                    <w:t>3</w:t>
                  </w:r>
                  <w:r>
                    <w:rPr>
                      <w:rFonts w:hint="eastAsia"/>
                      <w:caps w:val="0"/>
                      <w:color w:val="auto"/>
                      <w:spacing w:val="0"/>
                      <w:position w:val="0"/>
                      <w:highlight w:val="none"/>
                    </w:rPr>
                    <w:t>的事故应急池。</w:t>
                  </w:r>
                </w:p>
              </w:tc>
              <w:tc>
                <w:tcPr>
                  <w:tcW w:w="811" w:type="dxa"/>
                  <w:tcBorders>
                    <w:tl2br w:val="nil"/>
                    <w:tr2bl w:val="nil"/>
                  </w:tcBorders>
                  <w:shd w:val="clear" w:color="auto" w:fill="auto"/>
                  <w:vAlign w:val="center"/>
                </w:tcPr>
                <w:p w14:paraId="60C55DA2">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rPr>
                    <w:t>新建</w:t>
                  </w:r>
                </w:p>
              </w:tc>
            </w:tr>
            <w:tr w14:paraId="0356A4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079" w:type="dxa"/>
                  <w:gridSpan w:val="5"/>
                  <w:tcBorders>
                    <w:tl2br w:val="nil"/>
                    <w:tr2bl w:val="nil"/>
                  </w:tcBorders>
                  <w:vAlign w:val="center"/>
                </w:tcPr>
                <w:p w14:paraId="619747FF">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注：本项目仅对产品抗性进行物理检测，不使用试剂，不产生废水、废液；产品中污染物检测全部委外。</w:t>
                  </w:r>
                </w:p>
              </w:tc>
            </w:tr>
          </w:tbl>
          <w:p w14:paraId="2D952F40">
            <w:pPr>
              <w:pStyle w:val="74"/>
              <w:keepNext w:val="0"/>
              <w:keepLines w:val="0"/>
              <w:suppressLineNumbers w:val="0"/>
              <w:bidi w:val="0"/>
              <w:spacing w:before="0" w:beforeAutospacing="0" w:after="0" w:afterAutospacing="0"/>
              <w:ind w:left="0" w:right="0"/>
              <w:rPr>
                <w:rFonts w:hint="default" w:ascii="Times New Roman" w:hAnsi="Times New Roman" w:cs="Times New Roman"/>
                <w:b/>
                <w:bCs w:val="0"/>
                <w:caps w:val="0"/>
                <w:color w:val="auto"/>
                <w:spacing w:val="0"/>
                <w:position w:val="0"/>
                <w:highlight w:val="none"/>
              </w:rPr>
            </w:pPr>
            <w:r>
              <w:rPr>
                <w:rFonts w:hint="default" w:ascii="Times New Roman" w:hAnsi="Times New Roman" w:cs="Times New Roman"/>
                <w:b/>
                <w:bCs w:val="0"/>
                <w:caps w:val="0"/>
                <w:color w:val="auto"/>
                <w:spacing w:val="0"/>
                <w:position w:val="0"/>
                <w:highlight w:val="none"/>
                <w:lang w:val="en-US" w:eastAsia="zh-CN"/>
              </w:rPr>
              <w:t>4</w:t>
            </w:r>
            <w:r>
              <w:rPr>
                <w:rFonts w:hint="default" w:ascii="Times New Roman" w:hAnsi="Times New Roman" w:cs="Times New Roman"/>
                <w:b/>
                <w:bCs w:val="0"/>
                <w:caps w:val="0"/>
                <w:color w:val="auto"/>
                <w:spacing w:val="0"/>
                <w:position w:val="0"/>
                <w:highlight w:val="none"/>
              </w:rPr>
              <w:t>、项目产品方案</w:t>
            </w:r>
          </w:p>
          <w:p w14:paraId="4B3BE1F5">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项目</w:t>
            </w:r>
            <w:r>
              <w:rPr>
                <w:rFonts w:hint="default" w:ascii="Times New Roman" w:hAnsi="Times New Roman" w:cs="Times New Roman"/>
                <w:caps w:val="0"/>
                <w:color w:val="auto"/>
                <w:spacing w:val="0"/>
                <w:position w:val="0"/>
                <w:highlight w:val="none"/>
                <w:lang w:val="en-US" w:eastAsia="zh-CN"/>
              </w:rPr>
              <w:t>产品方案</w:t>
            </w:r>
            <w:r>
              <w:rPr>
                <w:rFonts w:hint="default" w:ascii="Times New Roman" w:hAnsi="Times New Roman" w:cs="Times New Roman"/>
                <w:caps w:val="0"/>
                <w:color w:val="auto"/>
                <w:spacing w:val="0"/>
                <w:position w:val="0"/>
                <w:highlight w:val="none"/>
              </w:rPr>
              <w:t>详</w:t>
            </w:r>
            <w:r>
              <w:rPr>
                <w:rFonts w:hint="default" w:ascii="Times New Roman" w:hAnsi="Times New Roman" w:cs="Times New Roman"/>
                <w:caps w:val="0"/>
                <w:color w:val="auto"/>
                <w:spacing w:val="0"/>
                <w:position w:val="0"/>
                <w:highlight w:val="none"/>
                <w:lang w:val="en-US" w:eastAsia="zh-CN"/>
              </w:rPr>
              <w:t>情</w:t>
            </w:r>
            <w:r>
              <w:rPr>
                <w:rFonts w:hint="default" w:ascii="Times New Roman" w:hAnsi="Times New Roman" w:cs="Times New Roman"/>
                <w:caps w:val="0"/>
                <w:color w:val="auto"/>
                <w:spacing w:val="0"/>
                <w:position w:val="0"/>
                <w:highlight w:val="none"/>
              </w:rPr>
              <w:t>见</w:t>
            </w:r>
            <w:r>
              <w:rPr>
                <w:rFonts w:hint="default" w:ascii="Times New Roman" w:hAnsi="Times New Roman" w:cs="Times New Roman"/>
                <w:caps w:val="0"/>
                <w:color w:val="auto"/>
                <w:spacing w:val="0"/>
                <w:position w:val="0"/>
                <w:highlight w:val="none"/>
                <w:lang w:val="en-US" w:eastAsia="zh-CN"/>
              </w:rPr>
              <w:t>下</w:t>
            </w:r>
            <w:r>
              <w:rPr>
                <w:rFonts w:hint="default" w:ascii="Times New Roman" w:hAnsi="Times New Roman" w:cs="Times New Roman"/>
                <w:caps w:val="0"/>
                <w:color w:val="auto"/>
                <w:spacing w:val="0"/>
                <w:position w:val="0"/>
                <w:highlight w:val="none"/>
              </w:rPr>
              <w:t>表。</w:t>
            </w:r>
          </w:p>
          <w:p w14:paraId="066FB2A7">
            <w:pPr>
              <w:pStyle w:val="75"/>
              <w:keepNext w:val="0"/>
              <w:keepLines w:val="0"/>
              <w:numPr>
                <w:ilvl w:val="0"/>
                <w:numId w:val="4"/>
              </w:numPr>
              <w:suppressLineNumbers w:val="0"/>
              <w:bidi w:val="0"/>
              <w:spacing w:before="0" w:beforeAutospacing="0" w:after="0" w:afterAutospacing="0"/>
              <w:ind w:left="0" w:leftChars="0" w:right="0" w:firstLine="420" w:firstLineChars="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项目产品方案一览表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1" w:type="dxa"/>
                <w:bottom w:w="0" w:type="dxa"/>
                <w:right w:w="51" w:type="dxa"/>
              </w:tblCellMar>
            </w:tblPr>
            <w:tblGrid>
              <w:gridCol w:w="458"/>
              <w:gridCol w:w="1046"/>
              <w:gridCol w:w="1008"/>
              <w:gridCol w:w="1011"/>
              <w:gridCol w:w="1945"/>
              <w:gridCol w:w="830"/>
              <w:gridCol w:w="1782"/>
            </w:tblGrid>
            <w:tr w14:paraId="154BC4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283" w:type="pct"/>
                  <w:tcBorders>
                    <w:tl2br w:val="nil"/>
                    <w:tr2bl w:val="nil"/>
                  </w:tcBorders>
                  <w:noWrap w:val="0"/>
                  <w:vAlign w:val="center"/>
                </w:tcPr>
                <w:p w14:paraId="112687E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bookmarkStart w:id="8" w:name="OLE_LINK2"/>
                  <w:bookmarkStart w:id="9" w:name="OLE_LINK1"/>
                  <w:r>
                    <w:rPr>
                      <w:rFonts w:hint="default"/>
                      <w:caps w:val="0"/>
                      <w:color w:val="auto"/>
                      <w:spacing w:val="0"/>
                      <w:position w:val="0"/>
                      <w:highlight w:val="none"/>
                    </w:rPr>
                    <w:t>序号</w:t>
                  </w:r>
                </w:p>
              </w:tc>
              <w:tc>
                <w:tcPr>
                  <w:tcW w:w="647" w:type="pct"/>
                  <w:tcBorders>
                    <w:tl2br w:val="nil"/>
                    <w:tr2bl w:val="nil"/>
                  </w:tcBorders>
                  <w:noWrap w:val="0"/>
                  <w:vAlign w:val="center"/>
                </w:tcPr>
                <w:p w14:paraId="1342D1A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产品名称</w:t>
                  </w:r>
                </w:p>
              </w:tc>
              <w:tc>
                <w:tcPr>
                  <w:tcW w:w="623" w:type="pct"/>
                  <w:tcBorders>
                    <w:tl2br w:val="nil"/>
                    <w:tr2bl w:val="nil"/>
                  </w:tcBorders>
                  <w:noWrap w:val="0"/>
                  <w:vAlign w:val="center"/>
                </w:tcPr>
                <w:p w14:paraId="54E14D9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产能</w:t>
                  </w:r>
                </w:p>
                <w:p w14:paraId="457404B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eastAsia="zh-CN"/>
                    </w:rPr>
                  </w:pPr>
                  <w:r>
                    <w:rPr>
                      <w:rFonts w:hint="default"/>
                      <w:caps w:val="0"/>
                      <w:color w:val="auto"/>
                      <w:spacing w:val="0"/>
                      <w:position w:val="0"/>
                      <w:highlight w:val="none"/>
                      <w:lang w:eastAsia="zh-CN"/>
                    </w:rPr>
                    <w:t>（万</w:t>
                  </w:r>
                  <w:r>
                    <w:rPr>
                      <w:rFonts w:hint="default"/>
                      <w:caps w:val="0"/>
                      <w:color w:val="auto"/>
                      <w:spacing w:val="0"/>
                      <w:position w:val="0"/>
                      <w:highlight w:val="none"/>
                      <w:lang w:val="en-US" w:eastAsia="zh-CN"/>
                    </w:rPr>
                    <w:t>吨</w:t>
                  </w:r>
                  <w:r>
                    <w:rPr>
                      <w:rFonts w:hint="default"/>
                      <w:caps w:val="0"/>
                      <w:color w:val="auto"/>
                      <w:spacing w:val="0"/>
                      <w:position w:val="0"/>
                      <w:highlight w:val="none"/>
                      <w:lang w:eastAsia="zh-CN"/>
                    </w:rPr>
                    <w:t>）</w:t>
                  </w:r>
                </w:p>
              </w:tc>
              <w:tc>
                <w:tcPr>
                  <w:tcW w:w="625" w:type="pct"/>
                  <w:tcBorders>
                    <w:tl2br w:val="nil"/>
                    <w:tr2bl w:val="nil"/>
                  </w:tcBorders>
                  <w:shd w:val="clear" w:color="auto" w:fill="auto"/>
                  <w:noWrap w:val="0"/>
                  <w:vAlign w:val="center"/>
                </w:tcPr>
                <w:p w14:paraId="4F0B7DC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产能</w:t>
                  </w:r>
                </w:p>
                <w:p w14:paraId="65DFEE3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eastAsia="zh-CN"/>
                    </w:rPr>
                    <w:t>（</w:t>
                  </w:r>
                  <w:r>
                    <w:rPr>
                      <w:rFonts w:hint="eastAsia"/>
                      <w:caps w:val="0"/>
                      <w:color w:val="auto"/>
                      <w:spacing w:val="0"/>
                      <w:position w:val="0"/>
                      <w:highlight w:val="none"/>
                      <w:lang w:val="en-US" w:eastAsia="zh-CN"/>
                    </w:rPr>
                    <w:t>万块</w:t>
                  </w:r>
                  <w:r>
                    <w:rPr>
                      <w:rFonts w:hint="default"/>
                      <w:caps w:val="0"/>
                      <w:color w:val="auto"/>
                      <w:spacing w:val="0"/>
                      <w:position w:val="0"/>
                      <w:highlight w:val="none"/>
                      <w:lang w:eastAsia="zh-CN"/>
                    </w:rPr>
                    <w:t>）</w:t>
                  </w:r>
                </w:p>
              </w:tc>
              <w:tc>
                <w:tcPr>
                  <w:tcW w:w="1203" w:type="pct"/>
                  <w:tcBorders>
                    <w:tl2br w:val="nil"/>
                    <w:tr2bl w:val="nil"/>
                  </w:tcBorders>
                  <w:shd w:val="clear" w:color="auto" w:fill="auto"/>
                  <w:noWrap w:val="0"/>
                  <w:vAlign w:val="center"/>
                </w:tcPr>
                <w:p w14:paraId="3BB2213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产品规格</w:t>
                  </w:r>
                </w:p>
              </w:tc>
              <w:tc>
                <w:tcPr>
                  <w:tcW w:w="513" w:type="pct"/>
                  <w:tcBorders>
                    <w:tl2br w:val="nil"/>
                    <w:tr2bl w:val="nil"/>
                  </w:tcBorders>
                  <w:shd w:val="clear" w:color="auto" w:fill="auto"/>
                  <w:noWrap w:val="0"/>
                  <w:vAlign w:val="center"/>
                </w:tcPr>
                <w:p w14:paraId="21F3CF8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包装方式</w:t>
                  </w:r>
                </w:p>
              </w:tc>
              <w:tc>
                <w:tcPr>
                  <w:tcW w:w="1102" w:type="pct"/>
                  <w:tcBorders>
                    <w:tl2br w:val="nil"/>
                    <w:tr2bl w:val="nil"/>
                  </w:tcBorders>
                  <w:noWrap w:val="0"/>
                  <w:vAlign w:val="center"/>
                </w:tcPr>
                <w:p w14:paraId="1FB64FA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产品质量标准</w:t>
                  </w:r>
                </w:p>
              </w:tc>
            </w:tr>
            <w:tr w14:paraId="785FB4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643" w:hRule="atLeast"/>
                <w:jc w:val="center"/>
              </w:trPr>
              <w:tc>
                <w:tcPr>
                  <w:tcW w:w="283" w:type="pct"/>
                  <w:tcBorders>
                    <w:tl2br w:val="nil"/>
                    <w:tr2bl w:val="nil"/>
                  </w:tcBorders>
                  <w:noWrap w:val="0"/>
                  <w:vAlign w:val="center"/>
                </w:tcPr>
                <w:p w14:paraId="456C007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w:t>
                  </w:r>
                </w:p>
              </w:tc>
              <w:tc>
                <w:tcPr>
                  <w:tcW w:w="647" w:type="pct"/>
                  <w:tcBorders>
                    <w:tl2br w:val="nil"/>
                    <w:tr2bl w:val="nil"/>
                  </w:tcBorders>
                  <w:noWrap w:val="0"/>
                  <w:vAlign w:val="center"/>
                </w:tcPr>
                <w:p w14:paraId="637E7D7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发泡砖</w:t>
                  </w:r>
                </w:p>
              </w:tc>
              <w:tc>
                <w:tcPr>
                  <w:tcW w:w="623" w:type="pct"/>
                  <w:tcBorders>
                    <w:tl2br w:val="nil"/>
                    <w:tr2bl w:val="nil"/>
                  </w:tcBorders>
                  <w:noWrap w:val="0"/>
                  <w:vAlign w:val="center"/>
                </w:tcPr>
                <w:p w14:paraId="5290920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20</w:t>
                  </w:r>
                </w:p>
              </w:tc>
              <w:tc>
                <w:tcPr>
                  <w:tcW w:w="625" w:type="pct"/>
                  <w:tcBorders>
                    <w:tl2br w:val="nil"/>
                    <w:tr2bl w:val="nil"/>
                  </w:tcBorders>
                  <w:noWrap w:val="0"/>
                  <w:vAlign w:val="center"/>
                </w:tcPr>
                <w:p w14:paraId="20127D3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3858</w:t>
                  </w:r>
                </w:p>
              </w:tc>
              <w:tc>
                <w:tcPr>
                  <w:tcW w:w="1203" w:type="pct"/>
                  <w:tcBorders>
                    <w:tl2br w:val="nil"/>
                    <w:tr2bl w:val="nil"/>
                  </w:tcBorders>
                  <w:noWrap w:val="0"/>
                  <w:vAlign w:val="center"/>
                </w:tcPr>
                <w:p w14:paraId="17A5EB6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caps w:val="0"/>
                      <w:color w:val="auto"/>
                      <w:spacing w:val="0"/>
                      <w:position w:val="0"/>
                      <w:highlight w:val="none"/>
                    </w:rPr>
                    <w:t>24×12×9cm</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密度2.0</w:t>
                  </w:r>
                  <w:r>
                    <w:rPr>
                      <w:caps w:val="0"/>
                      <w:color w:val="auto"/>
                      <w:spacing w:val="0"/>
                      <w:position w:val="0"/>
                      <w:highlight w:val="none"/>
                    </w:rPr>
                    <w:t>t/m</w:t>
                  </w:r>
                  <w:r>
                    <w:rPr>
                      <w:caps w:val="0"/>
                      <w:color w:val="auto"/>
                      <w:spacing w:val="0"/>
                      <w:position w:val="0"/>
                      <w:highlight w:val="none"/>
                      <w:vertAlign w:val="superscript"/>
                    </w:rPr>
                    <w:t>3</w:t>
                  </w:r>
                  <w:r>
                    <w:rPr>
                      <w:rFonts w:hint="eastAsia"/>
                      <w:caps w:val="0"/>
                      <w:color w:val="auto"/>
                      <w:spacing w:val="0"/>
                      <w:position w:val="0"/>
                      <w:highlight w:val="none"/>
                      <w:lang w:val="en-US" w:eastAsia="zh-CN"/>
                    </w:rPr>
                    <w:t>（约5.2kg/块）</w:t>
                  </w:r>
                </w:p>
              </w:tc>
              <w:tc>
                <w:tcPr>
                  <w:tcW w:w="513" w:type="pct"/>
                  <w:tcBorders>
                    <w:tl2br w:val="nil"/>
                    <w:tr2bl w:val="nil"/>
                  </w:tcBorders>
                  <w:noWrap w:val="0"/>
                  <w:vAlign w:val="center"/>
                </w:tcPr>
                <w:p w14:paraId="30ABE5D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caps w:val="0"/>
                      <w:color w:val="auto"/>
                      <w:spacing w:val="0"/>
                      <w:position w:val="0"/>
                      <w:highlight w:val="none"/>
                    </w:rPr>
                    <w:t>垛堆</w:t>
                  </w:r>
                </w:p>
              </w:tc>
              <w:tc>
                <w:tcPr>
                  <w:tcW w:w="1102" w:type="pct"/>
                  <w:tcBorders>
                    <w:tl2br w:val="nil"/>
                    <w:tr2bl w:val="nil"/>
                  </w:tcBorders>
                  <w:noWrap w:val="0"/>
                  <w:vAlign w:val="center"/>
                </w:tcPr>
                <w:p w14:paraId="6AE5F87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eastAsia="zh-CN"/>
                    </w:rPr>
                    <w:t>《混凝土实心砖》（GB/T21144-20</w:t>
                  </w:r>
                  <w:r>
                    <w:rPr>
                      <w:rFonts w:hint="eastAsia"/>
                      <w:caps w:val="0"/>
                      <w:color w:val="auto"/>
                      <w:spacing w:val="0"/>
                      <w:position w:val="0"/>
                      <w:highlight w:val="none"/>
                      <w:lang w:val="en-US" w:eastAsia="zh-CN"/>
                    </w:rPr>
                    <w:t>23</w:t>
                  </w:r>
                  <w:r>
                    <w:rPr>
                      <w:rFonts w:hint="default"/>
                      <w:caps w:val="0"/>
                      <w:color w:val="auto"/>
                      <w:spacing w:val="0"/>
                      <w:position w:val="0"/>
                      <w:highlight w:val="none"/>
                      <w:lang w:eastAsia="zh-CN"/>
                    </w:rPr>
                    <w:t>）</w:t>
                  </w:r>
                </w:p>
              </w:tc>
            </w:tr>
            <w:bookmarkEnd w:id="8"/>
            <w:bookmarkEnd w:id="9"/>
          </w:tbl>
          <w:p w14:paraId="71BAC886">
            <w:pPr>
              <w:pStyle w:val="74"/>
              <w:keepNext w:val="0"/>
              <w:keepLines w:val="0"/>
              <w:suppressLineNumbers w:val="0"/>
              <w:bidi w:val="0"/>
              <w:spacing w:before="0" w:beforeAutospacing="0" w:after="0" w:afterAutospacing="0"/>
              <w:ind w:left="0" w:right="0"/>
              <w:rPr>
                <w:rFonts w:hint="default" w:ascii="Times New Roman" w:hAnsi="Times New Roman" w:cs="Times New Roman"/>
                <w:b/>
                <w:bCs w:val="0"/>
                <w:caps w:val="0"/>
                <w:color w:val="auto"/>
                <w:spacing w:val="0"/>
                <w:position w:val="0"/>
                <w:highlight w:val="none"/>
                <w:lang w:val="en-US" w:eastAsia="zh-CN"/>
              </w:rPr>
            </w:pPr>
            <w:r>
              <w:rPr>
                <w:rFonts w:hint="default" w:ascii="Times New Roman" w:hAnsi="Times New Roman" w:cs="Times New Roman"/>
                <w:b/>
                <w:bCs w:val="0"/>
                <w:caps w:val="0"/>
                <w:color w:val="auto"/>
                <w:spacing w:val="0"/>
                <w:position w:val="0"/>
                <w:highlight w:val="none"/>
                <w:lang w:val="en-US" w:eastAsia="zh-CN"/>
              </w:rPr>
              <w:t>4</w:t>
            </w:r>
            <w:r>
              <w:rPr>
                <w:rFonts w:hint="default" w:ascii="Times New Roman" w:hAnsi="Times New Roman" w:cs="Times New Roman"/>
                <w:b/>
                <w:bCs w:val="0"/>
                <w:caps w:val="0"/>
                <w:color w:val="auto"/>
                <w:spacing w:val="0"/>
                <w:position w:val="0"/>
                <w:highlight w:val="none"/>
                <w:lang w:val="en-US" w:eastAsia="en-US"/>
              </w:rPr>
              <w:t>.1</w:t>
            </w:r>
            <w:r>
              <w:rPr>
                <w:rFonts w:hint="default" w:ascii="Times New Roman" w:hAnsi="Times New Roman" w:cs="Times New Roman"/>
                <w:b/>
                <w:bCs w:val="0"/>
                <w:caps w:val="0"/>
                <w:color w:val="auto"/>
                <w:spacing w:val="0"/>
                <w:position w:val="0"/>
                <w:highlight w:val="none"/>
                <w:lang w:val="en-US" w:eastAsia="zh-CN"/>
              </w:rPr>
              <w:t>、产品定义</w:t>
            </w:r>
          </w:p>
          <w:p w14:paraId="62170911">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发泡砖</w:t>
            </w:r>
            <w:r>
              <w:rPr>
                <w:rFonts w:hint="default" w:ascii="Times New Roman" w:hAnsi="Times New Roman" w:cs="Times New Roman"/>
                <w:caps w:val="0"/>
                <w:color w:val="auto"/>
                <w:spacing w:val="0"/>
                <w:position w:val="0"/>
                <w:highlight w:val="none"/>
                <w:lang w:val="en-US" w:eastAsia="zh-CN"/>
              </w:rPr>
              <w:t>：</w:t>
            </w:r>
            <w:r>
              <w:rPr>
                <w:rFonts w:hint="eastAsia" w:cs="Times New Roman"/>
                <w:caps w:val="0"/>
                <w:color w:val="auto"/>
                <w:spacing w:val="0"/>
                <w:position w:val="0"/>
                <w:highlight w:val="none"/>
                <w:lang w:val="en-US" w:eastAsia="zh-CN"/>
              </w:rPr>
              <w:t>本项目产品为</w:t>
            </w:r>
            <w:r>
              <w:rPr>
                <w:rFonts w:hint="default"/>
                <w:caps w:val="0"/>
                <w:color w:val="auto"/>
                <w:spacing w:val="0"/>
                <w:position w:val="0"/>
                <w:highlight w:val="none"/>
                <w:lang w:eastAsia="zh-CN"/>
              </w:rPr>
              <w:t>《混凝土实心砖》（GB/T21144-20</w:t>
            </w:r>
            <w:r>
              <w:rPr>
                <w:rFonts w:hint="eastAsia"/>
                <w:caps w:val="0"/>
                <w:color w:val="auto"/>
                <w:spacing w:val="0"/>
                <w:position w:val="0"/>
                <w:highlight w:val="none"/>
                <w:lang w:val="en-US" w:eastAsia="zh-CN"/>
              </w:rPr>
              <w:t>23</w:t>
            </w:r>
            <w:r>
              <w:rPr>
                <w:rFonts w:hint="default"/>
                <w:caps w:val="0"/>
                <w:color w:val="auto"/>
                <w:spacing w:val="0"/>
                <w:position w:val="0"/>
                <w:highlight w:val="none"/>
                <w:lang w:eastAsia="zh-CN"/>
              </w:rPr>
              <w:t>）</w:t>
            </w:r>
            <w:r>
              <w:rPr>
                <w:rFonts w:hint="eastAsia"/>
                <w:caps w:val="0"/>
                <w:color w:val="auto"/>
                <w:spacing w:val="0"/>
                <w:position w:val="0"/>
                <w:highlight w:val="none"/>
                <w:lang w:val="en-US" w:eastAsia="zh-CN"/>
              </w:rPr>
              <w:t>中的混凝土实心砖，由于备案文件不可更改，本次环评文本中以发泡砖称。</w:t>
            </w:r>
            <w:r>
              <w:rPr>
                <w:rFonts w:hint="default" w:ascii="Times New Roman" w:hAnsi="Times New Roman" w:cs="Times New Roman"/>
                <w:caps w:val="0"/>
                <w:color w:val="auto"/>
                <w:spacing w:val="0"/>
                <w:position w:val="0"/>
                <w:highlight w:val="none"/>
                <w:lang w:val="en-US" w:eastAsia="zh-CN"/>
              </w:rPr>
              <w:t>以</w:t>
            </w:r>
            <w:r>
              <w:rPr>
                <w:rFonts w:hint="default" w:ascii="Times New Roman" w:hAnsi="Times New Roman" w:cs="Times New Roman"/>
                <w:caps w:val="0"/>
                <w:color w:val="auto"/>
                <w:spacing w:val="0"/>
                <w:position w:val="0"/>
                <w:highlight w:val="none"/>
                <w:lang w:val="en-US" w:eastAsia="en-US"/>
              </w:rPr>
              <w:t>工业固体废弃物</w:t>
            </w:r>
            <w:r>
              <w:rPr>
                <w:rFonts w:hint="default" w:ascii="Times New Roman" w:hAnsi="Times New Roman" w:cs="Times New Roman"/>
                <w:caps w:val="0"/>
                <w:color w:val="auto"/>
                <w:spacing w:val="0"/>
                <w:position w:val="0"/>
                <w:highlight w:val="none"/>
                <w:lang w:val="en-US" w:eastAsia="zh-CN"/>
              </w:rPr>
              <w:t>、水泥为主要原料，经原料制备、加压或振动加压、养护而制成，用于工业与民用建筑基础和墙体的实心砖</w:t>
            </w:r>
            <w:r>
              <w:rPr>
                <w:rFonts w:hint="eastAsia" w:cs="Times New Roman"/>
                <w:caps w:val="0"/>
                <w:color w:val="auto"/>
                <w:spacing w:val="0"/>
                <w:position w:val="0"/>
                <w:highlight w:val="none"/>
                <w:lang w:val="en-US" w:eastAsia="zh-CN"/>
              </w:rPr>
              <w:t>；以及用于路面建设的路面砖</w:t>
            </w:r>
            <w:r>
              <w:rPr>
                <w:rFonts w:hint="default" w:ascii="Times New Roman" w:hAnsi="Times New Roman" w:cs="Times New Roman"/>
                <w:caps w:val="0"/>
                <w:color w:val="auto"/>
                <w:spacing w:val="0"/>
                <w:position w:val="0"/>
                <w:highlight w:val="none"/>
                <w:lang w:val="en-US" w:eastAsia="zh-CN"/>
              </w:rPr>
              <w:t>。</w:t>
            </w:r>
          </w:p>
          <w:p w14:paraId="10E2BB1A">
            <w:pPr>
              <w:pStyle w:val="74"/>
              <w:keepNext w:val="0"/>
              <w:keepLines w:val="0"/>
              <w:suppressLineNumbers w:val="0"/>
              <w:bidi w:val="0"/>
              <w:spacing w:before="0" w:beforeAutospacing="0" w:after="0" w:afterAutospacing="0"/>
              <w:ind w:left="0" w:right="0"/>
              <w:rPr>
                <w:rFonts w:hint="default" w:ascii="Times New Roman" w:hAnsi="Times New Roman" w:cs="Times New Roman"/>
                <w:b/>
                <w:bCs w:val="0"/>
                <w:caps w:val="0"/>
                <w:color w:val="auto"/>
                <w:spacing w:val="0"/>
                <w:position w:val="0"/>
                <w:highlight w:val="none"/>
                <w:lang w:val="en-US" w:eastAsia="en-US"/>
              </w:rPr>
            </w:pPr>
            <w:r>
              <w:rPr>
                <w:rFonts w:hint="default" w:ascii="Times New Roman" w:hAnsi="Times New Roman" w:cs="Times New Roman"/>
                <w:b/>
                <w:bCs w:val="0"/>
                <w:caps w:val="0"/>
                <w:color w:val="auto"/>
                <w:spacing w:val="0"/>
                <w:position w:val="0"/>
                <w:highlight w:val="none"/>
                <w:lang w:val="en-US" w:eastAsia="zh-CN"/>
              </w:rPr>
              <w:t>4</w:t>
            </w:r>
            <w:r>
              <w:rPr>
                <w:rFonts w:hint="default" w:ascii="Times New Roman" w:hAnsi="Times New Roman" w:cs="Times New Roman"/>
                <w:b/>
                <w:bCs w:val="0"/>
                <w:caps w:val="0"/>
                <w:color w:val="auto"/>
                <w:spacing w:val="0"/>
                <w:position w:val="0"/>
                <w:highlight w:val="none"/>
                <w:lang w:val="en-US" w:eastAsia="en-US"/>
              </w:rPr>
              <w:t>.</w:t>
            </w:r>
            <w:r>
              <w:rPr>
                <w:rFonts w:hint="default" w:ascii="Times New Roman" w:hAnsi="Times New Roman" w:cs="Times New Roman"/>
                <w:b/>
                <w:bCs w:val="0"/>
                <w:caps w:val="0"/>
                <w:color w:val="auto"/>
                <w:spacing w:val="0"/>
                <w:position w:val="0"/>
                <w:highlight w:val="none"/>
                <w:lang w:val="en-US" w:eastAsia="zh-CN"/>
              </w:rPr>
              <w:t>2、</w:t>
            </w:r>
            <w:r>
              <w:rPr>
                <w:rFonts w:hint="default" w:ascii="Times New Roman" w:hAnsi="Times New Roman" w:cs="Times New Roman"/>
                <w:b/>
                <w:bCs w:val="0"/>
                <w:caps w:val="0"/>
                <w:color w:val="auto"/>
                <w:spacing w:val="0"/>
                <w:position w:val="0"/>
                <w:highlight w:val="none"/>
                <w:lang w:val="en-US" w:eastAsia="en-US"/>
              </w:rPr>
              <w:t>产品质量要求</w:t>
            </w:r>
          </w:p>
          <w:p w14:paraId="4236C7C5">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en-US"/>
              </w:rPr>
            </w:pPr>
            <w:r>
              <w:rPr>
                <w:rFonts w:hint="default" w:ascii="Times New Roman" w:hAnsi="Times New Roman" w:cs="Times New Roman"/>
                <w:caps w:val="0"/>
                <w:color w:val="auto"/>
                <w:spacing w:val="0"/>
                <w:position w:val="0"/>
                <w:highlight w:val="none"/>
                <w:lang w:val="en-US" w:eastAsia="en-US"/>
              </w:rPr>
              <w:t>（1）物理性质满足要求分析</w:t>
            </w:r>
          </w:p>
          <w:p w14:paraId="24729370">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val="0"/>
                <w:bCs w:val="0"/>
                <w:caps w:val="0"/>
                <w:color w:val="auto"/>
                <w:spacing w:val="0"/>
                <w:position w:val="0"/>
                <w:sz w:val="24"/>
                <w:highlight w:val="none"/>
                <w:lang w:val="en-US" w:eastAsia="zh-CN"/>
              </w:rPr>
            </w:pPr>
            <w:r>
              <w:rPr>
                <w:rStyle w:val="78"/>
                <w:rFonts w:hint="eastAsia"/>
                <w:caps w:val="0"/>
                <w:color w:val="auto"/>
                <w:spacing w:val="0"/>
                <w:position w:val="0"/>
                <w:highlight w:val="none"/>
                <w:lang w:val="en-US" w:eastAsia="zh-CN"/>
              </w:rPr>
              <w:t>本项目</w:t>
            </w:r>
            <w:r>
              <w:rPr>
                <w:rStyle w:val="78"/>
                <w:rFonts w:hint="default"/>
                <w:caps w:val="0"/>
                <w:color w:val="auto"/>
                <w:spacing w:val="0"/>
                <w:position w:val="0"/>
                <w:highlight w:val="none"/>
              </w:rPr>
              <w:t>产品</w:t>
            </w:r>
            <w:r>
              <w:rPr>
                <w:rStyle w:val="78"/>
                <w:rFonts w:hint="eastAsia"/>
                <w:caps w:val="0"/>
                <w:color w:val="auto"/>
                <w:spacing w:val="0"/>
                <w:position w:val="0"/>
                <w:highlight w:val="none"/>
                <w:lang w:val="en-US" w:eastAsia="zh-CN"/>
              </w:rPr>
              <w:t>发泡</w:t>
            </w:r>
            <w:r>
              <w:rPr>
                <w:rStyle w:val="78"/>
                <w:rFonts w:hint="default"/>
                <w:caps w:val="0"/>
                <w:color w:val="auto"/>
                <w:spacing w:val="0"/>
                <w:position w:val="0"/>
                <w:highlight w:val="none"/>
              </w:rPr>
              <w:t>砖质量标准执行《混凝土实心砖》（GB/T21144-20</w:t>
            </w:r>
            <w:r>
              <w:rPr>
                <w:rStyle w:val="78"/>
                <w:rFonts w:hint="eastAsia"/>
                <w:caps w:val="0"/>
                <w:color w:val="auto"/>
                <w:spacing w:val="0"/>
                <w:position w:val="0"/>
                <w:highlight w:val="none"/>
                <w:lang w:val="en-US" w:eastAsia="zh-CN"/>
              </w:rPr>
              <w:t>23</w:t>
            </w:r>
            <w:r>
              <w:rPr>
                <w:rStyle w:val="78"/>
                <w:rFonts w:hint="default"/>
                <w:caps w:val="0"/>
                <w:color w:val="auto"/>
                <w:spacing w:val="0"/>
                <w:position w:val="0"/>
                <w:highlight w:val="none"/>
              </w:rPr>
              <w:t>）标准，</w:t>
            </w:r>
            <w:r>
              <w:rPr>
                <w:rFonts w:hint="default" w:ascii="Times New Roman" w:hAnsi="Times New Roman" w:eastAsia="宋体" w:cs="Times New Roman"/>
                <w:b w:val="0"/>
                <w:bCs w:val="0"/>
                <w:caps w:val="0"/>
                <w:color w:val="auto"/>
                <w:spacing w:val="0"/>
                <w:position w:val="0"/>
                <w:sz w:val="24"/>
                <w:highlight w:val="none"/>
                <w:lang w:val="en-US" w:eastAsia="zh-CN"/>
              </w:rPr>
              <w:t>以上标准均为产品的物理性能要求，不详细列出。</w:t>
            </w:r>
          </w:p>
          <w:p w14:paraId="293A9FB7">
            <w:pPr>
              <w:keepNext w:val="0"/>
              <w:keepLines w:val="0"/>
              <w:widowControl/>
              <w:suppressLineNumbers w:val="0"/>
              <w:spacing w:before="0" w:beforeAutospacing="0" w:after="0" w:afterAutospacing="0"/>
              <w:ind w:left="0" w:right="0"/>
              <w:jc w:val="left"/>
              <w:rPr>
                <w:rFonts w:hint="eastAsia"/>
                <w:caps w:val="0"/>
                <w:color w:val="auto"/>
                <w:spacing w:val="0"/>
                <w:position w:val="0"/>
                <w:highlight w:val="none"/>
                <w:lang w:val="en-US" w:eastAsia="zh-CN"/>
              </w:rPr>
            </w:pPr>
            <w:r>
              <w:rPr>
                <w:rFonts w:hint="eastAsia" w:cs="Times New Roman"/>
                <w:b w:val="0"/>
                <w:bCs w:val="0"/>
                <w:caps w:val="0"/>
                <w:color w:val="auto"/>
                <w:spacing w:val="0"/>
                <w:position w:val="0"/>
                <w:sz w:val="24"/>
                <w:highlight w:val="none"/>
                <w:lang w:val="en-US" w:eastAsia="zh-CN"/>
              </w:rPr>
              <w:t>（2）</w:t>
            </w:r>
            <w:r>
              <w:rPr>
                <w:rFonts w:hint="eastAsia"/>
                <w:caps w:val="0"/>
                <w:color w:val="auto"/>
                <w:spacing w:val="0"/>
                <w:position w:val="0"/>
                <w:highlight w:val="none"/>
                <w:lang w:val="en-US" w:eastAsia="zh-CN"/>
              </w:rPr>
              <w:t>浸出毒性满足要求分析</w:t>
            </w:r>
          </w:p>
          <w:p w14:paraId="3C24314F">
            <w:pPr>
              <w:keepNext w:val="0"/>
              <w:keepLines w:val="0"/>
              <w:widowControl/>
              <w:suppressLineNumbers w:val="0"/>
              <w:spacing w:before="0" w:beforeAutospacing="0" w:after="0" w:afterAutospacing="0"/>
              <w:ind w:left="0" w:right="0"/>
              <w:jc w:val="left"/>
              <w:rPr>
                <w:rFonts w:hint="default" w:ascii="Times New Roman" w:hAnsi="Times New Roman" w:cs="Times New Roman"/>
                <w:caps w:val="0"/>
                <w:color w:val="auto"/>
                <w:spacing w:val="0"/>
                <w:position w:val="0"/>
                <w:highlight w:val="none"/>
                <w:lang w:val="en-US" w:eastAsia="en-US"/>
              </w:rPr>
            </w:pPr>
            <w:r>
              <w:rPr>
                <w:rStyle w:val="78"/>
                <w:rFonts w:hint="default"/>
                <w:caps w:val="0"/>
                <w:color w:val="auto"/>
                <w:spacing w:val="0"/>
                <w:position w:val="0"/>
                <w:highlight w:val="none"/>
                <w:lang w:val="en-US" w:eastAsia="zh-CN"/>
              </w:rPr>
              <w:t>根据《固废再生利用污染防治技术导则》</w:t>
            </w:r>
            <w:r>
              <w:rPr>
                <w:rFonts w:hint="default" w:ascii="Times New Roman" w:hAnsi="Times New Roman" w:eastAsia="宋体" w:cs="Times New Roman"/>
                <w:caps w:val="0"/>
                <w:color w:val="auto"/>
                <w:spacing w:val="0"/>
                <w:kern w:val="0"/>
                <w:position w:val="0"/>
                <w:sz w:val="24"/>
                <w:szCs w:val="24"/>
                <w:highlight w:val="none"/>
                <w:lang w:val="en-US" w:eastAsia="zh-CN" w:bidi="ar"/>
              </w:rPr>
              <w:t>（HJ1091-2020）要求：“利用固体废物生产砖瓦、轻骨料、集料、玻璃、陶瓷、陶粒、路基材料等建材过程的污染控制执行相关行业污染物排放标准，相关产品中有害物质含量参照GB30760的要求执行”，因此，本项目产品应参照执行《水泥窑协同处置固体废物技术规范》（GB/T30760-2024）水泥熟料重金属含量限值要求；</w:t>
            </w:r>
            <w:r>
              <w:rPr>
                <w:rFonts w:hint="default" w:ascii="Times New Roman" w:hAnsi="Times New Roman" w:eastAsia="宋体" w:cs="Times New Roman"/>
                <w:caps w:val="0"/>
                <w:color w:val="auto"/>
                <w:spacing w:val="0"/>
                <w:position w:val="0"/>
                <w:highlight w:val="none"/>
                <w:lang w:val="en-US" w:eastAsia="zh-CN"/>
              </w:rPr>
              <w:t>环境安全性</w:t>
            </w:r>
            <w:r>
              <w:rPr>
                <w:rFonts w:hint="default" w:ascii="Times New Roman" w:hAnsi="Times New Roman" w:cs="Times New Roman"/>
                <w:caps w:val="0"/>
                <w:color w:val="auto"/>
                <w:spacing w:val="0"/>
                <w:position w:val="0"/>
                <w:highlight w:val="none"/>
                <w:lang w:val="en-US" w:eastAsia="en-US"/>
              </w:rPr>
              <w:t>质量满足</w:t>
            </w:r>
            <w:r>
              <w:rPr>
                <w:rFonts w:hint="default" w:ascii="Times New Roman" w:hAnsi="Times New Roman" w:eastAsia="宋体" w:cs="Times New Roman"/>
                <w:caps w:val="0"/>
                <w:color w:val="auto"/>
                <w:spacing w:val="0"/>
                <w:position w:val="0"/>
                <w:highlight w:val="none"/>
                <w:lang w:val="en-US" w:eastAsia="zh-CN"/>
              </w:rPr>
              <w:t>水泥基再生材料环境安全性能指标及限量值</w:t>
            </w:r>
            <w:r>
              <w:rPr>
                <w:rFonts w:hint="default" w:ascii="Times New Roman" w:hAnsi="Times New Roman" w:cs="Times New Roman"/>
                <w:caps w:val="0"/>
                <w:color w:val="auto"/>
                <w:spacing w:val="0"/>
                <w:position w:val="0"/>
                <w:highlight w:val="none"/>
                <w:lang w:val="en-US" w:eastAsia="en-US"/>
              </w:rPr>
              <w:t>要求</w:t>
            </w:r>
            <w:r>
              <w:rPr>
                <w:rFonts w:hint="default" w:ascii="Times New Roman" w:hAnsi="Times New Roman" w:cs="Times New Roman"/>
                <w:caps w:val="0"/>
                <w:color w:val="auto"/>
                <w:spacing w:val="0"/>
                <w:position w:val="0"/>
                <w:highlight w:val="none"/>
                <w:lang w:val="en-US" w:eastAsia="zh-CN"/>
              </w:rPr>
              <w:t>；</w:t>
            </w:r>
            <w:r>
              <w:rPr>
                <w:rFonts w:hint="default" w:ascii="Times New Roman" w:hAnsi="Times New Roman" w:eastAsia="宋体" w:cs="Times New Roman"/>
                <w:caps w:val="0"/>
                <w:color w:val="auto"/>
                <w:spacing w:val="0"/>
                <w:position w:val="0"/>
                <w:highlight w:val="none"/>
                <w:lang w:val="en-US" w:eastAsia="zh-CN"/>
              </w:rPr>
              <w:t>浸出毒性按</w:t>
            </w:r>
            <w:r>
              <w:rPr>
                <w:rFonts w:hint="default" w:ascii="Times New Roman" w:hAnsi="Times New Roman" w:cs="Times New Roman"/>
                <w:caps w:val="0"/>
                <w:color w:val="auto"/>
                <w:spacing w:val="0"/>
                <w:position w:val="0"/>
                <w:highlight w:val="none"/>
              </w:rPr>
              <w:t>江西省地方标准《公路工程利用锂渣技术规范第1部分：路基工程（试行）》</w:t>
            </w:r>
            <w:r>
              <w:rPr>
                <w:rFonts w:hint="default" w:ascii="Times New Roman" w:hAnsi="Times New Roman" w:eastAsia="宋体" w:cs="Times New Roman"/>
                <w:caps w:val="0"/>
                <w:color w:val="auto"/>
                <w:spacing w:val="0"/>
                <w:position w:val="0"/>
                <w:highlight w:val="none"/>
                <w:lang w:eastAsia="zh-CN"/>
              </w:rPr>
              <w:t>（</w:t>
            </w:r>
            <w:r>
              <w:rPr>
                <w:rFonts w:hint="default" w:ascii="Times New Roman" w:hAnsi="Times New Roman" w:eastAsia="宋体" w:cs="Times New Roman"/>
                <w:caps w:val="0"/>
                <w:color w:val="auto"/>
                <w:spacing w:val="0"/>
                <w:position w:val="0"/>
                <w:highlight w:val="none"/>
                <w:lang w:val="en-US" w:eastAsia="zh-CN"/>
              </w:rPr>
              <w:t>DB36/T1968-2024</w:t>
            </w:r>
            <w:r>
              <w:rPr>
                <w:rFonts w:hint="default" w:ascii="Times New Roman" w:hAnsi="Times New Roman" w:eastAsia="宋体" w:cs="Times New Roman"/>
                <w:caps w:val="0"/>
                <w:color w:val="auto"/>
                <w:spacing w:val="0"/>
                <w:position w:val="0"/>
                <w:highlight w:val="none"/>
                <w:lang w:eastAsia="zh-CN"/>
              </w:rPr>
              <w:t>）</w:t>
            </w:r>
            <w:r>
              <w:rPr>
                <w:rFonts w:hint="default" w:ascii="Times New Roman" w:hAnsi="Times New Roman" w:eastAsia="宋体" w:cs="Times New Roman"/>
                <w:caps w:val="0"/>
                <w:color w:val="auto"/>
                <w:spacing w:val="0"/>
                <w:position w:val="0"/>
                <w:highlight w:val="none"/>
                <w:lang w:val="en-US" w:eastAsia="zh-CN"/>
              </w:rPr>
              <w:t>执行</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lang w:val="en-US" w:eastAsia="en-US"/>
              </w:rPr>
              <w:t>具体指标见</w:t>
            </w:r>
            <w:r>
              <w:rPr>
                <w:rFonts w:hint="default" w:ascii="Times New Roman" w:hAnsi="Times New Roman" w:cs="Times New Roman"/>
                <w:caps w:val="0"/>
                <w:color w:val="auto"/>
                <w:spacing w:val="0"/>
                <w:position w:val="0"/>
                <w:highlight w:val="none"/>
                <w:lang w:val="en-US" w:eastAsia="zh-CN"/>
              </w:rPr>
              <w:t>下</w:t>
            </w:r>
            <w:r>
              <w:rPr>
                <w:rFonts w:hint="default" w:ascii="Times New Roman" w:hAnsi="Times New Roman" w:cs="Times New Roman"/>
                <w:caps w:val="0"/>
                <w:color w:val="auto"/>
                <w:spacing w:val="0"/>
                <w:position w:val="0"/>
                <w:highlight w:val="none"/>
                <w:lang w:val="en-US" w:eastAsia="en-US"/>
              </w:rPr>
              <w:t>表。</w:t>
            </w:r>
          </w:p>
          <w:p w14:paraId="39242724">
            <w:pPr>
              <w:keepNext w:val="0"/>
              <w:keepLines w:val="0"/>
              <w:widowControl w:val="0"/>
              <w:numPr>
                <w:ilvl w:val="0"/>
                <w:numId w:val="4"/>
              </w:numPr>
              <w:suppressLineNumbers w:val="0"/>
              <w:adjustRightInd w:val="0"/>
              <w:snapToGrid w:val="0"/>
              <w:spacing w:before="0" w:beforeAutospacing="0" w:after="0" w:afterAutospacing="0" w:line="240" w:lineRule="auto"/>
              <w:ind w:left="0" w:leftChars="0" w:right="0" w:firstLine="420" w:firstLineChars="0"/>
              <w:jc w:val="center"/>
              <w:textAlignment w:val="baseline"/>
              <w:rPr>
                <w:rFonts w:hint="default" w:ascii="Times New Roman" w:hAnsi="Times New Roman" w:eastAsia="宋体" w:cs="Times New Roman"/>
                <w:b/>
                <w:bCs/>
                <w:caps w:val="0"/>
                <w:color w:val="auto"/>
                <w:spacing w:val="0"/>
                <w:kern w:val="0"/>
                <w:position w:val="0"/>
                <w:sz w:val="24"/>
                <w:szCs w:val="16"/>
                <w:highlight w:val="none"/>
                <w:lang w:val="en-US" w:eastAsia="zh-CN" w:bidi="ar-SA"/>
              </w:rPr>
            </w:pPr>
            <w:r>
              <w:rPr>
                <w:rFonts w:hint="default" w:ascii="Times New Roman" w:hAnsi="Times New Roman" w:eastAsia="宋体" w:cs="Times New Roman"/>
                <w:b/>
                <w:bCs/>
                <w:caps w:val="0"/>
                <w:color w:val="auto"/>
                <w:spacing w:val="0"/>
                <w:kern w:val="0"/>
                <w:position w:val="0"/>
                <w:sz w:val="24"/>
                <w:szCs w:val="16"/>
                <w:highlight w:val="none"/>
                <w:lang w:val="en-US" w:eastAsia="zh-CN" w:bidi="ar-SA"/>
              </w:rPr>
              <w:t>产品中重金属含量及可浸出含量限制要求</w:t>
            </w:r>
          </w:p>
          <w:tbl>
            <w:tblPr>
              <w:tblStyle w:val="93"/>
              <w:tblpPr w:vertAnchor="text" w:tblpXSpec="center" w:tblpY="1"/>
              <w:tblOverlap w:val="never"/>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439"/>
              <w:gridCol w:w="2094"/>
              <w:gridCol w:w="2475"/>
              <w:gridCol w:w="2072"/>
            </w:tblGrid>
            <w:tr w14:paraId="411692A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58" w:hRule="atLeast"/>
                <w:jc w:val="center"/>
              </w:trPr>
              <w:tc>
                <w:tcPr>
                  <w:tcW w:w="3533" w:type="dxa"/>
                  <w:gridSpan w:val="2"/>
                  <w:tcBorders>
                    <w:tl2br w:val="nil"/>
                    <w:tr2bl w:val="nil"/>
                  </w:tcBorders>
                  <w:vAlign w:val="center"/>
                </w:tcPr>
                <w:p w14:paraId="25DF989F">
                  <w:pPr>
                    <w:pStyle w:val="28"/>
                    <w:bidi w:val="0"/>
                    <w:rPr>
                      <w:rFonts w:hint="default" w:ascii="Times New Roman" w:hAnsi="Times New Roman" w:cs="Times New Roman"/>
                      <w:b/>
                      <w:bCs/>
                      <w:caps w:val="0"/>
                      <w:color w:val="auto"/>
                      <w:spacing w:val="0"/>
                      <w:position w:val="0"/>
                      <w:highlight w:val="none"/>
                    </w:rPr>
                  </w:pPr>
                  <w:r>
                    <w:rPr>
                      <w:rFonts w:hint="default" w:ascii="Times New Roman" w:hAnsi="Times New Roman" w:cs="Times New Roman"/>
                      <w:b/>
                      <w:bCs/>
                      <w:caps w:val="0"/>
                      <w:color w:val="auto"/>
                      <w:spacing w:val="0"/>
                      <w:position w:val="0"/>
                      <w:highlight w:val="none"/>
                    </w:rPr>
                    <w:t>项目</w:t>
                  </w:r>
                </w:p>
              </w:tc>
              <w:tc>
                <w:tcPr>
                  <w:tcW w:w="2475" w:type="dxa"/>
                  <w:tcBorders>
                    <w:tl2br w:val="nil"/>
                    <w:tr2bl w:val="nil"/>
                  </w:tcBorders>
                  <w:vAlign w:val="center"/>
                </w:tcPr>
                <w:p w14:paraId="3D6B01EC">
                  <w:pPr>
                    <w:pStyle w:val="28"/>
                    <w:bidi w:val="0"/>
                    <w:rPr>
                      <w:rFonts w:hint="default" w:ascii="Times New Roman" w:hAnsi="Times New Roman" w:cs="Times New Roman"/>
                      <w:b/>
                      <w:bCs/>
                      <w:caps w:val="0"/>
                      <w:color w:val="auto"/>
                      <w:spacing w:val="0"/>
                      <w:position w:val="0"/>
                      <w:highlight w:val="none"/>
                    </w:rPr>
                  </w:pPr>
                  <w:r>
                    <w:rPr>
                      <w:rFonts w:hint="default" w:ascii="Times New Roman" w:hAnsi="Times New Roman" w:cs="Times New Roman"/>
                      <w:b/>
                      <w:bCs/>
                      <w:caps w:val="0"/>
                      <w:color w:val="auto"/>
                      <w:spacing w:val="0"/>
                      <w:position w:val="0"/>
                      <w:highlight w:val="none"/>
                    </w:rPr>
                    <w:t>指标限值</w:t>
                  </w:r>
                </w:p>
              </w:tc>
              <w:tc>
                <w:tcPr>
                  <w:tcW w:w="2072" w:type="dxa"/>
                  <w:tcBorders>
                    <w:tl2br w:val="nil"/>
                    <w:tr2bl w:val="nil"/>
                  </w:tcBorders>
                  <w:vAlign w:val="center"/>
                </w:tcPr>
                <w:p w14:paraId="5606E7F4">
                  <w:pPr>
                    <w:pStyle w:val="28"/>
                    <w:bidi w:val="0"/>
                    <w:rPr>
                      <w:rFonts w:hint="default" w:ascii="Times New Roman" w:hAnsi="Times New Roman" w:cs="Times New Roman"/>
                      <w:b/>
                      <w:bCs/>
                      <w:caps w:val="0"/>
                      <w:color w:val="auto"/>
                      <w:spacing w:val="0"/>
                      <w:position w:val="0"/>
                      <w:highlight w:val="none"/>
                    </w:rPr>
                  </w:pPr>
                  <w:r>
                    <w:rPr>
                      <w:rFonts w:hint="default" w:ascii="Times New Roman" w:hAnsi="Times New Roman" w:cs="Times New Roman"/>
                      <w:b/>
                      <w:bCs/>
                      <w:caps w:val="0"/>
                      <w:color w:val="auto"/>
                      <w:spacing w:val="0"/>
                      <w:position w:val="0"/>
                      <w:highlight w:val="none"/>
                    </w:rPr>
                    <w:t>依据</w:t>
                  </w:r>
                </w:p>
              </w:tc>
            </w:tr>
            <w:tr w14:paraId="3A94401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19" w:hRule="atLeast"/>
                <w:jc w:val="center"/>
              </w:trPr>
              <w:tc>
                <w:tcPr>
                  <w:tcW w:w="1439" w:type="dxa"/>
                  <w:vMerge w:val="restart"/>
                  <w:tcBorders>
                    <w:tl2br w:val="nil"/>
                    <w:tr2bl w:val="nil"/>
                  </w:tcBorders>
                  <w:vAlign w:val="center"/>
                </w:tcPr>
                <w:p w14:paraId="08417DCF">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产品中重金</w:t>
                  </w:r>
                </w:p>
                <w:p w14:paraId="3DE50542">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属含量限值</w:t>
                  </w:r>
                </w:p>
              </w:tc>
              <w:tc>
                <w:tcPr>
                  <w:tcW w:w="2094" w:type="dxa"/>
                  <w:tcBorders>
                    <w:tl2br w:val="nil"/>
                    <w:tr2bl w:val="nil"/>
                  </w:tcBorders>
                  <w:vAlign w:val="center"/>
                </w:tcPr>
                <w:p w14:paraId="2951276D">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砷（As）</w:t>
                  </w:r>
                </w:p>
              </w:tc>
              <w:tc>
                <w:tcPr>
                  <w:tcW w:w="2475" w:type="dxa"/>
                  <w:tcBorders>
                    <w:tl2br w:val="nil"/>
                    <w:tr2bl w:val="nil"/>
                  </w:tcBorders>
                  <w:vAlign w:val="center"/>
                </w:tcPr>
                <w:p w14:paraId="04702171">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40 mg/kg</w:t>
                  </w:r>
                </w:p>
              </w:tc>
              <w:tc>
                <w:tcPr>
                  <w:tcW w:w="2072" w:type="dxa"/>
                  <w:vMerge w:val="restart"/>
                  <w:tcBorders>
                    <w:tl2br w:val="nil"/>
                    <w:tr2bl w:val="nil"/>
                  </w:tcBorders>
                  <w:vAlign w:val="center"/>
                </w:tcPr>
                <w:p w14:paraId="19C80390">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《水泥窑协同处置固体废物技术规范》（GB 30760-2024）</w:t>
                  </w:r>
                </w:p>
              </w:tc>
            </w:tr>
            <w:tr w14:paraId="2971DF5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19" w:hRule="atLeast"/>
                <w:jc w:val="center"/>
              </w:trPr>
              <w:tc>
                <w:tcPr>
                  <w:tcW w:w="1439" w:type="dxa"/>
                  <w:vMerge w:val="continue"/>
                  <w:tcBorders>
                    <w:tl2br w:val="nil"/>
                    <w:tr2bl w:val="nil"/>
                  </w:tcBorders>
                  <w:vAlign w:val="center"/>
                </w:tcPr>
                <w:p w14:paraId="62C1E77D">
                  <w:pPr>
                    <w:pStyle w:val="28"/>
                    <w:bidi w:val="0"/>
                    <w:rPr>
                      <w:rFonts w:hint="default" w:ascii="Times New Roman" w:hAnsi="Times New Roman" w:cs="Times New Roman"/>
                      <w:caps w:val="0"/>
                      <w:color w:val="auto"/>
                      <w:spacing w:val="0"/>
                      <w:position w:val="0"/>
                      <w:highlight w:val="none"/>
                    </w:rPr>
                  </w:pPr>
                </w:p>
              </w:tc>
              <w:tc>
                <w:tcPr>
                  <w:tcW w:w="2094" w:type="dxa"/>
                  <w:tcBorders>
                    <w:tl2br w:val="nil"/>
                    <w:tr2bl w:val="nil"/>
                  </w:tcBorders>
                  <w:vAlign w:val="center"/>
                </w:tcPr>
                <w:p w14:paraId="4E8DEFEB">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铅（Pb）</w:t>
                  </w:r>
                </w:p>
              </w:tc>
              <w:tc>
                <w:tcPr>
                  <w:tcW w:w="2475" w:type="dxa"/>
                  <w:tcBorders>
                    <w:tl2br w:val="nil"/>
                    <w:tr2bl w:val="nil"/>
                  </w:tcBorders>
                  <w:vAlign w:val="center"/>
                </w:tcPr>
                <w:p w14:paraId="7A866BDA">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100 mg/kg</w:t>
                  </w:r>
                </w:p>
              </w:tc>
              <w:tc>
                <w:tcPr>
                  <w:tcW w:w="2072" w:type="dxa"/>
                  <w:vMerge w:val="continue"/>
                  <w:tcBorders>
                    <w:tl2br w:val="nil"/>
                    <w:tr2bl w:val="nil"/>
                  </w:tcBorders>
                  <w:vAlign w:val="center"/>
                </w:tcPr>
                <w:p w14:paraId="3C4C19AC">
                  <w:pPr>
                    <w:pStyle w:val="28"/>
                    <w:bidi w:val="0"/>
                    <w:rPr>
                      <w:rFonts w:hint="default" w:ascii="Times New Roman" w:hAnsi="Times New Roman" w:cs="Times New Roman"/>
                      <w:caps w:val="0"/>
                      <w:color w:val="auto"/>
                      <w:spacing w:val="0"/>
                      <w:position w:val="0"/>
                      <w:highlight w:val="none"/>
                    </w:rPr>
                  </w:pPr>
                </w:p>
              </w:tc>
            </w:tr>
            <w:tr w14:paraId="5AEFC87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439" w:type="dxa"/>
                  <w:vMerge w:val="continue"/>
                  <w:tcBorders>
                    <w:tl2br w:val="nil"/>
                    <w:tr2bl w:val="nil"/>
                  </w:tcBorders>
                  <w:vAlign w:val="center"/>
                </w:tcPr>
                <w:p w14:paraId="03E3252A">
                  <w:pPr>
                    <w:pStyle w:val="28"/>
                    <w:bidi w:val="0"/>
                    <w:rPr>
                      <w:rFonts w:hint="default" w:ascii="Times New Roman" w:hAnsi="Times New Roman" w:cs="Times New Roman"/>
                      <w:caps w:val="0"/>
                      <w:color w:val="auto"/>
                      <w:spacing w:val="0"/>
                      <w:position w:val="0"/>
                      <w:highlight w:val="none"/>
                    </w:rPr>
                  </w:pPr>
                </w:p>
              </w:tc>
              <w:tc>
                <w:tcPr>
                  <w:tcW w:w="2094" w:type="dxa"/>
                  <w:tcBorders>
                    <w:tl2br w:val="nil"/>
                    <w:tr2bl w:val="nil"/>
                  </w:tcBorders>
                  <w:vAlign w:val="center"/>
                </w:tcPr>
                <w:p w14:paraId="665905C0">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镉（Cd）</w:t>
                  </w:r>
                </w:p>
              </w:tc>
              <w:tc>
                <w:tcPr>
                  <w:tcW w:w="2475" w:type="dxa"/>
                  <w:tcBorders>
                    <w:tl2br w:val="nil"/>
                    <w:tr2bl w:val="nil"/>
                  </w:tcBorders>
                  <w:vAlign w:val="center"/>
                </w:tcPr>
                <w:p w14:paraId="792A9A52">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1.5 mg/kg</w:t>
                  </w:r>
                </w:p>
              </w:tc>
              <w:tc>
                <w:tcPr>
                  <w:tcW w:w="2072" w:type="dxa"/>
                  <w:vMerge w:val="continue"/>
                  <w:tcBorders>
                    <w:tl2br w:val="nil"/>
                    <w:tr2bl w:val="nil"/>
                  </w:tcBorders>
                  <w:vAlign w:val="center"/>
                </w:tcPr>
                <w:p w14:paraId="65241A98">
                  <w:pPr>
                    <w:pStyle w:val="28"/>
                    <w:bidi w:val="0"/>
                    <w:rPr>
                      <w:rFonts w:hint="default" w:ascii="Times New Roman" w:hAnsi="Times New Roman" w:cs="Times New Roman"/>
                      <w:caps w:val="0"/>
                      <w:color w:val="auto"/>
                      <w:spacing w:val="0"/>
                      <w:position w:val="0"/>
                      <w:highlight w:val="none"/>
                    </w:rPr>
                  </w:pPr>
                </w:p>
              </w:tc>
            </w:tr>
            <w:tr w14:paraId="0729ACD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19" w:hRule="atLeast"/>
                <w:jc w:val="center"/>
              </w:trPr>
              <w:tc>
                <w:tcPr>
                  <w:tcW w:w="1439" w:type="dxa"/>
                  <w:vMerge w:val="continue"/>
                  <w:tcBorders>
                    <w:tl2br w:val="nil"/>
                    <w:tr2bl w:val="nil"/>
                  </w:tcBorders>
                  <w:vAlign w:val="center"/>
                </w:tcPr>
                <w:p w14:paraId="26D8A5B5">
                  <w:pPr>
                    <w:pStyle w:val="28"/>
                    <w:bidi w:val="0"/>
                    <w:rPr>
                      <w:rFonts w:hint="default" w:ascii="Times New Roman" w:hAnsi="Times New Roman" w:cs="Times New Roman"/>
                      <w:caps w:val="0"/>
                      <w:color w:val="auto"/>
                      <w:spacing w:val="0"/>
                      <w:position w:val="0"/>
                      <w:highlight w:val="none"/>
                    </w:rPr>
                  </w:pPr>
                </w:p>
              </w:tc>
              <w:tc>
                <w:tcPr>
                  <w:tcW w:w="2094" w:type="dxa"/>
                  <w:tcBorders>
                    <w:tl2br w:val="nil"/>
                    <w:tr2bl w:val="nil"/>
                  </w:tcBorders>
                  <w:vAlign w:val="center"/>
                </w:tcPr>
                <w:p w14:paraId="3FC6C332">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铬（Cr）</w:t>
                  </w:r>
                </w:p>
              </w:tc>
              <w:tc>
                <w:tcPr>
                  <w:tcW w:w="2475" w:type="dxa"/>
                  <w:tcBorders>
                    <w:tl2br w:val="nil"/>
                    <w:tr2bl w:val="nil"/>
                  </w:tcBorders>
                  <w:vAlign w:val="center"/>
                </w:tcPr>
                <w:p w14:paraId="65A4C047">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150 mg/kg</w:t>
                  </w:r>
                </w:p>
              </w:tc>
              <w:tc>
                <w:tcPr>
                  <w:tcW w:w="2072" w:type="dxa"/>
                  <w:vMerge w:val="continue"/>
                  <w:tcBorders>
                    <w:tl2br w:val="nil"/>
                    <w:tr2bl w:val="nil"/>
                  </w:tcBorders>
                  <w:vAlign w:val="center"/>
                </w:tcPr>
                <w:p w14:paraId="7B1ED3FE">
                  <w:pPr>
                    <w:pStyle w:val="28"/>
                    <w:bidi w:val="0"/>
                    <w:rPr>
                      <w:rFonts w:hint="default" w:ascii="Times New Roman" w:hAnsi="Times New Roman" w:cs="Times New Roman"/>
                      <w:caps w:val="0"/>
                      <w:color w:val="auto"/>
                      <w:spacing w:val="0"/>
                      <w:position w:val="0"/>
                      <w:highlight w:val="none"/>
                    </w:rPr>
                  </w:pPr>
                </w:p>
              </w:tc>
            </w:tr>
            <w:tr w14:paraId="4771370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19" w:hRule="atLeast"/>
                <w:jc w:val="center"/>
              </w:trPr>
              <w:tc>
                <w:tcPr>
                  <w:tcW w:w="1439" w:type="dxa"/>
                  <w:vMerge w:val="continue"/>
                  <w:tcBorders>
                    <w:tl2br w:val="nil"/>
                    <w:tr2bl w:val="nil"/>
                  </w:tcBorders>
                  <w:vAlign w:val="center"/>
                </w:tcPr>
                <w:p w14:paraId="731DFE4C">
                  <w:pPr>
                    <w:pStyle w:val="28"/>
                    <w:bidi w:val="0"/>
                    <w:rPr>
                      <w:rFonts w:hint="default" w:ascii="Times New Roman" w:hAnsi="Times New Roman" w:cs="Times New Roman"/>
                      <w:caps w:val="0"/>
                      <w:color w:val="auto"/>
                      <w:spacing w:val="0"/>
                      <w:position w:val="0"/>
                      <w:highlight w:val="none"/>
                    </w:rPr>
                  </w:pPr>
                </w:p>
              </w:tc>
              <w:tc>
                <w:tcPr>
                  <w:tcW w:w="2094" w:type="dxa"/>
                  <w:tcBorders>
                    <w:tl2br w:val="nil"/>
                    <w:tr2bl w:val="nil"/>
                  </w:tcBorders>
                  <w:vAlign w:val="center"/>
                </w:tcPr>
                <w:p w14:paraId="423272B3">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铜（Cu）</w:t>
                  </w:r>
                </w:p>
              </w:tc>
              <w:tc>
                <w:tcPr>
                  <w:tcW w:w="2475" w:type="dxa"/>
                  <w:tcBorders>
                    <w:tl2br w:val="nil"/>
                    <w:tr2bl w:val="nil"/>
                  </w:tcBorders>
                  <w:vAlign w:val="center"/>
                </w:tcPr>
                <w:p w14:paraId="40748C25">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100 mg/kg</w:t>
                  </w:r>
                </w:p>
              </w:tc>
              <w:tc>
                <w:tcPr>
                  <w:tcW w:w="2072" w:type="dxa"/>
                  <w:vMerge w:val="continue"/>
                  <w:tcBorders>
                    <w:tl2br w:val="nil"/>
                    <w:tr2bl w:val="nil"/>
                  </w:tcBorders>
                  <w:vAlign w:val="center"/>
                </w:tcPr>
                <w:p w14:paraId="14EACBE7">
                  <w:pPr>
                    <w:pStyle w:val="28"/>
                    <w:bidi w:val="0"/>
                    <w:rPr>
                      <w:rFonts w:hint="default" w:ascii="Times New Roman" w:hAnsi="Times New Roman" w:cs="Times New Roman"/>
                      <w:caps w:val="0"/>
                      <w:color w:val="auto"/>
                      <w:spacing w:val="0"/>
                      <w:position w:val="0"/>
                      <w:highlight w:val="none"/>
                    </w:rPr>
                  </w:pPr>
                </w:p>
              </w:tc>
            </w:tr>
            <w:tr w14:paraId="0C209FE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19" w:hRule="atLeast"/>
                <w:jc w:val="center"/>
              </w:trPr>
              <w:tc>
                <w:tcPr>
                  <w:tcW w:w="1439" w:type="dxa"/>
                  <w:vMerge w:val="continue"/>
                  <w:tcBorders>
                    <w:tl2br w:val="nil"/>
                    <w:tr2bl w:val="nil"/>
                  </w:tcBorders>
                  <w:vAlign w:val="center"/>
                </w:tcPr>
                <w:p w14:paraId="0E4F82C9">
                  <w:pPr>
                    <w:pStyle w:val="28"/>
                    <w:bidi w:val="0"/>
                    <w:rPr>
                      <w:rFonts w:hint="default" w:ascii="Times New Roman" w:hAnsi="Times New Roman" w:cs="Times New Roman"/>
                      <w:caps w:val="0"/>
                      <w:color w:val="auto"/>
                      <w:spacing w:val="0"/>
                      <w:position w:val="0"/>
                      <w:highlight w:val="none"/>
                    </w:rPr>
                  </w:pPr>
                </w:p>
              </w:tc>
              <w:tc>
                <w:tcPr>
                  <w:tcW w:w="2094" w:type="dxa"/>
                  <w:tcBorders>
                    <w:tl2br w:val="nil"/>
                    <w:tr2bl w:val="nil"/>
                  </w:tcBorders>
                  <w:vAlign w:val="center"/>
                </w:tcPr>
                <w:p w14:paraId="265C4FE1">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镍（Ni）</w:t>
                  </w:r>
                </w:p>
              </w:tc>
              <w:tc>
                <w:tcPr>
                  <w:tcW w:w="2475" w:type="dxa"/>
                  <w:tcBorders>
                    <w:tl2br w:val="nil"/>
                    <w:tr2bl w:val="nil"/>
                  </w:tcBorders>
                  <w:vAlign w:val="center"/>
                </w:tcPr>
                <w:p w14:paraId="7EAFCB55">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100 mg/kg</w:t>
                  </w:r>
                </w:p>
              </w:tc>
              <w:tc>
                <w:tcPr>
                  <w:tcW w:w="2072" w:type="dxa"/>
                  <w:vMerge w:val="continue"/>
                  <w:tcBorders>
                    <w:tl2br w:val="nil"/>
                    <w:tr2bl w:val="nil"/>
                  </w:tcBorders>
                  <w:vAlign w:val="center"/>
                </w:tcPr>
                <w:p w14:paraId="42CAFBD9">
                  <w:pPr>
                    <w:pStyle w:val="28"/>
                    <w:bidi w:val="0"/>
                    <w:rPr>
                      <w:rFonts w:hint="default" w:ascii="Times New Roman" w:hAnsi="Times New Roman" w:cs="Times New Roman"/>
                      <w:caps w:val="0"/>
                      <w:color w:val="auto"/>
                      <w:spacing w:val="0"/>
                      <w:position w:val="0"/>
                      <w:highlight w:val="none"/>
                    </w:rPr>
                  </w:pPr>
                </w:p>
              </w:tc>
            </w:tr>
            <w:tr w14:paraId="6D7815E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19" w:hRule="atLeast"/>
                <w:jc w:val="center"/>
              </w:trPr>
              <w:tc>
                <w:tcPr>
                  <w:tcW w:w="1439" w:type="dxa"/>
                  <w:vMerge w:val="continue"/>
                  <w:tcBorders>
                    <w:tl2br w:val="nil"/>
                    <w:tr2bl w:val="nil"/>
                  </w:tcBorders>
                  <w:vAlign w:val="center"/>
                </w:tcPr>
                <w:p w14:paraId="13D16BB0">
                  <w:pPr>
                    <w:pStyle w:val="28"/>
                    <w:bidi w:val="0"/>
                    <w:rPr>
                      <w:rFonts w:hint="default" w:ascii="Times New Roman" w:hAnsi="Times New Roman" w:cs="Times New Roman"/>
                      <w:caps w:val="0"/>
                      <w:color w:val="auto"/>
                      <w:spacing w:val="0"/>
                      <w:position w:val="0"/>
                      <w:highlight w:val="none"/>
                    </w:rPr>
                  </w:pPr>
                </w:p>
              </w:tc>
              <w:tc>
                <w:tcPr>
                  <w:tcW w:w="2094" w:type="dxa"/>
                  <w:tcBorders>
                    <w:tl2br w:val="nil"/>
                    <w:tr2bl w:val="nil"/>
                  </w:tcBorders>
                  <w:vAlign w:val="center"/>
                </w:tcPr>
                <w:p w14:paraId="219C0895">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锌（Zn）</w:t>
                  </w:r>
                </w:p>
              </w:tc>
              <w:tc>
                <w:tcPr>
                  <w:tcW w:w="2475" w:type="dxa"/>
                  <w:tcBorders>
                    <w:tl2br w:val="nil"/>
                    <w:tr2bl w:val="nil"/>
                  </w:tcBorders>
                  <w:vAlign w:val="center"/>
                </w:tcPr>
                <w:p w14:paraId="2E6EB66C">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500 mg/kg</w:t>
                  </w:r>
                </w:p>
              </w:tc>
              <w:tc>
                <w:tcPr>
                  <w:tcW w:w="2072" w:type="dxa"/>
                  <w:vMerge w:val="continue"/>
                  <w:tcBorders>
                    <w:tl2br w:val="nil"/>
                    <w:tr2bl w:val="nil"/>
                  </w:tcBorders>
                  <w:vAlign w:val="center"/>
                </w:tcPr>
                <w:p w14:paraId="22B7BE18">
                  <w:pPr>
                    <w:pStyle w:val="28"/>
                    <w:bidi w:val="0"/>
                    <w:rPr>
                      <w:rFonts w:hint="default" w:ascii="Times New Roman" w:hAnsi="Times New Roman" w:cs="Times New Roman"/>
                      <w:caps w:val="0"/>
                      <w:color w:val="auto"/>
                      <w:spacing w:val="0"/>
                      <w:position w:val="0"/>
                      <w:highlight w:val="none"/>
                    </w:rPr>
                  </w:pPr>
                </w:p>
              </w:tc>
            </w:tr>
            <w:tr w14:paraId="6103E4F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18" w:hRule="atLeast"/>
                <w:jc w:val="center"/>
              </w:trPr>
              <w:tc>
                <w:tcPr>
                  <w:tcW w:w="1439" w:type="dxa"/>
                  <w:vMerge w:val="continue"/>
                  <w:tcBorders>
                    <w:tl2br w:val="nil"/>
                    <w:tr2bl w:val="nil"/>
                  </w:tcBorders>
                  <w:vAlign w:val="center"/>
                </w:tcPr>
                <w:p w14:paraId="554DADBC">
                  <w:pPr>
                    <w:pStyle w:val="28"/>
                    <w:bidi w:val="0"/>
                    <w:rPr>
                      <w:rFonts w:hint="default" w:ascii="Times New Roman" w:hAnsi="Times New Roman" w:cs="Times New Roman"/>
                      <w:caps w:val="0"/>
                      <w:color w:val="auto"/>
                      <w:spacing w:val="0"/>
                      <w:position w:val="0"/>
                      <w:highlight w:val="none"/>
                    </w:rPr>
                  </w:pPr>
                </w:p>
              </w:tc>
              <w:tc>
                <w:tcPr>
                  <w:tcW w:w="2094" w:type="dxa"/>
                  <w:tcBorders>
                    <w:tl2br w:val="nil"/>
                    <w:tr2bl w:val="nil"/>
                  </w:tcBorders>
                  <w:vAlign w:val="center"/>
                </w:tcPr>
                <w:p w14:paraId="00B45969">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锰（Mn）</w:t>
                  </w:r>
                </w:p>
              </w:tc>
              <w:tc>
                <w:tcPr>
                  <w:tcW w:w="2475" w:type="dxa"/>
                  <w:tcBorders>
                    <w:tl2br w:val="nil"/>
                    <w:tr2bl w:val="nil"/>
                  </w:tcBorders>
                  <w:vAlign w:val="center"/>
                </w:tcPr>
                <w:p w14:paraId="4204B9AB">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600 mg/kg</w:t>
                  </w:r>
                </w:p>
              </w:tc>
              <w:tc>
                <w:tcPr>
                  <w:tcW w:w="2072" w:type="dxa"/>
                  <w:vMerge w:val="continue"/>
                  <w:tcBorders>
                    <w:tl2br w:val="nil"/>
                    <w:tr2bl w:val="nil"/>
                  </w:tcBorders>
                  <w:vAlign w:val="center"/>
                </w:tcPr>
                <w:p w14:paraId="1B721AE7">
                  <w:pPr>
                    <w:pStyle w:val="28"/>
                    <w:bidi w:val="0"/>
                    <w:rPr>
                      <w:rFonts w:hint="default" w:ascii="Times New Roman" w:hAnsi="Times New Roman" w:cs="Times New Roman"/>
                      <w:caps w:val="0"/>
                      <w:color w:val="auto"/>
                      <w:spacing w:val="0"/>
                      <w:position w:val="0"/>
                      <w:highlight w:val="none"/>
                    </w:rPr>
                  </w:pPr>
                </w:p>
              </w:tc>
            </w:tr>
            <w:tr w14:paraId="6CB65D5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19" w:hRule="atLeast"/>
                <w:jc w:val="center"/>
              </w:trPr>
              <w:tc>
                <w:tcPr>
                  <w:tcW w:w="1439" w:type="dxa"/>
                  <w:vMerge w:val="restart"/>
                  <w:tcBorders>
                    <w:tl2br w:val="nil"/>
                    <w:tr2bl w:val="nil"/>
                  </w:tcBorders>
                  <w:vAlign w:val="center"/>
                </w:tcPr>
                <w:p w14:paraId="60A4CE1C">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产品中可浸出重金属含量限值</w:t>
                  </w:r>
                </w:p>
              </w:tc>
              <w:tc>
                <w:tcPr>
                  <w:tcW w:w="2094" w:type="dxa"/>
                  <w:tcBorders>
                    <w:tl2br w:val="nil"/>
                    <w:tr2bl w:val="nil"/>
                  </w:tcBorders>
                  <w:vAlign w:val="center"/>
                </w:tcPr>
                <w:p w14:paraId="24EA1D26">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砷（As）</w:t>
                  </w:r>
                </w:p>
              </w:tc>
              <w:tc>
                <w:tcPr>
                  <w:tcW w:w="2475" w:type="dxa"/>
                  <w:tcBorders>
                    <w:tl2br w:val="nil"/>
                    <w:tr2bl w:val="nil"/>
                  </w:tcBorders>
                  <w:vAlign w:val="center"/>
                </w:tcPr>
                <w:p w14:paraId="78863939">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0.1 mg/L</w:t>
                  </w:r>
                </w:p>
              </w:tc>
              <w:tc>
                <w:tcPr>
                  <w:tcW w:w="2072" w:type="dxa"/>
                  <w:vMerge w:val="continue"/>
                  <w:tcBorders>
                    <w:tl2br w:val="nil"/>
                    <w:tr2bl w:val="nil"/>
                  </w:tcBorders>
                  <w:vAlign w:val="center"/>
                </w:tcPr>
                <w:p w14:paraId="4B98A6C6">
                  <w:pPr>
                    <w:pStyle w:val="28"/>
                    <w:bidi w:val="0"/>
                    <w:rPr>
                      <w:rFonts w:hint="default" w:ascii="Times New Roman" w:hAnsi="Times New Roman" w:cs="Times New Roman"/>
                      <w:caps w:val="0"/>
                      <w:color w:val="auto"/>
                      <w:spacing w:val="0"/>
                      <w:position w:val="0"/>
                      <w:highlight w:val="none"/>
                    </w:rPr>
                  </w:pPr>
                </w:p>
              </w:tc>
            </w:tr>
            <w:tr w14:paraId="6E49AEA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19" w:hRule="atLeast"/>
                <w:jc w:val="center"/>
              </w:trPr>
              <w:tc>
                <w:tcPr>
                  <w:tcW w:w="1439" w:type="dxa"/>
                  <w:vMerge w:val="continue"/>
                  <w:tcBorders>
                    <w:tl2br w:val="nil"/>
                    <w:tr2bl w:val="nil"/>
                  </w:tcBorders>
                  <w:vAlign w:val="center"/>
                </w:tcPr>
                <w:p w14:paraId="5C7E8870">
                  <w:pPr>
                    <w:pStyle w:val="28"/>
                    <w:bidi w:val="0"/>
                    <w:rPr>
                      <w:rFonts w:hint="default" w:ascii="Times New Roman" w:hAnsi="Times New Roman" w:cs="Times New Roman"/>
                      <w:caps w:val="0"/>
                      <w:color w:val="auto"/>
                      <w:spacing w:val="0"/>
                      <w:position w:val="0"/>
                      <w:highlight w:val="none"/>
                    </w:rPr>
                  </w:pPr>
                </w:p>
              </w:tc>
              <w:tc>
                <w:tcPr>
                  <w:tcW w:w="2094" w:type="dxa"/>
                  <w:tcBorders>
                    <w:tl2br w:val="nil"/>
                    <w:tr2bl w:val="nil"/>
                  </w:tcBorders>
                  <w:vAlign w:val="center"/>
                </w:tcPr>
                <w:p w14:paraId="6E7E4BA4">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铅（Pb）</w:t>
                  </w:r>
                </w:p>
              </w:tc>
              <w:tc>
                <w:tcPr>
                  <w:tcW w:w="2475" w:type="dxa"/>
                  <w:tcBorders>
                    <w:tl2br w:val="nil"/>
                    <w:tr2bl w:val="nil"/>
                  </w:tcBorders>
                  <w:vAlign w:val="center"/>
                </w:tcPr>
                <w:p w14:paraId="56D9C18B">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0.3 mg/L</w:t>
                  </w:r>
                </w:p>
              </w:tc>
              <w:tc>
                <w:tcPr>
                  <w:tcW w:w="2072" w:type="dxa"/>
                  <w:vMerge w:val="continue"/>
                  <w:tcBorders>
                    <w:tl2br w:val="nil"/>
                    <w:tr2bl w:val="nil"/>
                  </w:tcBorders>
                  <w:vAlign w:val="center"/>
                </w:tcPr>
                <w:p w14:paraId="0491E490">
                  <w:pPr>
                    <w:pStyle w:val="28"/>
                    <w:bidi w:val="0"/>
                    <w:rPr>
                      <w:rFonts w:hint="default" w:ascii="Times New Roman" w:hAnsi="Times New Roman" w:cs="Times New Roman"/>
                      <w:caps w:val="0"/>
                      <w:color w:val="auto"/>
                      <w:spacing w:val="0"/>
                      <w:position w:val="0"/>
                      <w:highlight w:val="none"/>
                    </w:rPr>
                  </w:pPr>
                </w:p>
              </w:tc>
            </w:tr>
            <w:tr w14:paraId="603B376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19" w:hRule="atLeast"/>
                <w:jc w:val="center"/>
              </w:trPr>
              <w:tc>
                <w:tcPr>
                  <w:tcW w:w="1439" w:type="dxa"/>
                  <w:vMerge w:val="continue"/>
                  <w:tcBorders>
                    <w:tl2br w:val="nil"/>
                    <w:tr2bl w:val="nil"/>
                  </w:tcBorders>
                  <w:vAlign w:val="center"/>
                </w:tcPr>
                <w:p w14:paraId="5B478933">
                  <w:pPr>
                    <w:pStyle w:val="28"/>
                    <w:bidi w:val="0"/>
                    <w:rPr>
                      <w:rFonts w:hint="default" w:ascii="Times New Roman" w:hAnsi="Times New Roman" w:cs="Times New Roman"/>
                      <w:caps w:val="0"/>
                      <w:color w:val="auto"/>
                      <w:spacing w:val="0"/>
                      <w:position w:val="0"/>
                      <w:highlight w:val="none"/>
                    </w:rPr>
                  </w:pPr>
                </w:p>
              </w:tc>
              <w:tc>
                <w:tcPr>
                  <w:tcW w:w="2094" w:type="dxa"/>
                  <w:tcBorders>
                    <w:tl2br w:val="nil"/>
                    <w:tr2bl w:val="nil"/>
                  </w:tcBorders>
                  <w:vAlign w:val="center"/>
                </w:tcPr>
                <w:p w14:paraId="365D043D">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镉（Cd）</w:t>
                  </w:r>
                </w:p>
              </w:tc>
              <w:tc>
                <w:tcPr>
                  <w:tcW w:w="2475" w:type="dxa"/>
                  <w:tcBorders>
                    <w:tl2br w:val="nil"/>
                    <w:tr2bl w:val="nil"/>
                  </w:tcBorders>
                  <w:vAlign w:val="center"/>
                </w:tcPr>
                <w:p w14:paraId="5BF62AB2">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0.03 mg/L</w:t>
                  </w:r>
                </w:p>
              </w:tc>
              <w:tc>
                <w:tcPr>
                  <w:tcW w:w="2072" w:type="dxa"/>
                  <w:vMerge w:val="continue"/>
                  <w:tcBorders>
                    <w:tl2br w:val="nil"/>
                    <w:tr2bl w:val="nil"/>
                  </w:tcBorders>
                  <w:vAlign w:val="center"/>
                </w:tcPr>
                <w:p w14:paraId="0BF9C2B0">
                  <w:pPr>
                    <w:pStyle w:val="28"/>
                    <w:bidi w:val="0"/>
                    <w:rPr>
                      <w:rFonts w:hint="default" w:ascii="Times New Roman" w:hAnsi="Times New Roman" w:cs="Times New Roman"/>
                      <w:caps w:val="0"/>
                      <w:color w:val="auto"/>
                      <w:spacing w:val="0"/>
                      <w:position w:val="0"/>
                      <w:highlight w:val="none"/>
                    </w:rPr>
                  </w:pPr>
                </w:p>
              </w:tc>
            </w:tr>
            <w:tr w14:paraId="0F79706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12" w:hRule="atLeast"/>
                <w:jc w:val="center"/>
              </w:trPr>
              <w:tc>
                <w:tcPr>
                  <w:tcW w:w="1439" w:type="dxa"/>
                  <w:vMerge w:val="continue"/>
                  <w:tcBorders>
                    <w:tl2br w:val="nil"/>
                    <w:tr2bl w:val="nil"/>
                  </w:tcBorders>
                  <w:vAlign w:val="center"/>
                </w:tcPr>
                <w:p w14:paraId="1A32D496">
                  <w:pPr>
                    <w:pStyle w:val="28"/>
                    <w:bidi w:val="0"/>
                    <w:rPr>
                      <w:rFonts w:hint="default" w:ascii="Times New Roman" w:hAnsi="Times New Roman" w:cs="Times New Roman"/>
                      <w:caps w:val="0"/>
                      <w:color w:val="auto"/>
                      <w:spacing w:val="0"/>
                      <w:position w:val="0"/>
                      <w:highlight w:val="none"/>
                    </w:rPr>
                  </w:pPr>
                </w:p>
              </w:tc>
              <w:tc>
                <w:tcPr>
                  <w:tcW w:w="2094" w:type="dxa"/>
                  <w:tcBorders>
                    <w:tl2br w:val="nil"/>
                    <w:tr2bl w:val="nil"/>
                  </w:tcBorders>
                  <w:vAlign w:val="center"/>
                </w:tcPr>
                <w:p w14:paraId="2DD6144C">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铬（Cr）</w:t>
                  </w:r>
                </w:p>
              </w:tc>
              <w:tc>
                <w:tcPr>
                  <w:tcW w:w="2475" w:type="dxa"/>
                  <w:tcBorders>
                    <w:tl2br w:val="nil"/>
                    <w:tr2bl w:val="nil"/>
                  </w:tcBorders>
                  <w:vAlign w:val="center"/>
                </w:tcPr>
                <w:p w14:paraId="2073F8D2">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0.2 mg/L</w:t>
                  </w:r>
                </w:p>
              </w:tc>
              <w:tc>
                <w:tcPr>
                  <w:tcW w:w="2072" w:type="dxa"/>
                  <w:vMerge w:val="continue"/>
                  <w:tcBorders>
                    <w:tl2br w:val="nil"/>
                    <w:tr2bl w:val="nil"/>
                  </w:tcBorders>
                  <w:vAlign w:val="center"/>
                </w:tcPr>
                <w:p w14:paraId="1E9B43AC">
                  <w:pPr>
                    <w:pStyle w:val="28"/>
                    <w:bidi w:val="0"/>
                    <w:rPr>
                      <w:rFonts w:hint="default" w:ascii="Times New Roman" w:hAnsi="Times New Roman" w:cs="Times New Roman"/>
                      <w:caps w:val="0"/>
                      <w:color w:val="auto"/>
                      <w:spacing w:val="0"/>
                      <w:position w:val="0"/>
                      <w:highlight w:val="none"/>
                    </w:rPr>
                  </w:pPr>
                </w:p>
              </w:tc>
            </w:tr>
            <w:tr w14:paraId="4098CF6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12" w:hRule="atLeast"/>
                <w:jc w:val="center"/>
              </w:trPr>
              <w:tc>
                <w:tcPr>
                  <w:tcW w:w="1439" w:type="dxa"/>
                  <w:vMerge w:val="continue"/>
                  <w:tcBorders>
                    <w:tl2br w:val="nil"/>
                    <w:tr2bl w:val="nil"/>
                  </w:tcBorders>
                  <w:vAlign w:val="center"/>
                </w:tcPr>
                <w:p w14:paraId="7F02FED0">
                  <w:pPr>
                    <w:pStyle w:val="28"/>
                    <w:bidi w:val="0"/>
                    <w:rPr>
                      <w:rFonts w:hint="default" w:ascii="Times New Roman" w:hAnsi="Times New Roman" w:cs="Times New Roman"/>
                      <w:caps w:val="0"/>
                      <w:color w:val="auto"/>
                      <w:spacing w:val="0"/>
                      <w:position w:val="0"/>
                      <w:highlight w:val="none"/>
                    </w:rPr>
                  </w:pPr>
                </w:p>
              </w:tc>
              <w:tc>
                <w:tcPr>
                  <w:tcW w:w="2094" w:type="dxa"/>
                  <w:tcBorders>
                    <w:tl2br w:val="nil"/>
                    <w:tr2bl w:val="nil"/>
                  </w:tcBorders>
                  <w:vAlign w:val="center"/>
                </w:tcPr>
                <w:p w14:paraId="5EDFEB75">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铜（Cu）</w:t>
                  </w:r>
                </w:p>
              </w:tc>
              <w:tc>
                <w:tcPr>
                  <w:tcW w:w="2475" w:type="dxa"/>
                  <w:tcBorders>
                    <w:tl2br w:val="nil"/>
                    <w:tr2bl w:val="nil"/>
                  </w:tcBorders>
                  <w:vAlign w:val="center"/>
                </w:tcPr>
                <w:p w14:paraId="3CEE5F5D">
                  <w:pPr>
                    <w:pStyle w:val="28"/>
                    <w:bidi w:val="0"/>
                    <w:rPr>
                      <w:rFonts w:hint="default" w:ascii="Times New Roman" w:hAnsi="Times New Roman" w:cs="Times New Roman"/>
                      <w:b/>
                      <w:bCs/>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1.0</w:t>
                  </w:r>
                  <w:r>
                    <w:rPr>
                      <w:rFonts w:hint="default" w:ascii="Times New Roman" w:hAnsi="Times New Roman" w:cs="Times New Roman"/>
                      <w:caps w:val="0"/>
                      <w:color w:val="auto"/>
                      <w:spacing w:val="0"/>
                      <w:position w:val="0"/>
                      <w:highlight w:val="none"/>
                    </w:rPr>
                    <w:t xml:space="preserve"> mg/L</w:t>
                  </w:r>
                </w:p>
              </w:tc>
              <w:tc>
                <w:tcPr>
                  <w:tcW w:w="2072" w:type="dxa"/>
                  <w:vMerge w:val="continue"/>
                  <w:tcBorders>
                    <w:tl2br w:val="nil"/>
                    <w:tr2bl w:val="nil"/>
                  </w:tcBorders>
                  <w:vAlign w:val="center"/>
                </w:tcPr>
                <w:p w14:paraId="7884ACBA">
                  <w:pPr>
                    <w:pStyle w:val="28"/>
                    <w:bidi w:val="0"/>
                    <w:rPr>
                      <w:rFonts w:hint="default" w:ascii="Times New Roman" w:hAnsi="Times New Roman" w:cs="Times New Roman"/>
                      <w:caps w:val="0"/>
                      <w:color w:val="auto"/>
                      <w:spacing w:val="0"/>
                      <w:position w:val="0"/>
                      <w:highlight w:val="none"/>
                    </w:rPr>
                  </w:pPr>
                </w:p>
              </w:tc>
            </w:tr>
            <w:tr w14:paraId="167F7B4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12" w:hRule="atLeast"/>
                <w:jc w:val="center"/>
              </w:trPr>
              <w:tc>
                <w:tcPr>
                  <w:tcW w:w="1439" w:type="dxa"/>
                  <w:vMerge w:val="continue"/>
                  <w:tcBorders>
                    <w:tl2br w:val="nil"/>
                    <w:tr2bl w:val="nil"/>
                  </w:tcBorders>
                  <w:vAlign w:val="center"/>
                </w:tcPr>
                <w:p w14:paraId="6418DA91">
                  <w:pPr>
                    <w:pStyle w:val="28"/>
                    <w:bidi w:val="0"/>
                    <w:rPr>
                      <w:rFonts w:hint="default" w:ascii="Times New Roman" w:hAnsi="Times New Roman" w:cs="Times New Roman"/>
                      <w:caps w:val="0"/>
                      <w:color w:val="auto"/>
                      <w:spacing w:val="0"/>
                      <w:position w:val="0"/>
                      <w:highlight w:val="none"/>
                    </w:rPr>
                  </w:pPr>
                </w:p>
              </w:tc>
              <w:tc>
                <w:tcPr>
                  <w:tcW w:w="2094" w:type="dxa"/>
                  <w:tcBorders>
                    <w:tl2br w:val="nil"/>
                    <w:tr2bl w:val="nil"/>
                  </w:tcBorders>
                  <w:vAlign w:val="center"/>
                </w:tcPr>
                <w:p w14:paraId="003B6399">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镍（Ni）</w:t>
                  </w:r>
                </w:p>
              </w:tc>
              <w:tc>
                <w:tcPr>
                  <w:tcW w:w="2475" w:type="dxa"/>
                  <w:tcBorders>
                    <w:tl2br w:val="nil"/>
                    <w:tr2bl w:val="nil"/>
                  </w:tcBorders>
                  <w:vAlign w:val="center"/>
                </w:tcPr>
                <w:p w14:paraId="3692EAF7">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0.2</w:t>
                  </w:r>
                  <w:r>
                    <w:rPr>
                      <w:rFonts w:hint="default" w:ascii="Times New Roman" w:hAnsi="Times New Roman" w:cs="Times New Roman"/>
                      <w:caps w:val="0"/>
                      <w:color w:val="auto"/>
                      <w:spacing w:val="0"/>
                      <w:position w:val="0"/>
                      <w:highlight w:val="none"/>
                    </w:rPr>
                    <w:t xml:space="preserve"> mg/L</w:t>
                  </w:r>
                </w:p>
              </w:tc>
              <w:tc>
                <w:tcPr>
                  <w:tcW w:w="2072" w:type="dxa"/>
                  <w:vMerge w:val="continue"/>
                  <w:tcBorders>
                    <w:tl2br w:val="nil"/>
                    <w:tr2bl w:val="nil"/>
                  </w:tcBorders>
                  <w:vAlign w:val="center"/>
                </w:tcPr>
                <w:p w14:paraId="56157AAB">
                  <w:pPr>
                    <w:pStyle w:val="28"/>
                    <w:bidi w:val="0"/>
                    <w:rPr>
                      <w:rFonts w:hint="default" w:ascii="Times New Roman" w:hAnsi="Times New Roman" w:cs="Times New Roman"/>
                      <w:caps w:val="0"/>
                      <w:color w:val="auto"/>
                      <w:spacing w:val="0"/>
                      <w:position w:val="0"/>
                      <w:highlight w:val="none"/>
                    </w:rPr>
                  </w:pPr>
                </w:p>
              </w:tc>
            </w:tr>
            <w:tr w14:paraId="10A14C1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12" w:hRule="atLeast"/>
                <w:jc w:val="center"/>
              </w:trPr>
              <w:tc>
                <w:tcPr>
                  <w:tcW w:w="1439" w:type="dxa"/>
                  <w:vMerge w:val="continue"/>
                  <w:tcBorders>
                    <w:tl2br w:val="nil"/>
                    <w:tr2bl w:val="nil"/>
                  </w:tcBorders>
                  <w:vAlign w:val="center"/>
                </w:tcPr>
                <w:p w14:paraId="2CBC2D65">
                  <w:pPr>
                    <w:pStyle w:val="28"/>
                    <w:bidi w:val="0"/>
                    <w:rPr>
                      <w:rFonts w:hint="default" w:ascii="Times New Roman" w:hAnsi="Times New Roman" w:cs="Times New Roman"/>
                      <w:caps w:val="0"/>
                      <w:color w:val="auto"/>
                      <w:spacing w:val="0"/>
                      <w:position w:val="0"/>
                      <w:highlight w:val="none"/>
                    </w:rPr>
                  </w:pPr>
                </w:p>
              </w:tc>
              <w:tc>
                <w:tcPr>
                  <w:tcW w:w="2094" w:type="dxa"/>
                  <w:tcBorders>
                    <w:tl2br w:val="nil"/>
                    <w:tr2bl w:val="nil"/>
                  </w:tcBorders>
                  <w:vAlign w:val="center"/>
                </w:tcPr>
                <w:p w14:paraId="7025E9AD">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锌（Zn）</w:t>
                  </w:r>
                </w:p>
              </w:tc>
              <w:tc>
                <w:tcPr>
                  <w:tcW w:w="2475" w:type="dxa"/>
                  <w:tcBorders>
                    <w:tl2br w:val="nil"/>
                    <w:tr2bl w:val="nil"/>
                  </w:tcBorders>
                  <w:vAlign w:val="center"/>
                </w:tcPr>
                <w:p w14:paraId="63C9737A">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eastAsia="宋体" w:cs="Times New Roman"/>
                      <w:caps w:val="0"/>
                      <w:color w:val="auto"/>
                      <w:spacing w:val="0"/>
                      <w:position w:val="0"/>
                      <w:highlight w:val="none"/>
                      <w:lang w:val="en-US" w:eastAsia="zh-CN"/>
                    </w:rPr>
                    <w:t xml:space="preserve">1.0 </w:t>
                  </w:r>
                  <w:r>
                    <w:rPr>
                      <w:rFonts w:hint="default" w:ascii="Times New Roman" w:hAnsi="Times New Roman" w:cs="Times New Roman"/>
                      <w:caps w:val="0"/>
                      <w:color w:val="auto"/>
                      <w:spacing w:val="0"/>
                      <w:position w:val="0"/>
                      <w:highlight w:val="none"/>
                    </w:rPr>
                    <w:t>mg/L</w:t>
                  </w:r>
                </w:p>
              </w:tc>
              <w:tc>
                <w:tcPr>
                  <w:tcW w:w="2072" w:type="dxa"/>
                  <w:vMerge w:val="continue"/>
                  <w:tcBorders>
                    <w:tl2br w:val="nil"/>
                    <w:tr2bl w:val="nil"/>
                  </w:tcBorders>
                  <w:vAlign w:val="center"/>
                </w:tcPr>
                <w:p w14:paraId="3B247F9F">
                  <w:pPr>
                    <w:pStyle w:val="28"/>
                    <w:bidi w:val="0"/>
                    <w:rPr>
                      <w:rFonts w:hint="default" w:ascii="Times New Roman" w:hAnsi="Times New Roman" w:cs="Times New Roman"/>
                      <w:caps w:val="0"/>
                      <w:color w:val="auto"/>
                      <w:spacing w:val="0"/>
                      <w:position w:val="0"/>
                      <w:highlight w:val="none"/>
                    </w:rPr>
                  </w:pPr>
                </w:p>
              </w:tc>
            </w:tr>
            <w:tr w14:paraId="7512132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12" w:hRule="atLeast"/>
                <w:jc w:val="center"/>
              </w:trPr>
              <w:tc>
                <w:tcPr>
                  <w:tcW w:w="1439" w:type="dxa"/>
                  <w:vMerge w:val="continue"/>
                  <w:tcBorders>
                    <w:tl2br w:val="nil"/>
                    <w:tr2bl w:val="nil"/>
                  </w:tcBorders>
                  <w:vAlign w:val="center"/>
                </w:tcPr>
                <w:p w14:paraId="1444C827">
                  <w:pPr>
                    <w:pStyle w:val="28"/>
                    <w:bidi w:val="0"/>
                    <w:rPr>
                      <w:rFonts w:hint="default" w:ascii="Times New Roman" w:hAnsi="Times New Roman" w:cs="Times New Roman"/>
                      <w:caps w:val="0"/>
                      <w:color w:val="auto"/>
                      <w:spacing w:val="0"/>
                      <w:position w:val="0"/>
                      <w:highlight w:val="none"/>
                    </w:rPr>
                  </w:pPr>
                </w:p>
              </w:tc>
              <w:tc>
                <w:tcPr>
                  <w:tcW w:w="2094" w:type="dxa"/>
                  <w:tcBorders>
                    <w:tl2br w:val="nil"/>
                    <w:tr2bl w:val="nil"/>
                  </w:tcBorders>
                  <w:vAlign w:val="center"/>
                </w:tcPr>
                <w:p w14:paraId="065B08E8">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锰（Mn）</w:t>
                  </w:r>
                </w:p>
              </w:tc>
              <w:tc>
                <w:tcPr>
                  <w:tcW w:w="2475" w:type="dxa"/>
                  <w:tcBorders>
                    <w:tl2br w:val="nil"/>
                    <w:tr2bl w:val="nil"/>
                  </w:tcBorders>
                  <w:vAlign w:val="center"/>
                </w:tcPr>
                <w:p w14:paraId="4785CAA2">
                  <w:pPr>
                    <w:pStyle w:val="28"/>
                    <w:bidi w:val="0"/>
                    <w:rPr>
                      <w:rFonts w:hint="default" w:ascii="Times New Roman" w:hAnsi="Times New Roman" w:cs="Times New Roman"/>
                      <w:caps w:val="0"/>
                      <w:color w:val="auto"/>
                      <w:spacing w:val="0"/>
                      <w:position w:val="0"/>
                      <w:highlight w:val="none"/>
                    </w:rPr>
                  </w:pPr>
                  <w:r>
                    <w:rPr>
                      <w:rFonts w:hint="default" w:ascii="Times New Roman" w:hAnsi="Times New Roman" w:eastAsia="宋体" w:cs="Times New Roman"/>
                      <w:caps w:val="0"/>
                      <w:color w:val="auto"/>
                      <w:spacing w:val="0"/>
                      <w:position w:val="0"/>
                      <w:highlight w:val="none"/>
                      <w:lang w:val="en-US" w:eastAsia="zh-CN"/>
                    </w:rPr>
                    <w:t>1.0</w:t>
                  </w:r>
                  <w:r>
                    <w:rPr>
                      <w:rFonts w:hint="default" w:ascii="Times New Roman" w:hAnsi="Times New Roman" w:cs="Times New Roman"/>
                      <w:caps w:val="0"/>
                      <w:color w:val="auto"/>
                      <w:spacing w:val="0"/>
                      <w:position w:val="0"/>
                      <w:highlight w:val="none"/>
                    </w:rPr>
                    <w:t xml:space="preserve"> mg/L</w:t>
                  </w:r>
                </w:p>
              </w:tc>
              <w:tc>
                <w:tcPr>
                  <w:tcW w:w="2072" w:type="dxa"/>
                  <w:vMerge w:val="continue"/>
                  <w:tcBorders>
                    <w:tl2br w:val="nil"/>
                    <w:tr2bl w:val="nil"/>
                  </w:tcBorders>
                  <w:vAlign w:val="center"/>
                </w:tcPr>
                <w:p w14:paraId="2DCAFEC5">
                  <w:pPr>
                    <w:pStyle w:val="28"/>
                    <w:bidi w:val="0"/>
                    <w:rPr>
                      <w:rFonts w:hint="default" w:ascii="Times New Roman" w:hAnsi="Times New Roman" w:cs="Times New Roman"/>
                      <w:caps w:val="0"/>
                      <w:color w:val="auto"/>
                      <w:spacing w:val="0"/>
                      <w:position w:val="0"/>
                      <w:highlight w:val="none"/>
                    </w:rPr>
                  </w:pPr>
                </w:p>
              </w:tc>
            </w:tr>
          </w:tbl>
          <w:p w14:paraId="5F90E2D5">
            <w:pPr>
              <w:pStyle w:val="108"/>
              <w:keepNext w:val="0"/>
              <w:keepLines w:val="0"/>
              <w:numPr>
                <w:ilvl w:val="0"/>
                <w:numId w:val="4"/>
              </w:numPr>
              <w:suppressLineNumbers w:val="0"/>
              <w:snapToGrid w:val="0"/>
              <w:spacing w:before="0" w:beforeAutospacing="0" w:after="0" w:afterAutospacing="0" w:line="240" w:lineRule="auto"/>
              <w:ind w:left="0" w:leftChars="0" w:right="0" w:firstLine="420" w:firstLineChars="0"/>
              <w:jc w:val="center"/>
              <w:rPr>
                <w:rFonts w:hint="default" w:ascii="Times New Roman" w:hAnsi="Times New Roman" w:eastAsia="宋体" w:cs="Times New Roman"/>
                <w:b/>
                <w:bCs/>
                <w:caps w:val="0"/>
                <w:color w:val="auto"/>
                <w:spacing w:val="0"/>
                <w:position w:val="0"/>
                <w:sz w:val="24"/>
                <w:szCs w:val="16"/>
                <w:highlight w:val="none"/>
              </w:rPr>
            </w:pPr>
            <w:r>
              <w:rPr>
                <w:rFonts w:hint="default" w:ascii="Times New Roman" w:hAnsi="Times New Roman" w:eastAsia="宋体" w:cs="Times New Roman"/>
                <w:b/>
                <w:bCs/>
                <w:caps w:val="0"/>
                <w:color w:val="auto"/>
                <w:spacing w:val="0"/>
                <w:position w:val="0"/>
                <w:sz w:val="24"/>
                <w:szCs w:val="16"/>
                <w:highlight w:val="none"/>
              </w:rPr>
              <w:t>产品</w:t>
            </w:r>
            <w:r>
              <w:rPr>
                <w:rFonts w:hint="default" w:ascii="Times New Roman" w:hAnsi="Times New Roman" w:eastAsia="宋体" w:cs="Times New Roman"/>
                <w:b/>
                <w:bCs/>
                <w:caps w:val="0"/>
                <w:color w:val="auto"/>
                <w:spacing w:val="0"/>
                <w:position w:val="0"/>
                <w:sz w:val="24"/>
                <w:szCs w:val="16"/>
                <w:highlight w:val="none"/>
                <w:lang w:val="en-US" w:eastAsia="zh-CN"/>
              </w:rPr>
              <w:t>中锂渣浸出液技术指标</w:t>
            </w:r>
            <w:r>
              <w:rPr>
                <w:rFonts w:hint="default" w:ascii="Times New Roman" w:hAnsi="Times New Roman" w:eastAsia="宋体" w:cs="Times New Roman"/>
                <w:b/>
                <w:bCs/>
                <w:caps w:val="0"/>
                <w:color w:val="auto"/>
                <w:spacing w:val="0"/>
                <w:position w:val="0"/>
                <w:sz w:val="24"/>
                <w:szCs w:val="16"/>
                <w:highlight w:val="none"/>
              </w:rPr>
              <w:t>一览表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8"/>
              <w:gridCol w:w="2272"/>
              <w:gridCol w:w="2460"/>
              <w:gridCol w:w="2460"/>
            </w:tblGrid>
            <w:tr w14:paraId="678737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73D6B0D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项次</w:t>
                  </w:r>
                </w:p>
              </w:tc>
              <w:tc>
                <w:tcPr>
                  <w:tcW w:w="2272" w:type="dxa"/>
                  <w:tcBorders>
                    <w:tl2br w:val="nil"/>
                    <w:tr2bl w:val="nil"/>
                  </w:tcBorders>
                  <w:noWrap w:val="0"/>
                  <w:vAlign w:val="center"/>
                </w:tcPr>
                <w:p w14:paraId="10AC1C2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eastAsia="zh-CN"/>
                    </w:rPr>
                  </w:pPr>
                  <w:r>
                    <w:rPr>
                      <w:rFonts w:hint="default" w:ascii="Times New Roman" w:hAnsi="Times New Roman" w:cs="Times New Roman"/>
                      <w:caps w:val="0"/>
                      <w:color w:val="auto"/>
                      <w:spacing w:val="0"/>
                      <w:position w:val="0"/>
                      <w:highlight w:val="none"/>
                      <w:lang w:val="en-US" w:eastAsia="zh-CN"/>
                    </w:rPr>
                    <w:t>项目</w:t>
                  </w:r>
                </w:p>
              </w:tc>
              <w:tc>
                <w:tcPr>
                  <w:tcW w:w="2460" w:type="dxa"/>
                  <w:tcBorders>
                    <w:tl2br w:val="nil"/>
                    <w:tr2bl w:val="nil"/>
                  </w:tcBorders>
                  <w:noWrap w:val="0"/>
                  <w:vAlign w:val="center"/>
                </w:tcPr>
                <w:p w14:paraId="734B608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eastAsia="zh-CN"/>
                    </w:rPr>
                  </w:pPr>
                  <w:r>
                    <w:rPr>
                      <w:rFonts w:hint="default" w:ascii="Times New Roman" w:hAnsi="Times New Roman" w:cs="Times New Roman"/>
                      <w:caps w:val="0"/>
                      <w:color w:val="auto"/>
                      <w:spacing w:val="0"/>
                      <w:position w:val="0"/>
                      <w:highlight w:val="none"/>
                      <w:lang w:val="en-US" w:eastAsia="zh-CN"/>
                    </w:rPr>
                    <w:t>限值</w:t>
                  </w:r>
                </w:p>
              </w:tc>
              <w:tc>
                <w:tcPr>
                  <w:tcW w:w="2460" w:type="dxa"/>
                  <w:tcBorders>
                    <w:tl2br w:val="nil"/>
                    <w:tr2bl w:val="nil"/>
                  </w:tcBorders>
                  <w:noWrap w:val="0"/>
                  <w:vAlign w:val="center"/>
                </w:tcPr>
                <w:p w14:paraId="075356E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依据</w:t>
                  </w:r>
                </w:p>
              </w:tc>
            </w:tr>
            <w:tr w14:paraId="6540B7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60427DEE">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1</w:t>
                  </w:r>
                </w:p>
              </w:tc>
              <w:tc>
                <w:tcPr>
                  <w:tcW w:w="2272" w:type="dxa"/>
                  <w:tcBorders>
                    <w:tl2br w:val="nil"/>
                    <w:tr2bl w:val="nil"/>
                  </w:tcBorders>
                  <w:noWrap w:val="0"/>
                  <w:vAlign w:val="center"/>
                </w:tcPr>
                <w:p w14:paraId="51EDE8E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水溶性盐</w:t>
                  </w:r>
                </w:p>
              </w:tc>
              <w:tc>
                <w:tcPr>
                  <w:tcW w:w="2460" w:type="dxa"/>
                  <w:tcBorders>
                    <w:tl2br w:val="nil"/>
                    <w:tr2bl w:val="nil"/>
                  </w:tcBorders>
                  <w:noWrap w:val="0"/>
                  <w:vAlign w:val="center"/>
                </w:tcPr>
                <w:p w14:paraId="3275A2B8">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&lt;5%</w:t>
                  </w:r>
                </w:p>
              </w:tc>
              <w:tc>
                <w:tcPr>
                  <w:tcW w:w="2460" w:type="dxa"/>
                  <w:vMerge w:val="restart"/>
                  <w:tcBorders>
                    <w:tl2br w:val="nil"/>
                    <w:tr2bl w:val="nil"/>
                  </w:tcBorders>
                  <w:noWrap w:val="0"/>
                  <w:vAlign w:val="center"/>
                </w:tcPr>
                <w:p w14:paraId="314AEBC7">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《公路路基工程利用锂渣技术规范（试行）》（DB36/T1968-2024）表1</w:t>
                  </w:r>
                </w:p>
              </w:tc>
            </w:tr>
            <w:tr w14:paraId="3C23DF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793198C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2</w:t>
                  </w:r>
                </w:p>
              </w:tc>
              <w:tc>
                <w:tcPr>
                  <w:tcW w:w="2272" w:type="dxa"/>
                  <w:tcBorders>
                    <w:tl2br w:val="nil"/>
                    <w:tr2bl w:val="nil"/>
                  </w:tcBorders>
                  <w:noWrap w:val="0"/>
                  <w:vAlign w:val="center"/>
                </w:tcPr>
                <w:p w14:paraId="4E30BA1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pH</w:t>
                  </w:r>
                </w:p>
              </w:tc>
              <w:tc>
                <w:tcPr>
                  <w:tcW w:w="2460" w:type="dxa"/>
                  <w:tcBorders>
                    <w:tl2br w:val="nil"/>
                    <w:tr2bl w:val="nil"/>
                  </w:tcBorders>
                  <w:noWrap w:val="0"/>
                  <w:vAlign w:val="center"/>
                </w:tcPr>
                <w:p w14:paraId="41F27C3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6~9</w:t>
                  </w:r>
                </w:p>
              </w:tc>
              <w:tc>
                <w:tcPr>
                  <w:tcW w:w="2460" w:type="dxa"/>
                  <w:vMerge w:val="continue"/>
                  <w:tcBorders>
                    <w:tl2br w:val="nil"/>
                    <w:tr2bl w:val="nil"/>
                  </w:tcBorders>
                  <w:noWrap w:val="0"/>
                  <w:vAlign w:val="center"/>
                </w:tcPr>
                <w:p w14:paraId="6B88D3B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p>
              </w:tc>
            </w:tr>
            <w:tr w14:paraId="0B6E10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2B3482A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3</w:t>
                  </w:r>
                </w:p>
              </w:tc>
              <w:tc>
                <w:tcPr>
                  <w:tcW w:w="2272" w:type="dxa"/>
                  <w:tcBorders>
                    <w:tl2br w:val="nil"/>
                    <w:tr2bl w:val="nil"/>
                  </w:tcBorders>
                  <w:noWrap w:val="0"/>
                  <w:vAlign w:val="center"/>
                </w:tcPr>
                <w:p w14:paraId="389B1D70">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总镍，mg/L</w:t>
                  </w:r>
                </w:p>
              </w:tc>
              <w:tc>
                <w:tcPr>
                  <w:tcW w:w="2460" w:type="dxa"/>
                  <w:tcBorders>
                    <w:tl2br w:val="nil"/>
                    <w:tr2bl w:val="nil"/>
                  </w:tcBorders>
                  <w:noWrap w:val="0"/>
                  <w:vAlign w:val="center"/>
                </w:tcPr>
                <w:p w14:paraId="138BE16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1.0</w:t>
                  </w:r>
                </w:p>
              </w:tc>
              <w:tc>
                <w:tcPr>
                  <w:tcW w:w="2460" w:type="dxa"/>
                  <w:vMerge w:val="continue"/>
                  <w:tcBorders>
                    <w:tl2br w:val="nil"/>
                    <w:tr2bl w:val="nil"/>
                  </w:tcBorders>
                  <w:noWrap w:val="0"/>
                  <w:vAlign w:val="center"/>
                </w:tcPr>
                <w:p w14:paraId="6B4E155F">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position w:val="0"/>
                      <w:highlight w:val="none"/>
                      <w:lang w:val="en-US" w:eastAsia="zh-CN"/>
                    </w:rPr>
                  </w:pPr>
                </w:p>
              </w:tc>
            </w:tr>
            <w:tr w14:paraId="5FEC34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321815B0">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4</w:t>
                  </w:r>
                </w:p>
              </w:tc>
              <w:tc>
                <w:tcPr>
                  <w:tcW w:w="2272" w:type="dxa"/>
                  <w:tcBorders>
                    <w:tl2br w:val="nil"/>
                    <w:tr2bl w:val="nil"/>
                  </w:tcBorders>
                  <w:noWrap w:val="0"/>
                  <w:vAlign w:val="center"/>
                </w:tcPr>
                <w:p w14:paraId="0EF5401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总铜，mg/L</w:t>
                  </w:r>
                </w:p>
              </w:tc>
              <w:tc>
                <w:tcPr>
                  <w:tcW w:w="2460" w:type="dxa"/>
                  <w:tcBorders>
                    <w:tl2br w:val="nil"/>
                    <w:tr2bl w:val="nil"/>
                  </w:tcBorders>
                  <w:noWrap w:val="0"/>
                  <w:vAlign w:val="center"/>
                </w:tcPr>
                <w:p w14:paraId="2A21C24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0.5</w:t>
                  </w:r>
                </w:p>
              </w:tc>
              <w:tc>
                <w:tcPr>
                  <w:tcW w:w="2460" w:type="dxa"/>
                  <w:vMerge w:val="continue"/>
                  <w:tcBorders>
                    <w:tl2br w:val="nil"/>
                    <w:tr2bl w:val="nil"/>
                  </w:tcBorders>
                  <w:noWrap w:val="0"/>
                  <w:vAlign w:val="center"/>
                </w:tcPr>
                <w:p w14:paraId="49FE0141">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position w:val="0"/>
                      <w:highlight w:val="none"/>
                      <w:lang w:val="en-US" w:eastAsia="zh-CN"/>
                    </w:rPr>
                  </w:pPr>
                </w:p>
              </w:tc>
            </w:tr>
            <w:tr w14:paraId="49D801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2161D06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5</w:t>
                  </w:r>
                </w:p>
              </w:tc>
              <w:tc>
                <w:tcPr>
                  <w:tcW w:w="2272" w:type="dxa"/>
                  <w:tcBorders>
                    <w:tl2br w:val="nil"/>
                    <w:tr2bl w:val="nil"/>
                  </w:tcBorders>
                  <w:noWrap w:val="0"/>
                  <w:vAlign w:val="center"/>
                </w:tcPr>
                <w:p w14:paraId="24C24AB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总锌，mg/L</w:t>
                  </w:r>
                </w:p>
              </w:tc>
              <w:tc>
                <w:tcPr>
                  <w:tcW w:w="2460" w:type="dxa"/>
                  <w:tcBorders>
                    <w:tl2br w:val="nil"/>
                    <w:tr2bl w:val="nil"/>
                  </w:tcBorders>
                  <w:noWrap w:val="0"/>
                  <w:vAlign w:val="center"/>
                </w:tcPr>
                <w:p w14:paraId="3889A95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2.0</w:t>
                  </w:r>
                </w:p>
              </w:tc>
              <w:tc>
                <w:tcPr>
                  <w:tcW w:w="2460" w:type="dxa"/>
                  <w:vMerge w:val="continue"/>
                  <w:tcBorders>
                    <w:tl2br w:val="nil"/>
                    <w:tr2bl w:val="nil"/>
                  </w:tcBorders>
                  <w:noWrap w:val="0"/>
                  <w:vAlign w:val="center"/>
                </w:tcPr>
                <w:p w14:paraId="0BFD81C3">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position w:val="0"/>
                      <w:highlight w:val="none"/>
                      <w:lang w:val="en-US" w:eastAsia="zh-CN"/>
                    </w:rPr>
                  </w:pPr>
                </w:p>
              </w:tc>
            </w:tr>
            <w:tr w14:paraId="75103B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1C295530">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6</w:t>
                  </w:r>
                </w:p>
              </w:tc>
              <w:tc>
                <w:tcPr>
                  <w:tcW w:w="2272" w:type="dxa"/>
                  <w:tcBorders>
                    <w:tl2br w:val="nil"/>
                    <w:tr2bl w:val="nil"/>
                  </w:tcBorders>
                  <w:noWrap w:val="0"/>
                  <w:vAlign w:val="center"/>
                </w:tcPr>
                <w:p w14:paraId="503F9DD2">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总镉，mg/L</w:t>
                  </w:r>
                </w:p>
              </w:tc>
              <w:tc>
                <w:tcPr>
                  <w:tcW w:w="2460" w:type="dxa"/>
                  <w:tcBorders>
                    <w:tl2br w:val="nil"/>
                    <w:tr2bl w:val="nil"/>
                  </w:tcBorders>
                  <w:noWrap w:val="0"/>
                  <w:vAlign w:val="center"/>
                </w:tcPr>
                <w:p w14:paraId="7732E33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0.1</w:t>
                  </w:r>
                </w:p>
              </w:tc>
              <w:tc>
                <w:tcPr>
                  <w:tcW w:w="2460" w:type="dxa"/>
                  <w:vMerge w:val="continue"/>
                  <w:tcBorders>
                    <w:tl2br w:val="nil"/>
                    <w:tr2bl w:val="nil"/>
                  </w:tcBorders>
                  <w:noWrap w:val="0"/>
                  <w:vAlign w:val="center"/>
                </w:tcPr>
                <w:p w14:paraId="218C3A76">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position w:val="0"/>
                      <w:highlight w:val="none"/>
                      <w:lang w:val="en-US" w:eastAsia="zh-CN"/>
                    </w:rPr>
                  </w:pPr>
                </w:p>
              </w:tc>
            </w:tr>
            <w:tr w14:paraId="6EA19A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3FB03D8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7</w:t>
                  </w:r>
                </w:p>
              </w:tc>
              <w:tc>
                <w:tcPr>
                  <w:tcW w:w="2272" w:type="dxa"/>
                  <w:tcBorders>
                    <w:tl2br w:val="nil"/>
                    <w:tr2bl w:val="nil"/>
                  </w:tcBorders>
                  <w:noWrap w:val="0"/>
                  <w:vAlign w:val="center"/>
                </w:tcPr>
                <w:p w14:paraId="0F14344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总铅，mg/L</w:t>
                  </w:r>
                </w:p>
              </w:tc>
              <w:tc>
                <w:tcPr>
                  <w:tcW w:w="2460" w:type="dxa"/>
                  <w:tcBorders>
                    <w:tl2br w:val="nil"/>
                    <w:tr2bl w:val="nil"/>
                  </w:tcBorders>
                  <w:noWrap w:val="0"/>
                  <w:vAlign w:val="center"/>
                </w:tcPr>
                <w:p w14:paraId="5CB6F85E">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1.0</w:t>
                  </w:r>
                </w:p>
              </w:tc>
              <w:tc>
                <w:tcPr>
                  <w:tcW w:w="2460" w:type="dxa"/>
                  <w:vMerge w:val="continue"/>
                  <w:tcBorders>
                    <w:tl2br w:val="nil"/>
                    <w:tr2bl w:val="nil"/>
                  </w:tcBorders>
                  <w:noWrap w:val="0"/>
                  <w:vAlign w:val="center"/>
                </w:tcPr>
                <w:p w14:paraId="5DCC5A1F">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position w:val="0"/>
                      <w:highlight w:val="none"/>
                      <w:lang w:val="en-US" w:eastAsia="zh-CN"/>
                    </w:rPr>
                  </w:pPr>
                </w:p>
              </w:tc>
            </w:tr>
            <w:tr w14:paraId="122A89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13567C5D">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8</w:t>
                  </w:r>
                </w:p>
              </w:tc>
              <w:tc>
                <w:tcPr>
                  <w:tcW w:w="2272" w:type="dxa"/>
                  <w:tcBorders>
                    <w:tl2br w:val="nil"/>
                    <w:tr2bl w:val="nil"/>
                  </w:tcBorders>
                  <w:noWrap w:val="0"/>
                  <w:vAlign w:val="center"/>
                </w:tcPr>
                <w:p w14:paraId="6EE3E3F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总铬，mg/L</w:t>
                  </w:r>
                </w:p>
              </w:tc>
              <w:tc>
                <w:tcPr>
                  <w:tcW w:w="2460" w:type="dxa"/>
                  <w:tcBorders>
                    <w:tl2br w:val="nil"/>
                    <w:tr2bl w:val="nil"/>
                  </w:tcBorders>
                  <w:noWrap w:val="0"/>
                  <w:vAlign w:val="center"/>
                </w:tcPr>
                <w:p w14:paraId="0EE6E70E">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1.5</w:t>
                  </w:r>
                </w:p>
              </w:tc>
              <w:tc>
                <w:tcPr>
                  <w:tcW w:w="2460" w:type="dxa"/>
                  <w:vMerge w:val="continue"/>
                  <w:tcBorders>
                    <w:tl2br w:val="nil"/>
                    <w:tr2bl w:val="nil"/>
                  </w:tcBorders>
                  <w:noWrap w:val="0"/>
                  <w:vAlign w:val="center"/>
                </w:tcPr>
                <w:p w14:paraId="4578CACD">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r>
            <w:tr w14:paraId="212439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251F164D">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9</w:t>
                  </w:r>
                </w:p>
              </w:tc>
              <w:tc>
                <w:tcPr>
                  <w:tcW w:w="2272" w:type="dxa"/>
                  <w:tcBorders>
                    <w:tl2br w:val="nil"/>
                    <w:tr2bl w:val="nil"/>
                  </w:tcBorders>
                  <w:noWrap w:val="0"/>
                  <w:vAlign w:val="center"/>
                </w:tcPr>
                <w:p w14:paraId="2AF54FDE">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总锰，mg/L</w:t>
                  </w:r>
                </w:p>
              </w:tc>
              <w:tc>
                <w:tcPr>
                  <w:tcW w:w="2460" w:type="dxa"/>
                  <w:tcBorders>
                    <w:tl2br w:val="nil"/>
                    <w:tr2bl w:val="nil"/>
                  </w:tcBorders>
                  <w:noWrap w:val="0"/>
                  <w:vAlign w:val="center"/>
                </w:tcPr>
                <w:p w14:paraId="46C6307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2.0</w:t>
                  </w:r>
                </w:p>
              </w:tc>
              <w:tc>
                <w:tcPr>
                  <w:tcW w:w="2460" w:type="dxa"/>
                  <w:vMerge w:val="continue"/>
                  <w:tcBorders>
                    <w:tl2br w:val="nil"/>
                    <w:tr2bl w:val="nil"/>
                  </w:tcBorders>
                  <w:noWrap w:val="0"/>
                  <w:vAlign w:val="center"/>
                </w:tcPr>
                <w:p w14:paraId="09D9DE84">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position w:val="0"/>
                      <w:highlight w:val="none"/>
                      <w:lang w:val="en-US" w:eastAsia="zh-CN"/>
                    </w:rPr>
                  </w:pPr>
                </w:p>
              </w:tc>
            </w:tr>
            <w:tr w14:paraId="24661C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50379C5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10</w:t>
                  </w:r>
                </w:p>
              </w:tc>
              <w:tc>
                <w:tcPr>
                  <w:tcW w:w="2272" w:type="dxa"/>
                  <w:tcBorders>
                    <w:tl2br w:val="nil"/>
                    <w:tr2bl w:val="nil"/>
                  </w:tcBorders>
                  <w:noWrap w:val="0"/>
                  <w:vAlign w:val="center"/>
                </w:tcPr>
                <w:p w14:paraId="71F9A3B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总银，mg/L</w:t>
                  </w:r>
                </w:p>
              </w:tc>
              <w:tc>
                <w:tcPr>
                  <w:tcW w:w="2460" w:type="dxa"/>
                  <w:tcBorders>
                    <w:tl2br w:val="nil"/>
                    <w:tr2bl w:val="nil"/>
                  </w:tcBorders>
                  <w:noWrap w:val="0"/>
                  <w:vAlign w:val="center"/>
                </w:tcPr>
                <w:p w14:paraId="6C467712">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0.5</w:t>
                  </w:r>
                </w:p>
              </w:tc>
              <w:tc>
                <w:tcPr>
                  <w:tcW w:w="2460" w:type="dxa"/>
                  <w:vMerge w:val="continue"/>
                  <w:tcBorders>
                    <w:tl2br w:val="nil"/>
                    <w:tr2bl w:val="nil"/>
                  </w:tcBorders>
                  <w:noWrap w:val="0"/>
                  <w:vAlign w:val="center"/>
                </w:tcPr>
                <w:p w14:paraId="14086C5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r>
            <w:tr w14:paraId="704425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776A35D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11</w:t>
                  </w:r>
                </w:p>
              </w:tc>
              <w:tc>
                <w:tcPr>
                  <w:tcW w:w="2272" w:type="dxa"/>
                  <w:tcBorders>
                    <w:tl2br w:val="nil"/>
                    <w:tr2bl w:val="nil"/>
                  </w:tcBorders>
                  <w:noWrap w:val="0"/>
                  <w:vAlign w:val="center"/>
                </w:tcPr>
                <w:p w14:paraId="619E41D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总铍，mg/L</w:t>
                  </w:r>
                </w:p>
              </w:tc>
              <w:tc>
                <w:tcPr>
                  <w:tcW w:w="2460" w:type="dxa"/>
                  <w:tcBorders>
                    <w:tl2br w:val="nil"/>
                    <w:tr2bl w:val="nil"/>
                  </w:tcBorders>
                  <w:noWrap w:val="0"/>
                  <w:vAlign w:val="center"/>
                </w:tcPr>
                <w:p w14:paraId="2EA2EFDC">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0.005</w:t>
                  </w:r>
                </w:p>
              </w:tc>
              <w:tc>
                <w:tcPr>
                  <w:tcW w:w="2460" w:type="dxa"/>
                  <w:vMerge w:val="continue"/>
                  <w:tcBorders>
                    <w:tl2br w:val="nil"/>
                    <w:tr2bl w:val="nil"/>
                  </w:tcBorders>
                  <w:noWrap w:val="0"/>
                  <w:vAlign w:val="center"/>
                </w:tcPr>
                <w:p w14:paraId="6066E688">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position w:val="0"/>
                      <w:highlight w:val="none"/>
                      <w:lang w:val="en-US" w:eastAsia="zh-CN"/>
                    </w:rPr>
                  </w:pPr>
                </w:p>
              </w:tc>
            </w:tr>
            <w:tr w14:paraId="2F1D0C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386D31E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12</w:t>
                  </w:r>
                </w:p>
              </w:tc>
              <w:tc>
                <w:tcPr>
                  <w:tcW w:w="2272" w:type="dxa"/>
                  <w:tcBorders>
                    <w:tl2br w:val="nil"/>
                    <w:tr2bl w:val="nil"/>
                  </w:tcBorders>
                  <w:noWrap w:val="0"/>
                  <w:vAlign w:val="center"/>
                </w:tcPr>
                <w:p w14:paraId="36310368">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总铊，mg/L</w:t>
                  </w:r>
                </w:p>
              </w:tc>
              <w:tc>
                <w:tcPr>
                  <w:tcW w:w="2460" w:type="dxa"/>
                  <w:tcBorders>
                    <w:tl2br w:val="nil"/>
                    <w:tr2bl w:val="nil"/>
                  </w:tcBorders>
                  <w:noWrap w:val="0"/>
                  <w:vAlign w:val="center"/>
                </w:tcPr>
                <w:p w14:paraId="186470D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0.005</w:t>
                  </w:r>
                </w:p>
              </w:tc>
              <w:tc>
                <w:tcPr>
                  <w:tcW w:w="2460" w:type="dxa"/>
                  <w:vMerge w:val="continue"/>
                  <w:tcBorders>
                    <w:tl2br w:val="nil"/>
                    <w:tr2bl w:val="nil"/>
                  </w:tcBorders>
                  <w:noWrap w:val="0"/>
                  <w:vAlign w:val="center"/>
                </w:tcPr>
                <w:p w14:paraId="02338F4B">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position w:val="0"/>
                      <w:highlight w:val="none"/>
                      <w:lang w:val="en-US" w:eastAsia="zh-CN"/>
                    </w:rPr>
                  </w:pPr>
                </w:p>
              </w:tc>
            </w:tr>
            <w:tr w14:paraId="5A1F4B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3CA4976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13</w:t>
                  </w:r>
                </w:p>
              </w:tc>
              <w:tc>
                <w:tcPr>
                  <w:tcW w:w="2272" w:type="dxa"/>
                  <w:tcBorders>
                    <w:tl2br w:val="nil"/>
                    <w:tr2bl w:val="nil"/>
                  </w:tcBorders>
                  <w:noWrap w:val="0"/>
                  <w:vAlign w:val="center"/>
                </w:tcPr>
                <w:p w14:paraId="7F171967">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总汞，mg/L</w:t>
                  </w:r>
                </w:p>
              </w:tc>
              <w:tc>
                <w:tcPr>
                  <w:tcW w:w="2460" w:type="dxa"/>
                  <w:tcBorders>
                    <w:tl2br w:val="nil"/>
                    <w:tr2bl w:val="nil"/>
                  </w:tcBorders>
                  <w:noWrap w:val="0"/>
                  <w:vAlign w:val="center"/>
                </w:tcPr>
                <w:p w14:paraId="319011B7">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0.05</w:t>
                  </w:r>
                </w:p>
              </w:tc>
              <w:tc>
                <w:tcPr>
                  <w:tcW w:w="2460" w:type="dxa"/>
                  <w:vMerge w:val="continue"/>
                  <w:tcBorders>
                    <w:tl2br w:val="nil"/>
                    <w:tr2bl w:val="nil"/>
                  </w:tcBorders>
                  <w:noWrap w:val="0"/>
                  <w:vAlign w:val="center"/>
                </w:tcPr>
                <w:p w14:paraId="6F767272">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r>
            <w:tr w14:paraId="0F2837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7EA9BC8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14</w:t>
                  </w:r>
                </w:p>
              </w:tc>
              <w:tc>
                <w:tcPr>
                  <w:tcW w:w="2272" w:type="dxa"/>
                  <w:tcBorders>
                    <w:tl2br w:val="nil"/>
                    <w:tr2bl w:val="nil"/>
                  </w:tcBorders>
                  <w:noWrap w:val="0"/>
                  <w:vAlign w:val="center"/>
                </w:tcPr>
                <w:p w14:paraId="0C43BBD2">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氟化物，mg/L</w:t>
                  </w:r>
                </w:p>
              </w:tc>
              <w:tc>
                <w:tcPr>
                  <w:tcW w:w="2460" w:type="dxa"/>
                  <w:tcBorders>
                    <w:tl2br w:val="nil"/>
                    <w:tr2bl w:val="nil"/>
                  </w:tcBorders>
                  <w:noWrap w:val="0"/>
                  <w:vAlign w:val="center"/>
                </w:tcPr>
                <w:p w14:paraId="476D930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10</w:t>
                  </w:r>
                </w:p>
              </w:tc>
              <w:tc>
                <w:tcPr>
                  <w:tcW w:w="2460" w:type="dxa"/>
                  <w:vMerge w:val="continue"/>
                  <w:tcBorders>
                    <w:tl2br w:val="nil"/>
                    <w:tr2bl w:val="nil"/>
                  </w:tcBorders>
                  <w:noWrap w:val="0"/>
                  <w:vAlign w:val="center"/>
                </w:tcPr>
                <w:p w14:paraId="24C38F8A">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position w:val="0"/>
                      <w:highlight w:val="none"/>
                      <w:lang w:val="en-US" w:eastAsia="zh-CN"/>
                    </w:rPr>
                  </w:pPr>
                </w:p>
              </w:tc>
            </w:tr>
            <w:tr w14:paraId="188252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1649553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15</w:t>
                  </w:r>
                </w:p>
              </w:tc>
              <w:tc>
                <w:tcPr>
                  <w:tcW w:w="2272" w:type="dxa"/>
                  <w:tcBorders>
                    <w:tl2br w:val="nil"/>
                    <w:tr2bl w:val="nil"/>
                  </w:tcBorders>
                  <w:noWrap w:val="0"/>
                  <w:vAlign w:val="center"/>
                </w:tcPr>
                <w:p w14:paraId="705DAA4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硫化物，mg/L</w:t>
                  </w:r>
                </w:p>
              </w:tc>
              <w:tc>
                <w:tcPr>
                  <w:tcW w:w="2460" w:type="dxa"/>
                  <w:tcBorders>
                    <w:tl2br w:val="nil"/>
                    <w:tr2bl w:val="nil"/>
                  </w:tcBorders>
                  <w:noWrap w:val="0"/>
                  <w:vAlign w:val="center"/>
                </w:tcPr>
                <w:p w14:paraId="6235C2F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1.0</w:t>
                  </w:r>
                </w:p>
              </w:tc>
              <w:tc>
                <w:tcPr>
                  <w:tcW w:w="2460" w:type="dxa"/>
                  <w:vMerge w:val="continue"/>
                  <w:tcBorders>
                    <w:tl2br w:val="nil"/>
                    <w:tr2bl w:val="nil"/>
                  </w:tcBorders>
                  <w:noWrap w:val="0"/>
                  <w:vAlign w:val="center"/>
                </w:tcPr>
                <w:p w14:paraId="57788BA5">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position w:val="0"/>
                      <w:highlight w:val="none"/>
                      <w:lang w:val="en-US" w:eastAsia="zh-CN"/>
                    </w:rPr>
                  </w:pPr>
                </w:p>
              </w:tc>
            </w:tr>
            <w:tr w14:paraId="395E5A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788524A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16</w:t>
                  </w:r>
                </w:p>
              </w:tc>
              <w:tc>
                <w:tcPr>
                  <w:tcW w:w="2272" w:type="dxa"/>
                  <w:tcBorders>
                    <w:tl2br w:val="nil"/>
                    <w:tr2bl w:val="nil"/>
                  </w:tcBorders>
                  <w:noWrap w:val="0"/>
                  <w:vAlign w:val="center"/>
                </w:tcPr>
                <w:p w14:paraId="5BD847D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总氰化物，mg/L</w:t>
                  </w:r>
                </w:p>
              </w:tc>
              <w:tc>
                <w:tcPr>
                  <w:tcW w:w="2460" w:type="dxa"/>
                  <w:tcBorders>
                    <w:tl2br w:val="nil"/>
                    <w:tr2bl w:val="nil"/>
                  </w:tcBorders>
                  <w:noWrap w:val="0"/>
                  <w:vAlign w:val="center"/>
                </w:tcPr>
                <w:p w14:paraId="493E0462">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0.5</w:t>
                  </w:r>
                </w:p>
              </w:tc>
              <w:tc>
                <w:tcPr>
                  <w:tcW w:w="2460" w:type="dxa"/>
                  <w:vMerge w:val="continue"/>
                  <w:tcBorders>
                    <w:tl2br w:val="nil"/>
                    <w:tr2bl w:val="nil"/>
                  </w:tcBorders>
                  <w:noWrap w:val="0"/>
                  <w:vAlign w:val="center"/>
                </w:tcPr>
                <w:p w14:paraId="26CBF28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r>
          </w:tbl>
          <w:p w14:paraId="4C15F0B3">
            <w:pPr>
              <w:pStyle w:val="75"/>
              <w:keepNext w:val="0"/>
              <w:keepLines w:val="0"/>
              <w:numPr>
                <w:ilvl w:val="0"/>
                <w:numId w:val="4"/>
              </w:numPr>
              <w:suppressLineNumbers w:val="0"/>
              <w:bidi w:val="0"/>
              <w:spacing w:before="0" w:beforeAutospacing="0" w:after="0" w:afterAutospacing="0"/>
              <w:ind w:left="0" w:leftChars="0" w:right="0" w:firstLine="420" w:firstLineChars="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水泥基再生材料环境安全性能指标及限量值一览表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8"/>
              <w:gridCol w:w="2272"/>
              <w:gridCol w:w="2460"/>
              <w:gridCol w:w="2460"/>
            </w:tblGrid>
            <w:tr w14:paraId="1125F1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4FCDDCAC">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项次</w:t>
                  </w:r>
                </w:p>
              </w:tc>
              <w:tc>
                <w:tcPr>
                  <w:tcW w:w="2272" w:type="dxa"/>
                  <w:tcBorders>
                    <w:tl2br w:val="nil"/>
                    <w:tr2bl w:val="nil"/>
                  </w:tcBorders>
                  <w:noWrap w:val="0"/>
                  <w:vAlign w:val="center"/>
                </w:tcPr>
                <w:p w14:paraId="0523D76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eastAsia="zh-CN"/>
                    </w:rPr>
                  </w:pPr>
                  <w:r>
                    <w:rPr>
                      <w:rFonts w:hint="default" w:ascii="Times New Roman" w:hAnsi="Times New Roman" w:cs="Times New Roman"/>
                      <w:caps w:val="0"/>
                      <w:color w:val="auto"/>
                      <w:spacing w:val="0"/>
                      <w:position w:val="0"/>
                      <w:highlight w:val="none"/>
                      <w:lang w:val="en-US" w:eastAsia="zh-CN"/>
                    </w:rPr>
                    <w:t>项目</w:t>
                  </w:r>
                </w:p>
              </w:tc>
              <w:tc>
                <w:tcPr>
                  <w:tcW w:w="2460" w:type="dxa"/>
                  <w:tcBorders>
                    <w:tl2br w:val="nil"/>
                    <w:tr2bl w:val="nil"/>
                  </w:tcBorders>
                  <w:noWrap w:val="0"/>
                  <w:vAlign w:val="center"/>
                </w:tcPr>
                <w:p w14:paraId="7F9B171C">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eastAsia="zh-CN"/>
                    </w:rPr>
                  </w:pPr>
                  <w:r>
                    <w:rPr>
                      <w:rFonts w:hint="default" w:ascii="Times New Roman" w:hAnsi="Times New Roman" w:cs="Times New Roman"/>
                      <w:caps w:val="0"/>
                      <w:color w:val="auto"/>
                      <w:spacing w:val="0"/>
                      <w:position w:val="0"/>
                      <w:highlight w:val="none"/>
                      <w:lang w:val="en-US" w:eastAsia="zh-CN"/>
                    </w:rPr>
                    <w:t>限值</w:t>
                  </w:r>
                </w:p>
              </w:tc>
              <w:tc>
                <w:tcPr>
                  <w:tcW w:w="2460" w:type="dxa"/>
                  <w:tcBorders>
                    <w:tl2br w:val="nil"/>
                    <w:tr2bl w:val="nil"/>
                  </w:tcBorders>
                  <w:noWrap w:val="0"/>
                  <w:vAlign w:val="center"/>
                </w:tcPr>
                <w:p w14:paraId="4A91586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依据</w:t>
                  </w:r>
                </w:p>
              </w:tc>
            </w:tr>
            <w:tr w14:paraId="6241D5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8" w:type="dxa"/>
                  <w:tcBorders>
                    <w:tl2br w:val="nil"/>
                    <w:tr2bl w:val="nil"/>
                  </w:tcBorders>
                  <w:noWrap w:val="0"/>
                  <w:vAlign w:val="center"/>
                </w:tcPr>
                <w:p w14:paraId="06864F2E">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1</w:t>
                  </w:r>
                </w:p>
              </w:tc>
              <w:tc>
                <w:tcPr>
                  <w:tcW w:w="2272" w:type="dxa"/>
                  <w:tcBorders>
                    <w:tl2br w:val="nil"/>
                    <w:tr2bl w:val="nil"/>
                  </w:tcBorders>
                  <w:noWrap w:val="0"/>
                  <w:vAlign w:val="center"/>
                </w:tcPr>
                <w:p w14:paraId="759BE35E">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游离甲醛，mg/m</w:t>
                  </w:r>
                  <w:r>
                    <w:rPr>
                      <w:rFonts w:hint="default" w:ascii="Times New Roman" w:hAnsi="Times New Roman" w:cs="Times New Roman"/>
                      <w:caps w:val="0"/>
                      <w:color w:val="auto"/>
                      <w:spacing w:val="0"/>
                      <w:position w:val="0"/>
                      <w:highlight w:val="none"/>
                      <w:vertAlign w:val="superscript"/>
                      <w:lang w:val="en-US" w:eastAsia="zh-CN"/>
                    </w:rPr>
                    <w:t>3</w:t>
                  </w:r>
                </w:p>
              </w:tc>
              <w:tc>
                <w:tcPr>
                  <w:tcW w:w="2460" w:type="dxa"/>
                  <w:tcBorders>
                    <w:tl2br w:val="nil"/>
                    <w:tr2bl w:val="nil"/>
                  </w:tcBorders>
                  <w:noWrap w:val="0"/>
                  <w:vAlign w:val="center"/>
                </w:tcPr>
                <w:p w14:paraId="470CB538">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0.08</w:t>
                  </w:r>
                </w:p>
              </w:tc>
              <w:tc>
                <w:tcPr>
                  <w:tcW w:w="2460" w:type="dxa"/>
                  <w:vMerge w:val="restart"/>
                  <w:tcBorders>
                    <w:tl2br w:val="nil"/>
                    <w:tr2bl w:val="nil"/>
                  </w:tcBorders>
                  <w:noWrap w:val="0"/>
                  <w:vAlign w:val="center"/>
                </w:tcPr>
                <w:p w14:paraId="7B05700F">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position w:val="0"/>
                      <w:highlight w:val="none"/>
                      <w:lang w:eastAsia="zh-CN"/>
                    </w:rPr>
                  </w:pPr>
                  <w:r>
                    <w:rPr>
                      <w:rFonts w:hint="default"/>
                      <w:caps w:val="0"/>
                      <w:color w:val="auto"/>
                      <w:spacing w:val="0"/>
                      <w:position w:val="0"/>
                      <w:highlight w:val="none"/>
                      <w:lang w:val="en-US" w:eastAsia="en-US"/>
                    </w:rPr>
                    <w:t>《水泥基再生材料的环境安全性检测标准》</w:t>
                  </w:r>
                  <w:r>
                    <w:rPr>
                      <w:rFonts w:hint="eastAsia"/>
                      <w:caps w:val="0"/>
                      <w:color w:val="auto"/>
                      <w:spacing w:val="0"/>
                      <w:position w:val="0"/>
                      <w:highlight w:val="none"/>
                      <w:lang w:val="en-US" w:eastAsia="zh-CN"/>
                    </w:rPr>
                    <w:t>（CECS397-2015）</w:t>
                  </w:r>
                </w:p>
              </w:tc>
            </w:tr>
            <w:tr w14:paraId="7294BC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79056F8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2</w:t>
                  </w:r>
                </w:p>
              </w:tc>
              <w:tc>
                <w:tcPr>
                  <w:tcW w:w="2272" w:type="dxa"/>
                  <w:tcBorders>
                    <w:tl2br w:val="nil"/>
                    <w:tr2bl w:val="nil"/>
                  </w:tcBorders>
                  <w:noWrap w:val="0"/>
                  <w:vAlign w:val="center"/>
                </w:tcPr>
                <w:p w14:paraId="76A484B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苯</w:t>
                  </w:r>
                  <w:r>
                    <w:rPr>
                      <w:rFonts w:hint="default" w:ascii="Times New Roman" w:hAnsi="Times New Roman" w:eastAsia="宋体" w:cs="Times New Roman"/>
                      <w:caps w:val="0"/>
                      <w:color w:val="auto"/>
                      <w:spacing w:val="0"/>
                      <w:position w:val="0"/>
                      <w:highlight w:val="none"/>
                      <w:lang w:val="en-US" w:eastAsia="zh-CN"/>
                    </w:rPr>
                    <w:t>，mg/m</w:t>
                  </w:r>
                  <w:r>
                    <w:rPr>
                      <w:rFonts w:hint="default" w:ascii="Times New Roman" w:hAnsi="Times New Roman" w:eastAsia="宋体" w:cs="Times New Roman"/>
                      <w:caps w:val="0"/>
                      <w:color w:val="auto"/>
                      <w:spacing w:val="0"/>
                      <w:position w:val="0"/>
                      <w:highlight w:val="none"/>
                      <w:vertAlign w:val="superscript"/>
                      <w:lang w:val="en-US" w:eastAsia="zh-CN"/>
                    </w:rPr>
                    <w:t>3</w:t>
                  </w:r>
                </w:p>
              </w:tc>
              <w:tc>
                <w:tcPr>
                  <w:tcW w:w="2460" w:type="dxa"/>
                  <w:tcBorders>
                    <w:tl2br w:val="nil"/>
                    <w:tr2bl w:val="nil"/>
                  </w:tcBorders>
                  <w:noWrap w:val="0"/>
                  <w:vAlign w:val="center"/>
                </w:tcPr>
                <w:p w14:paraId="7B162B8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w:t>
                  </w:r>
                  <w:r>
                    <w:rPr>
                      <w:rFonts w:hint="default" w:ascii="Times New Roman" w:hAnsi="Times New Roman" w:eastAsia="宋体" w:cs="Times New Roman"/>
                      <w:caps w:val="0"/>
                      <w:color w:val="auto"/>
                      <w:spacing w:val="0"/>
                      <w:position w:val="0"/>
                      <w:highlight w:val="none"/>
                      <w:lang w:val="en-US" w:eastAsia="zh-CN"/>
                    </w:rPr>
                    <w:t>0.0</w:t>
                  </w:r>
                  <w:r>
                    <w:rPr>
                      <w:rFonts w:hint="default" w:ascii="Times New Roman" w:hAnsi="Times New Roman" w:cs="Times New Roman"/>
                      <w:caps w:val="0"/>
                      <w:color w:val="auto"/>
                      <w:spacing w:val="0"/>
                      <w:position w:val="0"/>
                      <w:highlight w:val="none"/>
                      <w:lang w:val="en-US" w:eastAsia="zh-CN"/>
                    </w:rPr>
                    <w:t>3</w:t>
                  </w:r>
                </w:p>
              </w:tc>
              <w:tc>
                <w:tcPr>
                  <w:tcW w:w="2460" w:type="dxa"/>
                  <w:vMerge w:val="continue"/>
                  <w:tcBorders>
                    <w:tl2br w:val="nil"/>
                    <w:tr2bl w:val="nil"/>
                  </w:tcBorders>
                  <w:noWrap w:val="0"/>
                  <w:vAlign w:val="center"/>
                </w:tcPr>
                <w:p w14:paraId="0AF050B2">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r>
            <w:tr w14:paraId="05A5D9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5B70AAC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3</w:t>
                  </w:r>
                </w:p>
              </w:tc>
              <w:tc>
                <w:tcPr>
                  <w:tcW w:w="2272" w:type="dxa"/>
                  <w:tcBorders>
                    <w:tl2br w:val="nil"/>
                    <w:tr2bl w:val="nil"/>
                  </w:tcBorders>
                  <w:noWrap w:val="0"/>
                  <w:vAlign w:val="center"/>
                </w:tcPr>
                <w:p w14:paraId="77C52CF8">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氨</w:t>
                  </w:r>
                  <w:r>
                    <w:rPr>
                      <w:rFonts w:hint="default" w:ascii="Times New Roman" w:hAnsi="Times New Roman" w:eastAsia="宋体" w:cs="Times New Roman"/>
                      <w:caps w:val="0"/>
                      <w:color w:val="auto"/>
                      <w:spacing w:val="0"/>
                      <w:position w:val="0"/>
                      <w:highlight w:val="none"/>
                      <w:lang w:val="en-US" w:eastAsia="zh-CN"/>
                    </w:rPr>
                    <w:t>，mg/m</w:t>
                  </w:r>
                  <w:r>
                    <w:rPr>
                      <w:rFonts w:hint="default" w:ascii="Times New Roman" w:hAnsi="Times New Roman" w:eastAsia="宋体" w:cs="Times New Roman"/>
                      <w:caps w:val="0"/>
                      <w:color w:val="auto"/>
                      <w:spacing w:val="0"/>
                      <w:position w:val="0"/>
                      <w:highlight w:val="none"/>
                      <w:vertAlign w:val="superscript"/>
                      <w:lang w:val="en-US" w:eastAsia="zh-CN"/>
                    </w:rPr>
                    <w:t>3</w:t>
                  </w:r>
                </w:p>
              </w:tc>
              <w:tc>
                <w:tcPr>
                  <w:tcW w:w="2460" w:type="dxa"/>
                  <w:tcBorders>
                    <w:tl2br w:val="nil"/>
                    <w:tr2bl w:val="nil"/>
                  </w:tcBorders>
                  <w:noWrap w:val="0"/>
                  <w:vAlign w:val="center"/>
                </w:tcPr>
                <w:p w14:paraId="4A3859DD">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w:t>
                  </w:r>
                  <w:r>
                    <w:rPr>
                      <w:rFonts w:hint="default" w:ascii="Times New Roman" w:hAnsi="Times New Roman" w:eastAsia="宋体" w:cs="Times New Roman"/>
                      <w:caps w:val="0"/>
                      <w:color w:val="auto"/>
                      <w:spacing w:val="0"/>
                      <w:position w:val="0"/>
                      <w:highlight w:val="none"/>
                      <w:lang w:val="en-US" w:eastAsia="zh-CN"/>
                    </w:rPr>
                    <w:t>0.0</w:t>
                  </w:r>
                  <w:r>
                    <w:rPr>
                      <w:rFonts w:hint="default" w:ascii="Times New Roman" w:hAnsi="Times New Roman" w:cs="Times New Roman"/>
                      <w:caps w:val="0"/>
                      <w:color w:val="auto"/>
                      <w:spacing w:val="0"/>
                      <w:position w:val="0"/>
                      <w:highlight w:val="none"/>
                      <w:lang w:val="en-US" w:eastAsia="zh-CN"/>
                    </w:rPr>
                    <w:t>2</w:t>
                  </w:r>
                </w:p>
              </w:tc>
              <w:tc>
                <w:tcPr>
                  <w:tcW w:w="2460" w:type="dxa"/>
                  <w:vMerge w:val="continue"/>
                  <w:tcBorders>
                    <w:tl2br w:val="nil"/>
                    <w:tr2bl w:val="nil"/>
                  </w:tcBorders>
                  <w:noWrap w:val="0"/>
                  <w:vAlign w:val="center"/>
                </w:tcPr>
                <w:p w14:paraId="0B00F48C">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r>
            <w:tr w14:paraId="202755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14FC4512">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4</w:t>
                  </w:r>
                </w:p>
              </w:tc>
              <w:tc>
                <w:tcPr>
                  <w:tcW w:w="2272" w:type="dxa"/>
                  <w:tcBorders>
                    <w:tl2br w:val="nil"/>
                    <w:tr2bl w:val="nil"/>
                  </w:tcBorders>
                  <w:noWrap w:val="0"/>
                  <w:vAlign w:val="center"/>
                </w:tcPr>
                <w:p w14:paraId="1A4A6B1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总挥发性有机化合物(TVOC)，</w:t>
                  </w:r>
                  <w:r>
                    <w:rPr>
                      <w:rFonts w:hint="default" w:ascii="Times New Roman" w:hAnsi="Times New Roman" w:eastAsia="宋体" w:cs="Times New Roman"/>
                      <w:caps w:val="0"/>
                      <w:color w:val="auto"/>
                      <w:spacing w:val="0"/>
                      <w:position w:val="0"/>
                      <w:highlight w:val="none"/>
                      <w:lang w:val="en-US" w:eastAsia="zh-CN"/>
                    </w:rPr>
                    <w:t>mg/m</w:t>
                  </w:r>
                  <w:r>
                    <w:rPr>
                      <w:rFonts w:hint="default" w:ascii="Times New Roman" w:hAnsi="Times New Roman" w:eastAsia="宋体" w:cs="Times New Roman"/>
                      <w:caps w:val="0"/>
                      <w:color w:val="auto"/>
                      <w:spacing w:val="0"/>
                      <w:position w:val="0"/>
                      <w:highlight w:val="none"/>
                      <w:vertAlign w:val="superscript"/>
                      <w:lang w:val="en-US" w:eastAsia="zh-CN"/>
                    </w:rPr>
                    <w:t>3</w:t>
                  </w:r>
                </w:p>
              </w:tc>
              <w:tc>
                <w:tcPr>
                  <w:tcW w:w="2460" w:type="dxa"/>
                  <w:tcBorders>
                    <w:tl2br w:val="nil"/>
                    <w:tr2bl w:val="nil"/>
                  </w:tcBorders>
                  <w:noWrap w:val="0"/>
                  <w:vAlign w:val="center"/>
                </w:tcPr>
                <w:p w14:paraId="69062C9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0.4</w:t>
                  </w:r>
                </w:p>
              </w:tc>
              <w:tc>
                <w:tcPr>
                  <w:tcW w:w="2460" w:type="dxa"/>
                  <w:vMerge w:val="continue"/>
                  <w:tcBorders>
                    <w:tl2br w:val="nil"/>
                    <w:tr2bl w:val="nil"/>
                  </w:tcBorders>
                  <w:noWrap w:val="0"/>
                  <w:vAlign w:val="center"/>
                </w:tcPr>
                <w:p w14:paraId="4833CBAC">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r>
            <w:tr w14:paraId="476BC1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274B18C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5</w:t>
                  </w:r>
                </w:p>
              </w:tc>
              <w:tc>
                <w:tcPr>
                  <w:tcW w:w="2272" w:type="dxa"/>
                  <w:tcBorders>
                    <w:tl2br w:val="nil"/>
                    <w:tr2bl w:val="nil"/>
                  </w:tcBorders>
                  <w:noWrap w:val="0"/>
                  <w:vAlign w:val="center"/>
                </w:tcPr>
                <w:p w14:paraId="628ACFD0">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氰化物(以CN计)，mg/L</w:t>
                  </w:r>
                </w:p>
              </w:tc>
              <w:tc>
                <w:tcPr>
                  <w:tcW w:w="2460" w:type="dxa"/>
                  <w:tcBorders>
                    <w:tl2br w:val="nil"/>
                    <w:tr2bl w:val="nil"/>
                  </w:tcBorders>
                  <w:noWrap w:val="0"/>
                  <w:vAlign w:val="center"/>
                </w:tcPr>
                <w:p w14:paraId="08E39D8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1.0</w:t>
                  </w:r>
                </w:p>
              </w:tc>
              <w:tc>
                <w:tcPr>
                  <w:tcW w:w="2460" w:type="dxa"/>
                  <w:vMerge w:val="continue"/>
                  <w:tcBorders>
                    <w:tl2br w:val="nil"/>
                    <w:tr2bl w:val="nil"/>
                  </w:tcBorders>
                  <w:noWrap w:val="0"/>
                  <w:vAlign w:val="center"/>
                </w:tcPr>
                <w:p w14:paraId="4E30DAE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r>
            <w:tr w14:paraId="0F6106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7394D7F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6</w:t>
                  </w:r>
                </w:p>
              </w:tc>
              <w:tc>
                <w:tcPr>
                  <w:tcW w:w="2272" w:type="dxa"/>
                  <w:tcBorders>
                    <w:tl2br w:val="nil"/>
                    <w:tr2bl w:val="nil"/>
                  </w:tcBorders>
                  <w:noWrap w:val="0"/>
                  <w:vAlign w:val="center"/>
                </w:tcPr>
                <w:p w14:paraId="5B205E7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氟化物(不含氟化钙)，mg/L</w:t>
                  </w:r>
                </w:p>
              </w:tc>
              <w:tc>
                <w:tcPr>
                  <w:tcW w:w="2460" w:type="dxa"/>
                  <w:tcBorders>
                    <w:tl2br w:val="nil"/>
                    <w:tr2bl w:val="nil"/>
                  </w:tcBorders>
                  <w:noWrap w:val="0"/>
                  <w:vAlign w:val="center"/>
                </w:tcPr>
                <w:p w14:paraId="17BF717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100</w:t>
                  </w:r>
                </w:p>
              </w:tc>
              <w:tc>
                <w:tcPr>
                  <w:tcW w:w="2460" w:type="dxa"/>
                  <w:vMerge w:val="continue"/>
                  <w:tcBorders>
                    <w:tl2br w:val="nil"/>
                    <w:tr2bl w:val="nil"/>
                  </w:tcBorders>
                  <w:noWrap w:val="0"/>
                  <w:vAlign w:val="center"/>
                </w:tcPr>
                <w:p w14:paraId="0D5857F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r>
            <w:tr w14:paraId="5B8E0B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5DE4CD68">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7</w:t>
                  </w:r>
                </w:p>
              </w:tc>
              <w:tc>
                <w:tcPr>
                  <w:tcW w:w="2272" w:type="dxa"/>
                  <w:tcBorders>
                    <w:tl2br w:val="nil"/>
                    <w:tr2bl w:val="nil"/>
                  </w:tcBorders>
                  <w:noWrap w:val="0"/>
                  <w:vAlign w:val="center"/>
                </w:tcPr>
                <w:p w14:paraId="155D86F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硒(总硒)，mg/L</w:t>
                  </w:r>
                </w:p>
              </w:tc>
              <w:tc>
                <w:tcPr>
                  <w:tcW w:w="2460" w:type="dxa"/>
                  <w:tcBorders>
                    <w:tl2br w:val="nil"/>
                    <w:tr2bl w:val="nil"/>
                  </w:tcBorders>
                  <w:noWrap w:val="0"/>
                  <w:vAlign w:val="center"/>
                </w:tcPr>
                <w:p w14:paraId="4460E4CD">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1.0</w:t>
                  </w:r>
                </w:p>
              </w:tc>
              <w:tc>
                <w:tcPr>
                  <w:tcW w:w="2460" w:type="dxa"/>
                  <w:vMerge w:val="continue"/>
                  <w:tcBorders>
                    <w:tl2br w:val="nil"/>
                    <w:tr2bl w:val="nil"/>
                  </w:tcBorders>
                  <w:noWrap w:val="0"/>
                  <w:vAlign w:val="center"/>
                </w:tcPr>
                <w:p w14:paraId="39BA4C5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r>
            <w:tr w14:paraId="2F79D8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1C69DBAC">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8</w:t>
                  </w:r>
                </w:p>
              </w:tc>
              <w:tc>
                <w:tcPr>
                  <w:tcW w:w="2272" w:type="dxa"/>
                  <w:tcBorders>
                    <w:tl2br w:val="nil"/>
                    <w:tr2bl w:val="nil"/>
                  </w:tcBorders>
                  <w:noWrap w:val="0"/>
                  <w:vAlign w:val="center"/>
                </w:tcPr>
                <w:p w14:paraId="52E6D1B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汞(总汞)，mg/L</w:t>
                  </w:r>
                </w:p>
              </w:tc>
              <w:tc>
                <w:tcPr>
                  <w:tcW w:w="2460" w:type="dxa"/>
                  <w:tcBorders>
                    <w:tl2br w:val="nil"/>
                    <w:tr2bl w:val="nil"/>
                  </w:tcBorders>
                  <w:noWrap w:val="0"/>
                  <w:vAlign w:val="center"/>
                </w:tcPr>
                <w:p w14:paraId="170FA2D7">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0.02</w:t>
                  </w:r>
                </w:p>
              </w:tc>
              <w:tc>
                <w:tcPr>
                  <w:tcW w:w="2460" w:type="dxa"/>
                  <w:vMerge w:val="continue"/>
                  <w:tcBorders>
                    <w:tl2br w:val="nil"/>
                    <w:tr2bl w:val="nil"/>
                  </w:tcBorders>
                  <w:noWrap w:val="0"/>
                  <w:vAlign w:val="center"/>
                </w:tcPr>
                <w:p w14:paraId="2AFFA772">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r>
            <w:tr w14:paraId="46EC12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15564DF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9</w:t>
                  </w:r>
                </w:p>
              </w:tc>
              <w:tc>
                <w:tcPr>
                  <w:tcW w:w="2272" w:type="dxa"/>
                  <w:tcBorders>
                    <w:tl2br w:val="nil"/>
                    <w:tr2bl w:val="nil"/>
                  </w:tcBorders>
                  <w:noWrap w:val="0"/>
                  <w:vAlign w:val="center"/>
                </w:tcPr>
                <w:p w14:paraId="1691822E">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铅(总铅)，mg/L</w:t>
                  </w:r>
                </w:p>
              </w:tc>
              <w:tc>
                <w:tcPr>
                  <w:tcW w:w="2460" w:type="dxa"/>
                  <w:tcBorders>
                    <w:tl2br w:val="nil"/>
                    <w:tr2bl w:val="nil"/>
                  </w:tcBorders>
                  <w:noWrap w:val="0"/>
                  <w:vAlign w:val="center"/>
                </w:tcPr>
                <w:p w14:paraId="544AE38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2.0</w:t>
                  </w:r>
                </w:p>
              </w:tc>
              <w:tc>
                <w:tcPr>
                  <w:tcW w:w="2460" w:type="dxa"/>
                  <w:vMerge w:val="continue"/>
                  <w:tcBorders>
                    <w:tl2br w:val="nil"/>
                    <w:tr2bl w:val="nil"/>
                  </w:tcBorders>
                  <w:noWrap w:val="0"/>
                  <w:vAlign w:val="center"/>
                </w:tcPr>
                <w:p w14:paraId="174B3A2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r>
            <w:tr w14:paraId="3804B4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188BF0B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10</w:t>
                  </w:r>
                </w:p>
              </w:tc>
              <w:tc>
                <w:tcPr>
                  <w:tcW w:w="2272" w:type="dxa"/>
                  <w:tcBorders>
                    <w:tl2br w:val="nil"/>
                    <w:tr2bl w:val="nil"/>
                  </w:tcBorders>
                  <w:noWrap w:val="0"/>
                  <w:vAlign w:val="center"/>
                </w:tcPr>
                <w:p w14:paraId="246CA6EB">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砷(总砷)，mg/L</w:t>
                  </w:r>
                </w:p>
              </w:tc>
              <w:tc>
                <w:tcPr>
                  <w:tcW w:w="2460" w:type="dxa"/>
                  <w:tcBorders>
                    <w:tl2br w:val="nil"/>
                    <w:tr2bl w:val="nil"/>
                  </w:tcBorders>
                  <w:noWrap w:val="0"/>
                  <w:vAlign w:val="center"/>
                </w:tcPr>
                <w:p w14:paraId="6680068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0.6</w:t>
                  </w:r>
                </w:p>
              </w:tc>
              <w:tc>
                <w:tcPr>
                  <w:tcW w:w="2460" w:type="dxa"/>
                  <w:vMerge w:val="continue"/>
                  <w:tcBorders>
                    <w:tl2br w:val="nil"/>
                    <w:tr2bl w:val="nil"/>
                  </w:tcBorders>
                  <w:noWrap w:val="0"/>
                  <w:vAlign w:val="center"/>
                </w:tcPr>
                <w:p w14:paraId="61ADFD4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r>
            <w:tr w14:paraId="4810DD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2A513C9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11</w:t>
                  </w:r>
                </w:p>
              </w:tc>
              <w:tc>
                <w:tcPr>
                  <w:tcW w:w="2272" w:type="dxa"/>
                  <w:tcBorders>
                    <w:tl2br w:val="nil"/>
                    <w:tr2bl w:val="nil"/>
                  </w:tcBorders>
                  <w:noWrap w:val="0"/>
                  <w:vAlign w:val="center"/>
                </w:tcPr>
                <w:p w14:paraId="322F186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镉(总镉)，mg/L</w:t>
                  </w:r>
                </w:p>
              </w:tc>
              <w:tc>
                <w:tcPr>
                  <w:tcW w:w="2460" w:type="dxa"/>
                  <w:tcBorders>
                    <w:tl2br w:val="nil"/>
                    <w:tr2bl w:val="nil"/>
                  </w:tcBorders>
                  <w:noWrap w:val="0"/>
                  <w:vAlign w:val="center"/>
                </w:tcPr>
                <w:p w14:paraId="5C1F2238">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0.1</w:t>
                  </w:r>
                </w:p>
              </w:tc>
              <w:tc>
                <w:tcPr>
                  <w:tcW w:w="2460" w:type="dxa"/>
                  <w:vMerge w:val="continue"/>
                  <w:tcBorders>
                    <w:tl2br w:val="nil"/>
                    <w:tr2bl w:val="nil"/>
                  </w:tcBorders>
                  <w:noWrap w:val="0"/>
                  <w:vAlign w:val="center"/>
                </w:tcPr>
                <w:p w14:paraId="14121E2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r>
            <w:tr w14:paraId="3FAEAA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077821F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12</w:t>
                  </w:r>
                </w:p>
              </w:tc>
              <w:tc>
                <w:tcPr>
                  <w:tcW w:w="2272" w:type="dxa"/>
                  <w:tcBorders>
                    <w:tl2br w:val="nil"/>
                    <w:tr2bl w:val="nil"/>
                  </w:tcBorders>
                  <w:noWrap w:val="0"/>
                  <w:vAlign w:val="center"/>
                </w:tcPr>
                <w:p w14:paraId="7D6545E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铬(总铬)，mg/L</w:t>
                  </w:r>
                </w:p>
              </w:tc>
              <w:tc>
                <w:tcPr>
                  <w:tcW w:w="2460" w:type="dxa"/>
                  <w:tcBorders>
                    <w:tl2br w:val="nil"/>
                    <w:tr2bl w:val="nil"/>
                  </w:tcBorders>
                  <w:noWrap w:val="0"/>
                  <w:vAlign w:val="center"/>
                </w:tcPr>
                <w:p w14:paraId="64B29B3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1.5</w:t>
                  </w:r>
                </w:p>
              </w:tc>
              <w:tc>
                <w:tcPr>
                  <w:tcW w:w="2460" w:type="dxa"/>
                  <w:vMerge w:val="continue"/>
                  <w:tcBorders>
                    <w:tl2br w:val="nil"/>
                    <w:tr2bl w:val="nil"/>
                  </w:tcBorders>
                  <w:noWrap w:val="0"/>
                  <w:vAlign w:val="center"/>
                </w:tcPr>
                <w:p w14:paraId="6EC6F20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r>
            <w:tr w14:paraId="3080ED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noWrap w:val="0"/>
                  <w:vAlign w:val="center"/>
                </w:tcPr>
                <w:p w14:paraId="10A5C3C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13</w:t>
                  </w:r>
                </w:p>
              </w:tc>
              <w:tc>
                <w:tcPr>
                  <w:tcW w:w="2272" w:type="dxa"/>
                  <w:tcBorders>
                    <w:tl2br w:val="nil"/>
                    <w:tr2bl w:val="nil"/>
                  </w:tcBorders>
                  <w:noWrap w:val="0"/>
                  <w:vAlign w:val="center"/>
                </w:tcPr>
                <w:p w14:paraId="2126300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内照射指数、外照射指数</w:t>
                  </w:r>
                </w:p>
              </w:tc>
              <w:tc>
                <w:tcPr>
                  <w:tcW w:w="2460" w:type="dxa"/>
                  <w:tcBorders>
                    <w:tl2br w:val="nil"/>
                    <w:tr2bl w:val="nil"/>
                  </w:tcBorders>
                  <w:noWrap w:val="0"/>
                  <w:vAlign w:val="center"/>
                </w:tcPr>
                <w:p w14:paraId="732154B2">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rPr>
                  </w:pPr>
                  <w:r>
                    <w:rPr>
                      <w:rFonts w:hint="default" w:ascii="Times New Roman" w:hAnsi="Times New Roman" w:cs="Times New Roman"/>
                      <w:caps w:val="0"/>
                      <w:color w:val="auto"/>
                      <w:spacing w:val="0"/>
                      <w:position w:val="0"/>
                      <w:highlight w:val="none"/>
                      <w:lang w:val="en-US" w:eastAsia="zh-CN"/>
                    </w:rPr>
                    <w:t>均</w:t>
                  </w: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0.1</w:t>
                  </w:r>
                </w:p>
              </w:tc>
              <w:tc>
                <w:tcPr>
                  <w:tcW w:w="2460" w:type="dxa"/>
                  <w:vMerge w:val="continue"/>
                  <w:tcBorders>
                    <w:tl2br w:val="nil"/>
                    <w:tr2bl w:val="nil"/>
                  </w:tcBorders>
                  <w:noWrap w:val="0"/>
                  <w:vAlign w:val="center"/>
                </w:tcPr>
                <w:p w14:paraId="7EB023D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p>
              </w:tc>
            </w:tr>
          </w:tbl>
          <w:p w14:paraId="652811FC">
            <w:pPr>
              <w:pStyle w:val="74"/>
              <w:keepNext w:val="0"/>
              <w:keepLines w:val="0"/>
              <w:suppressLineNumbers w:val="0"/>
              <w:bidi w:val="0"/>
              <w:spacing w:before="0" w:beforeAutospacing="0" w:after="0" w:afterAutospacing="0"/>
              <w:ind w:left="0" w:right="0"/>
              <w:rPr>
                <w:rFonts w:hint="eastAsia"/>
                <w:b w:val="0"/>
                <w:bCs/>
                <w:caps w:val="0"/>
                <w:color w:val="auto"/>
                <w:spacing w:val="0"/>
                <w:position w:val="0"/>
                <w:highlight w:val="none"/>
                <w:lang w:val="en-US" w:eastAsia="zh-CN"/>
              </w:rPr>
            </w:pPr>
            <w:r>
              <w:rPr>
                <w:rFonts w:hint="eastAsia" w:cs="Times New Roman"/>
                <w:b w:val="0"/>
                <w:bCs/>
                <w:caps w:val="0"/>
                <w:color w:val="auto"/>
                <w:spacing w:val="0"/>
                <w:position w:val="0"/>
                <w:highlight w:val="none"/>
                <w:lang w:val="en-US" w:eastAsia="zh-CN"/>
              </w:rPr>
              <w:t>（3）放射</w:t>
            </w:r>
            <w:r>
              <w:rPr>
                <w:rFonts w:hint="eastAsia"/>
                <w:b w:val="0"/>
                <w:bCs/>
                <w:caps w:val="0"/>
                <w:color w:val="auto"/>
                <w:spacing w:val="0"/>
                <w:position w:val="0"/>
                <w:highlight w:val="none"/>
                <w:lang w:val="en-US" w:eastAsia="zh-CN"/>
              </w:rPr>
              <w:t>性满足要求分析</w:t>
            </w:r>
          </w:p>
          <w:p w14:paraId="671D5A23">
            <w:pPr>
              <w:pStyle w:val="74"/>
              <w:keepNext w:val="0"/>
              <w:keepLines w:val="0"/>
              <w:suppressLineNumbers w:val="0"/>
              <w:bidi w:val="0"/>
              <w:spacing w:before="0" w:beforeAutospacing="0" w:after="0" w:afterAutospacing="0"/>
              <w:ind w:left="0" w:right="0"/>
              <w:rPr>
                <w:rFonts w:hint="eastAsia"/>
                <w:b w:val="0"/>
                <w:bCs/>
                <w:caps w:val="0"/>
                <w:color w:val="auto"/>
                <w:spacing w:val="0"/>
                <w:position w:val="0"/>
                <w:highlight w:val="none"/>
                <w:lang w:val="en-US" w:eastAsia="zh-CN"/>
              </w:rPr>
            </w:pPr>
            <w:r>
              <w:rPr>
                <w:rFonts w:hint="default"/>
                <w:caps w:val="0"/>
                <w:color w:val="auto"/>
                <w:spacing w:val="0"/>
                <w:position w:val="0"/>
                <w:highlight w:val="none"/>
                <w:lang w:val="en-US" w:eastAsia="zh-CN"/>
              </w:rPr>
              <w:t>本项目根据《国家工业固体废物资源综合利用产品目录》属于工业固体废物种类</w:t>
            </w:r>
            <w:r>
              <w:rPr>
                <w:rFonts w:hint="eastAsia"/>
                <w:caps w:val="0"/>
                <w:color w:val="auto"/>
                <w:spacing w:val="0"/>
                <w:position w:val="0"/>
                <w:highlight w:val="none"/>
                <w:lang w:val="en-US" w:eastAsia="zh-CN"/>
              </w:rPr>
              <w:t>三</w:t>
            </w:r>
            <w:r>
              <w:rPr>
                <w:rFonts w:hint="default"/>
                <w:caps w:val="0"/>
                <w:color w:val="auto"/>
                <w:spacing w:val="0"/>
                <w:position w:val="0"/>
                <w:highlight w:val="none"/>
                <w:lang w:val="en-US" w:eastAsia="zh-CN"/>
              </w:rPr>
              <w:t>、</w:t>
            </w:r>
            <w:r>
              <w:rPr>
                <w:rFonts w:hint="eastAsia"/>
                <w:caps w:val="0"/>
                <w:color w:val="auto"/>
                <w:spacing w:val="0"/>
                <w:position w:val="0"/>
                <w:highlight w:val="none"/>
                <w:lang w:val="en-US" w:eastAsia="zh-CN"/>
              </w:rPr>
              <w:t>冶炼渣（不含危险废物）</w:t>
            </w:r>
            <w:r>
              <w:rPr>
                <w:rFonts w:hint="default"/>
                <w:caps w:val="0"/>
                <w:color w:val="auto"/>
                <w:spacing w:val="0"/>
                <w:position w:val="0"/>
                <w:highlight w:val="none"/>
                <w:lang w:val="en-US" w:eastAsia="zh-CN"/>
              </w:rPr>
              <w:t>-</w:t>
            </w:r>
            <w:r>
              <w:rPr>
                <w:rFonts w:hint="eastAsia"/>
                <w:caps w:val="0"/>
                <w:color w:val="auto"/>
                <w:spacing w:val="0"/>
                <w:position w:val="0"/>
                <w:highlight w:val="none"/>
                <w:lang w:val="en-US" w:eastAsia="zh-CN"/>
              </w:rPr>
              <w:t>3.9中</w:t>
            </w:r>
            <w:r>
              <w:rPr>
                <w:rFonts w:hint="default"/>
                <w:caps w:val="0"/>
                <w:color w:val="auto"/>
                <w:spacing w:val="0"/>
                <w:position w:val="0"/>
                <w:highlight w:val="none"/>
                <w:lang w:val="en-US" w:eastAsia="zh-CN"/>
              </w:rPr>
              <w:t>砖瓦、砌块，其中综合利用技术条件和要求</w:t>
            </w:r>
            <w:r>
              <w:rPr>
                <w:rFonts w:hint="eastAsia"/>
                <w:caps w:val="0"/>
                <w:color w:val="auto"/>
                <w:spacing w:val="0"/>
                <w:position w:val="0"/>
                <w:highlight w:val="none"/>
                <w:lang w:val="en-US" w:eastAsia="zh-CN"/>
              </w:rPr>
              <w:t>：</w:t>
            </w:r>
            <w:r>
              <w:rPr>
                <w:rFonts w:hint="eastAsia"/>
                <w:b w:val="0"/>
                <w:bCs/>
                <w:caps w:val="0"/>
                <w:color w:val="auto"/>
                <w:spacing w:val="0"/>
                <w:position w:val="0"/>
                <w:highlight w:val="none"/>
                <w:lang w:val="en-US" w:eastAsia="zh-CN"/>
              </w:rPr>
              <w:t>产品需符合《建筑材料放射性核素限量》（GB6566）要求。</w:t>
            </w:r>
          </w:p>
          <w:p w14:paraId="5F3A575B">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b/>
                <w:bCs w:val="0"/>
                <w:caps w:val="0"/>
                <w:color w:val="auto"/>
                <w:spacing w:val="0"/>
                <w:position w:val="0"/>
                <w:highlight w:val="none"/>
                <w:lang w:val="en-US" w:eastAsia="zh-CN"/>
              </w:rPr>
            </w:pPr>
            <w:r>
              <w:rPr>
                <w:rFonts w:hint="default" w:ascii="Times New Roman" w:hAnsi="Times New Roman" w:cs="Times New Roman"/>
                <w:b/>
                <w:bCs w:val="0"/>
                <w:caps w:val="0"/>
                <w:color w:val="auto"/>
                <w:spacing w:val="0"/>
                <w:position w:val="0"/>
                <w:highlight w:val="none"/>
                <w:lang w:val="en-US" w:eastAsia="zh-CN"/>
              </w:rPr>
              <w:t>4</w:t>
            </w:r>
            <w:r>
              <w:rPr>
                <w:rFonts w:hint="default" w:ascii="Times New Roman" w:hAnsi="Times New Roman" w:cs="Times New Roman"/>
                <w:b/>
                <w:bCs w:val="0"/>
                <w:caps w:val="0"/>
                <w:color w:val="auto"/>
                <w:spacing w:val="0"/>
                <w:position w:val="0"/>
                <w:highlight w:val="none"/>
                <w:lang w:val="en-US" w:eastAsia="en-US"/>
              </w:rPr>
              <w:t>.</w:t>
            </w:r>
            <w:r>
              <w:rPr>
                <w:rFonts w:hint="default" w:ascii="Times New Roman" w:hAnsi="Times New Roman" w:cs="Times New Roman"/>
                <w:b/>
                <w:bCs w:val="0"/>
                <w:caps w:val="0"/>
                <w:color w:val="auto"/>
                <w:spacing w:val="0"/>
                <w:position w:val="0"/>
                <w:highlight w:val="none"/>
                <w:lang w:val="en-US" w:eastAsia="zh-CN"/>
              </w:rPr>
              <w:t>3、</w:t>
            </w:r>
            <w:r>
              <w:rPr>
                <w:rFonts w:hint="default" w:ascii="Times New Roman" w:hAnsi="Times New Roman" w:cs="Times New Roman"/>
                <w:b/>
                <w:bCs w:val="0"/>
                <w:caps w:val="0"/>
                <w:color w:val="auto"/>
                <w:spacing w:val="0"/>
                <w:position w:val="0"/>
                <w:highlight w:val="none"/>
                <w:lang w:val="en-US" w:eastAsia="en-US"/>
              </w:rPr>
              <w:t>产品</w:t>
            </w:r>
            <w:r>
              <w:rPr>
                <w:rFonts w:hint="default" w:ascii="Times New Roman" w:hAnsi="Times New Roman" w:cs="Times New Roman"/>
                <w:b/>
                <w:bCs w:val="0"/>
                <w:caps w:val="0"/>
                <w:color w:val="auto"/>
                <w:spacing w:val="0"/>
                <w:position w:val="0"/>
                <w:highlight w:val="none"/>
                <w:lang w:val="en-US" w:eastAsia="zh-CN"/>
              </w:rPr>
              <w:t>质量可达性分析</w:t>
            </w:r>
          </w:p>
          <w:p w14:paraId="3258150D">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aps w:val="0"/>
                <w:color w:val="auto"/>
                <w:spacing w:val="0"/>
                <w:kern w:val="0"/>
                <w:position w:val="0"/>
                <w:sz w:val="24"/>
                <w:szCs w:val="24"/>
                <w:highlight w:val="none"/>
                <w:lang w:val="en-US" w:eastAsia="zh-CN" w:bidi="ar"/>
              </w:rPr>
            </w:pPr>
            <w:r>
              <w:rPr>
                <w:rFonts w:hint="default" w:ascii="Times New Roman" w:hAnsi="Times New Roman" w:eastAsia="宋体" w:cs="Times New Roman"/>
                <w:caps w:val="0"/>
                <w:color w:val="auto"/>
                <w:spacing w:val="0"/>
                <w:kern w:val="0"/>
                <w:position w:val="0"/>
                <w:sz w:val="24"/>
                <w:szCs w:val="24"/>
                <w:highlight w:val="none"/>
                <w:lang w:val="en-US" w:eastAsia="zh-CN" w:bidi="ar"/>
              </w:rPr>
              <w:t>为控制产品质量，特别是产品中污染物指标可达性，本项目从以下几个方面进行严格控制：</w:t>
            </w:r>
          </w:p>
          <w:p w14:paraId="2A72E8D9">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default" w:ascii="Times New Roman" w:hAnsi="Times New Roman" w:eastAsia="宋体" w:cs="Times New Roman"/>
                <w:caps w:val="0"/>
                <w:color w:val="auto"/>
                <w:spacing w:val="0"/>
                <w:kern w:val="0"/>
                <w:position w:val="0"/>
                <w:szCs w:val="24"/>
                <w:highlight w:val="none"/>
                <w:lang w:val="en-US" w:eastAsia="zh-CN" w:bidi="ar"/>
              </w:rPr>
              <w:t>①从源头控制。</w:t>
            </w:r>
            <w:r>
              <w:rPr>
                <w:rFonts w:hint="eastAsia"/>
                <w:caps w:val="0"/>
                <w:color w:val="auto"/>
                <w:spacing w:val="0"/>
                <w:position w:val="0"/>
                <w:highlight w:val="none"/>
                <w:lang w:val="en-US" w:eastAsia="zh-CN"/>
              </w:rPr>
              <w:t>项目要求锂冶炼剩余物来源于二次提锂企业产生的水洗渣，主要来源于研硕科技，锂冶炼剩余物（水洗渣）中</w:t>
            </w:r>
            <w:r>
              <w:rPr>
                <w:rFonts w:hint="default"/>
                <w:caps w:val="0"/>
                <w:color w:val="auto"/>
                <w:spacing w:val="0"/>
                <w:position w:val="0"/>
                <w:highlight w:val="none"/>
                <w:lang w:val="en-US" w:eastAsia="zh-CN"/>
              </w:rPr>
              <w:t>污染物需满足《公路路基工程利用</w:t>
            </w:r>
            <w:r>
              <w:rPr>
                <w:rFonts w:hint="eastAsia"/>
                <w:caps w:val="0"/>
                <w:color w:val="auto"/>
                <w:spacing w:val="0"/>
                <w:position w:val="0"/>
                <w:highlight w:val="none"/>
                <w:lang w:val="en-US" w:eastAsia="zh-CN"/>
              </w:rPr>
              <w:t>锂渣</w:t>
            </w:r>
            <w:r>
              <w:rPr>
                <w:rFonts w:hint="default"/>
                <w:caps w:val="0"/>
                <w:color w:val="auto"/>
                <w:spacing w:val="0"/>
                <w:position w:val="0"/>
                <w:highlight w:val="none"/>
                <w:lang w:val="en-US" w:eastAsia="zh-CN"/>
              </w:rPr>
              <w:t>技术规范（试行）》（DB36/T1968-2024）表1改性</w:t>
            </w:r>
            <w:r>
              <w:rPr>
                <w:rFonts w:hint="eastAsia"/>
                <w:caps w:val="0"/>
                <w:color w:val="auto"/>
                <w:spacing w:val="0"/>
                <w:position w:val="0"/>
                <w:highlight w:val="none"/>
                <w:lang w:val="en-US" w:eastAsia="zh-CN"/>
              </w:rPr>
              <w:t>锂冶炼剩余物</w:t>
            </w:r>
            <w:r>
              <w:rPr>
                <w:rFonts w:hint="default"/>
                <w:caps w:val="0"/>
                <w:color w:val="auto"/>
                <w:spacing w:val="0"/>
                <w:position w:val="0"/>
                <w:highlight w:val="none"/>
                <w:lang w:val="en-US" w:eastAsia="zh-CN"/>
              </w:rPr>
              <w:t>浸出液污染物浓度限值要求</w:t>
            </w:r>
            <w:r>
              <w:rPr>
                <w:rFonts w:hint="eastAsia"/>
                <w:caps w:val="0"/>
                <w:color w:val="auto"/>
                <w:spacing w:val="0"/>
                <w:position w:val="0"/>
                <w:highlight w:val="none"/>
                <w:lang w:val="en-US" w:eastAsia="zh-CN"/>
              </w:rPr>
              <w:t>。若使用其他二次提锂企业产生的水洗渣，其水洗渣中亦应满足</w:t>
            </w:r>
            <w:r>
              <w:rPr>
                <w:rFonts w:hint="default"/>
                <w:caps w:val="0"/>
                <w:color w:val="auto"/>
                <w:spacing w:val="0"/>
                <w:position w:val="0"/>
                <w:highlight w:val="none"/>
                <w:lang w:val="en-US" w:eastAsia="zh-CN"/>
              </w:rPr>
              <w:t>《公路路基工程利用</w:t>
            </w:r>
            <w:r>
              <w:rPr>
                <w:rFonts w:hint="eastAsia"/>
                <w:caps w:val="0"/>
                <w:color w:val="auto"/>
                <w:spacing w:val="0"/>
                <w:position w:val="0"/>
                <w:highlight w:val="none"/>
                <w:lang w:val="en-US" w:eastAsia="zh-CN"/>
              </w:rPr>
              <w:t>锂渣</w:t>
            </w:r>
            <w:r>
              <w:rPr>
                <w:rFonts w:hint="default"/>
                <w:caps w:val="0"/>
                <w:color w:val="auto"/>
                <w:spacing w:val="0"/>
                <w:position w:val="0"/>
                <w:highlight w:val="none"/>
                <w:lang w:val="en-US" w:eastAsia="zh-CN"/>
              </w:rPr>
              <w:t>技术规范（试行）》（DB36/T1968-2024）表1改性</w:t>
            </w:r>
            <w:r>
              <w:rPr>
                <w:rFonts w:hint="eastAsia"/>
                <w:caps w:val="0"/>
                <w:color w:val="auto"/>
                <w:spacing w:val="0"/>
                <w:position w:val="0"/>
                <w:highlight w:val="none"/>
                <w:lang w:val="en-US" w:eastAsia="zh-CN"/>
              </w:rPr>
              <w:t>锂渣</w:t>
            </w:r>
            <w:r>
              <w:rPr>
                <w:rFonts w:hint="default"/>
                <w:caps w:val="0"/>
                <w:color w:val="auto"/>
                <w:spacing w:val="0"/>
                <w:position w:val="0"/>
                <w:highlight w:val="none"/>
                <w:lang w:val="en-US" w:eastAsia="zh-CN"/>
              </w:rPr>
              <w:t>浸出液污染物浓度限值要求</w:t>
            </w:r>
            <w:r>
              <w:rPr>
                <w:rFonts w:hint="eastAsia"/>
                <w:caps w:val="0"/>
                <w:color w:val="auto"/>
                <w:spacing w:val="0"/>
                <w:position w:val="0"/>
                <w:highlight w:val="none"/>
                <w:lang w:val="en-US" w:eastAsia="zh-CN"/>
              </w:rPr>
              <w:t>，否则不得使用于该项目。</w:t>
            </w:r>
          </w:p>
          <w:p w14:paraId="46A1189A">
            <w:pPr>
              <w:pStyle w:val="74"/>
              <w:keepNext w:val="0"/>
              <w:keepLines w:val="0"/>
              <w:suppressLineNumbers w:val="0"/>
              <w:bidi w:val="0"/>
              <w:spacing w:before="0" w:beforeAutospacing="0" w:after="0" w:afterAutospacing="0"/>
              <w:ind w:left="0" w:right="0"/>
              <w:rPr>
                <w:rFonts w:hint="eastAsia" w:ascii="Times New Roman" w:hAnsi="Times New Roman" w:eastAsia="宋体" w:cs="Times New Roman"/>
                <w:caps w:val="0"/>
                <w:color w:val="auto"/>
                <w:spacing w:val="0"/>
                <w:position w:val="0"/>
                <w:szCs w:val="24"/>
                <w:highlight w:val="none"/>
                <w:lang w:val="en-US" w:eastAsia="zh-CN"/>
              </w:rPr>
            </w:pPr>
            <w:r>
              <w:rPr>
                <w:rFonts w:hint="eastAsia"/>
                <w:caps w:val="0"/>
                <w:color w:val="auto"/>
                <w:spacing w:val="0"/>
                <w:position w:val="0"/>
                <w:highlight w:val="none"/>
                <w:lang w:val="en-US" w:eastAsia="zh-CN"/>
              </w:rPr>
              <w:t>根据核工业二七0研究所对“</w:t>
            </w:r>
            <w:r>
              <w:rPr>
                <w:rFonts w:hint="default"/>
                <w:caps w:val="0"/>
                <w:color w:val="auto"/>
                <w:spacing w:val="0"/>
                <w:position w:val="0"/>
                <w:highlight w:val="none"/>
                <w:lang w:val="en-US" w:eastAsia="zh-CN"/>
              </w:rPr>
              <w:t>研硕科技锂冶炼剩余物（水洗渣）</w:t>
            </w:r>
            <w:r>
              <w:rPr>
                <w:rFonts w:hint="eastAsia"/>
                <w:caps w:val="0"/>
                <w:color w:val="auto"/>
                <w:spacing w:val="0"/>
                <w:position w:val="0"/>
                <w:highlight w:val="none"/>
                <w:lang w:val="en-US" w:eastAsia="zh-CN"/>
              </w:rPr>
              <w:t>”的检测报告（见附件10），其检测结果如下表。</w:t>
            </w:r>
          </w:p>
          <w:p w14:paraId="78F491DD">
            <w:pPr>
              <w:pStyle w:val="75"/>
              <w:keepNext w:val="0"/>
              <w:keepLines w:val="0"/>
              <w:numPr>
                <w:ilvl w:val="0"/>
                <w:numId w:val="4"/>
              </w:numPr>
              <w:suppressLineNumbers w:val="0"/>
              <w:tabs>
                <w:tab w:val="clear" w:pos="420"/>
              </w:tabs>
              <w:bidi w:val="0"/>
              <w:spacing w:before="0" w:beforeAutospacing="0" w:after="0" w:afterAutospacing="0"/>
              <w:ind w:left="0" w:leftChars="0" w:right="0" w:firstLine="420" w:firstLineChars="0"/>
              <w:rPr>
                <w:rFonts w:hint="eastAsia" w:ascii="Times New Roman" w:hAnsi="Times New Roman" w:eastAsia="宋体" w:cs="Times New Roman"/>
                <w:caps w:val="0"/>
                <w:color w:val="auto"/>
                <w:spacing w:val="0"/>
                <w:position w:val="0"/>
                <w:highlight w:val="none"/>
                <w:lang w:val="en-US" w:eastAsia="zh-CN"/>
              </w:rPr>
            </w:pPr>
            <w:r>
              <w:rPr>
                <w:rFonts w:hint="default"/>
                <w:caps w:val="0"/>
                <w:color w:val="auto"/>
                <w:spacing w:val="0"/>
                <w:position w:val="0"/>
                <w:highlight w:val="none"/>
                <w:lang w:val="en-US" w:eastAsia="zh-CN"/>
              </w:rPr>
              <w:t>研硕科技锂冶炼剩余物（水洗渣）</w:t>
            </w:r>
            <w:r>
              <w:rPr>
                <w:rFonts w:hint="eastAsia"/>
                <w:caps w:val="0"/>
                <w:color w:val="auto"/>
                <w:spacing w:val="0"/>
                <w:position w:val="0"/>
                <w:highlight w:val="none"/>
                <w:lang w:val="en-US" w:eastAsia="zh-CN"/>
              </w:rPr>
              <w:t>检测结果达标性分析</w:t>
            </w:r>
          </w:p>
          <w:tbl>
            <w:tblPr>
              <w:tblStyle w:val="23"/>
              <w:tblW w:w="498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2"/>
              <w:gridCol w:w="2049"/>
              <w:gridCol w:w="1107"/>
              <w:gridCol w:w="2618"/>
              <w:gridCol w:w="1268"/>
            </w:tblGrid>
            <w:tr w14:paraId="12B7A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23" w:type="pct"/>
                  <w:tcBorders>
                    <w:left w:val="nil"/>
                  </w:tcBorders>
                  <w:noWrap w:val="0"/>
                  <w:vAlign w:val="center"/>
                </w:tcPr>
                <w:p w14:paraId="461BCCE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序号</w:t>
                  </w:r>
                </w:p>
              </w:tc>
              <w:tc>
                <w:tcPr>
                  <w:tcW w:w="1273" w:type="pct"/>
                  <w:noWrap w:val="0"/>
                  <w:vAlign w:val="center"/>
                </w:tcPr>
                <w:p w14:paraId="0F2B60B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项目</w:t>
                  </w:r>
                </w:p>
              </w:tc>
              <w:tc>
                <w:tcPr>
                  <w:tcW w:w="688" w:type="pct"/>
                  <w:tcBorders>
                    <w:right w:val="nil"/>
                  </w:tcBorders>
                  <w:noWrap w:val="0"/>
                  <w:vAlign w:val="center"/>
                </w:tcPr>
                <w:p w14:paraId="41A0DCF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检测结果</w:t>
                  </w:r>
                </w:p>
              </w:tc>
              <w:tc>
                <w:tcPr>
                  <w:tcW w:w="1626" w:type="pct"/>
                  <w:tcBorders>
                    <w:right w:val="nil"/>
                  </w:tcBorders>
                  <w:noWrap w:val="0"/>
                  <w:vAlign w:val="center"/>
                </w:tcPr>
                <w:p w14:paraId="60F4022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DB36/T1968-2024</w:t>
                  </w:r>
                  <w:r>
                    <w:rPr>
                      <w:rFonts w:hint="eastAsia"/>
                      <w:caps w:val="0"/>
                      <w:color w:val="auto"/>
                      <w:spacing w:val="0"/>
                      <w:position w:val="0"/>
                      <w:highlight w:val="none"/>
                      <w:lang w:val="en-US" w:eastAsia="zh-CN"/>
                    </w:rPr>
                    <w:t>标准限值</w:t>
                  </w:r>
                </w:p>
              </w:tc>
              <w:tc>
                <w:tcPr>
                  <w:tcW w:w="788" w:type="pct"/>
                  <w:tcBorders>
                    <w:right w:val="nil"/>
                  </w:tcBorders>
                  <w:noWrap w:val="0"/>
                  <w:vAlign w:val="center"/>
                </w:tcPr>
                <w:p w14:paraId="2A38D01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是否达标</w:t>
                  </w:r>
                </w:p>
              </w:tc>
            </w:tr>
            <w:tr w14:paraId="45A03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23" w:type="pct"/>
                  <w:tcBorders>
                    <w:left w:val="nil"/>
                  </w:tcBorders>
                  <w:noWrap w:val="0"/>
                  <w:vAlign w:val="center"/>
                </w:tcPr>
                <w:p w14:paraId="31318A1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1</w:t>
                  </w:r>
                </w:p>
              </w:tc>
              <w:tc>
                <w:tcPr>
                  <w:tcW w:w="1273" w:type="pct"/>
                  <w:noWrap w:val="0"/>
                  <w:vAlign w:val="center"/>
                </w:tcPr>
                <w:p w14:paraId="07C5388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pH</w:t>
                  </w:r>
                </w:p>
              </w:tc>
              <w:tc>
                <w:tcPr>
                  <w:tcW w:w="688" w:type="pct"/>
                  <w:tcBorders>
                    <w:right w:val="nil"/>
                  </w:tcBorders>
                  <w:noWrap w:val="0"/>
                  <w:vAlign w:val="center"/>
                </w:tcPr>
                <w:p w14:paraId="3AB4D3E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7.37~7.82</w:t>
                  </w:r>
                </w:p>
              </w:tc>
              <w:tc>
                <w:tcPr>
                  <w:tcW w:w="1626" w:type="pct"/>
                  <w:tcBorders>
                    <w:right w:val="nil"/>
                  </w:tcBorders>
                  <w:noWrap w:val="0"/>
                  <w:vAlign w:val="center"/>
                </w:tcPr>
                <w:p w14:paraId="073EB57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6~9</w:t>
                  </w:r>
                </w:p>
              </w:tc>
              <w:tc>
                <w:tcPr>
                  <w:tcW w:w="788" w:type="pct"/>
                  <w:tcBorders>
                    <w:right w:val="nil"/>
                  </w:tcBorders>
                  <w:noWrap w:val="0"/>
                  <w:vAlign w:val="center"/>
                </w:tcPr>
                <w:p w14:paraId="08E2477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达标</w:t>
                  </w:r>
                </w:p>
              </w:tc>
            </w:tr>
            <w:tr w14:paraId="2488D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23" w:type="pct"/>
                  <w:tcBorders>
                    <w:left w:val="nil"/>
                  </w:tcBorders>
                  <w:noWrap w:val="0"/>
                  <w:vAlign w:val="center"/>
                </w:tcPr>
                <w:p w14:paraId="5E3B69D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2</w:t>
                  </w:r>
                </w:p>
              </w:tc>
              <w:tc>
                <w:tcPr>
                  <w:tcW w:w="1273" w:type="pct"/>
                  <w:noWrap w:val="0"/>
                  <w:vAlign w:val="center"/>
                </w:tcPr>
                <w:p w14:paraId="6C75706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总镍，mg/L</w:t>
                  </w:r>
                </w:p>
              </w:tc>
              <w:tc>
                <w:tcPr>
                  <w:tcW w:w="688" w:type="pct"/>
                  <w:tcBorders>
                    <w:right w:val="nil"/>
                  </w:tcBorders>
                  <w:noWrap w:val="0"/>
                  <w:vAlign w:val="center"/>
                </w:tcPr>
                <w:p w14:paraId="38ED910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＜0.0038</w:t>
                  </w:r>
                </w:p>
              </w:tc>
              <w:tc>
                <w:tcPr>
                  <w:tcW w:w="1626" w:type="pct"/>
                  <w:tcBorders>
                    <w:right w:val="nil"/>
                  </w:tcBorders>
                  <w:noWrap w:val="0"/>
                  <w:vAlign w:val="center"/>
                </w:tcPr>
                <w:p w14:paraId="61CA9BB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w:t>
                  </w:r>
                  <w:r>
                    <w:rPr>
                      <w:rFonts w:hint="default"/>
                      <w:caps w:val="0"/>
                      <w:color w:val="auto"/>
                      <w:spacing w:val="0"/>
                      <w:position w:val="0"/>
                      <w:highlight w:val="none"/>
                      <w:lang w:val="en-US" w:eastAsia="zh-CN"/>
                    </w:rPr>
                    <w:t>1.0</w:t>
                  </w:r>
                </w:p>
              </w:tc>
              <w:tc>
                <w:tcPr>
                  <w:tcW w:w="788" w:type="pct"/>
                  <w:tcBorders>
                    <w:right w:val="nil"/>
                  </w:tcBorders>
                  <w:noWrap w:val="0"/>
                  <w:vAlign w:val="center"/>
                </w:tcPr>
                <w:p w14:paraId="764C924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达标</w:t>
                  </w:r>
                </w:p>
              </w:tc>
            </w:tr>
            <w:tr w14:paraId="0CDF6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23" w:type="pct"/>
                  <w:tcBorders>
                    <w:left w:val="nil"/>
                  </w:tcBorders>
                  <w:noWrap w:val="0"/>
                  <w:vAlign w:val="center"/>
                </w:tcPr>
                <w:p w14:paraId="136007F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3</w:t>
                  </w:r>
                </w:p>
              </w:tc>
              <w:tc>
                <w:tcPr>
                  <w:tcW w:w="1273" w:type="pct"/>
                  <w:noWrap w:val="0"/>
                  <w:vAlign w:val="center"/>
                </w:tcPr>
                <w:p w14:paraId="42E06EB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总铜，mg/L</w:t>
                  </w:r>
                </w:p>
              </w:tc>
              <w:tc>
                <w:tcPr>
                  <w:tcW w:w="688" w:type="pct"/>
                  <w:tcBorders>
                    <w:right w:val="nil"/>
                  </w:tcBorders>
                  <w:noWrap w:val="0"/>
                  <w:vAlign w:val="center"/>
                </w:tcPr>
                <w:p w14:paraId="1D8A535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0.0072</w:t>
                  </w:r>
                </w:p>
              </w:tc>
              <w:tc>
                <w:tcPr>
                  <w:tcW w:w="1626" w:type="pct"/>
                  <w:tcBorders>
                    <w:right w:val="nil"/>
                  </w:tcBorders>
                  <w:noWrap w:val="0"/>
                  <w:vAlign w:val="center"/>
                </w:tcPr>
                <w:p w14:paraId="6C56D8F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w:t>
                  </w:r>
                  <w:r>
                    <w:rPr>
                      <w:rFonts w:hint="default"/>
                      <w:caps w:val="0"/>
                      <w:color w:val="auto"/>
                      <w:spacing w:val="0"/>
                      <w:position w:val="0"/>
                      <w:highlight w:val="none"/>
                      <w:lang w:val="en-US" w:eastAsia="zh-CN"/>
                    </w:rPr>
                    <w:t>0.5</w:t>
                  </w:r>
                </w:p>
              </w:tc>
              <w:tc>
                <w:tcPr>
                  <w:tcW w:w="788" w:type="pct"/>
                  <w:tcBorders>
                    <w:right w:val="nil"/>
                  </w:tcBorders>
                  <w:noWrap w:val="0"/>
                  <w:vAlign w:val="center"/>
                </w:tcPr>
                <w:p w14:paraId="306067A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达标</w:t>
                  </w:r>
                </w:p>
              </w:tc>
            </w:tr>
            <w:tr w14:paraId="24732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23" w:type="pct"/>
                  <w:tcBorders>
                    <w:left w:val="nil"/>
                  </w:tcBorders>
                  <w:noWrap w:val="0"/>
                  <w:vAlign w:val="center"/>
                </w:tcPr>
                <w:p w14:paraId="6F6D731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4</w:t>
                  </w:r>
                </w:p>
              </w:tc>
              <w:tc>
                <w:tcPr>
                  <w:tcW w:w="1273" w:type="pct"/>
                  <w:noWrap w:val="0"/>
                  <w:vAlign w:val="center"/>
                </w:tcPr>
                <w:p w14:paraId="4478AAB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总锌，mg/L</w:t>
                  </w:r>
                </w:p>
              </w:tc>
              <w:tc>
                <w:tcPr>
                  <w:tcW w:w="688" w:type="pct"/>
                  <w:tcBorders>
                    <w:right w:val="nil"/>
                  </w:tcBorders>
                  <w:noWrap w:val="0"/>
                  <w:vAlign w:val="center"/>
                </w:tcPr>
                <w:p w14:paraId="35B2E5B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＜0.0064</w:t>
                  </w:r>
                </w:p>
              </w:tc>
              <w:tc>
                <w:tcPr>
                  <w:tcW w:w="1626" w:type="pct"/>
                  <w:tcBorders>
                    <w:right w:val="nil"/>
                  </w:tcBorders>
                  <w:noWrap w:val="0"/>
                  <w:vAlign w:val="center"/>
                </w:tcPr>
                <w:p w14:paraId="6405F5B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w:t>
                  </w:r>
                  <w:r>
                    <w:rPr>
                      <w:rFonts w:hint="default"/>
                      <w:caps w:val="0"/>
                      <w:color w:val="auto"/>
                      <w:spacing w:val="0"/>
                      <w:position w:val="0"/>
                      <w:highlight w:val="none"/>
                      <w:lang w:val="en-US" w:eastAsia="zh-CN"/>
                    </w:rPr>
                    <w:t>2.0</w:t>
                  </w:r>
                </w:p>
              </w:tc>
              <w:tc>
                <w:tcPr>
                  <w:tcW w:w="788" w:type="pct"/>
                  <w:tcBorders>
                    <w:right w:val="nil"/>
                  </w:tcBorders>
                  <w:noWrap w:val="0"/>
                  <w:vAlign w:val="center"/>
                </w:tcPr>
                <w:p w14:paraId="62FCF9F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达标</w:t>
                  </w:r>
                </w:p>
              </w:tc>
            </w:tr>
            <w:tr w14:paraId="2D348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23" w:type="pct"/>
                  <w:tcBorders>
                    <w:left w:val="nil"/>
                  </w:tcBorders>
                  <w:noWrap w:val="0"/>
                  <w:vAlign w:val="center"/>
                </w:tcPr>
                <w:p w14:paraId="6219C14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5</w:t>
                  </w:r>
                </w:p>
              </w:tc>
              <w:tc>
                <w:tcPr>
                  <w:tcW w:w="1273" w:type="pct"/>
                  <w:noWrap w:val="0"/>
                  <w:vAlign w:val="center"/>
                </w:tcPr>
                <w:p w14:paraId="0DF467F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总镉，mg/L</w:t>
                  </w:r>
                </w:p>
              </w:tc>
              <w:tc>
                <w:tcPr>
                  <w:tcW w:w="688" w:type="pct"/>
                  <w:tcBorders>
                    <w:right w:val="nil"/>
                  </w:tcBorders>
                  <w:noWrap w:val="0"/>
                  <w:vAlign w:val="center"/>
                </w:tcPr>
                <w:p w14:paraId="52AA52C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＜0.0012</w:t>
                  </w:r>
                </w:p>
              </w:tc>
              <w:tc>
                <w:tcPr>
                  <w:tcW w:w="1626" w:type="pct"/>
                  <w:tcBorders>
                    <w:right w:val="nil"/>
                  </w:tcBorders>
                  <w:noWrap w:val="0"/>
                  <w:vAlign w:val="center"/>
                </w:tcPr>
                <w:p w14:paraId="0023486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w:t>
                  </w:r>
                  <w:r>
                    <w:rPr>
                      <w:rFonts w:hint="default"/>
                      <w:caps w:val="0"/>
                      <w:color w:val="auto"/>
                      <w:spacing w:val="0"/>
                      <w:position w:val="0"/>
                      <w:highlight w:val="none"/>
                      <w:lang w:val="en-US" w:eastAsia="zh-CN"/>
                    </w:rPr>
                    <w:t>0.1</w:t>
                  </w:r>
                </w:p>
              </w:tc>
              <w:tc>
                <w:tcPr>
                  <w:tcW w:w="788" w:type="pct"/>
                  <w:tcBorders>
                    <w:right w:val="nil"/>
                  </w:tcBorders>
                  <w:noWrap w:val="0"/>
                  <w:vAlign w:val="center"/>
                </w:tcPr>
                <w:p w14:paraId="63D781D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达标</w:t>
                  </w:r>
                </w:p>
              </w:tc>
            </w:tr>
            <w:tr w14:paraId="049F0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23" w:type="pct"/>
                  <w:tcBorders>
                    <w:left w:val="nil"/>
                  </w:tcBorders>
                  <w:noWrap w:val="0"/>
                  <w:vAlign w:val="center"/>
                </w:tcPr>
                <w:p w14:paraId="4AEA57B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6</w:t>
                  </w:r>
                </w:p>
              </w:tc>
              <w:tc>
                <w:tcPr>
                  <w:tcW w:w="1273" w:type="pct"/>
                  <w:noWrap w:val="0"/>
                  <w:vAlign w:val="center"/>
                </w:tcPr>
                <w:p w14:paraId="59096F9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总铅，mg/L</w:t>
                  </w:r>
                </w:p>
              </w:tc>
              <w:tc>
                <w:tcPr>
                  <w:tcW w:w="688" w:type="pct"/>
                  <w:tcBorders>
                    <w:right w:val="nil"/>
                  </w:tcBorders>
                  <w:noWrap w:val="0"/>
                  <w:vAlign w:val="center"/>
                </w:tcPr>
                <w:p w14:paraId="60BD0F9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＜0.0042</w:t>
                  </w:r>
                </w:p>
              </w:tc>
              <w:tc>
                <w:tcPr>
                  <w:tcW w:w="1626" w:type="pct"/>
                  <w:tcBorders>
                    <w:right w:val="nil"/>
                  </w:tcBorders>
                  <w:noWrap w:val="0"/>
                  <w:vAlign w:val="center"/>
                </w:tcPr>
                <w:p w14:paraId="6A9D539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w:t>
                  </w:r>
                  <w:r>
                    <w:rPr>
                      <w:rFonts w:hint="default"/>
                      <w:caps w:val="0"/>
                      <w:color w:val="auto"/>
                      <w:spacing w:val="0"/>
                      <w:position w:val="0"/>
                      <w:highlight w:val="none"/>
                      <w:lang w:val="en-US" w:eastAsia="zh-CN"/>
                    </w:rPr>
                    <w:t>1.0</w:t>
                  </w:r>
                </w:p>
              </w:tc>
              <w:tc>
                <w:tcPr>
                  <w:tcW w:w="788" w:type="pct"/>
                  <w:tcBorders>
                    <w:right w:val="nil"/>
                  </w:tcBorders>
                  <w:noWrap w:val="0"/>
                  <w:vAlign w:val="center"/>
                </w:tcPr>
                <w:p w14:paraId="3CCF211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达标</w:t>
                  </w:r>
                </w:p>
              </w:tc>
            </w:tr>
            <w:tr w14:paraId="14248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23" w:type="pct"/>
                  <w:tcBorders>
                    <w:left w:val="nil"/>
                  </w:tcBorders>
                  <w:noWrap w:val="0"/>
                  <w:vAlign w:val="center"/>
                </w:tcPr>
                <w:p w14:paraId="2272DD4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7</w:t>
                  </w:r>
                </w:p>
              </w:tc>
              <w:tc>
                <w:tcPr>
                  <w:tcW w:w="1273" w:type="pct"/>
                  <w:noWrap w:val="0"/>
                  <w:vAlign w:val="center"/>
                </w:tcPr>
                <w:p w14:paraId="2497E44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总铬，mg/L</w:t>
                  </w:r>
                </w:p>
              </w:tc>
              <w:tc>
                <w:tcPr>
                  <w:tcW w:w="688" w:type="pct"/>
                  <w:tcBorders>
                    <w:right w:val="nil"/>
                  </w:tcBorders>
                  <w:noWrap w:val="0"/>
                  <w:vAlign w:val="center"/>
                </w:tcPr>
                <w:p w14:paraId="07258F0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0.0875</w:t>
                  </w:r>
                </w:p>
              </w:tc>
              <w:tc>
                <w:tcPr>
                  <w:tcW w:w="1626" w:type="pct"/>
                  <w:tcBorders>
                    <w:right w:val="nil"/>
                  </w:tcBorders>
                  <w:noWrap w:val="0"/>
                  <w:vAlign w:val="center"/>
                </w:tcPr>
                <w:p w14:paraId="3B38433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w:t>
                  </w:r>
                  <w:r>
                    <w:rPr>
                      <w:rFonts w:hint="default"/>
                      <w:caps w:val="0"/>
                      <w:color w:val="auto"/>
                      <w:spacing w:val="0"/>
                      <w:position w:val="0"/>
                      <w:highlight w:val="none"/>
                      <w:lang w:val="en-US" w:eastAsia="zh-CN"/>
                    </w:rPr>
                    <w:t>1.5</w:t>
                  </w:r>
                </w:p>
              </w:tc>
              <w:tc>
                <w:tcPr>
                  <w:tcW w:w="788" w:type="pct"/>
                  <w:tcBorders>
                    <w:right w:val="nil"/>
                  </w:tcBorders>
                  <w:noWrap w:val="0"/>
                  <w:vAlign w:val="center"/>
                </w:tcPr>
                <w:p w14:paraId="470ADA6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达标</w:t>
                  </w:r>
                </w:p>
              </w:tc>
            </w:tr>
            <w:tr w14:paraId="7E5B2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23" w:type="pct"/>
                  <w:tcBorders>
                    <w:left w:val="nil"/>
                  </w:tcBorders>
                  <w:noWrap w:val="0"/>
                  <w:vAlign w:val="center"/>
                </w:tcPr>
                <w:p w14:paraId="1412E27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8</w:t>
                  </w:r>
                </w:p>
              </w:tc>
              <w:tc>
                <w:tcPr>
                  <w:tcW w:w="1273" w:type="pct"/>
                  <w:noWrap w:val="0"/>
                  <w:vAlign w:val="center"/>
                </w:tcPr>
                <w:p w14:paraId="1259C5A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总锰，mg/L</w:t>
                  </w:r>
                </w:p>
              </w:tc>
              <w:tc>
                <w:tcPr>
                  <w:tcW w:w="688" w:type="pct"/>
                  <w:tcBorders>
                    <w:right w:val="nil"/>
                  </w:tcBorders>
                  <w:noWrap w:val="0"/>
                  <w:vAlign w:val="center"/>
                </w:tcPr>
                <w:p w14:paraId="381AA9B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＜0.0036</w:t>
                  </w:r>
                </w:p>
              </w:tc>
              <w:tc>
                <w:tcPr>
                  <w:tcW w:w="1626" w:type="pct"/>
                  <w:tcBorders>
                    <w:right w:val="nil"/>
                  </w:tcBorders>
                  <w:noWrap w:val="0"/>
                  <w:vAlign w:val="center"/>
                </w:tcPr>
                <w:p w14:paraId="1E7EB91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rPr>
                    <w:t>≤</w:t>
                  </w:r>
                  <w:r>
                    <w:rPr>
                      <w:rFonts w:hint="default"/>
                      <w:caps w:val="0"/>
                      <w:color w:val="auto"/>
                      <w:spacing w:val="0"/>
                      <w:position w:val="0"/>
                      <w:highlight w:val="none"/>
                      <w:lang w:val="en-US" w:eastAsia="zh-CN"/>
                    </w:rPr>
                    <w:t>2.0</w:t>
                  </w:r>
                </w:p>
              </w:tc>
              <w:tc>
                <w:tcPr>
                  <w:tcW w:w="788" w:type="pct"/>
                  <w:tcBorders>
                    <w:right w:val="nil"/>
                  </w:tcBorders>
                  <w:noWrap w:val="0"/>
                  <w:vAlign w:val="center"/>
                </w:tcPr>
                <w:p w14:paraId="1FBFBF05">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达标</w:t>
                  </w:r>
                </w:p>
              </w:tc>
            </w:tr>
            <w:tr w14:paraId="3F009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23" w:type="pct"/>
                  <w:tcBorders>
                    <w:left w:val="nil"/>
                  </w:tcBorders>
                  <w:noWrap w:val="0"/>
                  <w:vAlign w:val="center"/>
                </w:tcPr>
                <w:p w14:paraId="35FB559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9</w:t>
                  </w:r>
                </w:p>
              </w:tc>
              <w:tc>
                <w:tcPr>
                  <w:tcW w:w="1273" w:type="pct"/>
                  <w:noWrap w:val="0"/>
                  <w:vAlign w:val="center"/>
                </w:tcPr>
                <w:p w14:paraId="41232AA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总铍，mg/L</w:t>
                  </w:r>
                </w:p>
              </w:tc>
              <w:tc>
                <w:tcPr>
                  <w:tcW w:w="688" w:type="pct"/>
                  <w:tcBorders>
                    <w:right w:val="nil"/>
                  </w:tcBorders>
                  <w:noWrap w:val="0"/>
                  <w:vAlign w:val="center"/>
                </w:tcPr>
                <w:p w14:paraId="4F4480C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＜0.0007</w:t>
                  </w:r>
                </w:p>
              </w:tc>
              <w:tc>
                <w:tcPr>
                  <w:tcW w:w="1626" w:type="pct"/>
                  <w:tcBorders>
                    <w:right w:val="nil"/>
                  </w:tcBorders>
                  <w:noWrap w:val="0"/>
                  <w:vAlign w:val="center"/>
                </w:tcPr>
                <w:p w14:paraId="2A70618E">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default"/>
                      <w:caps w:val="0"/>
                      <w:color w:val="auto"/>
                      <w:spacing w:val="0"/>
                      <w:position w:val="0"/>
                      <w:highlight w:val="none"/>
                    </w:rPr>
                    <w:t>≤</w:t>
                  </w:r>
                  <w:r>
                    <w:rPr>
                      <w:rFonts w:hint="default"/>
                      <w:caps w:val="0"/>
                      <w:color w:val="auto"/>
                      <w:spacing w:val="0"/>
                      <w:position w:val="0"/>
                      <w:highlight w:val="none"/>
                      <w:lang w:val="en-US" w:eastAsia="zh-CN"/>
                    </w:rPr>
                    <w:t>0.005</w:t>
                  </w:r>
                </w:p>
              </w:tc>
              <w:tc>
                <w:tcPr>
                  <w:tcW w:w="788" w:type="pct"/>
                  <w:tcBorders>
                    <w:right w:val="nil"/>
                  </w:tcBorders>
                  <w:noWrap w:val="0"/>
                  <w:vAlign w:val="center"/>
                </w:tcPr>
                <w:p w14:paraId="07441F8C">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达标</w:t>
                  </w:r>
                </w:p>
              </w:tc>
            </w:tr>
            <w:tr w14:paraId="263B1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23" w:type="pct"/>
                  <w:tcBorders>
                    <w:left w:val="nil"/>
                  </w:tcBorders>
                  <w:noWrap w:val="0"/>
                  <w:vAlign w:val="center"/>
                </w:tcPr>
                <w:p w14:paraId="596D8C9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10</w:t>
                  </w:r>
                </w:p>
              </w:tc>
              <w:tc>
                <w:tcPr>
                  <w:tcW w:w="1273" w:type="pct"/>
                  <w:noWrap w:val="0"/>
                  <w:vAlign w:val="center"/>
                </w:tcPr>
                <w:p w14:paraId="72690FD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总铊，mg/L</w:t>
                  </w:r>
                </w:p>
              </w:tc>
              <w:tc>
                <w:tcPr>
                  <w:tcW w:w="688" w:type="pct"/>
                  <w:tcBorders>
                    <w:right w:val="nil"/>
                  </w:tcBorders>
                  <w:noWrap w:val="0"/>
                  <w:vAlign w:val="center"/>
                </w:tcPr>
                <w:p w14:paraId="4123CE7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0.0018</w:t>
                  </w:r>
                </w:p>
              </w:tc>
              <w:tc>
                <w:tcPr>
                  <w:tcW w:w="1626" w:type="pct"/>
                  <w:tcBorders>
                    <w:right w:val="nil"/>
                  </w:tcBorders>
                  <w:noWrap w:val="0"/>
                  <w:vAlign w:val="center"/>
                </w:tcPr>
                <w:p w14:paraId="5E9469C1">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default"/>
                      <w:caps w:val="0"/>
                      <w:color w:val="auto"/>
                      <w:spacing w:val="0"/>
                      <w:position w:val="0"/>
                      <w:highlight w:val="none"/>
                    </w:rPr>
                    <w:t>≤</w:t>
                  </w:r>
                  <w:r>
                    <w:rPr>
                      <w:rFonts w:hint="default"/>
                      <w:caps w:val="0"/>
                      <w:color w:val="auto"/>
                      <w:spacing w:val="0"/>
                      <w:position w:val="0"/>
                      <w:highlight w:val="none"/>
                      <w:lang w:val="en-US" w:eastAsia="zh-CN"/>
                    </w:rPr>
                    <w:t>0.005</w:t>
                  </w:r>
                </w:p>
              </w:tc>
              <w:tc>
                <w:tcPr>
                  <w:tcW w:w="788" w:type="pct"/>
                  <w:tcBorders>
                    <w:right w:val="nil"/>
                  </w:tcBorders>
                  <w:noWrap w:val="0"/>
                  <w:vAlign w:val="center"/>
                </w:tcPr>
                <w:p w14:paraId="256CB098">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达标</w:t>
                  </w:r>
                </w:p>
              </w:tc>
            </w:tr>
            <w:tr w14:paraId="3789B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23" w:type="pct"/>
                  <w:tcBorders>
                    <w:left w:val="nil"/>
                  </w:tcBorders>
                  <w:noWrap w:val="0"/>
                  <w:vAlign w:val="center"/>
                </w:tcPr>
                <w:p w14:paraId="38C0D8E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11</w:t>
                  </w:r>
                </w:p>
              </w:tc>
              <w:tc>
                <w:tcPr>
                  <w:tcW w:w="1273" w:type="pct"/>
                  <w:noWrap w:val="0"/>
                  <w:vAlign w:val="center"/>
                </w:tcPr>
                <w:p w14:paraId="19FC786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总汞，mg/L</w:t>
                  </w:r>
                </w:p>
              </w:tc>
              <w:tc>
                <w:tcPr>
                  <w:tcW w:w="688" w:type="pct"/>
                  <w:tcBorders>
                    <w:right w:val="nil"/>
                  </w:tcBorders>
                  <w:noWrap w:val="0"/>
                  <w:vAlign w:val="center"/>
                </w:tcPr>
                <w:p w14:paraId="3585999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0.00020</w:t>
                  </w:r>
                </w:p>
              </w:tc>
              <w:tc>
                <w:tcPr>
                  <w:tcW w:w="1626" w:type="pct"/>
                  <w:tcBorders>
                    <w:right w:val="nil"/>
                  </w:tcBorders>
                  <w:noWrap w:val="0"/>
                  <w:vAlign w:val="center"/>
                </w:tcPr>
                <w:p w14:paraId="3EDA86C8">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default"/>
                      <w:caps w:val="0"/>
                      <w:color w:val="auto"/>
                      <w:spacing w:val="0"/>
                      <w:position w:val="0"/>
                      <w:highlight w:val="none"/>
                    </w:rPr>
                    <w:t>≤</w:t>
                  </w:r>
                  <w:r>
                    <w:rPr>
                      <w:rFonts w:hint="default"/>
                      <w:caps w:val="0"/>
                      <w:color w:val="auto"/>
                      <w:spacing w:val="0"/>
                      <w:position w:val="0"/>
                      <w:highlight w:val="none"/>
                      <w:lang w:val="en-US" w:eastAsia="zh-CN"/>
                    </w:rPr>
                    <w:t>0.05</w:t>
                  </w:r>
                </w:p>
              </w:tc>
              <w:tc>
                <w:tcPr>
                  <w:tcW w:w="788" w:type="pct"/>
                  <w:tcBorders>
                    <w:right w:val="nil"/>
                  </w:tcBorders>
                  <w:noWrap w:val="0"/>
                  <w:vAlign w:val="center"/>
                </w:tcPr>
                <w:p w14:paraId="28D036CB">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达标</w:t>
                  </w:r>
                </w:p>
              </w:tc>
            </w:tr>
            <w:tr w14:paraId="3FFD0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23" w:type="pct"/>
                  <w:tcBorders>
                    <w:left w:val="nil"/>
                  </w:tcBorders>
                  <w:noWrap w:val="0"/>
                  <w:vAlign w:val="center"/>
                </w:tcPr>
                <w:p w14:paraId="7CC9A28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12</w:t>
                  </w:r>
                </w:p>
              </w:tc>
              <w:tc>
                <w:tcPr>
                  <w:tcW w:w="1273" w:type="pct"/>
                  <w:noWrap w:val="0"/>
                  <w:vAlign w:val="center"/>
                </w:tcPr>
                <w:p w14:paraId="227AEC9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氟化物，mg/L</w:t>
                  </w:r>
                </w:p>
              </w:tc>
              <w:tc>
                <w:tcPr>
                  <w:tcW w:w="688" w:type="pct"/>
                  <w:tcBorders>
                    <w:right w:val="nil"/>
                  </w:tcBorders>
                  <w:noWrap w:val="0"/>
                  <w:vAlign w:val="center"/>
                </w:tcPr>
                <w:p w14:paraId="06CE700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1.94</w:t>
                  </w:r>
                </w:p>
              </w:tc>
              <w:tc>
                <w:tcPr>
                  <w:tcW w:w="1626" w:type="pct"/>
                  <w:tcBorders>
                    <w:right w:val="nil"/>
                  </w:tcBorders>
                  <w:noWrap w:val="0"/>
                  <w:vAlign w:val="center"/>
                </w:tcPr>
                <w:p w14:paraId="29346A21">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default"/>
                      <w:caps w:val="0"/>
                      <w:color w:val="auto"/>
                      <w:spacing w:val="0"/>
                      <w:position w:val="0"/>
                      <w:highlight w:val="none"/>
                    </w:rPr>
                    <w:t>≤</w:t>
                  </w:r>
                  <w:r>
                    <w:rPr>
                      <w:rFonts w:hint="default"/>
                      <w:caps w:val="0"/>
                      <w:color w:val="auto"/>
                      <w:spacing w:val="0"/>
                      <w:position w:val="0"/>
                      <w:highlight w:val="none"/>
                      <w:lang w:val="en-US" w:eastAsia="zh-CN"/>
                    </w:rPr>
                    <w:t>10</w:t>
                  </w:r>
                </w:p>
              </w:tc>
              <w:tc>
                <w:tcPr>
                  <w:tcW w:w="788" w:type="pct"/>
                  <w:tcBorders>
                    <w:right w:val="nil"/>
                  </w:tcBorders>
                  <w:noWrap w:val="0"/>
                  <w:vAlign w:val="center"/>
                </w:tcPr>
                <w:p w14:paraId="038F46F6">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达标</w:t>
                  </w:r>
                </w:p>
              </w:tc>
            </w:tr>
            <w:tr w14:paraId="37C33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23" w:type="pct"/>
                  <w:tcBorders>
                    <w:left w:val="nil"/>
                  </w:tcBorders>
                  <w:noWrap w:val="0"/>
                  <w:vAlign w:val="center"/>
                </w:tcPr>
                <w:p w14:paraId="223FD4A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13</w:t>
                  </w:r>
                </w:p>
              </w:tc>
              <w:tc>
                <w:tcPr>
                  <w:tcW w:w="1273" w:type="pct"/>
                  <w:noWrap w:val="0"/>
                  <w:vAlign w:val="center"/>
                </w:tcPr>
                <w:p w14:paraId="4F23E5E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水溶性盐（%）</w:t>
                  </w:r>
                </w:p>
              </w:tc>
              <w:tc>
                <w:tcPr>
                  <w:tcW w:w="688" w:type="pct"/>
                  <w:tcBorders>
                    <w:right w:val="nil"/>
                  </w:tcBorders>
                  <w:noWrap w:val="0"/>
                  <w:vAlign w:val="center"/>
                </w:tcPr>
                <w:p w14:paraId="61DA544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1.25</w:t>
                  </w:r>
                </w:p>
              </w:tc>
              <w:tc>
                <w:tcPr>
                  <w:tcW w:w="1626" w:type="pct"/>
                  <w:tcBorders>
                    <w:right w:val="nil"/>
                  </w:tcBorders>
                  <w:noWrap w:val="0"/>
                  <w:vAlign w:val="center"/>
                </w:tcPr>
                <w:p w14:paraId="49A9CC62">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5</w:t>
                  </w:r>
                </w:p>
              </w:tc>
              <w:tc>
                <w:tcPr>
                  <w:tcW w:w="788" w:type="pct"/>
                  <w:tcBorders>
                    <w:right w:val="nil"/>
                  </w:tcBorders>
                  <w:noWrap w:val="0"/>
                  <w:vAlign w:val="center"/>
                </w:tcPr>
                <w:p w14:paraId="1E085359">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达标</w:t>
                  </w:r>
                </w:p>
              </w:tc>
            </w:tr>
          </w:tbl>
          <w:p w14:paraId="1A0E3BAD">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kern w:val="0"/>
                <w:position w:val="0"/>
                <w:sz w:val="24"/>
                <w:szCs w:val="24"/>
                <w:highlight w:val="none"/>
                <w:lang w:val="en-US" w:eastAsia="zh-CN" w:bidi="ar"/>
              </w:rPr>
            </w:pPr>
            <w:r>
              <w:rPr>
                <w:rFonts w:hint="eastAsia"/>
                <w:caps w:val="0"/>
                <w:color w:val="auto"/>
                <w:spacing w:val="0"/>
                <w:position w:val="0"/>
                <w:highlight w:val="none"/>
                <w:lang w:val="en-US" w:eastAsia="zh-CN"/>
              </w:rPr>
              <w:t>从上表可知，本项目使用的</w:t>
            </w:r>
            <w:r>
              <w:rPr>
                <w:rFonts w:hint="default"/>
                <w:caps w:val="0"/>
                <w:color w:val="auto"/>
                <w:spacing w:val="0"/>
                <w:position w:val="0"/>
                <w:highlight w:val="none"/>
                <w:lang w:val="en-US" w:eastAsia="zh-CN"/>
              </w:rPr>
              <w:t>锂冶炼剩余物（水洗渣）</w:t>
            </w:r>
            <w:r>
              <w:rPr>
                <w:rFonts w:hint="eastAsia"/>
                <w:caps w:val="0"/>
                <w:color w:val="auto"/>
                <w:spacing w:val="0"/>
                <w:position w:val="0"/>
                <w:highlight w:val="none"/>
                <w:lang w:val="en-US" w:eastAsia="zh-CN"/>
              </w:rPr>
              <w:t>较为洁净。</w:t>
            </w:r>
          </w:p>
          <w:p w14:paraId="1B2EA526">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②过程控制。锂冶炼剩余物充当砂子添加至产品中，</w:t>
            </w:r>
            <w:r>
              <w:rPr>
                <w:rFonts w:hint="default" w:ascii="Times New Roman" w:hAnsi="Times New Roman" w:eastAsia="宋体" w:cs="Times New Roman"/>
                <w:caps w:val="0"/>
                <w:color w:val="auto"/>
                <w:spacing w:val="0"/>
                <w:kern w:val="0"/>
                <w:position w:val="0"/>
                <w:sz w:val="24"/>
                <w:szCs w:val="24"/>
                <w:lang w:val="en-US" w:eastAsia="zh-CN" w:bidi="ar"/>
              </w:rPr>
              <w:t>产品在生产过程中，一方面通过螯合剂与原料中的重金属形成稳定的螯合物，</w:t>
            </w:r>
            <w:r>
              <w:rPr>
                <w:rFonts w:hint="default"/>
                <w:caps w:val="0"/>
                <w:color w:val="auto"/>
                <w:spacing w:val="0"/>
                <w:position w:val="0"/>
                <w:highlight w:val="none"/>
                <w:lang w:val="en-US" w:eastAsia="zh-CN"/>
              </w:rPr>
              <w:t>根据</w:t>
            </w:r>
            <w:r>
              <w:rPr>
                <w:rFonts w:hint="eastAsia"/>
                <w:caps w:val="0"/>
                <w:color w:val="auto"/>
                <w:spacing w:val="0"/>
                <w:position w:val="0"/>
                <w:highlight w:val="none"/>
                <w:lang w:val="en-US" w:eastAsia="zh-CN"/>
              </w:rPr>
              <w:t>“</w:t>
            </w:r>
            <w:r>
              <w:rPr>
                <w:rFonts w:hint="default"/>
                <w:caps w:val="0"/>
                <w:color w:val="auto"/>
                <w:spacing w:val="0"/>
                <w:position w:val="0"/>
                <w:highlight w:val="none"/>
                <w:lang w:val="en-US" w:eastAsia="zh-CN"/>
              </w:rPr>
              <w:t>黄明夫,施麟芸,陈忠发.水泥基活化锂云母渣的硬化与盐析机理[J].非金属矿,2024,47(04):85-89.</w:t>
            </w:r>
            <w:r>
              <w:rPr>
                <w:rFonts w:hint="eastAsia"/>
                <w:caps w:val="0"/>
                <w:color w:val="auto"/>
                <w:spacing w:val="0"/>
                <w:position w:val="0"/>
                <w:highlight w:val="none"/>
                <w:lang w:val="en-US" w:eastAsia="zh-CN"/>
              </w:rPr>
              <w:t>”可知，</w:t>
            </w:r>
            <w:r>
              <w:rPr>
                <w:rFonts w:hint="default" w:ascii="Times New Roman" w:hAnsi="Times New Roman" w:eastAsia="宋体" w:cs="Times New Roman"/>
                <w:caps w:val="0"/>
                <w:color w:val="auto"/>
                <w:spacing w:val="0"/>
                <w:kern w:val="0"/>
                <w:position w:val="0"/>
                <w:sz w:val="24"/>
                <w:szCs w:val="24"/>
                <w:lang w:val="en-US" w:eastAsia="zh-CN" w:bidi="ar"/>
              </w:rPr>
              <w:t>使用水泥通过水化反应形成凝胶包裹重金属，通过以上方式可大大降低污染物的浸出率</w:t>
            </w:r>
            <w:r>
              <w:rPr>
                <w:rFonts w:hint="default" w:ascii="Times New Roman" w:hAnsi="Times New Roman" w:cs="Times New Roman"/>
                <w:caps w:val="0"/>
                <w:color w:val="auto"/>
                <w:spacing w:val="0"/>
                <w:kern w:val="0"/>
                <w:position w:val="0"/>
                <w:sz w:val="24"/>
                <w:szCs w:val="24"/>
                <w:lang w:val="en-US" w:eastAsia="zh-CN" w:bidi="ar"/>
              </w:rPr>
              <w:t>，同时使用抑碱剂</w:t>
            </w:r>
            <w:r>
              <w:rPr>
                <w:rFonts w:hint="default" w:ascii="Times New Roman" w:hAnsi="Times New Roman" w:cs="Times New Roman"/>
                <w:caps w:val="0"/>
                <w:color w:val="auto"/>
                <w:spacing w:val="0"/>
                <w:position w:val="0"/>
                <w:highlight w:val="none"/>
                <w:lang w:val="en-US" w:eastAsia="zh-CN"/>
              </w:rPr>
              <w:t>通过酸性组分（如磷酸根、硅酸根）或活性阴离子与碱性物质（如Na⁺、K⁺、OH⁻）发生中和反应、离子交换或形成稳定络合物，从而降低体系pH值或抑制碱-硅酸反应（ASR），并在在材料中形成致密保护层，阻断碱性离子迁移</w:t>
            </w:r>
            <w:r>
              <w:rPr>
                <w:rFonts w:hint="eastAsia" w:cs="Times New Roman"/>
                <w:caps w:val="0"/>
                <w:color w:val="auto"/>
                <w:spacing w:val="0"/>
                <w:position w:val="0"/>
                <w:highlight w:val="none"/>
                <w:lang w:val="en-US" w:eastAsia="zh-CN"/>
              </w:rPr>
              <w:t>，</w:t>
            </w:r>
            <w:r>
              <w:rPr>
                <w:rFonts w:hint="default"/>
                <w:caps w:val="0"/>
                <w:color w:val="auto"/>
                <w:spacing w:val="0"/>
                <w:position w:val="0"/>
                <w:highlight w:val="none"/>
                <w:lang w:val="en-US" w:eastAsia="zh-CN"/>
              </w:rPr>
              <w:t>可大大降低污染物的浸出率。</w:t>
            </w:r>
          </w:p>
          <w:p w14:paraId="143761DE">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kern w:val="0"/>
                <w:position w:val="0"/>
                <w:sz w:val="24"/>
                <w:szCs w:val="24"/>
                <w:highlight w:val="yellow"/>
                <w:lang w:val="en-US" w:eastAsia="zh-CN" w:bidi="ar"/>
              </w:rPr>
            </w:pPr>
            <w:r>
              <w:rPr>
                <w:rFonts w:hint="default"/>
                <w:caps w:val="0"/>
                <w:color w:val="auto"/>
                <w:spacing w:val="0"/>
                <w:position w:val="0"/>
                <w:highlight w:val="none"/>
                <w:lang w:val="en-US" w:eastAsia="zh-CN"/>
              </w:rPr>
              <w:t>③产品出厂检测。产品在出厂时需对物理性能和污染物指标进行检测，物理性能必须满足</w:t>
            </w:r>
            <w:r>
              <w:rPr>
                <w:rFonts w:hint="default"/>
                <w:caps w:val="0"/>
                <w:color w:val="auto"/>
                <w:spacing w:val="0"/>
                <w:position w:val="0"/>
                <w:highlight w:val="none"/>
              </w:rPr>
              <w:t>《混凝土实心砖》（GB/T21144-20</w:t>
            </w:r>
            <w:r>
              <w:rPr>
                <w:rFonts w:hint="eastAsia"/>
                <w:caps w:val="0"/>
                <w:color w:val="auto"/>
                <w:spacing w:val="0"/>
                <w:position w:val="0"/>
                <w:highlight w:val="none"/>
                <w:lang w:val="en-US" w:eastAsia="zh-CN"/>
              </w:rPr>
              <w:t>23</w:t>
            </w:r>
            <w:r>
              <w:rPr>
                <w:rFonts w:hint="default"/>
                <w:caps w:val="0"/>
                <w:color w:val="auto"/>
                <w:spacing w:val="0"/>
                <w:position w:val="0"/>
                <w:highlight w:val="none"/>
              </w:rPr>
              <w:t>）标准</w:t>
            </w:r>
            <w:r>
              <w:rPr>
                <w:rFonts w:hint="default"/>
                <w:caps w:val="0"/>
                <w:color w:val="auto"/>
                <w:spacing w:val="0"/>
                <w:position w:val="0"/>
                <w:highlight w:val="none"/>
                <w:lang w:val="en-US" w:eastAsia="zh-CN"/>
              </w:rPr>
              <w:t>，产品中各污染物必须满足《水泥窑协同处置固体废物技术规范》（GB/T30760-2024）限值要求。</w:t>
            </w:r>
          </w:p>
          <w:p w14:paraId="1BC1089D">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lang w:val="en-US" w:eastAsia="zh-CN"/>
              </w:rPr>
            </w:pPr>
            <w:r>
              <w:rPr>
                <w:rFonts w:hint="eastAsia"/>
                <w:b/>
                <w:bCs w:val="0"/>
                <w:caps w:val="0"/>
                <w:color w:val="auto"/>
                <w:spacing w:val="0"/>
                <w:position w:val="0"/>
                <w:highlight w:val="none"/>
                <w:lang w:val="en-US" w:eastAsia="zh-CN"/>
              </w:rPr>
              <w:t>4.4、产品的出厂要求</w:t>
            </w:r>
          </w:p>
          <w:p w14:paraId="51E5198F">
            <w:pPr>
              <w:keepNext w:val="0"/>
              <w:keepLines w:val="0"/>
              <w:widowControl/>
              <w:suppressLineNumbers w:val="0"/>
              <w:spacing w:before="0" w:beforeAutospacing="0" w:after="0" w:afterAutospacing="0"/>
              <w:ind w:left="0" w:right="0"/>
              <w:jc w:val="left"/>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（1）本环评要求建设单位检测产品，其各污染物、浸出毒性均满足本环评4.2提出的质量要求后方可出售产品，同一工艺，同一批次原辅料委外检测一次，若工艺、原辅料发生改变均需重新检测再外售；</w:t>
            </w:r>
          </w:p>
          <w:p w14:paraId="709E0A0B">
            <w:pPr>
              <w:keepNext w:val="0"/>
              <w:keepLines w:val="0"/>
              <w:widowControl/>
              <w:suppressLineNumbers w:val="0"/>
              <w:spacing w:before="0" w:beforeAutospacing="0" w:after="0" w:afterAutospacing="0"/>
              <w:ind w:left="0" w:right="0"/>
              <w:jc w:val="left"/>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（2）定期送检产品，若不满足标准不可出售；</w:t>
            </w:r>
          </w:p>
          <w:p w14:paraId="145D894A">
            <w:pPr>
              <w:keepNext w:val="0"/>
              <w:keepLines w:val="0"/>
              <w:widowControl/>
              <w:suppressLineNumbers w:val="0"/>
              <w:spacing w:before="0" w:beforeAutospacing="0" w:after="0" w:afterAutospacing="0"/>
              <w:ind w:left="0" w:right="0"/>
              <w:jc w:val="left"/>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（3）本环评要求建设单位对产品进行危废属性鉴定，鉴定不属于危废方可外售；</w:t>
            </w:r>
          </w:p>
          <w:p w14:paraId="479F8740">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aps w:val="0"/>
                <w:color w:val="auto"/>
                <w:spacing w:val="0"/>
                <w:kern w:val="0"/>
                <w:position w:val="0"/>
                <w:sz w:val="24"/>
                <w:szCs w:val="24"/>
                <w:highlight w:val="none"/>
                <w:lang w:val="en-US" w:eastAsia="zh-CN" w:bidi="ar"/>
              </w:rPr>
            </w:pPr>
            <w:r>
              <w:rPr>
                <w:rFonts w:hint="eastAsia"/>
                <w:caps w:val="0"/>
                <w:color w:val="auto"/>
                <w:spacing w:val="0"/>
                <w:position w:val="0"/>
                <w:highlight w:val="none"/>
                <w:lang w:val="en-US" w:eastAsia="zh-CN"/>
              </w:rPr>
              <w:t>（4）要求建设单位建立详细的产品出售台账，台账应涵盖产品产量、出售时间、单位、数量等信息，实现产品可追溯、可查询。台账应每日更新，及时、全面、准确地记录数据，不得随意涂改、损毁、更换。</w:t>
            </w:r>
          </w:p>
          <w:p w14:paraId="219ADE4E">
            <w:pPr>
              <w:pStyle w:val="74"/>
              <w:keepNext w:val="0"/>
              <w:keepLines w:val="0"/>
              <w:suppressLineNumbers w:val="0"/>
              <w:bidi w:val="0"/>
              <w:spacing w:before="0" w:beforeAutospacing="0" w:after="0" w:afterAutospacing="0"/>
              <w:ind w:left="0" w:right="0"/>
              <w:rPr>
                <w:rFonts w:hint="default" w:ascii="Times New Roman" w:hAnsi="Times New Roman" w:cs="Times New Roman"/>
                <w:b/>
                <w:bCs w:val="0"/>
                <w:caps w:val="0"/>
                <w:color w:val="auto"/>
                <w:spacing w:val="0"/>
                <w:position w:val="0"/>
                <w:highlight w:val="none"/>
              </w:rPr>
            </w:pPr>
            <w:r>
              <w:rPr>
                <w:rFonts w:hint="default" w:ascii="Times New Roman" w:hAnsi="Times New Roman" w:cs="Times New Roman"/>
                <w:b/>
                <w:bCs w:val="0"/>
                <w:caps w:val="0"/>
                <w:color w:val="auto"/>
                <w:spacing w:val="0"/>
                <w:position w:val="0"/>
                <w:highlight w:val="none"/>
                <w:lang w:val="en-US" w:eastAsia="zh-CN"/>
              </w:rPr>
              <w:t>5</w:t>
            </w:r>
            <w:r>
              <w:rPr>
                <w:rFonts w:hint="default" w:ascii="Times New Roman" w:hAnsi="Times New Roman" w:cs="Times New Roman"/>
                <w:b/>
                <w:bCs w:val="0"/>
                <w:caps w:val="0"/>
                <w:color w:val="auto"/>
                <w:spacing w:val="0"/>
                <w:position w:val="0"/>
                <w:highlight w:val="none"/>
              </w:rPr>
              <w:t>、项目主要生产设备</w:t>
            </w:r>
          </w:p>
          <w:p w14:paraId="5A8B52B2">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项目生产设备详见</w:t>
            </w:r>
            <w:r>
              <w:rPr>
                <w:rFonts w:hint="default" w:ascii="Times New Roman" w:hAnsi="Times New Roman" w:cs="Times New Roman"/>
                <w:caps w:val="0"/>
                <w:color w:val="auto"/>
                <w:spacing w:val="0"/>
                <w:position w:val="0"/>
                <w:highlight w:val="none"/>
                <w:lang w:val="en-US" w:eastAsia="zh-CN"/>
              </w:rPr>
              <w:t>下</w:t>
            </w:r>
            <w:r>
              <w:rPr>
                <w:rFonts w:hint="default" w:ascii="Times New Roman" w:hAnsi="Times New Roman" w:cs="Times New Roman"/>
                <w:caps w:val="0"/>
                <w:color w:val="auto"/>
                <w:spacing w:val="0"/>
                <w:position w:val="0"/>
                <w:highlight w:val="none"/>
              </w:rPr>
              <w:t>表。</w:t>
            </w:r>
          </w:p>
          <w:p w14:paraId="0E30DBEC">
            <w:pPr>
              <w:pStyle w:val="75"/>
              <w:keepNext w:val="0"/>
              <w:keepLines w:val="0"/>
              <w:numPr>
                <w:ilvl w:val="0"/>
                <w:numId w:val="4"/>
              </w:numPr>
              <w:suppressLineNumbers w:val="0"/>
              <w:bidi w:val="0"/>
              <w:spacing w:before="0" w:beforeAutospacing="0" w:after="0" w:afterAutospacing="0"/>
              <w:ind w:left="0" w:leftChars="0" w:right="0" w:firstLine="420" w:firstLineChars="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项目主要生产设备一览表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162"/>
              <w:gridCol w:w="2844"/>
              <w:gridCol w:w="1768"/>
              <w:gridCol w:w="988"/>
              <w:gridCol w:w="1318"/>
            </w:tblGrid>
            <w:tr w14:paraId="6E94B2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62" w:type="dxa"/>
                  <w:tcBorders>
                    <w:tl2br w:val="nil"/>
                    <w:tr2bl w:val="nil"/>
                  </w:tcBorders>
                  <w:shd w:val="clear" w:color="auto" w:fill="auto"/>
                  <w:noWrap/>
                  <w:vAlign w:val="center"/>
                </w:tcPr>
                <w:p w14:paraId="2AD96C91">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lang w:val="en-US" w:eastAsia="zh-CN"/>
                    </w:rPr>
                  </w:pPr>
                  <w:r>
                    <w:rPr>
                      <w:rFonts w:hint="default" w:ascii="Times New Roman" w:hAnsi="Times New Roman" w:cs="Times New Roman"/>
                      <w:b/>
                      <w:bCs/>
                      <w:caps w:val="0"/>
                      <w:color w:val="auto"/>
                      <w:spacing w:val="0"/>
                      <w:position w:val="0"/>
                      <w:highlight w:val="none"/>
                      <w:lang w:val="en-US" w:eastAsia="zh-CN"/>
                    </w:rPr>
                    <w:t>产品</w:t>
                  </w:r>
                </w:p>
              </w:tc>
              <w:tc>
                <w:tcPr>
                  <w:tcW w:w="2844" w:type="dxa"/>
                  <w:tcBorders>
                    <w:tl2br w:val="nil"/>
                    <w:tr2bl w:val="nil"/>
                  </w:tcBorders>
                  <w:shd w:val="clear" w:color="auto" w:fill="auto"/>
                  <w:noWrap/>
                  <w:vAlign w:val="center"/>
                </w:tcPr>
                <w:p w14:paraId="73F962F0">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lang w:val="en-US" w:eastAsia="zh-CN"/>
                    </w:rPr>
                  </w:pPr>
                  <w:r>
                    <w:rPr>
                      <w:rFonts w:hint="default" w:ascii="Times New Roman" w:hAnsi="Times New Roman" w:cs="Times New Roman"/>
                      <w:b/>
                      <w:bCs/>
                      <w:caps w:val="0"/>
                      <w:color w:val="auto"/>
                      <w:spacing w:val="0"/>
                      <w:position w:val="0"/>
                      <w:highlight w:val="none"/>
                      <w:lang w:val="en-US" w:eastAsia="zh-CN"/>
                    </w:rPr>
                    <w:t>设备名称</w:t>
                  </w:r>
                </w:p>
              </w:tc>
              <w:tc>
                <w:tcPr>
                  <w:tcW w:w="1768" w:type="dxa"/>
                  <w:tcBorders>
                    <w:tl2br w:val="nil"/>
                    <w:tr2bl w:val="nil"/>
                  </w:tcBorders>
                  <w:shd w:val="clear" w:color="auto" w:fill="auto"/>
                  <w:noWrap/>
                  <w:vAlign w:val="center"/>
                </w:tcPr>
                <w:p w14:paraId="112B50AA">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lang w:val="en-US" w:eastAsia="zh-CN"/>
                    </w:rPr>
                  </w:pPr>
                  <w:r>
                    <w:rPr>
                      <w:rFonts w:hint="default" w:ascii="Times New Roman" w:hAnsi="Times New Roman" w:cs="Times New Roman"/>
                      <w:b/>
                      <w:bCs/>
                      <w:caps w:val="0"/>
                      <w:color w:val="auto"/>
                      <w:spacing w:val="0"/>
                      <w:position w:val="0"/>
                      <w:highlight w:val="none"/>
                      <w:lang w:val="en-US" w:eastAsia="zh-CN"/>
                    </w:rPr>
                    <w:t>型号</w:t>
                  </w:r>
                </w:p>
              </w:tc>
              <w:tc>
                <w:tcPr>
                  <w:tcW w:w="988" w:type="dxa"/>
                  <w:tcBorders>
                    <w:tl2br w:val="nil"/>
                    <w:tr2bl w:val="nil"/>
                  </w:tcBorders>
                  <w:shd w:val="clear" w:color="auto" w:fill="auto"/>
                  <w:noWrap/>
                  <w:vAlign w:val="center"/>
                </w:tcPr>
                <w:p w14:paraId="7ADC2F29">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lang w:val="en-US" w:eastAsia="zh-CN"/>
                    </w:rPr>
                  </w:pPr>
                  <w:r>
                    <w:rPr>
                      <w:rFonts w:hint="default" w:ascii="Times New Roman" w:hAnsi="Times New Roman" w:cs="Times New Roman"/>
                      <w:b/>
                      <w:bCs/>
                      <w:caps w:val="0"/>
                      <w:color w:val="auto"/>
                      <w:spacing w:val="0"/>
                      <w:position w:val="0"/>
                      <w:highlight w:val="none"/>
                      <w:lang w:val="en-US" w:eastAsia="zh-CN"/>
                    </w:rPr>
                    <w:t>数量</w:t>
                  </w:r>
                </w:p>
              </w:tc>
              <w:tc>
                <w:tcPr>
                  <w:tcW w:w="1318" w:type="dxa"/>
                  <w:tcBorders>
                    <w:tl2br w:val="nil"/>
                    <w:tr2bl w:val="nil"/>
                  </w:tcBorders>
                  <w:shd w:val="clear" w:color="auto" w:fill="auto"/>
                  <w:noWrap/>
                  <w:vAlign w:val="center"/>
                </w:tcPr>
                <w:p w14:paraId="60F685A3">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lang w:val="en-US" w:eastAsia="zh-CN"/>
                    </w:rPr>
                  </w:pPr>
                  <w:r>
                    <w:rPr>
                      <w:rFonts w:hint="default" w:ascii="Times New Roman" w:hAnsi="Times New Roman" w:cs="Times New Roman"/>
                      <w:b/>
                      <w:bCs/>
                      <w:caps w:val="0"/>
                      <w:color w:val="auto"/>
                      <w:spacing w:val="0"/>
                      <w:position w:val="0"/>
                      <w:highlight w:val="none"/>
                      <w:lang w:val="en-US" w:eastAsia="zh-CN"/>
                    </w:rPr>
                    <w:t>使用工序</w:t>
                  </w:r>
                </w:p>
              </w:tc>
            </w:tr>
            <w:tr w14:paraId="0EF2D1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jc w:val="center"/>
              </w:trPr>
              <w:tc>
                <w:tcPr>
                  <w:tcW w:w="1162" w:type="dxa"/>
                  <w:vMerge w:val="restart"/>
                  <w:tcBorders>
                    <w:tl2br w:val="nil"/>
                    <w:tr2bl w:val="nil"/>
                  </w:tcBorders>
                  <w:shd w:val="clear" w:color="auto" w:fill="auto"/>
                  <w:noWrap/>
                  <w:vAlign w:val="center"/>
                </w:tcPr>
                <w:p w14:paraId="0C23471E">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发泡砖</w:t>
                  </w:r>
                </w:p>
              </w:tc>
              <w:tc>
                <w:tcPr>
                  <w:tcW w:w="2844" w:type="dxa"/>
                  <w:tcBorders>
                    <w:tl2br w:val="nil"/>
                    <w:tr2bl w:val="nil"/>
                  </w:tcBorders>
                  <w:shd w:val="clear" w:color="auto" w:fill="auto"/>
                  <w:noWrap/>
                  <w:vAlign w:val="center"/>
                </w:tcPr>
                <w:p w14:paraId="34C8012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自动上料机</w:t>
                  </w:r>
                </w:p>
              </w:tc>
              <w:tc>
                <w:tcPr>
                  <w:tcW w:w="1768" w:type="dxa"/>
                  <w:tcBorders>
                    <w:tl2br w:val="nil"/>
                    <w:tr2bl w:val="nil"/>
                  </w:tcBorders>
                  <w:shd w:val="clear" w:color="auto" w:fill="auto"/>
                  <w:noWrap/>
                  <w:vAlign w:val="center"/>
                </w:tcPr>
                <w:p w14:paraId="751EF9B4">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100t/h</w:t>
                  </w:r>
                </w:p>
              </w:tc>
              <w:tc>
                <w:tcPr>
                  <w:tcW w:w="988" w:type="dxa"/>
                  <w:tcBorders>
                    <w:tl2br w:val="nil"/>
                    <w:tr2bl w:val="nil"/>
                  </w:tcBorders>
                  <w:shd w:val="clear" w:color="auto" w:fill="auto"/>
                  <w:noWrap/>
                  <w:vAlign w:val="center"/>
                </w:tcPr>
                <w:p w14:paraId="127D6A3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2</w:t>
                  </w:r>
                </w:p>
              </w:tc>
              <w:tc>
                <w:tcPr>
                  <w:tcW w:w="1318" w:type="dxa"/>
                  <w:tcBorders>
                    <w:tl2br w:val="nil"/>
                    <w:tr2bl w:val="nil"/>
                  </w:tcBorders>
                  <w:shd w:val="clear" w:color="auto" w:fill="auto"/>
                  <w:noWrap/>
                  <w:vAlign w:val="center"/>
                </w:tcPr>
                <w:p w14:paraId="1CC13C0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配料运输</w:t>
                  </w:r>
                </w:p>
              </w:tc>
            </w:tr>
            <w:tr w14:paraId="7D7133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162" w:type="dxa"/>
                  <w:vMerge w:val="continue"/>
                  <w:tcBorders>
                    <w:tl2br w:val="nil"/>
                    <w:tr2bl w:val="nil"/>
                  </w:tcBorders>
                  <w:shd w:val="clear" w:color="auto" w:fill="auto"/>
                  <w:noWrap/>
                  <w:vAlign w:val="center"/>
                </w:tcPr>
                <w:p w14:paraId="0E0218D7">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2844" w:type="dxa"/>
                  <w:tcBorders>
                    <w:tl2br w:val="nil"/>
                    <w:tr2bl w:val="nil"/>
                  </w:tcBorders>
                  <w:shd w:val="clear" w:color="auto" w:fill="auto"/>
                  <w:noWrap/>
                  <w:vAlign w:val="center"/>
                </w:tcPr>
                <w:p w14:paraId="3D1D30E8">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搅拌机</w:t>
                  </w:r>
                </w:p>
              </w:tc>
              <w:tc>
                <w:tcPr>
                  <w:tcW w:w="1768" w:type="dxa"/>
                  <w:tcBorders>
                    <w:tl2br w:val="nil"/>
                    <w:tr2bl w:val="nil"/>
                  </w:tcBorders>
                  <w:shd w:val="clear" w:color="auto" w:fill="auto"/>
                  <w:noWrap/>
                  <w:vAlign w:val="center"/>
                </w:tcPr>
                <w:p w14:paraId="2084922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80t/h</w:t>
                  </w:r>
                </w:p>
              </w:tc>
              <w:tc>
                <w:tcPr>
                  <w:tcW w:w="988" w:type="dxa"/>
                  <w:tcBorders>
                    <w:tl2br w:val="nil"/>
                    <w:tr2bl w:val="nil"/>
                  </w:tcBorders>
                  <w:shd w:val="clear" w:color="auto" w:fill="auto"/>
                  <w:noWrap/>
                  <w:vAlign w:val="center"/>
                </w:tcPr>
                <w:p w14:paraId="5FA62887">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1</w:t>
                  </w:r>
                </w:p>
              </w:tc>
              <w:tc>
                <w:tcPr>
                  <w:tcW w:w="1318" w:type="dxa"/>
                  <w:tcBorders>
                    <w:tl2br w:val="nil"/>
                    <w:tr2bl w:val="nil"/>
                  </w:tcBorders>
                  <w:shd w:val="clear" w:color="auto" w:fill="auto"/>
                  <w:noWrap/>
                  <w:vAlign w:val="center"/>
                </w:tcPr>
                <w:p w14:paraId="258070B0">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搅拌</w:t>
                  </w:r>
                </w:p>
              </w:tc>
            </w:tr>
            <w:tr w14:paraId="1A1E0D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162" w:type="dxa"/>
                  <w:vMerge w:val="continue"/>
                  <w:tcBorders>
                    <w:tl2br w:val="nil"/>
                    <w:tr2bl w:val="nil"/>
                  </w:tcBorders>
                  <w:shd w:val="clear" w:color="auto" w:fill="auto"/>
                  <w:noWrap/>
                  <w:vAlign w:val="center"/>
                </w:tcPr>
                <w:p w14:paraId="5BB3C59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2844" w:type="dxa"/>
                  <w:tcBorders>
                    <w:tl2br w:val="nil"/>
                    <w:tr2bl w:val="nil"/>
                  </w:tcBorders>
                  <w:shd w:val="clear" w:color="auto" w:fill="auto"/>
                  <w:noWrap/>
                  <w:vAlign w:val="center"/>
                </w:tcPr>
                <w:p w14:paraId="71847F1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静压机</w:t>
                  </w:r>
                </w:p>
              </w:tc>
              <w:tc>
                <w:tcPr>
                  <w:tcW w:w="1768" w:type="dxa"/>
                  <w:tcBorders>
                    <w:tl2br w:val="nil"/>
                    <w:tr2bl w:val="nil"/>
                  </w:tcBorders>
                  <w:shd w:val="clear" w:color="auto" w:fill="auto"/>
                  <w:noWrap/>
                  <w:vAlign w:val="center"/>
                </w:tcPr>
                <w:p w14:paraId="7904357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90t/h</w:t>
                  </w:r>
                </w:p>
              </w:tc>
              <w:tc>
                <w:tcPr>
                  <w:tcW w:w="988" w:type="dxa"/>
                  <w:tcBorders>
                    <w:tl2br w:val="nil"/>
                    <w:tr2bl w:val="nil"/>
                  </w:tcBorders>
                  <w:shd w:val="clear" w:color="auto" w:fill="auto"/>
                  <w:noWrap/>
                  <w:vAlign w:val="center"/>
                </w:tcPr>
                <w:p w14:paraId="68C3F48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2</w:t>
                  </w:r>
                </w:p>
              </w:tc>
              <w:tc>
                <w:tcPr>
                  <w:tcW w:w="1318" w:type="dxa"/>
                  <w:tcBorders>
                    <w:tl2br w:val="nil"/>
                    <w:tr2bl w:val="nil"/>
                  </w:tcBorders>
                  <w:shd w:val="clear" w:color="auto" w:fill="auto"/>
                  <w:noWrap/>
                  <w:vAlign w:val="center"/>
                </w:tcPr>
                <w:p w14:paraId="2413F6AB">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制砖成型</w:t>
                  </w:r>
                </w:p>
              </w:tc>
            </w:tr>
            <w:tr w14:paraId="67877F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jc w:val="center"/>
              </w:trPr>
              <w:tc>
                <w:tcPr>
                  <w:tcW w:w="1162" w:type="dxa"/>
                  <w:vMerge w:val="continue"/>
                  <w:tcBorders>
                    <w:tl2br w:val="nil"/>
                    <w:tr2bl w:val="nil"/>
                  </w:tcBorders>
                  <w:shd w:val="clear" w:color="auto" w:fill="auto"/>
                  <w:noWrap/>
                  <w:vAlign w:val="center"/>
                </w:tcPr>
                <w:p w14:paraId="5609E878">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2844" w:type="dxa"/>
                  <w:tcBorders>
                    <w:tl2br w:val="nil"/>
                    <w:tr2bl w:val="nil"/>
                  </w:tcBorders>
                  <w:shd w:val="clear" w:color="auto" w:fill="auto"/>
                  <w:noWrap/>
                  <w:vAlign w:val="center"/>
                </w:tcPr>
                <w:p w14:paraId="4D0603A0">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码坯机</w:t>
                  </w:r>
                </w:p>
              </w:tc>
              <w:tc>
                <w:tcPr>
                  <w:tcW w:w="1768" w:type="dxa"/>
                  <w:tcBorders>
                    <w:tl2br w:val="nil"/>
                    <w:tr2bl w:val="nil"/>
                  </w:tcBorders>
                  <w:shd w:val="clear" w:color="auto" w:fill="auto"/>
                  <w:noWrap/>
                  <w:vAlign w:val="center"/>
                </w:tcPr>
                <w:p w14:paraId="7C1ECB68">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HH-MD1200型</w:t>
                  </w:r>
                </w:p>
              </w:tc>
              <w:tc>
                <w:tcPr>
                  <w:tcW w:w="988" w:type="dxa"/>
                  <w:tcBorders>
                    <w:tl2br w:val="nil"/>
                    <w:tr2bl w:val="nil"/>
                  </w:tcBorders>
                  <w:shd w:val="clear" w:color="auto" w:fill="auto"/>
                  <w:noWrap/>
                  <w:vAlign w:val="center"/>
                </w:tcPr>
                <w:p w14:paraId="19DF836D">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1</w:t>
                  </w:r>
                </w:p>
              </w:tc>
              <w:tc>
                <w:tcPr>
                  <w:tcW w:w="1318" w:type="dxa"/>
                  <w:tcBorders>
                    <w:tl2br w:val="nil"/>
                    <w:tr2bl w:val="nil"/>
                  </w:tcBorders>
                  <w:shd w:val="clear" w:color="auto" w:fill="auto"/>
                  <w:noWrap/>
                  <w:vAlign w:val="center"/>
                </w:tcPr>
                <w:p w14:paraId="637FCD6E">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收集</w:t>
                  </w:r>
                </w:p>
              </w:tc>
            </w:tr>
            <w:tr w14:paraId="7D7667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jc w:val="center"/>
              </w:trPr>
              <w:tc>
                <w:tcPr>
                  <w:tcW w:w="1162" w:type="dxa"/>
                  <w:vMerge w:val="restart"/>
                  <w:tcBorders>
                    <w:tl2br w:val="nil"/>
                    <w:tr2bl w:val="nil"/>
                  </w:tcBorders>
                  <w:shd w:val="clear" w:color="auto" w:fill="auto"/>
                  <w:noWrap/>
                  <w:vAlign w:val="center"/>
                </w:tcPr>
                <w:p w14:paraId="2E676870">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检测设备</w:t>
                  </w:r>
                </w:p>
              </w:tc>
              <w:tc>
                <w:tcPr>
                  <w:tcW w:w="2844" w:type="dxa"/>
                  <w:tcBorders>
                    <w:tl2br w:val="nil"/>
                    <w:tr2bl w:val="nil"/>
                  </w:tcBorders>
                  <w:shd w:val="clear" w:color="auto" w:fill="auto"/>
                  <w:noWrap/>
                  <w:vAlign w:val="center"/>
                </w:tcPr>
                <w:p w14:paraId="3E7056DE">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路</w:t>
                  </w:r>
                  <w:r>
                    <w:rPr>
                      <w:rFonts w:hint="eastAsia" w:cs="Times New Roman"/>
                      <w:caps w:val="0"/>
                      <w:color w:val="auto"/>
                      <w:spacing w:val="0"/>
                      <w:position w:val="0"/>
                      <w:highlight w:val="none"/>
                      <w:lang w:val="en-US" w:eastAsia="zh-CN"/>
                    </w:rPr>
                    <w:t>面</w:t>
                  </w:r>
                  <w:r>
                    <w:rPr>
                      <w:rFonts w:hint="default" w:ascii="Times New Roman" w:hAnsi="Times New Roman" w:cs="Times New Roman"/>
                      <w:caps w:val="0"/>
                      <w:color w:val="auto"/>
                      <w:spacing w:val="0"/>
                      <w:position w:val="0"/>
                      <w:highlight w:val="none"/>
                      <w:lang w:val="en-US" w:eastAsia="zh-CN"/>
                    </w:rPr>
                    <w:t>材料强度测试仪</w:t>
                  </w:r>
                </w:p>
              </w:tc>
              <w:tc>
                <w:tcPr>
                  <w:tcW w:w="1768" w:type="dxa"/>
                  <w:tcBorders>
                    <w:tl2br w:val="nil"/>
                    <w:tr2bl w:val="nil"/>
                  </w:tcBorders>
                  <w:shd w:val="clear" w:color="auto" w:fill="auto"/>
                  <w:noWrap/>
                  <w:vAlign w:val="center"/>
                </w:tcPr>
                <w:p w14:paraId="38B6DC12">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w:t>
                  </w:r>
                </w:p>
              </w:tc>
              <w:tc>
                <w:tcPr>
                  <w:tcW w:w="988" w:type="dxa"/>
                  <w:tcBorders>
                    <w:tl2br w:val="nil"/>
                    <w:tr2bl w:val="nil"/>
                  </w:tcBorders>
                  <w:shd w:val="clear" w:color="auto" w:fill="auto"/>
                  <w:noWrap/>
                  <w:vAlign w:val="center"/>
                </w:tcPr>
                <w:p w14:paraId="6E434F2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1</w:t>
                  </w:r>
                </w:p>
              </w:tc>
              <w:tc>
                <w:tcPr>
                  <w:tcW w:w="1318" w:type="dxa"/>
                  <w:tcBorders>
                    <w:tl2br w:val="nil"/>
                    <w:tr2bl w:val="nil"/>
                  </w:tcBorders>
                  <w:shd w:val="clear" w:color="auto" w:fill="auto"/>
                  <w:noWrap/>
                  <w:vAlign w:val="center"/>
                </w:tcPr>
                <w:p w14:paraId="290794E2">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成品检测</w:t>
                  </w:r>
                </w:p>
              </w:tc>
            </w:tr>
            <w:tr w14:paraId="4A2EAA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jc w:val="center"/>
              </w:trPr>
              <w:tc>
                <w:tcPr>
                  <w:tcW w:w="1162" w:type="dxa"/>
                  <w:vMerge w:val="continue"/>
                  <w:tcBorders>
                    <w:tl2br w:val="nil"/>
                    <w:tr2bl w:val="nil"/>
                  </w:tcBorders>
                  <w:shd w:val="clear" w:color="auto" w:fill="auto"/>
                  <w:noWrap/>
                  <w:vAlign w:val="center"/>
                </w:tcPr>
                <w:p w14:paraId="7561C43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2844" w:type="dxa"/>
                  <w:tcBorders>
                    <w:tl2br w:val="nil"/>
                    <w:tr2bl w:val="nil"/>
                  </w:tcBorders>
                  <w:shd w:val="clear" w:color="auto" w:fill="auto"/>
                  <w:noWrap/>
                  <w:vAlign w:val="center"/>
                </w:tcPr>
                <w:p w14:paraId="0B16035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击实仪</w:t>
                  </w:r>
                </w:p>
              </w:tc>
              <w:tc>
                <w:tcPr>
                  <w:tcW w:w="1768" w:type="dxa"/>
                  <w:tcBorders>
                    <w:tl2br w:val="nil"/>
                    <w:tr2bl w:val="nil"/>
                  </w:tcBorders>
                  <w:shd w:val="clear" w:color="auto" w:fill="auto"/>
                  <w:noWrap/>
                  <w:vAlign w:val="center"/>
                </w:tcPr>
                <w:p w14:paraId="1858B0C0">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w:t>
                  </w:r>
                </w:p>
              </w:tc>
              <w:tc>
                <w:tcPr>
                  <w:tcW w:w="988" w:type="dxa"/>
                  <w:tcBorders>
                    <w:tl2br w:val="nil"/>
                    <w:tr2bl w:val="nil"/>
                  </w:tcBorders>
                  <w:shd w:val="clear" w:color="auto" w:fill="auto"/>
                  <w:noWrap/>
                  <w:vAlign w:val="center"/>
                </w:tcPr>
                <w:p w14:paraId="3B3F315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1</w:t>
                  </w:r>
                </w:p>
              </w:tc>
              <w:tc>
                <w:tcPr>
                  <w:tcW w:w="1318" w:type="dxa"/>
                  <w:tcBorders>
                    <w:tl2br w:val="nil"/>
                    <w:tr2bl w:val="nil"/>
                  </w:tcBorders>
                  <w:shd w:val="clear" w:color="auto" w:fill="auto"/>
                  <w:noWrap/>
                  <w:vAlign w:val="center"/>
                </w:tcPr>
                <w:p w14:paraId="26CD9FE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成品检测</w:t>
                  </w:r>
                </w:p>
              </w:tc>
            </w:tr>
            <w:tr w14:paraId="13A5DC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jc w:val="center"/>
              </w:trPr>
              <w:tc>
                <w:tcPr>
                  <w:tcW w:w="1162" w:type="dxa"/>
                  <w:vMerge w:val="continue"/>
                  <w:tcBorders>
                    <w:tl2br w:val="nil"/>
                    <w:tr2bl w:val="nil"/>
                  </w:tcBorders>
                  <w:shd w:val="clear" w:color="auto" w:fill="auto"/>
                  <w:noWrap/>
                  <w:vAlign w:val="center"/>
                </w:tcPr>
                <w:p w14:paraId="02946DDE">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2844" w:type="dxa"/>
                  <w:tcBorders>
                    <w:tl2br w:val="nil"/>
                    <w:tr2bl w:val="nil"/>
                  </w:tcBorders>
                  <w:shd w:val="clear" w:color="auto" w:fill="auto"/>
                  <w:noWrap/>
                  <w:vAlign w:val="center"/>
                </w:tcPr>
                <w:p w14:paraId="48AF4BDE">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养护箱</w:t>
                  </w:r>
                </w:p>
              </w:tc>
              <w:tc>
                <w:tcPr>
                  <w:tcW w:w="1768" w:type="dxa"/>
                  <w:tcBorders>
                    <w:tl2br w:val="nil"/>
                    <w:tr2bl w:val="nil"/>
                  </w:tcBorders>
                  <w:shd w:val="clear" w:color="auto" w:fill="auto"/>
                  <w:noWrap/>
                  <w:vAlign w:val="center"/>
                </w:tcPr>
                <w:p w14:paraId="529D907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w:t>
                  </w:r>
                </w:p>
              </w:tc>
              <w:tc>
                <w:tcPr>
                  <w:tcW w:w="988" w:type="dxa"/>
                  <w:tcBorders>
                    <w:tl2br w:val="nil"/>
                    <w:tr2bl w:val="nil"/>
                  </w:tcBorders>
                  <w:shd w:val="clear" w:color="auto" w:fill="auto"/>
                  <w:noWrap/>
                  <w:vAlign w:val="center"/>
                </w:tcPr>
                <w:p w14:paraId="2BF4310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1</w:t>
                  </w:r>
                </w:p>
              </w:tc>
              <w:tc>
                <w:tcPr>
                  <w:tcW w:w="1318" w:type="dxa"/>
                  <w:tcBorders>
                    <w:tl2br w:val="nil"/>
                    <w:tr2bl w:val="nil"/>
                  </w:tcBorders>
                  <w:shd w:val="clear" w:color="auto" w:fill="auto"/>
                  <w:noWrap/>
                  <w:vAlign w:val="center"/>
                </w:tcPr>
                <w:p w14:paraId="76795DAD">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成品检测</w:t>
                  </w:r>
                </w:p>
              </w:tc>
            </w:tr>
            <w:tr w14:paraId="24F321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jc w:val="center"/>
              </w:trPr>
              <w:tc>
                <w:tcPr>
                  <w:tcW w:w="1162" w:type="dxa"/>
                  <w:vMerge w:val="continue"/>
                  <w:tcBorders>
                    <w:tl2br w:val="nil"/>
                    <w:tr2bl w:val="nil"/>
                  </w:tcBorders>
                  <w:shd w:val="clear" w:color="auto" w:fill="auto"/>
                  <w:noWrap/>
                  <w:vAlign w:val="center"/>
                </w:tcPr>
                <w:p w14:paraId="718EA55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2844" w:type="dxa"/>
                  <w:tcBorders>
                    <w:tl2br w:val="nil"/>
                    <w:tr2bl w:val="nil"/>
                  </w:tcBorders>
                  <w:shd w:val="clear" w:color="auto" w:fill="auto"/>
                  <w:noWrap/>
                  <w:vAlign w:val="center"/>
                </w:tcPr>
                <w:p w14:paraId="32339A4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压力测试仪</w:t>
                  </w:r>
                </w:p>
              </w:tc>
              <w:tc>
                <w:tcPr>
                  <w:tcW w:w="1768" w:type="dxa"/>
                  <w:tcBorders>
                    <w:tl2br w:val="nil"/>
                    <w:tr2bl w:val="nil"/>
                  </w:tcBorders>
                  <w:shd w:val="clear" w:color="auto" w:fill="auto"/>
                  <w:noWrap/>
                  <w:vAlign w:val="center"/>
                </w:tcPr>
                <w:p w14:paraId="0664CAF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w:t>
                  </w:r>
                </w:p>
              </w:tc>
              <w:tc>
                <w:tcPr>
                  <w:tcW w:w="988" w:type="dxa"/>
                  <w:tcBorders>
                    <w:tl2br w:val="nil"/>
                    <w:tr2bl w:val="nil"/>
                  </w:tcBorders>
                  <w:shd w:val="clear" w:color="auto" w:fill="auto"/>
                  <w:noWrap/>
                  <w:vAlign w:val="center"/>
                </w:tcPr>
                <w:p w14:paraId="4F04EDBC">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1</w:t>
                  </w:r>
                </w:p>
              </w:tc>
              <w:tc>
                <w:tcPr>
                  <w:tcW w:w="1318" w:type="dxa"/>
                  <w:tcBorders>
                    <w:tl2br w:val="nil"/>
                    <w:tr2bl w:val="nil"/>
                  </w:tcBorders>
                  <w:shd w:val="clear" w:color="auto" w:fill="auto"/>
                  <w:noWrap/>
                  <w:vAlign w:val="center"/>
                </w:tcPr>
                <w:p w14:paraId="1D815DAC">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成品检测</w:t>
                  </w:r>
                </w:p>
              </w:tc>
            </w:tr>
            <w:tr w14:paraId="7CA06E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jc w:val="center"/>
              </w:trPr>
              <w:tc>
                <w:tcPr>
                  <w:tcW w:w="1162" w:type="dxa"/>
                  <w:vMerge w:val="restart"/>
                  <w:tcBorders>
                    <w:tl2br w:val="nil"/>
                    <w:tr2bl w:val="nil"/>
                  </w:tcBorders>
                  <w:shd w:val="clear" w:color="auto" w:fill="auto"/>
                  <w:noWrap/>
                  <w:vAlign w:val="center"/>
                </w:tcPr>
                <w:p w14:paraId="05EA8CA7">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储存设备</w:t>
                  </w:r>
                </w:p>
              </w:tc>
              <w:tc>
                <w:tcPr>
                  <w:tcW w:w="2844" w:type="dxa"/>
                  <w:tcBorders>
                    <w:tl2br w:val="nil"/>
                    <w:tr2bl w:val="nil"/>
                  </w:tcBorders>
                  <w:shd w:val="clear" w:color="auto" w:fill="auto"/>
                  <w:noWrap/>
                  <w:vAlign w:val="center"/>
                </w:tcPr>
                <w:p w14:paraId="70EAB239">
                  <w:pPr>
                    <w:pStyle w:val="28"/>
                    <w:keepNext w:val="0"/>
                    <w:keepLines w:val="0"/>
                    <w:suppressLineNumbers w:val="0"/>
                    <w:bidi w:val="0"/>
                    <w:spacing w:beforeAutospacing="0" w:afterAutospacing="0"/>
                    <w:ind w:left="0" w:right="0"/>
                    <w:rPr>
                      <w:rFonts w:hint="eastAsia"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水泥筒仓</w:t>
                  </w:r>
                </w:p>
              </w:tc>
              <w:tc>
                <w:tcPr>
                  <w:tcW w:w="1768" w:type="dxa"/>
                  <w:tcBorders>
                    <w:tl2br w:val="nil"/>
                    <w:tr2bl w:val="nil"/>
                  </w:tcBorders>
                  <w:shd w:val="clear" w:color="auto" w:fill="auto"/>
                  <w:noWrap/>
                  <w:vAlign w:val="center"/>
                </w:tcPr>
                <w:p w14:paraId="5C52C60A">
                  <w:pPr>
                    <w:pStyle w:val="28"/>
                    <w:keepNext w:val="0"/>
                    <w:keepLines w:val="0"/>
                    <w:suppressLineNumbers w:val="0"/>
                    <w:bidi w:val="0"/>
                    <w:spacing w:beforeAutospacing="0" w:afterAutospacing="0"/>
                    <w:ind w:left="0" w:right="0"/>
                    <w:rPr>
                      <w:rFonts w:hint="default"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100m</w:t>
                  </w:r>
                  <w:r>
                    <w:rPr>
                      <w:rFonts w:hint="eastAsia" w:cs="Times New Roman"/>
                      <w:caps w:val="0"/>
                      <w:color w:val="auto"/>
                      <w:spacing w:val="0"/>
                      <w:position w:val="0"/>
                      <w:highlight w:val="none"/>
                      <w:vertAlign w:val="superscript"/>
                      <w:lang w:val="en-US" w:eastAsia="zh-CN"/>
                    </w:rPr>
                    <w:t>3</w:t>
                  </w:r>
                </w:p>
              </w:tc>
              <w:tc>
                <w:tcPr>
                  <w:tcW w:w="988" w:type="dxa"/>
                  <w:tcBorders>
                    <w:tl2br w:val="nil"/>
                    <w:tr2bl w:val="nil"/>
                  </w:tcBorders>
                  <w:shd w:val="clear" w:color="auto" w:fill="auto"/>
                  <w:noWrap/>
                  <w:vAlign w:val="center"/>
                </w:tcPr>
                <w:p w14:paraId="2B848718">
                  <w:pPr>
                    <w:pStyle w:val="28"/>
                    <w:keepNext w:val="0"/>
                    <w:keepLines w:val="0"/>
                    <w:suppressLineNumbers w:val="0"/>
                    <w:bidi w:val="0"/>
                    <w:spacing w:beforeAutospacing="0" w:afterAutospacing="0"/>
                    <w:ind w:left="0" w:right="0"/>
                    <w:rPr>
                      <w:rFonts w:hint="default"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1</w:t>
                  </w:r>
                </w:p>
              </w:tc>
              <w:tc>
                <w:tcPr>
                  <w:tcW w:w="1318" w:type="dxa"/>
                  <w:tcBorders>
                    <w:tl2br w:val="nil"/>
                    <w:tr2bl w:val="nil"/>
                  </w:tcBorders>
                  <w:shd w:val="clear" w:color="auto" w:fill="auto"/>
                  <w:noWrap/>
                  <w:vAlign w:val="center"/>
                </w:tcPr>
                <w:p w14:paraId="5BB18D0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储存</w:t>
                  </w:r>
                </w:p>
              </w:tc>
            </w:tr>
            <w:tr w14:paraId="45ED33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jc w:val="center"/>
              </w:trPr>
              <w:tc>
                <w:tcPr>
                  <w:tcW w:w="1162" w:type="dxa"/>
                  <w:vMerge w:val="continue"/>
                  <w:tcBorders>
                    <w:tl2br w:val="nil"/>
                    <w:tr2bl w:val="nil"/>
                  </w:tcBorders>
                  <w:shd w:val="clear" w:color="auto" w:fill="auto"/>
                  <w:noWrap/>
                  <w:vAlign w:val="center"/>
                </w:tcPr>
                <w:p w14:paraId="0FE1A8B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p>
              </w:tc>
              <w:tc>
                <w:tcPr>
                  <w:tcW w:w="2844" w:type="dxa"/>
                  <w:tcBorders>
                    <w:tl2br w:val="nil"/>
                    <w:tr2bl w:val="nil"/>
                  </w:tcBorders>
                  <w:shd w:val="clear" w:color="auto" w:fill="auto"/>
                  <w:noWrap/>
                  <w:vAlign w:val="center"/>
                </w:tcPr>
                <w:p w14:paraId="09795B7D">
                  <w:pPr>
                    <w:pStyle w:val="28"/>
                    <w:keepNext w:val="0"/>
                    <w:keepLines w:val="0"/>
                    <w:suppressLineNumbers w:val="0"/>
                    <w:bidi w:val="0"/>
                    <w:spacing w:beforeAutospacing="0" w:afterAutospacing="0"/>
                    <w:ind w:left="0" w:right="0"/>
                    <w:rPr>
                      <w:rFonts w:hint="eastAsia"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石粉筒仓</w:t>
                  </w:r>
                </w:p>
              </w:tc>
              <w:tc>
                <w:tcPr>
                  <w:tcW w:w="1768" w:type="dxa"/>
                  <w:tcBorders>
                    <w:tl2br w:val="nil"/>
                    <w:tr2bl w:val="nil"/>
                  </w:tcBorders>
                  <w:shd w:val="clear" w:color="auto" w:fill="auto"/>
                  <w:noWrap/>
                  <w:vAlign w:val="center"/>
                </w:tcPr>
                <w:p w14:paraId="033EB3A7">
                  <w:pPr>
                    <w:pStyle w:val="28"/>
                    <w:keepNext w:val="0"/>
                    <w:keepLines w:val="0"/>
                    <w:suppressLineNumbers w:val="0"/>
                    <w:bidi w:val="0"/>
                    <w:spacing w:beforeAutospacing="0" w:afterAutospacing="0"/>
                    <w:ind w:left="0" w:right="0"/>
                    <w:rPr>
                      <w:rFonts w:hint="eastAsia"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100m</w:t>
                  </w:r>
                  <w:r>
                    <w:rPr>
                      <w:rFonts w:hint="eastAsia" w:cs="Times New Roman"/>
                      <w:caps w:val="0"/>
                      <w:color w:val="auto"/>
                      <w:spacing w:val="0"/>
                      <w:position w:val="0"/>
                      <w:highlight w:val="none"/>
                      <w:vertAlign w:val="superscript"/>
                      <w:lang w:val="en-US" w:eastAsia="zh-CN"/>
                    </w:rPr>
                    <w:t>3</w:t>
                  </w:r>
                </w:p>
              </w:tc>
              <w:tc>
                <w:tcPr>
                  <w:tcW w:w="988" w:type="dxa"/>
                  <w:tcBorders>
                    <w:tl2br w:val="nil"/>
                    <w:tr2bl w:val="nil"/>
                  </w:tcBorders>
                  <w:shd w:val="clear" w:color="auto" w:fill="auto"/>
                  <w:noWrap/>
                  <w:vAlign w:val="center"/>
                </w:tcPr>
                <w:p w14:paraId="7AF4E8F2">
                  <w:pPr>
                    <w:pStyle w:val="28"/>
                    <w:keepNext w:val="0"/>
                    <w:keepLines w:val="0"/>
                    <w:suppressLineNumbers w:val="0"/>
                    <w:bidi w:val="0"/>
                    <w:spacing w:beforeAutospacing="0" w:afterAutospacing="0"/>
                    <w:ind w:left="0" w:right="0"/>
                    <w:rPr>
                      <w:rFonts w:hint="default"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1</w:t>
                  </w:r>
                </w:p>
              </w:tc>
              <w:tc>
                <w:tcPr>
                  <w:tcW w:w="1318" w:type="dxa"/>
                  <w:tcBorders>
                    <w:tl2br w:val="nil"/>
                    <w:tr2bl w:val="nil"/>
                  </w:tcBorders>
                  <w:shd w:val="clear" w:color="auto" w:fill="auto"/>
                  <w:noWrap/>
                  <w:vAlign w:val="center"/>
                </w:tcPr>
                <w:p w14:paraId="6A14C53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储存</w:t>
                  </w:r>
                </w:p>
              </w:tc>
            </w:tr>
            <w:tr w14:paraId="7AC7D5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162" w:type="dxa"/>
                  <w:vMerge w:val="continue"/>
                  <w:tcBorders>
                    <w:tl2br w:val="nil"/>
                    <w:tr2bl w:val="nil"/>
                  </w:tcBorders>
                  <w:shd w:val="clear" w:color="auto" w:fill="auto"/>
                  <w:noWrap/>
                  <w:vAlign w:val="center"/>
                </w:tcPr>
                <w:p w14:paraId="1255F11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p>
              </w:tc>
              <w:tc>
                <w:tcPr>
                  <w:tcW w:w="2844" w:type="dxa"/>
                  <w:tcBorders>
                    <w:tl2br w:val="nil"/>
                    <w:tr2bl w:val="nil"/>
                  </w:tcBorders>
                  <w:shd w:val="clear" w:color="auto" w:fill="auto"/>
                  <w:noWrap/>
                  <w:vAlign w:val="center"/>
                </w:tcPr>
                <w:p w14:paraId="60CBB59C">
                  <w:pPr>
                    <w:pStyle w:val="28"/>
                    <w:keepNext w:val="0"/>
                    <w:keepLines w:val="0"/>
                    <w:suppressLineNumbers w:val="0"/>
                    <w:bidi w:val="0"/>
                    <w:spacing w:beforeAutospacing="0" w:afterAutospacing="0"/>
                    <w:ind w:left="0" w:right="0"/>
                    <w:rPr>
                      <w:rFonts w:hint="eastAsia" w:cs="Times New Roman"/>
                      <w:caps w:val="0"/>
                      <w:color w:val="auto"/>
                      <w:spacing w:val="0"/>
                      <w:position w:val="0"/>
                      <w:highlight w:val="none"/>
                      <w:lang w:val="en-US" w:eastAsia="zh-CN"/>
                    </w:rPr>
                  </w:pPr>
                  <w:r>
                    <w:rPr>
                      <w:rFonts w:hint="eastAsia"/>
                      <w:caps w:val="0"/>
                      <w:color w:val="auto"/>
                      <w:spacing w:val="0"/>
                      <w:position w:val="0"/>
                      <w:highlight w:val="none"/>
                      <w:lang w:val="en-US" w:eastAsia="zh-CN"/>
                    </w:rPr>
                    <w:t>硅粉</w:t>
                  </w:r>
                  <w:r>
                    <w:rPr>
                      <w:rFonts w:hint="eastAsia" w:cs="Times New Roman"/>
                      <w:caps w:val="0"/>
                      <w:color w:val="auto"/>
                      <w:spacing w:val="0"/>
                      <w:position w:val="0"/>
                      <w:highlight w:val="none"/>
                      <w:lang w:val="en-US" w:eastAsia="zh-CN"/>
                    </w:rPr>
                    <w:t>筒仓</w:t>
                  </w:r>
                </w:p>
              </w:tc>
              <w:tc>
                <w:tcPr>
                  <w:tcW w:w="1768" w:type="dxa"/>
                  <w:tcBorders>
                    <w:tl2br w:val="nil"/>
                    <w:tr2bl w:val="nil"/>
                  </w:tcBorders>
                  <w:shd w:val="clear" w:color="auto" w:fill="auto"/>
                  <w:noWrap/>
                  <w:vAlign w:val="center"/>
                </w:tcPr>
                <w:p w14:paraId="2B0C02F5">
                  <w:pPr>
                    <w:pStyle w:val="28"/>
                    <w:keepNext w:val="0"/>
                    <w:keepLines w:val="0"/>
                    <w:suppressLineNumbers w:val="0"/>
                    <w:bidi w:val="0"/>
                    <w:spacing w:beforeAutospacing="0" w:afterAutospacing="0"/>
                    <w:ind w:left="0" w:right="0"/>
                    <w:rPr>
                      <w:rFonts w:hint="eastAsia"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100m</w:t>
                  </w:r>
                  <w:r>
                    <w:rPr>
                      <w:rFonts w:hint="eastAsia" w:cs="Times New Roman"/>
                      <w:caps w:val="0"/>
                      <w:color w:val="auto"/>
                      <w:spacing w:val="0"/>
                      <w:position w:val="0"/>
                      <w:highlight w:val="none"/>
                      <w:vertAlign w:val="superscript"/>
                      <w:lang w:val="en-US" w:eastAsia="zh-CN"/>
                    </w:rPr>
                    <w:t>3</w:t>
                  </w:r>
                </w:p>
              </w:tc>
              <w:tc>
                <w:tcPr>
                  <w:tcW w:w="988" w:type="dxa"/>
                  <w:tcBorders>
                    <w:tl2br w:val="nil"/>
                    <w:tr2bl w:val="nil"/>
                  </w:tcBorders>
                  <w:shd w:val="clear" w:color="auto" w:fill="auto"/>
                  <w:noWrap/>
                  <w:vAlign w:val="center"/>
                </w:tcPr>
                <w:p w14:paraId="62DB445B">
                  <w:pPr>
                    <w:pStyle w:val="28"/>
                    <w:keepNext w:val="0"/>
                    <w:keepLines w:val="0"/>
                    <w:suppressLineNumbers w:val="0"/>
                    <w:bidi w:val="0"/>
                    <w:spacing w:beforeAutospacing="0" w:afterAutospacing="0"/>
                    <w:ind w:left="0" w:right="0"/>
                    <w:rPr>
                      <w:rFonts w:hint="default"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1</w:t>
                  </w:r>
                </w:p>
              </w:tc>
              <w:tc>
                <w:tcPr>
                  <w:tcW w:w="1318" w:type="dxa"/>
                  <w:tcBorders>
                    <w:tl2br w:val="nil"/>
                    <w:tr2bl w:val="nil"/>
                  </w:tcBorders>
                  <w:shd w:val="clear" w:color="auto" w:fill="auto"/>
                  <w:noWrap/>
                  <w:vAlign w:val="center"/>
                </w:tcPr>
                <w:p w14:paraId="6AB4BD88">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储存</w:t>
                  </w:r>
                </w:p>
              </w:tc>
            </w:tr>
            <w:tr w14:paraId="338DC5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jc w:val="center"/>
              </w:trPr>
              <w:tc>
                <w:tcPr>
                  <w:tcW w:w="1162" w:type="dxa"/>
                  <w:vMerge w:val="restart"/>
                  <w:tcBorders>
                    <w:tl2br w:val="nil"/>
                    <w:tr2bl w:val="nil"/>
                  </w:tcBorders>
                  <w:shd w:val="clear" w:color="auto" w:fill="auto"/>
                  <w:noWrap/>
                  <w:vAlign w:val="center"/>
                </w:tcPr>
                <w:p w14:paraId="23F1A05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辅助设备</w:t>
                  </w:r>
                </w:p>
              </w:tc>
              <w:tc>
                <w:tcPr>
                  <w:tcW w:w="2844" w:type="dxa"/>
                  <w:tcBorders>
                    <w:tl2br w:val="nil"/>
                    <w:tr2bl w:val="nil"/>
                  </w:tcBorders>
                  <w:shd w:val="clear" w:color="auto" w:fill="auto"/>
                  <w:noWrap/>
                  <w:vAlign w:val="center"/>
                </w:tcPr>
                <w:p w14:paraId="4B26307B">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装载</w:t>
                  </w:r>
                  <w:r>
                    <w:rPr>
                      <w:rFonts w:hint="default" w:ascii="Times New Roman" w:hAnsi="Times New Roman" w:cs="Times New Roman"/>
                      <w:caps w:val="0"/>
                      <w:color w:val="auto"/>
                      <w:spacing w:val="0"/>
                      <w:position w:val="0"/>
                      <w:highlight w:val="none"/>
                      <w:lang w:val="en-US" w:eastAsia="zh-CN"/>
                    </w:rPr>
                    <w:t>车</w:t>
                  </w:r>
                </w:p>
              </w:tc>
              <w:tc>
                <w:tcPr>
                  <w:tcW w:w="1768" w:type="dxa"/>
                  <w:tcBorders>
                    <w:tl2br w:val="nil"/>
                    <w:tr2bl w:val="nil"/>
                  </w:tcBorders>
                  <w:shd w:val="clear" w:color="auto" w:fill="auto"/>
                  <w:noWrap/>
                  <w:vAlign w:val="center"/>
                </w:tcPr>
                <w:p w14:paraId="7D9A7DF7">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w:t>
                  </w:r>
                </w:p>
              </w:tc>
              <w:tc>
                <w:tcPr>
                  <w:tcW w:w="988" w:type="dxa"/>
                  <w:tcBorders>
                    <w:tl2br w:val="nil"/>
                    <w:tr2bl w:val="nil"/>
                  </w:tcBorders>
                  <w:shd w:val="clear" w:color="auto" w:fill="auto"/>
                  <w:noWrap/>
                  <w:vAlign w:val="center"/>
                </w:tcPr>
                <w:p w14:paraId="37E6BD38">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2</w:t>
                  </w:r>
                </w:p>
              </w:tc>
              <w:tc>
                <w:tcPr>
                  <w:tcW w:w="1318" w:type="dxa"/>
                  <w:tcBorders>
                    <w:tl2br w:val="nil"/>
                    <w:tr2bl w:val="nil"/>
                  </w:tcBorders>
                  <w:shd w:val="clear" w:color="auto" w:fill="auto"/>
                  <w:noWrap/>
                  <w:vAlign w:val="center"/>
                </w:tcPr>
                <w:p w14:paraId="732DAC70">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输送</w:t>
                  </w:r>
                </w:p>
              </w:tc>
            </w:tr>
            <w:tr w14:paraId="06AD5A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jc w:val="center"/>
              </w:trPr>
              <w:tc>
                <w:tcPr>
                  <w:tcW w:w="1162" w:type="dxa"/>
                  <w:vMerge w:val="continue"/>
                  <w:tcBorders>
                    <w:tl2br w:val="nil"/>
                    <w:tr2bl w:val="nil"/>
                  </w:tcBorders>
                  <w:shd w:val="clear" w:color="auto" w:fill="auto"/>
                  <w:noWrap/>
                  <w:vAlign w:val="center"/>
                </w:tcPr>
                <w:p w14:paraId="349FB72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p>
              </w:tc>
              <w:tc>
                <w:tcPr>
                  <w:tcW w:w="2844" w:type="dxa"/>
                  <w:tcBorders>
                    <w:tl2br w:val="nil"/>
                    <w:tr2bl w:val="nil"/>
                  </w:tcBorders>
                  <w:shd w:val="clear" w:color="auto" w:fill="auto"/>
                  <w:noWrap/>
                  <w:vAlign w:val="center"/>
                </w:tcPr>
                <w:p w14:paraId="3D739A6C">
                  <w:pPr>
                    <w:pStyle w:val="28"/>
                    <w:keepNext w:val="0"/>
                    <w:keepLines w:val="0"/>
                    <w:suppressLineNumbers w:val="0"/>
                    <w:bidi w:val="0"/>
                    <w:spacing w:beforeAutospacing="0" w:afterAutospacing="0"/>
                    <w:ind w:left="0" w:right="0"/>
                    <w:rPr>
                      <w:rFonts w:hint="default"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泵</w:t>
                  </w:r>
                </w:p>
              </w:tc>
              <w:tc>
                <w:tcPr>
                  <w:tcW w:w="1768" w:type="dxa"/>
                  <w:tcBorders>
                    <w:tl2br w:val="nil"/>
                    <w:tr2bl w:val="nil"/>
                  </w:tcBorders>
                  <w:shd w:val="clear" w:color="auto" w:fill="auto"/>
                  <w:noWrap/>
                  <w:vAlign w:val="center"/>
                </w:tcPr>
                <w:p w14:paraId="71990C4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w:t>
                  </w:r>
                </w:p>
              </w:tc>
              <w:tc>
                <w:tcPr>
                  <w:tcW w:w="988" w:type="dxa"/>
                  <w:tcBorders>
                    <w:tl2br w:val="nil"/>
                    <w:tr2bl w:val="nil"/>
                  </w:tcBorders>
                  <w:shd w:val="clear" w:color="auto" w:fill="auto"/>
                  <w:noWrap/>
                  <w:vAlign w:val="center"/>
                </w:tcPr>
                <w:p w14:paraId="71306FC0">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2</w:t>
                  </w:r>
                </w:p>
              </w:tc>
              <w:tc>
                <w:tcPr>
                  <w:tcW w:w="1318" w:type="dxa"/>
                  <w:tcBorders>
                    <w:tl2br w:val="nil"/>
                    <w:tr2bl w:val="nil"/>
                  </w:tcBorders>
                  <w:shd w:val="clear" w:color="auto" w:fill="auto"/>
                  <w:noWrap/>
                  <w:vAlign w:val="center"/>
                </w:tcPr>
                <w:p w14:paraId="6552268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输送</w:t>
                  </w:r>
                </w:p>
              </w:tc>
            </w:tr>
            <w:tr w14:paraId="0B6025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0" w:hRule="atLeast"/>
                <w:jc w:val="center"/>
              </w:trPr>
              <w:tc>
                <w:tcPr>
                  <w:tcW w:w="1162" w:type="dxa"/>
                  <w:vMerge w:val="continue"/>
                  <w:tcBorders>
                    <w:tl2br w:val="nil"/>
                    <w:tr2bl w:val="nil"/>
                  </w:tcBorders>
                  <w:shd w:val="clear" w:color="auto" w:fill="auto"/>
                  <w:noWrap/>
                  <w:vAlign w:val="center"/>
                </w:tcPr>
                <w:p w14:paraId="16FCCE9E">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p>
              </w:tc>
              <w:tc>
                <w:tcPr>
                  <w:tcW w:w="2844" w:type="dxa"/>
                  <w:tcBorders>
                    <w:tl2br w:val="nil"/>
                    <w:tr2bl w:val="nil"/>
                  </w:tcBorders>
                  <w:shd w:val="clear" w:color="auto" w:fill="auto"/>
                  <w:noWrap/>
                  <w:vAlign w:val="center"/>
                </w:tcPr>
                <w:p w14:paraId="41CF459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叉车</w:t>
                  </w:r>
                </w:p>
              </w:tc>
              <w:tc>
                <w:tcPr>
                  <w:tcW w:w="1768" w:type="dxa"/>
                  <w:tcBorders>
                    <w:tl2br w:val="nil"/>
                    <w:tr2bl w:val="nil"/>
                  </w:tcBorders>
                  <w:shd w:val="clear" w:color="auto" w:fill="auto"/>
                  <w:noWrap/>
                  <w:vAlign w:val="center"/>
                </w:tcPr>
                <w:p w14:paraId="43DD583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w:t>
                  </w:r>
                </w:p>
              </w:tc>
              <w:tc>
                <w:tcPr>
                  <w:tcW w:w="988" w:type="dxa"/>
                  <w:tcBorders>
                    <w:tl2br w:val="nil"/>
                    <w:tr2bl w:val="nil"/>
                  </w:tcBorders>
                  <w:shd w:val="clear" w:color="auto" w:fill="auto"/>
                  <w:noWrap/>
                  <w:vAlign w:val="center"/>
                </w:tcPr>
                <w:p w14:paraId="089DAA4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2</w:t>
                  </w:r>
                </w:p>
              </w:tc>
              <w:tc>
                <w:tcPr>
                  <w:tcW w:w="1318" w:type="dxa"/>
                  <w:tcBorders>
                    <w:tl2br w:val="nil"/>
                    <w:tr2bl w:val="nil"/>
                  </w:tcBorders>
                  <w:shd w:val="clear" w:color="auto" w:fill="auto"/>
                  <w:noWrap/>
                  <w:vAlign w:val="center"/>
                </w:tcPr>
                <w:p w14:paraId="6EC5AC6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输送</w:t>
                  </w:r>
                </w:p>
              </w:tc>
            </w:tr>
          </w:tbl>
          <w:p w14:paraId="1395EEE6">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项目主要设备产能匹配性分析见下表。</w:t>
            </w:r>
          </w:p>
          <w:p w14:paraId="23D29A9D">
            <w:pPr>
              <w:pStyle w:val="75"/>
              <w:keepNext w:val="0"/>
              <w:keepLines w:val="0"/>
              <w:numPr>
                <w:ilvl w:val="0"/>
                <w:numId w:val="4"/>
              </w:numPr>
              <w:suppressLineNumbers w:val="0"/>
              <w:bidi w:val="0"/>
              <w:spacing w:before="0" w:beforeAutospacing="0" w:after="0" w:afterAutospacing="0"/>
              <w:ind w:left="0" w:leftChars="0" w:right="0" w:firstLine="420" w:firstLineChars="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设备性能匹配表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21"/>
              <w:gridCol w:w="1040"/>
              <w:gridCol w:w="923"/>
              <w:gridCol w:w="1420"/>
              <w:gridCol w:w="1074"/>
              <w:gridCol w:w="1307"/>
              <w:gridCol w:w="895"/>
            </w:tblGrid>
            <w:tr w14:paraId="596C41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1" w:type="dxa"/>
                  <w:tcBorders>
                    <w:tl2br w:val="nil"/>
                    <w:tr2bl w:val="nil"/>
                  </w:tcBorders>
                  <w:vAlign w:val="center"/>
                </w:tcPr>
                <w:p w14:paraId="1690883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zh-CN"/>
                    </w:rPr>
                  </w:pPr>
                  <w:r>
                    <w:rPr>
                      <w:rFonts w:hint="default"/>
                      <w:caps w:val="0"/>
                      <w:color w:val="auto"/>
                      <w:spacing w:val="0"/>
                      <w:position w:val="0"/>
                      <w:highlight w:val="none"/>
                      <w:lang w:val="zh-CN"/>
                    </w:rPr>
                    <w:t>设备</w:t>
                  </w:r>
                </w:p>
              </w:tc>
              <w:tc>
                <w:tcPr>
                  <w:tcW w:w="1040" w:type="dxa"/>
                  <w:tcBorders>
                    <w:tl2br w:val="nil"/>
                    <w:tr2bl w:val="nil"/>
                  </w:tcBorders>
                  <w:vAlign w:val="center"/>
                </w:tcPr>
                <w:p w14:paraId="634369E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zh-CN"/>
                    </w:rPr>
                  </w:pPr>
                  <w:r>
                    <w:rPr>
                      <w:rFonts w:hint="default"/>
                      <w:caps w:val="0"/>
                      <w:color w:val="auto"/>
                      <w:spacing w:val="0"/>
                      <w:position w:val="0"/>
                      <w:highlight w:val="none"/>
                      <w:lang w:val="en-US" w:eastAsia="zh-CN"/>
                    </w:rPr>
                    <w:t>设备生产</w:t>
                  </w:r>
                  <w:r>
                    <w:rPr>
                      <w:rFonts w:hint="default"/>
                      <w:caps w:val="0"/>
                      <w:color w:val="auto"/>
                      <w:spacing w:val="0"/>
                      <w:position w:val="0"/>
                      <w:highlight w:val="none"/>
                      <w:lang w:val="zh-CN"/>
                    </w:rPr>
                    <w:t>能力</w:t>
                  </w:r>
                </w:p>
              </w:tc>
              <w:tc>
                <w:tcPr>
                  <w:tcW w:w="923" w:type="dxa"/>
                  <w:tcBorders>
                    <w:tl2br w:val="nil"/>
                    <w:tr2bl w:val="nil"/>
                  </w:tcBorders>
                  <w:vAlign w:val="center"/>
                </w:tcPr>
                <w:p w14:paraId="140F1FD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zh-CN"/>
                    </w:rPr>
                  </w:pPr>
                  <w:r>
                    <w:rPr>
                      <w:rFonts w:hint="default"/>
                      <w:caps w:val="0"/>
                      <w:color w:val="auto"/>
                      <w:spacing w:val="0"/>
                      <w:position w:val="0"/>
                      <w:highlight w:val="none"/>
                      <w:lang w:val="zh-CN"/>
                    </w:rPr>
                    <w:t>设备数量（台）</w:t>
                  </w:r>
                </w:p>
              </w:tc>
              <w:tc>
                <w:tcPr>
                  <w:tcW w:w="1420" w:type="dxa"/>
                  <w:tcBorders>
                    <w:tl2br w:val="nil"/>
                    <w:tr2bl w:val="nil"/>
                  </w:tcBorders>
                  <w:vAlign w:val="center"/>
                </w:tcPr>
                <w:p w14:paraId="2344791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zh-CN"/>
                    </w:rPr>
                  </w:pPr>
                  <w:r>
                    <w:rPr>
                      <w:rFonts w:hint="default"/>
                      <w:caps w:val="0"/>
                      <w:color w:val="auto"/>
                      <w:spacing w:val="0"/>
                      <w:position w:val="0"/>
                      <w:highlight w:val="none"/>
                      <w:lang w:val="zh-CN"/>
                    </w:rPr>
                    <w:t>年工作时间（h）</w:t>
                  </w:r>
                </w:p>
              </w:tc>
              <w:tc>
                <w:tcPr>
                  <w:tcW w:w="1074" w:type="dxa"/>
                  <w:tcBorders>
                    <w:tl2br w:val="nil"/>
                    <w:tr2bl w:val="nil"/>
                  </w:tcBorders>
                  <w:vAlign w:val="center"/>
                </w:tcPr>
                <w:p w14:paraId="14E6D50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zh-CN"/>
                    </w:rPr>
                  </w:pPr>
                  <w:r>
                    <w:rPr>
                      <w:rFonts w:hint="default"/>
                      <w:caps w:val="0"/>
                      <w:color w:val="auto"/>
                      <w:spacing w:val="0"/>
                      <w:position w:val="0"/>
                      <w:highlight w:val="none"/>
                      <w:lang w:val="zh-CN"/>
                    </w:rPr>
                    <w:t>最高产能（万t/a）</w:t>
                  </w:r>
                </w:p>
              </w:tc>
              <w:tc>
                <w:tcPr>
                  <w:tcW w:w="1307" w:type="dxa"/>
                  <w:tcBorders>
                    <w:tl2br w:val="nil"/>
                    <w:tr2bl w:val="nil"/>
                  </w:tcBorders>
                  <w:vAlign w:val="center"/>
                </w:tcPr>
                <w:p w14:paraId="76874DA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zh-CN"/>
                    </w:rPr>
                  </w:pPr>
                  <w:r>
                    <w:rPr>
                      <w:rFonts w:hint="default"/>
                      <w:caps w:val="0"/>
                      <w:color w:val="auto"/>
                      <w:spacing w:val="0"/>
                      <w:position w:val="0"/>
                      <w:highlight w:val="none"/>
                      <w:lang w:val="zh-CN"/>
                    </w:rPr>
                    <w:t>本项目设计产能（万t/a）</w:t>
                  </w:r>
                </w:p>
              </w:tc>
              <w:tc>
                <w:tcPr>
                  <w:tcW w:w="895" w:type="dxa"/>
                  <w:tcBorders>
                    <w:tl2br w:val="nil"/>
                    <w:tr2bl w:val="nil"/>
                  </w:tcBorders>
                  <w:vAlign w:val="center"/>
                </w:tcPr>
                <w:p w14:paraId="3FBBC16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zh-CN"/>
                    </w:rPr>
                  </w:pPr>
                  <w:r>
                    <w:rPr>
                      <w:rFonts w:hint="default"/>
                      <w:caps w:val="0"/>
                      <w:color w:val="auto"/>
                      <w:spacing w:val="0"/>
                      <w:position w:val="0"/>
                      <w:highlight w:val="none"/>
                      <w:lang w:val="zh-CN"/>
                    </w:rPr>
                    <w:t>是否</w:t>
                  </w:r>
                </w:p>
                <w:p w14:paraId="20F7B1C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zh-CN"/>
                    </w:rPr>
                  </w:pPr>
                  <w:r>
                    <w:rPr>
                      <w:rFonts w:hint="default"/>
                      <w:caps w:val="0"/>
                      <w:color w:val="auto"/>
                      <w:spacing w:val="0"/>
                      <w:position w:val="0"/>
                      <w:highlight w:val="none"/>
                      <w:lang w:val="zh-CN"/>
                    </w:rPr>
                    <w:t>匹配</w:t>
                  </w:r>
                </w:p>
              </w:tc>
            </w:tr>
            <w:tr w14:paraId="3709DF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21" w:type="dxa"/>
                  <w:tcBorders>
                    <w:tl2br w:val="nil"/>
                    <w:tr2bl w:val="nil"/>
                  </w:tcBorders>
                  <w:vAlign w:val="center"/>
                </w:tcPr>
                <w:p w14:paraId="3A96582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zh-CN"/>
                    </w:rPr>
                  </w:pPr>
                  <w:r>
                    <w:rPr>
                      <w:rFonts w:hint="eastAsia"/>
                      <w:caps w:val="0"/>
                      <w:color w:val="auto"/>
                      <w:spacing w:val="0"/>
                      <w:position w:val="0"/>
                      <w:highlight w:val="none"/>
                      <w:lang w:val="en-US" w:eastAsia="zh-CN"/>
                    </w:rPr>
                    <w:t>发泡砖</w:t>
                  </w:r>
                  <w:r>
                    <w:rPr>
                      <w:rFonts w:hint="default"/>
                      <w:caps w:val="0"/>
                      <w:color w:val="auto"/>
                      <w:spacing w:val="0"/>
                      <w:position w:val="0"/>
                      <w:highlight w:val="none"/>
                      <w:lang w:val="en-US" w:eastAsia="zh-CN"/>
                    </w:rPr>
                    <w:t>生产线</w:t>
                  </w:r>
                  <w:r>
                    <w:rPr>
                      <w:rFonts w:hint="default"/>
                      <w:caps w:val="0"/>
                      <w:color w:val="auto"/>
                      <w:spacing w:val="0"/>
                      <w:position w:val="0"/>
                      <w:highlight w:val="none"/>
                      <w:lang w:val="zh-CN"/>
                    </w:rPr>
                    <w:t>搅拌机</w:t>
                  </w:r>
                </w:p>
              </w:tc>
              <w:tc>
                <w:tcPr>
                  <w:tcW w:w="1040" w:type="dxa"/>
                  <w:tcBorders>
                    <w:tl2br w:val="nil"/>
                    <w:tr2bl w:val="nil"/>
                  </w:tcBorders>
                  <w:shd w:val="clear" w:color="auto" w:fill="auto"/>
                  <w:vAlign w:val="center"/>
                </w:tcPr>
                <w:p w14:paraId="28AAB66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8</w:t>
                  </w:r>
                  <w:r>
                    <w:rPr>
                      <w:rFonts w:hint="default"/>
                      <w:caps w:val="0"/>
                      <w:color w:val="auto"/>
                      <w:spacing w:val="0"/>
                      <w:position w:val="0"/>
                      <w:highlight w:val="none"/>
                      <w:lang w:val="en-US" w:eastAsia="zh-CN"/>
                    </w:rPr>
                    <w:t>0</w:t>
                  </w:r>
                  <w:r>
                    <w:rPr>
                      <w:rFonts w:hint="default"/>
                      <w:caps w:val="0"/>
                      <w:color w:val="auto"/>
                      <w:spacing w:val="0"/>
                      <w:position w:val="0"/>
                      <w:highlight w:val="none"/>
                      <w:lang w:val="zh-CN"/>
                    </w:rPr>
                    <w:t>t/</w:t>
                  </w:r>
                  <w:r>
                    <w:rPr>
                      <w:rFonts w:hint="eastAsia"/>
                      <w:caps w:val="0"/>
                      <w:color w:val="auto"/>
                      <w:spacing w:val="0"/>
                      <w:position w:val="0"/>
                      <w:highlight w:val="none"/>
                      <w:lang w:val="en-US" w:eastAsia="zh-CN"/>
                    </w:rPr>
                    <w:t>h</w:t>
                  </w:r>
                </w:p>
              </w:tc>
              <w:tc>
                <w:tcPr>
                  <w:tcW w:w="923" w:type="dxa"/>
                  <w:tcBorders>
                    <w:tl2br w:val="nil"/>
                    <w:tr2bl w:val="nil"/>
                  </w:tcBorders>
                  <w:shd w:val="clear" w:color="auto" w:fill="auto"/>
                  <w:vAlign w:val="center"/>
                </w:tcPr>
                <w:p w14:paraId="6637741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1</w:t>
                  </w:r>
                </w:p>
              </w:tc>
              <w:tc>
                <w:tcPr>
                  <w:tcW w:w="1420" w:type="dxa"/>
                  <w:tcBorders>
                    <w:tl2br w:val="nil"/>
                    <w:tr2bl w:val="nil"/>
                  </w:tcBorders>
                  <w:shd w:val="clear" w:color="auto" w:fill="auto"/>
                  <w:vAlign w:val="center"/>
                </w:tcPr>
                <w:p w14:paraId="7299B62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16</w:t>
                  </w:r>
                  <w:r>
                    <w:rPr>
                      <w:rFonts w:hint="default"/>
                      <w:caps w:val="0"/>
                      <w:color w:val="auto"/>
                      <w:spacing w:val="0"/>
                      <w:position w:val="0"/>
                      <w:highlight w:val="none"/>
                    </w:rPr>
                    <w:t>h/d，300d</w:t>
                  </w:r>
                </w:p>
              </w:tc>
              <w:tc>
                <w:tcPr>
                  <w:tcW w:w="1074" w:type="dxa"/>
                  <w:tcBorders>
                    <w:tl2br w:val="nil"/>
                    <w:tr2bl w:val="nil"/>
                  </w:tcBorders>
                  <w:vAlign w:val="center"/>
                </w:tcPr>
                <w:p w14:paraId="27ADF4E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38.4</w:t>
                  </w:r>
                </w:p>
              </w:tc>
              <w:tc>
                <w:tcPr>
                  <w:tcW w:w="1307" w:type="dxa"/>
                  <w:tcBorders>
                    <w:tl2br w:val="nil"/>
                    <w:tr2bl w:val="nil"/>
                  </w:tcBorders>
                  <w:vAlign w:val="center"/>
                </w:tcPr>
                <w:p w14:paraId="31AFD17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20</w:t>
                  </w:r>
                </w:p>
              </w:tc>
              <w:tc>
                <w:tcPr>
                  <w:tcW w:w="895" w:type="dxa"/>
                  <w:tcBorders>
                    <w:tl2br w:val="nil"/>
                    <w:tr2bl w:val="nil"/>
                  </w:tcBorders>
                  <w:vAlign w:val="center"/>
                </w:tcPr>
                <w:p w14:paraId="352A790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zh-CN"/>
                    </w:rPr>
                  </w:pPr>
                  <w:r>
                    <w:rPr>
                      <w:rFonts w:hint="default"/>
                      <w:caps w:val="0"/>
                      <w:color w:val="auto"/>
                      <w:spacing w:val="0"/>
                      <w:position w:val="0"/>
                      <w:highlight w:val="none"/>
                      <w:lang w:val="zh-CN"/>
                    </w:rPr>
                    <w:t>匹配</w:t>
                  </w:r>
                </w:p>
              </w:tc>
            </w:tr>
          </w:tbl>
          <w:p w14:paraId="6DBA266B">
            <w:pPr>
              <w:pStyle w:val="74"/>
              <w:keepNext w:val="0"/>
              <w:keepLines w:val="0"/>
              <w:suppressLineNumbers w:val="0"/>
              <w:bidi w:val="0"/>
              <w:spacing w:before="0" w:beforeAutospacing="0" w:after="0" w:afterAutospacing="0"/>
              <w:ind w:left="0" w:right="0"/>
              <w:rPr>
                <w:rFonts w:hint="default" w:ascii="Times New Roman" w:hAnsi="Times New Roman" w:cs="Times New Roman"/>
                <w:b/>
                <w:bCs w:val="0"/>
                <w:caps w:val="0"/>
                <w:color w:val="auto"/>
                <w:spacing w:val="0"/>
                <w:position w:val="0"/>
                <w:highlight w:val="none"/>
              </w:rPr>
            </w:pPr>
            <w:r>
              <w:rPr>
                <w:rFonts w:hint="default" w:ascii="Times New Roman" w:hAnsi="Times New Roman" w:cs="Times New Roman"/>
                <w:b/>
                <w:bCs w:val="0"/>
                <w:caps w:val="0"/>
                <w:color w:val="auto"/>
                <w:spacing w:val="0"/>
                <w:position w:val="0"/>
                <w:highlight w:val="none"/>
                <w:lang w:val="en-US" w:eastAsia="zh-CN"/>
              </w:rPr>
              <w:t>6</w:t>
            </w:r>
            <w:r>
              <w:rPr>
                <w:rFonts w:hint="default" w:ascii="Times New Roman" w:hAnsi="Times New Roman" w:cs="Times New Roman"/>
                <w:b/>
                <w:bCs w:val="0"/>
                <w:caps w:val="0"/>
                <w:color w:val="auto"/>
                <w:spacing w:val="0"/>
                <w:position w:val="0"/>
                <w:highlight w:val="none"/>
              </w:rPr>
              <w:t>、主要原辅料及能源</w:t>
            </w:r>
          </w:p>
          <w:p w14:paraId="5C50D7D7">
            <w:pPr>
              <w:keepNext w:val="0"/>
              <w:keepLines w:val="0"/>
              <w:suppressLineNumbers w:val="0"/>
              <w:tabs>
                <w:tab w:val="center" w:pos="4513"/>
              </w:tabs>
              <w:adjustRightInd w:val="0"/>
              <w:snapToGrid w:val="0"/>
              <w:spacing w:before="0" w:beforeAutospacing="0" w:after="0" w:afterAutospacing="0" w:line="360" w:lineRule="auto"/>
              <w:ind w:left="0" w:right="0" w:firstLine="480" w:firstLineChars="200"/>
              <w:textAlignment w:val="baseline"/>
              <w:rPr>
                <w:rFonts w:hint="eastAsia"/>
                <w:caps w:val="0"/>
                <w:color w:val="auto"/>
                <w:spacing w:val="0"/>
                <w:position w:val="0"/>
                <w:sz w:val="24"/>
                <w:highlight w:val="none"/>
                <w:lang w:val="en-US" w:eastAsia="zh-CN"/>
              </w:rPr>
            </w:pPr>
            <w:r>
              <w:rPr>
                <w:rFonts w:hint="eastAsia" w:ascii="Times New Roman" w:hAnsi="Times New Roman" w:eastAsia="宋体" w:cs="Times New Roman"/>
                <w:caps w:val="0"/>
                <w:color w:val="auto"/>
                <w:spacing w:val="0"/>
                <w:position w:val="0"/>
                <w:sz w:val="24"/>
                <w:highlight w:val="none"/>
                <w:lang w:val="en-US" w:eastAsia="zh-CN"/>
              </w:rPr>
              <w:t>本项目</w:t>
            </w:r>
            <w:r>
              <w:rPr>
                <w:rFonts w:hint="eastAsia" w:ascii="Times New Roman" w:hAnsi="Times New Roman" w:eastAsia="宋体" w:cs="Times New Roman"/>
                <w:b w:val="0"/>
                <w:bCs w:val="0"/>
                <w:caps w:val="0"/>
                <w:color w:val="auto"/>
                <w:spacing w:val="0"/>
                <w:kern w:val="0"/>
                <w:position w:val="0"/>
                <w:sz w:val="24"/>
                <w:szCs w:val="24"/>
                <w:highlight w:val="none"/>
                <w:lang w:val="en-US" w:eastAsia="zh-CN"/>
              </w:rPr>
              <w:t>锂冶炼剩余物为二次提锂企业产生的水洗渣，为一般工业固体废物，主要来源于研硕科技，根据《</w:t>
            </w:r>
            <w:r>
              <w:rPr>
                <w:rFonts w:hint="eastAsia"/>
                <w:caps w:val="0"/>
                <w:color w:val="auto"/>
                <w:spacing w:val="0"/>
                <w:position w:val="0"/>
                <w:sz w:val="24"/>
                <w:highlight w:val="none"/>
                <w:lang w:eastAsia="zh-CN"/>
              </w:rPr>
              <w:t>江西研硕科技研发有限公司年50万吨锂冶炼剩余物清洁化利用项目（重大变动）</w:t>
            </w:r>
            <w:r>
              <w:rPr>
                <w:rFonts w:hint="eastAsia"/>
                <w:caps w:val="0"/>
                <w:color w:val="auto"/>
                <w:spacing w:val="0"/>
                <w:position w:val="0"/>
                <w:sz w:val="24"/>
                <w:highlight w:val="none"/>
                <w:lang w:val="en-US" w:eastAsia="zh-CN"/>
              </w:rPr>
              <w:t>环境影响报告书》及其批复（高环评字〔2025〕9号）要求：“建设单位须对固化尾渣进行属性鉴定，鉴定结果须为一般工业固废，需满足相应产品质量要求。含锂溶液用于下游企业提锂，固化尾渣用于公路路基时质量应满足《公路路基工程利用锂渣技术规范（试行）》（DB36/T1968- 2024）（试行）相关要求；固化尾渣用于市政道路透水砖和市政管网填充时，固化尾渣参照满足《水泥窑协同处置固体废物技术规范》（GB/T 30760-2024）对水泥熟料中重金属含量的要求；固化尾渣不满足以上产品要求进入填埋场填埋时，须满足《一般工业固体废物贮存和填埋污染控制标准》（GB18599-2020）相关要求”。因此，本项目外购的研硕科技固化尾渣须为一般工业固废，</w:t>
            </w:r>
            <w:r>
              <w:rPr>
                <w:rFonts w:hint="eastAsia"/>
                <w:caps w:val="0"/>
                <w:color w:val="auto"/>
                <w:spacing w:val="0"/>
                <w:position w:val="0"/>
                <w:sz w:val="24"/>
                <w:highlight w:val="none"/>
                <w:lang w:eastAsia="zh-CN"/>
              </w:rPr>
              <w:t>研硕科技</w:t>
            </w:r>
            <w:r>
              <w:rPr>
                <w:rFonts w:hint="eastAsia"/>
                <w:caps w:val="0"/>
                <w:color w:val="auto"/>
                <w:spacing w:val="0"/>
                <w:position w:val="0"/>
                <w:sz w:val="24"/>
                <w:highlight w:val="none"/>
                <w:lang w:val="en-US" w:eastAsia="zh-CN"/>
              </w:rPr>
              <w:t>产生的</w:t>
            </w:r>
            <w:r>
              <w:rPr>
                <w:rFonts w:hint="eastAsia"/>
                <w:caps w:val="0"/>
                <w:color w:val="auto"/>
                <w:spacing w:val="0"/>
                <w:position w:val="0"/>
                <w:sz w:val="24"/>
                <w:highlight w:val="none"/>
                <w:lang w:eastAsia="zh-CN"/>
              </w:rPr>
              <w:t>锂冶炼剩余物（</w:t>
            </w:r>
            <w:r>
              <w:rPr>
                <w:rFonts w:hint="eastAsia"/>
                <w:caps w:val="0"/>
                <w:color w:val="auto"/>
                <w:spacing w:val="0"/>
                <w:position w:val="0"/>
                <w:sz w:val="24"/>
                <w:highlight w:val="none"/>
                <w:lang w:val="en-US" w:eastAsia="zh-CN"/>
              </w:rPr>
              <w:t>其环评和批复为固化尾渣）为50万t/a，本项目仅利用其中的14万t/a，来源充分可靠。</w:t>
            </w:r>
          </w:p>
          <w:p w14:paraId="331662F1">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spacing w:val="0"/>
                <w:position w:val="0"/>
                <w:sz w:val="24"/>
                <w:highlight w:val="none"/>
              </w:rPr>
            </w:pPr>
            <w:r>
              <w:rPr>
                <w:rFonts w:hint="eastAsia"/>
                <w:caps w:val="0"/>
                <w:color w:val="auto"/>
                <w:spacing w:val="0"/>
                <w:position w:val="0"/>
                <w:highlight w:val="none"/>
                <w:lang w:val="en-US" w:eastAsia="zh-CN"/>
              </w:rPr>
              <w:t>压榨尾泥来源于行业类别为C3099 其他非金属矿物制品制造的高安市境内建筑石料加工厂，石料加工过程中用水冲洗石料表面，经沉淀得到的污泥，经压榨后外售。本项目所用压榨尾泥不得使用非建筑石料加工厂提供的压榨尾泥，不得使用危险废物。</w:t>
            </w:r>
            <w:r>
              <w:rPr>
                <w:rFonts w:hint="default" w:ascii="Times New Roman" w:hAnsi="Times New Roman" w:eastAsia="宋体" w:cs="Times New Roman"/>
                <w:caps w:val="0"/>
                <w:color w:val="auto"/>
                <w:spacing w:val="0"/>
                <w:position w:val="0"/>
                <w:sz w:val="24"/>
                <w:highlight w:val="none"/>
                <w:lang w:val="en-US" w:eastAsia="zh-CN"/>
              </w:rPr>
              <w:t>主要</w:t>
            </w:r>
            <w:r>
              <w:rPr>
                <w:rFonts w:hint="default" w:ascii="Times New Roman" w:hAnsi="Times New Roman" w:eastAsia="宋体" w:cs="Times New Roman"/>
                <w:caps w:val="0"/>
                <w:color w:val="auto"/>
                <w:spacing w:val="0"/>
                <w:position w:val="0"/>
                <w:sz w:val="24"/>
                <w:highlight w:val="none"/>
              </w:rPr>
              <w:t>原辅材料消耗情况见</w:t>
            </w:r>
            <w:r>
              <w:rPr>
                <w:rFonts w:hint="eastAsia" w:ascii="Times New Roman" w:hAnsi="Times New Roman" w:eastAsia="宋体" w:cs="Times New Roman"/>
                <w:caps w:val="0"/>
                <w:color w:val="auto"/>
                <w:spacing w:val="0"/>
                <w:position w:val="0"/>
                <w:sz w:val="24"/>
                <w:highlight w:val="none"/>
                <w:lang w:val="en-US" w:eastAsia="zh-CN"/>
              </w:rPr>
              <w:t>下</w:t>
            </w:r>
            <w:r>
              <w:rPr>
                <w:rFonts w:hint="default" w:ascii="Times New Roman" w:hAnsi="Times New Roman" w:eastAsia="宋体" w:cs="Times New Roman"/>
                <w:caps w:val="0"/>
                <w:color w:val="auto"/>
                <w:spacing w:val="0"/>
                <w:position w:val="0"/>
                <w:sz w:val="24"/>
                <w:highlight w:val="none"/>
              </w:rPr>
              <w:t>表。</w:t>
            </w:r>
          </w:p>
          <w:p w14:paraId="678D4D07">
            <w:pPr>
              <w:pStyle w:val="75"/>
              <w:keepNext w:val="0"/>
              <w:keepLines w:val="0"/>
              <w:numPr>
                <w:ilvl w:val="0"/>
                <w:numId w:val="4"/>
              </w:numPr>
              <w:suppressLineNumbers w:val="0"/>
              <w:bidi w:val="0"/>
              <w:spacing w:before="0" w:beforeAutospacing="0" w:after="0" w:afterAutospacing="0"/>
              <w:ind w:left="0" w:leftChars="0" w:right="0" w:firstLine="420" w:firstLineChars="0"/>
              <w:rPr>
                <w:rFonts w:hint="default" w:ascii="Times New Roman" w:hAnsi="Times New Roman" w:cs="Times New Roman"/>
                <w:caps w:val="0"/>
                <w:color w:val="auto"/>
                <w:spacing w:val="0"/>
                <w:position w:val="0"/>
                <w:highlight w:val="none"/>
              </w:rPr>
            </w:pPr>
            <w:r>
              <w:rPr>
                <w:rFonts w:hint="eastAsia" w:cs="Times New Roman"/>
                <w:caps w:val="0"/>
                <w:color w:val="auto"/>
                <w:spacing w:val="0"/>
                <w:position w:val="0"/>
                <w:highlight w:val="none"/>
                <w:lang w:val="en-US" w:eastAsia="zh-CN"/>
              </w:rPr>
              <w:t>全厂</w:t>
            </w:r>
            <w:r>
              <w:rPr>
                <w:rFonts w:hint="default" w:ascii="Times New Roman" w:hAnsi="Times New Roman" w:cs="Times New Roman"/>
                <w:caps w:val="0"/>
                <w:color w:val="auto"/>
                <w:spacing w:val="0"/>
                <w:position w:val="0"/>
                <w:highlight w:val="none"/>
              </w:rPr>
              <w:t>主要原辅材料一览表</w:t>
            </w:r>
          </w:p>
          <w:tbl>
            <w:tblPr>
              <w:tblStyle w:val="23"/>
              <w:tblW w:w="8100"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20"/>
              <w:gridCol w:w="362"/>
              <w:gridCol w:w="1037"/>
              <w:gridCol w:w="488"/>
              <w:gridCol w:w="837"/>
              <w:gridCol w:w="938"/>
              <w:gridCol w:w="762"/>
              <w:gridCol w:w="1138"/>
              <w:gridCol w:w="2498"/>
              <w:gridCol w:w="20"/>
            </w:tblGrid>
            <w:tr w14:paraId="05A8E62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gridBefore w:val="1"/>
                <w:wBefore w:w="20" w:type="dxa"/>
                <w:trHeight w:val="555" w:hRule="atLeast"/>
                <w:jc w:val="center"/>
              </w:trPr>
              <w:tc>
                <w:tcPr>
                  <w:tcW w:w="362" w:type="dxa"/>
                  <w:tcBorders>
                    <w:tl2br w:val="nil"/>
                    <w:tr2bl w:val="nil"/>
                  </w:tcBorders>
                  <w:shd w:val="clear" w:color="auto" w:fill="auto"/>
                  <w:vAlign w:val="center"/>
                </w:tcPr>
                <w:p w14:paraId="10546D09">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序号</w:t>
                  </w:r>
                </w:p>
              </w:tc>
              <w:tc>
                <w:tcPr>
                  <w:tcW w:w="1037" w:type="dxa"/>
                  <w:tcBorders>
                    <w:tl2br w:val="nil"/>
                    <w:tr2bl w:val="nil"/>
                  </w:tcBorders>
                  <w:shd w:val="clear" w:color="auto" w:fill="auto"/>
                  <w:vAlign w:val="center"/>
                </w:tcPr>
                <w:p w14:paraId="38EBC9BD">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原料名称</w:t>
                  </w:r>
                </w:p>
              </w:tc>
              <w:tc>
                <w:tcPr>
                  <w:tcW w:w="488" w:type="dxa"/>
                  <w:tcBorders>
                    <w:tl2br w:val="nil"/>
                    <w:tr2bl w:val="nil"/>
                  </w:tcBorders>
                  <w:shd w:val="clear" w:color="auto" w:fill="auto"/>
                  <w:vAlign w:val="center"/>
                </w:tcPr>
                <w:p w14:paraId="0E92A50F">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形态</w:t>
                  </w:r>
                </w:p>
              </w:tc>
              <w:tc>
                <w:tcPr>
                  <w:tcW w:w="837" w:type="dxa"/>
                  <w:tcBorders>
                    <w:tl2br w:val="nil"/>
                    <w:tr2bl w:val="nil"/>
                  </w:tcBorders>
                  <w:shd w:val="clear" w:color="auto" w:fill="auto"/>
                  <w:vAlign w:val="center"/>
                </w:tcPr>
                <w:p w14:paraId="717A046F">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年使用量</w:t>
                  </w:r>
                  <w:r>
                    <w:rPr>
                      <w:rFonts w:hint="default"/>
                      <w:caps w:val="0"/>
                      <w:color w:val="auto"/>
                      <w:spacing w:val="0"/>
                      <w:position w:val="0"/>
                      <w:highlight w:val="none"/>
                      <w:lang w:val="en-US" w:eastAsia="zh-CN"/>
                    </w:rPr>
                    <w:t>t</w:t>
                  </w:r>
                </w:p>
              </w:tc>
              <w:tc>
                <w:tcPr>
                  <w:tcW w:w="938" w:type="dxa"/>
                  <w:tcBorders>
                    <w:tl2br w:val="nil"/>
                    <w:tr2bl w:val="nil"/>
                  </w:tcBorders>
                  <w:shd w:val="clear" w:color="auto" w:fill="auto"/>
                  <w:vAlign w:val="center"/>
                </w:tcPr>
                <w:p w14:paraId="6B57EE48">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最大储存量</w:t>
                  </w:r>
                  <w:r>
                    <w:rPr>
                      <w:rFonts w:hint="default"/>
                      <w:caps w:val="0"/>
                      <w:color w:val="auto"/>
                      <w:spacing w:val="0"/>
                      <w:position w:val="0"/>
                      <w:highlight w:val="none"/>
                      <w:lang w:val="en-US" w:eastAsia="zh-CN"/>
                    </w:rPr>
                    <w:t>t</w:t>
                  </w:r>
                </w:p>
              </w:tc>
              <w:tc>
                <w:tcPr>
                  <w:tcW w:w="762" w:type="dxa"/>
                  <w:tcBorders>
                    <w:tl2br w:val="nil"/>
                    <w:tr2bl w:val="nil"/>
                  </w:tcBorders>
                  <w:shd w:val="clear" w:color="auto" w:fill="auto"/>
                  <w:vAlign w:val="center"/>
                </w:tcPr>
                <w:p w14:paraId="442A1D4E">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包装规格</w:t>
                  </w:r>
                </w:p>
              </w:tc>
              <w:tc>
                <w:tcPr>
                  <w:tcW w:w="1138" w:type="dxa"/>
                  <w:tcBorders>
                    <w:tl2br w:val="nil"/>
                    <w:tr2bl w:val="nil"/>
                  </w:tcBorders>
                  <w:shd w:val="clear" w:color="auto" w:fill="auto"/>
                  <w:vAlign w:val="center"/>
                </w:tcPr>
                <w:p w14:paraId="18E5EF84">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储存位置</w:t>
                  </w:r>
                </w:p>
              </w:tc>
              <w:tc>
                <w:tcPr>
                  <w:tcW w:w="2518" w:type="dxa"/>
                  <w:gridSpan w:val="2"/>
                  <w:tcBorders>
                    <w:tl2br w:val="nil"/>
                    <w:tr2bl w:val="nil"/>
                  </w:tcBorders>
                  <w:shd w:val="clear" w:color="auto" w:fill="auto"/>
                  <w:vAlign w:val="center"/>
                </w:tcPr>
                <w:p w14:paraId="37C1CA1B">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备注</w:t>
                  </w:r>
                </w:p>
              </w:tc>
            </w:tr>
            <w:tr w14:paraId="740F008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20" w:type="dxa"/>
                <w:trHeight w:val="780" w:hRule="atLeast"/>
                <w:jc w:val="center"/>
              </w:trPr>
              <w:tc>
                <w:tcPr>
                  <w:tcW w:w="382" w:type="dxa"/>
                  <w:gridSpan w:val="2"/>
                  <w:tcBorders>
                    <w:tl2br w:val="nil"/>
                    <w:tr2bl w:val="nil"/>
                  </w:tcBorders>
                  <w:shd w:val="clear" w:color="auto" w:fill="auto"/>
                  <w:noWrap/>
                  <w:vAlign w:val="center"/>
                </w:tcPr>
                <w:p w14:paraId="258D389B">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1</w:t>
                  </w:r>
                </w:p>
              </w:tc>
              <w:tc>
                <w:tcPr>
                  <w:tcW w:w="1037" w:type="dxa"/>
                  <w:tcBorders>
                    <w:tl2br w:val="nil"/>
                    <w:tr2bl w:val="nil"/>
                  </w:tcBorders>
                  <w:shd w:val="clear" w:color="auto" w:fill="auto"/>
                  <w:vAlign w:val="center"/>
                </w:tcPr>
                <w:p w14:paraId="6EF01562">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锂渣（锂冶炼剩余物）</w:t>
                  </w:r>
                </w:p>
              </w:tc>
              <w:tc>
                <w:tcPr>
                  <w:tcW w:w="488" w:type="dxa"/>
                  <w:tcBorders>
                    <w:tl2br w:val="nil"/>
                    <w:tr2bl w:val="nil"/>
                  </w:tcBorders>
                  <w:shd w:val="clear" w:color="auto" w:fill="auto"/>
                  <w:vAlign w:val="center"/>
                </w:tcPr>
                <w:p w14:paraId="3FB8F050">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固态</w:t>
                  </w:r>
                </w:p>
              </w:tc>
              <w:tc>
                <w:tcPr>
                  <w:tcW w:w="837" w:type="dxa"/>
                  <w:tcBorders>
                    <w:tl2br w:val="nil"/>
                    <w:tr2bl w:val="nil"/>
                  </w:tcBorders>
                  <w:shd w:val="clear" w:color="auto" w:fill="auto"/>
                  <w:noWrap/>
                  <w:vAlign w:val="center"/>
                </w:tcPr>
                <w:p w14:paraId="52072267">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14</w:t>
                  </w:r>
                  <w:r>
                    <w:rPr>
                      <w:rFonts w:hint="eastAsia"/>
                      <w:caps w:val="0"/>
                      <w:color w:val="auto"/>
                      <w:spacing w:val="0"/>
                      <w:position w:val="0"/>
                      <w:highlight w:val="none"/>
                      <w:lang w:val="en-US" w:eastAsia="zh-CN"/>
                    </w:rPr>
                    <w:t>0</w:t>
                  </w:r>
                  <w:r>
                    <w:rPr>
                      <w:rFonts w:hint="default"/>
                      <w:caps w:val="0"/>
                      <w:color w:val="auto"/>
                      <w:spacing w:val="0"/>
                      <w:position w:val="0"/>
                      <w:highlight w:val="none"/>
                      <w:lang w:val="en-US" w:eastAsia="zh-CN"/>
                    </w:rPr>
                    <w:t>000</w:t>
                  </w:r>
                </w:p>
              </w:tc>
              <w:tc>
                <w:tcPr>
                  <w:tcW w:w="938" w:type="dxa"/>
                  <w:tcBorders>
                    <w:tl2br w:val="nil"/>
                    <w:tr2bl w:val="nil"/>
                  </w:tcBorders>
                  <w:shd w:val="clear" w:color="auto" w:fill="auto"/>
                  <w:vAlign w:val="center"/>
                </w:tcPr>
                <w:p w14:paraId="36A169D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4000</w:t>
                  </w:r>
                </w:p>
              </w:tc>
              <w:tc>
                <w:tcPr>
                  <w:tcW w:w="762" w:type="dxa"/>
                  <w:tcBorders>
                    <w:tl2br w:val="nil"/>
                    <w:tr2bl w:val="nil"/>
                  </w:tcBorders>
                  <w:shd w:val="clear" w:color="auto" w:fill="auto"/>
                  <w:vAlign w:val="center"/>
                </w:tcPr>
                <w:p w14:paraId="05AF6758">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散装</w:t>
                  </w:r>
                </w:p>
              </w:tc>
              <w:tc>
                <w:tcPr>
                  <w:tcW w:w="1138" w:type="dxa"/>
                  <w:tcBorders>
                    <w:tl2br w:val="nil"/>
                    <w:tr2bl w:val="nil"/>
                  </w:tcBorders>
                  <w:shd w:val="clear" w:color="auto" w:fill="auto"/>
                  <w:vAlign w:val="center"/>
                </w:tcPr>
                <w:p w14:paraId="4EF32243">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锂渣仓库</w:t>
                  </w:r>
                </w:p>
              </w:tc>
              <w:tc>
                <w:tcPr>
                  <w:tcW w:w="2498" w:type="dxa"/>
                  <w:tcBorders>
                    <w:tl2br w:val="nil"/>
                    <w:tr2bl w:val="nil"/>
                  </w:tcBorders>
                  <w:shd w:val="clear" w:color="auto" w:fill="auto"/>
                  <w:noWrap/>
                  <w:vAlign w:val="center"/>
                </w:tcPr>
                <w:p w14:paraId="0595AF1C">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入厂时含水率</w:t>
                  </w:r>
                  <w:r>
                    <w:rPr>
                      <w:rFonts w:hint="default"/>
                      <w:caps w:val="0"/>
                      <w:color w:val="auto"/>
                      <w:spacing w:val="0"/>
                      <w:position w:val="0"/>
                      <w:highlight w:val="none"/>
                      <w:lang w:val="en-US" w:eastAsia="zh-CN"/>
                    </w:rPr>
                    <w:t>20%</w:t>
                  </w:r>
                  <w:r>
                    <w:rPr>
                      <w:rFonts w:hint="eastAsia"/>
                      <w:caps w:val="0"/>
                      <w:color w:val="auto"/>
                      <w:spacing w:val="0"/>
                      <w:position w:val="0"/>
                      <w:highlight w:val="none"/>
                      <w:lang w:val="en-US" w:eastAsia="zh-CN"/>
                    </w:rPr>
                    <w:t>左右，（附件</w:t>
                  </w:r>
                  <w:r>
                    <w:rPr>
                      <w:rFonts w:hint="default"/>
                      <w:caps w:val="0"/>
                      <w:color w:val="auto"/>
                      <w:spacing w:val="0"/>
                      <w:position w:val="0"/>
                      <w:highlight w:val="none"/>
                      <w:lang w:val="en-US" w:eastAsia="zh-CN"/>
                    </w:rPr>
                    <w:t>10</w:t>
                  </w:r>
                  <w:r>
                    <w:rPr>
                      <w:rFonts w:hint="eastAsia"/>
                      <w:caps w:val="0"/>
                      <w:color w:val="auto"/>
                      <w:spacing w:val="0"/>
                      <w:position w:val="0"/>
                      <w:highlight w:val="none"/>
                      <w:lang w:val="en-US" w:eastAsia="zh-CN"/>
                    </w:rPr>
                    <w:t>含水率为</w:t>
                  </w:r>
                  <w:r>
                    <w:rPr>
                      <w:rFonts w:hint="default"/>
                      <w:caps w:val="0"/>
                      <w:color w:val="auto"/>
                      <w:spacing w:val="0"/>
                      <w:position w:val="0"/>
                      <w:highlight w:val="none"/>
                      <w:lang w:val="en-US" w:eastAsia="zh-CN"/>
                    </w:rPr>
                    <w:t>14%</w:t>
                  </w:r>
                  <w:r>
                    <w:rPr>
                      <w:rFonts w:hint="eastAsia"/>
                      <w:caps w:val="0"/>
                      <w:color w:val="auto"/>
                      <w:spacing w:val="0"/>
                      <w:position w:val="0"/>
                      <w:highlight w:val="none"/>
                      <w:lang w:val="en-US" w:eastAsia="zh-CN"/>
                    </w:rPr>
                    <w:t>，是由于在仓库存放时间较久，水份略有蒸发）。粒径分布在</w:t>
                  </w:r>
                  <w:r>
                    <w:rPr>
                      <w:rFonts w:hint="default"/>
                      <w:caps w:val="0"/>
                      <w:color w:val="auto"/>
                      <w:spacing w:val="0"/>
                      <w:position w:val="0"/>
                      <w:highlight w:val="none"/>
                      <w:lang w:val="en-US" w:eastAsia="zh-CN"/>
                    </w:rPr>
                    <w:t>10</w:t>
                  </w:r>
                  <w:r>
                    <w:rPr>
                      <w:rFonts w:hint="eastAsia"/>
                      <w:caps w:val="0"/>
                      <w:color w:val="auto"/>
                      <w:spacing w:val="0"/>
                      <w:position w:val="0"/>
                      <w:highlight w:val="none"/>
                      <w:lang w:val="en-US" w:eastAsia="zh-CN"/>
                    </w:rPr>
                    <w:t>～</w:t>
                  </w:r>
                  <w:r>
                    <w:rPr>
                      <w:rFonts w:hint="default"/>
                      <w:caps w:val="0"/>
                      <w:color w:val="auto"/>
                      <w:spacing w:val="0"/>
                      <w:position w:val="0"/>
                      <w:highlight w:val="none"/>
                      <w:lang w:val="en-US" w:eastAsia="zh-CN"/>
                    </w:rPr>
                    <w:t>30mm</w:t>
                  </w:r>
                </w:p>
              </w:tc>
            </w:tr>
            <w:tr w14:paraId="68B97D3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20" w:type="dxa"/>
                <w:trHeight w:val="555" w:hRule="atLeast"/>
                <w:jc w:val="center"/>
              </w:trPr>
              <w:tc>
                <w:tcPr>
                  <w:tcW w:w="382" w:type="dxa"/>
                  <w:gridSpan w:val="2"/>
                  <w:tcBorders>
                    <w:tl2br w:val="nil"/>
                    <w:tr2bl w:val="nil"/>
                  </w:tcBorders>
                  <w:shd w:val="clear" w:color="auto" w:fill="auto"/>
                  <w:noWrap/>
                  <w:vAlign w:val="center"/>
                </w:tcPr>
                <w:p w14:paraId="1155A1C1">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2</w:t>
                  </w:r>
                </w:p>
              </w:tc>
              <w:tc>
                <w:tcPr>
                  <w:tcW w:w="1037" w:type="dxa"/>
                  <w:tcBorders>
                    <w:tl2br w:val="nil"/>
                    <w:tr2bl w:val="nil"/>
                  </w:tcBorders>
                  <w:shd w:val="clear" w:color="auto" w:fill="auto"/>
                  <w:vAlign w:val="center"/>
                </w:tcPr>
                <w:p w14:paraId="348A633B">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石粉</w:t>
                  </w:r>
                </w:p>
              </w:tc>
              <w:tc>
                <w:tcPr>
                  <w:tcW w:w="488" w:type="dxa"/>
                  <w:tcBorders>
                    <w:tl2br w:val="nil"/>
                    <w:tr2bl w:val="nil"/>
                  </w:tcBorders>
                  <w:shd w:val="clear" w:color="auto" w:fill="auto"/>
                  <w:vAlign w:val="center"/>
                </w:tcPr>
                <w:p w14:paraId="46982D7D">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固态</w:t>
                  </w:r>
                </w:p>
              </w:tc>
              <w:tc>
                <w:tcPr>
                  <w:tcW w:w="837" w:type="dxa"/>
                  <w:tcBorders>
                    <w:tl2br w:val="nil"/>
                    <w:tr2bl w:val="nil"/>
                  </w:tcBorders>
                  <w:shd w:val="clear" w:color="auto" w:fill="auto"/>
                  <w:noWrap/>
                  <w:vAlign w:val="center"/>
                </w:tcPr>
                <w:p w14:paraId="19AAC3D6">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8000</w:t>
                  </w:r>
                </w:p>
              </w:tc>
              <w:tc>
                <w:tcPr>
                  <w:tcW w:w="938" w:type="dxa"/>
                  <w:tcBorders>
                    <w:tl2br w:val="nil"/>
                    <w:tr2bl w:val="nil"/>
                  </w:tcBorders>
                  <w:shd w:val="clear" w:color="auto" w:fill="auto"/>
                  <w:vAlign w:val="center"/>
                </w:tcPr>
                <w:p w14:paraId="74D9E92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275</w:t>
                  </w:r>
                </w:p>
              </w:tc>
              <w:tc>
                <w:tcPr>
                  <w:tcW w:w="762" w:type="dxa"/>
                  <w:tcBorders>
                    <w:tl2br w:val="nil"/>
                    <w:tr2bl w:val="nil"/>
                  </w:tcBorders>
                  <w:shd w:val="clear" w:color="auto" w:fill="auto"/>
                  <w:vAlign w:val="center"/>
                </w:tcPr>
                <w:p w14:paraId="43B1FD43">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散装</w:t>
                  </w:r>
                </w:p>
              </w:tc>
              <w:tc>
                <w:tcPr>
                  <w:tcW w:w="1138" w:type="dxa"/>
                  <w:tcBorders>
                    <w:tl2br w:val="nil"/>
                    <w:tr2bl w:val="nil"/>
                  </w:tcBorders>
                  <w:shd w:val="clear" w:color="auto" w:fill="auto"/>
                  <w:vAlign w:val="center"/>
                </w:tcPr>
                <w:p w14:paraId="696B011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w:t>
                  </w:r>
                  <w:r>
                    <w:rPr>
                      <w:rFonts w:hint="eastAsia"/>
                      <w:caps w:val="0"/>
                      <w:color w:val="auto"/>
                      <w:spacing w:val="0"/>
                      <w:position w:val="0"/>
                      <w:highlight w:val="none"/>
                      <w:lang w:val="en-US" w:eastAsia="zh-CN"/>
                    </w:rPr>
                    <w:t>料筒仓（</w:t>
                  </w:r>
                  <w:r>
                    <w:rPr>
                      <w:rFonts w:hint="default"/>
                      <w:caps w:val="0"/>
                      <w:color w:val="auto"/>
                      <w:spacing w:val="0"/>
                      <w:position w:val="0"/>
                      <w:highlight w:val="none"/>
                      <w:lang w:val="en-US" w:eastAsia="zh-CN"/>
                    </w:rPr>
                    <w:t>100m</w:t>
                  </w:r>
                  <w:r>
                    <w:rPr>
                      <w:rFonts w:hint="default"/>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w:t>
                  </w:r>
                </w:p>
              </w:tc>
              <w:tc>
                <w:tcPr>
                  <w:tcW w:w="2498" w:type="dxa"/>
                  <w:tcBorders>
                    <w:tl2br w:val="nil"/>
                    <w:tr2bl w:val="nil"/>
                  </w:tcBorders>
                  <w:shd w:val="clear" w:color="auto" w:fill="auto"/>
                  <w:noWrap/>
                  <w:vAlign w:val="center"/>
                </w:tcPr>
                <w:p w14:paraId="0178F994">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外购，《用于水泥、砂浆和混凝土中的石灰石粉》（GB/T35164-2017）</w:t>
                  </w:r>
                </w:p>
              </w:tc>
            </w:tr>
            <w:tr w14:paraId="531826F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20" w:type="dxa"/>
                <w:trHeight w:val="90" w:hRule="atLeast"/>
                <w:jc w:val="center"/>
              </w:trPr>
              <w:tc>
                <w:tcPr>
                  <w:tcW w:w="382" w:type="dxa"/>
                  <w:gridSpan w:val="2"/>
                  <w:tcBorders>
                    <w:tl2br w:val="nil"/>
                    <w:tr2bl w:val="nil"/>
                  </w:tcBorders>
                  <w:shd w:val="clear" w:color="auto" w:fill="auto"/>
                  <w:noWrap/>
                  <w:vAlign w:val="center"/>
                </w:tcPr>
                <w:p w14:paraId="4A086EE2">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3</w:t>
                  </w:r>
                </w:p>
              </w:tc>
              <w:tc>
                <w:tcPr>
                  <w:tcW w:w="1037" w:type="dxa"/>
                  <w:tcBorders>
                    <w:tl2br w:val="nil"/>
                    <w:tr2bl w:val="nil"/>
                  </w:tcBorders>
                  <w:shd w:val="clear" w:color="auto" w:fill="auto"/>
                  <w:vAlign w:val="center"/>
                </w:tcPr>
                <w:p w14:paraId="1A65B19A">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s="Times New Roman"/>
                      <w:caps w:val="0"/>
                      <w:color w:val="auto"/>
                      <w:spacing w:val="0"/>
                      <w:kern w:val="2"/>
                      <w:position w:val="0"/>
                      <w:sz w:val="21"/>
                      <w:szCs w:val="21"/>
                      <w:highlight w:val="none"/>
                      <w:lang w:val="en-US" w:eastAsia="zh-CN" w:bidi="ar-SA"/>
                    </w:rPr>
                    <w:t>硅粉</w:t>
                  </w:r>
                </w:p>
              </w:tc>
              <w:tc>
                <w:tcPr>
                  <w:tcW w:w="488" w:type="dxa"/>
                  <w:tcBorders>
                    <w:tl2br w:val="nil"/>
                    <w:tr2bl w:val="nil"/>
                  </w:tcBorders>
                  <w:shd w:val="clear" w:color="auto" w:fill="auto"/>
                  <w:vAlign w:val="center"/>
                </w:tcPr>
                <w:p w14:paraId="0EF9F7D6">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固态</w:t>
                  </w:r>
                </w:p>
              </w:tc>
              <w:tc>
                <w:tcPr>
                  <w:tcW w:w="837" w:type="dxa"/>
                  <w:tcBorders>
                    <w:tl2br w:val="nil"/>
                    <w:tr2bl w:val="nil"/>
                  </w:tcBorders>
                  <w:shd w:val="clear" w:color="auto" w:fill="auto"/>
                  <w:noWrap/>
                  <w:vAlign w:val="center"/>
                </w:tcPr>
                <w:p w14:paraId="2FABBCFA">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s="Times New Roman"/>
                      <w:caps w:val="0"/>
                      <w:color w:val="auto"/>
                      <w:spacing w:val="0"/>
                      <w:kern w:val="2"/>
                      <w:position w:val="0"/>
                      <w:sz w:val="21"/>
                      <w:szCs w:val="21"/>
                      <w:highlight w:val="none"/>
                      <w:lang w:val="en-US" w:eastAsia="zh-CN" w:bidi="ar-SA"/>
                    </w:rPr>
                    <w:t>8000</w:t>
                  </w:r>
                </w:p>
              </w:tc>
              <w:tc>
                <w:tcPr>
                  <w:tcW w:w="938" w:type="dxa"/>
                  <w:tcBorders>
                    <w:tl2br w:val="nil"/>
                    <w:tr2bl w:val="nil"/>
                  </w:tcBorders>
                  <w:shd w:val="clear" w:color="auto" w:fill="auto"/>
                  <w:vAlign w:val="center"/>
                </w:tcPr>
                <w:p w14:paraId="44B5298B">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235</w:t>
                  </w:r>
                </w:p>
              </w:tc>
              <w:tc>
                <w:tcPr>
                  <w:tcW w:w="762" w:type="dxa"/>
                  <w:tcBorders>
                    <w:tl2br w:val="nil"/>
                    <w:tr2bl w:val="nil"/>
                  </w:tcBorders>
                  <w:shd w:val="clear" w:color="auto" w:fill="auto"/>
                  <w:vAlign w:val="center"/>
                </w:tcPr>
                <w:p w14:paraId="1B9FCBF7">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散装</w:t>
                  </w:r>
                </w:p>
              </w:tc>
              <w:tc>
                <w:tcPr>
                  <w:tcW w:w="1138" w:type="dxa"/>
                  <w:tcBorders>
                    <w:tl2br w:val="nil"/>
                    <w:tr2bl w:val="nil"/>
                  </w:tcBorders>
                  <w:shd w:val="clear" w:color="auto" w:fill="auto"/>
                  <w:vAlign w:val="center"/>
                </w:tcPr>
                <w:p w14:paraId="221109C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w:t>
                  </w:r>
                  <w:r>
                    <w:rPr>
                      <w:rFonts w:hint="eastAsia"/>
                      <w:caps w:val="0"/>
                      <w:color w:val="auto"/>
                      <w:spacing w:val="0"/>
                      <w:position w:val="0"/>
                      <w:highlight w:val="none"/>
                      <w:lang w:val="en-US" w:eastAsia="zh-CN"/>
                    </w:rPr>
                    <w:t>料筒仓（</w:t>
                  </w:r>
                  <w:r>
                    <w:rPr>
                      <w:rFonts w:hint="default"/>
                      <w:caps w:val="0"/>
                      <w:color w:val="auto"/>
                      <w:spacing w:val="0"/>
                      <w:position w:val="0"/>
                      <w:highlight w:val="none"/>
                      <w:lang w:val="en-US" w:eastAsia="zh-CN"/>
                    </w:rPr>
                    <w:t>100m</w:t>
                  </w:r>
                  <w:r>
                    <w:rPr>
                      <w:rFonts w:hint="default"/>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w:t>
                  </w:r>
                </w:p>
              </w:tc>
              <w:tc>
                <w:tcPr>
                  <w:tcW w:w="2498" w:type="dxa"/>
                  <w:tcBorders>
                    <w:tl2br w:val="nil"/>
                    <w:tr2bl w:val="nil"/>
                  </w:tcBorders>
                  <w:shd w:val="clear" w:color="auto" w:fill="auto"/>
                  <w:noWrap/>
                  <w:vAlign w:val="center"/>
                </w:tcPr>
                <w:p w14:paraId="0CC0CD12">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lang w:val="en-US" w:eastAsia="zh-CN"/>
                    </w:rPr>
                    <w:t>外购，</w:t>
                  </w:r>
                  <w:r>
                    <w:rPr>
                      <w:rFonts w:hint="default"/>
                      <w:caps w:val="0"/>
                      <w:color w:val="auto"/>
                      <w:spacing w:val="0"/>
                      <w:position w:val="0"/>
                      <w:lang w:val="en-US" w:eastAsia="zh-CN"/>
                    </w:rPr>
                    <w:t>《</w:t>
                  </w:r>
                  <w:r>
                    <w:rPr>
                      <w:rFonts w:hint="eastAsia"/>
                      <w:caps w:val="0"/>
                      <w:color w:val="auto"/>
                      <w:spacing w:val="0"/>
                      <w:position w:val="0"/>
                      <w:lang w:val="en-US" w:eastAsia="zh-CN"/>
                    </w:rPr>
                    <w:t>工业硅</w:t>
                  </w:r>
                  <w:r>
                    <w:rPr>
                      <w:rFonts w:hint="default"/>
                      <w:caps w:val="0"/>
                      <w:color w:val="auto"/>
                      <w:spacing w:val="0"/>
                      <w:position w:val="0"/>
                      <w:lang w:val="en-US" w:eastAsia="zh-CN"/>
                    </w:rPr>
                    <w:t>》</w:t>
                  </w:r>
                  <w:r>
                    <w:rPr>
                      <w:rFonts w:hint="eastAsia"/>
                      <w:caps w:val="0"/>
                      <w:color w:val="auto"/>
                      <w:spacing w:val="0"/>
                      <w:position w:val="0"/>
                      <w:lang w:val="en-US" w:eastAsia="zh-CN"/>
                    </w:rPr>
                    <w:t>(GB/T2881—2023)</w:t>
                  </w:r>
                </w:p>
              </w:tc>
            </w:tr>
            <w:tr w14:paraId="061E6E5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20" w:type="dxa"/>
                <w:trHeight w:val="555" w:hRule="atLeast"/>
                <w:jc w:val="center"/>
              </w:trPr>
              <w:tc>
                <w:tcPr>
                  <w:tcW w:w="382" w:type="dxa"/>
                  <w:gridSpan w:val="2"/>
                  <w:tcBorders>
                    <w:tl2br w:val="nil"/>
                    <w:tr2bl w:val="nil"/>
                  </w:tcBorders>
                  <w:shd w:val="clear" w:color="auto" w:fill="auto"/>
                  <w:noWrap/>
                  <w:vAlign w:val="center"/>
                </w:tcPr>
                <w:p w14:paraId="5E13F20D">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4</w:t>
                  </w:r>
                </w:p>
              </w:tc>
              <w:tc>
                <w:tcPr>
                  <w:tcW w:w="1037" w:type="dxa"/>
                  <w:tcBorders>
                    <w:tl2br w:val="nil"/>
                    <w:tr2bl w:val="nil"/>
                  </w:tcBorders>
                  <w:shd w:val="clear" w:color="auto" w:fill="auto"/>
                  <w:vAlign w:val="center"/>
                </w:tcPr>
                <w:p w14:paraId="33A45791">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水泥</w:t>
                  </w:r>
                </w:p>
              </w:tc>
              <w:tc>
                <w:tcPr>
                  <w:tcW w:w="488" w:type="dxa"/>
                  <w:tcBorders>
                    <w:tl2br w:val="nil"/>
                    <w:tr2bl w:val="nil"/>
                  </w:tcBorders>
                  <w:shd w:val="clear" w:color="auto" w:fill="auto"/>
                  <w:vAlign w:val="center"/>
                </w:tcPr>
                <w:p w14:paraId="443C9C1B">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固态</w:t>
                  </w:r>
                </w:p>
              </w:tc>
              <w:tc>
                <w:tcPr>
                  <w:tcW w:w="837" w:type="dxa"/>
                  <w:tcBorders>
                    <w:tl2br w:val="nil"/>
                    <w:tr2bl w:val="nil"/>
                  </w:tcBorders>
                  <w:shd w:val="clear" w:color="auto" w:fill="auto"/>
                  <w:noWrap/>
                  <w:vAlign w:val="center"/>
                </w:tcPr>
                <w:p w14:paraId="5A446FFA">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14600</w:t>
                  </w:r>
                </w:p>
              </w:tc>
              <w:tc>
                <w:tcPr>
                  <w:tcW w:w="938" w:type="dxa"/>
                  <w:tcBorders>
                    <w:tl2br w:val="nil"/>
                    <w:tr2bl w:val="nil"/>
                  </w:tcBorders>
                  <w:shd w:val="clear" w:color="auto" w:fill="auto"/>
                  <w:vAlign w:val="center"/>
                </w:tcPr>
                <w:p w14:paraId="5AD096A3">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310</w:t>
                  </w:r>
                </w:p>
              </w:tc>
              <w:tc>
                <w:tcPr>
                  <w:tcW w:w="762" w:type="dxa"/>
                  <w:tcBorders>
                    <w:tl2br w:val="nil"/>
                    <w:tr2bl w:val="nil"/>
                  </w:tcBorders>
                  <w:shd w:val="clear" w:color="auto" w:fill="auto"/>
                  <w:vAlign w:val="center"/>
                </w:tcPr>
                <w:p w14:paraId="67AB5A7A">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散装</w:t>
                  </w:r>
                </w:p>
              </w:tc>
              <w:tc>
                <w:tcPr>
                  <w:tcW w:w="1138" w:type="dxa"/>
                  <w:tcBorders>
                    <w:tl2br w:val="nil"/>
                    <w:tr2bl w:val="nil"/>
                  </w:tcBorders>
                  <w:shd w:val="clear" w:color="auto" w:fill="auto"/>
                  <w:vAlign w:val="center"/>
                </w:tcPr>
                <w:p w14:paraId="6AFFB68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3#</w:t>
                  </w:r>
                  <w:r>
                    <w:rPr>
                      <w:rFonts w:hint="eastAsia"/>
                      <w:caps w:val="0"/>
                      <w:color w:val="auto"/>
                      <w:spacing w:val="0"/>
                      <w:position w:val="0"/>
                      <w:highlight w:val="none"/>
                      <w:lang w:val="en-US" w:eastAsia="zh-CN"/>
                    </w:rPr>
                    <w:t>料筒仓（</w:t>
                  </w:r>
                  <w:r>
                    <w:rPr>
                      <w:rFonts w:hint="default"/>
                      <w:caps w:val="0"/>
                      <w:color w:val="auto"/>
                      <w:spacing w:val="0"/>
                      <w:position w:val="0"/>
                      <w:highlight w:val="none"/>
                      <w:lang w:val="en-US" w:eastAsia="zh-CN"/>
                    </w:rPr>
                    <w:t>100m</w:t>
                  </w:r>
                  <w:r>
                    <w:rPr>
                      <w:rFonts w:hint="default"/>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w:t>
                  </w:r>
                </w:p>
              </w:tc>
              <w:tc>
                <w:tcPr>
                  <w:tcW w:w="2498" w:type="dxa"/>
                  <w:tcBorders>
                    <w:tl2br w:val="nil"/>
                    <w:tr2bl w:val="nil"/>
                  </w:tcBorders>
                  <w:shd w:val="clear" w:color="auto" w:fill="auto"/>
                  <w:noWrap/>
                  <w:vAlign w:val="center"/>
                </w:tcPr>
                <w:p w14:paraId="3775083F">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外购，</w:t>
                  </w:r>
                  <w:r>
                    <w:rPr>
                      <w:rFonts w:hint="default" w:ascii="Times New Roman" w:hAnsi="Times New Roman" w:cs="Times New Roman"/>
                      <w:caps w:val="0"/>
                      <w:color w:val="auto"/>
                      <w:spacing w:val="0"/>
                      <w:position w:val="0"/>
                      <w:lang w:val="en-US" w:eastAsia="zh-CN"/>
                    </w:rPr>
                    <w:t>《通用硅酸盐水泥》（GB175-2023）</w:t>
                  </w:r>
                </w:p>
              </w:tc>
            </w:tr>
            <w:tr w14:paraId="50EAF46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20" w:type="dxa"/>
                <w:trHeight w:val="780" w:hRule="atLeast"/>
                <w:jc w:val="center"/>
              </w:trPr>
              <w:tc>
                <w:tcPr>
                  <w:tcW w:w="382" w:type="dxa"/>
                  <w:gridSpan w:val="2"/>
                  <w:tcBorders>
                    <w:tl2br w:val="nil"/>
                    <w:tr2bl w:val="nil"/>
                  </w:tcBorders>
                  <w:shd w:val="clear" w:color="auto" w:fill="auto"/>
                  <w:noWrap/>
                  <w:vAlign w:val="center"/>
                </w:tcPr>
                <w:p w14:paraId="3EE4E5C9">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5</w:t>
                  </w:r>
                </w:p>
              </w:tc>
              <w:tc>
                <w:tcPr>
                  <w:tcW w:w="1037" w:type="dxa"/>
                  <w:tcBorders>
                    <w:tl2br w:val="nil"/>
                    <w:tr2bl w:val="nil"/>
                  </w:tcBorders>
                  <w:shd w:val="clear" w:color="auto" w:fill="auto"/>
                  <w:vAlign w:val="center"/>
                </w:tcPr>
                <w:p w14:paraId="4012EBD8">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碎石</w:t>
                  </w:r>
                </w:p>
              </w:tc>
              <w:tc>
                <w:tcPr>
                  <w:tcW w:w="488" w:type="dxa"/>
                  <w:tcBorders>
                    <w:tl2br w:val="nil"/>
                    <w:tr2bl w:val="nil"/>
                  </w:tcBorders>
                  <w:shd w:val="clear" w:color="auto" w:fill="auto"/>
                  <w:vAlign w:val="center"/>
                </w:tcPr>
                <w:p w14:paraId="70ED5F4B">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固态</w:t>
                  </w:r>
                </w:p>
              </w:tc>
              <w:tc>
                <w:tcPr>
                  <w:tcW w:w="837" w:type="dxa"/>
                  <w:tcBorders>
                    <w:tl2br w:val="nil"/>
                    <w:tr2bl w:val="nil"/>
                  </w:tcBorders>
                  <w:shd w:val="clear" w:color="auto" w:fill="auto"/>
                  <w:noWrap/>
                  <w:vAlign w:val="center"/>
                </w:tcPr>
                <w:p w14:paraId="70D14DCF">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18550</w:t>
                  </w:r>
                </w:p>
              </w:tc>
              <w:tc>
                <w:tcPr>
                  <w:tcW w:w="938" w:type="dxa"/>
                  <w:tcBorders>
                    <w:tl2br w:val="nil"/>
                    <w:tr2bl w:val="nil"/>
                  </w:tcBorders>
                  <w:shd w:val="clear" w:color="auto" w:fill="auto"/>
                  <w:vAlign w:val="center"/>
                </w:tcPr>
                <w:p w14:paraId="3117E84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500</w:t>
                  </w:r>
                </w:p>
              </w:tc>
              <w:tc>
                <w:tcPr>
                  <w:tcW w:w="762" w:type="dxa"/>
                  <w:tcBorders>
                    <w:tl2br w:val="nil"/>
                    <w:tr2bl w:val="nil"/>
                  </w:tcBorders>
                  <w:shd w:val="clear" w:color="auto" w:fill="auto"/>
                  <w:vAlign w:val="center"/>
                </w:tcPr>
                <w:p w14:paraId="49F2CBDF">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袋装</w:t>
                  </w:r>
                </w:p>
              </w:tc>
              <w:tc>
                <w:tcPr>
                  <w:tcW w:w="1138" w:type="dxa"/>
                  <w:tcBorders>
                    <w:tl2br w:val="nil"/>
                    <w:tr2bl w:val="nil"/>
                  </w:tcBorders>
                  <w:shd w:val="clear" w:color="auto" w:fill="auto"/>
                  <w:vAlign w:val="center"/>
                </w:tcPr>
                <w:p w14:paraId="00CDDB7E">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原料仓库</w:t>
                  </w:r>
                </w:p>
              </w:tc>
              <w:tc>
                <w:tcPr>
                  <w:tcW w:w="2498" w:type="dxa"/>
                  <w:tcBorders>
                    <w:tl2br w:val="nil"/>
                    <w:tr2bl w:val="nil"/>
                  </w:tcBorders>
                  <w:shd w:val="clear" w:color="auto" w:fill="auto"/>
                  <w:noWrap/>
                  <w:vAlign w:val="center"/>
                </w:tcPr>
                <w:p w14:paraId="0BE8116E">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外购，</w:t>
                  </w:r>
                  <w:r>
                    <w:rPr>
                      <w:rFonts w:hint="default" w:ascii="Times New Roman" w:hAnsi="Times New Roman" w:cs="Times New Roman"/>
                      <w:caps w:val="0"/>
                      <w:color w:val="auto"/>
                      <w:spacing w:val="0"/>
                      <w:position w:val="0"/>
                      <w:lang w:val="en-US" w:eastAsia="zh-CN"/>
                    </w:rPr>
                    <w:t>《建设用卵石、碎石》（GB/T14685-2022）</w:t>
                  </w:r>
                </w:p>
              </w:tc>
            </w:tr>
            <w:tr w14:paraId="7BA0AA0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20" w:type="dxa"/>
                <w:trHeight w:val="285" w:hRule="atLeast"/>
                <w:jc w:val="center"/>
              </w:trPr>
              <w:tc>
                <w:tcPr>
                  <w:tcW w:w="382" w:type="dxa"/>
                  <w:gridSpan w:val="2"/>
                  <w:tcBorders>
                    <w:tl2br w:val="nil"/>
                    <w:tr2bl w:val="nil"/>
                  </w:tcBorders>
                  <w:shd w:val="clear" w:color="auto" w:fill="auto"/>
                  <w:noWrap/>
                  <w:vAlign w:val="center"/>
                </w:tcPr>
                <w:p w14:paraId="3DA27FFF">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6</w:t>
                  </w:r>
                </w:p>
              </w:tc>
              <w:tc>
                <w:tcPr>
                  <w:tcW w:w="1037" w:type="dxa"/>
                  <w:tcBorders>
                    <w:tl2br w:val="nil"/>
                    <w:tr2bl w:val="nil"/>
                  </w:tcBorders>
                  <w:shd w:val="clear" w:color="auto" w:fill="auto"/>
                  <w:vAlign w:val="center"/>
                </w:tcPr>
                <w:p w14:paraId="31BD6AA6">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压榨尾泥</w:t>
                  </w:r>
                </w:p>
              </w:tc>
              <w:tc>
                <w:tcPr>
                  <w:tcW w:w="488" w:type="dxa"/>
                  <w:tcBorders>
                    <w:tl2br w:val="nil"/>
                    <w:tr2bl w:val="nil"/>
                  </w:tcBorders>
                  <w:shd w:val="clear" w:color="auto" w:fill="auto"/>
                  <w:vAlign w:val="center"/>
                </w:tcPr>
                <w:p w14:paraId="2554DB10">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固态</w:t>
                  </w:r>
                </w:p>
              </w:tc>
              <w:tc>
                <w:tcPr>
                  <w:tcW w:w="837" w:type="dxa"/>
                  <w:tcBorders>
                    <w:tl2br w:val="nil"/>
                    <w:tr2bl w:val="nil"/>
                  </w:tcBorders>
                  <w:shd w:val="clear" w:color="auto" w:fill="auto"/>
                  <w:noWrap/>
                  <w:vAlign w:val="center"/>
                </w:tcPr>
                <w:p w14:paraId="17C4C15D">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default"/>
                      <w:caps w:val="0"/>
                      <w:color w:val="auto"/>
                      <w:spacing w:val="0"/>
                      <w:position w:val="0"/>
                      <w:highlight w:val="none"/>
                      <w:lang w:val="en-US" w:eastAsia="zh-CN"/>
                    </w:rPr>
                    <w:t>9920</w:t>
                  </w:r>
                </w:p>
              </w:tc>
              <w:tc>
                <w:tcPr>
                  <w:tcW w:w="938" w:type="dxa"/>
                  <w:tcBorders>
                    <w:tl2br w:val="nil"/>
                    <w:tr2bl w:val="nil"/>
                  </w:tcBorders>
                  <w:shd w:val="clear" w:color="auto" w:fill="auto"/>
                  <w:vAlign w:val="center"/>
                </w:tcPr>
                <w:p w14:paraId="54F1C27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250</w:t>
                  </w:r>
                </w:p>
              </w:tc>
              <w:tc>
                <w:tcPr>
                  <w:tcW w:w="762" w:type="dxa"/>
                  <w:tcBorders>
                    <w:tl2br w:val="nil"/>
                    <w:tr2bl w:val="nil"/>
                  </w:tcBorders>
                  <w:shd w:val="clear" w:color="auto" w:fill="auto"/>
                  <w:vAlign w:val="center"/>
                </w:tcPr>
                <w:p w14:paraId="60138697">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散装</w:t>
                  </w:r>
                </w:p>
              </w:tc>
              <w:tc>
                <w:tcPr>
                  <w:tcW w:w="1138" w:type="dxa"/>
                  <w:tcBorders>
                    <w:tl2br w:val="nil"/>
                    <w:tr2bl w:val="nil"/>
                  </w:tcBorders>
                  <w:shd w:val="clear" w:color="auto" w:fill="auto"/>
                  <w:vAlign w:val="center"/>
                </w:tcPr>
                <w:p w14:paraId="0497FBE7">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原料仓库</w:t>
                  </w:r>
                </w:p>
              </w:tc>
              <w:tc>
                <w:tcPr>
                  <w:tcW w:w="2498" w:type="dxa"/>
                  <w:tcBorders>
                    <w:tl2br w:val="nil"/>
                    <w:tr2bl w:val="nil"/>
                  </w:tcBorders>
                  <w:shd w:val="clear" w:color="auto" w:fill="auto"/>
                  <w:noWrap/>
                  <w:vAlign w:val="center"/>
                </w:tcPr>
                <w:p w14:paraId="1D19E21C">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default" w:ascii="Times New Roman" w:hAnsi="Times New Roman" w:eastAsia="宋体" w:cs="Times New Roman"/>
                      <w:caps w:val="0"/>
                      <w:color w:val="auto"/>
                      <w:spacing w:val="0"/>
                      <w:position w:val="0"/>
                      <w:highlight w:val="none"/>
                      <w:lang w:eastAsia="zh-CN"/>
                    </w:rPr>
                    <w:t>含水率</w:t>
                  </w:r>
                  <w:r>
                    <w:rPr>
                      <w:rFonts w:hint="default" w:ascii="Times New Roman" w:hAnsi="Times New Roman" w:eastAsia="宋体" w:cs="Times New Roman"/>
                      <w:caps w:val="0"/>
                      <w:color w:val="auto"/>
                      <w:spacing w:val="0"/>
                      <w:position w:val="0"/>
                      <w:highlight w:val="none"/>
                      <w:lang w:val="en-US" w:eastAsia="zh-CN"/>
                    </w:rPr>
                    <w:t>20%，</w:t>
                  </w:r>
                  <w:r>
                    <w:rPr>
                      <w:rFonts w:hint="default" w:ascii="Times New Roman" w:hAnsi="Times New Roman" w:eastAsia="宋体" w:cs="Times New Roman"/>
                      <w:caps w:val="0"/>
                      <w:color w:val="auto"/>
                      <w:spacing w:val="0"/>
                      <w:position w:val="0"/>
                      <w:highlight w:val="none"/>
                    </w:rPr>
                    <w:t>外购</w:t>
                  </w:r>
                </w:p>
              </w:tc>
            </w:tr>
            <w:tr w14:paraId="662ABEB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20" w:type="dxa"/>
                <w:trHeight w:val="285" w:hRule="atLeast"/>
                <w:jc w:val="center"/>
              </w:trPr>
              <w:tc>
                <w:tcPr>
                  <w:tcW w:w="382" w:type="dxa"/>
                  <w:gridSpan w:val="2"/>
                  <w:tcBorders>
                    <w:tl2br w:val="nil"/>
                    <w:tr2bl w:val="nil"/>
                  </w:tcBorders>
                  <w:shd w:val="clear" w:color="auto" w:fill="auto"/>
                  <w:noWrap/>
                  <w:vAlign w:val="center"/>
                </w:tcPr>
                <w:p w14:paraId="330F74A8">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7</w:t>
                  </w:r>
                </w:p>
              </w:tc>
              <w:tc>
                <w:tcPr>
                  <w:tcW w:w="1037" w:type="dxa"/>
                  <w:tcBorders>
                    <w:tl2br w:val="nil"/>
                    <w:tr2bl w:val="nil"/>
                  </w:tcBorders>
                  <w:shd w:val="clear" w:color="auto" w:fill="auto"/>
                  <w:vAlign w:val="center"/>
                </w:tcPr>
                <w:p w14:paraId="1351832C">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电（度）</w:t>
                  </w:r>
                </w:p>
              </w:tc>
              <w:tc>
                <w:tcPr>
                  <w:tcW w:w="488" w:type="dxa"/>
                  <w:tcBorders>
                    <w:tl2br w:val="nil"/>
                    <w:tr2bl w:val="nil"/>
                  </w:tcBorders>
                  <w:shd w:val="clear" w:color="auto" w:fill="auto"/>
                  <w:vAlign w:val="center"/>
                </w:tcPr>
                <w:p w14:paraId="7D23F06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837" w:type="dxa"/>
                  <w:tcBorders>
                    <w:tl2br w:val="nil"/>
                    <w:tr2bl w:val="nil"/>
                  </w:tcBorders>
                  <w:shd w:val="clear" w:color="auto" w:fill="auto"/>
                  <w:vAlign w:val="center"/>
                </w:tcPr>
                <w:p w14:paraId="37F82CE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80</w:t>
                  </w:r>
                  <w:r>
                    <w:rPr>
                      <w:rFonts w:hint="eastAsia"/>
                      <w:caps w:val="0"/>
                      <w:color w:val="auto"/>
                      <w:spacing w:val="0"/>
                      <w:position w:val="0"/>
                      <w:highlight w:val="none"/>
                      <w:lang w:val="en-US" w:eastAsia="zh-CN"/>
                    </w:rPr>
                    <w:t>万</w:t>
                  </w:r>
                  <w:r>
                    <w:rPr>
                      <w:rFonts w:hint="default"/>
                      <w:caps w:val="0"/>
                      <w:color w:val="auto"/>
                      <w:spacing w:val="0"/>
                      <w:position w:val="0"/>
                      <w:highlight w:val="none"/>
                      <w:lang w:val="en-US" w:eastAsia="zh-CN"/>
                    </w:rPr>
                    <w:t>kW·h</w:t>
                  </w:r>
                </w:p>
              </w:tc>
              <w:tc>
                <w:tcPr>
                  <w:tcW w:w="938" w:type="dxa"/>
                  <w:tcBorders>
                    <w:tl2br w:val="nil"/>
                    <w:tr2bl w:val="nil"/>
                  </w:tcBorders>
                  <w:shd w:val="clear" w:color="auto" w:fill="auto"/>
                  <w:vAlign w:val="center"/>
                </w:tcPr>
                <w:p w14:paraId="7058905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762" w:type="dxa"/>
                  <w:tcBorders>
                    <w:tl2br w:val="nil"/>
                    <w:tr2bl w:val="nil"/>
                  </w:tcBorders>
                  <w:shd w:val="clear" w:color="auto" w:fill="auto"/>
                  <w:vAlign w:val="center"/>
                </w:tcPr>
                <w:p w14:paraId="33EC166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1138" w:type="dxa"/>
                  <w:tcBorders>
                    <w:tl2br w:val="nil"/>
                    <w:tr2bl w:val="nil"/>
                  </w:tcBorders>
                  <w:shd w:val="clear" w:color="auto" w:fill="auto"/>
                  <w:vAlign w:val="center"/>
                </w:tcPr>
                <w:p w14:paraId="35B27BC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2498" w:type="dxa"/>
                  <w:tcBorders>
                    <w:tl2br w:val="nil"/>
                    <w:tr2bl w:val="nil"/>
                  </w:tcBorders>
                  <w:shd w:val="clear" w:color="auto" w:fill="auto"/>
                  <w:vAlign w:val="center"/>
                </w:tcPr>
                <w:p w14:paraId="1FE0CC5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r>
            <w:tr w14:paraId="62BA3CE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20" w:type="dxa"/>
                <w:trHeight w:val="525" w:hRule="atLeast"/>
                <w:jc w:val="center"/>
              </w:trPr>
              <w:tc>
                <w:tcPr>
                  <w:tcW w:w="382" w:type="dxa"/>
                  <w:gridSpan w:val="2"/>
                  <w:tcBorders>
                    <w:tl2br w:val="nil"/>
                    <w:tr2bl w:val="nil"/>
                  </w:tcBorders>
                  <w:shd w:val="clear" w:color="auto" w:fill="auto"/>
                  <w:noWrap/>
                  <w:vAlign w:val="center"/>
                </w:tcPr>
                <w:p w14:paraId="0B89CA51">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8</w:t>
                  </w:r>
                </w:p>
              </w:tc>
              <w:tc>
                <w:tcPr>
                  <w:tcW w:w="1037" w:type="dxa"/>
                  <w:tcBorders>
                    <w:tl2br w:val="nil"/>
                    <w:tr2bl w:val="nil"/>
                  </w:tcBorders>
                  <w:shd w:val="clear" w:color="auto" w:fill="auto"/>
                  <w:vAlign w:val="center"/>
                </w:tcPr>
                <w:p w14:paraId="3F00F5A4">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润滑油</w:t>
                  </w:r>
                </w:p>
              </w:tc>
              <w:tc>
                <w:tcPr>
                  <w:tcW w:w="488" w:type="dxa"/>
                  <w:tcBorders>
                    <w:tl2br w:val="nil"/>
                    <w:tr2bl w:val="nil"/>
                  </w:tcBorders>
                  <w:shd w:val="clear" w:color="auto" w:fill="auto"/>
                  <w:vAlign w:val="center"/>
                </w:tcPr>
                <w:p w14:paraId="53BD46B6">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液态</w:t>
                  </w:r>
                </w:p>
              </w:tc>
              <w:tc>
                <w:tcPr>
                  <w:tcW w:w="837" w:type="dxa"/>
                  <w:tcBorders>
                    <w:tl2br w:val="nil"/>
                    <w:tr2bl w:val="nil"/>
                  </w:tcBorders>
                  <w:shd w:val="clear" w:color="auto" w:fill="auto"/>
                  <w:vAlign w:val="center"/>
                </w:tcPr>
                <w:p w14:paraId="6C362CC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0.5</w:t>
                  </w:r>
                </w:p>
              </w:tc>
              <w:tc>
                <w:tcPr>
                  <w:tcW w:w="938" w:type="dxa"/>
                  <w:tcBorders>
                    <w:tl2br w:val="nil"/>
                    <w:tr2bl w:val="nil"/>
                  </w:tcBorders>
                  <w:shd w:val="clear" w:color="auto" w:fill="auto"/>
                  <w:vAlign w:val="center"/>
                </w:tcPr>
                <w:p w14:paraId="15686EE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0.5</w:t>
                  </w:r>
                </w:p>
              </w:tc>
              <w:tc>
                <w:tcPr>
                  <w:tcW w:w="762" w:type="dxa"/>
                  <w:tcBorders>
                    <w:tl2br w:val="nil"/>
                    <w:tr2bl w:val="nil"/>
                  </w:tcBorders>
                  <w:shd w:val="clear" w:color="auto" w:fill="auto"/>
                  <w:vAlign w:val="center"/>
                </w:tcPr>
                <w:p w14:paraId="236C9CC8">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桶装</w:t>
                  </w:r>
                </w:p>
              </w:tc>
              <w:tc>
                <w:tcPr>
                  <w:tcW w:w="1138" w:type="dxa"/>
                  <w:tcBorders>
                    <w:tl2br w:val="nil"/>
                    <w:tr2bl w:val="nil"/>
                  </w:tcBorders>
                  <w:shd w:val="clear" w:color="auto" w:fill="auto"/>
                  <w:vAlign w:val="center"/>
                </w:tcPr>
                <w:p w14:paraId="40193182">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原料仓库</w:t>
                  </w:r>
                </w:p>
              </w:tc>
              <w:tc>
                <w:tcPr>
                  <w:tcW w:w="2498" w:type="dxa"/>
                  <w:tcBorders>
                    <w:tl2br w:val="nil"/>
                    <w:tr2bl w:val="nil"/>
                  </w:tcBorders>
                  <w:shd w:val="clear" w:color="auto" w:fill="auto"/>
                  <w:vAlign w:val="center"/>
                </w:tcPr>
                <w:p w14:paraId="466A4EB4">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用于设备维修</w:t>
                  </w:r>
                </w:p>
              </w:tc>
            </w:tr>
            <w:tr w14:paraId="13512E2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20" w:type="dxa"/>
                <w:trHeight w:val="525" w:hRule="atLeast"/>
                <w:jc w:val="center"/>
              </w:trPr>
              <w:tc>
                <w:tcPr>
                  <w:tcW w:w="382" w:type="dxa"/>
                  <w:gridSpan w:val="2"/>
                  <w:tcBorders>
                    <w:tl2br w:val="nil"/>
                    <w:tr2bl w:val="nil"/>
                  </w:tcBorders>
                  <w:shd w:val="clear" w:color="auto" w:fill="auto"/>
                  <w:noWrap/>
                  <w:vAlign w:val="center"/>
                </w:tcPr>
                <w:p w14:paraId="501195BF">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9</w:t>
                  </w:r>
                </w:p>
              </w:tc>
              <w:tc>
                <w:tcPr>
                  <w:tcW w:w="1037" w:type="dxa"/>
                  <w:tcBorders>
                    <w:tl2br w:val="nil"/>
                    <w:tr2bl w:val="nil"/>
                  </w:tcBorders>
                  <w:shd w:val="clear" w:color="auto" w:fill="auto"/>
                  <w:vAlign w:val="center"/>
                </w:tcPr>
                <w:p w14:paraId="024ED2B3">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柴油</w:t>
                  </w:r>
                </w:p>
              </w:tc>
              <w:tc>
                <w:tcPr>
                  <w:tcW w:w="488" w:type="dxa"/>
                  <w:tcBorders>
                    <w:tl2br w:val="nil"/>
                    <w:tr2bl w:val="nil"/>
                  </w:tcBorders>
                  <w:shd w:val="clear" w:color="auto" w:fill="auto"/>
                  <w:vAlign w:val="center"/>
                </w:tcPr>
                <w:p w14:paraId="6D75FBBE">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液态</w:t>
                  </w:r>
                </w:p>
              </w:tc>
              <w:tc>
                <w:tcPr>
                  <w:tcW w:w="837" w:type="dxa"/>
                  <w:tcBorders>
                    <w:tl2br w:val="nil"/>
                    <w:tr2bl w:val="nil"/>
                  </w:tcBorders>
                  <w:shd w:val="clear" w:color="auto" w:fill="auto"/>
                  <w:vAlign w:val="center"/>
                </w:tcPr>
                <w:p w14:paraId="3BF5831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3.6</w:t>
                  </w:r>
                </w:p>
              </w:tc>
              <w:tc>
                <w:tcPr>
                  <w:tcW w:w="938" w:type="dxa"/>
                  <w:tcBorders>
                    <w:tl2br w:val="nil"/>
                    <w:tr2bl w:val="nil"/>
                  </w:tcBorders>
                  <w:shd w:val="clear" w:color="auto" w:fill="auto"/>
                  <w:vAlign w:val="center"/>
                </w:tcPr>
                <w:p w14:paraId="104EA4F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w:t>
                  </w:r>
                </w:p>
              </w:tc>
              <w:tc>
                <w:tcPr>
                  <w:tcW w:w="762" w:type="dxa"/>
                  <w:tcBorders>
                    <w:tl2br w:val="nil"/>
                    <w:tr2bl w:val="nil"/>
                  </w:tcBorders>
                  <w:shd w:val="clear" w:color="auto" w:fill="auto"/>
                  <w:vAlign w:val="center"/>
                </w:tcPr>
                <w:p w14:paraId="44DB0A52">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桶装</w:t>
                  </w:r>
                </w:p>
              </w:tc>
              <w:tc>
                <w:tcPr>
                  <w:tcW w:w="1138" w:type="dxa"/>
                  <w:tcBorders>
                    <w:tl2br w:val="nil"/>
                    <w:tr2bl w:val="nil"/>
                  </w:tcBorders>
                  <w:shd w:val="clear" w:color="auto" w:fill="auto"/>
                  <w:vAlign w:val="center"/>
                </w:tcPr>
                <w:p w14:paraId="0AAEAD46">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原料仓库</w:t>
                  </w:r>
                </w:p>
              </w:tc>
              <w:tc>
                <w:tcPr>
                  <w:tcW w:w="2498" w:type="dxa"/>
                  <w:tcBorders>
                    <w:tl2br w:val="nil"/>
                    <w:tr2bl w:val="nil"/>
                  </w:tcBorders>
                  <w:shd w:val="clear" w:color="auto" w:fill="auto"/>
                  <w:vAlign w:val="center"/>
                </w:tcPr>
                <w:p w14:paraId="7D1A35E5">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用于铲车运输物料</w:t>
                  </w:r>
                </w:p>
              </w:tc>
            </w:tr>
            <w:tr w14:paraId="35AE7C4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20" w:type="dxa"/>
                <w:trHeight w:val="780" w:hRule="atLeast"/>
                <w:jc w:val="center"/>
              </w:trPr>
              <w:tc>
                <w:tcPr>
                  <w:tcW w:w="382" w:type="dxa"/>
                  <w:gridSpan w:val="2"/>
                  <w:tcBorders>
                    <w:tl2br w:val="nil"/>
                    <w:tr2bl w:val="nil"/>
                  </w:tcBorders>
                  <w:shd w:val="clear" w:color="auto" w:fill="auto"/>
                  <w:noWrap/>
                  <w:vAlign w:val="center"/>
                </w:tcPr>
                <w:p w14:paraId="77F2E45B">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10</w:t>
                  </w:r>
                </w:p>
              </w:tc>
              <w:tc>
                <w:tcPr>
                  <w:tcW w:w="1037" w:type="dxa"/>
                  <w:tcBorders>
                    <w:tl2br w:val="nil"/>
                    <w:tr2bl w:val="nil"/>
                  </w:tcBorders>
                  <w:shd w:val="clear" w:color="auto" w:fill="auto"/>
                  <w:vAlign w:val="center"/>
                </w:tcPr>
                <w:p w14:paraId="5B206E73">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新鲜水</w:t>
                  </w:r>
                </w:p>
              </w:tc>
              <w:tc>
                <w:tcPr>
                  <w:tcW w:w="488" w:type="dxa"/>
                  <w:tcBorders>
                    <w:tl2br w:val="nil"/>
                    <w:tr2bl w:val="nil"/>
                  </w:tcBorders>
                  <w:shd w:val="clear" w:color="auto" w:fill="auto"/>
                  <w:vAlign w:val="center"/>
                </w:tcPr>
                <w:p w14:paraId="2C37BB69">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液态</w:t>
                  </w:r>
                </w:p>
              </w:tc>
              <w:tc>
                <w:tcPr>
                  <w:tcW w:w="837" w:type="dxa"/>
                  <w:tcBorders>
                    <w:tl2br w:val="nil"/>
                    <w:tr2bl w:val="nil"/>
                  </w:tcBorders>
                  <w:shd w:val="clear" w:color="auto" w:fill="auto"/>
                  <w:vAlign w:val="center"/>
                </w:tcPr>
                <w:p w14:paraId="19ADFCEF">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3207</w:t>
                  </w:r>
                </w:p>
              </w:tc>
              <w:tc>
                <w:tcPr>
                  <w:tcW w:w="938" w:type="dxa"/>
                  <w:tcBorders>
                    <w:tl2br w:val="nil"/>
                    <w:tr2bl w:val="nil"/>
                  </w:tcBorders>
                  <w:shd w:val="clear" w:color="auto" w:fill="auto"/>
                  <w:vAlign w:val="center"/>
                </w:tcPr>
                <w:p w14:paraId="695A073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762" w:type="dxa"/>
                  <w:tcBorders>
                    <w:tl2br w:val="nil"/>
                    <w:tr2bl w:val="nil"/>
                  </w:tcBorders>
                  <w:shd w:val="clear" w:color="auto" w:fill="auto"/>
                  <w:vAlign w:val="center"/>
                </w:tcPr>
                <w:p w14:paraId="6CE28F5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1138" w:type="dxa"/>
                  <w:tcBorders>
                    <w:tl2br w:val="nil"/>
                    <w:tr2bl w:val="nil"/>
                  </w:tcBorders>
                  <w:shd w:val="clear" w:color="auto" w:fill="auto"/>
                  <w:vAlign w:val="center"/>
                </w:tcPr>
                <w:p w14:paraId="29DDDA2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2498" w:type="dxa"/>
                  <w:tcBorders>
                    <w:tl2br w:val="nil"/>
                    <w:tr2bl w:val="nil"/>
                  </w:tcBorders>
                  <w:shd w:val="clear" w:color="auto" w:fill="auto"/>
                  <w:vAlign w:val="center"/>
                </w:tcPr>
                <w:p w14:paraId="074D617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r>
            <w:tr w14:paraId="001921C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20" w:type="dxa"/>
                <w:trHeight w:val="780" w:hRule="atLeast"/>
                <w:jc w:val="center"/>
              </w:trPr>
              <w:tc>
                <w:tcPr>
                  <w:tcW w:w="382" w:type="dxa"/>
                  <w:gridSpan w:val="2"/>
                  <w:tcBorders>
                    <w:tl2br w:val="nil"/>
                    <w:tr2bl w:val="nil"/>
                  </w:tcBorders>
                  <w:shd w:val="clear" w:color="auto" w:fill="auto"/>
                  <w:noWrap/>
                  <w:vAlign w:val="center"/>
                </w:tcPr>
                <w:p w14:paraId="224B2E3E">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11</w:t>
                  </w:r>
                </w:p>
              </w:tc>
              <w:tc>
                <w:tcPr>
                  <w:tcW w:w="1037" w:type="dxa"/>
                  <w:tcBorders>
                    <w:tl2br w:val="nil"/>
                    <w:tr2bl w:val="nil"/>
                  </w:tcBorders>
                  <w:shd w:val="clear" w:color="auto" w:fill="auto"/>
                  <w:vAlign w:val="top"/>
                </w:tcPr>
                <w:p w14:paraId="651C69C4">
                  <w:pPr>
                    <w:pStyle w:val="28"/>
                    <w:keepNext w:val="0"/>
                    <w:keepLines w:val="0"/>
                    <w:suppressLineNumbers w:val="0"/>
                    <w:bidi w:val="0"/>
                    <w:spacing w:beforeAutospacing="0" w:afterAutospacing="0"/>
                    <w:ind w:left="0" w:right="0"/>
                    <w:rPr>
                      <w:rFonts w:hint="default"/>
                      <w:caps w:val="0"/>
                      <w:color w:val="auto"/>
                      <w:spacing w:val="0"/>
                      <w:position w:val="0"/>
                      <w:lang w:val="en-US" w:eastAsia="zh-CN"/>
                    </w:rPr>
                  </w:pPr>
                  <w:r>
                    <w:rPr>
                      <w:rFonts w:hint="default"/>
                      <w:caps w:val="0"/>
                      <w:color w:val="auto"/>
                      <w:spacing w:val="0"/>
                      <w:position w:val="0"/>
                    </w:rPr>
                    <w:t>絮凝剂PAC</w:t>
                  </w:r>
                </w:p>
              </w:tc>
              <w:tc>
                <w:tcPr>
                  <w:tcW w:w="488" w:type="dxa"/>
                  <w:tcBorders>
                    <w:tl2br w:val="nil"/>
                    <w:tr2bl w:val="nil"/>
                  </w:tcBorders>
                  <w:shd w:val="clear" w:color="auto" w:fill="auto"/>
                  <w:vAlign w:val="center"/>
                </w:tcPr>
                <w:p w14:paraId="62BD9A40">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固态</w:t>
                  </w:r>
                </w:p>
              </w:tc>
              <w:tc>
                <w:tcPr>
                  <w:tcW w:w="837" w:type="dxa"/>
                  <w:tcBorders>
                    <w:tl2br w:val="nil"/>
                    <w:tr2bl w:val="nil"/>
                  </w:tcBorders>
                  <w:shd w:val="clear" w:color="auto" w:fill="auto"/>
                  <w:vAlign w:val="center"/>
                </w:tcPr>
                <w:p w14:paraId="7F5FD349">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1</w:t>
                  </w:r>
                </w:p>
              </w:tc>
              <w:tc>
                <w:tcPr>
                  <w:tcW w:w="938" w:type="dxa"/>
                  <w:tcBorders>
                    <w:tl2br w:val="nil"/>
                    <w:tr2bl w:val="nil"/>
                  </w:tcBorders>
                  <w:shd w:val="clear" w:color="auto" w:fill="auto"/>
                  <w:vAlign w:val="center"/>
                </w:tcPr>
                <w:p w14:paraId="18777098">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0.5</w:t>
                  </w:r>
                </w:p>
              </w:tc>
              <w:tc>
                <w:tcPr>
                  <w:tcW w:w="762" w:type="dxa"/>
                  <w:tcBorders>
                    <w:tl2br w:val="nil"/>
                    <w:tr2bl w:val="nil"/>
                  </w:tcBorders>
                  <w:shd w:val="clear" w:color="auto" w:fill="auto"/>
                  <w:vAlign w:val="center"/>
                </w:tcPr>
                <w:p w14:paraId="15C29FF0">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袋装</w:t>
                  </w:r>
                </w:p>
              </w:tc>
              <w:tc>
                <w:tcPr>
                  <w:tcW w:w="1138" w:type="dxa"/>
                  <w:tcBorders>
                    <w:tl2br w:val="nil"/>
                    <w:tr2bl w:val="nil"/>
                  </w:tcBorders>
                  <w:shd w:val="clear" w:color="auto" w:fill="auto"/>
                  <w:vAlign w:val="center"/>
                </w:tcPr>
                <w:p w14:paraId="1522953D">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原料仓库</w:t>
                  </w:r>
                </w:p>
              </w:tc>
              <w:tc>
                <w:tcPr>
                  <w:tcW w:w="2498" w:type="dxa"/>
                  <w:tcBorders>
                    <w:tl2br w:val="nil"/>
                    <w:tr2bl w:val="nil"/>
                  </w:tcBorders>
                  <w:shd w:val="clear" w:color="auto" w:fill="auto"/>
                  <w:vAlign w:val="center"/>
                </w:tcPr>
                <w:p w14:paraId="42033633">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用于回用水处理</w:t>
                  </w:r>
                </w:p>
              </w:tc>
            </w:tr>
            <w:tr w14:paraId="3524FEE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20" w:type="dxa"/>
                <w:trHeight w:val="780" w:hRule="atLeast"/>
                <w:jc w:val="center"/>
              </w:trPr>
              <w:tc>
                <w:tcPr>
                  <w:tcW w:w="382" w:type="dxa"/>
                  <w:gridSpan w:val="2"/>
                  <w:tcBorders>
                    <w:tl2br w:val="nil"/>
                    <w:tr2bl w:val="nil"/>
                  </w:tcBorders>
                  <w:shd w:val="clear" w:color="auto" w:fill="auto"/>
                  <w:noWrap/>
                  <w:vAlign w:val="center"/>
                </w:tcPr>
                <w:p w14:paraId="14BB24C4">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12</w:t>
                  </w:r>
                </w:p>
              </w:tc>
              <w:tc>
                <w:tcPr>
                  <w:tcW w:w="1037" w:type="dxa"/>
                  <w:tcBorders>
                    <w:tl2br w:val="nil"/>
                    <w:tr2bl w:val="nil"/>
                  </w:tcBorders>
                  <w:shd w:val="clear" w:color="auto" w:fill="auto"/>
                  <w:vAlign w:val="top"/>
                </w:tcPr>
                <w:p w14:paraId="45805890">
                  <w:pPr>
                    <w:pStyle w:val="28"/>
                    <w:keepNext w:val="0"/>
                    <w:keepLines w:val="0"/>
                    <w:suppressLineNumbers w:val="0"/>
                    <w:bidi w:val="0"/>
                    <w:spacing w:beforeAutospacing="0" w:afterAutospacing="0"/>
                    <w:ind w:left="0" w:right="0"/>
                    <w:rPr>
                      <w:rFonts w:hint="eastAsia"/>
                      <w:caps w:val="0"/>
                      <w:color w:val="auto"/>
                      <w:spacing w:val="0"/>
                      <w:position w:val="0"/>
                      <w:lang w:val="en-US" w:eastAsia="zh-CN"/>
                    </w:rPr>
                  </w:pPr>
                  <w:r>
                    <w:rPr>
                      <w:rFonts w:hint="default"/>
                      <w:caps w:val="0"/>
                      <w:color w:val="auto"/>
                      <w:spacing w:val="0"/>
                      <w:position w:val="0"/>
                    </w:rPr>
                    <w:t>助凝剂PAM</w:t>
                  </w:r>
                </w:p>
              </w:tc>
              <w:tc>
                <w:tcPr>
                  <w:tcW w:w="488" w:type="dxa"/>
                  <w:tcBorders>
                    <w:tl2br w:val="nil"/>
                    <w:tr2bl w:val="nil"/>
                  </w:tcBorders>
                  <w:shd w:val="clear" w:color="auto" w:fill="auto"/>
                  <w:vAlign w:val="center"/>
                </w:tcPr>
                <w:p w14:paraId="144BD1CA">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固态</w:t>
                  </w:r>
                </w:p>
              </w:tc>
              <w:tc>
                <w:tcPr>
                  <w:tcW w:w="837" w:type="dxa"/>
                  <w:tcBorders>
                    <w:tl2br w:val="nil"/>
                    <w:tr2bl w:val="nil"/>
                  </w:tcBorders>
                  <w:shd w:val="clear" w:color="auto" w:fill="auto"/>
                  <w:vAlign w:val="center"/>
                </w:tcPr>
                <w:p w14:paraId="3E6652A3">
                  <w:pPr>
                    <w:pStyle w:val="28"/>
                    <w:keepNext w:val="0"/>
                    <w:keepLines w:val="0"/>
                    <w:suppressLineNumbers w:val="0"/>
                    <w:bidi w:val="0"/>
                    <w:spacing w:beforeAutospacing="0" w:afterAutospacing="0"/>
                    <w:ind w:left="0" w:leftChars="0" w:right="0" w:rightChars="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w:t>
                  </w:r>
                </w:p>
              </w:tc>
              <w:tc>
                <w:tcPr>
                  <w:tcW w:w="938" w:type="dxa"/>
                  <w:tcBorders>
                    <w:tl2br w:val="nil"/>
                    <w:tr2bl w:val="nil"/>
                  </w:tcBorders>
                  <w:shd w:val="clear" w:color="auto" w:fill="auto"/>
                  <w:vAlign w:val="center"/>
                </w:tcPr>
                <w:p w14:paraId="628AF76E">
                  <w:pPr>
                    <w:pStyle w:val="28"/>
                    <w:keepNext w:val="0"/>
                    <w:keepLines w:val="0"/>
                    <w:suppressLineNumbers w:val="0"/>
                    <w:bidi w:val="0"/>
                    <w:spacing w:beforeAutospacing="0" w:afterAutospacing="0"/>
                    <w:ind w:left="0" w:leftChars="0" w:right="0" w:rightChars="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0.5</w:t>
                  </w:r>
                </w:p>
              </w:tc>
              <w:tc>
                <w:tcPr>
                  <w:tcW w:w="762" w:type="dxa"/>
                  <w:tcBorders>
                    <w:tl2br w:val="nil"/>
                    <w:tr2bl w:val="nil"/>
                  </w:tcBorders>
                  <w:shd w:val="clear" w:color="auto" w:fill="auto"/>
                  <w:vAlign w:val="center"/>
                </w:tcPr>
                <w:p w14:paraId="67B4690E">
                  <w:pPr>
                    <w:pStyle w:val="28"/>
                    <w:keepNext w:val="0"/>
                    <w:keepLines w:val="0"/>
                    <w:suppressLineNumbers w:val="0"/>
                    <w:bidi w:val="0"/>
                    <w:spacing w:beforeAutospacing="0" w:afterAutospacing="0"/>
                    <w:ind w:left="0" w:leftChars="0" w:right="0" w:rightChars="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袋装</w:t>
                  </w:r>
                </w:p>
              </w:tc>
              <w:tc>
                <w:tcPr>
                  <w:tcW w:w="1138" w:type="dxa"/>
                  <w:tcBorders>
                    <w:tl2br w:val="nil"/>
                    <w:tr2bl w:val="nil"/>
                  </w:tcBorders>
                  <w:shd w:val="clear" w:color="auto" w:fill="auto"/>
                  <w:vAlign w:val="center"/>
                </w:tcPr>
                <w:p w14:paraId="2AB4CE5E">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原料仓库</w:t>
                  </w:r>
                </w:p>
              </w:tc>
              <w:tc>
                <w:tcPr>
                  <w:tcW w:w="2498" w:type="dxa"/>
                  <w:tcBorders>
                    <w:tl2br w:val="nil"/>
                    <w:tr2bl w:val="nil"/>
                  </w:tcBorders>
                  <w:shd w:val="clear" w:color="auto" w:fill="auto"/>
                  <w:vAlign w:val="center"/>
                </w:tcPr>
                <w:p w14:paraId="4091291F">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用于回用水处理</w:t>
                  </w:r>
                </w:p>
              </w:tc>
            </w:tr>
            <w:tr w14:paraId="10EB61C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20" w:type="dxa"/>
                <w:trHeight w:val="780" w:hRule="atLeast"/>
                <w:jc w:val="center"/>
              </w:trPr>
              <w:tc>
                <w:tcPr>
                  <w:tcW w:w="382" w:type="dxa"/>
                  <w:gridSpan w:val="2"/>
                  <w:tcBorders>
                    <w:tl2br w:val="nil"/>
                    <w:tr2bl w:val="nil"/>
                  </w:tcBorders>
                  <w:shd w:val="clear" w:color="auto" w:fill="auto"/>
                  <w:noWrap/>
                  <w:vAlign w:val="center"/>
                </w:tcPr>
                <w:p w14:paraId="72BDB6BB">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13</w:t>
                  </w:r>
                </w:p>
              </w:tc>
              <w:tc>
                <w:tcPr>
                  <w:tcW w:w="1037" w:type="dxa"/>
                  <w:tcBorders>
                    <w:tl2br w:val="nil"/>
                    <w:tr2bl w:val="nil"/>
                  </w:tcBorders>
                  <w:shd w:val="clear" w:color="auto" w:fill="auto"/>
                  <w:vAlign w:val="center"/>
                </w:tcPr>
                <w:p w14:paraId="25F0D94B">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氧化剂</w:t>
                  </w:r>
                </w:p>
              </w:tc>
              <w:tc>
                <w:tcPr>
                  <w:tcW w:w="488" w:type="dxa"/>
                  <w:tcBorders>
                    <w:tl2br w:val="nil"/>
                    <w:tr2bl w:val="nil"/>
                  </w:tcBorders>
                  <w:shd w:val="clear" w:color="auto" w:fill="auto"/>
                  <w:vAlign w:val="center"/>
                </w:tcPr>
                <w:p w14:paraId="1DE8397C">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液态</w:t>
                  </w:r>
                </w:p>
              </w:tc>
              <w:tc>
                <w:tcPr>
                  <w:tcW w:w="837" w:type="dxa"/>
                  <w:tcBorders>
                    <w:tl2br w:val="nil"/>
                    <w:tr2bl w:val="nil"/>
                  </w:tcBorders>
                  <w:shd w:val="clear" w:color="auto" w:fill="auto"/>
                  <w:vAlign w:val="center"/>
                </w:tcPr>
                <w:p w14:paraId="580DD318">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1</w:t>
                  </w:r>
                </w:p>
              </w:tc>
              <w:tc>
                <w:tcPr>
                  <w:tcW w:w="938" w:type="dxa"/>
                  <w:tcBorders>
                    <w:tl2br w:val="nil"/>
                    <w:tr2bl w:val="nil"/>
                  </w:tcBorders>
                  <w:shd w:val="clear" w:color="auto" w:fill="auto"/>
                  <w:vAlign w:val="center"/>
                </w:tcPr>
                <w:p w14:paraId="3C2D209B">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0.5</w:t>
                  </w:r>
                </w:p>
              </w:tc>
              <w:tc>
                <w:tcPr>
                  <w:tcW w:w="762" w:type="dxa"/>
                  <w:tcBorders>
                    <w:tl2br w:val="nil"/>
                    <w:tr2bl w:val="nil"/>
                  </w:tcBorders>
                  <w:shd w:val="clear" w:color="auto" w:fill="auto"/>
                  <w:vAlign w:val="center"/>
                </w:tcPr>
                <w:p w14:paraId="172E143D">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桶装</w:t>
                  </w:r>
                </w:p>
              </w:tc>
              <w:tc>
                <w:tcPr>
                  <w:tcW w:w="1138" w:type="dxa"/>
                  <w:tcBorders>
                    <w:tl2br w:val="nil"/>
                    <w:tr2bl w:val="nil"/>
                  </w:tcBorders>
                  <w:shd w:val="clear" w:color="auto" w:fill="auto"/>
                  <w:vAlign w:val="center"/>
                </w:tcPr>
                <w:p w14:paraId="6997A289">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原料仓库</w:t>
                  </w:r>
                </w:p>
              </w:tc>
              <w:tc>
                <w:tcPr>
                  <w:tcW w:w="2498" w:type="dxa"/>
                  <w:tcBorders>
                    <w:tl2br w:val="nil"/>
                    <w:tr2bl w:val="nil"/>
                  </w:tcBorders>
                  <w:shd w:val="clear" w:color="auto" w:fill="auto"/>
                  <w:vAlign w:val="center"/>
                </w:tcPr>
                <w:p w14:paraId="0FB3190C">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用于回用水处理</w:t>
                  </w:r>
                </w:p>
              </w:tc>
            </w:tr>
          </w:tbl>
          <w:p w14:paraId="750A1EC7">
            <w:pPr>
              <w:pStyle w:val="74"/>
              <w:keepNext w:val="0"/>
              <w:keepLines w:val="0"/>
              <w:suppressLineNumbers w:val="0"/>
              <w:bidi w:val="0"/>
              <w:spacing w:before="0" w:beforeAutospacing="0" w:after="0" w:afterAutospacing="0"/>
              <w:ind w:left="0" w:right="0"/>
              <w:rPr>
                <w:rFonts w:hint="default" w:ascii="Times New Roman" w:hAnsi="Times New Roman" w:cs="Times New Roman"/>
                <w:b/>
                <w:bCs w:val="0"/>
                <w:caps w:val="0"/>
                <w:color w:val="auto"/>
                <w:spacing w:val="0"/>
                <w:position w:val="0"/>
                <w:highlight w:val="none"/>
                <w:lang w:val="en-US" w:eastAsia="zh-CN"/>
              </w:rPr>
            </w:pPr>
            <w:r>
              <w:rPr>
                <w:rFonts w:hint="default" w:ascii="Times New Roman" w:hAnsi="Times New Roman" w:cs="Times New Roman"/>
                <w:b/>
                <w:bCs w:val="0"/>
                <w:caps w:val="0"/>
                <w:color w:val="auto"/>
                <w:spacing w:val="0"/>
                <w:position w:val="0"/>
                <w:highlight w:val="none"/>
                <w:lang w:val="en-US" w:eastAsia="zh-CN"/>
              </w:rPr>
              <w:t>6.</w:t>
            </w:r>
            <w:r>
              <w:rPr>
                <w:rFonts w:hint="eastAsia" w:cs="Times New Roman"/>
                <w:b/>
                <w:bCs w:val="0"/>
                <w:caps w:val="0"/>
                <w:color w:val="auto"/>
                <w:spacing w:val="0"/>
                <w:position w:val="0"/>
                <w:highlight w:val="none"/>
                <w:lang w:val="en-US" w:eastAsia="zh-CN"/>
              </w:rPr>
              <w:t>1</w:t>
            </w:r>
            <w:r>
              <w:rPr>
                <w:rFonts w:hint="default" w:ascii="Times New Roman" w:hAnsi="Times New Roman" w:cs="Times New Roman"/>
                <w:b/>
                <w:bCs w:val="0"/>
                <w:caps w:val="0"/>
                <w:color w:val="auto"/>
                <w:spacing w:val="0"/>
                <w:position w:val="0"/>
                <w:highlight w:val="none"/>
                <w:lang w:val="en-US" w:eastAsia="zh-CN"/>
              </w:rPr>
              <w:t>、仓储能力匹配</w:t>
            </w:r>
          </w:p>
          <w:p w14:paraId="6EB3097D">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1、本项目锂渣暂存于锂渣仓库，仓储面积约</w:t>
            </w:r>
            <w:r>
              <w:rPr>
                <w:rFonts w:hint="eastAsia" w:cs="Times New Roman"/>
                <w:caps w:val="0"/>
                <w:color w:val="auto"/>
                <w:spacing w:val="0"/>
                <w:position w:val="0"/>
                <w:highlight w:val="none"/>
                <w:lang w:val="en-US" w:eastAsia="zh-CN"/>
              </w:rPr>
              <w:t>1000</w:t>
            </w:r>
            <w:r>
              <w:rPr>
                <w:rFonts w:hint="default" w:ascii="Times New Roman" w:hAnsi="Times New Roman" w:cs="Times New Roman"/>
                <w:caps w:val="0"/>
                <w:color w:val="auto"/>
                <w:spacing w:val="0"/>
                <w:position w:val="0"/>
                <w:highlight w:val="none"/>
                <w:lang w:val="en-US" w:eastAsia="zh-CN"/>
              </w:rPr>
              <w:t>m</w:t>
            </w:r>
            <w:r>
              <w:rPr>
                <w:rFonts w:hint="default" w:ascii="Times New Roman" w:hAnsi="Times New Roman" w:cs="Times New Roman"/>
                <w:caps w:val="0"/>
                <w:color w:val="auto"/>
                <w:spacing w:val="0"/>
                <w:position w:val="0"/>
                <w:highlight w:val="none"/>
                <w:vertAlign w:val="superscript"/>
                <w:lang w:val="en-US" w:eastAsia="zh-CN"/>
              </w:rPr>
              <w:t>2</w:t>
            </w:r>
            <w:r>
              <w:rPr>
                <w:rFonts w:hint="default" w:ascii="Times New Roman" w:hAnsi="Times New Roman" w:cs="Times New Roman"/>
                <w:caps w:val="0"/>
                <w:color w:val="auto"/>
                <w:spacing w:val="0"/>
                <w:position w:val="0"/>
                <w:highlight w:val="none"/>
                <w:lang w:val="en-US" w:eastAsia="zh-CN"/>
              </w:rPr>
              <w:t>，采取直接堆放，</w:t>
            </w:r>
            <w:r>
              <w:rPr>
                <w:rFonts w:hint="default" w:ascii="Times New Roman" w:hAnsi="Times New Roman" w:cs="Times New Roman"/>
                <w:caps w:val="0"/>
                <w:color w:val="auto"/>
                <w:spacing w:val="0"/>
                <w:position w:val="0"/>
                <w:highlight w:val="none"/>
              </w:rPr>
              <w:t>密度约</w:t>
            </w:r>
            <w:r>
              <w:rPr>
                <w:rFonts w:hint="eastAsia" w:cs="Times New Roman"/>
                <w:caps w:val="0"/>
                <w:color w:val="auto"/>
                <w:spacing w:val="0"/>
                <w:position w:val="0"/>
                <w:highlight w:val="none"/>
                <w:lang w:val="en-US" w:eastAsia="zh-CN"/>
              </w:rPr>
              <w:t>1.8</w:t>
            </w:r>
            <w:r>
              <w:rPr>
                <w:rFonts w:hint="default" w:ascii="Times New Roman" w:hAnsi="Times New Roman" w:cs="Times New Roman"/>
                <w:caps w:val="0"/>
                <w:color w:val="auto"/>
                <w:spacing w:val="0"/>
                <w:position w:val="0"/>
                <w:highlight w:val="none"/>
              </w:rPr>
              <w:t>g/cm</w:t>
            </w:r>
            <w:r>
              <w:rPr>
                <w:rFonts w:hint="default" w:ascii="Times New Roman" w:hAnsi="Times New Roman" w:cs="Times New Roman"/>
                <w:caps w:val="0"/>
                <w:color w:val="auto"/>
                <w:spacing w:val="0"/>
                <w:position w:val="0"/>
                <w:highlight w:val="none"/>
                <w:vertAlign w:val="superscript"/>
                <w:lang w:val="en-US" w:eastAsia="zh-CN"/>
              </w:rPr>
              <w:t>3</w:t>
            </w:r>
            <w:r>
              <w:rPr>
                <w:rFonts w:hint="default" w:ascii="Times New Roman" w:hAnsi="Times New Roman" w:cs="Times New Roman"/>
                <w:caps w:val="0"/>
                <w:color w:val="auto"/>
                <w:spacing w:val="0"/>
                <w:position w:val="0"/>
                <w:highlight w:val="none"/>
                <w:vertAlign w:val="baseline"/>
                <w:lang w:val="en-US" w:eastAsia="zh-CN"/>
              </w:rPr>
              <w:t>，</w:t>
            </w:r>
            <w:r>
              <w:rPr>
                <w:rFonts w:hint="default" w:ascii="Times New Roman" w:hAnsi="Times New Roman" w:cs="Times New Roman"/>
                <w:caps w:val="0"/>
                <w:color w:val="auto"/>
                <w:spacing w:val="0"/>
                <w:position w:val="0"/>
                <w:highlight w:val="none"/>
                <w:lang w:val="en-US" w:eastAsia="zh-CN"/>
              </w:rPr>
              <w:t>堆放高度取值2.5m，设计存储量约为</w:t>
            </w:r>
            <w:r>
              <w:rPr>
                <w:rFonts w:hint="eastAsia" w:cs="Times New Roman"/>
                <w:caps w:val="0"/>
                <w:color w:val="auto"/>
                <w:spacing w:val="0"/>
                <w:position w:val="0"/>
                <w:highlight w:val="none"/>
                <w:lang w:val="en-US" w:eastAsia="zh-CN"/>
              </w:rPr>
              <w:t>4500</w:t>
            </w:r>
            <w:r>
              <w:rPr>
                <w:rFonts w:hint="default" w:ascii="Times New Roman" w:hAnsi="Times New Roman" w:cs="Times New Roman"/>
                <w:caps w:val="0"/>
                <w:color w:val="auto"/>
                <w:spacing w:val="0"/>
                <w:position w:val="0"/>
                <w:highlight w:val="none"/>
                <w:lang w:val="en-US" w:eastAsia="zh-CN"/>
              </w:rPr>
              <w:t>t，能够</w:t>
            </w:r>
            <w:r>
              <w:rPr>
                <w:rFonts w:hint="eastAsia" w:cs="Times New Roman"/>
                <w:caps w:val="0"/>
                <w:color w:val="auto"/>
                <w:spacing w:val="0"/>
                <w:position w:val="0"/>
                <w:highlight w:val="none"/>
                <w:lang w:val="en-US" w:eastAsia="zh-CN"/>
              </w:rPr>
              <w:t>满足4</w:t>
            </w:r>
            <w:r>
              <w:rPr>
                <w:rFonts w:hint="default" w:ascii="Times New Roman" w:hAnsi="Times New Roman" w:cs="Times New Roman"/>
                <w:caps w:val="0"/>
                <w:color w:val="auto"/>
                <w:spacing w:val="0"/>
                <w:position w:val="0"/>
                <w:highlight w:val="none"/>
                <w:lang w:val="en-US" w:eastAsia="zh-CN"/>
              </w:rPr>
              <w:t>000t锂渣存储要求。</w:t>
            </w:r>
          </w:p>
          <w:p w14:paraId="64DBFFFC">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2、本项目原料仓库建筑面积约</w:t>
            </w:r>
            <w:r>
              <w:rPr>
                <w:rFonts w:hint="eastAsia" w:cs="Times New Roman"/>
                <w:caps w:val="0"/>
                <w:color w:val="auto"/>
                <w:spacing w:val="0"/>
                <w:position w:val="0"/>
                <w:highlight w:val="none"/>
                <w:lang w:val="en-US" w:eastAsia="zh-CN"/>
              </w:rPr>
              <w:t>1000</w:t>
            </w:r>
            <w:r>
              <w:rPr>
                <w:rFonts w:hint="default" w:ascii="Times New Roman" w:hAnsi="Times New Roman" w:cs="Times New Roman"/>
                <w:caps w:val="0"/>
                <w:color w:val="auto"/>
                <w:spacing w:val="0"/>
                <w:position w:val="0"/>
                <w:highlight w:val="none"/>
                <w:lang w:val="en-US" w:eastAsia="zh-CN"/>
              </w:rPr>
              <w:t>m</w:t>
            </w:r>
            <w:r>
              <w:rPr>
                <w:rFonts w:hint="default" w:ascii="Times New Roman" w:hAnsi="Times New Roman" w:cs="Times New Roman"/>
                <w:caps w:val="0"/>
                <w:color w:val="auto"/>
                <w:spacing w:val="0"/>
                <w:position w:val="0"/>
                <w:highlight w:val="none"/>
                <w:vertAlign w:val="superscript"/>
                <w:lang w:val="en-US" w:eastAsia="zh-CN"/>
              </w:rPr>
              <w:t>2</w:t>
            </w:r>
            <w:r>
              <w:rPr>
                <w:rFonts w:hint="default" w:ascii="Times New Roman" w:hAnsi="Times New Roman" w:cs="Times New Roman"/>
                <w:caps w:val="0"/>
                <w:color w:val="auto"/>
                <w:spacing w:val="0"/>
                <w:position w:val="0"/>
                <w:highlight w:val="none"/>
                <w:lang w:val="en-US" w:eastAsia="zh-CN"/>
              </w:rPr>
              <w:t>，碎石采取直接堆放，碎石堆放面积为</w:t>
            </w:r>
            <w:r>
              <w:rPr>
                <w:rFonts w:hint="eastAsia" w:cs="Times New Roman"/>
                <w:caps w:val="0"/>
                <w:color w:val="auto"/>
                <w:spacing w:val="0"/>
                <w:position w:val="0"/>
                <w:highlight w:val="none"/>
                <w:lang w:val="en-US" w:eastAsia="zh-CN"/>
              </w:rPr>
              <w:t>1</w:t>
            </w:r>
            <w:r>
              <w:rPr>
                <w:rFonts w:hint="default" w:ascii="Times New Roman" w:hAnsi="Times New Roman" w:cs="Times New Roman"/>
                <w:caps w:val="0"/>
                <w:color w:val="auto"/>
                <w:spacing w:val="0"/>
                <w:position w:val="0"/>
                <w:highlight w:val="none"/>
                <w:lang w:val="en-US" w:eastAsia="zh-CN"/>
              </w:rPr>
              <w:t>00m</w:t>
            </w:r>
            <w:r>
              <w:rPr>
                <w:rFonts w:hint="default" w:ascii="Times New Roman" w:hAnsi="Times New Roman" w:cs="Times New Roman"/>
                <w:caps w:val="0"/>
                <w:color w:val="auto"/>
                <w:spacing w:val="0"/>
                <w:position w:val="0"/>
                <w:highlight w:val="none"/>
                <w:vertAlign w:val="superscript"/>
                <w:lang w:val="en-US" w:eastAsia="zh-CN"/>
              </w:rPr>
              <w:t>2</w:t>
            </w:r>
            <w:r>
              <w:rPr>
                <w:rFonts w:hint="default" w:ascii="Times New Roman" w:hAnsi="Times New Roman" w:cs="Times New Roman"/>
                <w:caps w:val="0"/>
                <w:color w:val="auto"/>
                <w:spacing w:val="0"/>
                <w:position w:val="0"/>
                <w:highlight w:val="none"/>
                <w:lang w:val="en-US" w:eastAsia="zh-CN"/>
              </w:rPr>
              <w:t>，密度取3g/cm</w:t>
            </w:r>
            <w:r>
              <w:rPr>
                <w:rFonts w:hint="default" w:ascii="Times New Roman" w:hAnsi="Times New Roman" w:cs="Times New Roman"/>
                <w:caps w:val="0"/>
                <w:color w:val="auto"/>
                <w:spacing w:val="0"/>
                <w:position w:val="0"/>
                <w:highlight w:val="none"/>
                <w:vertAlign w:val="superscript"/>
                <w:lang w:val="en-US" w:eastAsia="zh-CN"/>
              </w:rPr>
              <w:t>3</w:t>
            </w:r>
            <w:r>
              <w:rPr>
                <w:rFonts w:hint="default" w:ascii="Times New Roman" w:hAnsi="Times New Roman" w:cs="Times New Roman"/>
                <w:caps w:val="0"/>
                <w:color w:val="auto"/>
                <w:spacing w:val="0"/>
                <w:position w:val="0"/>
                <w:highlight w:val="none"/>
                <w:lang w:val="en-US" w:eastAsia="zh-CN"/>
              </w:rPr>
              <w:t>，堆放高度取值2.5m，设计存储量约为</w:t>
            </w:r>
            <w:r>
              <w:rPr>
                <w:rFonts w:hint="eastAsia" w:cs="Times New Roman"/>
                <w:caps w:val="0"/>
                <w:color w:val="auto"/>
                <w:spacing w:val="0"/>
                <w:position w:val="0"/>
                <w:highlight w:val="none"/>
                <w:lang w:val="en-US" w:eastAsia="zh-CN"/>
              </w:rPr>
              <w:t>75</w:t>
            </w:r>
            <w:r>
              <w:rPr>
                <w:rFonts w:hint="default" w:ascii="Times New Roman" w:hAnsi="Times New Roman" w:cs="Times New Roman"/>
                <w:caps w:val="0"/>
                <w:color w:val="auto"/>
                <w:spacing w:val="0"/>
                <w:position w:val="0"/>
                <w:highlight w:val="none"/>
                <w:lang w:val="en-US" w:eastAsia="zh-CN"/>
              </w:rPr>
              <w:t>0t，能够</w:t>
            </w:r>
            <w:r>
              <w:rPr>
                <w:rFonts w:hint="eastAsia" w:cs="Times New Roman"/>
                <w:caps w:val="0"/>
                <w:color w:val="auto"/>
                <w:spacing w:val="0"/>
                <w:position w:val="0"/>
                <w:highlight w:val="none"/>
                <w:lang w:val="en-US" w:eastAsia="zh-CN"/>
              </w:rPr>
              <w:t>满足5</w:t>
            </w:r>
            <w:r>
              <w:rPr>
                <w:rFonts w:hint="default" w:ascii="Times New Roman" w:hAnsi="Times New Roman" w:cs="Times New Roman"/>
                <w:caps w:val="0"/>
                <w:color w:val="auto"/>
                <w:spacing w:val="0"/>
                <w:position w:val="0"/>
                <w:highlight w:val="none"/>
                <w:lang w:val="en-US" w:eastAsia="zh-CN"/>
              </w:rPr>
              <w:t>00t碎石存储要求。</w:t>
            </w:r>
            <w:r>
              <w:rPr>
                <w:rFonts w:hint="eastAsia" w:cs="Times New Roman"/>
                <w:caps w:val="0"/>
                <w:color w:val="auto"/>
                <w:spacing w:val="0"/>
                <w:position w:val="0"/>
                <w:highlight w:val="none"/>
                <w:lang w:val="en-US" w:eastAsia="zh-CN"/>
              </w:rPr>
              <w:t>压榨尾泥</w:t>
            </w:r>
            <w:r>
              <w:rPr>
                <w:rFonts w:hint="default" w:ascii="Times New Roman" w:hAnsi="Times New Roman" w:cs="Times New Roman"/>
                <w:caps w:val="0"/>
                <w:color w:val="auto"/>
                <w:spacing w:val="0"/>
                <w:position w:val="0"/>
                <w:highlight w:val="none"/>
                <w:lang w:val="en-US" w:eastAsia="zh-CN"/>
              </w:rPr>
              <w:t>采取袋装码垛方式堆放，除去码垛间隙，实际堆放面积为100m</w:t>
            </w:r>
            <w:r>
              <w:rPr>
                <w:rFonts w:hint="default" w:ascii="Times New Roman" w:hAnsi="Times New Roman" w:cs="Times New Roman"/>
                <w:caps w:val="0"/>
                <w:color w:val="auto"/>
                <w:spacing w:val="0"/>
                <w:position w:val="0"/>
                <w:highlight w:val="none"/>
                <w:vertAlign w:val="superscript"/>
                <w:lang w:val="en-US" w:eastAsia="zh-CN"/>
              </w:rPr>
              <w:t>2</w:t>
            </w:r>
            <w:r>
              <w:rPr>
                <w:rFonts w:hint="default" w:ascii="Times New Roman" w:hAnsi="Times New Roman" w:cs="Times New Roman"/>
                <w:caps w:val="0"/>
                <w:color w:val="auto"/>
                <w:spacing w:val="0"/>
                <w:position w:val="0"/>
                <w:highlight w:val="none"/>
                <w:lang w:val="en-US" w:eastAsia="zh-CN"/>
              </w:rPr>
              <w:t>，密度取3.5g/cm</w:t>
            </w:r>
            <w:r>
              <w:rPr>
                <w:rFonts w:hint="default" w:ascii="Times New Roman" w:hAnsi="Times New Roman" w:cs="Times New Roman"/>
                <w:caps w:val="0"/>
                <w:color w:val="auto"/>
                <w:spacing w:val="0"/>
                <w:position w:val="0"/>
                <w:highlight w:val="none"/>
                <w:vertAlign w:val="superscript"/>
                <w:lang w:val="en-US" w:eastAsia="zh-CN"/>
              </w:rPr>
              <w:t>3</w:t>
            </w:r>
            <w:r>
              <w:rPr>
                <w:rFonts w:hint="default" w:ascii="Times New Roman" w:hAnsi="Times New Roman" w:cs="Times New Roman"/>
                <w:caps w:val="0"/>
                <w:color w:val="auto"/>
                <w:spacing w:val="0"/>
                <w:position w:val="0"/>
                <w:highlight w:val="none"/>
                <w:lang w:val="en-US" w:eastAsia="zh-CN"/>
              </w:rPr>
              <w:t>，堆放高度取值</w:t>
            </w:r>
            <w:r>
              <w:rPr>
                <w:rFonts w:hint="eastAsia" w:cs="Times New Roman"/>
                <w:caps w:val="0"/>
                <w:color w:val="auto"/>
                <w:spacing w:val="0"/>
                <w:position w:val="0"/>
                <w:highlight w:val="none"/>
                <w:lang w:val="en-US" w:eastAsia="zh-CN"/>
              </w:rPr>
              <w:t>1</w:t>
            </w:r>
            <w:r>
              <w:rPr>
                <w:rFonts w:hint="default" w:ascii="Times New Roman" w:hAnsi="Times New Roman" w:cs="Times New Roman"/>
                <w:caps w:val="0"/>
                <w:color w:val="auto"/>
                <w:spacing w:val="0"/>
                <w:position w:val="0"/>
                <w:highlight w:val="none"/>
                <w:lang w:val="en-US" w:eastAsia="zh-CN"/>
              </w:rPr>
              <w:t>.5m，设计存储量约为</w:t>
            </w:r>
            <w:r>
              <w:rPr>
                <w:rFonts w:hint="eastAsia" w:cs="Times New Roman"/>
                <w:caps w:val="0"/>
                <w:color w:val="auto"/>
                <w:spacing w:val="0"/>
                <w:position w:val="0"/>
                <w:highlight w:val="none"/>
                <w:lang w:val="en-US" w:eastAsia="zh-CN"/>
              </w:rPr>
              <w:t>52</w:t>
            </w:r>
            <w:r>
              <w:rPr>
                <w:rFonts w:hint="default" w:ascii="Times New Roman" w:hAnsi="Times New Roman" w:cs="Times New Roman"/>
                <w:caps w:val="0"/>
                <w:color w:val="auto"/>
                <w:spacing w:val="0"/>
                <w:position w:val="0"/>
                <w:highlight w:val="none"/>
                <w:lang w:val="en-US" w:eastAsia="zh-CN"/>
              </w:rPr>
              <w:t>5t，能够</w:t>
            </w:r>
            <w:r>
              <w:rPr>
                <w:rFonts w:hint="eastAsia" w:cs="Times New Roman"/>
                <w:caps w:val="0"/>
                <w:color w:val="auto"/>
                <w:spacing w:val="0"/>
                <w:position w:val="0"/>
                <w:highlight w:val="none"/>
                <w:lang w:val="en-US" w:eastAsia="zh-CN"/>
              </w:rPr>
              <w:t>满足250t压榨尾泥</w:t>
            </w:r>
            <w:r>
              <w:rPr>
                <w:rFonts w:hint="default" w:ascii="Times New Roman" w:hAnsi="Times New Roman" w:cs="Times New Roman"/>
                <w:caps w:val="0"/>
                <w:color w:val="auto"/>
                <w:spacing w:val="0"/>
                <w:position w:val="0"/>
                <w:highlight w:val="none"/>
                <w:lang w:val="en-US" w:eastAsia="zh-CN"/>
              </w:rPr>
              <w:t>存储要求。</w:t>
            </w:r>
          </w:p>
          <w:p w14:paraId="3FC96804">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3、本项目水泥</w:t>
            </w:r>
            <w:r>
              <w:rPr>
                <w:rFonts w:hint="eastAsia" w:cs="Times New Roman"/>
                <w:caps w:val="0"/>
                <w:color w:val="auto"/>
                <w:spacing w:val="0"/>
                <w:position w:val="0"/>
                <w:highlight w:val="none"/>
                <w:lang w:val="en-US" w:eastAsia="zh-CN"/>
              </w:rPr>
              <w:t>、石粉和硅粉均</w:t>
            </w:r>
            <w:r>
              <w:rPr>
                <w:rFonts w:hint="default" w:ascii="Times New Roman" w:hAnsi="Times New Roman" w:cs="Times New Roman"/>
                <w:caps w:val="0"/>
                <w:color w:val="auto"/>
                <w:spacing w:val="0"/>
                <w:position w:val="0"/>
                <w:highlight w:val="none"/>
                <w:lang w:val="en-US" w:eastAsia="zh-CN"/>
              </w:rPr>
              <w:t>储存于料仓之中，料仓位置位于原料仓库内，容积</w:t>
            </w:r>
            <w:r>
              <w:rPr>
                <w:rFonts w:hint="eastAsia" w:cs="Times New Roman"/>
                <w:caps w:val="0"/>
                <w:color w:val="auto"/>
                <w:spacing w:val="0"/>
                <w:position w:val="0"/>
                <w:highlight w:val="none"/>
                <w:lang w:val="en-US" w:eastAsia="zh-CN"/>
              </w:rPr>
              <w:t>均</w:t>
            </w:r>
            <w:r>
              <w:rPr>
                <w:rFonts w:hint="default" w:ascii="Times New Roman" w:hAnsi="Times New Roman" w:cs="Times New Roman"/>
                <w:caps w:val="0"/>
                <w:color w:val="auto"/>
                <w:spacing w:val="0"/>
                <w:position w:val="0"/>
                <w:highlight w:val="none"/>
                <w:lang w:val="en-US" w:eastAsia="zh-CN"/>
              </w:rPr>
              <w:t>为</w:t>
            </w:r>
            <w:r>
              <w:rPr>
                <w:rFonts w:hint="eastAsia" w:cs="Times New Roman"/>
                <w:caps w:val="0"/>
                <w:color w:val="auto"/>
                <w:spacing w:val="0"/>
                <w:position w:val="0"/>
                <w:highlight w:val="none"/>
                <w:lang w:val="en-US" w:eastAsia="zh-CN"/>
              </w:rPr>
              <w:t>1</w:t>
            </w:r>
            <w:r>
              <w:rPr>
                <w:rFonts w:hint="default" w:ascii="Times New Roman" w:hAnsi="Times New Roman" w:cs="Times New Roman"/>
                <w:caps w:val="0"/>
                <w:color w:val="auto"/>
                <w:spacing w:val="0"/>
                <w:position w:val="0"/>
                <w:highlight w:val="none"/>
                <w:lang w:val="en-US" w:eastAsia="zh-CN"/>
              </w:rPr>
              <w:t>00m</w:t>
            </w:r>
            <w:r>
              <w:rPr>
                <w:rFonts w:hint="default" w:ascii="Times New Roman" w:hAnsi="Times New Roman" w:cs="Times New Roman"/>
                <w:caps w:val="0"/>
                <w:color w:val="auto"/>
                <w:spacing w:val="0"/>
                <w:position w:val="0"/>
                <w:highlight w:val="none"/>
                <w:vertAlign w:val="superscript"/>
                <w:lang w:val="en-US" w:eastAsia="zh-CN"/>
              </w:rPr>
              <w:t>3</w:t>
            </w:r>
            <w:r>
              <w:rPr>
                <w:rFonts w:hint="default" w:ascii="Times New Roman" w:hAnsi="Times New Roman" w:cs="Times New Roman"/>
                <w:caps w:val="0"/>
                <w:color w:val="auto"/>
                <w:spacing w:val="0"/>
                <w:position w:val="0"/>
                <w:highlight w:val="none"/>
                <w:lang w:val="en-US" w:eastAsia="zh-CN"/>
              </w:rPr>
              <w:t>，水泥</w:t>
            </w:r>
            <w:r>
              <w:rPr>
                <w:rFonts w:hint="eastAsia" w:cs="Times New Roman"/>
                <w:caps w:val="0"/>
                <w:color w:val="auto"/>
                <w:spacing w:val="0"/>
                <w:position w:val="0"/>
                <w:highlight w:val="none"/>
                <w:lang w:val="en-US" w:eastAsia="zh-CN"/>
              </w:rPr>
              <w:t>、石粉和硅粉的</w:t>
            </w:r>
            <w:r>
              <w:rPr>
                <w:rFonts w:hint="default" w:ascii="Times New Roman" w:hAnsi="Times New Roman" w:cs="Times New Roman"/>
                <w:caps w:val="0"/>
                <w:color w:val="auto"/>
                <w:spacing w:val="0"/>
                <w:position w:val="0"/>
                <w:highlight w:val="none"/>
              </w:rPr>
              <w:t>密度</w:t>
            </w:r>
            <w:r>
              <w:rPr>
                <w:rFonts w:hint="eastAsia" w:cs="Times New Roman"/>
                <w:caps w:val="0"/>
                <w:color w:val="auto"/>
                <w:spacing w:val="0"/>
                <w:position w:val="0"/>
                <w:highlight w:val="none"/>
                <w:lang w:val="en-US" w:eastAsia="zh-CN"/>
              </w:rPr>
              <w:t>分别为</w:t>
            </w:r>
            <w:r>
              <w:rPr>
                <w:rFonts w:hint="default" w:ascii="Times New Roman" w:hAnsi="Times New Roman" w:cs="Times New Roman"/>
                <w:caps w:val="0"/>
                <w:color w:val="auto"/>
                <w:spacing w:val="0"/>
                <w:position w:val="0"/>
                <w:highlight w:val="none"/>
              </w:rPr>
              <w:t>3.1g/cm</w:t>
            </w:r>
            <w:r>
              <w:rPr>
                <w:rFonts w:hint="default" w:ascii="Times New Roman" w:hAnsi="Times New Roman" w:cs="Times New Roman"/>
                <w:caps w:val="0"/>
                <w:color w:val="auto"/>
                <w:spacing w:val="0"/>
                <w:position w:val="0"/>
                <w:highlight w:val="none"/>
                <w:vertAlign w:val="superscript"/>
                <w:lang w:val="en-US" w:eastAsia="zh-CN"/>
              </w:rPr>
              <w:t>3</w:t>
            </w:r>
            <w:r>
              <w:rPr>
                <w:rFonts w:hint="eastAsia" w:cs="Times New Roman"/>
                <w:caps w:val="0"/>
                <w:color w:val="auto"/>
                <w:spacing w:val="0"/>
                <w:position w:val="0"/>
                <w:highlight w:val="none"/>
                <w:lang w:eastAsia="zh-CN"/>
              </w:rPr>
              <w:t>、</w:t>
            </w:r>
            <w:r>
              <w:rPr>
                <w:rFonts w:hint="eastAsia" w:cs="Times New Roman"/>
                <w:caps w:val="0"/>
                <w:color w:val="auto"/>
                <w:spacing w:val="0"/>
                <w:position w:val="0"/>
                <w:highlight w:val="none"/>
                <w:lang w:val="en-US" w:eastAsia="zh-CN"/>
              </w:rPr>
              <w:t>2.75</w:t>
            </w:r>
            <w:r>
              <w:rPr>
                <w:rFonts w:hint="default" w:ascii="Times New Roman" w:hAnsi="Times New Roman" w:cs="Times New Roman"/>
                <w:caps w:val="0"/>
                <w:color w:val="auto"/>
                <w:spacing w:val="0"/>
                <w:position w:val="0"/>
                <w:highlight w:val="none"/>
              </w:rPr>
              <w:t>g/cm</w:t>
            </w:r>
            <w:r>
              <w:rPr>
                <w:rFonts w:hint="default" w:ascii="Times New Roman" w:hAnsi="Times New Roman" w:cs="Times New Roman"/>
                <w:caps w:val="0"/>
                <w:color w:val="auto"/>
                <w:spacing w:val="0"/>
                <w:position w:val="0"/>
                <w:highlight w:val="none"/>
                <w:vertAlign w:val="superscript"/>
                <w:lang w:val="en-US" w:eastAsia="zh-CN"/>
              </w:rPr>
              <w:t>3</w:t>
            </w:r>
            <w:r>
              <w:rPr>
                <w:rFonts w:hint="eastAsia" w:ascii="Times New Roman" w:hAnsi="Times New Roman" w:cs="Times New Roman"/>
                <w:caps w:val="0"/>
                <w:color w:val="auto"/>
                <w:spacing w:val="0"/>
                <w:position w:val="0"/>
                <w:highlight w:val="none"/>
                <w:vertAlign w:val="baseline"/>
                <w:lang w:val="en-US" w:eastAsia="zh-CN"/>
              </w:rPr>
              <w:t>、</w:t>
            </w:r>
            <w:r>
              <w:rPr>
                <w:rFonts w:hint="eastAsia" w:cs="Times New Roman"/>
                <w:caps w:val="0"/>
                <w:color w:val="auto"/>
                <w:spacing w:val="0"/>
                <w:position w:val="0"/>
                <w:highlight w:val="none"/>
                <w:lang w:val="en-US" w:eastAsia="zh-CN"/>
              </w:rPr>
              <w:t>2.35</w:t>
            </w:r>
            <w:r>
              <w:rPr>
                <w:rFonts w:hint="default" w:ascii="Times New Roman" w:hAnsi="Times New Roman" w:cs="Times New Roman"/>
                <w:caps w:val="0"/>
                <w:color w:val="auto"/>
                <w:spacing w:val="0"/>
                <w:position w:val="0"/>
                <w:highlight w:val="none"/>
              </w:rPr>
              <w:t>g/cm</w:t>
            </w:r>
            <w:r>
              <w:rPr>
                <w:rFonts w:hint="default" w:ascii="Times New Roman" w:hAnsi="Times New Roman" w:cs="Times New Roman"/>
                <w:caps w:val="0"/>
                <w:color w:val="auto"/>
                <w:spacing w:val="0"/>
                <w:position w:val="0"/>
                <w:highlight w:val="none"/>
                <w:vertAlign w:val="superscript"/>
                <w:lang w:val="en-US" w:eastAsia="zh-CN"/>
              </w:rPr>
              <w:t>3</w:t>
            </w:r>
            <w:r>
              <w:rPr>
                <w:rFonts w:hint="eastAsia" w:ascii="Times New Roman" w:hAnsi="Times New Roman" w:cs="Times New Roman"/>
                <w:caps w:val="0"/>
                <w:color w:val="auto"/>
                <w:spacing w:val="0"/>
                <w:position w:val="0"/>
                <w:highlight w:val="none"/>
                <w:vertAlign w:val="baseline"/>
                <w:lang w:val="en-US" w:eastAsia="zh-CN"/>
              </w:rPr>
              <w:t>，其</w:t>
            </w:r>
            <w:r>
              <w:rPr>
                <w:rFonts w:hint="default" w:ascii="Times New Roman" w:hAnsi="Times New Roman" w:cs="Times New Roman"/>
                <w:caps w:val="0"/>
                <w:color w:val="auto"/>
                <w:spacing w:val="0"/>
                <w:position w:val="0"/>
                <w:highlight w:val="none"/>
                <w:lang w:val="en-US" w:eastAsia="zh-CN"/>
              </w:rPr>
              <w:t>水泥</w:t>
            </w:r>
            <w:r>
              <w:rPr>
                <w:rFonts w:hint="eastAsia" w:cs="Times New Roman"/>
                <w:caps w:val="0"/>
                <w:color w:val="auto"/>
                <w:spacing w:val="0"/>
                <w:position w:val="0"/>
                <w:highlight w:val="none"/>
                <w:lang w:val="en-US" w:eastAsia="zh-CN"/>
              </w:rPr>
              <w:t>、石粉和硅粉的</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设计存储量</w:t>
            </w:r>
            <w:r>
              <w:rPr>
                <w:rFonts w:hint="eastAsia" w:cs="Times New Roman"/>
                <w:bCs/>
                <w:caps w:val="0"/>
                <w:color w:val="auto"/>
                <w:spacing w:val="0"/>
                <w:kern w:val="2"/>
                <w:position w:val="0"/>
                <w:sz w:val="24"/>
                <w:szCs w:val="24"/>
                <w:highlight w:val="none"/>
                <w:lang w:val="en-US" w:eastAsia="zh-CN" w:bidi="ar-SA"/>
              </w:rPr>
              <w:t>分别</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为</w:t>
            </w:r>
            <w:r>
              <w:rPr>
                <w:rFonts w:hint="eastAsia" w:cs="Times New Roman"/>
                <w:bCs/>
                <w:caps w:val="0"/>
                <w:color w:val="auto"/>
                <w:spacing w:val="0"/>
                <w:kern w:val="2"/>
                <w:position w:val="0"/>
                <w:sz w:val="24"/>
                <w:szCs w:val="24"/>
                <w:highlight w:val="none"/>
                <w:lang w:val="en-US" w:eastAsia="zh-CN" w:bidi="ar-SA"/>
              </w:rPr>
              <w:t>31</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0t</w:t>
            </w:r>
            <w:r>
              <w:rPr>
                <w:rFonts w:hint="eastAsia" w:cs="Times New Roman"/>
                <w:bCs/>
                <w:caps w:val="0"/>
                <w:color w:val="auto"/>
                <w:spacing w:val="0"/>
                <w:kern w:val="2"/>
                <w:position w:val="0"/>
                <w:sz w:val="24"/>
                <w:szCs w:val="24"/>
                <w:highlight w:val="none"/>
                <w:lang w:val="en-US" w:eastAsia="zh-CN" w:bidi="ar-SA"/>
              </w:rPr>
              <w:t>、275t、235t</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w:t>
            </w:r>
            <w:r>
              <w:rPr>
                <w:rFonts w:hint="default" w:ascii="Times New Roman" w:hAnsi="Times New Roman" w:cs="Times New Roman"/>
                <w:caps w:val="0"/>
                <w:color w:val="auto"/>
                <w:spacing w:val="0"/>
                <w:position w:val="0"/>
                <w:highlight w:val="none"/>
                <w:lang w:val="en-US" w:eastAsia="zh-CN"/>
              </w:rPr>
              <w:t>能满足水泥</w:t>
            </w:r>
            <w:r>
              <w:rPr>
                <w:rFonts w:hint="eastAsia" w:cs="Times New Roman"/>
                <w:caps w:val="0"/>
                <w:color w:val="auto"/>
                <w:spacing w:val="0"/>
                <w:position w:val="0"/>
                <w:highlight w:val="none"/>
                <w:lang w:val="en-US" w:eastAsia="zh-CN"/>
              </w:rPr>
              <w:t>3</w:t>
            </w:r>
            <w:r>
              <w:rPr>
                <w:rFonts w:hint="default" w:ascii="Times New Roman" w:hAnsi="Times New Roman" w:cs="Times New Roman"/>
                <w:caps w:val="0"/>
                <w:color w:val="auto"/>
                <w:spacing w:val="0"/>
                <w:position w:val="0"/>
                <w:highlight w:val="none"/>
                <w:lang w:val="en-US" w:eastAsia="zh-CN"/>
              </w:rPr>
              <w:t>00t</w:t>
            </w:r>
            <w:r>
              <w:rPr>
                <w:rFonts w:hint="eastAsia" w:cs="Times New Roman"/>
                <w:caps w:val="0"/>
                <w:color w:val="auto"/>
                <w:spacing w:val="0"/>
                <w:position w:val="0"/>
                <w:highlight w:val="none"/>
                <w:lang w:val="en-US" w:eastAsia="zh-CN"/>
              </w:rPr>
              <w:t>、石粉275t、硅粉235t</w:t>
            </w:r>
            <w:r>
              <w:rPr>
                <w:rFonts w:hint="default" w:ascii="Times New Roman" w:hAnsi="Times New Roman" w:cs="Times New Roman"/>
                <w:caps w:val="0"/>
                <w:color w:val="auto"/>
                <w:spacing w:val="0"/>
                <w:position w:val="0"/>
                <w:highlight w:val="none"/>
                <w:lang w:val="en-US" w:eastAsia="zh-CN"/>
              </w:rPr>
              <w:t>的存储要求。</w:t>
            </w:r>
          </w:p>
          <w:p w14:paraId="2B64A232">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4</w:t>
            </w:r>
            <w:r>
              <w:rPr>
                <w:rFonts w:hint="default" w:ascii="Times New Roman" w:hAnsi="Times New Roman" w:cs="Times New Roman"/>
                <w:caps w:val="0"/>
                <w:color w:val="auto"/>
                <w:spacing w:val="0"/>
                <w:position w:val="0"/>
                <w:highlight w:val="none"/>
                <w:lang w:val="en-US" w:eastAsia="zh-CN"/>
              </w:rPr>
              <w:t>、本项目成品砖养护面积为</w:t>
            </w:r>
            <w:r>
              <w:rPr>
                <w:rFonts w:hint="eastAsia" w:cs="Times New Roman"/>
                <w:caps w:val="0"/>
                <w:color w:val="auto"/>
                <w:spacing w:val="0"/>
                <w:position w:val="0"/>
                <w:highlight w:val="none"/>
                <w:lang w:val="en-US" w:eastAsia="zh-CN"/>
              </w:rPr>
              <w:t>2000</w:t>
            </w:r>
            <w:r>
              <w:rPr>
                <w:rFonts w:hint="default" w:ascii="Times New Roman" w:hAnsi="Times New Roman" w:cs="Times New Roman"/>
                <w:caps w:val="0"/>
                <w:color w:val="auto"/>
                <w:spacing w:val="0"/>
                <w:position w:val="0"/>
                <w:highlight w:val="none"/>
                <w:lang w:val="en-US" w:eastAsia="zh-CN"/>
              </w:rPr>
              <w:t>m</w:t>
            </w:r>
            <w:r>
              <w:rPr>
                <w:rFonts w:hint="default" w:ascii="Times New Roman" w:hAnsi="Times New Roman" w:cs="Times New Roman"/>
                <w:caps w:val="0"/>
                <w:color w:val="auto"/>
                <w:spacing w:val="0"/>
                <w:position w:val="0"/>
                <w:highlight w:val="none"/>
                <w:vertAlign w:val="superscript"/>
                <w:lang w:val="en-US" w:eastAsia="zh-CN"/>
              </w:rPr>
              <w:t>2</w:t>
            </w:r>
            <w:r>
              <w:rPr>
                <w:rFonts w:hint="default" w:ascii="Times New Roman" w:hAnsi="Times New Roman" w:cs="Times New Roman"/>
                <w:caps w:val="0"/>
                <w:color w:val="auto"/>
                <w:spacing w:val="0"/>
                <w:position w:val="0"/>
                <w:highlight w:val="none"/>
                <w:lang w:val="en-US" w:eastAsia="zh-CN"/>
              </w:rPr>
              <w:t>，</w:t>
            </w:r>
            <w:r>
              <w:rPr>
                <w:rFonts w:hint="eastAsia" w:cs="Times New Roman"/>
                <w:caps w:val="0"/>
                <w:color w:val="auto"/>
                <w:spacing w:val="0"/>
                <w:position w:val="0"/>
                <w:highlight w:val="none"/>
                <w:lang w:val="en-US" w:eastAsia="zh-CN"/>
              </w:rPr>
              <w:t>位于新建厂房西侧中部，</w:t>
            </w:r>
            <w:r>
              <w:rPr>
                <w:rFonts w:hint="default" w:ascii="Times New Roman" w:hAnsi="Times New Roman" w:eastAsia="宋体" w:cs="Times New Roman"/>
                <w:caps w:val="0"/>
                <w:color w:val="auto"/>
                <w:spacing w:val="0"/>
                <w:position w:val="0"/>
                <w:highlight w:val="none"/>
                <w:lang w:val="en-US" w:eastAsia="zh-CN"/>
              </w:rPr>
              <w:t>采取码垛方式堆放，除去码垛间隙，实际堆放面积为</w:t>
            </w:r>
            <w:r>
              <w:rPr>
                <w:rFonts w:hint="eastAsia" w:cs="Times New Roman"/>
                <w:caps w:val="0"/>
                <w:color w:val="auto"/>
                <w:spacing w:val="0"/>
                <w:position w:val="0"/>
                <w:highlight w:val="none"/>
                <w:lang w:val="en-US" w:eastAsia="zh-CN"/>
              </w:rPr>
              <w:t>190</w:t>
            </w:r>
            <w:r>
              <w:rPr>
                <w:rFonts w:hint="default" w:ascii="Times New Roman" w:hAnsi="Times New Roman" w:cs="Times New Roman"/>
                <w:caps w:val="0"/>
                <w:color w:val="auto"/>
                <w:spacing w:val="0"/>
                <w:position w:val="0"/>
                <w:highlight w:val="none"/>
                <w:lang w:val="en-US" w:eastAsia="zh-CN"/>
              </w:rPr>
              <w:t>0</w:t>
            </w:r>
            <w:r>
              <w:rPr>
                <w:rFonts w:hint="default" w:ascii="Times New Roman" w:hAnsi="Times New Roman" w:eastAsia="宋体" w:cs="Times New Roman"/>
                <w:caps w:val="0"/>
                <w:color w:val="auto"/>
                <w:spacing w:val="0"/>
                <w:position w:val="0"/>
                <w:highlight w:val="none"/>
                <w:lang w:val="en-US" w:eastAsia="zh-CN"/>
              </w:rPr>
              <w:t>m</w:t>
            </w:r>
            <w:r>
              <w:rPr>
                <w:rFonts w:hint="default" w:ascii="Times New Roman" w:hAnsi="Times New Roman" w:eastAsia="宋体" w:cs="Times New Roman"/>
                <w:caps w:val="0"/>
                <w:color w:val="auto"/>
                <w:spacing w:val="0"/>
                <w:position w:val="0"/>
                <w:highlight w:val="none"/>
                <w:vertAlign w:val="superscript"/>
                <w:lang w:val="en-US" w:eastAsia="zh-CN"/>
              </w:rPr>
              <w:t>2</w:t>
            </w:r>
            <w:r>
              <w:rPr>
                <w:rFonts w:hint="default" w:ascii="Times New Roman" w:hAnsi="Times New Roman" w:eastAsia="宋体" w:cs="Times New Roman"/>
                <w:caps w:val="0"/>
                <w:color w:val="auto"/>
                <w:spacing w:val="0"/>
                <w:position w:val="0"/>
                <w:highlight w:val="none"/>
                <w:lang w:val="en-US" w:eastAsia="zh-CN"/>
              </w:rPr>
              <w:t>，</w:t>
            </w:r>
            <w:r>
              <w:rPr>
                <w:rFonts w:hint="default" w:ascii="Times New Roman" w:hAnsi="Times New Roman" w:cs="Times New Roman"/>
                <w:caps w:val="0"/>
                <w:color w:val="auto"/>
                <w:spacing w:val="0"/>
                <w:position w:val="0"/>
                <w:highlight w:val="none"/>
                <w:lang w:val="en-US" w:eastAsia="zh-CN"/>
              </w:rPr>
              <w:t>成品砖的日产量为</w:t>
            </w:r>
            <w:r>
              <w:rPr>
                <w:rFonts w:hint="eastAsia" w:cs="Times New Roman"/>
                <w:caps w:val="0"/>
                <w:color w:val="auto"/>
                <w:spacing w:val="0"/>
                <w:position w:val="0"/>
                <w:highlight w:val="none"/>
                <w:lang w:val="en-US" w:eastAsia="zh-CN"/>
              </w:rPr>
              <w:t>667</w:t>
            </w:r>
            <w:r>
              <w:rPr>
                <w:rFonts w:hint="default" w:ascii="Times New Roman" w:hAnsi="Times New Roman" w:cs="Times New Roman"/>
                <w:caps w:val="0"/>
                <w:color w:val="auto"/>
                <w:spacing w:val="0"/>
                <w:position w:val="0"/>
                <w:highlight w:val="none"/>
                <w:lang w:val="en-US" w:eastAsia="zh-CN"/>
              </w:rPr>
              <w:t>t，养护周期为</w:t>
            </w:r>
            <w:r>
              <w:rPr>
                <w:rFonts w:hint="eastAsia" w:cs="Times New Roman"/>
                <w:caps w:val="0"/>
                <w:color w:val="auto"/>
                <w:spacing w:val="0"/>
                <w:position w:val="0"/>
                <w:highlight w:val="none"/>
                <w:lang w:val="en-US" w:eastAsia="zh-CN"/>
              </w:rPr>
              <w:t>4</w:t>
            </w:r>
            <w:r>
              <w:rPr>
                <w:rFonts w:hint="default" w:ascii="Times New Roman" w:hAnsi="Times New Roman" w:cs="Times New Roman"/>
                <w:caps w:val="0"/>
                <w:color w:val="auto"/>
                <w:spacing w:val="0"/>
                <w:position w:val="0"/>
                <w:highlight w:val="none"/>
                <w:lang w:val="en-US" w:eastAsia="zh-CN"/>
              </w:rPr>
              <w:t>天，</w:t>
            </w:r>
            <w:r>
              <w:rPr>
                <w:rFonts w:hint="eastAsia" w:cs="Times New Roman"/>
                <w:caps w:val="0"/>
                <w:color w:val="auto"/>
                <w:spacing w:val="0"/>
                <w:position w:val="0"/>
                <w:highlight w:val="none"/>
                <w:lang w:val="en-US" w:eastAsia="zh-CN"/>
              </w:rPr>
              <w:t>发泡</w:t>
            </w:r>
            <w:r>
              <w:rPr>
                <w:rFonts w:hint="default" w:ascii="Times New Roman" w:hAnsi="Times New Roman" w:cs="Times New Roman"/>
                <w:caps w:val="0"/>
                <w:color w:val="auto"/>
                <w:spacing w:val="0"/>
                <w:position w:val="0"/>
                <w:highlight w:val="none"/>
                <w:lang w:val="en-US" w:eastAsia="zh-CN"/>
              </w:rPr>
              <w:t>砖的规格为240mm×1</w:t>
            </w:r>
            <w:r>
              <w:rPr>
                <w:rFonts w:hint="eastAsia" w:cs="Times New Roman"/>
                <w:caps w:val="0"/>
                <w:color w:val="auto"/>
                <w:spacing w:val="0"/>
                <w:position w:val="0"/>
                <w:highlight w:val="none"/>
                <w:lang w:val="en-US" w:eastAsia="zh-CN"/>
              </w:rPr>
              <w:t>2</w:t>
            </w:r>
            <w:r>
              <w:rPr>
                <w:rFonts w:hint="default" w:ascii="Times New Roman" w:hAnsi="Times New Roman" w:cs="Times New Roman"/>
                <w:caps w:val="0"/>
                <w:color w:val="auto"/>
                <w:spacing w:val="0"/>
                <w:position w:val="0"/>
                <w:highlight w:val="none"/>
                <w:lang w:val="en-US" w:eastAsia="zh-CN"/>
              </w:rPr>
              <w:t>mm×</w:t>
            </w:r>
            <w:r>
              <w:rPr>
                <w:rFonts w:hint="eastAsia" w:cs="Times New Roman"/>
                <w:caps w:val="0"/>
                <w:color w:val="auto"/>
                <w:spacing w:val="0"/>
                <w:position w:val="0"/>
                <w:highlight w:val="none"/>
                <w:lang w:val="en-US" w:eastAsia="zh-CN"/>
              </w:rPr>
              <w:t>90</w:t>
            </w:r>
            <w:r>
              <w:rPr>
                <w:rFonts w:hint="default" w:ascii="Times New Roman" w:hAnsi="Times New Roman" w:cs="Times New Roman"/>
                <w:caps w:val="0"/>
                <w:color w:val="auto"/>
                <w:spacing w:val="0"/>
                <w:position w:val="0"/>
                <w:highlight w:val="none"/>
                <w:lang w:val="en-US" w:eastAsia="zh-CN"/>
              </w:rPr>
              <w:t>mm，密度取</w:t>
            </w:r>
            <w:r>
              <w:rPr>
                <w:rFonts w:hint="eastAsia" w:cs="Times New Roman"/>
                <w:caps w:val="0"/>
                <w:color w:val="auto"/>
                <w:spacing w:val="0"/>
                <w:position w:val="0"/>
                <w:highlight w:val="none"/>
                <w:lang w:val="en-US" w:eastAsia="zh-CN"/>
              </w:rPr>
              <w:t>2</w:t>
            </w:r>
            <w:r>
              <w:rPr>
                <w:rFonts w:hint="default" w:ascii="Times New Roman" w:hAnsi="Times New Roman" w:cs="Times New Roman"/>
                <w:caps w:val="0"/>
                <w:color w:val="auto"/>
                <w:spacing w:val="0"/>
                <w:position w:val="0"/>
                <w:highlight w:val="none"/>
                <w:lang w:val="en-US" w:eastAsia="zh-CN"/>
              </w:rPr>
              <w:t>g/cm</w:t>
            </w:r>
            <w:r>
              <w:rPr>
                <w:rFonts w:hint="default" w:ascii="Times New Roman" w:hAnsi="Times New Roman" w:cs="Times New Roman"/>
                <w:caps w:val="0"/>
                <w:color w:val="auto"/>
                <w:spacing w:val="0"/>
                <w:position w:val="0"/>
                <w:highlight w:val="none"/>
                <w:vertAlign w:val="superscript"/>
                <w:lang w:val="en-US" w:eastAsia="zh-CN"/>
              </w:rPr>
              <w:t>3</w:t>
            </w:r>
            <w:r>
              <w:rPr>
                <w:rFonts w:hint="default" w:ascii="Times New Roman" w:hAnsi="Times New Roman" w:cs="Times New Roman"/>
                <w:caps w:val="0"/>
                <w:color w:val="auto"/>
                <w:spacing w:val="0"/>
                <w:position w:val="0"/>
                <w:highlight w:val="none"/>
                <w:lang w:val="en-US" w:eastAsia="zh-CN"/>
              </w:rPr>
              <w:t>，堆放高度取值</w:t>
            </w:r>
            <w:r>
              <w:rPr>
                <w:rFonts w:hint="eastAsia" w:cs="Times New Roman"/>
                <w:caps w:val="0"/>
                <w:color w:val="auto"/>
                <w:spacing w:val="0"/>
                <w:position w:val="0"/>
                <w:highlight w:val="none"/>
                <w:lang w:val="en-US" w:eastAsia="zh-CN"/>
              </w:rPr>
              <w:t>1</w:t>
            </w:r>
            <w:r>
              <w:rPr>
                <w:rFonts w:hint="default" w:ascii="Times New Roman" w:hAnsi="Times New Roman" w:cs="Times New Roman"/>
                <w:caps w:val="0"/>
                <w:color w:val="auto"/>
                <w:spacing w:val="0"/>
                <w:position w:val="0"/>
                <w:highlight w:val="none"/>
                <w:lang w:val="en-US" w:eastAsia="zh-CN"/>
              </w:rPr>
              <w:t>m，则设计存储量约为</w:t>
            </w:r>
            <w:r>
              <w:rPr>
                <w:rFonts w:hint="eastAsia" w:cs="Times New Roman"/>
                <w:caps w:val="0"/>
                <w:color w:val="auto"/>
                <w:spacing w:val="0"/>
                <w:position w:val="0"/>
                <w:highlight w:val="none"/>
                <w:lang w:val="en-US" w:eastAsia="zh-CN"/>
              </w:rPr>
              <w:t>3078</w:t>
            </w:r>
            <w:r>
              <w:rPr>
                <w:rFonts w:hint="default" w:ascii="Times New Roman" w:hAnsi="Times New Roman" w:cs="Times New Roman"/>
                <w:caps w:val="0"/>
                <w:color w:val="auto"/>
                <w:spacing w:val="0"/>
                <w:position w:val="0"/>
                <w:highlight w:val="none"/>
                <w:lang w:val="en-US" w:eastAsia="zh-CN"/>
              </w:rPr>
              <w:t>t，能够达到</w:t>
            </w:r>
            <w:r>
              <w:rPr>
                <w:rFonts w:hint="eastAsia" w:cs="Times New Roman"/>
                <w:caps w:val="0"/>
                <w:color w:val="auto"/>
                <w:spacing w:val="0"/>
                <w:position w:val="0"/>
                <w:highlight w:val="none"/>
                <w:lang w:val="en-US" w:eastAsia="zh-CN"/>
              </w:rPr>
              <w:t>2668</w:t>
            </w:r>
            <w:r>
              <w:rPr>
                <w:rFonts w:hint="default" w:ascii="Times New Roman" w:hAnsi="Times New Roman" w:cs="Times New Roman"/>
                <w:caps w:val="0"/>
                <w:color w:val="auto"/>
                <w:spacing w:val="0"/>
                <w:position w:val="0"/>
                <w:highlight w:val="none"/>
                <w:lang w:val="en-US" w:eastAsia="zh-CN"/>
              </w:rPr>
              <w:t>t的存储要求。</w:t>
            </w:r>
          </w:p>
          <w:p w14:paraId="68925C0D">
            <w:pPr>
              <w:pStyle w:val="74"/>
              <w:keepNext w:val="0"/>
              <w:keepLines w:val="0"/>
              <w:suppressLineNumbers w:val="0"/>
              <w:bidi w:val="0"/>
              <w:spacing w:before="0" w:beforeAutospacing="0" w:after="0" w:afterAutospacing="0"/>
              <w:ind w:left="0" w:right="0"/>
              <w:rPr>
                <w:rFonts w:hint="default" w:ascii="Times New Roman" w:hAnsi="Times New Roman" w:cs="Times New Roman"/>
                <w:b/>
                <w:bCs w:val="0"/>
                <w:caps w:val="0"/>
                <w:color w:val="auto"/>
                <w:spacing w:val="0"/>
                <w:position w:val="0"/>
                <w:highlight w:val="none"/>
                <w:lang w:eastAsia="zh-CN"/>
              </w:rPr>
            </w:pPr>
            <w:r>
              <w:rPr>
                <w:rFonts w:hint="default" w:ascii="Times New Roman" w:hAnsi="Times New Roman" w:cs="Times New Roman"/>
                <w:b/>
                <w:bCs w:val="0"/>
                <w:caps w:val="0"/>
                <w:color w:val="auto"/>
                <w:spacing w:val="0"/>
                <w:position w:val="0"/>
                <w:highlight w:val="none"/>
                <w:lang w:val="en-US" w:eastAsia="zh-CN"/>
              </w:rPr>
              <w:t>6.</w:t>
            </w:r>
            <w:r>
              <w:rPr>
                <w:rFonts w:hint="eastAsia" w:cs="Times New Roman"/>
                <w:b/>
                <w:bCs w:val="0"/>
                <w:caps w:val="0"/>
                <w:color w:val="auto"/>
                <w:spacing w:val="0"/>
                <w:position w:val="0"/>
                <w:highlight w:val="none"/>
                <w:lang w:val="en-US" w:eastAsia="zh-CN"/>
              </w:rPr>
              <w:t>2</w:t>
            </w:r>
            <w:r>
              <w:rPr>
                <w:rFonts w:hint="default" w:ascii="Times New Roman" w:hAnsi="Times New Roman" w:cs="Times New Roman"/>
                <w:b/>
                <w:bCs w:val="0"/>
                <w:caps w:val="0"/>
                <w:color w:val="auto"/>
                <w:spacing w:val="0"/>
                <w:position w:val="0"/>
                <w:highlight w:val="none"/>
                <w:lang w:val="en-US" w:eastAsia="zh-CN"/>
              </w:rPr>
              <w:t>、本项目</w:t>
            </w:r>
            <w:r>
              <w:rPr>
                <w:rFonts w:hint="default" w:ascii="Times New Roman" w:hAnsi="Times New Roman" w:cs="Times New Roman"/>
                <w:b/>
                <w:bCs w:val="0"/>
                <w:caps w:val="0"/>
                <w:color w:val="auto"/>
                <w:spacing w:val="0"/>
                <w:position w:val="0"/>
                <w:highlight w:val="none"/>
              </w:rPr>
              <w:t>主要原辅料理化性质</w:t>
            </w:r>
            <w:r>
              <w:rPr>
                <w:rFonts w:hint="default" w:ascii="Times New Roman" w:hAnsi="Times New Roman" w:cs="Times New Roman"/>
                <w:b/>
                <w:bCs w:val="0"/>
                <w:caps w:val="0"/>
                <w:color w:val="auto"/>
                <w:spacing w:val="0"/>
                <w:position w:val="0"/>
                <w:highlight w:val="none"/>
                <w:lang w:eastAsia="zh-CN"/>
              </w:rPr>
              <w:t>：</w:t>
            </w:r>
          </w:p>
          <w:p w14:paraId="06A634DE">
            <w:pPr>
              <w:pStyle w:val="74"/>
              <w:keepNext w:val="0"/>
              <w:keepLines w:val="0"/>
              <w:suppressLineNumbers w:val="0"/>
              <w:bidi w:val="0"/>
              <w:spacing w:before="0" w:beforeAutospacing="0" w:after="0" w:afterAutospacing="0"/>
              <w:ind w:left="0" w:right="0"/>
              <w:rPr>
                <w:rFonts w:hint="eastAsia" w:ascii="Times New Roman" w:hAnsi="Times New Roman" w:eastAsia="宋体" w:cs="Times New Roman"/>
                <w:caps w:val="0"/>
                <w:color w:val="auto"/>
                <w:spacing w:val="0"/>
                <w:position w:val="0"/>
                <w:sz w:val="24"/>
                <w:highlight w:val="none"/>
                <w:lang w:val="en-US" w:eastAsia="zh-CN"/>
              </w:rPr>
            </w:pPr>
            <w:r>
              <w:rPr>
                <w:rFonts w:hint="default" w:ascii="Times New Roman" w:hAnsi="Times New Roman" w:cs="Times New Roman"/>
                <w:b/>
                <w:bCs w:val="0"/>
                <w:caps w:val="0"/>
                <w:color w:val="auto"/>
                <w:spacing w:val="0"/>
                <w:position w:val="0"/>
                <w:highlight w:val="none"/>
              </w:rPr>
              <w:t>锂冶炼剩余物：</w:t>
            </w:r>
            <w:r>
              <w:rPr>
                <w:rFonts w:hint="default" w:ascii="Times New Roman" w:hAnsi="Times New Roman" w:cs="Times New Roman"/>
                <w:caps w:val="0"/>
                <w:color w:val="auto"/>
                <w:spacing w:val="0"/>
                <w:position w:val="0"/>
                <w:highlight w:val="none"/>
              </w:rPr>
              <w:t>呈灰白色或浅灰色的固态物质，主要成分包含锂盐残留物及其他金属氧化物。具有一定含水率（</w:t>
            </w:r>
            <w:r>
              <w:rPr>
                <w:rFonts w:hint="eastAsia" w:cs="Times New Roman"/>
                <w:caps w:val="0"/>
                <w:color w:val="auto"/>
                <w:spacing w:val="0"/>
                <w:position w:val="0"/>
                <w:highlight w:val="none"/>
                <w:lang w:val="en-US" w:eastAsia="zh-CN"/>
              </w:rPr>
              <w:t>本项目为20</w:t>
            </w:r>
            <w:r>
              <w:rPr>
                <w:rFonts w:hint="default" w:ascii="Times New Roman" w:hAnsi="Times New Roman" w:cs="Times New Roman"/>
                <w:caps w:val="0"/>
                <w:color w:val="auto"/>
                <w:spacing w:val="0"/>
                <w:position w:val="0"/>
                <w:highlight w:val="none"/>
              </w:rPr>
              <w:t>%），密度约</w:t>
            </w:r>
            <w:r>
              <w:rPr>
                <w:rFonts w:hint="eastAsia" w:cs="Times New Roman"/>
                <w:caps w:val="0"/>
                <w:color w:val="auto"/>
                <w:spacing w:val="0"/>
                <w:position w:val="0"/>
                <w:highlight w:val="none"/>
                <w:lang w:val="en-US" w:eastAsia="zh-CN"/>
              </w:rPr>
              <w:t>1.8</w:t>
            </w:r>
            <w:r>
              <w:rPr>
                <w:rFonts w:hint="default" w:ascii="Times New Roman" w:hAnsi="Times New Roman" w:cs="Times New Roman"/>
                <w:caps w:val="0"/>
                <w:color w:val="auto"/>
                <w:spacing w:val="0"/>
                <w:position w:val="0"/>
                <w:highlight w:val="none"/>
              </w:rPr>
              <w:t>g/cm</w:t>
            </w:r>
            <w:r>
              <w:rPr>
                <w:rFonts w:hint="default" w:ascii="Times New Roman" w:hAnsi="Times New Roman" w:cs="Times New Roman"/>
                <w:caps w:val="0"/>
                <w:color w:val="auto"/>
                <w:spacing w:val="0"/>
                <w:position w:val="0"/>
                <w:highlight w:val="none"/>
                <w:vertAlign w:val="superscript"/>
                <w:lang w:val="en-US" w:eastAsia="zh-CN"/>
              </w:rPr>
              <w:t>3</w:t>
            </w:r>
            <w:r>
              <w:rPr>
                <w:rFonts w:hint="default" w:ascii="Times New Roman" w:hAnsi="Times New Roman" w:cs="Times New Roman"/>
                <w:caps w:val="0"/>
                <w:color w:val="auto"/>
                <w:spacing w:val="0"/>
                <w:position w:val="0"/>
                <w:highlight w:val="none"/>
              </w:rPr>
              <w:t>。化学性质相对稳定，但可能含有少量可溶性锂盐。在常温下不易挥发，无明显气味。可能含有微量重金属成分，需注意环境影响。粉尘可能对呼吸道造成刺激，建议佩戴防护设备进行操作。在环境中可能会随雨水渗透，对土壤和地下水可能造成影响，需妥善处置和存储。</w:t>
            </w:r>
          </w:p>
          <w:p w14:paraId="33DE850C">
            <w:pPr>
              <w:pStyle w:val="8"/>
              <w:keepNext w:val="0"/>
              <w:keepLines w:val="0"/>
              <w:suppressLineNumbers w:val="0"/>
              <w:spacing w:before="0" w:beforeAutospacing="0" w:after="0" w:afterAutospacing="0"/>
              <w:ind w:left="0" w:right="0"/>
              <w:rPr>
                <w:rFonts w:hint="default" w:ascii="Times New Roman" w:hAnsi="Times New Roman" w:eastAsia="宋体" w:cs="Times New Roman"/>
                <w:caps w:val="0"/>
                <w:color w:val="auto"/>
                <w:spacing w:val="0"/>
                <w:position w:val="0"/>
                <w:sz w:val="24"/>
                <w:highlight w:val="none"/>
                <w:lang w:val="en-US" w:eastAsia="zh-CN"/>
              </w:rPr>
            </w:pPr>
            <w:r>
              <w:rPr>
                <w:rFonts w:hint="default" w:ascii="Times New Roman" w:hAnsi="Times New Roman" w:cs="Times New Roman"/>
                <w:caps w:val="0"/>
                <w:color w:val="auto"/>
                <w:spacing w:val="0"/>
                <w:position w:val="0"/>
                <w:highlight w:val="none"/>
                <w:lang w:val="en-US" w:eastAsia="zh-CN"/>
              </w:rPr>
              <w:t>本</w:t>
            </w:r>
            <w:r>
              <w:rPr>
                <w:rFonts w:hint="default" w:ascii="Times New Roman" w:hAnsi="Times New Roman" w:eastAsia="宋体" w:cs="Times New Roman"/>
                <w:caps w:val="0"/>
                <w:color w:val="auto"/>
                <w:spacing w:val="0"/>
                <w:kern w:val="0"/>
                <w:position w:val="0"/>
                <w:sz w:val="24"/>
                <w:szCs w:val="24"/>
                <w:highlight w:val="none"/>
                <w:lang w:val="en-US" w:eastAsia="zh-CN" w:bidi="ar"/>
              </w:rPr>
              <w:t>项目使用锂冶炼剩余物来源于</w:t>
            </w:r>
            <w:r>
              <w:rPr>
                <w:rFonts w:hint="default" w:ascii="Times New Roman" w:hAnsi="Times New Roman" w:eastAsia="宋体" w:cs="Times New Roman"/>
                <w:caps w:val="0"/>
                <w:color w:val="auto"/>
                <w:spacing w:val="0"/>
                <w:position w:val="0"/>
                <w:sz w:val="24"/>
                <w:highlight w:val="none"/>
                <w:lang w:val="en-US" w:eastAsia="zh-CN"/>
              </w:rPr>
              <w:t>江西研硕科技研发有限公司二次提锂后产生的水洗渣</w:t>
            </w:r>
            <w:r>
              <w:rPr>
                <w:rFonts w:hint="eastAsia" w:cs="Times New Roman"/>
                <w:caps w:val="0"/>
                <w:color w:val="auto"/>
                <w:spacing w:val="0"/>
                <w:position w:val="0"/>
                <w:sz w:val="24"/>
                <w:highlight w:val="none"/>
                <w:lang w:val="en-US" w:eastAsia="zh-CN"/>
              </w:rPr>
              <w:t>，</w:t>
            </w:r>
            <w:r>
              <w:rPr>
                <w:rFonts w:hint="eastAsia" w:ascii="Times New Roman" w:hAnsi="Times New Roman" w:eastAsia="宋体" w:cs="Times New Roman"/>
                <w:caps w:val="0"/>
                <w:color w:val="auto"/>
                <w:spacing w:val="0"/>
                <w:kern w:val="0"/>
                <w:position w:val="0"/>
                <w:sz w:val="24"/>
                <w:szCs w:val="24"/>
                <w:highlight w:val="none"/>
                <w:lang w:val="en-US" w:eastAsia="zh-CN" w:bidi="ar"/>
              </w:rPr>
              <w:t>研硕科技二次提锂产生的水洗渣来源于</w:t>
            </w:r>
            <w:r>
              <w:rPr>
                <w:rFonts w:hint="default" w:ascii="Times New Roman" w:hAnsi="Times New Roman" w:eastAsia="宋体" w:cs="Times New Roman"/>
                <w:caps w:val="0"/>
                <w:color w:val="auto"/>
                <w:spacing w:val="0"/>
                <w:position w:val="0"/>
                <w:sz w:val="24"/>
                <w:highlight w:val="none"/>
                <w:lang w:val="en-US" w:eastAsia="zh-CN"/>
              </w:rPr>
              <w:t>江西永兴特钢新能源科技有限公司</w:t>
            </w:r>
            <w:r>
              <w:rPr>
                <w:rFonts w:hint="eastAsia" w:ascii="Times New Roman" w:hAnsi="Times New Roman" w:eastAsia="宋体" w:cs="Times New Roman"/>
                <w:caps w:val="0"/>
                <w:color w:val="auto"/>
                <w:spacing w:val="0"/>
                <w:position w:val="0"/>
                <w:sz w:val="24"/>
                <w:highlight w:val="none"/>
                <w:lang w:val="en-US" w:eastAsia="zh-CN"/>
              </w:rPr>
              <w:t>，</w:t>
            </w:r>
            <w:r>
              <w:rPr>
                <w:rFonts w:hint="default" w:ascii="Times New Roman" w:hAnsi="Times New Roman" w:eastAsia="宋体" w:cs="Times New Roman"/>
                <w:caps w:val="0"/>
                <w:color w:val="auto"/>
                <w:spacing w:val="0"/>
                <w:position w:val="0"/>
                <w:sz w:val="24"/>
                <w:highlight w:val="none"/>
                <w:lang w:val="en-US" w:eastAsia="zh-CN"/>
              </w:rPr>
              <w:t>根据《江西永兴特钢新能源科技有限公司</w:t>
            </w:r>
            <w:r>
              <w:rPr>
                <w:rFonts w:hint="eastAsia" w:ascii="Times New Roman" w:hAnsi="Times New Roman" w:eastAsia="宋体" w:cs="Times New Roman"/>
                <w:caps w:val="0"/>
                <w:color w:val="auto"/>
                <w:spacing w:val="0"/>
                <w:position w:val="0"/>
                <w:sz w:val="24"/>
                <w:highlight w:val="none"/>
                <w:lang w:val="en-US" w:eastAsia="zh-CN"/>
              </w:rPr>
              <w:t>锂渣</w:t>
            </w:r>
            <w:r>
              <w:rPr>
                <w:rFonts w:hint="default" w:ascii="Times New Roman" w:hAnsi="Times New Roman" w:eastAsia="宋体" w:cs="Times New Roman"/>
                <w:caps w:val="0"/>
                <w:color w:val="auto"/>
                <w:spacing w:val="0"/>
                <w:position w:val="0"/>
                <w:sz w:val="24"/>
                <w:highlight w:val="none"/>
                <w:lang w:val="en-US" w:eastAsia="zh-CN"/>
              </w:rPr>
              <w:t>危险特性鉴别报告》（见附件</w:t>
            </w:r>
            <w:r>
              <w:rPr>
                <w:rFonts w:hint="eastAsia" w:ascii="Times New Roman" w:hAnsi="Times New Roman" w:eastAsia="宋体" w:cs="Times New Roman"/>
                <w:caps w:val="0"/>
                <w:color w:val="auto"/>
                <w:spacing w:val="0"/>
                <w:position w:val="0"/>
                <w:sz w:val="24"/>
                <w:highlight w:val="none"/>
                <w:lang w:val="en-US" w:eastAsia="zh-CN"/>
              </w:rPr>
              <w:t>八</w:t>
            </w:r>
            <w:r>
              <w:rPr>
                <w:rFonts w:hint="default" w:ascii="Times New Roman" w:hAnsi="Times New Roman" w:eastAsia="宋体" w:cs="Times New Roman"/>
                <w:caps w:val="0"/>
                <w:color w:val="auto"/>
                <w:spacing w:val="0"/>
                <w:position w:val="0"/>
                <w:sz w:val="24"/>
                <w:highlight w:val="none"/>
                <w:lang w:val="en-US" w:eastAsia="zh-CN"/>
              </w:rPr>
              <w:t>），鉴定</w:t>
            </w:r>
            <w:r>
              <w:rPr>
                <w:rFonts w:hint="default" w:ascii="Times New Roman" w:hAnsi="Times New Roman" w:eastAsia="宋体" w:cs="Times New Roman"/>
                <w:caps w:val="0"/>
                <w:color w:val="auto"/>
                <w:spacing w:val="0"/>
                <w:position w:val="0"/>
                <w:sz w:val="24"/>
                <w:highlight w:val="none"/>
              </w:rPr>
              <w:t>结果表明</w:t>
            </w:r>
            <w:r>
              <w:rPr>
                <w:rFonts w:hint="default" w:ascii="Times New Roman" w:hAnsi="Times New Roman" w:eastAsia="宋体" w:cs="Times New Roman"/>
                <w:caps w:val="0"/>
                <w:color w:val="auto"/>
                <w:spacing w:val="0"/>
                <w:position w:val="0"/>
                <w:sz w:val="24"/>
                <w:highlight w:val="none"/>
                <w:lang w:val="en-US" w:eastAsia="zh-CN"/>
              </w:rPr>
              <w:t>江西永兴特钢新能源科技有限公司</w:t>
            </w:r>
            <w:r>
              <w:rPr>
                <w:rFonts w:hint="default" w:ascii="Times New Roman" w:hAnsi="Times New Roman" w:eastAsia="宋体" w:cs="Times New Roman"/>
                <w:caps w:val="0"/>
                <w:color w:val="auto"/>
                <w:spacing w:val="0"/>
                <w:position w:val="0"/>
                <w:sz w:val="24"/>
                <w:highlight w:val="none"/>
              </w:rPr>
              <w:t>项目浸出工序产生的</w:t>
            </w:r>
            <w:r>
              <w:rPr>
                <w:rFonts w:hint="eastAsia" w:ascii="Times New Roman" w:hAnsi="Times New Roman" w:eastAsia="宋体" w:cs="Times New Roman"/>
                <w:caps w:val="0"/>
                <w:color w:val="auto"/>
                <w:spacing w:val="0"/>
                <w:position w:val="0"/>
                <w:sz w:val="24"/>
                <w:highlight w:val="none"/>
                <w:lang w:val="en-US" w:eastAsia="zh-CN"/>
              </w:rPr>
              <w:t>锂冶炼剩余物</w:t>
            </w:r>
            <w:r>
              <w:rPr>
                <w:rFonts w:hint="default" w:ascii="Times New Roman" w:hAnsi="Times New Roman" w:eastAsia="宋体" w:cs="Times New Roman"/>
                <w:caps w:val="0"/>
                <w:color w:val="auto"/>
                <w:spacing w:val="0"/>
                <w:position w:val="0"/>
                <w:sz w:val="24"/>
                <w:highlight w:val="none"/>
              </w:rPr>
              <w:t>不具有危险特性，不属于危险废物，属于一般工业固体废物</w:t>
            </w:r>
            <w:r>
              <w:rPr>
                <w:rFonts w:hint="eastAsia" w:ascii="Times New Roman" w:hAnsi="Times New Roman" w:eastAsia="宋体" w:cs="Times New Roman"/>
                <w:caps w:val="0"/>
                <w:color w:val="auto"/>
                <w:spacing w:val="0"/>
                <w:position w:val="0"/>
                <w:sz w:val="24"/>
                <w:highlight w:val="none"/>
                <w:lang w:val="en-US" w:eastAsia="zh-CN"/>
              </w:rPr>
              <w:t>。</w:t>
            </w:r>
            <w:r>
              <w:rPr>
                <w:rFonts w:hint="eastAsia" w:ascii="Times New Roman" w:hAnsi="Times New Roman" w:eastAsia="宋体" w:cs="Times New Roman"/>
                <w:caps w:val="0"/>
                <w:color w:val="auto"/>
                <w:spacing w:val="0"/>
                <w:kern w:val="0"/>
                <w:position w:val="0"/>
                <w:sz w:val="24"/>
                <w:szCs w:val="24"/>
                <w:highlight w:val="none"/>
                <w:lang w:val="en-US" w:eastAsia="zh-CN" w:bidi="ar"/>
              </w:rPr>
              <w:t>研硕科技采用水洗工艺对</w:t>
            </w:r>
            <w:r>
              <w:rPr>
                <w:rFonts w:hint="default" w:ascii="Times New Roman" w:hAnsi="Times New Roman" w:eastAsia="宋体" w:cs="Times New Roman"/>
                <w:caps w:val="0"/>
                <w:color w:val="auto"/>
                <w:spacing w:val="0"/>
                <w:position w:val="0"/>
                <w:sz w:val="24"/>
                <w:highlight w:val="none"/>
                <w:lang w:val="en-US" w:eastAsia="zh-CN"/>
              </w:rPr>
              <w:t>江西永兴特钢新能源科技有限公司</w:t>
            </w:r>
            <w:r>
              <w:rPr>
                <w:rFonts w:hint="eastAsia" w:ascii="Times New Roman" w:hAnsi="Times New Roman" w:eastAsia="宋体" w:cs="Times New Roman"/>
                <w:caps w:val="0"/>
                <w:color w:val="auto"/>
                <w:spacing w:val="0"/>
                <w:position w:val="0"/>
                <w:sz w:val="24"/>
                <w:highlight w:val="none"/>
                <w:lang w:val="en-US" w:eastAsia="zh-CN"/>
              </w:rPr>
              <w:t>产生的锂冶炼剩余物进行二次提锂，部分毒性物质被卤水带走，水洗渣相对原锂冶炼剩余物毒性物质降低，危害减少，因此水洗渣亦为一般工业固体废物。</w:t>
            </w:r>
            <w:r>
              <w:rPr>
                <w:rFonts w:hint="default" w:ascii="Times New Roman" w:hAnsi="Times New Roman" w:eastAsia="宋体" w:cs="Times New Roman"/>
                <w:caps w:val="0"/>
                <w:color w:val="auto"/>
                <w:spacing w:val="0"/>
                <w:position w:val="0"/>
                <w:sz w:val="24"/>
                <w:highlight w:val="none"/>
                <w:lang w:val="en-US" w:eastAsia="zh-CN"/>
              </w:rPr>
              <w:t>引用高安市涌溪岩上新型建材有限公司委托</w:t>
            </w:r>
            <w:r>
              <w:rPr>
                <w:rFonts w:hint="eastAsia" w:ascii="Times New Roman" w:hAnsi="Times New Roman" w:eastAsia="宋体" w:cs="Times New Roman"/>
                <w:caps w:val="0"/>
                <w:color w:val="auto"/>
                <w:spacing w:val="0"/>
                <w:position w:val="0"/>
                <w:sz w:val="24"/>
                <w:highlight w:val="none"/>
                <w:lang w:val="en-US" w:eastAsia="zh-CN"/>
              </w:rPr>
              <w:t>核工业二七0研究所对研硕科技锂冶炼剩余物（水洗渣）出具的检验</w:t>
            </w:r>
            <w:r>
              <w:rPr>
                <w:rFonts w:hint="default" w:ascii="Times New Roman" w:hAnsi="Times New Roman" w:eastAsia="宋体" w:cs="Times New Roman"/>
                <w:caps w:val="0"/>
                <w:color w:val="auto"/>
                <w:spacing w:val="0"/>
                <w:position w:val="0"/>
                <w:sz w:val="24"/>
                <w:highlight w:val="none"/>
                <w:lang w:val="en-US" w:eastAsia="zh-CN"/>
              </w:rPr>
              <w:t>检测报告</w:t>
            </w:r>
            <w:r>
              <w:rPr>
                <w:rFonts w:hint="eastAsia" w:ascii="Times New Roman" w:hAnsi="Times New Roman" w:eastAsia="宋体" w:cs="Times New Roman"/>
                <w:caps w:val="0"/>
                <w:color w:val="auto"/>
                <w:spacing w:val="0"/>
                <w:position w:val="0"/>
                <w:sz w:val="24"/>
                <w:highlight w:val="none"/>
                <w:lang w:val="en-US" w:eastAsia="zh-CN"/>
              </w:rPr>
              <w:t>中相关数据</w:t>
            </w:r>
            <w:r>
              <w:rPr>
                <w:rFonts w:hint="default" w:ascii="Times New Roman" w:hAnsi="Times New Roman" w:eastAsia="宋体" w:cs="Times New Roman"/>
                <w:caps w:val="0"/>
                <w:color w:val="auto"/>
                <w:spacing w:val="0"/>
                <w:position w:val="0"/>
                <w:sz w:val="24"/>
                <w:highlight w:val="none"/>
                <w:lang w:val="en-US" w:eastAsia="zh-CN"/>
              </w:rPr>
              <w:t>，该监测数据来源于江西研硕科技研发有限公司混合样品，具有代表性。锂冶炼剩余物的原料含量检测报告如下</w:t>
            </w:r>
            <w:r>
              <w:rPr>
                <w:rFonts w:hint="eastAsia" w:ascii="Times New Roman" w:hAnsi="Times New Roman" w:eastAsia="宋体" w:cs="Times New Roman"/>
                <w:caps w:val="0"/>
                <w:color w:val="auto"/>
                <w:spacing w:val="0"/>
                <w:position w:val="0"/>
                <w:sz w:val="24"/>
                <w:highlight w:val="none"/>
                <w:lang w:val="en-US" w:eastAsia="zh-CN"/>
              </w:rPr>
              <w:t>：</w:t>
            </w:r>
          </w:p>
          <w:p w14:paraId="40BF8B12">
            <w:pPr>
              <w:pStyle w:val="99"/>
              <w:keepNext w:val="0"/>
              <w:keepLines w:val="0"/>
              <w:numPr>
                <w:ilvl w:val="0"/>
                <w:numId w:val="4"/>
              </w:numPr>
              <w:suppressLineNumbers w:val="0"/>
              <w:tabs>
                <w:tab w:val="clear" w:pos="420"/>
              </w:tabs>
              <w:bidi w:val="0"/>
              <w:spacing w:before="0" w:beforeAutospacing="0" w:afterAutospacing="0"/>
              <w:ind w:left="0" w:leftChars="0" w:right="0" w:rightChars="0" w:firstLine="420" w:firstLineChars="0"/>
              <w:rPr>
                <w:rFonts w:hint="default" w:ascii="Times New Roman" w:hAnsi="Times New Roman" w:eastAsia="宋体" w:cs="Times New Roman"/>
                <w:caps w:val="0"/>
                <w:color w:val="auto"/>
                <w:spacing w:val="0"/>
                <w:position w:val="0"/>
                <w:highlight w:val="none"/>
                <w:lang w:val="en-US" w:eastAsia="zh-CN"/>
              </w:rPr>
            </w:pPr>
            <w:r>
              <w:rPr>
                <w:rFonts w:hint="default" w:ascii="Times New Roman" w:hAnsi="Times New Roman" w:eastAsia="宋体" w:cs="Times New Roman"/>
                <w:caps w:val="0"/>
                <w:color w:val="auto"/>
                <w:spacing w:val="0"/>
                <w:position w:val="0"/>
                <w:highlight w:val="none"/>
                <w:lang w:val="en-US" w:eastAsia="zh-CN"/>
              </w:rPr>
              <w:t>原料锂冶炼剩余物含量检测分析</w:t>
            </w:r>
          </w:p>
          <w:tbl>
            <w:tblPr>
              <w:tblStyle w:val="23"/>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690"/>
              <w:gridCol w:w="2695"/>
              <w:gridCol w:w="2696"/>
            </w:tblGrid>
            <w:tr w14:paraId="5889D9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664" w:type="pct"/>
                  <w:vMerge w:val="restart"/>
                  <w:noWrap w:val="0"/>
                  <w:vAlign w:val="center"/>
                </w:tcPr>
                <w:p w14:paraId="587CB89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序号</w:t>
                  </w:r>
                </w:p>
              </w:tc>
              <w:tc>
                <w:tcPr>
                  <w:tcW w:w="1667" w:type="pct"/>
                  <w:vMerge w:val="restart"/>
                  <w:noWrap w:val="0"/>
                  <w:vAlign w:val="center"/>
                </w:tcPr>
                <w:p w14:paraId="3885099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成分名称</w:t>
                  </w:r>
                </w:p>
              </w:tc>
              <w:tc>
                <w:tcPr>
                  <w:tcW w:w="1668" w:type="pct"/>
                  <w:vMerge w:val="restart"/>
                  <w:noWrap w:val="0"/>
                  <w:vAlign w:val="center"/>
                </w:tcPr>
                <w:p w14:paraId="4B06E3B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含量</w:t>
                  </w:r>
                </w:p>
              </w:tc>
            </w:tr>
            <w:tr w14:paraId="0FD880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664" w:type="pct"/>
                  <w:vMerge w:val="continue"/>
                  <w:noWrap w:val="0"/>
                  <w:vAlign w:val="center"/>
                </w:tcPr>
                <w:p w14:paraId="049F1BD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p>
              </w:tc>
              <w:tc>
                <w:tcPr>
                  <w:tcW w:w="1667" w:type="pct"/>
                  <w:vMerge w:val="continue"/>
                  <w:noWrap w:val="0"/>
                  <w:vAlign w:val="center"/>
                </w:tcPr>
                <w:p w14:paraId="27F9A8A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1668" w:type="pct"/>
                  <w:vMerge w:val="continue"/>
                  <w:noWrap w:val="0"/>
                  <w:vAlign w:val="center"/>
                </w:tcPr>
                <w:p w14:paraId="35BA324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r>
            <w:tr w14:paraId="46FD36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4" w:type="pct"/>
                  <w:noWrap w:val="0"/>
                  <w:vAlign w:val="center"/>
                </w:tcPr>
                <w:p w14:paraId="281808E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1</w:t>
                  </w:r>
                </w:p>
              </w:tc>
              <w:tc>
                <w:tcPr>
                  <w:tcW w:w="1667" w:type="pct"/>
                  <w:noWrap w:val="0"/>
                  <w:vAlign w:val="center"/>
                </w:tcPr>
                <w:p w14:paraId="3F4D48C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F</w:t>
                  </w:r>
                </w:p>
              </w:tc>
              <w:tc>
                <w:tcPr>
                  <w:tcW w:w="1668" w:type="pct"/>
                  <w:noWrap w:val="0"/>
                  <w:vAlign w:val="center"/>
                </w:tcPr>
                <w:p w14:paraId="4C63EB2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1</w:t>
                  </w:r>
                  <w:r>
                    <w:rPr>
                      <w:rFonts w:hint="eastAsia"/>
                      <w:caps w:val="0"/>
                      <w:color w:val="auto"/>
                      <w:spacing w:val="0"/>
                      <w:position w:val="0"/>
                      <w:highlight w:val="none"/>
                      <w:lang w:val="en-US" w:eastAsia="zh-CN"/>
                    </w:rPr>
                    <w:t>8</w:t>
                  </w:r>
                  <w:r>
                    <w:rPr>
                      <w:rFonts w:hint="default"/>
                      <w:caps w:val="0"/>
                      <w:color w:val="auto"/>
                      <w:spacing w:val="0"/>
                      <w:position w:val="0"/>
                      <w:highlight w:val="none"/>
                      <w:lang w:val="en-US" w:eastAsia="zh-CN"/>
                    </w:rPr>
                    <w:t>g/</w:t>
                  </w:r>
                  <w:r>
                    <w:rPr>
                      <w:rFonts w:hint="eastAsia"/>
                      <w:caps w:val="0"/>
                      <w:color w:val="auto"/>
                      <w:spacing w:val="0"/>
                      <w:position w:val="0"/>
                      <w:highlight w:val="none"/>
                      <w:lang w:val="en-US" w:eastAsia="zh-CN"/>
                    </w:rPr>
                    <w:t>kg</w:t>
                  </w:r>
                </w:p>
              </w:tc>
            </w:tr>
            <w:tr w14:paraId="010367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664" w:type="pct"/>
                  <w:noWrap w:val="0"/>
                  <w:vAlign w:val="center"/>
                </w:tcPr>
                <w:p w14:paraId="757C5DA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2</w:t>
                  </w:r>
                </w:p>
              </w:tc>
              <w:tc>
                <w:tcPr>
                  <w:tcW w:w="1667" w:type="pct"/>
                  <w:noWrap w:val="0"/>
                  <w:vAlign w:val="center"/>
                </w:tcPr>
                <w:p w14:paraId="6B56639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Be</w:t>
                  </w:r>
                </w:p>
              </w:tc>
              <w:tc>
                <w:tcPr>
                  <w:tcW w:w="1668" w:type="pct"/>
                  <w:noWrap w:val="0"/>
                  <w:vAlign w:val="center"/>
                </w:tcPr>
                <w:p w14:paraId="77530F2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65.4</w:t>
                  </w:r>
                  <w:r>
                    <w:rPr>
                      <w:rFonts w:hint="default"/>
                      <w:caps w:val="0"/>
                      <w:color w:val="auto"/>
                      <w:spacing w:val="0"/>
                      <w:position w:val="0"/>
                      <w:highlight w:val="none"/>
                      <w:lang w:val="en-US" w:eastAsia="zh-CN"/>
                    </w:rPr>
                    <w:t>mg/</w:t>
                  </w:r>
                  <w:r>
                    <w:rPr>
                      <w:rFonts w:hint="eastAsia"/>
                      <w:caps w:val="0"/>
                      <w:color w:val="auto"/>
                      <w:spacing w:val="0"/>
                      <w:position w:val="0"/>
                      <w:highlight w:val="none"/>
                      <w:lang w:val="en-US" w:eastAsia="zh-CN"/>
                    </w:rPr>
                    <w:t>kg</w:t>
                  </w:r>
                </w:p>
              </w:tc>
            </w:tr>
            <w:tr w14:paraId="439F5F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664" w:type="pct"/>
                  <w:noWrap w:val="0"/>
                  <w:vAlign w:val="center"/>
                </w:tcPr>
                <w:p w14:paraId="3716F76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3</w:t>
                  </w:r>
                </w:p>
              </w:tc>
              <w:tc>
                <w:tcPr>
                  <w:tcW w:w="1667" w:type="pct"/>
                  <w:noWrap w:val="0"/>
                  <w:vAlign w:val="center"/>
                </w:tcPr>
                <w:p w14:paraId="2F6E3E9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TI</w:t>
                  </w:r>
                </w:p>
              </w:tc>
              <w:tc>
                <w:tcPr>
                  <w:tcW w:w="1668" w:type="pct"/>
                  <w:noWrap w:val="0"/>
                  <w:vAlign w:val="center"/>
                </w:tcPr>
                <w:p w14:paraId="3E20101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11.7</w:t>
                  </w:r>
                  <w:r>
                    <w:rPr>
                      <w:rFonts w:hint="default"/>
                      <w:caps w:val="0"/>
                      <w:color w:val="auto"/>
                      <w:spacing w:val="0"/>
                      <w:position w:val="0"/>
                      <w:highlight w:val="none"/>
                      <w:lang w:val="en-US" w:eastAsia="zh-CN"/>
                    </w:rPr>
                    <w:t>mg/</w:t>
                  </w:r>
                  <w:r>
                    <w:rPr>
                      <w:rFonts w:hint="eastAsia"/>
                      <w:caps w:val="0"/>
                      <w:color w:val="auto"/>
                      <w:spacing w:val="0"/>
                      <w:position w:val="0"/>
                      <w:highlight w:val="none"/>
                      <w:lang w:val="en-US" w:eastAsia="zh-CN"/>
                    </w:rPr>
                    <w:t>kg</w:t>
                  </w:r>
                </w:p>
              </w:tc>
            </w:tr>
          </w:tbl>
          <w:p w14:paraId="586F82A0">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压榨尾泥</w:t>
            </w:r>
            <w:r>
              <w:rPr>
                <w:rFonts w:hint="default" w:ascii="Times New Roman" w:hAnsi="Times New Roman" w:cs="Times New Roman"/>
                <w:caps w:val="0"/>
                <w:color w:val="auto"/>
                <w:spacing w:val="0"/>
                <w:position w:val="0"/>
                <w:highlight w:val="none"/>
                <w:lang w:val="en-US" w:eastAsia="zh-CN"/>
              </w:rPr>
              <w:t>：本项目所使用的压榨尾泥来源于行业类别为C3099 其他非金属矿物制品制造的高安市境内建筑石料加工厂，石料加工过程中用水冲洗石料表面，经沉淀得到的污泥，经压榨后外售。本项目所用压榨尾泥不得使用非建筑石料加工厂提供的压榨尾泥，不得使用危险废物。</w:t>
            </w:r>
          </w:p>
          <w:p w14:paraId="18AF46FF">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石粉</w:t>
            </w:r>
            <w:r>
              <w:rPr>
                <w:rFonts w:hint="default" w:ascii="Times New Roman" w:hAnsi="Times New Roman" w:cs="Times New Roman"/>
                <w:caps w:val="0"/>
                <w:color w:val="auto"/>
                <w:spacing w:val="0"/>
                <w:position w:val="0"/>
                <w:highlight w:val="none"/>
                <w:lang w:val="en-US" w:eastAsia="zh-CN"/>
              </w:rPr>
              <w:t>：</w:t>
            </w:r>
            <w:r>
              <w:rPr>
                <w:rFonts w:hint="eastAsia"/>
                <w:caps w:val="0"/>
                <w:color w:val="auto"/>
                <w:spacing w:val="0"/>
                <w:position w:val="0"/>
                <w:highlight w:val="none"/>
              </w:rPr>
              <w:t>细腻的灰白色粉末，主要成分为碳酸钙等矿物质。密度约2.7</w:t>
            </w:r>
            <w:r>
              <w:rPr>
                <w:rFonts w:hint="eastAsia"/>
                <w:caps w:val="0"/>
                <w:color w:val="auto"/>
                <w:spacing w:val="0"/>
                <w:position w:val="0"/>
                <w:highlight w:val="none"/>
                <w:lang w:val="en-US" w:eastAsia="zh-CN"/>
              </w:rPr>
              <w:t>5</w:t>
            </w:r>
            <w:r>
              <w:rPr>
                <w:rFonts w:hint="eastAsia"/>
                <w:caps w:val="0"/>
                <w:color w:val="auto"/>
                <w:spacing w:val="0"/>
                <w:position w:val="0"/>
                <w:highlight w:val="none"/>
              </w:rPr>
              <w:t>g/cm³，粒度一般小于0.075mm。不溶于水，遇酸会发生反应。化学性质稳定，不易燃。粉尘可能引起呼吸道刺激，建议佩戴防尘口罩操作。对环境无明显危害，可被自然界同化。</w:t>
            </w:r>
          </w:p>
          <w:p w14:paraId="50BC2717">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水泥：灰色粉末状物质，主要成分为硅酸钙、铝酸钙等，密度约3.1g/cm³。具有水硬性，与水反应后能凝结硬化。强碱性，pH值12-13。遇水放热，初凝时间约45-60分钟。无毒，但粉尘可刺激呼吸道和眼睛。在潮湿环境中会发生水化反应，固化后形成稳定的水泥石。</w:t>
            </w:r>
          </w:p>
          <w:p w14:paraId="17B85A7B">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碎石：碎石是由天然岩石经破碎、筛分或自然风化形成的颗粒状矿物集合体，莫氏硬度3~7（取决于岩石类型），密度</w:t>
            </w:r>
            <w:r>
              <w:rPr>
                <w:rFonts w:hint="eastAsia" w:cs="Times New Roman"/>
                <w:caps w:val="0"/>
                <w:color w:val="auto"/>
                <w:spacing w:val="0"/>
                <w:position w:val="0"/>
                <w:highlight w:val="none"/>
                <w:lang w:val="en-US" w:eastAsia="zh-CN"/>
              </w:rPr>
              <w:t>3</w:t>
            </w:r>
            <w:r>
              <w:rPr>
                <w:rFonts w:hint="default" w:ascii="Times New Roman" w:hAnsi="Times New Roman" w:cs="Times New Roman"/>
                <w:caps w:val="0"/>
                <w:color w:val="auto"/>
                <w:spacing w:val="0"/>
                <w:position w:val="0"/>
                <w:highlight w:val="none"/>
                <w:lang w:val="en-US" w:eastAsia="zh-CN"/>
              </w:rPr>
              <w:t>g/cm³，耐压强度50~300MPa，化学稳定性较高（硅酸盐类石子耐酸碱性优于碳酸盐类），吸水率通常低于2%，热稳定性良好（可耐受300℃以上温度）。石子表面粗糙，具有较强机械咬合力和抗磨损性，广泛用于建筑、道路等工程领域，其放射性及重金属含量需符合建材环保标准。</w:t>
            </w:r>
          </w:p>
          <w:p w14:paraId="3A1C5487">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对照《固体废物分类与代码目录》（生态环境部公告2024年第4号），本项目拟处置固废种类见下表。</w:t>
            </w:r>
          </w:p>
          <w:p w14:paraId="0B299D1F">
            <w:pPr>
              <w:pStyle w:val="75"/>
              <w:keepNext w:val="0"/>
              <w:keepLines w:val="0"/>
              <w:suppressLineNumbers w:val="0"/>
              <w:bidi w:val="0"/>
              <w:spacing w:before="0" w:beforeAutospacing="0" w:after="0" w:afterAutospacing="0"/>
              <w:ind w:left="0" w:right="0"/>
              <w:rPr>
                <w:rFonts w:hint="default" w:ascii="Times New Roman" w:hAnsi="Times New Roman" w:cs="Times New Roman"/>
                <w:b/>
                <w:bCs w:val="0"/>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表2-1</w:t>
            </w:r>
            <w:r>
              <w:rPr>
                <w:rFonts w:hint="eastAsia" w:ascii="Times New Roman" w:hAnsi="Times New Roman" w:cs="Times New Roman"/>
                <w:caps w:val="0"/>
                <w:color w:val="auto"/>
                <w:spacing w:val="0"/>
                <w:position w:val="0"/>
                <w:highlight w:val="none"/>
                <w:lang w:val="en-US" w:eastAsia="zh-CN"/>
              </w:rPr>
              <w:t>2</w:t>
            </w:r>
            <w:r>
              <w:rPr>
                <w:rFonts w:hint="default" w:ascii="Times New Roman" w:hAnsi="Times New Roman" w:cs="Times New Roman"/>
                <w:caps w:val="0"/>
                <w:color w:val="auto"/>
                <w:spacing w:val="0"/>
                <w:position w:val="0"/>
                <w:highlight w:val="none"/>
              </w:rPr>
              <w:t xml:space="preserve"> 本项目拟处置固废种类一览表</w:t>
            </w:r>
          </w:p>
          <w:tbl>
            <w:tblPr>
              <w:tblStyle w:val="24"/>
              <w:tblW w:w="808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6"/>
              <w:gridCol w:w="2335"/>
              <w:gridCol w:w="1616"/>
              <w:gridCol w:w="1616"/>
              <w:gridCol w:w="1617"/>
            </w:tblGrid>
            <w:tr w14:paraId="2DC4B3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6" w:type="dxa"/>
                  <w:tcBorders>
                    <w:tl2br w:val="nil"/>
                    <w:tr2bl w:val="nil"/>
                  </w:tcBorders>
                  <w:vAlign w:val="center"/>
                </w:tcPr>
                <w:p w14:paraId="057E1C9B">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lang w:val="en-US" w:eastAsia="zh-CN"/>
                    </w:rPr>
                  </w:pPr>
                  <w:r>
                    <w:rPr>
                      <w:rFonts w:hint="default" w:ascii="Times New Roman" w:hAnsi="Times New Roman" w:cs="Times New Roman"/>
                      <w:b/>
                      <w:bCs/>
                      <w:caps w:val="0"/>
                      <w:color w:val="auto"/>
                      <w:spacing w:val="0"/>
                      <w:position w:val="0"/>
                      <w:highlight w:val="none"/>
                      <w:lang w:val="en-US" w:eastAsia="zh-CN"/>
                    </w:rPr>
                    <w:t>序号</w:t>
                  </w:r>
                </w:p>
              </w:tc>
              <w:tc>
                <w:tcPr>
                  <w:tcW w:w="2335" w:type="dxa"/>
                  <w:tcBorders>
                    <w:tl2br w:val="nil"/>
                    <w:tr2bl w:val="nil"/>
                  </w:tcBorders>
                  <w:shd w:val="clear" w:color="auto" w:fill="auto"/>
                  <w:vAlign w:val="center"/>
                </w:tcPr>
                <w:p w14:paraId="2D503DD6">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lang w:val="en-US" w:eastAsia="zh-CN"/>
                    </w:rPr>
                  </w:pPr>
                  <w:r>
                    <w:rPr>
                      <w:rFonts w:hint="default" w:ascii="Times New Roman" w:hAnsi="Times New Roman" w:cs="Times New Roman"/>
                      <w:b/>
                      <w:bCs/>
                      <w:caps w:val="0"/>
                      <w:color w:val="auto"/>
                      <w:spacing w:val="0"/>
                      <w:position w:val="0"/>
                      <w:highlight w:val="none"/>
                    </w:rPr>
                    <w:t>原辅料名称</w:t>
                  </w:r>
                </w:p>
              </w:tc>
              <w:tc>
                <w:tcPr>
                  <w:tcW w:w="1616" w:type="dxa"/>
                  <w:tcBorders>
                    <w:tl2br w:val="nil"/>
                    <w:tr2bl w:val="nil"/>
                  </w:tcBorders>
                  <w:shd w:val="clear" w:color="auto" w:fill="auto"/>
                  <w:vAlign w:val="center"/>
                </w:tcPr>
                <w:p w14:paraId="32BC0B91">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lang w:val="en-US" w:eastAsia="zh-CN"/>
                    </w:rPr>
                  </w:pPr>
                  <w:r>
                    <w:rPr>
                      <w:rFonts w:hint="default" w:ascii="Times New Roman" w:hAnsi="Times New Roman" w:cs="Times New Roman"/>
                      <w:b/>
                      <w:bCs/>
                      <w:caps w:val="0"/>
                      <w:color w:val="auto"/>
                      <w:spacing w:val="0"/>
                      <w:position w:val="0"/>
                      <w:highlight w:val="none"/>
                    </w:rPr>
                    <w:t>废物种类</w:t>
                  </w:r>
                </w:p>
              </w:tc>
              <w:tc>
                <w:tcPr>
                  <w:tcW w:w="1616" w:type="dxa"/>
                  <w:tcBorders>
                    <w:tl2br w:val="nil"/>
                    <w:tr2bl w:val="nil"/>
                  </w:tcBorders>
                  <w:shd w:val="clear" w:color="auto" w:fill="auto"/>
                  <w:vAlign w:val="center"/>
                </w:tcPr>
                <w:p w14:paraId="0B4498DB">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lang w:val="en-US" w:eastAsia="zh-CN"/>
                    </w:rPr>
                  </w:pPr>
                  <w:r>
                    <w:rPr>
                      <w:rFonts w:hint="default" w:ascii="Times New Roman" w:hAnsi="Times New Roman" w:cs="Times New Roman"/>
                      <w:b/>
                      <w:bCs/>
                      <w:caps w:val="0"/>
                      <w:color w:val="auto"/>
                      <w:spacing w:val="0"/>
                      <w:position w:val="0"/>
                      <w:highlight w:val="none"/>
                    </w:rPr>
                    <w:t>行业来源</w:t>
                  </w:r>
                </w:p>
              </w:tc>
              <w:tc>
                <w:tcPr>
                  <w:tcW w:w="1617" w:type="dxa"/>
                  <w:tcBorders>
                    <w:tl2br w:val="nil"/>
                    <w:tr2bl w:val="nil"/>
                  </w:tcBorders>
                  <w:shd w:val="clear" w:color="auto" w:fill="auto"/>
                  <w:vAlign w:val="center"/>
                </w:tcPr>
                <w:p w14:paraId="18366D85">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lang w:val="en-US" w:eastAsia="zh-CN"/>
                    </w:rPr>
                  </w:pPr>
                  <w:r>
                    <w:rPr>
                      <w:rFonts w:hint="default" w:ascii="Times New Roman" w:hAnsi="Times New Roman" w:cs="Times New Roman"/>
                      <w:b/>
                      <w:bCs/>
                      <w:caps w:val="0"/>
                      <w:color w:val="auto"/>
                      <w:spacing w:val="0"/>
                      <w:position w:val="0"/>
                      <w:highlight w:val="none"/>
                    </w:rPr>
                    <w:t>废物代码</w:t>
                  </w:r>
                </w:p>
              </w:tc>
            </w:tr>
            <w:tr w14:paraId="63FD27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6" w:type="dxa"/>
                  <w:tcBorders>
                    <w:tl2br w:val="nil"/>
                    <w:tr2bl w:val="nil"/>
                  </w:tcBorders>
                  <w:vAlign w:val="center"/>
                </w:tcPr>
                <w:p w14:paraId="1F47052C">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1</w:t>
                  </w:r>
                </w:p>
              </w:tc>
              <w:tc>
                <w:tcPr>
                  <w:tcW w:w="2335" w:type="dxa"/>
                  <w:tcBorders>
                    <w:tl2br w:val="nil"/>
                    <w:tr2bl w:val="nil"/>
                  </w:tcBorders>
                  <w:vAlign w:val="center"/>
                </w:tcPr>
                <w:p w14:paraId="10FC145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工业固体废物</w:t>
                  </w:r>
                </w:p>
              </w:tc>
              <w:tc>
                <w:tcPr>
                  <w:tcW w:w="1616" w:type="dxa"/>
                  <w:tcBorders>
                    <w:tl2br w:val="nil"/>
                    <w:tr2bl w:val="nil"/>
                  </w:tcBorders>
                  <w:shd w:val="clear" w:color="auto" w:fill="auto"/>
                  <w:vAlign w:val="center"/>
                </w:tcPr>
                <w:p w14:paraId="172F981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SW0</w:t>
                  </w:r>
                  <w:r>
                    <w:rPr>
                      <w:rFonts w:hint="default" w:ascii="Times New Roman" w:hAnsi="Times New Roman" w:cs="Times New Roman"/>
                      <w:caps w:val="0"/>
                      <w:color w:val="auto"/>
                      <w:spacing w:val="0"/>
                      <w:position w:val="0"/>
                      <w:highlight w:val="none"/>
                      <w:lang w:val="en-US" w:eastAsia="zh-CN"/>
                    </w:rPr>
                    <w:t>1冶炼废渣</w:t>
                  </w:r>
                </w:p>
              </w:tc>
              <w:tc>
                <w:tcPr>
                  <w:tcW w:w="1616" w:type="dxa"/>
                  <w:tcBorders>
                    <w:tl2br w:val="nil"/>
                    <w:tr2bl w:val="nil"/>
                  </w:tcBorders>
                  <w:vAlign w:val="center"/>
                </w:tcPr>
                <w:p w14:paraId="275CE828">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锂冶炼</w:t>
                  </w:r>
                </w:p>
              </w:tc>
              <w:tc>
                <w:tcPr>
                  <w:tcW w:w="1617" w:type="dxa"/>
                  <w:tcBorders>
                    <w:tl2br w:val="nil"/>
                    <w:tr2bl w:val="nil"/>
                  </w:tcBorders>
                  <w:vAlign w:val="center"/>
                </w:tcPr>
                <w:p w14:paraId="23CA6117">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900-099-S01</w:t>
                  </w:r>
                </w:p>
              </w:tc>
            </w:tr>
            <w:tr w14:paraId="04F0E0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6" w:type="dxa"/>
                  <w:tcBorders>
                    <w:tl2br w:val="nil"/>
                    <w:tr2bl w:val="nil"/>
                  </w:tcBorders>
                  <w:vAlign w:val="center"/>
                </w:tcPr>
                <w:p w14:paraId="6F36632D">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2</w:t>
                  </w:r>
                </w:p>
              </w:tc>
              <w:tc>
                <w:tcPr>
                  <w:tcW w:w="2335" w:type="dxa"/>
                  <w:tcBorders>
                    <w:tl2br w:val="nil"/>
                    <w:tr2bl w:val="nil"/>
                  </w:tcBorders>
                  <w:vAlign w:val="center"/>
                </w:tcPr>
                <w:p w14:paraId="610A267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污泥</w:t>
                  </w:r>
                </w:p>
              </w:tc>
              <w:tc>
                <w:tcPr>
                  <w:tcW w:w="1616" w:type="dxa"/>
                  <w:tcBorders>
                    <w:tl2br w:val="nil"/>
                    <w:tr2bl w:val="nil"/>
                  </w:tcBorders>
                  <w:vAlign w:val="center"/>
                </w:tcPr>
                <w:p w14:paraId="54FC647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SW</w:t>
                  </w:r>
                  <w:r>
                    <w:rPr>
                      <w:rFonts w:hint="eastAsia" w:cs="Times New Roman"/>
                      <w:caps w:val="0"/>
                      <w:color w:val="auto"/>
                      <w:spacing w:val="0"/>
                      <w:position w:val="0"/>
                      <w:highlight w:val="none"/>
                      <w:lang w:val="en-US" w:eastAsia="zh-CN"/>
                    </w:rPr>
                    <w:t>07污泥</w:t>
                  </w:r>
                </w:p>
              </w:tc>
              <w:tc>
                <w:tcPr>
                  <w:tcW w:w="1616" w:type="dxa"/>
                  <w:tcBorders>
                    <w:tl2br w:val="nil"/>
                    <w:tr2bl w:val="nil"/>
                  </w:tcBorders>
                  <w:vAlign w:val="center"/>
                </w:tcPr>
                <w:p w14:paraId="4C37D79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非特定行业</w:t>
                  </w:r>
                </w:p>
              </w:tc>
              <w:tc>
                <w:tcPr>
                  <w:tcW w:w="1617" w:type="dxa"/>
                  <w:tcBorders>
                    <w:tl2br w:val="nil"/>
                    <w:tr2bl w:val="nil"/>
                  </w:tcBorders>
                  <w:vAlign w:val="center"/>
                </w:tcPr>
                <w:p w14:paraId="648B2B5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900-099-S07</w:t>
                  </w:r>
                </w:p>
              </w:tc>
            </w:tr>
          </w:tbl>
          <w:p w14:paraId="2E245C12">
            <w:pPr>
              <w:pStyle w:val="74"/>
              <w:keepNext w:val="0"/>
              <w:keepLines w:val="0"/>
              <w:suppressLineNumbers w:val="0"/>
              <w:bidi w:val="0"/>
              <w:spacing w:before="0" w:beforeAutospacing="0" w:after="0" w:afterAutospacing="0"/>
              <w:ind w:left="0" w:right="0"/>
              <w:rPr>
                <w:rFonts w:hint="default" w:ascii="Times New Roman" w:hAnsi="Times New Roman" w:cs="Times New Roman"/>
                <w:b/>
                <w:bCs w:val="0"/>
                <w:caps w:val="0"/>
                <w:color w:val="auto"/>
                <w:spacing w:val="0"/>
                <w:position w:val="0"/>
                <w:highlight w:val="none"/>
                <w:lang w:val="en-US" w:eastAsia="zh-CN"/>
              </w:rPr>
            </w:pPr>
            <w:r>
              <w:rPr>
                <w:rFonts w:hint="default" w:ascii="Times New Roman" w:hAnsi="Times New Roman" w:cs="Times New Roman"/>
                <w:b/>
                <w:bCs w:val="0"/>
                <w:caps w:val="0"/>
                <w:color w:val="auto"/>
                <w:spacing w:val="0"/>
                <w:position w:val="0"/>
                <w:highlight w:val="none"/>
                <w:lang w:val="en-US" w:eastAsia="zh-CN"/>
              </w:rPr>
              <w:t>6.</w:t>
            </w:r>
            <w:r>
              <w:rPr>
                <w:rFonts w:hint="eastAsia" w:cs="Times New Roman"/>
                <w:b/>
                <w:bCs w:val="0"/>
                <w:caps w:val="0"/>
                <w:color w:val="auto"/>
                <w:spacing w:val="0"/>
                <w:position w:val="0"/>
                <w:highlight w:val="none"/>
                <w:lang w:val="en-US" w:eastAsia="zh-CN"/>
              </w:rPr>
              <w:t>3</w:t>
            </w:r>
            <w:r>
              <w:rPr>
                <w:rFonts w:hint="default" w:ascii="Times New Roman" w:hAnsi="Times New Roman" w:cs="Times New Roman"/>
                <w:b/>
                <w:bCs w:val="0"/>
                <w:caps w:val="0"/>
                <w:color w:val="auto"/>
                <w:spacing w:val="0"/>
                <w:position w:val="0"/>
                <w:highlight w:val="none"/>
                <w:lang w:val="en-US" w:eastAsia="zh-CN"/>
              </w:rPr>
              <w:t>、锂冶炼剩余物入、出厂要求：</w:t>
            </w:r>
          </w:p>
          <w:p w14:paraId="273A24A5">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b/>
                <w:bCs w:val="0"/>
                <w:caps w:val="0"/>
                <w:color w:val="auto"/>
                <w:spacing w:val="0"/>
                <w:position w:val="0"/>
                <w:highlight w:val="none"/>
                <w:lang w:val="en-US" w:eastAsia="zh-CN"/>
              </w:rPr>
              <w:t>（1）本项目外购锂渣原料入厂控制要求</w:t>
            </w:r>
          </w:p>
          <w:p w14:paraId="049792E1">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①本项目使用锂冶炼剩余物来源于</w:t>
            </w:r>
            <w:r>
              <w:rPr>
                <w:rFonts w:hint="default" w:ascii="Times New Roman" w:hAnsi="Times New Roman" w:eastAsia="宋体" w:cs="Times New Roman"/>
                <w:caps w:val="0"/>
                <w:color w:val="auto"/>
                <w:spacing w:val="0"/>
                <w:position w:val="0"/>
                <w:sz w:val="24"/>
                <w:highlight w:val="none"/>
                <w:lang w:val="en-US" w:eastAsia="zh-CN"/>
              </w:rPr>
              <w:t>江西研硕科技研发有限公司利用江西永兴特钢新能源科技有限公司等企业浸出渣二次提锂后产生的锂冶炼剩余物（水洗渣）</w:t>
            </w:r>
            <w:r>
              <w:rPr>
                <w:rFonts w:hint="eastAsia" w:ascii="Times New Roman" w:hAnsi="Times New Roman" w:eastAsia="宋体" w:cs="Times New Roman"/>
                <w:caps w:val="0"/>
                <w:color w:val="auto"/>
                <w:spacing w:val="0"/>
                <w:position w:val="0"/>
                <w:sz w:val="24"/>
                <w:highlight w:val="none"/>
                <w:lang w:val="en-US" w:eastAsia="zh-CN"/>
              </w:rPr>
              <w:t>，</w:t>
            </w:r>
            <w:r>
              <w:rPr>
                <w:rFonts w:hint="default" w:ascii="Times New Roman" w:hAnsi="Times New Roman" w:eastAsia="宋体" w:cs="Times New Roman"/>
                <w:caps w:val="0"/>
                <w:color w:val="auto"/>
                <w:spacing w:val="0"/>
                <w:position w:val="0"/>
                <w:sz w:val="24"/>
                <w:highlight w:val="none"/>
                <w:lang w:val="en-US" w:eastAsia="zh-CN"/>
              </w:rPr>
              <w:t>根据《江西永兴特钢新能源科技有限公司</w:t>
            </w:r>
            <w:r>
              <w:rPr>
                <w:rFonts w:hint="eastAsia" w:ascii="Times New Roman" w:hAnsi="Times New Roman" w:eastAsia="宋体" w:cs="Times New Roman"/>
                <w:caps w:val="0"/>
                <w:color w:val="auto"/>
                <w:spacing w:val="0"/>
                <w:position w:val="0"/>
                <w:sz w:val="24"/>
                <w:highlight w:val="none"/>
                <w:lang w:val="en-US" w:eastAsia="zh-CN"/>
              </w:rPr>
              <w:t>锂渣</w:t>
            </w:r>
            <w:r>
              <w:rPr>
                <w:rFonts w:hint="default" w:ascii="Times New Roman" w:hAnsi="Times New Roman" w:eastAsia="宋体" w:cs="Times New Roman"/>
                <w:caps w:val="0"/>
                <w:color w:val="auto"/>
                <w:spacing w:val="0"/>
                <w:position w:val="0"/>
                <w:sz w:val="24"/>
                <w:highlight w:val="none"/>
                <w:lang w:val="en-US" w:eastAsia="zh-CN"/>
              </w:rPr>
              <w:t>危险特性鉴别报告》（见附件</w:t>
            </w:r>
            <w:r>
              <w:rPr>
                <w:rFonts w:hint="eastAsia" w:cs="Times New Roman"/>
                <w:caps w:val="0"/>
                <w:color w:val="auto"/>
                <w:spacing w:val="0"/>
                <w:position w:val="0"/>
                <w:sz w:val="24"/>
                <w:highlight w:val="none"/>
                <w:lang w:val="en-US" w:eastAsia="zh-CN"/>
              </w:rPr>
              <w:t>7</w:t>
            </w:r>
            <w:r>
              <w:rPr>
                <w:rFonts w:hint="default" w:ascii="Times New Roman" w:hAnsi="Times New Roman" w:eastAsia="宋体" w:cs="Times New Roman"/>
                <w:caps w:val="0"/>
                <w:color w:val="auto"/>
                <w:spacing w:val="0"/>
                <w:position w:val="0"/>
                <w:sz w:val="24"/>
                <w:highlight w:val="none"/>
                <w:lang w:val="en-US" w:eastAsia="zh-CN"/>
              </w:rPr>
              <w:t>），鉴定</w:t>
            </w:r>
            <w:r>
              <w:rPr>
                <w:rFonts w:hint="default" w:ascii="Times New Roman" w:hAnsi="Times New Roman" w:eastAsia="宋体" w:cs="Times New Roman"/>
                <w:caps w:val="0"/>
                <w:color w:val="auto"/>
                <w:spacing w:val="0"/>
                <w:position w:val="0"/>
                <w:sz w:val="24"/>
                <w:highlight w:val="none"/>
              </w:rPr>
              <w:t>结果表明</w:t>
            </w:r>
            <w:r>
              <w:rPr>
                <w:rFonts w:hint="default" w:ascii="Times New Roman" w:hAnsi="Times New Roman" w:eastAsia="宋体" w:cs="Times New Roman"/>
                <w:caps w:val="0"/>
                <w:color w:val="auto"/>
                <w:spacing w:val="0"/>
                <w:position w:val="0"/>
                <w:sz w:val="24"/>
                <w:highlight w:val="none"/>
                <w:lang w:val="en-US" w:eastAsia="zh-CN"/>
              </w:rPr>
              <w:t>江西永兴特钢新能源科技有限公司</w:t>
            </w:r>
            <w:r>
              <w:rPr>
                <w:rFonts w:hint="default" w:ascii="Times New Roman" w:hAnsi="Times New Roman" w:eastAsia="宋体" w:cs="Times New Roman"/>
                <w:caps w:val="0"/>
                <w:color w:val="auto"/>
                <w:spacing w:val="0"/>
                <w:position w:val="0"/>
                <w:sz w:val="24"/>
                <w:highlight w:val="none"/>
              </w:rPr>
              <w:t>项目浸出工序产生的</w:t>
            </w:r>
            <w:r>
              <w:rPr>
                <w:rFonts w:hint="eastAsia" w:ascii="Times New Roman" w:hAnsi="Times New Roman" w:eastAsia="宋体" w:cs="Times New Roman"/>
                <w:caps w:val="0"/>
                <w:color w:val="auto"/>
                <w:spacing w:val="0"/>
                <w:position w:val="0"/>
                <w:sz w:val="24"/>
                <w:highlight w:val="none"/>
                <w:lang w:val="en-US" w:eastAsia="zh-CN"/>
              </w:rPr>
              <w:t>锂冶炼剩余物</w:t>
            </w:r>
            <w:r>
              <w:rPr>
                <w:rFonts w:hint="default" w:ascii="Times New Roman" w:hAnsi="Times New Roman" w:eastAsia="宋体" w:cs="Times New Roman"/>
                <w:caps w:val="0"/>
                <w:color w:val="auto"/>
                <w:spacing w:val="0"/>
                <w:position w:val="0"/>
                <w:sz w:val="24"/>
                <w:highlight w:val="none"/>
              </w:rPr>
              <w:t>不具有危险特性，不属于危险废物，属于一般工业固体废物</w:t>
            </w:r>
            <w:r>
              <w:rPr>
                <w:rFonts w:hint="default" w:ascii="Times New Roman" w:hAnsi="Times New Roman" w:eastAsia="宋体" w:cs="Times New Roman"/>
                <w:caps w:val="0"/>
                <w:color w:val="auto"/>
                <w:spacing w:val="0"/>
                <w:kern w:val="0"/>
                <w:position w:val="0"/>
                <w:sz w:val="24"/>
                <w:szCs w:val="24"/>
                <w:highlight w:val="none"/>
                <w:lang w:val="en-US" w:eastAsia="zh-CN" w:bidi="ar"/>
              </w:rPr>
              <w:t>。</w:t>
            </w:r>
            <w:r>
              <w:rPr>
                <w:rFonts w:hint="eastAsia" w:ascii="Times New Roman" w:hAnsi="Times New Roman" w:eastAsia="宋体" w:cs="Times New Roman"/>
                <w:caps w:val="0"/>
                <w:color w:val="auto"/>
                <w:spacing w:val="0"/>
                <w:kern w:val="0"/>
                <w:position w:val="0"/>
                <w:sz w:val="24"/>
                <w:szCs w:val="24"/>
                <w:highlight w:val="none"/>
                <w:lang w:val="en-US" w:eastAsia="zh-CN" w:bidi="ar"/>
              </w:rPr>
              <w:t>研硕科技采用水洗工艺对</w:t>
            </w:r>
            <w:r>
              <w:rPr>
                <w:rFonts w:hint="default" w:ascii="Times New Roman" w:hAnsi="Times New Roman" w:eastAsia="宋体" w:cs="Times New Roman"/>
                <w:caps w:val="0"/>
                <w:color w:val="auto"/>
                <w:spacing w:val="0"/>
                <w:position w:val="0"/>
                <w:sz w:val="24"/>
                <w:highlight w:val="none"/>
                <w:lang w:val="en-US" w:eastAsia="zh-CN"/>
              </w:rPr>
              <w:t>江西永兴特钢新能源科技有限公司</w:t>
            </w:r>
            <w:r>
              <w:rPr>
                <w:rFonts w:hint="eastAsia" w:ascii="Times New Roman" w:hAnsi="Times New Roman" w:eastAsia="宋体" w:cs="Times New Roman"/>
                <w:caps w:val="0"/>
                <w:color w:val="auto"/>
                <w:spacing w:val="0"/>
                <w:position w:val="0"/>
                <w:sz w:val="24"/>
                <w:highlight w:val="none"/>
                <w:lang w:val="en-US" w:eastAsia="zh-CN"/>
              </w:rPr>
              <w:t>产生的锂冶炼剩余物进行二次提锂，部分毒性物质被卤水带走，水洗渣相对原锂冶炼剩余物毒性物质降低，危害减少，因此水洗渣亦为一般工业固体废物。</w:t>
            </w:r>
            <w:r>
              <w:rPr>
                <w:rFonts w:hint="default" w:ascii="Times New Roman" w:hAnsi="Times New Roman" w:cs="Times New Roman"/>
                <w:caps w:val="0"/>
                <w:color w:val="auto"/>
                <w:spacing w:val="0"/>
                <w:position w:val="0"/>
                <w:highlight w:val="none"/>
              </w:rPr>
              <w:t>本次环评以</w:t>
            </w:r>
            <w:r>
              <w:rPr>
                <w:rFonts w:hint="default" w:ascii="Times New Roman" w:hAnsi="Times New Roman" w:eastAsia="宋体" w:cs="Times New Roman"/>
                <w:caps w:val="0"/>
                <w:color w:val="auto"/>
                <w:spacing w:val="0"/>
                <w:position w:val="0"/>
                <w:sz w:val="24"/>
                <w:highlight w:val="none"/>
                <w:lang w:val="en-US" w:eastAsia="zh-CN"/>
              </w:rPr>
              <w:t>江西研硕科技研发有限公司</w:t>
            </w:r>
            <w:r>
              <w:rPr>
                <w:rFonts w:hint="default" w:ascii="Times New Roman" w:hAnsi="Times New Roman" w:cs="Times New Roman"/>
                <w:caps w:val="0"/>
                <w:color w:val="auto"/>
                <w:spacing w:val="0"/>
                <w:position w:val="0"/>
                <w:highlight w:val="none"/>
              </w:rPr>
              <w:t>为典型企业，要求后续生产过程按照此要求严格原料入厂，</w:t>
            </w:r>
            <w:r>
              <w:rPr>
                <w:rFonts w:hint="default" w:ascii="Times New Roman" w:hAnsi="Times New Roman" w:cs="Times New Roman"/>
                <w:caps w:val="0"/>
                <w:color w:val="auto"/>
                <w:spacing w:val="0"/>
                <w:position w:val="0"/>
                <w:highlight w:val="none"/>
                <w:lang w:val="en-US" w:eastAsia="zh-CN"/>
              </w:rPr>
              <w:t>供货方需提供危废鉴定报告及结论，不具有危险特性，不属于危险废物，属于一般工业固体废物，还需明确一般工业固体废物类型(第I类一般工业固体废物)</w:t>
            </w:r>
            <w:r>
              <w:rPr>
                <w:rFonts w:hint="default" w:ascii="Times New Roman" w:hAnsi="Times New Roman" w:cs="Times New Roman"/>
                <w:caps w:val="0"/>
                <w:color w:val="auto"/>
                <w:spacing w:val="0"/>
                <w:position w:val="0"/>
                <w:highlight w:val="none"/>
              </w:rPr>
              <w:t>后方可进场使用。</w:t>
            </w:r>
          </w:p>
          <w:p w14:paraId="50DB74D3">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②</w:t>
            </w:r>
            <w:r>
              <w:rPr>
                <w:rFonts w:hint="default" w:ascii="Times New Roman" w:hAnsi="Times New Roman" w:cs="Times New Roman"/>
                <w:caps w:val="0"/>
                <w:color w:val="auto"/>
                <w:spacing w:val="0"/>
                <w:position w:val="0"/>
                <w:highlight w:val="none"/>
                <w:lang w:val="en-US" w:eastAsia="zh-CN"/>
              </w:rPr>
              <w:t>本项目要求建设单位定期对锂渣成分进行抽检，确保本项目外购的锂渣为第I类一般工业固废，若抽检出的来料成分不属于第I类一般工业固废（或为危险废物等），应立即停止生产，拒绝接收该批次来料，同一批次中已进厂的部分要求供应方联系处置单位合理合法处置，待来料锂渣抽检达到第I类一般工业固废要求后方可入厂，不得掺杂电解质、玻璃粉等任何含锂冶炼渣。</w:t>
            </w:r>
          </w:p>
          <w:p w14:paraId="7437EB21">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③项目运行过程中，建设单位应要求原料供应商定期对</w:t>
            </w:r>
            <w:r>
              <w:rPr>
                <w:rFonts w:hint="eastAsia" w:cs="Times New Roman"/>
                <w:caps w:val="0"/>
                <w:color w:val="auto"/>
                <w:spacing w:val="0"/>
                <w:position w:val="0"/>
                <w:highlight w:val="none"/>
                <w:lang w:val="en-US" w:eastAsia="zh-CN"/>
              </w:rPr>
              <w:t>原料锂冶炼剩余物</w:t>
            </w:r>
            <w:r>
              <w:rPr>
                <w:rFonts w:hint="default" w:ascii="Times New Roman" w:hAnsi="Times New Roman" w:cs="Times New Roman"/>
                <w:caps w:val="0"/>
                <w:color w:val="auto"/>
                <w:spacing w:val="0"/>
                <w:position w:val="0"/>
                <w:highlight w:val="none"/>
                <w:lang w:val="en-US" w:eastAsia="zh-CN"/>
              </w:rPr>
              <w:t>进行鉴别，并建立</w:t>
            </w:r>
            <w:r>
              <w:rPr>
                <w:rFonts w:hint="eastAsia" w:cs="Times New Roman"/>
                <w:caps w:val="0"/>
                <w:color w:val="auto"/>
                <w:spacing w:val="0"/>
                <w:position w:val="0"/>
                <w:highlight w:val="none"/>
                <w:lang w:val="en-US" w:eastAsia="zh-CN"/>
              </w:rPr>
              <w:t>记录</w:t>
            </w:r>
            <w:r>
              <w:rPr>
                <w:rFonts w:hint="default" w:ascii="Times New Roman" w:hAnsi="Times New Roman" w:cs="Times New Roman"/>
                <w:caps w:val="0"/>
                <w:color w:val="auto"/>
                <w:spacing w:val="0"/>
                <w:position w:val="0"/>
                <w:highlight w:val="none"/>
                <w:lang w:val="en-US" w:eastAsia="zh-CN"/>
              </w:rPr>
              <w:t>锂冶炼剩余物原料、利用后的锂冶炼剩余物、</w:t>
            </w:r>
            <w:r>
              <w:rPr>
                <w:rFonts w:hint="eastAsia" w:cs="Times New Roman"/>
                <w:caps w:val="0"/>
                <w:color w:val="auto"/>
                <w:spacing w:val="0"/>
                <w:position w:val="0"/>
                <w:highlight w:val="none"/>
                <w:lang w:val="en-US" w:eastAsia="zh-CN"/>
              </w:rPr>
              <w:t>水洗</w:t>
            </w:r>
            <w:r>
              <w:rPr>
                <w:rFonts w:hint="default" w:ascii="Times New Roman" w:hAnsi="Times New Roman" w:cs="Times New Roman"/>
                <w:caps w:val="0"/>
                <w:color w:val="auto"/>
                <w:spacing w:val="0"/>
                <w:position w:val="0"/>
                <w:highlight w:val="none"/>
                <w:lang w:val="en-US" w:eastAsia="zh-CN"/>
              </w:rPr>
              <w:t>渣</w:t>
            </w:r>
            <w:r>
              <w:rPr>
                <w:rFonts w:hint="eastAsia" w:cs="Times New Roman"/>
                <w:caps w:val="0"/>
                <w:color w:val="auto"/>
                <w:spacing w:val="0"/>
                <w:position w:val="0"/>
                <w:highlight w:val="none"/>
                <w:lang w:val="en-US" w:eastAsia="zh-CN"/>
              </w:rPr>
              <w:t>的</w:t>
            </w:r>
            <w:r>
              <w:rPr>
                <w:rFonts w:hint="eastAsia"/>
                <w:caps w:val="0"/>
                <w:color w:val="auto"/>
                <w:spacing w:val="0"/>
                <w:position w:val="0"/>
                <w:highlight w:val="none"/>
              </w:rPr>
              <w:t>数量、时间</w:t>
            </w:r>
            <w:r>
              <w:rPr>
                <w:rFonts w:hint="eastAsia"/>
                <w:caps w:val="0"/>
                <w:color w:val="auto"/>
                <w:spacing w:val="0"/>
                <w:position w:val="0"/>
                <w:highlight w:val="none"/>
                <w:lang w:eastAsia="zh-CN"/>
              </w:rPr>
              <w:t>、</w:t>
            </w:r>
            <w:r>
              <w:rPr>
                <w:rFonts w:hint="eastAsia"/>
                <w:caps w:val="0"/>
                <w:color w:val="auto"/>
                <w:spacing w:val="0"/>
                <w:position w:val="0"/>
                <w:highlight w:val="none"/>
              </w:rPr>
              <w:t>来源</w:t>
            </w:r>
            <w:r>
              <w:rPr>
                <w:rFonts w:hint="eastAsia"/>
                <w:caps w:val="0"/>
                <w:color w:val="auto"/>
                <w:spacing w:val="0"/>
                <w:position w:val="0"/>
                <w:highlight w:val="none"/>
                <w:lang w:val="en-US" w:eastAsia="zh-CN"/>
              </w:rPr>
              <w:t>和</w:t>
            </w:r>
            <w:r>
              <w:rPr>
                <w:rFonts w:hint="eastAsia"/>
                <w:caps w:val="0"/>
                <w:color w:val="auto"/>
                <w:spacing w:val="0"/>
                <w:position w:val="0"/>
                <w:highlight w:val="none"/>
              </w:rPr>
              <w:t>去向</w:t>
            </w:r>
            <w:r>
              <w:rPr>
                <w:rFonts w:hint="eastAsia"/>
                <w:caps w:val="0"/>
                <w:color w:val="auto"/>
                <w:spacing w:val="0"/>
                <w:position w:val="0"/>
                <w:highlight w:val="none"/>
                <w:lang w:val="en-US" w:eastAsia="zh-CN"/>
              </w:rPr>
              <w:t>的</w:t>
            </w:r>
            <w:r>
              <w:rPr>
                <w:rFonts w:hint="default" w:ascii="Times New Roman" w:hAnsi="Times New Roman" w:cs="Times New Roman"/>
                <w:caps w:val="0"/>
                <w:color w:val="auto"/>
                <w:spacing w:val="0"/>
                <w:position w:val="0"/>
                <w:highlight w:val="none"/>
                <w:lang w:val="en-US" w:eastAsia="zh-CN"/>
              </w:rPr>
              <w:t>管理台账</w:t>
            </w:r>
            <w:r>
              <w:rPr>
                <w:rFonts w:hint="eastAsia"/>
                <w:caps w:val="0"/>
                <w:color w:val="auto"/>
                <w:spacing w:val="0"/>
                <w:position w:val="0"/>
                <w:highlight w:val="none"/>
              </w:rPr>
              <w:t>，档案需保存3年以上。</w:t>
            </w:r>
            <w:r>
              <w:rPr>
                <w:rFonts w:hint="default" w:ascii="Times New Roman" w:hAnsi="Times New Roman" w:cs="Times New Roman"/>
                <w:caps w:val="0"/>
                <w:color w:val="auto"/>
                <w:spacing w:val="0"/>
                <w:position w:val="0"/>
                <w:highlight w:val="none"/>
                <w:lang w:val="en-US" w:eastAsia="zh-CN"/>
              </w:rPr>
              <w:t>项目不得利用经鉴别属于危险废物的锂冶炼剩余物为原料。</w:t>
            </w:r>
          </w:p>
          <w:p w14:paraId="2242BAC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b w:val="0"/>
                <w:bCs/>
                <w:caps w:val="0"/>
                <w:smallCaps w:val="0"/>
                <w:color w:val="auto"/>
                <w:spacing w:val="0"/>
                <w:position w:val="0"/>
                <w:sz w:val="24"/>
                <w:szCs w:val="24"/>
                <w:highlight w:val="none"/>
                <w:lang w:val="en-US" w:eastAsia="zh-CN"/>
              </w:rPr>
            </w:pPr>
            <w:r>
              <w:rPr>
                <w:rFonts w:hint="default" w:ascii="Times New Roman" w:hAnsi="Times New Roman" w:cs="Times New Roman"/>
                <w:caps w:val="0"/>
                <w:color w:val="auto"/>
                <w:spacing w:val="0"/>
                <w:position w:val="0"/>
                <w:highlight w:val="none"/>
              </w:rPr>
              <w:t>企业后期生产过程中根据实际情况进行原料检测。结合本项目原料成分实测数据（见附件</w:t>
            </w:r>
            <w:r>
              <w:rPr>
                <w:rFonts w:hint="default" w:ascii="Times New Roman" w:hAnsi="Times New Roman" w:cs="Times New Roman"/>
                <w:caps w:val="0"/>
                <w:color w:val="auto"/>
                <w:spacing w:val="0"/>
                <w:position w:val="0"/>
                <w:highlight w:val="none"/>
                <w:lang w:val="en-US" w:eastAsia="zh-CN"/>
              </w:rPr>
              <w:t>13</w:t>
            </w:r>
            <w:r>
              <w:rPr>
                <w:rFonts w:hint="default" w:ascii="Times New Roman" w:hAnsi="Times New Roman" w:cs="Times New Roman"/>
                <w:caps w:val="0"/>
                <w:color w:val="auto"/>
                <w:spacing w:val="0"/>
                <w:position w:val="0"/>
                <w:highlight w:val="none"/>
              </w:rPr>
              <w:t>）及建设单位生产经验，结合产品质量标准，提出原料</w:t>
            </w:r>
            <w:r>
              <w:rPr>
                <w:rFonts w:hint="default" w:ascii="Times New Roman" w:hAnsi="Times New Roman" w:eastAsia="宋体" w:cs="Times New Roman"/>
                <w:b w:val="0"/>
                <w:bCs/>
                <w:caps w:val="0"/>
                <w:smallCaps w:val="0"/>
                <w:color w:val="auto"/>
                <w:spacing w:val="0"/>
                <w:position w:val="0"/>
                <w:sz w:val="24"/>
                <w:szCs w:val="24"/>
                <w:highlight w:val="none"/>
                <w:lang w:val="en-US" w:eastAsia="zh-CN"/>
              </w:rPr>
              <w:t>入厂</w:t>
            </w:r>
            <w:r>
              <w:rPr>
                <w:rFonts w:hint="default" w:ascii="Times New Roman" w:hAnsi="Times New Roman" w:cs="Times New Roman"/>
                <w:b w:val="0"/>
                <w:bCs/>
                <w:caps w:val="0"/>
                <w:smallCaps w:val="0"/>
                <w:color w:val="auto"/>
                <w:spacing w:val="0"/>
                <w:position w:val="0"/>
                <w:sz w:val="24"/>
                <w:szCs w:val="24"/>
                <w:highlight w:val="none"/>
                <w:lang w:val="en-US" w:eastAsia="zh-CN"/>
              </w:rPr>
              <w:t>要求及</w:t>
            </w:r>
            <w:r>
              <w:rPr>
                <w:rFonts w:hint="default" w:ascii="Times New Roman" w:hAnsi="Times New Roman" w:eastAsia="宋体" w:cs="Times New Roman"/>
                <w:b w:val="0"/>
                <w:bCs/>
                <w:caps w:val="0"/>
                <w:smallCaps w:val="0"/>
                <w:color w:val="auto"/>
                <w:spacing w:val="0"/>
                <w:position w:val="0"/>
                <w:sz w:val="24"/>
                <w:szCs w:val="24"/>
                <w:highlight w:val="none"/>
                <w:lang w:val="en-US" w:eastAsia="zh-CN"/>
              </w:rPr>
              <w:t>浸出液成分</w:t>
            </w:r>
            <w:r>
              <w:rPr>
                <w:rFonts w:hint="eastAsia" w:cs="Times New Roman"/>
                <w:b w:val="0"/>
                <w:bCs/>
                <w:caps w:val="0"/>
                <w:smallCaps w:val="0"/>
                <w:color w:val="auto"/>
                <w:spacing w:val="0"/>
                <w:position w:val="0"/>
                <w:sz w:val="24"/>
                <w:szCs w:val="24"/>
                <w:highlight w:val="none"/>
                <w:lang w:val="en-US" w:eastAsia="zh-CN"/>
              </w:rPr>
              <w:t>满足</w:t>
            </w:r>
            <w:r>
              <w:rPr>
                <w:rFonts w:hint="default" w:ascii="Times New Roman" w:hAnsi="Times New Roman" w:cs="Times New Roman"/>
                <w:caps w:val="0"/>
                <w:color w:val="auto"/>
                <w:spacing w:val="0"/>
                <w:position w:val="0"/>
                <w:highlight w:val="none"/>
                <w:lang w:val="en-US" w:eastAsia="zh-CN"/>
              </w:rPr>
              <w:t>《公路路基工程利用锂渣技术规范（试行）》（DB36/T1968-2024）表1</w:t>
            </w:r>
            <w:r>
              <w:rPr>
                <w:rFonts w:hint="default" w:ascii="Times New Roman" w:hAnsi="Times New Roman" w:eastAsia="宋体" w:cs="Times New Roman"/>
                <w:b w:val="0"/>
                <w:bCs/>
                <w:caps w:val="0"/>
                <w:smallCaps w:val="0"/>
                <w:color w:val="auto"/>
                <w:spacing w:val="0"/>
                <w:position w:val="0"/>
                <w:sz w:val="24"/>
                <w:szCs w:val="24"/>
                <w:highlight w:val="none"/>
                <w:lang w:val="en-US" w:eastAsia="zh-CN"/>
              </w:rPr>
              <w:t>控制要求。</w:t>
            </w:r>
          </w:p>
          <w:p w14:paraId="714166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caps w:val="0"/>
                <w:smallCaps w:val="0"/>
                <w:color w:val="auto"/>
                <w:spacing w:val="0"/>
                <w:position w:val="0"/>
                <w:sz w:val="24"/>
                <w:szCs w:val="24"/>
                <w:highlight w:val="none"/>
                <w:lang w:val="en-US" w:eastAsia="zh-CN"/>
              </w:rPr>
            </w:pPr>
            <w:bookmarkStart w:id="10" w:name="_Toc22803"/>
            <w:bookmarkStart w:id="11" w:name="_Toc19110"/>
            <w:r>
              <w:rPr>
                <w:rFonts w:hint="default" w:ascii="Times New Roman" w:hAnsi="Times New Roman" w:cs="Times New Roman"/>
                <w:b/>
                <w:bCs/>
                <w:caps w:val="0"/>
                <w:smallCaps w:val="0"/>
                <w:color w:val="auto"/>
                <w:spacing w:val="0"/>
                <w:position w:val="0"/>
                <w:sz w:val="24"/>
                <w:szCs w:val="24"/>
                <w:highlight w:val="none"/>
                <w:lang w:val="en-US" w:eastAsia="zh-CN"/>
              </w:rPr>
              <w:t>（2）</w:t>
            </w:r>
            <w:r>
              <w:rPr>
                <w:rFonts w:hint="default" w:ascii="Times New Roman" w:hAnsi="Times New Roman" w:eastAsia="宋体" w:cs="Times New Roman"/>
                <w:b/>
                <w:bCs/>
                <w:caps w:val="0"/>
                <w:smallCaps w:val="0"/>
                <w:color w:val="auto"/>
                <w:spacing w:val="0"/>
                <w:position w:val="0"/>
                <w:sz w:val="24"/>
                <w:szCs w:val="24"/>
                <w:highlight w:val="none"/>
                <w:lang w:val="en-US" w:eastAsia="zh-CN"/>
              </w:rPr>
              <w:t>原料</w:t>
            </w:r>
            <w:bookmarkEnd w:id="10"/>
            <w:bookmarkEnd w:id="11"/>
            <w:r>
              <w:rPr>
                <w:rFonts w:hint="default" w:ascii="Times New Roman" w:hAnsi="Times New Roman" w:eastAsia="宋体" w:cs="Times New Roman"/>
                <w:b/>
                <w:bCs/>
                <w:caps w:val="0"/>
                <w:smallCaps w:val="0"/>
                <w:color w:val="auto"/>
                <w:spacing w:val="0"/>
                <w:position w:val="0"/>
                <w:sz w:val="24"/>
                <w:szCs w:val="24"/>
                <w:highlight w:val="none"/>
                <w:lang w:val="en-US" w:eastAsia="zh-CN"/>
              </w:rPr>
              <w:t>供应稳定性</w:t>
            </w:r>
          </w:p>
          <w:p w14:paraId="203D08E7">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default" w:ascii="Times New Roman" w:hAnsi="Times New Roman" w:cs="Times New Roman"/>
                <w:caps w:val="0"/>
                <w:color w:val="auto"/>
                <w:spacing w:val="0"/>
                <w:position w:val="0"/>
                <w:highlight w:val="none"/>
                <w:lang w:val="en-US" w:eastAsia="zh-CN"/>
              </w:rPr>
              <w:t>本</w:t>
            </w:r>
            <w:r>
              <w:rPr>
                <w:rFonts w:hint="default" w:ascii="Times New Roman" w:hAnsi="Times New Roman" w:eastAsia="宋体" w:cs="Times New Roman"/>
                <w:caps w:val="0"/>
                <w:color w:val="auto"/>
                <w:spacing w:val="0"/>
                <w:kern w:val="0"/>
                <w:position w:val="0"/>
                <w:sz w:val="24"/>
                <w:szCs w:val="24"/>
                <w:highlight w:val="none"/>
                <w:lang w:val="en-US" w:eastAsia="zh-CN" w:bidi="ar"/>
              </w:rPr>
              <w:t>项目使用锂冶炼剩余物来源于</w:t>
            </w:r>
            <w:r>
              <w:rPr>
                <w:rFonts w:hint="default" w:ascii="Times New Roman" w:hAnsi="Times New Roman" w:eastAsia="宋体" w:cs="Times New Roman"/>
                <w:caps w:val="0"/>
                <w:color w:val="auto"/>
                <w:spacing w:val="0"/>
                <w:position w:val="0"/>
                <w:sz w:val="24"/>
                <w:highlight w:val="none"/>
                <w:lang w:val="en-US" w:eastAsia="zh-CN"/>
              </w:rPr>
              <w:t>江西研硕科技研发有限公司利用江西永兴特钢新能源科技有限公司等企业浸出渣二次提锂后产生的水洗渣</w:t>
            </w:r>
            <w:r>
              <w:rPr>
                <w:rFonts w:hint="eastAsia" w:ascii="Times New Roman" w:hAnsi="Times New Roman" w:eastAsia="宋体" w:cs="Times New Roman"/>
                <w:caps w:val="0"/>
                <w:color w:val="auto"/>
                <w:spacing w:val="0"/>
                <w:position w:val="0"/>
                <w:sz w:val="24"/>
                <w:highlight w:val="none"/>
                <w:lang w:val="en-US" w:eastAsia="zh-CN"/>
              </w:rPr>
              <w:t>，</w:t>
            </w:r>
            <w:r>
              <w:rPr>
                <w:rFonts w:hint="eastAsia" w:ascii="Times New Roman" w:hAnsi="Times New Roman" w:eastAsia="宋体" w:cs="Times New Roman"/>
                <w:b w:val="0"/>
                <w:bCs w:val="0"/>
                <w:caps w:val="0"/>
                <w:color w:val="auto"/>
                <w:spacing w:val="0"/>
                <w:kern w:val="0"/>
                <w:position w:val="0"/>
                <w:sz w:val="24"/>
                <w:szCs w:val="24"/>
                <w:highlight w:val="none"/>
                <w:lang w:val="en-US" w:eastAsia="zh-CN"/>
              </w:rPr>
              <w:t>根据《</w:t>
            </w:r>
            <w:r>
              <w:rPr>
                <w:rFonts w:hint="eastAsia"/>
                <w:caps w:val="0"/>
                <w:color w:val="auto"/>
                <w:spacing w:val="0"/>
                <w:position w:val="0"/>
                <w:sz w:val="24"/>
                <w:highlight w:val="none"/>
                <w:lang w:eastAsia="zh-CN"/>
              </w:rPr>
              <w:t>江西研硕科技研发有限公司年50万吨锂冶炼剩余物清洁化利用项目（重大变动）</w:t>
            </w:r>
            <w:r>
              <w:rPr>
                <w:rFonts w:hint="eastAsia"/>
                <w:caps w:val="0"/>
                <w:color w:val="auto"/>
                <w:spacing w:val="0"/>
                <w:position w:val="0"/>
                <w:sz w:val="24"/>
                <w:highlight w:val="none"/>
                <w:lang w:val="en-US" w:eastAsia="zh-CN"/>
              </w:rPr>
              <w:t>环境影响报告书》及其批复（高环评字〔2025〕，</w:t>
            </w:r>
            <w:r>
              <w:rPr>
                <w:rFonts w:hint="default" w:ascii="Times New Roman" w:hAnsi="Times New Roman" w:eastAsia="宋体" w:cs="Times New Roman"/>
                <w:caps w:val="0"/>
                <w:color w:val="auto"/>
                <w:spacing w:val="0"/>
                <w:position w:val="0"/>
                <w:sz w:val="24"/>
                <w:highlight w:val="none"/>
                <w:lang w:val="en-US" w:eastAsia="zh-CN"/>
              </w:rPr>
              <w:t>江西研硕科技研发有限公司</w:t>
            </w:r>
            <w:r>
              <w:rPr>
                <w:rFonts w:hint="eastAsia" w:cs="Times New Roman"/>
                <w:caps w:val="0"/>
                <w:color w:val="auto"/>
                <w:spacing w:val="0"/>
                <w:position w:val="0"/>
                <w:sz w:val="24"/>
                <w:highlight w:val="none"/>
                <w:lang w:val="en-US" w:eastAsia="zh-CN"/>
              </w:rPr>
              <w:t>水洗渣产量</w:t>
            </w:r>
            <w:r>
              <w:rPr>
                <w:rFonts w:hint="default" w:ascii="Times New Roman" w:hAnsi="Times New Roman" w:eastAsia="宋体" w:cs="Times New Roman"/>
                <w:caps w:val="0"/>
                <w:color w:val="auto"/>
                <w:spacing w:val="0"/>
                <w:position w:val="0"/>
                <w:sz w:val="24"/>
                <w:highlight w:val="none"/>
                <w:lang w:val="en-US" w:eastAsia="zh-CN"/>
              </w:rPr>
              <w:t>500000t/a</w:t>
            </w:r>
            <w:r>
              <w:rPr>
                <w:rFonts w:hint="eastAsia" w:cs="Times New Roman"/>
                <w:caps w:val="0"/>
                <w:color w:val="auto"/>
                <w:spacing w:val="0"/>
                <w:position w:val="0"/>
                <w:sz w:val="24"/>
                <w:highlight w:val="none"/>
                <w:lang w:val="en-US" w:eastAsia="zh-CN"/>
              </w:rPr>
              <w:t>，</w:t>
            </w:r>
            <w:r>
              <w:rPr>
                <w:rFonts w:hint="default" w:ascii="Times New Roman" w:hAnsi="Times New Roman" w:eastAsia="宋体" w:cs="Times New Roman"/>
                <w:caps w:val="0"/>
                <w:color w:val="auto"/>
                <w:spacing w:val="0"/>
                <w:position w:val="0"/>
                <w:sz w:val="24"/>
                <w:highlight w:val="none"/>
                <w:lang w:val="en-US" w:eastAsia="zh-CN"/>
              </w:rPr>
              <w:t>本项目从其中外购</w:t>
            </w:r>
            <w:r>
              <w:rPr>
                <w:rFonts w:hint="eastAsia" w:ascii="Times New Roman" w:hAnsi="Times New Roman" w:eastAsia="宋体" w:cs="Times New Roman"/>
                <w:caps w:val="0"/>
                <w:color w:val="auto"/>
                <w:spacing w:val="0"/>
                <w:position w:val="0"/>
                <w:sz w:val="24"/>
                <w:highlight w:val="none"/>
                <w:lang w:val="en-US" w:eastAsia="zh-CN"/>
              </w:rPr>
              <w:t>二次提锂后的水洗渣</w:t>
            </w:r>
            <w:r>
              <w:rPr>
                <w:rFonts w:hint="eastAsia" w:cs="Times New Roman"/>
                <w:caps w:val="0"/>
                <w:color w:val="auto"/>
                <w:spacing w:val="0"/>
                <w:position w:val="0"/>
                <w:sz w:val="24"/>
                <w:highlight w:val="none"/>
                <w:lang w:val="en-US" w:eastAsia="zh-CN"/>
              </w:rPr>
              <w:t>14</w:t>
            </w:r>
            <w:r>
              <w:rPr>
                <w:rFonts w:hint="default" w:ascii="Times New Roman" w:hAnsi="Times New Roman" w:eastAsia="宋体" w:cs="Times New Roman"/>
                <w:caps w:val="0"/>
                <w:color w:val="auto"/>
                <w:spacing w:val="0"/>
                <w:position w:val="0"/>
                <w:sz w:val="24"/>
                <w:highlight w:val="none"/>
                <w:lang w:val="en-US" w:eastAsia="zh-CN"/>
              </w:rPr>
              <w:t>0000t/a，产生量大于本项目处理量，原料来源具有稳定性</w:t>
            </w:r>
            <w:r>
              <w:rPr>
                <w:rFonts w:hint="eastAsia"/>
                <w:caps w:val="0"/>
                <w:color w:val="auto"/>
                <w:spacing w:val="0"/>
                <w:position w:val="0"/>
                <w:highlight w:val="none"/>
                <w:lang w:eastAsia="zh-CN"/>
              </w:rPr>
              <w:t>。</w:t>
            </w:r>
          </w:p>
          <w:p w14:paraId="2FAB0D13">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b/>
                <w:bCs w:val="0"/>
                <w:caps w:val="0"/>
                <w:color w:val="auto"/>
                <w:spacing w:val="0"/>
                <w:position w:val="0"/>
                <w:highlight w:val="none"/>
                <w:lang w:val="en-US" w:eastAsia="zh-CN"/>
              </w:rPr>
              <w:t>（3）环境监管措施</w:t>
            </w:r>
          </w:p>
          <w:p w14:paraId="762F1393">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锂冶炼剩余物在起运前，供需双方需约定好共同认可的第三方检验检测机构，出具权威、合法的检验报告。本项目使用的锂冶炼剩余物需满足《公路路基工程利用锂渣技术规范（试行）》（DB36/T1968-2024）表1改性锂冶炼剩余物浸出液污染物浓度限值要求，入厂时，需提供检测报告，不满足要求的不予接收。</w:t>
            </w:r>
          </w:p>
          <w:p w14:paraId="6888C608">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对每批次入厂锂冶炼剩余物进行抽运检测，重点检测氟、铊、铍浸出浓度，若超出DB36/T1968限值要求，不得入厂。</w:t>
            </w:r>
          </w:p>
          <w:p w14:paraId="622CD4AE">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检验报告需完整存档备案，锂冶炼剩余物进出台账需如实如期填写保存，定期接受相关管理部门的督查。</w:t>
            </w:r>
          </w:p>
          <w:p w14:paraId="2EA94323">
            <w:pPr>
              <w:pStyle w:val="74"/>
              <w:keepNext w:val="0"/>
              <w:keepLines w:val="0"/>
              <w:suppressLineNumbers w:val="0"/>
              <w:bidi w:val="0"/>
              <w:spacing w:before="0" w:beforeAutospacing="0" w:after="0" w:afterAutospacing="0"/>
              <w:ind w:left="0" w:right="0"/>
              <w:rPr>
                <w:rFonts w:hint="default" w:ascii="Times New Roman" w:hAnsi="Times New Roman" w:cs="Times New Roman"/>
                <w:b/>
                <w:bCs w:val="0"/>
                <w:caps w:val="0"/>
                <w:color w:val="auto"/>
                <w:spacing w:val="0"/>
                <w:position w:val="0"/>
                <w:highlight w:val="none"/>
                <w:lang w:val="en-US" w:eastAsia="zh-CN"/>
              </w:rPr>
            </w:pPr>
            <w:r>
              <w:rPr>
                <w:rFonts w:hint="default" w:ascii="Times New Roman" w:hAnsi="Times New Roman" w:cs="Times New Roman"/>
                <w:b/>
                <w:bCs w:val="0"/>
                <w:caps w:val="0"/>
                <w:color w:val="auto"/>
                <w:spacing w:val="0"/>
                <w:position w:val="0"/>
                <w:highlight w:val="none"/>
                <w:lang w:val="en-US" w:eastAsia="zh-CN"/>
              </w:rPr>
              <w:t>（4）本项目产品出厂控制要求</w:t>
            </w:r>
          </w:p>
          <w:p w14:paraId="2229EB9A">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①将上述产品污染物控制限值纳入产品合格监测内容；</w:t>
            </w:r>
          </w:p>
          <w:p w14:paraId="28540B66">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②每批次产品均进行抽样监测，监测结果不合格，产品不得出厂；不合格产品进入锂冶炼剩余物填埋场填埋，不得流入市场。</w:t>
            </w:r>
          </w:p>
          <w:p w14:paraId="78D02190">
            <w:pPr>
              <w:pStyle w:val="74"/>
              <w:keepNext w:val="0"/>
              <w:keepLines w:val="0"/>
              <w:suppressLineNumbers w:val="0"/>
              <w:bidi w:val="0"/>
              <w:spacing w:before="0" w:beforeAutospacing="0" w:after="0" w:afterAutospacing="0"/>
              <w:ind w:left="0" w:right="0"/>
              <w:rPr>
                <w:rFonts w:hint="default" w:ascii="Times New Roman" w:hAnsi="Times New Roman" w:cs="Times New Roman"/>
                <w:b/>
                <w:bCs w:val="0"/>
                <w:caps w:val="0"/>
                <w:color w:val="auto"/>
                <w:spacing w:val="0"/>
                <w:position w:val="0"/>
                <w:highlight w:val="none"/>
              </w:rPr>
            </w:pPr>
            <w:r>
              <w:rPr>
                <w:rFonts w:hint="default" w:ascii="Times New Roman" w:hAnsi="Times New Roman" w:cs="Times New Roman"/>
                <w:b/>
                <w:bCs w:val="0"/>
                <w:caps w:val="0"/>
                <w:color w:val="auto"/>
                <w:spacing w:val="0"/>
                <w:position w:val="0"/>
                <w:highlight w:val="none"/>
                <w:lang w:val="en-US" w:eastAsia="zh-CN"/>
              </w:rPr>
              <w:t>7</w:t>
            </w:r>
            <w:r>
              <w:rPr>
                <w:rFonts w:hint="default" w:ascii="Times New Roman" w:hAnsi="Times New Roman" w:cs="Times New Roman"/>
                <w:b/>
                <w:bCs w:val="0"/>
                <w:caps w:val="0"/>
                <w:color w:val="auto"/>
                <w:spacing w:val="0"/>
                <w:position w:val="0"/>
                <w:highlight w:val="none"/>
              </w:rPr>
              <w:t>、项目劳动定员及工作制度</w:t>
            </w:r>
          </w:p>
          <w:p w14:paraId="4D5B32B9">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项目劳动定员为</w:t>
            </w:r>
            <w:r>
              <w:rPr>
                <w:rFonts w:hint="default" w:ascii="Times New Roman" w:hAnsi="Times New Roman" w:cs="Times New Roman"/>
                <w:caps w:val="0"/>
                <w:color w:val="auto"/>
                <w:spacing w:val="0"/>
                <w:position w:val="0"/>
                <w:highlight w:val="none"/>
                <w:lang w:val="en-US" w:eastAsia="zh-CN"/>
              </w:rPr>
              <w:t>20</w:t>
            </w:r>
            <w:r>
              <w:rPr>
                <w:rFonts w:hint="default" w:ascii="Times New Roman" w:hAnsi="Times New Roman" w:cs="Times New Roman"/>
                <w:caps w:val="0"/>
                <w:color w:val="auto"/>
                <w:spacing w:val="0"/>
                <w:position w:val="0"/>
                <w:highlight w:val="none"/>
              </w:rPr>
              <w:t>人，年工作3</w:t>
            </w:r>
            <w:r>
              <w:rPr>
                <w:rFonts w:hint="default" w:ascii="Times New Roman" w:hAnsi="Times New Roman" w:cs="Times New Roman"/>
                <w:caps w:val="0"/>
                <w:color w:val="auto"/>
                <w:spacing w:val="0"/>
                <w:position w:val="0"/>
                <w:highlight w:val="none"/>
                <w:lang w:val="en-US" w:eastAsia="zh-CN"/>
              </w:rPr>
              <w:t>0</w:t>
            </w:r>
            <w:r>
              <w:rPr>
                <w:rFonts w:hint="default" w:ascii="Times New Roman" w:hAnsi="Times New Roman" w:cs="Times New Roman"/>
                <w:caps w:val="0"/>
                <w:color w:val="auto"/>
                <w:spacing w:val="0"/>
                <w:position w:val="0"/>
                <w:highlight w:val="none"/>
              </w:rPr>
              <w:t>0d</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rPr>
              <w:t>采用</w:t>
            </w:r>
            <w:r>
              <w:rPr>
                <w:rFonts w:hint="eastAsia" w:cs="Times New Roman"/>
                <w:caps w:val="0"/>
                <w:color w:val="auto"/>
                <w:spacing w:val="0"/>
                <w:position w:val="0"/>
                <w:highlight w:val="none"/>
                <w:lang w:val="en-US" w:eastAsia="zh-CN"/>
              </w:rPr>
              <w:t>2</w:t>
            </w:r>
            <w:r>
              <w:rPr>
                <w:rFonts w:hint="default" w:ascii="Times New Roman" w:hAnsi="Times New Roman" w:cs="Times New Roman"/>
                <w:caps w:val="0"/>
                <w:color w:val="auto"/>
                <w:spacing w:val="0"/>
                <w:position w:val="0"/>
                <w:highlight w:val="none"/>
              </w:rPr>
              <w:t>班制，每班</w:t>
            </w:r>
            <w:r>
              <w:rPr>
                <w:rFonts w:hint="eastAsia" w:cs="Times New Roman"/>
                <w:caps w:val="0"/>
                <w:color w:val="auto"/>
                <w:spacing w:val="0"/>
                <w:position w:val="0"/>
                <w:highlight w:val="none"/>
                <w:lang w:val="en-US" w:eastAsia="zh-CN"/>
              </w:rPr>
              <w:t>8</w:t>
            </w:r>
            <w:r>
              <w:rPr>
                <w:rFonts w:hint="default" w:ascii="Times New Roman" w:hAnsi="Times New Roman" w:cs="Times New Roman"/>
                <w:caps w:val="0"/>
                <w:color w:val="auto"/>
                <w:spacing w:val="0"/>
                <w:position w:val="0"/>
                <w:highlight w:val="none"/>
              </w:rPr>
              <w:t>h，年工作</w:t>
            </w:r>
            <w:r>
              <w:rPr>
                <w:rFonts w:hint="eastAsia" w:cs="Times New Roman"/>
                <w:caps w:val="0"/>
                <w:color w:val="auto"/>
                <w:spacing w:val="0"/>
                <w:position w:val="0"/>
                <w:highlight w:val="none"/>
                <w:lang w:val="en-US" w:eastAsia="zh-CN"/>
              </w:rPr>
              <w:t>48</w:t>
            </w:r>
            <w:r>
              <w:rPr>
                <w:rFonts w:hint="default" w:ascii="Times New Roman" w:hAnsi="Times New Roman" w:cs="Times New Roman"/>
                <w:caps w:val="0"/>
                <w:color w:val="auto"/>
                <w:spacing w:val="0"/>
                <w:position w:val="0"/>
                <w:highlight w:val="none"/>
                <w:lang w:val="en-US" w:eastAsia="zh-CN"/>
              </w:rPr>
              <w:t>00</w:t>
            </w:r>
            <w:r>
              <w:rPr>
                <w:rFonts w:hint="default" w:ascii="Times New Roman" w:hAnsi="Times New Roman" w:cs="Times New Roman"/>
                <w:caps w:val="0"/>
                <w:color w:val="auto"/>
                <w:spacing w:val="0"/>
                <w:position w:val="0"/>
                <w:highlight w:val="none"/>
              </w:rPr>
              <w:t>h。</w:t>
            </w:r>
            <w:r>
              <w:rPr>
                <w:rFonts w:hint="eastAsia" w:cs="Times New Roman"/>
                <w:caps w:val="0"/>
                <w:color w:val="auto"/>
                <w:spacing w:val="0"/>
                <w:position w:val="0"/>
                <w:highlight w:val="none"/>
                <w:lang w:val="en-US" w:eastAsia="zh-CN"/>
              </w:rPr>
              <w:t>不</w:t>
            </w:r>
            <w:r>
              <w:rPr>
                <w:rFonts w:hint="default" w:ascii="Times New Roman" w:hAnsi="Times New Roman" w:cs="Times New Roman"/>
                <w:caps w:val="0"/>
                <w:color w:val="auto"/>
                <w:spacing w:val="0"/>
                <w:position w:val="0"/>
                <w:highlight w:val="none"/>
                <w:lang w:val="en-US" w:eastAsia="zh-CN"/>
              </w:rPr>
              <w:t>包食宿</w:t>
            </w:r>
            <w:r>
              <w:rPr>
                <w:rFonts w:hint="default" w:ascii="Times New Roman" w:hAnsi="Times New Roman" w:cs="Times New Roman"/>
                <w:caps w:val="0"/>
                <w:color w:val="auto"/>
                <w:spacing w:val="0"/>
                <w:position w:val="0"/>
                <w:highlight w:val="none"/>
              </w:rPr>
              <w:t>。</w:t>
            </w:r>
          </w:p>
          <w:p w14:paraId="0BBBF0EC">
            <w:pPr>
              <w:pStyle w:val="74"/>
              <w:keepNext w:val="0"/>
              <w:keepLines w:val="0"/>
              <w:suppressLineNumbers w:val="0"/>
              <w:bidi w:val="0"/>
              <w:spacing w:before="0" w:beforeAutospacing="0" w:after="0" w:afterAutospacing="0"/>
              <w:ind w:left="0" w:right="0"/>
              <w:rPr>
                <w:rFonts w:hint="default" w:ascii="Times New Roman" w:hAnsi="Times New Roman" w:cs="Times New Roman"/>
                <w:b/>
                <w:bCs w:val="0"/>
                <w:caps w:val="0"/>
                <w:color w:val="auto"/>
                <w:spacing w:val="0"/>
                <w:position w:val="0"/>
                <w:highlight w:val="none"/>
              </w:rPr>
            </w:pPr>
            <w:r>
              <w:rPr>
                <w:rFonts w:hint="default" w:ascii="Times New Roman" w:hAnsi="Times New Roman" w:cs="Times New Roman"/>
                <w:b/>
                <w:bCs w:val="0"/>
                <w:caps w:val="0"/>
                <w:color w:val="auto"/>
                <w:spacing w:val="0"/>
                <w:position w:val="0"/>
                <w:highlight w:val="none"/>
                <w:lang w:val="en-US" w:eastAsia="zh-CN"/>
              </w:rPr>
              <w:t>8</w:t>
            </w:r>
            <w:r>
              <w:rPr>
                <w:rFonts w:hint="default" w:ascii="Times New Roman" w:hAnsi="Times New Roman" w:cs="Times New Roman"/>
                <w:b/>
                <w:bCs w:val="0"/>
                <w:caps w:val="0"/>
                <w:color w:val="auto"/>
                <w:spacing w:val="0"/>
                <w:position w:val="0"/>
                <w:highlight w:val="none"/>
              </w:rPr>
              <w:t>、公用工程</w:t>
            </w:r>
          </w:p>
          <w:p w14:paraId="53E423CC">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（1）给水</w:t>
            </w:r>
          </w:p>
          <w:p w14:paraId="1B0E4BF7">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本项目</w:t>
            </w:r>
            <w:r>
              <w:rPr>
                <w:rFonts w:hint="default" w:ascii="Times New Roman" w:hAnsi="Times New Roman" w:cs="Times New Roman"/>
                <w:caps w:val="0"/>
                <w:color w:val="auto"/>
                <w:spacing w:val="0"/>
                <w:position w:val="0"/>
                <w:highlight w:val="none"/>
                <w:lang w:val="en-US" w:eastAsia="zh-CN"/>
              </w:rPr>
              <w:t>位于</w:t>
            </w:r>
            <w:r>
              <w:rPr>
                <w:rFonts w:hint="eastAsia" w:cs="Times New Roman"/>
                <w:caps w:val="0"/>
                <w:color w:val="auto"/>
                <w:spacing w:val="0"/>
                <w:position w:val="0"/>
                <w:highlight w:val="none"/>
                <w:lang w:val="en-US" w:eastAsia="zh-CN"/>
              </w:rPr>
              <w:t>高安市建山镇</w:t>
            </w:r>
            <w:r>
              <w:rPr>
                <w:rFonts w:hint="default" w:ascii="Times New Roman" w:hAnsi="Times New Roman" w:cs="Times New Roman"/>
                <w:caps w:val="0"/>
                <w:color w:val="auto"/>
                <w:spacing w:val="0"/>
                <w:position w:val="0"/>
                <w:highlight w:val="none"/>
                <w:lang w:val="en-US" w:eastAsia="zh-CN"/>
              </w:rPr>
              <w:t>内，</w:t>
            </w:r>
            <w:r>
              <w:rPr>
                <w:rFonts w:hint="default" w:ascii="Times New Roman" w:hAnsi="Times New Roman" w:cs="Times New Roman"/>
                <w:caps w:val="0"/>
                <w:color w:val="auto"/>
                <w:spacing w:val="0"/>
                <w:position w:val="0"/>
                <w:highlight w:val="none"/>
              </w:rPr>
              <w:t>用水由</w:t>
            </w:r>
            <w:r>
              <w:rPr>
                <w:rFonts w:hint="eastAsia" w:cs="Times New Roman"/>
                <w:b w:val="0"/>
                <w:bCs w:val="0"/>
                <w:caps w:val="0"/>
                <w:color w:val="auto"/>
                <w:spacing w:val="0"/>
                <w:position w:val="0"/>
                <w:sz w:val="24"/>
                <w:szCs w:val="32"/>
                <w:highlight w:val="none"/>
                <w:lang w:val="en-US" w:eastAsia="zh-CN"/>
              </w:rPr>
              <w:t>市镇</w:t>
            </w:r>
            <w:r>
              <w:rPr>
                <w:rFonts w:hint="default" w:ascii="Times New Roman" w:hAnsi="Times New Roman" w:eastAsia="宋体" w:cs="Times New Roman"/>
                <w:b w:val="0"/>
                <w:bCs w:val="0"/>
                <w:caps w:val="0"/>
                <w:color w:val="auto"/>
                <w:spacing w:val="0"/>
                <w:position w:val="0"/>
                <w:sz w:val="24"/>
                <w:szCs w:val="32"/>
                <w:highlight w:val="none"/>
                <w:lang w:val="en-US" w:eastAsia="zh-CN"/>
              </w:rPr>
              <w:t>供水管网</w:t>
            </w:r>
            <w:r>
              <w:rPr>
                <w:rFonts w:hint="default" w:ascii="Times New Roman" w:hAnsi="Times New Roman" w:cs="Times New Roman"/>
                <w:caps w:val="0"/>
                <w:color w:val="auto"/>
                <w:spacing w:val="0"/>
                <w:position w:val="0"/>
                <w:highlight w:val="none"/>
              </w:rPr>
              <w:t>统一供给，用水包括生活用水</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lang w:val="en-US" w:eastAsia="zh-CN"/>
              </w:rPr>
              <w:t>搅拌用水、</w:t>
            </w:r>
            <w:r>
              <w:rPr>
                <w:rFonts w:hint="default" w:ascii="Times New Roman" w:hAnsi="Times New Roman" w:cs="Times New Roman"/>
                <w:caps w:val="0"/>
                <w:color w:val="auto"/>
                <w:spacing w:val="0"/>
                <w:position w:val="0"/>
                <w:highlight w:val="none"/>
              </w:rPr>
              <w:t>洗车</w:t>
            </w:r>
            <w:r>
              <w:rPr>
                <w:rFonts w:hint="default" w:ascii="Times New Roman" w:hAnsi="Times New Roman" w:cs="Times New Roman"/>
                <w:caps w:val="0"/>
                <w:color w:val="auto"/>
                <w:spacing w:val="0"/>
                <w:position w:val="0"/>
                <w:highlight w:val="none"/>
                <w:lang w:val="en-US" w:eastAsia="zh-CN"/>
              </w:rPr>
              <w:t>用</w:t>
            </w:r>
            <w:r>
              <w:rPr>
                <w:rFonts w:hint="default" w:ascii="Times New Roman" w:hAnsi="Times New Roman" w:cs="Times New Roman"/>
                <w:caps w:val="0"/>
                <w:color w:val="auto"/>
                <w:spacing w:val="0"/>
                <w:position w:val="0"/>
                <w:highlight w:val="none"/>
              </w:rPr>
              <w:t>水</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lang w:val="en-US" w:eastAsia="zh-CN"/>
              </w:rPr>
              <w:t>设备</w:t>
            </w:r>
            <w:r>
              <w:rPr>
                <w:rFonts w:hint="default" w:ascii="Times New Roman" w:hAnsi="Times New Roman" w:eastAsia="宋体" w:cs="Times New Roman"/>
                <w:caps w:val="0"/>
                <w:color w:val="auto"/>
                <w:spacing w:val="0"/>
                <w:position w:val="0"/>
                <w:highlight w:val="none"/>
                <w:lang w:val="en-US" w:eastAsia="zh-CN"/>
              </w:rPr>
              <w:t>清洗用水、</w:t>
            </w:r>
            <w:r>
              <w:rPr>
                <w:rFonts w:hint="default" w:ascii="Times New Roman" w:hAnsi="Times New Roman" w:cs="Times New Roman"/>
                <w:caps w:val="0"/>
                <w:color w:val="auto"/>
                <w:spacing w:val="0"/>
                <w:position w:val="0"/>
                <w:highlight w:val="none"/>
                <w:lang w:val="en-US" w:eastAsia="zh-CN"/>
              </w:rPr>
              <w:t>降尘</w:t>
            </w:r>
            <w:r>
              <w:rPr>
                <w:rFonts w:hint="default" w:ascii="Times New Roman" w:hAnsi="Times New Roman" w:eastAsia="宋体" w:cs="Times New Roman"/>
                <w:caps w:val="0"/>
                <w:color w:val="auto"/>
                <w:spacing w:val="0"/>
                <w:position w:val="0"/>
                <w:highlight w:val="none"/>
                <w:lang w:val="en-US" w:eastAsia="zh-CN"/>
              </w:rPr>
              <w:t>用水</w:t>
            </w:r>
            <w:r>
              <w:rPr>
                <w:rFonts w:hint="default" w:ascii="Times New Roman" w:hAnsi="Times New Roman" w:cs="Times New Roman"/>
                <w:caps w:val="0"/>
                <w:color w:val="auto"/>
                <w:spacing w:val="0"/>
                <w:position w:val="0"/>
                <w:highlight w:val="none"/>
                <w:lang w:val="en-US" w:eastAsia="zh-CN"/>
              </w:rPr>
              <w:t>和养护用水</w:t>
            </w:r>
            <w:r>
              <w:rPr>
                <w:rFonts w:hint="default" w:ascii="Times New Roman" w:hAnsi="Times New Roman" w:cs="Times New Roman"/>
                <w:caps w:val="0"/>
                <w:color w:val="auto"/>
                <w:spacing w:val="0"/>
                <w:position w:val="0"/>
                <w:highlight w:val="none"/>
              </w:rPr>
              <w:t>。</w:t>
            </w:r>
            <w:r>
              <w:rPr>
                <w:rFonts w:hint="default" w:ascii="Times New Roman" w:hAnsi="Times New Roman" w:eastAsia="宋体" w:cs="Times New Roman"/>
                <w:bCs/>
                <w:caps w:val="0"/>
                <w:color w:val="auto"/>
                <w:spacing w:val="0"/>
                <w:position w:val="0"/>
                <w:sz w:val="24"/>
                <w:highlight w:val="none"/>
                <w:lang w:val="en-US" w:eastAsia="zh-CN"/>
              </w:rPr>
              <w:t>地面采用吸尘车清扫，不产生地面清洗废水。</w:t>
            </w:r>
          </w:p>
          <w:p w14:paraId="36E26C0E">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eastAsia="zh-CN"/>
              </w:rPr>
              <w:t>①</w:t>
            </w:r>
            <w:r>
              <w:rPr>
                <w:rFonts w:hint="default" w:ascii="Times New Roman" w:hAnsi="Times New Roman" w:cs="Times New Roman"/>
                <w:caps w:val="0"/>
                <w:color w:val="auto"/>
                <w:spacing w:val="0"/>
                <w:position w:val="0"/>
                <w:highlight w:val="none"/>
                <w:lang w:val="en-US" w:eastAsia="zh-CN"/>
              </w:rPr>
              <w:t>搅拌用水</w:t>
            </w:r>
          </w:p>
          <w:p w14:paraId="103D956C">
            <w:pPr>
              <w:keepNext w:val="0"/>
              <w:keepLines w:val="0"/>
              <w:widowControl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aps w:val="0"/>
                <w:color w:val="auto"/>
                <w:spacing w:val="0"/>
                <w:position w:val="0"/>
                <w:sz w:val="24"/>
                <w:szCs w:val="24"/>
                <w:highlight w:val="none"/>
              </w:rPr>
            </w:pPr>
            <w:r>
              <w:rPr>
                <w:rStyle w:val="89"/>
                <w:rFonts w:hint="default" w:ascii="Times New Roman" w:hAnsi="Times New Roman" w:eastAsia="宋体" w:cs="Times New Roman"/>
                <w:caps w:val="0"/>
                <w:color w:val="auto"/>
                <w:spacing w:val="0"/>
                <w:position w:val="0"/>
                <w:sz w:val="24"/>
                <w:szCs w:val="24"/>
                <w:highlight w:val="none"/>
                <w:lang w:val="en-US" w:eastAsia="zh-CN"/>
              </w:rPr>
              <w:t>根据业主提供资料，发泡砖搅拌时需添加一定的水量对混合物料进行适度的湿度调节</w:t>
            </w:r>
            <w:r>
              <w:rPr>
                <w:rStyle w:val="89"/>
                <w:rFonts w:hint="default" w:ascii="Times New Roman" w:hAnsi="Times New Roman" w:eastAsia="宋体" w:cs="Times New Roman"/>
                <w:caps w:val="0"/>
                <w:color w:val="auto"/>
                <w:spacing w:val="0"/>
                <w:position w:val="0"/>
                <w:sz w:val="24"/>
                <w:szCs w:val="24"/>
                <w:highlight w:val="none"/>
              </w:rPr>
              <w:t>。根据企业提供资料，</w:t>
            </w:r>
            <w:r>
              <w:rPr>
                <w:rStyle w:val="89"/>
                <w:rFonts w:hint="default" w:ascii="Times New Roman" w:hAnsi="Times New Roman" w:eastAsia="宋体" w:cs="Times New Roman"/>
                <w:caps w:val="0"/>
                <w:color w:val="auto"/>
                <w:spacing w:val="0"/>
                <w:position w:val="0"/>
                <w:sz w:val="24"/>
                <w:szCs w:val="24"/>
                <w:highlight w:val="none"/>
                <w:lang w:val="en-US" w:eastAsia="zh-CN"/>
              </w:rPr>
              <w:t>发泡砖添加水量</w:t>
            </w:r>
            <w:r>
              <w:rPr>
                <w:rStyle w:val="89"/>
                <w:rFonts w:hint="default" w:ascii="Times New Roman" w:hAnsi="Times New Roman" w:eastAsia="宋体" w:cs="Times New Roman"/>
                <w:caps w:val="0"/>
                <w:color w:val="auto"/>
                <w:spacing w:val="0"/>
                <w:position w:val="0"/>
                <w:sz w:val="24"/>
                <w:szCs w:val="24"/>
                <w:highlight w:val="none"/>
              </w:rPr>
              <w:t>为</w:t>
            </w:r>
            <w:r>
              <w:rPr>
                <w:rStyle w:val="89"/>
                <w:rFonts w:hint="default" w:ascii="Times New Roman" w:hAnsi="Times New Roman" w:eastAsia="宋体" w:cs="Times New Roman"/>
                <w:caps w:val="0"/>
                <w:color w:val="auto"/>
                <w:spacing w:val="0"/>
                <w:position w:val="0"/>
                <w:sz w:val="24"/>
                <w:szCs w:val="24"/>
                <w:highlight w:val="none"/>
                <w:lang w:val="en-US" w:eastAsia="zh-CN"/>
              </w:rPr>
              <w:t>产量的</w:t>
            </w:r>
            <w:r>
              <w:rPr>
                <w:rStyle w:val="89"/>
                <w:rFonts w:hint="eastAsia" w:cs="Times New Roman"/>
                <w:caps w:val="0"/>
                <w:color w:val="auto"/>
                <w:spacing w:val="0"/>
                <w:position w:val="0"/>
                <w:sz w:val="24"/>
                <w:szCs w:val="24"/>
                <w:highlight w:val="none"/>
                <w:lang w:val="en-US" w:eastAsia="zh-CN"/>
              </w:rPr>
              <w:t>2.5</w:t>
            </w:r>
            <w:r>
              <w:rPr>
                <w:rStyle w:val="89"/>
                <w:rFonts w:hint="default" w:ascii="Times New Roman" w:hAnsi="Times New Roman" w:eastAsia="宋体" w:cs="Times New Roman"/>
                <w:caps w:val="0"/>
                <w:color w:val="auto"/>
                <w:spacing w:val="0"/>
                <w:position w:val="0"/>
                <w:sz w:val="24"/>
                <w:szCs w:val="24"/>
                <w:highlight w:val="none"/>
                <w:lang w:val="en-US" w:eastAsia="zh-CN"/>
              </w:rPr>
              <w:t>%，本项目发泡砖的总产量为</w:t>
            </w:r>
            <w:r>
              <w:rPr>
                <w:rStyle w:val="89"/>
                <w:rFonts w:hint="eastAsia" w:cs="Times New Roman"/>
                <w:caps w:val="0"/>
                <w:color w:val="auto"/>
                <w:spacing w:val="0"/>
                <w:position w:val="0"/>
                <w:sz w:val="24"/>
                <w:szCs w:val="24"/>
                <w:highlight w:val="none"/>
                <w:lang w:val="en-US" w:eastAsia="zh-CN"/>
              </w:rPr>
              <w:t>20</w:t>
            </w:r>
            <w:r>
              <w:rPr>
                <w:rStyle w:val="89"/>
                <w:rFonts w:hint="default" w:ascii="Times New Roman" w:hAnsi="Times New Roman" w:eastAsia="宋体" w:cs="Times New Roman"/>
                <w:caps w:val="0"/>
                <w:color w:val="auto"/>
                <w:spacing w:val="0"/>
                <w:position w:val="0"/>
                <w:sz w:val="24"/>
                <w:szCs w:val="24"/>
                <w:highlight w:val="none"/>
                <w:lang w:val="en-US" w:eastAsia="zh-CN"/>
              </w:rPr>
              <w:t>万吨，则搅拌用水的总用量为</w:t>
            </w:r>
            <w:r>
              <w:rPr>
                <w:rFonts w:hint="eastAsia" w:cs="Times New Roman"/>
                <w:caps w:val="0"/>
                <w:color w:val="auto"/>
                <w:spacing w:val="0"/>
                <w:position w:val="0"/>
                <w:sz w:val="24"/>
                <w:szCs w:val="24"/>
                <w:highlight w:val="none"/>
                <w:lang w:val="en-US" w:eastAsia="zh-CN"/>
              </w:rPr>
              <w:t>5</w:t>
            </w:r>
            <w:r>
              <w:rPr>
                <w:rFonts w:hint="eastAsia" w:ascii="Times New Roman" w:hAnsi="Times New Roman" w:eastAsia="宋体" w:cs="Times New Roman"/>
                <w:caps w:val="0"/>
                <w:color w:val="auto"/>
                <w:spacing w:val="0"/>
                <w:position w:val="0"/>
                <w:sz w:val="24"/>
                <w:szCs w:val="24"/>
                <w:highlight w:val="none"/>
                <w:lang w:val="en-US" w:eastAsia="zh-CN"/>
              </w:rPr>
              <w:t>00</w:t>
            </w:r>
            <w:r>
              <w:rPr>
                <w:rFonts w:hint="default" w:ascii="Times New Roman" w:hAnsi="Times New Roman" w:eastAsia="宋体" w:cs="Times New Roman"/>
                <w:caps w:val="0"/>
                <w:color w:val="auto"/>
                <w:spacing w:val="0"/>
                <w:position w:val="0"/>
                <w:sz w:val="24"/>
                <w:szCs w:val="24"/>
                <w:highlight w:val="none"/>
                <w:lang w:val="en-US" w:eastAsia="zh-CN"/>
              </w:rPr>
              <w:t>0</w:t>
            </w:r>
            <w:r>
              <w:rPr>
                <w:rFonts w:hint="default" w:ascii="Times New Roman" w:hAnsi="Times New Roman" w:eastAsia="宋体" w:cs="Times New Roman"/>
                <w:caps w:val="0"/>
                <w:color w:val="auto"/>
                <w:spacing w:val="0"/>
                <w:position w:val="0"/>
                <w:sz w:val="24"/>
                <w:szCs w:val="24"/>
                <w:highlight w:val="none"/>
              </w:rPr>
              <w:t>m</w:t>
            </w:r>
            <w:r>
              <w:rPr>
                <w:rFonts w:hint="default" w:ascii="Times New Roman" w:hAnsi="Times New Roman" w:eastAsia="宋体" w:cs="Times New Roman"/>
                <w:caps w:val="0"/>
                <w:color w:val="auto"/>
                <w:spacing w:val="0"/>
                <w:position w:val="0"/>
                <w:sz w:val="24"/>
                <w:szCs w:val="24"/>
                <w:highlight w:val="none"/>
                <w:vertAlign w:val="superscript"/>
              </w:rPr>
              <w:t>3</w:t>
            </w:r>
            <w:r>
              <w:rPr>
                <w:rFonts w:hint="default" w:ascii="Times New Roman" w:hAnsi="Times New Roman" w:eastAsia="宋体" w:cs="Times New Roman"/>
                <w:caps w:val="0"/>
                <w:color w:val="auto"/>
                <w:spacing w:val="0"/>
                <w:position w:val="0"/>
                <w:sz w:val="24"/>
                <w:szCs w:val="24"/>
                <w:highlight w:val="none"/>
              </w:rPr>
              <w:t>/a</w:t>
            </w:r>
            <w:r>
              <w:rPr>
                <w:rFonts w:hint="default" w:ascii="Times New Roman" w:hAnsi="Times New Roman" w:eastAsia="宋体" w:cs="Times New Roman"/>
                <w:caps w:val="0"/>
                <w:color w:val="auto"/>
                <w:spacing w:val="0"/>
                <w:position w:val="0"/>
                <w:sz w:val="24"/>
                <w:szCs w:val="24"/>
                <w:highlight w:val="none"/>
                <w:lang w:eastAsia="zh-CN"/>
              </w:rPr>
              <w:t>（</w:t>
            </w:r>
            <w:r>
              <w:rPr>
                <w:rFonts w:hint="eastAsia" w:cs="Times New Roman"/>
                <w:caps w:val="0"/>
                <w:color w:val="auto"/>
                <w:spacing w:val="0"/>
                <w:position w:val="0"/>
                <w:sz w:val="24"/>
                <w:szCs w:val="24"/>
                <w:highlight w:val="none"/>
                <w:lang w:val="en-US" w:eastAsia="zh-CN"/>
              </w:rPr>
              <w:t>16.67</w:t>
            </w:r>
            <w:r>
              <w:rPr>
                <w:rFonts w:hint="default" w:ascii="Times New Roman" w:hAnsi="Times New Roman" w:eastAsia="宋体" w:cs="Times New Roman"/>
                <w:caps w:val="0"/>
                <w:color w:val="auto"/>
                <w:spacing w:val="0"/>
                <w:position w:val="0"/>
                <w:sz w:val="24"/>
                <w:szCs w:val="24"/>
                <w:highlight w:val="none"/>
              </w:rPr>
              <w:t>m</w:t>
            </w:r>
            <w:r>
              <w:rPr>
                <w:rFonts w:hint="default" w:ascii="Times New Roman" w:hAnsi="Times New Roman" w:eastAsia="宋体" w:cs="Times New Roman"/>
                <w:caps w:val="0"/>
                <w:color w:val="auto"/>
                <w:spacing w:val="0"/>
                <w:position w:val="0"/>
                <w:sz w:val="24"/>
                <w:szCs w:val="24"/>
                <w:highlight w:val="none"/>
                <w:vertAlign w:val="superscript"/>
              </w:rPr>
              <w:t>3</w:t>
            </w:r>
            <w:r>
              <w:rPr>
                <w:rFonts w:hint="default" w:ascii="Times New Roman" w:hAnsi="Times New Roman" w:eastAsia="宋体" w:cs="Times New Roman"/>
                <w:caps w:val="0"/>
                <w:color w:val="auto"/>
                <w:spacing w:val="0"/>
                <w:position w:val="0"/>
                <w:sz w:val="24"/>
                <w:szCs w:val="24"/>
                <w:highlight w:val="none"/>
              </w:rPr>
              <w:t>/</w:t>
            </w:r>
            <w:r>
              <w:rPr>
                <w:rFonts w:hint="default" w:ascii="Times New Roman" w:hAnsi="Times New Roman" w:eastAsia="宋体" w:cs="Times New Roman"/>
                <w:caps w:val="0"/>
                <w:color w:val="auto"/>
                <w:spacing w:val="0"/>
                <w:position w:val="0"/>
                <w:sz w:val="24"/>
                <w:szCs w:val="24"/>
                <w:highlight w:val="none"/>
                <w:lang w:val="en-US" w:eastAsia="zh-CN"/>
              </w:rPr>
              <w:t>d</w:t>
            </w:r>
            <w:r>
              <w:rPr>
                <w:rFonts w:hint="default" w:ascii="Times New Roman" w:hAnsi="Times New Roman" w:eastAsia="宋体" w:cs="Times New Roman"/>
                <w:caps w:val="0"/>
                <w:color w:val="auto"/>
                <w:spacing w:val="0"/>
                <w:position w:val="0"/>
                <w:sz w:val="24"/>
                <w:szCs w:val="24"/>
                <w:highlight w:val="none"/>
                <w:lang w:eastAsia="zh-CN"/>
              </w:rPr>
              <w:t>），</w:t>
            </w:r>
            <w:r>
              <w:rPr>
                <w:rFonts w:hint="default" w:ascii="Times New Roman" w:hAnsi="Times New Roman" w:eastAsia="宋体" w:cs="Times New Roman"/>
                <w:caps w:val="0"/>
                <w:color w:val="auto"/>
                <w:spacing w:val="0"/>
                <w:position w:val="0"/>
                <w:sz w:val="24"/>
                <w:szCs w:val="24"/>
                <w:highlight w:val="none"/>
              </w:rPr>
              <w:t>项目</w:t>
            </w:r>
            <w:r>
              <w:rPr>
                <w:rFonts w:hint="default" w:ascii="Times New Roman" w:hAnsi="Times New Roman" w:eastAsia="宋体" w:cs="Times New Roman"/>
                <w:caps w:val="0"/>
                <w:color w:val="auto"/>
                <w:spacing w:val="0"/>
                <w:position w:val="0"/>
                <w:sz w:val="24"/>
                <w:szCs w:val="24"/>
                <w:highlight w:val="none"/>
                <w:lang w:val="en-US" w:eastAsia="zh-CN"/>
              </w:rPr>
              <w:t>搅拌用</w:t>
            </w:r>
            <w:r>
              <w:rPr>
                <w:rFonts w:hint="default" w:ascii="Times New Roman" w:hAnsi="Times New Roman" w:eastAsia="宋体" w:cs="Times New Roman"/>
                <w:caps w:val="0"/>
                <w:color w:val="auto"/>
                <w:spacing w:val="0"/>
                <w:position w:val="0"/>
                <w:sz w:val="24"/>
                <w:szCs w:val="24"/>
                <w:highlight w:val="none"/>
              </w:rPr>
              <w:t>水全部</w:t>
            </w:r>
            <w:r>
              <w:rPr>
                <w:rFonts w:hint="default" w:ascii="Times New Roman" w:hAnsi="Times New Roman" w:eastAsia="宋体" w:cs="Times New Roman"/>
                <w:caps w:val="0"/>
                <w:color w:val="auto"/>
                <w:spacing w:val="0"/>
                <w:position w:val="0"/>
                <w:sz w:val="24"/>
                <w:szCs w:val="24"/>
                <w:highlight w:val="none"/>
                <w:lang w:val="en-US" w:eastAsia="zh-CN"/>
              </w:rPr>
              <w:t>损耗或进入产品</w:t>
            </w:r>
            <w:r>
              <w:rPr>
                <w:rFonts w:hint="default" w:ascii="Times New Roman" w:hAnsi="Times New Roman" w:eastAsia="宋体" w:cs="Times New Roman"/>
                <w:caps w:val="0"/>
                <w:color w:val="auto"/>
                <w:spacing w:val="0"/>
                <w:position w:val="0"/>
                <w:sz w:val="24"/>
                <w:szCs w:val="24"/>
                <w:highlight w:val="none"/>
              </w:rPr>
              <w:t>，不外排。</w:t>
            </w:r>
          </w:p>
          <w:p w14:paraId="4E3AE41F">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②洗车</w:t>
            </w:r>
            <w:r>
              <w:rPr>
                <w:rFonts w:hint="default" w:ascii="Times New Roman" w:hAnsi="Times New Roman" w:cs="Times New Roman"/>
                <w:caps w:val="0"/>
                <w:color w:val="auto"/>
                <w:spacing w:val="0"/>
                <w:position w:val="0"/>
                <w:highlight w:val="none"/>
                <w:lang w:val="en-US" w:eastAsia="zh-CN"/>
              </w:rPr>
              <w:t>用</w:t>
            </w:r>
            <w:r>
              <w:rPr>
                <w:rFonts w:hint="default" w:ascii="Times New Roman" w:hAnsi="Times New Roman" w:cs="Times New Roman"/>
                <w:caps w:val="0"/>
                <w:color w:val="auto"/>
                <w:spacing w:val="0"/>
                <w:position w:val="0"/>
                <w:highlight w:val="none"/>
              </w:rPr>
              <w:t>水</w:t>
            </w:r>
          </w:p>
          <w:p w14:paraId="4E015EC9">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eastAsia" w:cs="Times New Roman"/>
                <w:caps w:val="0"/>
                <w:color w:val="auto"/>
                <w:spacing w:val="0"/>
                <w:position w:val="0"/>
                <w:highlight w:val="none"/>
                <w:lang w:val="en-US" w:eastAsia="zh-CN"/>
              </w:rPr>
              <w:t>依托</w:t>
            </w:r>
            <w:r>
              <w:rPr>
                <w:rFonts w:hint="default" w:ascii="Times New Roman" w:hAnsi="Times New Roman" w:cs="Times New Roman"/>
                <w:caps w:val="0"/>
                <w:color w:val="auto"/>
                <w:spacing w:val="0"/>
                <w:position w:val="0"/>
                <w:highlight w:val="none"/>
                <w:lang w:val="en-US" w:eastAsia="zh-CN"/>
              </w:rPr>
              <w:t>租赁厂区入口</w:t>
            </w:r>
            <w:r>
              <w:rPr>
                <w:rFonts w:hint="eastAsia"/>
                <w:caps w:val="0"/>
                <w:color w:val="auto"/>
                <w:spacing w:val="0"/>
                <w:position w:val="0"/>
                <w:highlight w:val="none"/>
                <w:lang w:val="en-US" w:eastAsia="zh-CN"/>
              </w:rPr>
              <w:t>现有</w:t>
            </w:r>
            <w:r>
              <w:rPr>
                <w:rFonts w:hint="default" w:ascii="Times New Roman" w:hAnsi="Times New Roman" w:cs="Times New Roman"/>
                <w:caps w:val="0"/>
                <w:color w:val="auto"/>
                <w:spacing w:val="0"/>
                <w:position w:val="0"/>
                <w:highlight w:val="none"/>
              </w:rPr>
              <w:t>车辆冲洗平台</w:t>
            </w:r>
            <w:r>
              <w:rPr>
                <w:rFonts w:hint="eastAsia" w:cs="Times New Roman"/>
                <w:caps w:val="0"/>
                <w:color w:val="auto"/>
                <w:spacing w:val="0"/>
                <w:position w:val="0"/>
                <w:highlight w:val="none"/>
                <w:lang w:val="en-US" w:eastAsia="zh-CN"/>
              </w:rPr>
              <w:t>对进厂车辆进行冲洗（仅包含本项目车辆）</w:t>
            </w:r>
            <w:r>
              <w:rPr>
                <w:rFonts w:hint="eastAsia"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rPr>
              <w:t>在原料仓库周边设置喷淋装置来减少无组织粉尘的对环境的影响。</w:t>
            </w:r>
          </w:p>
          <w:p w14:paraId="3CECD07E">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eastAsia="zh-CN"/>
              </w:rPr>
            </w:pPr>
            <w:r>
              <w:rPr>
                <w:rFonts w:hint="default" w:ascii="Times New Roman" w:hAnsi="Times New Roman" w:cs="Times New Roman"/>
                <w:caps w:val="0"/>
                <w:color w:val="auto"/>
                <w:spacing w:val="0"/>
                <w:position w:val="0"/>
                <w:highlight w:val="none"/>
                <w:lang w:eastAsia="zh-CN"/>
              </w:rPr>
              <w:t>根据建设单位提供的资料，项目采用自卸车进行</w:t>
            </w:r>
            <w:r>
              <w:rPr>
                <w:rFonts w:hint="default" w:ascii="Times New Roman" w:hAnsi="Times New Roman" w:cs="Times New Roman"/>
                <w:caps w:val="0"/>
                <w:color w:val="auto"/>
                <w:spacing w:val="0"/>
                <w:position w:val="0"/>
                <w:highlight w:val="none"/>
                <w:lang w:val="en-US" w:eastAsia="zh-CN"/>
              </w:rPr>
              <w:t>物料</w:t>
            </w:r>
            <w:r>
              <w:rPr>
                <w:rFonts w:hint="default" w:ascii="Times New Roman" w:hAnsi="Times New Roman" w:cs="Times New Roman"/>
                <w:caps w:val="0"/>
                <w:color w:val="auto"/>
                <w:spacing w:val="0"/>
                <w:position w:val="0"/>
                <w:highlight w:val="none"/>
                <w:lang w:eastAsia="zh-CN"/>
              </w:rPr>
              <w:t>装卸运输，平均</w:t>
            </w:r>
            <w:r>
              <w:rPr>
                <w:rFonts w:hint="default" w:ascii="Times New Roman" w:hAnsi="Times New Roman" w:cs="Times New Roman"/>
                <w:caps w:val="0"/>
                <w:color w:val="auto"/>
                <w:spacing w:val="0"/>
                <w:position w:val="0"/>
                <w:highlight w:val="none"/>
              </w:rPr>
              <w:t>单车一次运输量为</w:t>
            </w:r>
            <w:r>
              <w:rPr>
                <w:rFonts w:hint="default" w:ascii="Times New Roman" w:hAnsi="Times New Roman" w:cs="Times New Roman"/>
                <w:caps w:val="0"/>
                <w:color w:val="auto"/>
                <w:spacing w:val="0"/>
                <w:position w:val="0"/>
                <w:highlight w:val="none"/>
                <w:lang w:val="en-US" w:eastAsia="zh-CN"/>
              </w:rPr>
              <w:t>40</w:t>
            </w:r>
            <w:r>
              <w:rPr>
                <w:rFonts w:hint="default" w:ascii="Times New Roman" w:hAnsi="Times New Roman" w:cs="Times New Roman"/>
                <w:caps w:val="0"/>
                <w:color w:val="auto"/>
                <w:spacing w:val="0"/>
                <w:position w:val="0"/>
                <w:highlight w:val="none"/>
              </w:rPr>
              <w:t>t，</w:t>
            </w:r>
            <w:r>
              <w:rPr>
                <w:rFonts w:hint="eastAsia" w:cs="Times New Roman"/>
                <w:caps w:val="0"/>
                <w:color w:val="auto"/>
                <w:spacing w:val="0"/>
                <w:position w:val="0"/>
                <w:highlight w:val="none"/>
                <w:lang w:val="en-US" w:eastAsia="zh-CN"/>
              </w:rPr>
              <w:t>本项目原料和产品的总运输量为399070t/a，</w:t>
            </w:r>
            <w:r>
              <w:rPr>
                <w:rFonts w:hint="default" w:ascii="Times New Roman" w:hAnsi="Times New Roman" w:cs="Times New Roman"/>
                <w:caps w:val="0"/>
                <w:color w:val="auto"/>
                <w:spacing w:val="0"/>
                <w:position w:val="0"/>
                <w:highlight w:val="none"/>
                <w:lang w:eastAsia="zh-CN"/>
              </w:rPr>
              <w:t>则</w:t>
            </w:r>
            <w:r>
              <w:rPr>
                <w:rFonts w:hint="default" w:ascii="Times New Roman" w:hAnsi="Times New Roman" w:cs="Times New Roman"/>
                <w:caps w:val="0"/>
                <w:color w:val="auto"/>
                <w:spacing w:val="0"/>
                <w:position w:val="0"/>
                <w:highlight w:val="none"/>
              </w:rPr>
              <w:t>项目年出场车辆</w:t>
            </w:r>
            <w:r>
              <w:rPr>
                <w:rFonts w:hint="eastAsia" w:cs="Times New Roman"/>
                <w:caps w:val="0"/>
                <w:color w:val="auto"/>
                <w:spacing w:val="0"/>
                <w:position w:val="0"/>
                <w:highlight w:val="none"/>
                <w:lang w:val="en-US" w:eastAsia="zh-CN"/>
              </w:rPr>
              <w:t>9977</w:t>
            </w:r>
            <w:r>
              <w:rPr>
                <w:rFonts w:hint="default" w:ascii="Times New Roman" w:hAnsi="Times New Roman" w:cs="Times New Roman"/>
                <w:caps w:val="0"/>
                <w:color w:val="auto"/>
                <w:spacing w:val="0"/>
                <w:position w:val="0"/>
                <w:highlight w:val="none"/>
              </w:rPr>
              <w:t>辆·次，日平均出场车辆</w:t>
            </w:r>
            <w:r>
              <w:rPr>
                <w:rFonts w:hint="eastAsia" w:cs="Times New Roman"/>
                <w:caps w:val="0"/>
                <w:color w:val="auto"/>
                <w:spacing w:val="0"/>
                <w:position w:val="0"/>
                <w:highlight w:val="none"/>
                <w:lang w:val="en-US" w:eastAsia="zh-CN"/>
              </w:rPr>
              <w:t>34</w:t>
            </w:r>
            <w:r>
              <w:rPr>
                <w:rFonts w:hint="default" w:ascii="Times New Roman" w:hAnsi="Times New Roman" w:cs="Times New Roman"/>
                <w:caps w:val="0"/>
                <w:color w:val="auto"/>
                <w:spacing w:val="0"/>
                <w:position w:val="0"/>
                <w:highlight w:val="none"/>
              </w:rPr>
              <w:t>辆·次，每次均需冲洗。根据《建筑给水排水设计标准》（GB50015-2019），载重汽车循环用水冲洗用水定额为40-60L/辆·次，本项目取50L/辆·次，全</w:t>
            </w:r>
            <w:r>
              <w:rPr>
                <w:rFonts w:hint="default" w:ascii="Times New Roman" w:hAnsi="Times New Roman" w:cs="Times New Roman"/>
                <w:caps w:val="0"/>
                <w:color w:val="auto"/>
                <w:spacing w:val="0"/>
                <w:position w:val="0"/>
                <w:highlight w:val="none"/>
                <w:lang w:val="en-US" w:eastAsia="zh-CN"/>
              </w:rPr>
              <w:t>年</w:t>
            </w:r>
            <w:r>
              <w:rPr>
                <w:rFonts w:hint="default" w:ascii="Times New Roman" w:hAnsi="Times New Roman" w:cs="Times New Roman"/>
                <w:caps w:val="0"/>
                <w:color w:val="auto"/>
                <w:spacing w:val="0"/>
                <w:position w:val="0"/>
                <w:highlight w:val="none"/>
              </w:rPr>
              <w:t>车辆冲洗用水</w:t>
            </w:r>
            <w:r>
              <w:rPr>
                <w:rFonts w:hint="eastAsia" w:cs="Times New Roman"/>
                <w:caps w:val="0"/>
                <w:color w:val="auto"/>
                <w:spacing w:val="0"/>
                <w:position w:val="0"/>
                <w:highlight w:val="none"/>
                <w:lang w:val="en-US" w:eastAsia="zh-CN"/>
              </w:rPr>
              <w:t>510</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3</w:t>
            </w:r>
            <w:r>
              <w:rPr>
                <w:rFonts w:hint="default" w:ascii="Times New Roman" w:hAnsi="Times New Roman" w:cs="Times New Roman"/>
                <w:caps w:val="0"/>
                <w:color w:val="auto"/>
                <w:spacing w:val="0"/>
                <w:position w:val="0"/>
                <w:highlight w:val="none"/>
              </w:rPr>
              <w:t>/a</w:t>
            </w:r>
            <w:r>
              <w:rPr>
                <w:rFonts w:hint="default" w:ascii="Times New Roman" w:hAnsi="Times New Roman" w:cs="Times New Roman"/>
                <w:caps w:val="0"/>
                <w:color w:val="auto"/>
                <w:spacing w:val="0"/>
                <w:position w:val="0"/>
                <w:highlight w:val="none"/>
                <w:lang w:eastAsia="zh-CN"/>
              </w:rPr>
              <w:t>（</w:t>
            </w:r>
            <w:r>
              <w:rPr>
                <w:rFonts w:hint="eastAsia" w:cs="Times New Roman"/>
                <w:caps w:val="0"/>
                <w:color w:val="auto"/>
                <w:spacing w:val="0"/>
                <w:position w:val="0"/>
                <w:highlight w:val="none"/>
                <w:lang w:val="en-US" w:eastAsia="zh-CN"/>
              </w:rPr>
              <w:t>1.7</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3</w:t>
            </w: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d</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rPr>
              <w:t>。产污系数按0.8计，</w:t>
            </w:r>
            <w:r>
              <w:rPr>
                <w:rFonts w:hint="default" w:ascii="Times New Roman" w:hAnsi="Times New Roman" w:cs="Times New Roman"/>
                <w:caps w:val="0"/>
                <w:color w:val="auto"/>
                <w:spacing w:val="0"/>
                <w:position w:val="0"/>
                <w:highlight w:val="none"/>
                <w:lang w:val="en-US" w:eastAsia="zh-CN"/>
              </w:rPr>
              <w:t>洗车废水</w:t>
            </w:r>
            <w:r>
              <w:rPr>
                <w:rFonts w:hint="default" w:ascii="Times New Roman" w:hAnsi="Times New Roman" w:cs="Times New Roman"/>
                <w:caps w:val="0"/>
                <w:color w:val="auto"/>
                <w:spacing w:val="0"/>
                <w:position w:val="0"/>
                <w:highlight w:val="none"/>
              </w:rPr>
              <w:t>合计产生量</w:t>
            </w:r>
            <w:r>
              <w:rPr>
                <w:rFonts w:hint="eastAsia" w:cs="Times New Roman"/>
                <w:caps w:val="0"/>
                <w:color w:val="auto"/>
                <w:spacing w:val="0"/>
                <w:position w:val="0"/>
                <w:highlight w:val="none"/>
                <w:lang w:val="en-US" w:eastAsia="zh-CN"/>
              </w:rPr>
              <w:t>408</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3</w:t>
            </w:r>
            <w:r>
              <w:rPr>
                <w:rFonts w:hint="default" w:ascii="Times New Roman" w:hAnsi="Times New Roman" w:cs="Times New Roman"/>
                <w:caps w:val="0"/>
                <w:color w:val="auto"/>
                <w:spacing w:val="0"/>
                <w:position w:val="0"/>
                <w:highlight w:val="none"/>
              </w:rPr>
              <w:t>/a</w:t>
            </w:r>
            <w:r>
              <w:rPr>
                <w:rFonts w:hint="default" w:ascii="Times New Roman" w:hAnsi="Times New Roman" w:cs="Times New Roman"/>
                <w:caps w:val="0"/>
                <w:color w:val="auto"/>
                <w:spacing w:val="0"/>
                <w:position w:val="0"/>
                <w:highlight w:val="none"/>
                <w:lang w:eastAsia="zh-CN"/>
              </w:rPr>
              <w:t>（</w:t>
            </w:r>
            <w:r>
              <w:rPr>
                <w:rFonts w:hint="eastAsia" w:cs="Times New Roman"/>
                <w:caps w:val="0"/>
                <w:color w:val="auto"/>
                <w:spacing w:val="0"/>
                <w:position w:val="0"/>
                <w:highlight w:val="none"/>
                <w:lang w:val="en-US" w:eastAsia="zh-CN"/>
              </w:rPr>
              <w:t>1.36</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3</w:t>
            </w: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d</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eastAsia="zh-CN"/>
              </w:rPr>
              <w:t>洗车用水收集至</w:t>
            </w:r>
            <w:r>
              <w:rPr>
                <w:rFonts w:hint="default" w:ascii="Times New Roman" w:hAnsi="Times New Roman" w:eastAsia="宋体" w:cs="Times New Roman"/>
                <w:caps w:val="0"/>
                <w:color w:val="auto"/>
                <w:spacing w:val="0"/>
                <w:position w:val="0"/>
                <w:sz w:val="21"/>
                <w:szCs w:val="21"/>
                <w:highlight w:val="none"/>
                <w:lang w:val="en-US" w:eastAsia="zh-CN"/>
              </w:rPr>
              <w:t>1#</w:t>
            </w:r>
            <w:r>
              <w:rPr>
                <w:rFonts w:hint="default" w:ascii="Times New Roman" w:hAnsi="Times New Roman" w:cs="Times New Roman"/>
                <w:caps w:val="0"/>
                <w:color w:val="auto"/>
                <w:spacing w:val="0"/>
                <w:position w:val="0"/>
                <w:highlight w:val="none"/>
              </w:rPr>
              <w:t>沉淀</w:t>
            </w:r>
            <w:r>
              <w:rPr>
                <w:rFonts w:hint="default" w:ascii="Times New Roman" w:hAnsi="Times New Roman" w:cs="Times New Roman"/>
                <w:caps w:val="0"/>
                <w:color w:val="auto"/>
                <w:spacing w:val="0"/>
                <w:position w:val="0"/>
                <w:highlight w:val="none"/>
                <w:lang w:val="en-US" w:eastAsia="zh-CN"/>
              </w:rPr>
              <w:t>池</w:t>
            </w:r>
            <w:r>
              <w:rPr>
                <w:rFonts w:hint="default" w:ascii="Times New Roman" w:hAnsi="Times New Roman" w:cs="Times New Roman"/>
                <w:caps w:val="0"/>
                <w:color w:val="auto"/>
                <w:spacing w:val="0"/>
                <w:position w:val="0"/>
                <w:highlight w:val="none"/>
                <w:lang w:eastAsia="zh-CN"/>
              </w:rPr>
              <w:t>，</w:t>
            </w:r>
            <w:r>
              <w:rPr>
                <w:rFonts w:hint="eastAsia" w:cs="Times New Roman"/>
                <w:caps w:val="0"/>
                <w:color w:val="auto"/>
                <w:spacing w:val="0"/>
                <w:position w:val="0"/>
                <w:highlight w:val="none"/>
                <w:lang w:val="en-US" w:eastAsia="zh-CN"/>
              </w:rPr>
              <w:t>经</w:t>
            </w:r>
            <w:r>
              <w:rPr>
                <w:rFonts w:hint="default" w:ascii="Times New Roman" w:hAnsi="Times New Roman"/>
                <w:caps w:val="0"/>
                <w:color w:val="auto"/>
                <w:spacing w:val="0"/>
                <w:position w:val="0"/>
                <w:szCs w:val="21"/>
                <w:highlight w:val="none"/>
                <w:lang w:val="en-US" w:eastAsia="zh-CN" w:bidi="ar"/>
              </w:rPr>
              <w:t>氧化+絮凝沉淀</w:t>
            </w:r>
            <w:r>
              <w:rPr>
                <w:rFonts w:hint="eastAsia" w:cs="Times New Roman"/>
                <w:caps w:val="0"/>
                <w:color w:val="auto"/>
                <w:spacing w:val="0"/>
                <w:position w:val="0"/>
                <w:highlight w:val="none"/>
                <w:lang w:val="en-US" w:eastAsia="zh-CN"/>
              </w:rPr>
              <w:t>处理</w:t>
            </w:r>
            <w:r>
              <w:rPr>
                <w:rFonts w:hint="default" w:ascii="Times New Roman" w:hAnsi="Times New Roman" w:cs="Times New Roman"/>
                <w:caps w:val="0"/>
                <w:color w:val="auto"/>
                <w:spacing w:val="0"/>
                <w:position w:val="0"/>
                <w:highlight w:val="none"/>
                <w:lang w:eastAsia="zh-CN"/>
              </w:rPr>
              <w:t>后达《城市污水再生利用工业用水水质》（GB/T19923-2024）中洗涤水标准</w:t>
            </w:r>
            <w:r>
              <w:rPr>
                <w:rFonts w:hint="eastAsia" w:ascii="Times New Roman" w:hAnsi="Times New Roman" w:cs="Times New Roman"/>
                <w:caps w:val="0"/>
                <w:color w:val="auto"/>
                <w:spacing w:val="0"/>
                <w:position w:val="0"/>
                <w:highlight w:val="none"/>
                <w:lang w:eastAsia="zh-CN"/>
              </w:rPr>
              <w:t>、</w:t>
            </w:r>
            <w:r>
              <w:rPr>
                <w:rFonts w:hint="eastAsia"/>
                <w:caps w:val="0"/>
                <w:color w:val="auto"/>
                <w:spacing w:val="0"/>
                <w:position w:val="0"/>
                <w:highlight w:val="none"/>
                <w:lang w:eastAsia="zh-CN"/>
              </w:rPr>
              <w:t>《无机化学工业污染物排放标准》（GB31573-2015）修改单</w:t>
            </w:r>
            <w:r>
              <w:rPr>
                <w:rFonts w:hint="eastAsia"/>
                <w:caps w:val="0"/>
                <w:color w:val="auto"/>
                <w:spacing w:val="0"/>
                <w:position w:val="0"/>
                <w:highlight w:val="none"/>
              </w:rPr>
              <w:t>和《工业废水铊污染物排放标准》（DB36/1149-2019）标准</w:t>
            </w:r>
            <w:r>
              <w:rPr>
                <w:rFonts w:hint="eastAsia"/>
                <w:caps w:val="0"/>
                <w:color w:val="auto"/>
                <w:spacing w:val="0"/>
                <w:position w:val="0"/>
                <w:highlight w:val="none"/>
                <w:lang w:val="en-US" w:eastAsia="zh-CN"/>
              </w:rPr>
              <w:t>后</w:t>
            </w:r>
            <w:r>
              <w:rPr>
                <w:rFonts w:hint="default" w:ascii="Times New Roman" w:hAnsi="Times New Roman" w:cs="Times New Roman"/>
                <w:caps w:val="0"/>
                <w:color w:val="auto"/>
                <w:spacing w:val="0"/>
                <w:position w:val="0"/>
                <w:highlight w:val="none"/>
                <w:lang w:eastAsia="zh-CN"/>
              </w:rPr>
              <w:t>，回用于</w:t>
            </w:r>
            <w:r>
              <w:rPr>
                <w:rFonts w:hint="eastAsia" w:cs="Times New Roman"/>
                <w:caps w:val="0"/>
                <w:color w:val="auto"/>
                <w:spacing w:val="0"/>
                <w:position w:val="0"/>
                <w:highlight w:val="none"/>
                <w:lang w:val="en-US" w:eastAsia="zh-CN"/>
              </w:rPr>
              <w:t>搅拌</w:t>
            </w:r>
            <w:r>
              <w:rPr>
                <w:rFonts w:hint="default" w:ascii="Times New Roman" w:hAnsi="Times New Roman" w:cs="Times New Roman"/>
                <w:caps w:val="0"/>
                <w:color w:val="auto"/>
                <w:spacing w:val="0"/>
                <w:position w:val="0"/>
                <w:highlight w:val="none"/>
                <w:lang w:eastAsia="zh-CN"/>
              </w:rPr>
              <w:t>环节，不外排。</w:t>
            </w:r>
          </w:p>
          <w:p w14:paraId="120B4B89">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③</w:t>
            </w:r>
            <w:r>
              <w:rPr>
                <w:rFonts w:hint="default" w:ascii="Times New Roman" w:hAnsi="Times New Roman" w:cs="Times New Roman"/>
                <w:caps w:val="0"/>
                <w:color w:val="auto"/>
                <w:spacing w:val="0"/>
                <w:position w:val="0"/>
                <w:highlight w:val="none"/>
                <w:lang w:val="en-US" w:eastAsia="zh-CN"/>
              </w:rPr>
              <w:t>设备清洗用水</w:t>
            </w:r>
          </w:p>
          <w:p w14:paraId="55A2D301">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根据业主提供资料，</w:t>
            </w:r>
            <w:r>
              <w:rPr>
                <w:rFonts w:hint="default" w:ascii="Times New Roman" w:hAnsi="Times New Roman" w:eastAsia="宋体" w:cs="Times New Roman"/>
                <w:caps w:val="0"/>
                <w:color w:val="auto"/>
                <w:spacing w:val="0"/>
                <w:position w:val="0"/>
                <w:sz w:val="24"/>
                <w:highlight w:val="none"/>
              </w:rPr>
              <w:t>项目运营期搅拌机、</w:t>
            </w:r>
            <w:r>
              <w:rPr>
                <w:rFonts w:hint="default" w:ascii="Times New Roman" w:hAnsi="Times New Roman" w:eastAsia="宋体" w:cs="Times New Roman"/>
                <w:caps w:val="0"/>
                <w:color w:val="auto"/>
                <w:spacing w:val="0"/>
                <w:position w:val="0"/>
                <w:sz w:val="24"/>
                <w:highlight w:val="none"/>
                <w:lang w:val="en-US" w:eastAsia="zh-CN"/>
              </w:rPr>
              <w:t>静压机</w:t>
            </w:r>
            <w:r>
              <w:rPr>
                <w:rFonts w:hint="default" w:ascii="Times New Roman" w:hAnsi="Times New Roman" w:eastAsia="宋体" w:cs="Times New Roman"/>
                <w:caps w:val="0"/>
                <w:color w:val="auto"/>
                <w:spacing w:val="0"/>
                <w:position w:val="0"/>
                <w:sz w:val="24"/>
                <w:highlight w:val="none"/>
              </w:rPr>
              <w:t>等设备暂时停止生产后需要用水清洗，平均每天清洗一次，每次清洗用水量约为5</w:t>
            </w:r>
            <w:r>
              <w:rPr>
                <w:rFonts w:hint="default" w:ascii="Times New Roman" w:hAnsi="Times New Roman" w:eastAsia="宋体" w:cs="Times New Roman"/>
                <w:caps w:val="0"/>
                <w:color w:val="auto"/>
                <w:spacing w:val="0"/>
                <w:position w:val="0"/>
                <w:sz w:val="24"/>
                <w:szCs w:val="32"/>
                <w:highlight w:val="none"/>
                <w:lang w:val="en-US" w:eastAsia="zh-CN"/>
              </w:rPr>
              <w:t>m</w:t>
            </w:r>
            <w:r>
              <w:rPr>
                <w:rFonts w:hint="default" w:ascii="Times New Roman" w:hAnsi="Times New Roman" w:eastAsia="宋体" w:cs="Times New Roman"/>
                <w:caps w:val="0"/>
                <w:color w:val="auto"/>
                <w:spacing w:val="0"/>
                <w:position w:val="0"/>
                <w:sz w:val="24"/>
                <w:szCs w:val="32"/>
                <w:highlight w:val="none"/>
                <w:vertAlign w:val="superscript"/>
                <w:lang w:val="en-US" w:eastAsia="zh-CN"/>
              </w:rPr>
              <w:t>3</w:t>
            </w:r>
            <w:r>
              <w:rPr>
                <w:rFonts w:hint="default" w:ascii="Times New Roman" w:hAnsi="Times New Roman" w:eastAsia="宋体" w:cs="Times New Roman"/>
                <w:caps w:val="0"/>
                <w:color w:val="auto"/>
                <w:spacing w:val="0"/>
                <w:position w:val="0"/>
                <w:sz w:val="24"/>
                <w:highlight w:val="none"/>
              </w:rPr>
              <w:t>/d</w:t>
            </w:r>
            <w:r>
              <w:rPr>
                <w:rFonts w:hint="eastAsia" w:cs="Times New Roman"/>
                <w:caps w:val="0"/>
                <w:color w:val="auto"/>
                <w:spacing w:val="0"/>
                <w:position w:val="0"/>
                <w:highlight w:val="none"/>
                <w:lang w:val="en-US" w:eastAsia="zh-CN"/>
              </w:rPr>
              <w:t>，</w:t>
            </w:r>
            <w:r>
              <w:rPr>
                <w:rFonts w:hint="default" w:ascii="Times New Roman" w:hAnsi="Times New Roman" w:cs="Times New Roman"/>
                <w:caps w:val="0"/>
                <w:color w:val="auto"/>
                <w:spacing w:val="0"/>
                <w:position w:val="0"/>
                <w:highlight w:val="none"/>
                <w:lang w:val="en-US" w:eastAsia="zh-CN"/>
              </w:rPr>
              <w:t>1500</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3</w:t>
            </w:r>
            <w:r>
              <w:rPr>
                <w:rFonts w:hint="default" w:ascii="Times New Roman" w:hAnsi="Times New Roman" w:cs="Times New Roman"/>
                <w:caps w:val="0"/>
                <w:color w:val="auto"/>
                <w:spacing w:val="0"/>
                <w:position w:val="0"/>
                <w:highlight w:val="none"/>
              </w:rPr>
              <w:t>/a</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rPr>
              <w:t>产污系数按0.8计，</w:t>
            </w:r>
            <w:r>
              <w:rPr>
                <w:rFonts w:hint="default" w:ascii="Times New Roman" w:hAnsi="Times New Roman" w:cs="Times New Roman"/>
                <w:caps w:val="0"/>
                <w:color w:val="auto"/>
                <w:spacing w:val="0"/>
                <w:position w:val="0"/>
                <w:highlight w:val="none"/>
                <w:lang w:val="en-US" w:eastAsia="zh-CN"/>
              </w:rPr>
              <w:t>项目清洗废水量为1200</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3</w:t>
            </w:r>
            <w:r>
              <w:rPr>
                <w:rFonts w:hint="default" w:ascii="Times New Roman" w:hAnsi="Times New Roman" w:cs="Times New Roman"/>
                <w:caps w:val="0"/>
                <w:color w:val="auto"/>
                <w:spacing w:val="0"/>
                <w:position w:val="0"/>
                <w:highlight w:val="none"/>
              </w:rPr>
              <w:t>/a</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lang w:val="en-US" w:eastAsia="zh-CN"/>
              </w:rPr>
              <w:t>4</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3</w:t>
            </w: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d</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lang w:val="en-US" w:eastAsia="zh-CN"/>
              </w:rPr>
              <w:t>设备清洗废水</w:t>
            </w:r>
            <w:r>
              <w:rPr>
                <w:rFonts w:hint="default" w:ascii="Times New Roman" w:hAnsi="Times New Roman" w:eastAsia="宋体" w:cs="Times New Roman"/>
                <w:caps w:val="0"/>
                <w:color w:val="auto"/>
                <w:spacing w:val="0"/>
                <w:position w:val="0"/>
                <w:sz w:val="24"/>
                <w:highlight w:val="none"/>
              </w:rPr>
              <w:t>经收集进入</w:t>
            </w:r>
            <w:r>
              <w:rPr>
                <w:rFonts w:hint="eastAsia" w:ascii="Times New Roman" w:hAnsi="Times New Roman" w:eastAsia="宋体" w:cs="Times New Roman"/>
                <w:caps w:val="0"/>
                <w:color w:val="auto"/>
                <w:spacing w:val="0"/>
                <w:position w:val="0"/>
                <w:sz w:val="24"/>
                <w:highlight w:val="none"/>
                <w:lang w:val="en-US" w:eastAsia="zh-CN"/>
              </w:rPr>
              <w:t>2</w:t>
            </w:r>
            <w:r>
              <w:rPr>
                <w:rFonts w:hint="default" w:ascii="Times New Roman" w:hAnsi="Times New Roman" w:eastAsia="宋体" w:cs="Times New Roman"/>
                <w:caps w:val="0"/>
                <w:color w:val="auto"/>
                <w:spacing w:val="0"/>
                <w:position w:val="0"/>
                <w:sz w:val="24"/>
                <w:highlight w:val="none"/>
                <w:lang w:val="en-US" w:eastAsia="zh-CN"/>
              </w:rPr>
              <w:t>#</w:t>
            </w:r>
            <w:r>
              <w:rPr>
                <w:rFonts w:hint="default" w:ascii="Times New Roman" w:hAnsi="Times New Roman" w:eastAsia="宋体" w:cs="Times New Roman"/>
                <w:caps w:val="0"/>
                <w:color w:val="auto"/>
                <w:spacing w:val="0"/>
                <w:position w:val="0"/>
                <w:sz w:val="24"/>
                <w:highlight w:val="none"/>
              </w:rPr>
              <w:t>沉淀池</w:t>
            </w:r>
            <w:r>
              <w:rPr>
                <w:rFonts w:hint="eastAsia" w:ascii="Times New Roman" w:hAnsi="Times New Roman" w:eastAsia="宋体" w:cs="Times New Roman"/>
                <w:caps w:val="0"/>
                <w:color w:val="auto"/>
                <w:spacing w:val="0"/>
                <w:position w:val="0"/>
                <w:sz w:val="24"/>
                <w:highlight w:val="none"/>
                <w:lang w:eastAsia="zh-CN"/>
              </w:rPr>
              <w:t>，</w:t>
            </w:r>
            <w:r>
              <w:rPr>
                <w:rFonts w:hint="eastAsia" w:cs="Times New Roman"/>
                <w:caps w:val="0"/>
                <w:color w:val="auto"/>
                <w:spacing w:val="0"/>
                <w:position w:val="0"/>
                <w:highlight w:val="none"/>
                <w:lang w:val="en-US" w:eastAsia="zh-CN"/>
              </w:rPr>
              <w:t>经</w:t>
            </w:r>
            <w:r>
              <w:rPr>
                <w:rFonts w:hint="default" w:ascii="Times New Roman" w:hAnsi="Times New Roman"/>
                <w:caps w:val="0"/>
                <w:color w:val="auto"/>
                <w:spacing w:val="0"/>
                <w:position w:val="0"/>
                <w:szCs w:val="21"/>
                <w:highlight w:val="none"/>
                <w:lang w:val="en-US" w:eastAsia="zh-CN" w:bidi="ar"/>
              </w:rPr>
              <w:t>氧化+絮凝沉淀</w:t>
            </w:r>
            <w:r>
              <w:rPr>
                <w:rFonts w:hint="eastAsia" w:cs="Times New Roman"/>
                <w:caps w:val="0"/>
                <w:color w:val="auto"/>
                <w:spacing w:val="0"/>
                <w:position w:val="0"/>
                <w:highlight w:val="none"/>
                <w:lang w:val="en-US" w:eastAsia="zh-CN"/>
              </w:rPr>
              <w:t>处理</w:t>
            </w:r>
            <w:r>
              <w:rPr>
                <w:rFonts w:hint="default" w:ascii="Times New Roman" w:hAnsi="Times New Roman" w:cs="Times New Roman"/>
                <w:caps w:val="0"/>
                <w:color w:val="auto"/>
                <w:spacing w:val="0"/>
                <w:position w:val="0"/>
                <w:highlight w:val="none"/>
                <w:lang w:eastAsia="zh-CN"/>
              </w:rPr>
              <w:t>后达《城市污水再生利用工业用水水质》（GB/T19923-2024）中洗涤水标准</w:t>
            </w:r>
            <w:r>
              <w:rPr>
                <w:rFonts w:hint="eastAsia" w:ascii="Times New Roman" w:hAnsi="Times New Roman" w:cs="Times New Roman"/>
                <w:caps w:val="0"/>
                <w:color w:val="auto"/>
                <w:spacing w:val="0"/>
                <w:position w:val="0"/>
                <w:highlight w:val="none"/>
                <w:lang w:eastAsia="zh-CN"/>
              </w:rPr>
              <w:t>、</w:t>
            </w:r>
            <w:r>
              <w:rPr>
                <w:rFonts w:hint="eastAsia"/>
                <w:caps w:val="0"/>
                <w:color w:val="auto"/>
                <w:spacing w:val="0"/>
                <w:position w:val="0"/>
                <w:highlight w:val="none"/>
                <w:lang w:eastAsia="zh-CN"/>
              </w:rPr>
              <w:t>《无机化学工业污染物排放标准》（GB31573-2015）修改单</w:t>
            </w:r>
            <w:r>
              <w:rPr>
                <w:rFonts w:hint="eastAsia"/>
                <w:caps w:val="0"/>
                <w:color w:val="auto"/>
                <w:spacing w:val="0"/>
                <w:position w:val="0"/>
                <w:highlight w:val="none"/>
              </w:rPr>
              <w:t>和《工业废水铊污染物排放标准》（DB36/1149-2019）标准</w:t>
            </w:r>
            <w:r>
              <w:rPr>
                <w:rFonts w:hint="eastAsia"/>
                <w:caps w:val="0"/>
                <w:color w:val="auto"/>
                <w:spacing w:val="0"/>
                <w:position w:val="0"/>
                <w:highlight w:val="none"/>
                <w:lang w:val="en-US" w:eastAsia="zh-CN"/>
              </w:rPr>
              <w:t>后</w:t>
            </w:r>
            <w:r>
              <w:rPr>
                <w:rFonts w:hint="default" w:ascii="Times New Roman" w:hAnsi="Times New Roman" w:cs="Times New Roman"/>
                <w:caps w:val="0"/>
                <w:color w:val="auto"/>
                <w:spacing w:val="0"/>
                <w:position w:val="0"/>
                <w:highlight w:val="none"/>
                <w:lang w:eastAsia="zh-CN"/>
              </w:rPr>
              <w:t>，回用于</w:t>
            </w:r>
            <w:r>
              <w:rPr>
                <w:rFonts w:hint="default" w:ascii="Times New Roman" w:hAnsi="Times New Roman" w:cs="Times New Roman"/>
                <w:caps w:val="0"/>
                <w:color w:val="auto"/>
                <w:spacing w:val="0"/>
                <w:position w:val="0"/>
                <w:highlight w:val="none"/>
                <w:lang w:val="en-US" w:eastAsia="zh-CN"/>
              </w:rPr>
              <w:t>设备清洗用水</w:t>
            </w:r>
            <w:r>
              <w:rPr>
                <w:rFonts w:hint="default" w:ascii="Times New Roman" w:hAnsi="Times New Roman" w:eastAsia="宋体" w:cs="Times New Roman"/>
                <w:caps w:val="0"/>
                <w:color w:val="auto"/>
                <w:spacing w:val="0"/>
                <w:position w:val="0"/>
                <w:sz w:val="24"/>
                <w:highlight w:val="none"/>
              </w:rPr>
              <w:t>，</w:t>
            </w:r>
            <w:r>
              <w:rPr>
                <w:rFonts w:hint="default" w:ascii="Times New Roman" w:hAnsi="Times New Roman" w:cs="Times New Roman"/>
                <w:caps w:val="0"/>
                <w:color w:val="auto"/>
                <w:spacing w:val="0"/>
                <w:position w:val="0"/>
                <w:highlight w:val="none"/>
                <w:lang w:val="en-US" w:eastAsia="zh-CN"/>
              </w:rPr>
              <w:t>不外排。</w:t>
            </w:r>
          </w:p>
          <w:p w14:paraId="3021D487">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eastAsia="宋体" w:cs="Times New Roman"/>
                <w:caps w:val="0"/>
                <w:color w:val="auto"/>
                <w:spacing w:val="0"/>
                <w:position w:val="0"/>
                <w:highlight w:val="none"/>
                <w:lang w:val="en-US" w:eastAsia="zh-CN"/>
              </w:rPr>
              <w:t>④</w:t>
            </w:r>
            <w:r>
              <w:rPr>
                <w:rFonts w:hint="default" w:ascii="Times New Roman" w:hAnsi="Times New Roman" w:cs="Times New Roman"/>
                <w:caps w:val="0"/>
                <w:color w:val="auto"/>
                <w:spacing w:val="0"/>
                <w:position w:val="0"/>
                <w:highlight w:val="none"/>
                <w:lang w:val="en-US" w:eastAsia="zh-CN"/>
              </w:rPr>
              <w:t>降尘</w:t>
            </w:r>
            <w:r>
              <w:rPr>
                <w:rFonts w:hint="default" w:ascii="Times New Roman" w:hAnsi="Times New Roman" w:eastAsia="宋体" w:cs="Times New Roman"/>
                <w:caps w:val="0"/>
                <w:color w:val="auto"/>
                <w:spacing w:val="0"/>
                <w:position w:val="0"/>
                <w:highlight w:val="none"/>
                <w:lang w:val="en-US" w:eastAsia="zh-CN"/>
              </w:rPr>
              <w:t>用水</w:t>
            </w:r>
          </w:p>
          <w:p w14:paraId="6EEFDEDA">
            <w:pPr>
              <w:keepNext w:val="0"/>
              <w:keepLines w:val="0"/>
              <w:widowControl w:val="0"/>
              <w:suppressLineNumbers w:val="0"/>
              <w:bidi w:val="0"/>
              <w:spacing w:before="0" w:beforeAutospacing="0" w:after="0" w:afterAutospacing="0" w:line="360" w:lineRule="auto"/>
              <w:ind w:left="0" w:right="0" w:firstLine="480" w:firstLineChars="200"/>
              <w:jc w:val="both"/>
              <w:rPr>
                <w:rFonts w:hint="default" w:ascii="Times New Roman" w:hAnsi="Times New Roman" w:cs="Times New Roman"/>
                <w:caps w:val="0"/>
                <w:color w:val="auto"/>
                <w:spacing w:val="0"/>
                <w:position w:val="0"/>
                <w:highlight w:val="none"/>
              </w:rPr>
            </w:pPr>
            <w:r>
              <w:rPr>
                <w:rFonts w:hint="default" w:ascii="Times New Roman" w:hAnsi="Times New Roman" w:eastAsia="宋体" w:cs="Times New Roman"/>
                <w:bCs/>
                <w:caps w:val="0"/>
                <w:color w:val="auto"/>
                <w:spacing w:val="0"/>
                <w:kern w:val="2"/>
                <w:position w:val="0"/>
                <w:sz w:val="24"/>
                <w:szCs w:val="24"/>
                <w:highlight w:val="none"/>
                <w:lang w:val="en-US" w:eastAsia="zh-CN" w:bidi="ar-SA"/>
              </w:rPr>
              <w:t>项目在原料仓库及周边、生产区域、厂内原料输送沿线设有喷淋装置，根据企业提供的资料，喷淋水量约3000m</w:t>
            </w:r>
            <w:r>
              <w:rPr>
                <w:rFonts w:hint="default" w:ascii="Times New Roman" w:hAnsi="Times New Roman" w:eastAsia="宋体" w:cs="Times New Roman"/>
                <w:bCs/>
                <w:caps w:val="0"/>
                <w:color w:val="auto"/>
                <w:spacing w:val="0"/>
                <w:kern w:val="2"/>
                <w:position w:val="0"/>
                <w:sz w:val="24"/>
                <w:szCs w:val="24"/>
                <w:highlight w:val="none"/>
                <w:vertAlign w:val="superscript"/>
                <w:lang w:val="en-US" w:eastAsia="zh-CN" w:bidi="ar-SA"/>
              </w:rPr>
              <w:t>3</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/a（10m</w:t>
            </w:r>
            <w:r>
              <w:rPr>
                <w:rFonts w:hint="default" w:ascii="Times New Roman" w:hAnsi="Times New Roman" w:eastAsia="宋体" w:cs="Times New Roman"/>
                <w:bCs/>
                <w:caps w:val="0"/>
                <w:color w:val="auto"/>
                <w:spacing w:val="0"/>
                <w:kern w:val="2"/>
                <w:position w:val="0"/>
                <w:sz w:val="24"/>
                <w:szCs w:val="24"/>
                <w:highlight w:val="none"/>
                <w:vertAlign w:val="superscript"/>
                <w:lang w:val="en-US" w:eastAsia="zh-CN" w:bidi="ar-SA"/>
              </w:rPr>
              <w:t>3</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/d），该部分水分全部损耗。</w:t>
            </w:r>
          </w:p>
          <w:p w14:paraId="5700F179">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⑤</w:t>
            </w:r>
            <w:r>
              <w:rPr>
                <w:rFonts w:hint="default" w:ascii="Times New Roman" w:hAnsi="Times New Roman" w:cs="Times New Roman"/>
                <w:caps w:val="0"/>
                <w:color w:val="auto"/>
                <w:spacing w:val="0"/>
                <w:position w:val="0"/>
                <w:highlight w:val="none"/>
                <w:lang w:val="en-US" w:eastAsia="zh-CN"/>
              </w:rPr>
              <w:t>环保砖养护用水</w:t>
            </w:r>
          </w:p>
          <w:p w14:paraId="49AC0C25">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eastAsia="zh-CN"/>
              </w:rPr>
            </w:pPr>
            <w:r>
              <w:rPr>
                <w:rFonts w:hint="eastAsia" w:cs="Times New Roman"/>
                <w:caps w:val="0"/>
                <w:color w:val="auto"/>
                <w:spacing w:val="0"/>
                <w:position w:val="0"/>
                <w:highlight w:val="none"/>
                <w:lang w:val="en-US" w:eastAsia="zh-CN"/>
              </w:rPr>
              <w:t>本项目发泡</w:t>
            </w:r>
            <w:r>
              <w:rPr>
                <w:rFonts w:hint="default" w:ascii="Times New Roman" w:hAnsi="Times New Roman" w:cs="Times New Roman"/>
                <w:caps w:val="0"/>
                <w:color w:val="auto"/>
                <w:spacing w:val="0"/>
                <w:position w:val="0"/>
                <w:highlight w:val="none"/>
                <w:lang w:val="en-US" w:eastAsia="zh-CN"/>
              </w:rPr>
              <w:t>砖养护过程会</w:t>
            </w:r>
            <w:r>
              <w:rPr>
                <w:rFonts w:hint="eastAsia" w:cs="Times New Roman"/>
                <w:caps w:val="0"/>
                <w:color w:val="auto"/>
                <w:spacing w:val="0"/>
                <w:position w:val="0"/>
                <w:highlight w:val="none"/>
                <w:lang w:val="en-US" w:eastAsia="zh-CN"/>
              </w:rPr>
              <w:t>产生</w:t>
            </w:r>
            <w:r>
              <w:rPr>
                <w:rFonts w:hint="default" w:ascii="Times New Roman" w:hAnsi="Times New Roman" w:cs="Times New Roman"/>
                <w:caps w:val="0"/>
                <w:color w:val="auto"/>
                <w:spacing w:val="0"/>
                <w:position w:val="0"/>
                <w:highlight w:val="none"/>
                <w:lang w:val="en-US" w:eastAsia="zh-CN"/>
              </w:rPr>
              <w:t>养护用水，根据业主提供资料，养护用水量</w:t>
            </w:r>
            <w:r>
              <w:rPr>
                <w:rFonts w:hint="default" w:ascii="Times New Roman" w:hAnsi="Times New Roman" w:cs="Times New Roman"/>
                <w:caps w:val="0"/>
                <w:color w:val="auto"/>
                <w:spacing w:val="0"/>
                <w:position w:val="0"/>
                <w:highlight w:val="none"/>
              </w:rPr>
              <w:t>约</w:t>
            </w:r>
            <w:r>
              <w:rPr>
                <w:rFonts w:hint="default" w:ascii="Times New Roman" w:hAnsi="Times New Roman" w:cs="Times New Roman"/>
                <w:caps w:val="0"/>
                <w:color w:val="auto"/>
                <w:spacing w:val="0"/>
                <w:position w:val="0"/>
                <w:highlight w:val="none"/>
                <w:lang w:val="en-US" w:eastAsia="zh-CN"/>
              </w:rPr>
              <w:t>为</w:t>
            </w:r>
            <w:r>
              <w:rPr>
                <w:rFonts w:hint="default"/>
                <w:caps w:val="0"/>
                <w:color w:val="auto"/>
                <w:spacing w:val="0"/>
                <w:position w:val="0"/>
                <w:highlight w:val="none"/>
              </w:rPr>
              <w:t>产量的</w:t>
            </w:r>
            <w:r>
              <w:rPr>
                <w:rFonts w:hint="eastAsia" w:eastAsia="宋体" w:cs="Times New Roman"/>
                <w:caps w:val="0"/>
                <w:color w:val="auto"/>
                <w:spacing w:val="0"/>
                <w:position w:val="0"/>
                <w:highlight w:val="none"/>
                <w:lang w:val="en-US" w:eastAsia="zh-CN"/>
              </w:rPr>
              <w:t>1</w:t>
            </w:r>
            <w:r>
              <w:rPr>
                <w:rFonts w:hint="default" w:ascii="Times New Roman" w:hAnsi="Times New Roman" w:eastAsia="Times New Roman" w:cs="Times New Roman"/>
                <w:caps w:val="0"/>
                <w:color w:val="auto"/>
                <w:spacing w:val="0"/>
                <w:position w:val="0"/>
                <w:highlight w:val="none"/>
              </w:rPr>
              <w:t>%</w:t>
            </w:r>
            <w:r>
              <w:rPr>
                <w:rFonts w:hint="default"/>
                <w:caps w:val="0"/>
                <w:color w:val="auto"/>
                <w:spacing w:val="0"/>
                <w:position w:val="0"/>
                <w:highlight w:val="none"/>
              </w:rPr>
              <w:t>，</w:t>
            </w:r>
            <w:r>
              <w:rPr>
                <w:rFonts w:hint="eastAsia"/>
                <w:caps w:val="0"/>
                <w:color w:val="auto"/>
                <w:spacing w:val="0"/>
                <w:position w:val="0"/>
                <w:highlight w:val="none"/>
                <w:lang w:val="en-US" w:eastAsia="zh-CN"/>
              </w:rPr>
              <w:t>本项目</w:t>
            </w:r>
            <w:r>
              <w:rPr>
                <w:rFonts w:hint="eastAsia" w:cs="Times New Roman"/>
                <w:caps w:val="0"/>
                <w:color w:val="auto"/>
                <w:spacing w:val="0"/>
                <w:position w:val="0"/>
                <w:highlight w:val="none"/>
                <w:lang w:val="en-US" w:eastAsia="zh-CN"/>
              </w:rPr>
              <w:t>发泡</w:t>
            </w:r>
            <w:r>
              <w:rPr>
                <w:rFonts w:hint="default" w:ascii="Times New Roman" w:hAnsi="Times New Roman" w:cs="Times New Roman"/>
                <w:caps w:val="0"/>
                <w:color w:val="auto"/>
                <w:spacing w:val="0"/>
                <w:position w:val="0"/>
                <w:highlight w:val="none"/>
                <w:lang w:val="en-US" w:eastAsia="zh-CN"/>
              </w:rPr>
              <w:t>砖</w:t>
            </w:r>
            <w:r>
              <w:rPr>
                <w:rFonts w:hint="eastAsia" w:cs="Times New Roman"/>
                <w:caps w:val="0"/>
                <w:color w:val="auto"/>
                <w:spacing w:val="0"/>
                <w:position w:val="0"/>
                <w:highlight w:val="none"/>
                <w:lang w:val="en-US" w:eastAsia="zh-CN"/>
              </w:rPr>
              <w:t>的总产量为20万吨，则养护用水的总用量为2000</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3</w:t>
            </w:r>
            <w:r>
              <w:rPr>
                <w:rFonts w:hint="default" w:ascii="Times New Roman" w:hAnsi="Times New Roman" w:cs="Times New Roman"/>
                <w:caps w:val="0"/>
                <w:color w:val="auto"/>
                <w:spacing w:val="0"/>
                <w:position w:val="0"/>
                <w:highlight w:val="none"/>
              </w:rPr>
              <w:t>/a</w:t>
            </w:r>
            <w:r>
              <w:rPr>
                <w:rFonts w:hint="default" w:ascii="Times New Roman" w:hAnsi="Times New Roman" w:cs="Times New Roman"/>
                <w:caps w:val="0"/>
                <w:color w:val="auto"/>
                <w:spacing w:val="0"/>
                <w:position w:val="0"/>
                <w:highlight w:val="none"/>
                <w:lang w:eastAsia="zh-CN"/>
              </w:rPr>
              <w:t>（</w:t>
            </w:r>
            <w:r>
              <w:rPr>
                <w:rFonts w:hint="eastAsia" w:cs="Times New Roman"/>
                <w:caps w:val="0"/>
                <w:color w:val="auto"/>
                <w:spacing w:val="0"/>
                <w:position w:val="0"/>
                <w:highlight w:val="none"/>
                <w:lang w:val="en-US" w:eastAsia="zh-CN"/>
              </w:rPr>
              <w:t>6.67</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3</w:t>
            </w: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d</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rPr>
              <w:t>产污系数按0.8计，</w:t>
            </w:r>
            <w:r>
              <w:rPr>
                <w:rFonts w:hint="default" w:ascii="Times New Roman" w:hAnsi="Times New Roman" w:cs="Times New Roman"/>
                <w:caps w:val="0"/>
                <w:color w:val="auto"/>
                <w:spacing w:val="0"/>
                <w:position w:val="0"/>
                <w:highlight w:val="none"/>
                <w:lang w:val="en-US" w:eastAsia="zh-CN"/>
              </w:rPr>
              <w:t>项目养护废水量为</w:t>
            </w:r>
            <w:r>
              <w:rPr>
                <w:rFonts w:hint="eastAsia" w:cs="Times New Roman"/>
                <w:caps w:val="0"/>
                <w:color w:val="auto"/>
                <w:spacing w:val="0"/>
                <w:position w:val="0"/>
                <w:highlight w:val="none"/>
                <w:lang w:val="en-US" w:eastAsia="zh-CN"/>
              </w:rPr>
              <w:t>1600</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3</w:t>
            </w:r>
            <w:r>
              <w:rPr>
                <w:rFonts w:hint="default" w:ascii="Times New Roman" w:hAnsi="Times New Roman" w:cs="Times New Roman"/>
                <w:caps w:val="0"/>
                <w:color w:val="auto"/>
                <w:spacing w:val="0"/>
                <w:position w:val="0"/>
                <w:highlight w:val="none"/>
              </w:rPr>
              <w:t>/a</w:t>
            </w:r>
            <w:r>
              <w:rPr>
                <w:rFonts w:hint="default" w:ascii="Times New Roman" w:hAnsi="Times New Roman" w:cs="Times New Roman"/>
                <w:caps w:val="0"/>
                <w:color w:val="auto"/>
                <w:spacing w:val="0"/>
                <w:position w:val="0"/>
                <w:highlight w:val="none"/>
                <w:lang w:eastAsia="zh-CN"/>
              </w:rPr>
              <w:t>（</w:t>
            </w:r>
            <w:r>
              <w:rPr>
                <w:rFonts w:hint="eastAsia" w:cs="Times New Roman"/>
                <w:caps w:val="0"/>
                <w:color w:val="auto"/>
                <w:spacing w:val="0"/>
                <w:position w:val="0"/>
                <w:highlight w:val="none"/>
                <w:lang w:val="en-US" w:eastAsia="zh-CN"/>
              </w:rPr>
              <w:t>5.33</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3</w:t>
            </w: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d</w:t>
            </w:r>
            <w:r>
              <w:rPr>
                <w:rFonts w:hint="default" w:ascii="Times New Roman" w:hAnsi="Times New Roman" w:cs="Times New Roman"/>
                <w:caps w:val="0"/>
                <w:color w:val="auto"/>
                <w:spacing w:val="0"/>
                <w:position w:val="0"/>
                <w:highlight w:val="none"/>
                <w:lang w:eastAsia="zh-CN"/>
              </w:rPr>
              <w:t>），养护区四周设有导流槽，养护废水通过导流槽进入</w:t>
            </w:r>
            <w:r>
              <w:rPr>
                <w:rFonts w:hint="eastAsia" w:cs="Times New Roman"/>
                <w:caps w:val="0"/>
                <w:color w:val="auto"/>
                <w:spacing w:val="0"/>
                <w:position w:val="0"/>
                <w:highlight w:val="none"/>
                <w:lang w:val="en-US" w:eastAsia="zh-CN"/>
              </w:rPr>
              <w:t>3#</w:t>
            </w:r>
            <w:r>
              <w:rPr>
                <w:rFonts w:hint="default" w:ascii="Times New Roman" w:hAnsi="Times New Roman" w:cs="Times New Roman"/>
                <w:caps w:val="0"/>
                <w:color w:val="auto"/>
                <w:spacing w:val="0"/>
                <w:position w:val="0"/>
                <w:highlight w:val="none"/>
                <w:lang w:val="en-US" w:eastAsia="zh-CN"/>
              </w:rPr>
              <w:t>沉淀池</w:t>
            </w:r>
            <w:r>
              <w:rPr>
                <w:rFonts w:hint="default" w:ascii="Times New Roman" w:hAnsi="Times New Roman" w:cs="Times New Roman"/>
                <w:caps w:val="0"/>
                <w:color w:val="auto"/>
                <w:spacing w:val="0"/>
                <w:position w:val="0"/>
                <w:highlight w:val="none"/>
                <w:lang w:eastAsia="zh-CN"/>
              </w:rPr>
              <w:t>，</w:t>
            </w:r>
            <w:r>
              <w:rPr>
                <w:rFonts w:hint="eastAsia" w:cs="Times New Roman"/>
                <w:caps w:val="0"/>
                <w:color w:val="auto"/>
                <w:spacing w:val="0"/>
                <w:position w:val="0"/>
                <w:highlight w:val="none"/>
                <w:lang w:val="en-US" w:eastAsia="zh-CN"/>
              </w:rPr>
              <w:t>经</w:t>
            </w:r>
            <w:r>
              <w:rPr>
                <w:rFonts w:hint="default" w:ascii="Times New Roman" w:hAnsi="Times New Roman"/>
                <w:caps w:val="0"/>
                <w:color w:val="auto"/>
                <w:spacing w:val="0"/>
                <w:position w:val="0"/>
                <w:szCs w:val="21"/>
                <w:highlight w:val="none"/>
                <w:lang w:val="en-US" w:eastAsia="zh-CN" w:bidi="ar"/>
              </w:rPr>
              <w:t>氧化+絮凝沉淀</w:t>
            </w:r>
            <w:r>
              <w:rPr>
                <w:rFonts w:hint="eastAsia" w:cs="Times New Roman"/>
                <w:caps w:val="0"/>
                <w:color w:val="auto"/>
                <w:spacing w:val="0"/>
                <w:position w:val="0"/>
                <w:highlight w:val="none"/>
                <w:lang w:val="en-US" w:eastAsia="zh-CN"/>
              </w:rPr>
              <w:t>处理</w:t>
            </w:r>
            <w:r>
              <w:rPr>
                <w:rFonts w:hint="default" w:ascii="Times New Roman" w:hAnsi="Times New Roman" w:cs="Times New Roman"/>
                <w:caps w:val="0"/>
                <w:color w:val="auto"/>
                <w:spacing w:val="0"/>
                <w:position w:val="0"/>
                <w:highlight w:val="none"/>
                <w:lang w:eastAsia="zh-CN"/>
              </w:rPr>
              <w:t>后达《城市污水再生利用工业用水水质》（GB/T19923-2024）中洗涤水标准</w:t>
            </w:r>
            <w:r>
              <w:rPr>
                <w:rFonts w:hint="eastAsia" w:ascii="Times New Roman" w:hAnsi="Times New Roman" w:cs="Times New Roman"/>
                <w:caps w:val="0"/>
                <w:color w:val="auto"/>
                <w:spacing w:val="0"/>
                <w:position w:val="0"/>
                <w:highlight w:val="none"/>
                <w:lang w:eastAsia="zh-CN"/>
              </w:rPr>
              <w:t>、</w:t>
            </w:r>
            <w:r>
              <w:rPr>
                <w:rFonts w:hint="eastAsia"/>
                <w:caps w:val="0"/>
                <w:color w:val="auto"/>
                <w:spacing w:val="0"/>
                <w:position w:val="0"/>
                <w:highlight w:val="none"/>
                <w:lang w:eastAsia="zh-CN"/>
              </w:rPr>
              <w:t>《无机化学工业污染物排放标准》（GB31573-2015）修改单</w:t>
            </w:r>
            <w:r>
              <w:rPr>
                <w:rFonts w:hint="eastAsia"/>
                <w:caps w:val="0"/>
                <w:color w:val="auto"/>
                <w:spacing w:val="0"/>
                <w:position w:val="0"/>
                <w:highlight w:val="none"/>
              </w:rPr>
              <w:t>和《工业废水铊污染物排放标准》（DB36/1149-2019）标准</w:t>
            </w:r>
            <w:r>
              <w:rPr>
                <w:rFonts w:hint="eastAsia"/>
                <w:caps w:val="0"/>
                <w:color w:val="auto"/>
                <w:spacing w:val="0"/>
                <w:position w:val="0"/>
                <w:highlight w:val="none"/>
                <w:lang w:val="en-US" w:eastAsia="zh-CN"/>
              </w:rPr>
              <w:t>后</w:t>
            </w:r>
            <w:r>
              <w:rPr>
                <w:rFonts w:hint="default" w:ascii="Times New Roman" w:hAnsi="Times New Roman" w:cs="Times New Roman"/>
                <w:caps w:val="0"/>
                <w:color w:val="auto"/>
                <w:spacing w:val="0"/>
                <w:position w:val="0"/>
                <w:highlight w:val="none"/>
                <w:lang w:eastAsia="zh-CN"/>
              </w:rPr>
              <w:t>，回用于</w:t>
            </w:r>
            <w:r>
              <w:rPr>
                <w:rFonts w:hint="default" w:ascii="Times New Roman" w:hAnsi="Times New Roman" w:cs="Times New Roman"/>
                <w:caps w:val="0"/>
                <w:color w:val="auto"/>
                <w:spacing w:val="0"/>
                <w:position w:val="0"/>
                <w:highlight w:val="none"/>
                <w:lang w:val="en-US" w:eastAsia="zh-CN"/>
              </w:rPr>
              <w:t>养护用水</w:t>
            </w:r>
            <w:r>
              <w:rPr>
                <w:rFonts w:hint="default" w:ascii="Times New Roman" w:hAnsi="Times New Roman" w:cs="Times New Roman"/>
                <w:caps w:val="0"/>
                <w:color w:val="auto"/>
                <w:spacing w:val="0"/>
                <w:position w:val="0"/>
                <w:highlight w:val="none"/>
                <w:lang w:eastAsia="zh-CN"/>
              </w:rPr>
              <w:t>，不外排。</w:t>
            </w:r>
          </w:p>
          <w:p w14:paraId="483E84E5">
            <w:pPr>
              <w:keepNext w:val="0"/>
              <w:keepLines w:val="0"/>
              <w:widowControl w:val="0"/>
              <w:suppressLineNumbers w:val="0"/>
              <w:bidi w:val="0"/>
              <w:spacing w:before="0" w:beforeAutospacing="0" w:after="0" w:afterAutospacing="0" w:line="360" w:lineRule="auto"/>
              <w:ind w:left="0" w:right="0" w:firstLine="480" w:firstLineChars="200"/>
              <w:jc w:val="both"/>
              <w:rPr>
                <w:rFonts w:hint="default" w:ascii="Times New Roman" w:hAnsi="Times New Roman" w:eastAsia="宋体" w:cs="Times New Roman"/>
                <w:bCs/>
                <w:caps w:val="0"/>
                <w:color w:val="auto"/>
                <w:spacing w:val="0"/>
                <w:kern w:val="2"/>
                <w:position w:val="0"/>
                <w:sz w:val="24"/>
                <w:szCs w:val="24"/>
                <w:highlight w:val="none"/>
                <w:lang w:val="en-US" w:eastAsia="zh-CN" w:bidi="ar-SA"/>
              </w:rPr>
            </w:pPr>
            <w:r>
              <w:rPr>
                <w:rFonts w:hint="default" w:ascii="Times New Roman" w:hAnsi="Times New Roman" w:cs="Times New Roman"/>
                <w:caps w:val="0"/>
                <w:color w:val="auto"/>
                <w:spacing w:val="0"/>
                <w:position w:val="0"/>
                <w:highlight w:val="none"/>
              </w:rPr>
              <w:t>⑥</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初期雨水</w:t>
            </w:r>
          </w:p>
          <w:p w14:paraId="56E23C29">
            <w:pPr>
              <w:keepNext w:val="0"/>
              <w:keepLines w:val="0"/>
              <w:widowControl w:val="0"/>
              <w:suppressLineNumbers w:val="0"/>
              <w:bidi w:val="0"/>
              <w:spacing w:before="0" w:beforeAutospacing="0" w:after="0" w:afterAutospacing="0" w:line="360" w:lineRule="auto"/>
              <w:ind w:left="0" w:right="0" w:firstLine="480" w:firstLineChars="200"/>
              <w:jc w:val="both"/>
              <w:rPr>
                <w:rFonts w:hint="default" w:ascii="Times New Roman" w:hAnsi="Times New Roman" w:eastAsia="宋体" w:cs="Times New Roman"/>
                <w:caps w:val="0"/>
                <w:color w:val="auto"/>
                <w:spacing w:val="0"/>
                <w:position w:val="0"/>
                <w:sz w:val="24"/>
                <w:highlight w:val="none"/>
                <w:lang w:val="en-US" w:eastAsia="zh-CN"/>
              </w:rPr>
            </w:pPr>
            <w:r>
              <w:rPr>
                <w:rFonts w:hint="default" w:ascii="Times New Roman" w:hAnsi="Times New Roman" w:cs="Times New Roman"/>
                <w:caps w:val="0"/>
                <w:color w:val="auto"/>
                <w:spacing w:val="0"/>
                <w:position w:val="0"/>
                <w:sz w:val="24"/>
                <w:szCs w:val="24"/>
                <w:highlight w:val="none"/>
              </w:rPr>
              <w:t>项目厂区初期雨水收</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集面积约</w:t>
            </w:r>
            <w:r>
              <w:rPr>
                <w:rFonts w:hint="eastAsia" w:cs="Times New Roman"/>
                <w:bCs/>
                <w:caps w:val="0"/>
                <w:color w:val="auto"/>
                <w:spacing w:val="0"/>
                <w:kern w:val="2"/>
                <w:position w:val="0"/>
                <w:sz w:val="24"/>
                <w:szCs w:val="24"/>
                <w:highlight w:val="none"/>
                <w:lang w:val="en-US" w:eastAsia="zh-CN" w:bidi="ar-SA"/>
              </w:rPr>
              <w:t>22500</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m</w:t>
            </w:r>
            <w:r>
              <w:rPr>
                <w:rFonts w:hint="default" w:ascii="Times New Roman" w:hAnsi="Times New Roman" w:eastAsia="宋体" w:cs="Times New Roman"/>
                <w:bCs/>
                <w:caps w:val="0"/>
                <w:color w:val="auto"/>
                <w:spacing w:val="0"/>
                <w:kern w:val="2"/>
                <w:position w:val="0"/>
                <w:sz w:val="24"/>
                <w:szCs w:val="24"/>
                <w:highlight w:val="none"/>
                <w:vertAlign w:val="superscript"/>
                <w:lang w:val="en-US" w:eastAsia="zh-CN" w:bidi="ar-SA"/>
              </w:rPr>
              <w:t>2</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w:t>
            </w:r>
            <w:r>
              <w:rPr>
                <w:rFonts w:hint="default" w:ascii="Times New Roman" w:hAnsi="Times New Roman" w:eastAsia="宋体" w:cs="Times New Roman"/>
                <w:caps w:val="0"/>
                <w:color w:val="auto"/>
                <w:spacing w:val="0"/>
                <w:position w:val="0"/>
                <w:sz w:val="24"/>
                <w:highlight w:val="none"/>
              </w:rPr>
              <w:t>参考《石油化工给水排水系统设计规范》（SH/T3015-2019），本项目初期雨水产生量按15mm降雨量计算</w:t>
            </w:r>
            <w:r>
              <w:rPr>
                <w:rFonts w:hint="default" w:ascii="Times New Roman" w:hAnsi="Times New Roman" w:eastAsia="宋体" w:cs="Times New Roman"/>
                <w:caps w:val="0"/>
                <w:color w:val="auto"/>
                <w:spacing w:val="0"/>
                <w:position w:val="0"/>
                <w:sz w:val="24"/>
                <w:highlight w:val="none"/>
                <w:lang w:eastAsia="zh-CN"/>
              </w:rPr>
              <w:t>，</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最大初期收集水量</w:t>
            </w:r>
            <w:r>
              <w:rPr>
                <w:rFonts w:hint="eastAsia" w:cs="Times New Roman"/>
                <w:bCs/>
                <w:caps w:val="0"/>
                <w:color w:val="auto"/>
                <w:spacing w:val="0"/>
                <w:kern w:val="2"/>
                <w:position w:val="0"/>
                <w:sz w:val="24"/>
                <w:szCs w:val="24"/>
                <w:highlight w:val="none"/>
                <w:lang w:val="en-US" w:eastAsia="zh-CN" w:bidi="ar-SA"/>
              </w:rPr>
              <w:t>337.5</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m</w:t>
            </w:r>
            <w:r>
              <w:rPr>
                <w:rFonts w:hint="default" w:ascii="Times New Roman" w:hAnsi="Times New Roman" w:eastAsia="宋体" w:cs="Times New Roman"/>
                <w:bCs/>
                <w:caps w:val="0"/>
                <w:color w:val="auto"/>
                <w:spacing w:val="0"/>
                <w:kern w:val="2"/>
                <w:position w:val="0"/>
                <w:sz w:val="24"/>
                <w:szCs w:val="24"/>
                <w:highlight w:val="none"/>
                <w:vertAlign w:val="superscript"/>
                <w:lang w:val="en-US" w:eastAsia="zh-CN" w:bidi="ar-SA"/>
              </w:rPr>
              <w:t>3</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/次，全年按</w:t>
            </w:r>
            <w:r>
              <w:rPr>
                <w:rFonts w:hint="eastAsia" w:cs="Times New Roman"/>
                <w:bCs/>
                <w:caps w:val="0"/>
                <w:color w:val="auto"/>
                <w:spacing w:val="0"/>
                <w:kern w:val="2"/>
                <w:position w:val="0"/>
                <w:sz w:val="24"/>
                <w:szCs w:val="24"/>
                <w:highlight w:val="none"/>
                <w:lang w:val="en-US" w:eastAsia="zh-CN" w:bidi="ar-SA"/>
              </w:rPr>
              <w:t>2</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0次计算，初期雨水产生量</w:t>
            </w:r>
            <w:r>
              <w:rPr>
                <w:rFonts w:hint="eastAsia" w:cs="Times New Roman"/>
                <w:bCs/>
                <w:caps w:val="0"/>
                <w:color w:val="auto"/>
                <w:spacing w:val="0"/>
                <w:kern w:val="2"/>
                <w:position w:val="0"/>
                <w:sz w:val="24"/>
                <w:szCs w:val="24"/>
                <w:highlight w:val="none"/>
                <w:lang w:val="en-US" w:eastAsia="zh-CN" w:bidi="ar-SA"/>
              </w:rPr>
              <w:t>6750</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t/a（</w:t>
            </w:r>
            <w:r>
              <w:rPr>
                <w:rFonts w:hint="eastAsia" w:cs="Times New Roman"/>
                <w:bCs/>
                <w:caps w:val="0"/>
                <w:color w:val="auto"/>
                <w:spacing w:val="0"/>
                <w:kern w:val="2"/>
                <w:position w:val="0"/>
                <w:sz w:val="24"/>
                <w:szCs w:val="24"/>
                <w:highlight w:val="none"/>
                <w:lang w:val="en-US" w:eastAsia="zh-CN" w:bidi="ar-SA"/>
              </w:rPr>
              <w:t>22.5</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m</w:t>
            </w:r>
            <w:r>
              <w:rPr>
                <w:rFonts w:hint="default" w:ascii="Times New Roman" w:hAnsi="Times New Roman" w:eastAsia="宋体" w:cs="Times New Roman"/>
                <w:bCs/>
                <w:caps w:val="0"/>
                <w:color w:val="auto"/>
                <w:spacing w:val="0"/>
                <w:kern w:val="2"/>
                <w:position w:val="0"/>
                <w:sz w:val="24"/>
                <w:szCs w:val="24"/>
                <w:highlight w:val="none"/>
                <w:vertAlign w:val="superscript"/>
                <w:lang w:val="en-US" w:eastAsia="zh-CN" w:bidi="ar-SA"/>
              </w:rPr>
              <w:t>3</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/d），</w:t>
            </w:r>
            <w:r>
              <w:rPr>
                <w:rFonts w:hint="default" w:ascii="Times New Roman" w:hAnsi="Times New Roman" w:eastAsia="宋体" w:cs="Times New Roman"/>
                <w:caps w:val="0"/>
                <w:color w:val="auto"/>
                <w:spacing w:val="0"/>
                <w:position w:val="0"/>
                <w:highlight w:val="none"/>
                <w:lang w:val="en-US" w:eastAsia="zh-CN"/>
              </w:rPr>
              <w:t>其中20%损耗，则初期雨水回用量为</w:t>
            </w:r>
            <w:r>
              <w:rPr>
                <w:rFonts w:hint="eastAsia" w:cs="Times New Roman"/>
                <w:bCs/>
                <w:caps w:val="0"/>
                <w:color w:val="auto"/>
                <w:spacing w:val="0"/>
                <w:kern w:val="2"/>
                <w:position w:val="0"/>
                <w:sz w:val="24"/>
                <w:szCs w:val="24"/>
                <w:highlight w:val="none"/>
                <w:lang w:val="en-US" w:eastAsia="zh-CN" w:bidi="ar-SA"/>
              </w:rPr>
              <w:t>5400</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t/a（</w:t>
            </w:r>
            <w:r>
              <w:rPr>
                <w:rFonts w:hint="eastAsia" w:cs="Times New Roman"/>
                <w:bCs/>
                <w:caps w:val="0"/>
                <w:color w:val="auto"/>
                <w:spacing w:val="0"/>
                <w:kern w:val="2"/>
                <w:position w:val="0"/>
                <w:sz w:val="24"/>
                <w:szCs w:val="24"/>
                <w:highlight w:val="none"/>
                <w:lang w:val="en-US" w:eastAsia="zh-CN" w:bidi="ar-SA"/>
              </w:rPr>
              <w:t>18</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m</w:t>
            </w:r>
            <w:r>
              <w:rPr>
                <w:rFonts w:hint="default" w:ascii="Times New Roman" w:hAnsi="Times New Roman" w:eastAsia="宋体" w:cs="Times New Roman"/>
                <w:bCs/>
                <w:caps w:val="0"/>
                <w:color w:val="auto"/>
                <w:spacing w:val="0"/>
                <w:kern w:val="2"/>
                <w:position w:val="0"/>
                <w:sz w:val="24"/>
                <w:szCs w:val="24"/>
                <w:highlight w:val="none"/>
                <w:vertAlign w:val="superscript"/>
                <w:lang w:val="en-US" w:eastAsia="zh-CN" w:bidi="ar-SA"/>
              </w:rPr>
              <w:t>3</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/d）</w:t>
            </w:r>
            <w:r>
              <w:rPr>
                <w:rFonts w:hint="default" w:ascii="Times New Roman" w:hAnsi="Times New Roman" w:cs="Times New Roman"/>
                <w:bCs/>
                <w:caps w:val="0"/>
                <w:color w:val="auto"/>
                <w:spacing w:val="0"/>
                <w:kern w:val="2"/>
                <w:position w:val="0"/>
                <w:sz w:val="24"/>
                <w:szCs w:val="24"/>
                <w:highlight w:val="none"/>
                <w:lang w:val="en-US" w:eastAsia="zh-CN" w:bidi="ar-SA"/>
              </w:rPr>
              <w:t>。</w:t>
            </w:r>
            <w:r>
              <w:rPr>
                <w:rFonts w:hint="default" w:ascii="Times New Roman" w:hAnsi="Times New Roman" w:eastAsia="宋体" w:cs="Times New Roman"/>
                <w:b w:val="0"/>
                <w:bCs w:val="0"/>
                <w:caps w:val="0"/>
                <w:color w:val="auto"/>
                <w:spacing w:val="0"/>
                <w:position w:val="0"/>
                <w:sz w:val="24"/>
                <w:szCs w:val="24"/>
                <w:highlight w:val="none"/>
                <w:lang w:val="en-US" w:eastAsia="zh-CN"/>
              </w:rPr>
              <w:t>根据宜春市生态环境保护委员会办公室出具了《碳酸锂生产行业生态环境监管标准（试行）》（宜环委办字〔2023〕2号）文，</w:t>
            </w:r>
            <w:r>
              <w:rPr>
                <w:rFonts w:hint="default" w:ascii="Times New Roman" w:hAnsi="Times New Roman" w:eastAsia="宋体" w:cs="Times New Roman"/>
                <w:caps w:val="0"/>
                <w:color w:val="auto"/>
                <w:spacing w:val="0"/>
                <w:position w:val="0"/>
                <w:sz w:val="24"/>
                <w:szCs w:val="24"/>
                <w:highlight w:val="none"/>
              </w:rPr>
              <w:t>初期雨水收集池按照厂区面积不低于每公顷300立方</w:t>
            </w:r>
            <w:r>
              <w:rPr>
                <w:rFonts w:hint="default" w:ascii="Times New Roman" w:hAnsi="Times New Roman" w:eastAsia="宋体" w:cs="Times New Roman"/>
                <w:caps w:val="0"/>
                <w:color w:val="auto"/>
                <w:spacing w:val="0"/>
                <w:position w:val="0"/>
                <w:sz w:val="24"/>
                <w:szCs w:val="24"/>
                <w:highlight w:val="none"/>
                <w:lang w:val="en-US" w:eastAsia="zh-CN"/>
              </w:rPr>
              <w:t>米的标准建设，本项目占地面积</w:t>
            </w:r>
            <w:r>
              <w:rPr>
                <w:rFonts w:hint="eastAsia" w:cs="Times New Roman"/>
                <w:caps w:val="0"/>
                <w:color w:val="auto"/>
                <w:spacing w:val="0"/>
                <w:position w:val="0"/>
                <w:sz w:val="24"/>
                <w:szCs w:val="24"/>
                <w:highlight w:val="none"/>
                <w:lang w:val="en-US" w:eastAsia="zh-CN"/>
              </w:rPr>
              <w:t>2.25</w:t>
            </w:r>
            <w:r>
              <w:rPr>
                <w:rFonts w:hint="default" w:ascii="Times New Roman" w:hAnsi="Times New Roman" w:eastAsia="宋体" w:cs="Times New Roman"/>
                <w:caps w:val="0"/>
                <w:color w:val="auto"/>
                <w:spacing w:val="0"/>
                <w:position w:val="0"/>
                <w:sz w:val="24"/>
                <w:szCs w:val="24"/>
                <w:highlight w:val="none"/>
                <w:lang w:val="en-US" w:eastAsia="zh-CN"/>
              </w:rPr>
              <w:t>公顷，在满足一次收集量的情况下，需要建设不低于</w:t>
            </w:r>
            <w:r>
              <w:rPr>
                <w:rFonts w:hint="eastAsia" w:cs="Times New Roman"/>
                <w:caps w:val="0"/>
                <w:color w:val="auto"/>
                <w:spacing w:val="0"/>
                <w:position w:val="0"/>
                <w:sz w:val="24"/>
                <w:szCs w:val="24"/>
                <w:highlight w:val="none"/>
                <w:lang w:val="en-US" w:eastAsia="zh-CN"/>
              </w:rPr>
              <w:t>675</w:t>
            </w:r>
            <w:r>
              <w:rPr>
                <w:rFonts w:hint="default" w:ascii="Times New Roman" w:hAnsi="Times New Roman" w:eastAsia="宋体" w:cs="Times New Roman"/>
                <w:caps w:val="0"/>
                <w:color w:val="auto"/>
                <w:spacing w:val="0"/>
                <w:position w:val="0"/>
                <w:sz w:val="24"/>
                <w:szCs w:val="24"/>
                <w:highlight w:val="none"/>
                <w:lang w:val="en-US" w:eastAsia="zh-CN"/>
              </w:rPr>
              <w:t>m</w:t>
            </w:r>
            <w:r>
              <w:rPr>
                <w:rFonts w:hint="default" w:ascii="Times New Roman" w:hAnsi="Times New Roman" w:eastAsia="宋体" w:cs="Times New Roman"/>
                <w:caps w:val="0"/>
                <w:color w:val="auto"/>
                <w:spacing w:val="0"/>
                <w:position w:val="0"/>
                <w:sz w:val="24"/>
                <w:szCs w:val="24"/>
                <w:highlight w:val="none"/>
                <w:vertAlign w:val="superscript"/>
                <w:lang w:val="en-US" w:eastAsia="zh-CN"/>
              </w:rPr>
              <w:t>3</w:t>
            </w:r>
            <w:r>
              <w:rPr>
                <w:rFonts w:hint="default" w:ascii="Times New Roman" w:hAnsi="Times New Roman" w:eastAsia="宋体" w:cs="Times New Roman"/>
                <w:caps w:val="0"/>
                <w:color w:val="auto"/>
                <w:spacing w:val="0"/>
                <w:position w:val="0"/>
                <w:sz w:val="24"/>
                <w:szCs w:val="24"/>
                <w:highlight w:val="none"/>
                <w:lang w:val="en-US" w:eastAsia="zh-CN"/>
              </w:rPr>
              <w:t>的初期雨水池，本次拟在</w:t>
            </w:r>
            <w:r>
              <w:rPr>
                <w:rFonts w:hint="default" w:ascii="Times New Roman" w:hAnsi="Times New Roman" w:eastAsia="宋体" w:cs="Times New Roman"/>
                <w:caps w:val="0"/>
                <w:color w:val="auto"/>
                <w:spacing w:val="0"/>
                <w:position w:val="0"/>
                <w:sz w:val="24"/>
                <w:szCs w:val="24"/>
                <w:highlight w:val="none"/>
              </w:rPr>
              <w:t>厂区</w:t>
            </w:r>
            <w:r>
              <w:rPr>
                <w:rFonts w:hint="eastAsia" w:cs="Times New Roman"/>
                <w:caps w:val="0"/>
                <w:color w:val="auto"/>
                <w:spacing w:val="0"/>
                <w:position w:val="0"/>
                <w:sz w:val="24"/>
                <w:szCs w:val="24"/>
                <w:highlight w:val="none"/>
                <w:lang w:val="en-US" w:eastAsia="zh-CN"/>
              </w:rPr>
              <w:t>西南侧</w:t>
            </w:r>
            <w:r>
              <w:rPr>
                <w:rFonts w:hint="default" w:ascii="Times New Roman" w:hAnsi="Times New Roman" w:eastAsia="宋体" w:cs="Times New Roman"/>
                <w:caps w:val="0"/>
                <w:color w:val="auto"/>
                <w:spacing w:val="0"/>
                <w:position w:val="0"/>
                <w:sz w:val="24"/>
                <w:szCs w:val="24"/>
                <w:highlight w:val="none"/>
                <w:lang w:val="en-US" w:eastAsia="zh-CN"/>
              </w:rPr>
              <w:t>设置</w:t>
            </w:r>
            <w:r>
              <w:rPr>
                <w:rFonts w:hint="default" w:ascii="Times New Roman" w:hAnsi="Times New Roman" w:eastAsia="宋体" w:cs="Times New Roman"/>
                <w:caps w:val="0"/>
                <w:color w:val="auto"/>
                <w:spacing w:val="0"/>
                <w:position w:val="0"/>
                <w:sz w:val="24"/>
                <w:szCs w:val="24"/>
                <w:highlight w:val="none"/>
              </w:rPr>
              <w:t>1座有效容积为</w:t>
            </w:r>
            <w:r>
              <w:rPr>
                <w:rFonts w:hint="eastAsia" w:cs="Times New Roman"/>
                <w:caps w:val="0"/>
                <w:color w:val="auto"/>
                <w:spacing w:val="0"/>
                <w:position w:val="0"/>
                <w:sz w:val="24"/>
                <w:szCs w:val="24"/>
                <w:highlight w:val="none"/>
                <w:lang w:val="en-US" w:eastAsia="zh-CN"/>
              </w:rPr>
              <w:t>70</w:t>
            </w:r>
            <w:r>
              <w:rPr>
                <w:rFonts w:hint="default" w:ascii="Times New Roman" w:hAnsi="Times New Roman" w:eastAsia="宋体" w:cs="Times New Roman"/>
                <w:caps w:val="0"/>
                <w:color w:val="auto"/>
                <w:spacing w:val="0"/>
                <w:position w:val="0"/>
                <w:sz w:val="24"/>
                <w:szCs w:val="24"/>
                <w:highlight w:val="none"/>
                <w:lang w:val="en-US" w:eastAsia="zh-CN"/>
              </w:rPr>
              <w:t>0</w:t>
            </w:r>
            <w:r>
              <w:rPr>
                <w:rFonts w:hint="default" w:ascii="Times New Roman" w:hAnsi="Times New Roman" w:eastAsia="宋体" w:cs="Times New Roman"/>
                <w:caps w:val="0"/>
                <w:color w:val="auto"/>
                <w:spacing w:val="0"/>
                <w:position w:val="0"/>
                <w:sz w:val="24"/>
                <w:szCs w:val="24"/>
                <w:highlight w:val="none"/>
              </w:rPr>
              <w:t>m</w:t>
            </w:r>
            <w:r>
              <w:rPr>
                <w:rFonts w:hint="default" w:ascii="Times New Roman" w:hAnsi="Times New Roman" w:eastAsia="宋体" w:cs="Times New Roman"/>
                <w:caps w:val="0"/>
                <w:color w:val="auto"/>
                <w:spacing w:val="0"/>
                <w:position w:val="0"/>
                <w:sz w:val="24"/>
                <w:szCs w:val="24"/>
                <w:highlight w:val="none"/>
                <w:vertAlign w:val="superscript"/>
              </w:rPr>
              <w:t>3</w:t>
            </w:r>
            <w:r>
              <w:rPr>
                <w:rFonts w:hint="default" w:ascii="Times New Roman" w:hAnsi="Times New Roman" w:eastAsia="宋体" w:cs="Times New Roman"/>
                <w:caps w:val="0"/>
                <w:color w:val="auto"/>
                <w:spacing w:val="0"/>
                <w:position w:val="0"/>
                <w:sz w:val="24"/>
                <w:szCs w:val="24"/>
                <w:highlight w:val="none"/>
              </w:rPr>
              <w:t>的初期雨水池，能满足</w:t>
            </w:r>
            <w:r>
              <w:rPr>
                <w:rFonts w:hint="default" w:ascii="Times New Roman" w:hAnsi="Times New Roman" w:eastAsia="宋体" w:cs="Times New Roman"/>
                <w:caps w:val="0"/>
                <w:color w:val="auto"/>
                <w:spacing w:val="0"/>
                <w:position w:val="0"/>
                <w:sz w:val="24"/>
                <w:szCs w:val="24"/>
                <w:highlight w:val="none"/>
                <w:lang w:val="en-US" w:eastAsia="zh-CN"/>
              </w:rPr>
              <w:t>要求</w:t>
            </w:r>
            <w:r>
              <w:rPr>
                <w:rFonts w:hint="default" w:ascii="Times New Roman" w:hAnsi="Times New Roman" w:eastAsia="宋体" w:cs="Times New Roman"/>
                <w:caps w:val="0"/>
                <w:color w:val="auto"/>
                <w:spacing w:val="0"/>
                <w:position w:val="0"/>
                <w:sz w:val="24"/>
                <w:szCs w:val="24"/>
                <w:highlight w:val="none"/>
              </w:rPr>
              <w:t>。</w:t>
            </w:r>
            <w:r>
              <w:rPr>
                <w:rFonts w:hint="eastAsia" w:cs="Times New Roman"/>
                <w:caps w:val="0"/>
                <w:color w:val="auto"/>
                <w:spacing w:val="0"/>
                <w:position w:val="0"/>
                <w:sz w:val="24"/>
                <w:highlight w:val="none"/>
                <w:lang w:val="en-US" w:eastAsia="zh-CN"/>
              </w:rPr>
              <w:t>项目初期雨水</w:t>
            </w:r>
            <w:r>
              <w:rPr>
                <w:rFonts w:hint="default" w:ascii="Times New Roman" w:hAnsi="Times New Roman" w:cs="Times New Roman"/>
                <w:caps w:val="0"/>
                <w:color w:val="auto"/>
                <w:spacing w:val="0"/>
                <w:position w:val="0"/>
                <w:highlight w:val="none"/>
                <w:lang w:val="en-US" w:eastAsia="zh-CN"/>
              </w:rPr>
              <w:t>经</w:t>
            </w:r>
            <w:r>
              <w:rPr>
                <w:rFonts w:hint="eastAsia" w:cs="Times New Roman"/>
                <w:caps w:val="0"/>
                <w:color w:val="auto"/>
                <w:spacing w:val="0"/>
                <w:position w:val="0"/>
                <w:highlight w:val="none"/>
                <w:lang w:val="en-US" w:eastAsia="zh-CN"/>
              </w:rPr>
              <w:t>氧化+絮凝沉淀</w:t>
            </w:r>
            <w:r>
              <w:rPr>
                <w:rFonts w:hint="default" w:ascii="Times New Roman" w:hAnsi="Times New Roman" w:cs="Times New Roman"/>
                <w:caps w:val="0"/>
                <w:color w:val="auto"/>
                <w:spacing w:val="0"/>
                <w:position w:val="0"/>
                <w:highlight w:val="none"/>
                <w:lang w:val="en-US" w:eastAsia="zh-CN"/>
              </w:rPr>
              <w:t>处理后达到《城市污水再生利用工业用水水质》（GB/T19923-2024）、</w:t>
            </w:r>
            <w:r>
              <w:rPr>
                <w:rFonts w:hint="eastAsia" w:cs="Times New Roman"/>
                <w:caps w:val="0"/>
                <w:color w:val="auto"/>
                <w:spacing w:val="0"/>
                <w:position w:val="0"/>
                <w:highlight w:val="none"/>
                <w:lang w:val="en-US" w:eastAsia="zh-CN"/>
              </w:rPr>
              <w:t>《无机化学工业污染物排放标准》（GB31573-2015）修改单</w:t>
            </w:r>
            <w:r>
              <w:rPr>
                <w:rFonts w:hint="default" w:ascii="Times New Roman" w:hAnsi="Times New Roman" w:cs="Times New Roman"/>
                <w:caps w:val="0"/>
                <w:color w:val="auto"/>
                <w:spacing w:val="0"/>
                <w:position w:val="0"/>
                <w:highlight w:val="none"/>
                <w:lang w:val="en-US" w:eastAsia="zh-CN"/>
              </w:rPr>
              <w:t>《工业废水铊污染物排放标准》（DB36/1149-2019）标准中的较严值后，回用于</w:t>
            </w:r>
            <w:r>
              <w:rPr>
                <w:rFonts w:hint="eastAsia" w:cs="Times New Roman"/>
                <w:caps w:val="0"/>
                <w:color w:val="auto"/>
                <w:spacing w:val="0"/>
                <w:position w:val="0"/>
                <w:highlight w:val="none"/>
                <w:lang w:val="en-US" w:eastAsia="zh-CN"/>
              </w:rPr>
              <w:t>搅拌</w:t>
            </w:r>
            <w:r>
              <w:rPr>
                <w:rFonts w:hint="default" w:ascii="Times New Roman" w:hAnsi="Times New Roman" w:cs="Times New Roman"/>
                <w:caps w:val="0"/>
                <w:color w:val="auto"/>
                <w:spacing w:val="0"/>
                <w:position w:val="0"/>
                <w:highlight w:val="none"/>
                <w:lang w:val="en-US" w:eastAsia="zh-CN"/>
              </w:rPr>
              <w:t>用水</w:t>
            </w:r>
            <w:r>
              <w:rPr>
                <w:rFonts w:hint="eastAsia" w:cs="Times New Roman"/>
                <w:caps w:val="0"/>
                <w:color w:val="auto"/>
                <w:spacing w:val="0"/>
                <w:position w:val="0"/>
                <w:highlight w:val="none"/>
                <w:lang w:val="en-US" w:eastAsia="zh-CN"/>
              </w:rPr>
              <w:t>和降尘用水</w:t>
            </w:r>
            <w:r>
              <w:rPr>
                <w:rFonts w:hint="default" w:ascii="Times New Roman" w:hAnsi="Times New Roman" w:cs="Times New Roman"/>
                <w:caps w:val="0"/>
                <w:color w:val="auto"/>
                <w:spacing w:val="0"/>
                <w:position w:val="0"/>
                <w:highlight w:val="none"/>
                <w:lang w:val="en-US" w:eastAsia="zh-CN"/>
              </w:rPr>
              <w:t>。</w:t>
            </w:r>
            <w:r>
              <w:rPr>
                <w:rFonts w:hint="eastAsia" w:cs="Times New Roman"/>
                <w:caps w:val="0"/>
                <w:color w:val="auto"/>
                <w:spacing w:val="0"/>
                <w:position w:val="0"/>
                <w:highlight w:val="none"/>
                <w:lang w:val="en-US" w:eastAsia="zh-CN"/>
              </w:rPr>
              <w:t>处理后的初期雨水储存于</w:t>
            </w:r>
            <w:r>
              <w:rPr>
                <w:rFonts w:hint="default" w:ascii="Times New Roman" w:hAnsi="Times New Roman" w:eastAsia="宋体" w:cs="Times New Roman"/>
                <w:caps w:val="0"/>
                <w:color w:val="auto"/>
                <w:spacing w:val="0"/>
                <w:position w:val="0"/>
                <w:sz w:val="21"/>
                <w:szCs w:val="21"/>
                <w:highlight w:val="none"/>
                <w:lang w:val="en-US" w:eastAsia="zh-CN"/>
              </w:rPr>
              <w:t>1#</w:t>
            </w:r>
            <w:r>
              <w:rPr>
                <w:rFonts w:hint="default" w:ascii="Times New Roman" w:hAnsi="Times New Roman" w:cs="Times New Roman"/>
                <w:caps w:val="0"/>
                <w:color w:val="auto"/>
                <w:spacing w:val="0"/>
                <w:position w:val="0"/>
                <w:highlight w:val="none"/>
              </w:rPr>
              <w:t>沉淀</w:t>
            </w:r>
            <w:r>
              <w:rPr>
                <w:rFonts w:hint="default" w:ascii="Times New Roman" w:hAnsi="Times New Roman" w:cs="Times New Roman"/>
                <w:caps w:val="0"/>
                <w:color w:val="auto"/>
                <w:spacing w:val="0"/>
                <w:position w:val="0"/>
                <w:highlight w:val="none"/>
                <w:lang w:val="en-US" w:eastAsia="zh-CN"/>
              </w:rPr>
              <w:t>池</w:t>
            </w:r>
            <w:r>
              <w:rPr>
                <w:rFonts w:hint="eastAsia" w:cs="Times New Roman"/>
                <w:caps w:val="0"/>
                <w:color w:val="auto"/>
                <w:spacing w:val="0"/>
                <w:position w:val="0"/>
                <w:highlight w:val="none"/>
                <w:lang w:val="en-US" w:eastAsia="zh-CN"/>
              </w:rPr>
              <w:t>。</w:t>
            </w:r>
          </w:p>
          <w:p w14:paraId="565304B6">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⑦生活用水</w:t>
            </w:r>
          </w:p>
          <w:p w14:paraId="5B7FE358">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eastAsia="宋体" w:cs="Times New Roman"/>
                <w:caps w:val="0"/>
                <w:color w:val="auto"/>
                <w:spacing w:val="0"/>
                <w:position w:val="0"/>
                <w:sz w:val="24"/>
                <w:highlight w:val="none"/>
              </w:rPr>
              <w:t>本项目员工定额为</w:t>
            </w:r>
            <w:r>
              <w:rPr>
                <w:rFonts w:hint="default" w:ascii="Times New Roman" w:hAnsi="Times New Roman" w:eastAsia="宋体" w:cs="Times New Roman"/>
                <w:caps w:val="0"/>
                <w:color w:val="auto"/>
                <w:spacing w:val="0"/>
                <w:position w:val="0"/>
                <w:sz w:val="24"/>
                <w:highlight w:val="none"/>
                <w:lang w:val="en-US" w:eastAsia="zh-CN"/>
              </w:rPr>
              <w:t>20</w:t>
            </w:r>
            <w:r>
              <w:rPr>
                <w:rFonts w:hint="default" w:ascii="Times New Roman" w:hAnsi="Times New Roman" w:eastAsia="宋体" w:cs="Times New Roman"/>
                <w:caps w:val="0"/>
                <w:color w:val="auto"/>
                <w:spacing w:val="0"/>
                <w:position w:val="0"/>
                <w:sz w:val="24"/>
                <w:highlight w:val="none"/>
              </w:rPr>
              <w:t>人，</w:t>
            </w:r>
            <w:r>
              <w:rPr>
                <w:rFonts w:hint="default" w:ascii="Times New Roman" w:hAnsi="Times New Roman" w:eastAsia="宋体" w:cs="Times New Roman"/>
                <w:caps w:val="0"/>
                <w:color w:val="auto"/>
                <w:spacing w:val="0"/>
                <w:kern w:val="2"/>
                <w:position w:val="0"/>
                <w:sz w:val="24"/>
                <w:szCs w:val="24"/>
                <w:highlight w:val="none"/>
                <w:lang w:val="en-US" w:eastAsia="zh-CN" w:bidi="ar-SA"/>
              </w:rPr>
              <w:t>根据建设单位提供的资料，项目员工人数共计20人，不在厂内食宿，根据《生活及服务业用水定额 第1部分：公共机构》（DB36/T1827.1-2023）</w:t>
            </w:r>
            <w:r>
              <w:rPr>
                <w:rFonts w:hint="default" w:ascii="Times New Roman" w:hAnsi="Times New Roman" w:eastAsia="宋体" w:cs="Times New Roman"/>
                <w:caps w:val="0"/>
                <w:color w:val="auto"/>
                <w:spacing w:val="0"/>
                <w:position w:val="0"/>
                <w:sz w:val="24"/>
                <w:highlight w:val="none"/>
                <w:lang w:eastAsia="zh-CN"/>
              </w:rPr>
              <w:t>，</w:t>
            </w:r>
            <w:r>
              <w:rPr>
                <w:rFonts w:hint="default" w:ascii="Times New Roman" w:hAnsi="Times New Roman" w:eastAsia="宋体" w:cs="Times New Roman"/>
                <w:caps w:val="0"/>
                <w:color w:val="auto"/>
                <w:spacing w:val="0"/>
                <w:position w:val="0"/>
                <w:sz w:val="24"/>
                <w:highlight w:val="none"/>
              </w:rPr>
              <w:t>员工生活用水量按照</w:t>
            </w:r>
            <w:r>
              <w:rPr>
                <w:rFonts w:hint="default" w:ascii="Times New Roman" w:hAnsi="Times New Roman" w:eastAsia="宋体" w:cs="Times New Roman"/>
                <w:caps w:val="0"/>
                <w:color w:val="auto"/>
                <w:spacing w:val="0"/>
                <w:position w:val="0"/>
                <w:sz w:val="24"/>
                <w:highlight w:val="none"/>
                <w:lang w:val="en-US" w:eastAsia="zh-CN"/>
              </w:rPr>
              <w:t>18m</w:t>
            </w:r>
            <w:r>
              <w:rPr>
                <w:rFonts w:hint="default" w:ascii="Times New Roman" w:hAnsi="Times New Roman" w:eastAsia="宋体" w:cs="Times New Roman"/>
                <w:caps w:val="0"/>
                <w:color w:val="auto"/>
                <w:spacing w:val="0"/>
                <w:position w:val="0"/>
                <w:sz w:val="24"/>
                <w:highlight w:val="none"/>
                <w:vertAlign w:val="superscript"/>
                <w:lang w:val="en-US" w:eastAsia="zh-CN"/>
              </w:rPr>
              <w:t>3</w:t>
            </w:r>
            <w:r>
              <w:rPr>
                <w:rFonts w:hint="default" w:ascii="Times New Roman" w:hAnsi="Times New Roman" w:eastAsia="宋体" w:cs="Times New Roman"/>
                <w:caps w:val="0"/>
                <w:color w:val="auto"/>
                <w:spacing w:val="0"/>
                <w:position w:val="0"/>
                <w:sz w:val="24"/>
                <w:highlight w:val="none"/>
              </w:rPr>
              <w:t>/（人•</w:t>
            </w:r>
            <w:r>
              <w:rPr>
                <w:rFonts w:hint="default" w:ascii="Times New Roman" w:hAnsi="Times New Roman" w:eastAsia="宋体" w:cs="Times New Roman"/>
                <w:caps w:val="0"/>
                <w:color w:val="auto"/>
                <w:spacing w:val="0"/>
                <w:position w:val="0"/>
                <w:sz w:val="24"/>
                <w:highlight w:val="none"/>
                <w:lang w:val="en-US" w:eastAsia="zh-CN"/>
              </w:rPr>
              <w:t>a</w:t>
            </w:r>
            <w:r>
              <w:rPr>
                <w:rFonts w:hint="default" w:ascii="Times New Roman" w:hAnsi="Times New Roman" w:eastAsia="宋体" w:cs="Times New Roman"/>
                <w:caps w:val="0"/>
                <w:color w:val="auto"/>
                <w:spacing w:val="0"/>
                <w:position w:val="0"/>
                <w:sz w:val="24"/>
                <w:highlight w:val="none"/>
              </w:rPr>
              <w:t>）计，则员工生活用水量为</w:t>
            </w:r>
            <w:r>
              <w:rPr>
                <w:rFonts w:hint="default" w:ascii="Times New Roman" w:hAnsi="Times New Roman" w:eastAsia="宋体" w:cs="Times New Roman"/>
                <w:caps w:val="0"/>
                <w:color w:val="auto"/>
                <w:spacing w:val="0"/>
                <w:position w:val="0"/>
                <w:sz w:val="24"/>
                <w:highlight w:val="none"/>
                <w:lang w:val="en-US" w:eastAsia="zh-CN"/>
              </w:rPr>
              <w:t>1.2</w:t>
            </w:r>
            <w:r>
              <w:rPr>
                <w:rFonts w:hint="default" w:ascii="Times New Roman" w:hAnsi="Times New Roman" w:eastAsia="宋体" w:cs="Times New Roman"/>
                <w:caps w:val="0"/>
                <w:color w:val="auto"/>
                <w:spacing w:val="0"/>
                <w:position w:val="0"/>
                <w:sz w:val="24"/>
                <w:highlight w:val="none"/>
              </w:rPr>
              <w:t>m</w:t>
            </w:r>
            <w:r>
              <w:rPr>
                <w:rFonts w:hint="default" w:ascii="Times New Roman" w:hAnsi="Times New Roman" w:eastAsia="宋体" w:cs="Times New Roman"/>
                <w:caps w:val="0"/>
                <w:color w:val="auto"/>
                <w:spacing w:val="0"/>
                <w:position w:val="0"/>
                <w:sz w:val="24"/>
                <w:highlight w:val="none"/>
                <w:vertAlign w:val="superscript"/>
              </w:rPr>
              <w:t>3</w:t>
            </w:r>
            <w:r>
              <w:rPr>
                <w:rFonts w:hint="default" w:ascii="Times New Roman" w:hAnsi="Times New Roman" w:eastAsia="宋体" w:cs="Times New Roman"/>
                <w:caps w:val="0"/>
                <w:color w:val="auto"/>
                <w:spacing w:val="0"/>
                <w:position w:val="0"/>
                <w:sz w:val="24"/>
                <w:highlight w:val="none"/>
              </w:rPr>
              <w:t>/d，</w:t>
            </w:r>
            <w:r>
              <w:rPr>
                <w:rFonts w:hint="default" w:ascii="Times New Roman" w:hAnsi="Times New Roman" w:eastAsia="宋体" w:cs="Times New Roman"/>
                <w:caps w:val="0"/>
                <w:color w:val="auto"/>
                <w:spacing w:val="0"/>
                <w:position w:val="0"/>
                <w:sz w:val="24"/>
                <w:highlight w:val="none"/>
                <w:lang w:val="en-US" w:eastAsia="zh-CN"/>
              </w:rPr>
              <w:t>360</w:t>
            </w:r>
            <w:r>
              <w:rPr>
                <w:rFonts w:hint="default" w:ascii="Times New Roman" w:hAnsi="Times New Roman" w:eastAsia="宋体" w:cs="Times New Roman"/>
                <w:caps w:val="0"/>
                <w:color w:val="auto"/>
                <w:spacing w:val="0"/>
                <w:position w:val="0"/>
                <w:sz w:val="24"/>
                <w:highlight w:val="none"/>
              </w:rPr>
              <w:t>m</w:t>
            </w:r>
            <w:r>
              <w:rPr>
                <w:rFonts w:hint="default" w:ascii="Times New Roman" w:hAnsi="Times New Roman" w:eastAsia="宋体" w:cs="Times New Roman"/>
                <w:caps w:val="0"/>
                <w:color w:val="auto"/>
                <w:spacing w:val="0"/>
                <w:position w:val="0"/>
                <w:sz w:val="24"/>
                <w:highlight w:val="none"/>
                <w:vertAlign w:val="superscript"/>
              </w:rPr>
              <w:t>3</w:t>
            </w:r>
            <w:r>
              <w:rPr>
                <w:rFonts w:hint="default" w:ascii="Times New Roman" w:hAnsi="Times New Roman" w:eastAsia="宋体" w:cs="Times New Roman"/>
                <w:caps w:val="0"/>
                <w:color w:val="auto"/>
                <w:spacing w:val="0"/>
                <w:position w:val="0"/>
                <w:sz w:val="24"/>
                <w:highlight w:val="none"/>
              </w:rPr>
              <w:t>/a，产污系数以80%计，生活污水量</w:t>
            </w:r>
            <w:r>
              <w:rPr>
                <w:rFonts w:hint="default" w:ascii="Times New Roman" w:hAnsi="Times New Roman" w:eastAsia="宋体" w:cs="Times New Roman"/>
                <w:caps w:val="0"/>
                <w:color w:val="auto"/>
                <w:spacing w:val="0"/>
                <w:position w:val="0"/>
                <w:sz w:val="24"/>
                <w:highlight w:val="none"/>
                <w:lang w:val="en-US" w:eastAsia="zh-CN"/>
              </w:rPr>
              <w:t>0.96</w:t>
            </w:r>
            <w:r>
              <w:rPr>
                <w:rFonts w:hint="default" w:ascii="Times New Roman" w:hAnsi="Times New Roman" w:eastAsia="宋体" w:cs="Times New Roman"/>
                <w:caps w:val="0"/>
                <w:color w:val="auto"/>
                <w:spacing w:val="0"/>
                <w:position w:val="0"/>
                <w:sz w:val="24"/>
                <w:highlight w:val="none"/>
              </w:rPr>
              <w:t>m</w:t>
            </w:r>
            <w:r>
              <w:rPr>
                <w:rFonts w:hint="default" w:ascii="Times New Roman" w:hAnsi="Times New Roman" w:eastAsia="宋体" w:cs="Times New Roman"/>
                <w:caps w:val="0"/>
                <w:color w:val="auto"/>
                <w:spacing w:val="0"/>
                <w:position w:val="0"/>
                <w:sz w:val="24"/>
                <w:highlight w:val="none"/>
                <w:vertAlign w:val="superscript"/>
              </w:rPr>
              <w:t>3</w:t>
            </w:r>
            <w:r>
              <w:rPr>
                <w:rFonts w:hint="default" w:ascii="Times New Roman" w:hAnsi="Times New Roman" w:eastAsia="宋体" w:cs="Times New Roman"/>
                <w:caps w:val="0"/>
                <w:color w:val="auto"/>
                <w:spacing w:val="0"/>
                <w:position w:val="0"/>
                <w:sz w:val="24"/>
                <w:highlight w:val="none"/>
              </w:rPr>
              <w:t>/d，</w:t>
            </w:r>
            <w:r>
              <w:rPr>
                <w:rFonts w:hint="default" w:ascii="Times New Roman" w:hAnsi="Times New Roman" w:eastAsia="宋体" w:cs="Times New Roman"/>
                <w:caps w:val="0"/>
                <w:color w:val="auto"/>
                <w:spacing w:val="0"/>
                <w:position w:val="0"/>
                <w:sz w:val="24"/>
                <w:highlight w:val="none"/>
                <w:lang w:val="en-US" w:eastAsia="zh-CN"/>
              </w:rPr>
              <w:t>288</w:t>
            </w:r>
            <w:r>
              <w:rPr>
                <w:rFonts w:hint="default" w:ascii="Times New Roman" w:hAnsi="Times New Roman" w:eastAsia="宋体" w:cs="Times New Roman"/>
                <w:caps w:val="0"/>
                <w:color w:val="auto"/>
                <w:spacing w:val="0"/>
                <w:position w:val="0"/>
                <w:sz w:val="24"/>
                <w:highlight w:val="none"/>
              </w:rPr>
              <w:t>m</w:t>
            </w:r>
            <w:r>
              <w:rPr>
                <w:rFonts w:hint="default" w:ascii="Times New Roman" w:hAnsi="Times New Roman" w:eastAsia="宋体" w:cs="Times New Roman"/>
                <w:caps w:val="0"/>
                <w:color w:val="auto"/>
                <w:spacing w:val="0"/>
                <w:position w:val="0"/>
                <w:sz w:val="24"/>
                <w:highlight w:val="none"/>
                <w:vertAlign w:val="superscript"/>
              </w:rPr>
              <w:t>3</w:t>
            </w:r>
            <w:r>
              <w:rPr>
                <w:rFonts w:hint="default" w:ascii="Times New Roman" w:hAnsi="Times New Roman" w:eastAsia="宋体" w:cs="Times New Roman"/>
                <w:caps w:val="0"/>
                <w:color w:val="auto"/>
                <w:spacing w:val="0"/>
                <w:position w:val="0"/>
                <w:sz w:val="24"/>
                <w:highlight w:val="none"/>
              </w:rPr>
              <w:t>/a。</w:t>
            </w:r>
            <w:r>
              <w:rPr>
                <w:rFonts w:hint="default" w:ascii="Times New Roman" w:hAnsi="Times New Roman" w:eastAsia="宋体" w:cs="Times New Roman"/>
                <w:caps w:val="0"/>
                <w:color w:val="auto"/>
                <w:spacing w:val="0"/>
                <w:position w:val="0"/>
                <w:sz w:val="24"/>
                <w:highlight w:val="none"/>
                <w:lang w:val="en-US" w:eastAsia="zh-CN"/>
              </w:rPr>
              <w:t>生活污水经</w:t>
            </w:r>
            <w:r>
              <w:rPr>
                <w:rFonts w:hint="eastAsia" w:ascii="Times New Roman" w:hAnsi="Times New Roman" w:eastAsia="宋体" w:cs="Times New Roman"/>
                <w:caps w:val="0"/>
                <w:color w:val="auto"/>
                <w:spacing w:val="0"/>
                <w:position w:val="0"/>
                <w:sz w:val="24"/>
                <w:highlight w:val="none"/>
                <w:lang w:val="en-US" w:eastAsia="zh-CN"/>
              </w:rPr>
              <w:t>化粪池</w:t>
            </w:r>
            <w:r>
              <w:rPr>
                <w:rFonts w:hint="default" w:ascii="Times New Roman" w:hAnsi="Times New Roman" w:eastAsia="宋体" w:cs="Times New Roman"/>
                <w:caps w:val="0"/>
                <w:color w:val="auto"/>
                <w:spacing w:val="0"/>
                <w:position w:val="0"/>
                <w:sz w:val="24"/>
                <w:highlight w:val="none"/>
                <w:lang w:val="en-US" w:eastAsia="zh-CN"/>
              </w:rPr>
              <w:t>处理后达到《农田灌溉水质标准》（GB5084-2021）表1中旱作标准后用于林地灌溉，不外排。</w:t>
            </w:r>
          </w:p>
          <w:p w14:paraId="2A3FDC02">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aps w:val="0"/>
                <w:color w:val="auto"/>
                <w:spacing w:val="0"/>
                <w:position w:val="0"/>
                <w:sz w:val="24"/>
                <w:szCs w:val="32"/>
                <w:highlight w:val="none"/>
                <w:lang w:val="en-US" w:eastAsia="zh-CN"/>
              </w:rPr>
            </w:pPr>
            <w:r>
              <w:rPr>
                <w:rFonts w:hint="default" w:ascii="Times New Roman" w:hAnsi="Times New Roman" w:cs="Times New Roman"/>
                <w:caps w:val="0"/>
                <w:color w:val="auto"/>
                <w:spacing w:val="0"/>
                <w:position w:val="0"/>
                <w:highlight w:val="none"/>
              </w:rPr>
              <w:t>⑧</w:t>
            </w:r>
            <w:r>
              <w:rPr>
                <w:rFonts w:hint="eastAsia" w:cs="Times New Roman"/>
                <w:caps w:val="0"/>
                <w:color w:val="auto"/>
                <w:spacing w:val="0"/>
                <w:position w:val="0"/>
                <w:highlight w:val="none"/>
                <w:lang w:val="en-US" w:eastAsia="zh-CN"/>
              </w:rPr>
              <w:t>锂渣</w:t>
            </w:r>
            <w:r>
              <w:rPr>
                <w:rFonts w:hint="default"/>
                <w:caps w:val="0"/>
                <w:color w:val="auto"/>
                <w:spacing w:val="0"/>
                <w:position w:val="0"/>
                <w:highlight w:val="none"/>
                <w:lang w:val="en-US" w:eastAsia="zh-CN"/>
              </w:rPr>
              <w:t>仓库渗滤液：本项目锂渣在</w:t>
            </w:r>
            <w:r>
              <w:rPr>
                <w:rFonts w:hint="eastAsia"/>
                <w:caps w:val="0"/>
                <w:color w:val="auto"/>
                <w:spacing w:val="0"/>
                <w:position w:val="0"/>
                <w:highlight w:val="none"/>
              </w:rPr>
              <w:t>锂渣</w:t>
            </w:r>
            <w:r>
              <w:rPr>
                <w:rFonts w:hint="default"/>
                <w:caps w:val="0"/>
                <w:color w:val="auto"/>
                <w:spacing w:val="0"/>
                <w:position w:val="0"/>
                <w:highlight w:val="none"/>
                <w:lang w:val="en-US" w:eastAsia="zh-CN"/>
              </w:rPr>
              <w:t>仓库堆放自然晾干时会产生渗滤液，根据建设提供资料，在</w:t>
            </w:r>
            <w:r>
              <w:rPr>
                <w:rFonts w:hint="eastAsia"/>
                <w:caps w:val="0"/>
                <w:color w:val="auto"/>
                <w:spacing w:val="0"/>
                <w:position w:val="0"/>
                <w:highlight w:val="none"/>
              </w:rPr>
              <w:t>锂渣</w:t>
            </w:r>
            <w:r>
              <w:rPr>
                <w:rFonts w:hint="default"/>
                <w:caps w:val="0"/>
                <w:color w:val="auto"/>
                <w:spacing w:val="0"/>
                <w:position w:val="0"/>
                <w:highlight w:val="none"/>
                <w:lang w:val="en-US" w:eastAsia="zh-CN"/>
              </w:rPr>
              <w:t>仓库自然晾干的锂渣含水率由</w:t>
            </w:r>
            <w:r>
              <w:rPr>
                <w:rFonts w:hint="eastAsia"/>
                <w:caps w:val="0"/>
                <w:color w:val="auto"/>
                <w:spacing w:val="0"/>
                <w:position w:val="0"/>
                <w:highlight w:val="none"/>
                <w:lang w:val="en-US" w:eastAsia="zh-CN"/>
              </w:rPr>
              <w:t>20</w:t>
            </w:r>
            <w:r>
              <w:rPr>
                <w:rFonts w:hint="default"/>
                <w:caps w:val="0"/>
                <w:color w:val="auto"/>
                <w:spacing w:val="0"/>
                <w:position w:val="0"/>
                <w:highlight w:val="none"/>
                <w:lang w:val="en-US" w:eastAsia="zh-CN"/>
              </w:rPr>
              <w:t>%降至</w:t>
            </w:r>
            <w:r>
              <w:rPr>
                <w:rFonts w:hint="eastAsia"/>
                <w:caps w:val="0"/>
                <w:color w:val="auto"/>
                <w:spacing w:val="0"/>
                <w:position w:val="0"/>
                <w:highlight w:val="none"/>
                <w:lang w:val="en-US" w:eastAsia="zh-CN"/>
              </w:rPr>
              <w:t>18</w:t>
            </w:r>
            <w:r>
              <w:rPr>
                <w:rFonts w:hint="default"/>
                <w:caps w:val="0"/>
                <w:color w:val="auto"/>
                <w:spacing w:val="0"/>
                <w:position w:val="0"/>
                <w:highlight w:val="none"/>
                <w:lang w:val="en-US" w:eastAsia="zh-CN"/>
              </w:rPr>
              <w:t>%；本项目锂渣用量为</w:t>
            </w:r>
            <w:r>
              <w:rPr>
                <w:rFonts w:hint="eastAsia"/>
                <w:caps w:val="0"/>
                <w:color w:val="auto"/>
                <w:spacing w:val="0"/>
                <w:position w:val="0"/>
                <w:highlight w:val="none"/>
                <w:lang w:val="en-US" w:eastAsia="zh-CN"/>
              </w:rPr>
              <w:t>14</w:t>
            </w:r>
            <w:r>
              <w:rPr>
                <w:rFonts w:hint="default"/>
                <w:caps w:val="0"/>
                <w:color w:val="auto"/>
                <w:spacing w:val="0"/>
                <w:position w:val="0"/>
                <w:highlight w:val="none"/>
                <w:lang w:val="en-US" w:eastAsia="zh-CN"/>
              </w:rPr>
              <w:t>万t/a，则渗滤液产生量为</w:t>
            </w:r>
            <w:r>
              <w:rPr>
                <w:rFonts w:hint="eastAsia"/>
                <w:caps w:val="0"/>
                <w:color w:val="auto"/>
                <w:spacing w:val="0"/>
                <w:position w:val="0"/>
                <w:highlight w:val="none"/>
                <w:lang w:val="en-US" w:eastAsia="zh-CN"/>
              </w:rPr>
              <w:t>28</w:t>
            </w:r>
            <w:r>
              <w:rPr>
                <w:rFonts w:hint="default"/>
                <w:caps w:val="0"/>
                <w:color w:val="auto"/>
                <w:spacing w:val="0"/>
                <w:position w:val="0"/>
                <w:highlight w:val="none"/>
                <w:lang w:val="en-US" w:eastAsia="zh-CN"/>
              </w:rPr>
              <w:t>00t/a，其中</w:t>
            </w:r>
            <w:r>
              <w:rPr>
                <w:rFonts w:hint="eastAsia"/>
                <w:caps w:val="0"/>
                <w:color w:val="auto"/>
                <w:spacing w:val="0"/>
                <w:position w:val="0"/>
                <w:highlight w:val="none"/>
                <w:lang w:val="en-US" w:eastAsia="zh-CN"/>
              </w:rPr>
              <w:t>4</w:t>
            </w:r>
            <w:r>
              <w:rPr>
                <w:rFonts w:hint="default"/>
                <w:caps w:val="0"/>
                <w:color w:val="auto"/>
                <w:spacing w:val="0"/>
                <w:position w:val="0"/>
                <w:highlight w:val="none"/>
                <w:lang w:val="en-US" w:eastAsia="zh-CN"/>
              </w:rPr>
              <w:t>0%损耗，</w:t>
            </w:r>
            <w:r>
              <w:rPr>
                <w:rFonts w:hint="eastAsia"/>
                <w:caps w:val="0"/>
                <w:color w:val="auto"/>
                <w:spacing w:val="0"/>
                <w:position w:val="0"/>
                <w:highlight w:val="none"/>
                <w:lang w:val="en-US" w:eastAsia="zh-CN"/>
              </w:rPr>
              <w:t>6</w:t>
            </w:r>
            <w:r>
              <w:rPr>
                <w:rFonts w:hint="default"/>
                <w:caps w:val="0"/>
                <w:color w:val="auto"/>
                <w:spacing w:val="0"/>
                <w:position w:val="0"/>
                <w:highlight w:val="none"/>
                <w:lang w:val="en-US" w:eastAsia="zh-CN"/>
              </w:rPr>
              <w:t>0%由导流槽收集至渗滤液池后</w:t>
            </w:r>
            <w:r>
              <w:rPr>
                <w:rFonts w:hint="eastAsia"/>
                <w:caps w:val="0"/>
                <w:color w:val="auto"/>
                <w:spacing w:val="0"/>
                <w:position w:val="0"/>
                <w:highlight w:val="none"/>
                <w:lang w:val="en-US" w:eastAsia="zh-CN"/>
              </w:rPr>
              <w:t>，</w:t>
            </w:r>
            <w:r>
              <w:rPr>
                <w:rFonts w:hint="default"/>
                <w:caps w:val="0"/>
                <w:color w:val="auto"/>
                <w:spacing w:val="0"/>
                <w:position w:val="0"/>
                <w:highlight w:val="none"/>
                <w:lang w:val="en-US" w:eastAsia="zh-CN"/>
              </w:rPr>
              <w:t>回用于</w:t>
            </w:r>
            <w:r>
              <w:rPr>
                <w:rFonts w:hint="eastAsia"/>
                <w:caps w:val="0"/>
                <w:color w:val="auto"/>
                <w:spacing w:val="0"/>
                <w:position w:val="0"/>
                <w:highlight w:val="none"/>
                <w:lang w:val="en-US" w:eastAsia="zh-CN"/>
              </w:rPr>
              <w:t>发泡砖</w:t>
            </w:r>
            <w:r>
              <w:rPr>
                <w:rFonts w:hint="default"/>
                <w:caps w:val="0"/>
                <w:color w:val="auto"/>
                <w:spacing w:val="0"/>
                <w:position w:val="0"/>
                <w:highlight w:val="none"/>
              </w:rPr>
              <w:t>生产</w:t>
            </w:r>
            <w:r>
              <w:rPr>
                <w:rFonts w:hint="eastAsia"/>
                <w:caps w:val="0"/>
                <w:color w:val="auto"/>
                <w:spacing w:val="0"/>
                <w:position w:val="0"/>
                <w:highlight w:val="none"/>
                <w:lang w:val="en-US" w:eastAsia="zh-CN"/>
              </w:rPr>
              <w:t>搅拌工序</w:t>
            </w:r>
            <w:r>
              <w:rPr>
                <w:rFonts w:hint="default"/>
                <w:caps w:val="0"/>
                <w:color w:val="auto"/>
                <w:spacing w:val="0"/>
                <w:position w:val="0"/>
                <w:highlight w:val="none"/>
                <w:lang w:val="en-US" w:eastAsia="zh-CN"/>
              </w:rPr>
              <w:t>，则渗滤液产生量为</w:t>
            </w:r>
            <w:r>
              <w:rPr>
                <w:rFonts w:hint="eastAsia"/>
                <w:caps w:val="0"/>
                <w:color w:val="auto"/>
                <w:spacing w:val="0"/>
                <w:position w:val="0"/>
                <w:highlight w:val="none"/>
                <w:lang w:val="en-US" w:eastAsia="zh-CN"/>
              </w:rPr>
              <w:t>1680</w:t>
            </w:r>
            <w:r>
              <w:rPr>
                <w:rFonts w:hint="default"/>
                <w:caps w:val="0"/>
                <w:color w:val="auto"/>
                <w:spacing w:val="0"/>
                <w:position w:val="0"/>
                <w:highlight w:val="none"/>
                <w:lang w:val="en-US" w:eastAsia="zh-CN"/>
              </w:rPr>
              <w:t>t/a</w:t>
            </w:r>
            <w:r>
              <w:rPr>
                <w:rFonts w:hint="eastAsia"/>
                <w:caps w:val="0"/>
                <w:color w:val="auto"/>
                <w:spacing w:val="0"/>
                <w:position w:val="0"/>
                <w:highlight w:val="none"/>
                <w:lang w:val="en-US" w:eastAsia="zh-CN"/>
              </w:rPr>
              <w:t>（5.6t/d）</w:t>
            </w:r>
            <w:r>
              <w:rPr>
                <w:rFonts w:hint="default"/>
                <w:caps w:val="0"/>
                <w:color w:val="auto"/>
                <w:spacing w:val="0"/>
                <w:position w:val="0"/>
                <w:highlight w:val="none"/>
              </w:rPr>
              <w:t>。经渗滤液池（</w:t>
            </w:r>
            <w:r>
              <w:rPr>
                <w:rFonts w:hint="eastAsia"/>
                <w:caps w:val="0"/>
                <w:color w:val="auto"/>
                <w:spacing w:val="0"/>
                <w:position w:val="0"/>
                <w:highlight w:val="none"/>
                <w:lang w:val="en-US" w:eastAsia="zh-CN"/>
              </w:rPr>
              <w:t>15</w:t>
            </w:r>
            <w:r>
              <w:rPr>
                <w:rFonts w:hint="default"/>
                <w:caps w:val="0"/>
                <w:color w:val="auto"/>
                <w:spacing w:val="0"/>
                <w:position w:val="0"/>
                <w:highlight w:val="none"/>
              </w:rPr>
              <w:t>m</w:t>
            </w:r>
            <w:r>
              <w:rPr>
                <w:rFonts w:hint="eastAsia"/>
                <w:caps w:val="0"/>
                <w:color w:val="auto"/>
                <w:spacing w:val="0"/>
                <w:position w:val="0"/>
                <w:highlight w:val="none"/>
                <w:vertAlign w:val="superscript"/>
                <w:lang w:val="en-US" w:eastAsia="zh-CN"/>
              </w:rPr>
              <w:t>3</w:t>
            </w:r>
            <w:r>
              <w:rPr>
                <w:rFonts w:hint="default"/>
                <w:caps w:val="0"/>
                <w:color w:val="auto"/>
                <w:spacing w:val="0"/>
                <w:position w:val="0"/>
                <w:highlight w:val="none"/>
              </w:rPr>
              <w:t>）沉淀后回用于搅拌工序。</w:t>
            </w:r>
          </w:p>
          <w:p w14:paraId="5DAC30F2">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（2）排水</w:t>
            </w:r>
          </w:p>
          <w:p w14:paraId="6E3F23F2">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项目排水实行雨污分流制。</w:t>
            </w:r>
            <w:r>
              <w:rPr>
                <w:rFonts w:hint="default"/>
                <w:caps w:val="0"/>
                <w:color w:val="auto"/>
                <w:spacing w:val="0"/>
                <w:position w:val="0"/>
                <w:highlight w:val="none"/>
              </w:rPr>
              <w:t>项目</w:t>
            </w:r>
            <w:r>
              <w:rPr>
                <w:rFonts w:hint="eastAsia"/>
                <w:caps w:val="0"/>
                <w:color w:val="auto"/>
                <w:spacing w:val="0"/>
                <w:position w:val="0"/>
                <w:highlight w:val="none"/>
                <w:lang w:val="en-US" w:eastAsia="zh-CN"/>
              </w:rPr>
              <w:t>洗车废水经氧化+絮凝沉淀（1#沉淀池30m</w:t>
            </w:r>
            <w:r>
              <w:rPr>
                <w:rFonts w:hint="eastAsia"/>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）处理后循环回用于搅拌工序；设备清洗废水经沉淀（2#沉淀池10m</w:t>
            </w:r>
            <w:r>
              <w:rPr>
                <w:rFonts w:hint="eastAsia"/>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）处理后回用于设备清洗用水；养护废水经沉淀（3#沉淀池10m</w:t>
            </w:r>
            <w:r>
              <w:rPr>
                <w:rFonts w:hint="eastAsia"/>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）处理后回用于养护用水；渗滤液由导流槽收集至渗滤液池后回用于搅拌工序；</w:t>
            </w:r>
            <w:r>
              <w:rPr>
                <w:rFonts w:hint="default"/>
                <w:caps w:val="0"/>
                <w:color w:val="auto"/>
                <w:spacing w:val="0"/>
                <w:position w:val="0"/>
                <w:highlight w:val="none"/>
              </w:rPr>
              <w:t>无</w:t>
            </w:r>
            <w:r>
              <w:rPr>
                <w:rFonts w:hint="eastAsia"/>
                <w:caps w:val="0"/>
                <w:color w:val="auto"/>
                <w:spacing w:val="0"/>
                <w:position w:val="0"/>
                <w:highlight w:val="none"/>
                <w:lang w:val="en-US" w:eastAsia="zh-CN"/>
              </w:rPr>
              <w:t>生产废水</w:t>
            </w:r>
            <w:r>
              <w:rPr>
                <w:rFonts w:hint="default"/>
                <w:caps w:val="0"/>
                <w:color w:val="auto"/>
                <w:spacing w:val="0"/>
                <w:position w:val="0"/>
                <w:highlight w:val="none"/>
              </w:rPr>
              <w:t>外排</w:t>
            </w:r>
            <w:r>
              <w:rPr>
                <w:rFonts w:hint="eastAsia"/>
                <w:caps w:val="0"/>
                <w:color w:val="auto"/>
                <w:spacing w:val="0"/>
                <w:position w:val="0"/>
                <w:highlight w:val="none"/>
                <w:lang w:eastAsia="zh-CN"/>
              </w:rPr>
              <w:t>。</w:t>
            </w:r>
            <w:r>
              <w:rPr>
                <w:rFonts w:hint="default" w:ascii="Times New Roman" w:hAnsi="Times New Roman" w:eastAsia="宋体" w:cs="Times New Roman"/>
                <w:caps w:val="0"/>
                <w:color w:val="auto"/>
                <w:spacing w:val="0"/>
                <w:position w:val="0"/>
                <w:sz w:val="24"/>
                <w:highlight w:val="none"/>
                <w:lang w:val="en-US" w:eastAsia="zh-CN"/>
              </w:rPr>
              <w:t>生活污水经</w:t>
            </w:r>
            <w:r>
              <w:rPr>
                <w:rFonts w:hint="eastAsia" w:ascii="Times New Roman" w:hAnsi="Times New Roman" w:eastAsia="宋体" w:cs="Times New Roman"/>
                <w:caps w:val="0"/>
                <w:color w:val="auto"/>
                <w:spacing w:val="0"/>
                <w:position w:val="0"/>
                <w:sz w:val="24"/>
                <w:highlight w:val="none"/>
                <w:lang w:val="en-US" w:eastAsia="zh-CN"/>
              </w:rPr>
              <w:t>化粪池</w:t>
            </w:r>
            <w:r>
              <w:rPr>
                <w:rFonts w:hint="default" w:ascii="Times New Roman" w:hAnsi="Times New Roman" w:eastAsia="宋体" w:cs="Times New Roman"/>
                <w:caps w:val="0"/>
                <w:color w:val="auto"/>
                <w:spacing w:val="0"/>
                <w:position w:val="0"/>
                <w:sz w:val="24"/>
                <w:highlight w:val="none"/>
                <w:lang w:val="en-US" w:eastAsia="zh-CN"/>
              </w:rPr>
              <w:t>处理后达到《农田灌溉水质标准》（GB5084-2021）表1中旱作标准后用于林地灌溉，不外排</w:t>
            </w:r>
            <w:r>
              <w:rPr>
                <w:rFonts w:hint="eastAsia" w:ascii="Times New Roman" w:hAnsi="Times New Roman" w:eastAsia="宋体" w:cs="Times New Roman"/>
                <w:caps w:val="0"/>
                <w:color w:val="auto"/>
                <w:spacing w:val="0"/>
                <w:position w:val="0"/>
                <w:sz w:val="24"/>
                <w:highlight w:val="none"/>
                <w:lang w:val="en-US" w:eastAsia="zh-CN"/>
              </w:rPr>
              <w:t>。</w:t>
            </w:r>
            <w:r>
              <w:rPr>
                <w:rFonts w:hint="eastAsia" w:cs="Times New Roman"/>
                <w:caps w:val="0"/>
                <w:color w:val="auto"/>
                <w:spacing w:val="0"/>
                <w:position w:val="0"/>
                <w:sz w:val="24"/>
                <w:highlight w:val="none"/>
                <w:lang w:val="en-US" w:eastAsia="zh-CN"/>
              </w:rPr>
              <w:t>项目初期雨水</w:t>
            </w:r>
            <w:r>
              <w:rPr>
                <w:rFonts w:hint="default" w:ascii="Times New Roman" w:hAnsi="Times New Roman" w:cs="Times New Roman"/>
                <w:caps w:val="0"/>
                <w:color w:val="auto"/>
                <w:spacing w:val="0"/>
                <w:position w:val="0"/>
                <w:highlight w:val="none"/>
                <w:lang w:val="en-US" w:eastAsia="zh-CN"/>
              </w:rPr>
              <w:t>经</w:t>
            </w:r>
            <w:r>
              <w:rPr>
                <w:rFonts w:hint="eastAsia" w:cs="Times New Roman"/>
                <w:caps w:val="0"/>
                <w:color w:val="auto"/>
                <w:spacing w:val="0"/>
                <w:position w:val="0"/>
                <w:highlight w:val="none"/>
                <w:lang w:val="en-US" w:eastAsia="zh-CN"/>
              </w:rPr>
              <w:t>氧化+絮凝沉淀</w:t>
            </w:r>
            <w:r>
              <w:rPr>
                <w:rFonts w:hint="default" w:ascii="Times New Roman" w:hAnsi="Times New Roman" w:cs="Times New Roman"/>
                <w:caps w:val="0"/>
                <w:color w:val="auto"/>
                <w:spacing w:val="0"/>
                <w:position w:val="0"/>
                <w:highlight w:val="none"/>
                <w:lang w:val="en-US" w:eastAsia="zh-CN"/>
              </w:rPr>
              <w:t>处理后</w:t>
            </w:r>
            <w:r>
              <w:rPr>
                <w:rFonts w:hint="eastAsia" w:eastAsia="宋体"/>
                <w:caps w:val="0"/>
                <w:color w:val="auto"/>
                <w:spacing w:val="0"/>
                <w:position w:val="0"/>
                <w:sz w:val="24"/>
                <w:szCs w:val="24"/>
                <w:highlight w:val="none"/>
              </w:rPr>
              <w:t>回用于</w:t>
            </w:r>
            <w:r>
              <w:rPr>
                <w:rFonts w:hint="eastAsia" w:eastAsia="宋体"/>
                <w:caps w:val="0"/>
                <w:color w:val="auto"/>
                <w:spacing w:val="0"/>
                <w:position w:val="0"/>
                <w:sz w:val="24"/>
                <w:szCs w:val="24"/>
                <w:highlight w:val="none"/>
                <w:lang w:val="en-US" w:eastAsia="zh-CN"/>
              </w:rPr>
              <w:t>搅拌</w:t>
            </w:r>
            <w:r>
              <w:rPr>
                <w:rFonts w:hint="eastAsia" w:eastAsia="宋体"/>
                <w:caps w:val="0"/>
                <w:color w:val="auto"/>
                <w:spacing w:val="0"/>
                <w:position w:val="0"/>
                <w:sz w:val="24"/>
                <w:szCs w:val="24"/>
                <w:highlight w:val="none"/>
              </w:rPr>
              <w:t>用水</w:t>
            </w:r>
            <w:r>
              <w:rPr>
                <w:rFonts w:hint="eastAsia" w:eastAsia="宋体"/>
                <w:caps w:val="0"/>
                <w:color w:val="auto"/>
                <w:spacing w:val="0"/>
                <w:position w:val="0"/>
                <w:sz w:val="24"/>
                <w:szCs w:val="24"/>
                <w:highlight w:val="none"/>
                <w:lang w:val="en-US" w:eastAsia="zh-CN"/>
              </w:rPr>
              <w:t>和降尘用水</w:t>
            </w:r>
            <w:r>
              <w:rPr>
                <w:rFonts w:hint="eastAsia" w:cs="Times New Roman"/>
                <w:caps w:val="0"/>
                <w:color w:val="auto"/>
                <w:spacing w:val="0"/>
                <w:position w:val="0"/>
                <w:highlight w:val="none"/>
                <w:lang w:val="en-US" w:eastAsia="zh-CN"/>
              </w:rPr>
              <w:t>。</w:t>
            </w:r>
            <w:r>
              <w:rPr>
                <w:rFonts w:hint="default" w:ascii="Times New Roman" w:hAnsi="Times New Roman" w:cs="Times New Roman"/>
                <w:caps w:val="0"/>
                <w:color w:val="auto"/>
                <w:spacing w:val="0"/>
                <w:position w:val="0"/>
                <w:highlight w:val="none"/>
              </w:rPr>
              <w:t>后期</w:t>
            </w:r>
            <w:r>
              <w:rPr>
                <w:rFonts w:hint="default"/>
                <w:caps w:val="0"/>
                <w:color w:val="auto"/>
                <w:spacing w:val="0"/>
                <w:position w:val="0"/>
                <w:highlight w:val="none"/>
              </w:rPr>
              <w:t>雨水通过现有</w:t>
            </w:r>
            <w:r>
              <w:rPr>
                <w:rFonts w:hint="eastAsia"/>
                <w:caps w:val="0"/>
                <w:color w:val="auto"/>
                <w:spacing w:val="0"/>
                <w:position w:val="0"/>
                <w:highlight w:val="none"/>
                <w:lang w:val="en-US" w:eastAsia="zh-CN"/>
              </w:rPr>
              <w:t>排水沟</w:t>
            </w:r>
            <w:r>
              <w:rPr>
                <w:rFonts w:hint="default"/>
                <w:caps w:val="0"/>
                <w:color w:val="auto"/>
                <w:spacing w:val="0"/>
                <w:position w:val="0"/>
                <w:highlight w:val="none"/>
              </w:rPr>
              <w:t>外排至</w:t>
            </w:r>
            <w:r>
              <w:rPr>
                <w:rFonts w:hint="eastAsia"/>
                <w:caps w:val="0"/>
                <w:color w:val="auto"/>
                <w:spacing w:val="0"/>
                <w:position w:val="0"/>
                <w:highlight w:val="none"/>
                <w:lang w:val="en-US" w:eastAsia="zh-CN"/>
              </w:rPr>
              <w:t>无名小河最后汇入肖</w:t>
            </w:r>
            <w:r>
              <w:rPr>
                <w:rFonts w:hint="default"/>
                <w:caps w:val="0"/>
                <w:color w:val="auto"/>
                <w:spacing w:val="0"/>
                <w:position w:val="0"/>
                <w:highlight w:val="none"/>
              </w:rPr>
              <w:t>江。</w:t>
            </w:r>
            <w:r>
              <w:rPr>
                <w:rFonts w:hint="default" w:ascii="Times New Roman" w:hAnsi="Times New Roman" w:cs="Times New Roman"/>
                <w:caps w:val="0"/>
                <w:color w:val="auto"/>
                <w:spacing w:val="0"/>
                <w:position w:val="0"/>
                <w:highlight w:val="none"/>
              </w:rPr>
              <w:t>项目雨水</w:t>
            </w:r>
            <w:r>
              <w:rPr>
                <w:rFonts w:hint="default" w:ascii="Times New Roman" w:hAnsi="Times New Roman" w:cs="Times New Roman"/>
                <w:caps w:val="0"/>
                <w:color w:val="auto"/>
                <w:spacing w:val="0"/>
                <w:position w:val="0"/>
                <w:sz w:val="24"/>
                <w:szCs w:val="24"/>
                <w:highlight w:val="none"/>
                <w:lang w:val="en-US" w:eastAsia="zh-CN"/>
              </w:rPr>
              <w:t>排放时自动监测铊、氟化物含量，</w:t>
            </w:r>
            <w:r>
              <w:rPr>
                <w:rFonts w:hint="default" w:ascii="Times New Roman" w:hAnsi="Times New Roman" w:cs="Times New Roman"/>
                <w:caps w:val="0"/>
                <w:color w:val="auto"/>
                <w:spacing w:val="0"/>
                <w:position w:val="0"/>
                <w:highlight w:val="none"/>
              </w:rPr>
              <w:t>铊预警限值浓度为</w:t>
            </w:r>
            <w:r>
              <w:rPr>
                <w:rFonts w:hint="default" w:ascii="Times New Roman" w:hAnsi="Times New Roman" w:cs="Times New Roman"/>
                <w:caps w:val="0"/>
                <w:color w:val="auto"/>
                <w:spacing w:val="0"/>
                <w:position w:val="0"/>
                <w:highlight w:val="none"/>
                <w:lang w:val="en-US" w:eastAsia="zh-CN"/>
              </w:rPr>
              <w:t>5</w:t>
            </w:r>
            <w:r>
              <w:rPr>
                <w:rFonts w:hint="default" w:ascii="Times New Roman" w:hAnsi="Times New Roman" w:cs="Times New Roman"/>
                <w:caps w:val="0"/>
                <w:color w:val="auto"/>
                <w:spacing w:val="0"/>
                <w:position w:val="0"/>
                <w:highlight w:val="none"/>
              </w:rPr>
              <w:t>μg/L（</w:t>
            </w:r>
            <w:r>
              <w:rPr>
                <w:rFonts w:hint="default" w:ascii="Times New Roman" w:hAnsi="Times New Roman" w:cs="Times New Roman"/>
                <w:caps w:val="0"/>
                <w:color w:val="auto"/>
                <w:spacing w:val="0"/>
                <w:position w:val="0"/>
                <w:highlight w:val="none"/>
                <w:lang w:val="en-US" w:eastAsia="zh-CN"/>
              </w:rPr>
              <w:t>参照《工业废水铊污染物排放标准》（DB36/1149-2019）标准限值</w:t>
            </w:r>
            <w:r>
              <w:rPr>
                <w:rFonts w:hint="default" w:ascii="Times New Roman" w:hAnsi="Times New Roman" w:cs="Times New Roman"/>
                <w:caps w:val="0"/>
                <w:color w:val="auto"/>
                <w:spacing w:val="0"/>
                <w:position w:val="0"/>
                <w:highlight w:val="none"/>
              </w:rPr>
              <w:t>），氟化物预警限值浓度为2mg/L（参照</w:t>
            </w:r>
            <w:r>
              <w:rPr>
                <w:rFonts w:hint="eastAsia" w:cs="Times New Roman"/>
                <w:caps w:val="0"/>
                <w:color w:val="auto"/>
                <w:spacing w:val="0"/>
                <w:position w:val="0"/>
                <w:highlight w:val="none"/>
                <w:lang w:eastAsia="zh-CN"/>
              </w:rPr>
              <w:t>《无机化学工业污染物排放标准》（GB31573-2015）修改单</w:t>
            </w:r>
            <w:r>
              <w:rPr>
                <w:rFonts w:hint="default" w:ascii="Times New Roman" w:hAnsi="Times New Roman" w:cs="Times New Roman"/>
                <w:caps w:val="0"/>
                <w:color w:val="auto"/>
                <w:spacing w:val="0"/>
                <w:position w:val="0"/>
                <w:highlight w:val="none"/>
              </w:rPr>
              <w:t>的水污染物排放限值）</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sz w:val="24"/>
                <w:szCs w:val="24"/>
                <w:highlight w:val="none"/>
                <w:lang w:val="en-US" w:eastAsia="zh-CN"/>
              </w:rPr>
              <w:t>超过预</w:t>
            </w:r>
            <w:r>
              <w:rPr>
                <w:rFonts w:hint="default" w:ascii="Times New Roman" w:hAnsi="Times New Roman" w:cs="Times New Roman"/>
                <w:caps w:val="0"/>
                <w:color w:val="auto"/>
                <w:spacing w:val="0"/>
                <w:position w:val="0"/>
                <w:highlight w:val="none"/>
              </w:rPr>
              <w:t>警限值浓度</w:t>
            </w:r>
            <w:r>
              <w:rPr>
                <w:rFonts w:hint="default" w:ascii="Times New Roman" w:hAnsi="Times New Roman" w:cs="Times New Roman"/>
                <w:caps w:val="0"/>
                <w:color w:val="auto"/>
                <w:spacing w:val="0"/>
                <w:position w:val="0"/>
                <w:highlight w:val="none"/>
                <w:lang w:val="en-US" w:eastAsia="zh-CN"/>
              </w:rPr>
              <w:t>后立即停止排放。</w:t>
            </w:r>
          </w:p>
          <w:p w14:paraId="42A491A6">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eastAsia="zh-CN"/>
              </w:rPr>
            </w:pPr>
            <w:r>
              <w:rPr>
                <w:rFonts w:hint="default" w:ascii="Times New Roman" w:hAnsi="Times New Roman" w:cs="Times New Roman"/>
                <w:caps w:val="0"/>
                <w:color w:val="auto"/>
                <w:spacing w:val="0"/>
                <w:position w:val="0"/>
                <w:highlight w:val="none"/>
                <w:lang w:val="en-US" w:eastAsia="zh-CN"/>
              </w:rPr>
              <w:t>（3）供电：项目用电由</w:t>
            </w:r>
            <w:r>
              <w:rPr>
                <w:rFonts w:hint="eastAsia" w:cs="Times New Roman"/>
                <w:caps w:val="0"/>
                <w:color w:val="auto"/>
                <w:spacing w:val="0"/>
                <w:position w:val="0"/>
                <w:highlight w:val="none"/>
                <w:lang w:val="en-US" w:eastAsia="zh-CN"/>
              </w:rPr>
              <w:t>市政</w:t>
            </w:r>
            <w:r>
              <w:rPr>
                <w:rFonts w:hint="default" w:ascii="Times New Roman" w:hAnsi="Times New Roman" w:cs="Times New Roman"/>
                <w:caps w:val="0"/>
                <w:color w:val="auto"/>
                <w:spacing w:val="0"/>
                <w:position w:val="0"/>
                <w:highlight w:val="none"/>
                <w:lang w:val="en-US" w:eastAsia="zh-CN"/>
              </w:rPr>
              <w:t>供电网统一供给。</w:t>
            </w:r>
          </w:p>
          <w:p w14:paraId="0DBC6673">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lang w:val="en-US" w:eastAsia="zh-CN"/>
              </w:rPr>
              <w:t>4</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lang w:val="en-US" w:eastAsia="zh-CN"/>
              </w:rPr>
              <w:t>水平衡：项目用水一览表及水平衡图见下表及下图</w:t>
            </w:r>
            <w:r>
              <w:rPr>
                <w:rFonts w:hint="default" w:ascii="Times New Roman" w:hAnsi="Times New Roman" w:eastAsia="宋体" w:cs="Times New Roman"/>
                <w:caps w:val="0"/>
                <w:color w:val="auto"/>
                <w:spacing w:val="0"/>
                <w:position w:val="0"/>
                <w:sz w:val="24"/>
                <w:szCs w:val="24"/>
                <w:highlight w:val="none"/>
                <w:lang w:val="en-US" w:eastAsia="zh-CN"/>
              </w:rPr>
              <w:t>。</w:t>
            </w:r>
          </w:p>
          <w:p w14:paraId="0EDBBE56">
            <w:pPr>
              <w:pStyle w:val="75"/>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caps w:val="0"/>
                <w:color w:val="auto"/>
                <w:spacing w:val="0"/>
                <w:position w:val="0"/>
              </w:rPr>
              <w:drawing>
                <wp:inline distT="0" distB="0" distL="114300" distR="114300">
                  <wp:extent cx="5123815" cy="4481830"/>
                  <wp:effectExtent l="0" t="0" r="635" b="13970"/>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pic:cNvPicPr>
                        </pic:nvPicPr>
                        <pic:blipFill>
                          <a:blip r:embed="rId10"/>
                          <a:stretch>
                            <a:fillRect/>
                          </a:stretch>
                        </pic:blipFill>
                        <pic:spPr>
                          <a:xfrm>
                            <a:off x="0" y="0"/>
                            <a:ext cx="5123815" cy="4481830"/>
                          </a:xfrm>
                          <a:prstGeom prst="rect">
                            <a:avLst/>
                          </a:prstGeom>
                          <a:noFill/>
                          <a:ln>
                            <a:noFill/>
                          </a:ln>
                        </pic:spPr>
                      </pic:pic>
                    </a:graphicData>
                  </a:graphic>
                </wp:inline>
              </w:drawing>
            </w:r>
          </w:p>
          <w:p w14:paraId="1BE830CC">
            <w:pPr>
              <w:pStyle w:val="75"/>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图2-</w:t>
            </w:r>
            <w:r>
              <w:rPr>
                <w:rFonts w:hint="default" w:ascii="Times New Roman" w:hAnsi="Times New Roman" w:cs="Times New Roman"/>
                <w:caps w:val="0"/>
                <w:color w:val="auto"/>
                <w:spacing w:val="0"/>
                <w:position w:val="0"/>
                <w:highlight w:val="none"/>
                <w:lang w:val="en-US" w:eastAsia="zh-CN"/>
              </w:rPr>
              <w:t>1</w:t>
            </w:r>
            <w:r>
              <w:rPr>
                <w:rFonts w:hint="default" w:ascii="Times New Roman" w:hAnsi="Times New Roman" w:cs="Times New Roman"/>
                <w:caps w:val="0"/>
                <w:color w:val="auto"/>
                <w:spacing w:val="0"/>
                <w:position w:val="0"/>
                <w:highlight w:val="none"/>
              </w:rPr>
              <w:t xml:space="preserve"> 项目水平衡图（t/</w:t>
            </w:r>
            <w:r>
              <w:rPr>
                <w:rFonts w:hint="default" w:ascii="Times New Roman" w:hAnsi="Times New Roman" w:cs="Times New Roman"/>
                <w:caps w:val="0"/>
                <w:color w:val="auto"/>
                <w:spacing w:val="0"/>
                <w:position w:val="0"/>
                <w:highlight w:val="none"/>
                <w:lang w:val="en-US" w:eastAsia="zh-CN"/>
              </w:rPr>
              <w:t>d</w:t>
            </w:r>
            <w:r>
              <w:rPr>
                <w:rFonts w:hint="default" w:ascii="Times New Roman" w:hAnsi="Times New Roman" w:cs="Times New Roman"/>
                <w:caps w:val="0"/>
                <w:color w:val="auto"/>
                <w:spacing w:val="0"/>
                <w:position w:val="0"/>
                <w:highlight w:val="none"/>
              </w:rPr>
              <w:t>）</w:t>
            </w:r>
          </w:p>
          <w:p w14:paraId="2641E6EE">
            <w:pPr>
              <w:pStyle w:val="75"/>
              <w:keepNext w:val="0"/>
              <w:keepLines w:val="0"/>
              <w:numPr>
                <w:ilvl w:val="0"/>
                <w:numId w:val="4"/>
              </w:numPr>
              <w:suppressLineNumbers w:val="0"/>
              <w:bidi w:val="0"/>
              <w:spacing w:before="0" w:beforeAutospacing="0" w:after="0" w:afterAutospacing="0"/>
              <w:ind w:left="0" w:leftChars="0" w:right="0" w:firstLine="420" w:firstLineChars="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项目水平衡表</w:t>
            </w:r>
            <w:r>
              <w:rPr>
                <w:rFonts w:hint="default" w:ascii="Times New Roman" w:hAnsi="Times New Roman" w:cs="Times New Roman"/>
                <w:caps w:val="0"/>
                <w:color w:val="auto"/>
                <w:spacing w:val="0"/>
                <w:position w:val="0"/>
                <w:highlight w:val="none"/>
              </w:rPr>
              <w:t>（t/</w:t>
            </w:r>
            <w:r>
              <w:rPr>
                <w:rFonts w:hint="default" w:ascii="Times New Roman" w:hAnsi="Times New Roman" w:cs="Times New Roman"/>
                <w:caps w:val="0"/>
                <w:color w:val="auto"/>
                <w:spacing w:val="0"/>
                <w:position w:val="0"/>
                <w:highlight w:val="none"/>
                <w:lang w:val="en-US" w:eastAsia="zh-CN"/>
              </w:rPr>
              <w:t>d</w:t>
            </w:r>
            <w:r>
              <w:rPr>
                <w:rFonts w:hint="default" w:ascii="Times New Roman" w:hAnsi="Times New Roman" w:cs="Times New Roman"/>
                <w:caps w:val="0"/>
                <w:color w:val="auto"/>
                <w:spacing w:val="0"/>
                <w:position w:val="0"/>
                <w:highlight w:val="none"/>
              </w:rPr>
              <w:t>）</w:t>
            </w:r>
          </w:p>
          <w:tbl>
            <w:tblPr>
              <w:tblStyle w:val="23"/>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57"/>
              <w:gridCol w:w="644"/>
              <w:gridCol w:w="786"/>
              <w:gridCol w:w="623"/>
              <w:gridCol w:w="631"/>
              <w:gridCol w:w="709"/>
              <w:gridCol w:w="622"/>
              <w:gridCol w:w="851"/>
              <w:gridCol w:w="741"/>
              <w:gridCol w:w="768"/>
              <w:gridCol w:w="674"/>
              <w:gridCol w:w="674"/>
            </w:tblGrid>
            <w:tr w14:paraId="66E10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57" w:type="dxa"/>
                  <w:vMerge w:val="restart"/>
                  <w:tcBorders>
                    <w:top w:val="single" w:color="000000" w:sz="12" w:space="0"/>
                    <w:left w:val="nil"/>
                    <w:bottom w:val="single" w:color="000000" w:sz="8" w:space="0"/>
                    <w:right w:val="single" w:color="000000" w:sz="8" w:space="0"/>
                  </w:tcBorders>
                  <w:shd w:val="clear" w:color="auto" w:fill="auto"/>
                  <w:vAlign w:val="center"/>
                </w:tcPr>
                <w:p w14:paraId="7262C1CC">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序号</w:t>
                  </w:r>
                </w:p>
              </w:tc>
              <w:tc>
                <w:tcPr>
                  <w:tcW w:w="644" w:type="dxa"/>
                  <w:vMerge w:val="restart"/>
                  <w:tcBorders>
                    <w:top w:val="single" w:color="000000" w:sz="12" w:space="0"/>
                    <w:left w:val="single" w:color="000000" w:sz="8" w:space="0"/>
                    <w:bottom w:val="single" w:color="000000" w:sz="8" w:space="0"/>
                    <w:right w:val="single" w:color="000000" w:sz="8" w:space="0"/>
                  </w:tcBorders>
                  <w:shd w:val="clear" w:color="auto" w:fill="auto"/>
                  <w:vAlign w:val="center"/>
                </w:tcPr>
                <w:p w14:paraId="1D6C3A32">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用水项目</w:t>
                  </w:r>
                </w:p>
              </w:tc>
              <w:tc>
                <w:tcPr>
                  <w:tcW w:w="786" w:type="dxa"/>
                  <w:vMerge w:val="restart"/>
                  <w:tcBorders>
                    <w:top w:val="single" w:color="000000" w:sz="12" w:space="0"/>
                    <w:left w:val="single" w:color="000000" w:sz="8" w:space="0"/>
                    <w:bottom w:val="single" w:color="000000" w:sz="8" w:space="0"/>
                    <w:right w:val="single" w:color="000000" w:sz="8" w:space="0"/>
                  </w:tcBorders>
                  <w:shd w:val="clear" w:color="auto" w:fill="auto"/>
                  <w:vAlign w:val="center"/>
                </w:tcPr>
                <w:p w14:paraId="6AF77DF3">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总用水</w:t>
                  </w:r>
                </w:p>
              </w:tc>
              <w:tc>
                <w:tcPr>
                  <w:tcW w:w="2585" w:type="dxa"/>
                  <w:gridSpan w:val="4"/>
                  <w:tcBorders>
                    <w:top w:val="single" w:color="000000" w:sz="12" w:space="0"/>
                    <w:left w:val="single" w:color="000000" w:sz="8" w:space="0"/>
                    <w:bottom w:val="single" w:color="000000" w:sz="8" w:space="0"/>
                    <w:right w:val="single" w:color="000000" w:sz="8" w:space="0"/>
                  </w:tcBorders>
                  <w:shd w:val="clear" w:color="auto" w:fill="auto"/>
                  <w:vAlign w:val="center"/>
                </w:tcPr>
                <w:p w14:paraId="3455E8F4">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给水</w:t>
                  </w:r>
                </w:p>
              </w:tc>
              <w:tc>
                <w:tcPr>
                  <w:tcW w:w="3034" w:type="dxa"/>
                  <w:gridSpan w:val="4"/>
                  <w:tcBorders>
                    <w:top w:val="single" w:color="000000" w:sz="12" w:space="0"/>
                    <w:left w:val="single" w:color="000000" w:sz="8" w:space="0"/>
                    <w:bottom w:val="single" w:color="000000" w:sz="8" w:space="0"/>
                    <w:right w:val="single" w:color="000000" w:sz="8" w:space="0"/>
                  </w:tcBorders>
                  <w:shd w:val="clear" w:color="auto" w:fill="auto"/>
                  <w:vAlign w:val="center"/>
                </w:tcPr>
                <w:p w14:paraId="0E86FDAC">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排水</w:t>
                  </w:r>
                </w:p>
              </w:tc>
              <w:tc>
                <w:tcPr>
                  <w:tcW w:w="674" w:type="dxa"/>
                  <w:vMerge w:val="restart"/>
                  <w:tcBorders>
                    <w:top w:val="single" w:color="000000" w:sz="12" w:space="0"/>
                    <w:left w:val="single" w:color="000000" w:sz="8" w:space="0"/>
                    <w:bottom w:val="single" w:color="000000" w:sz="8" w:space="0"/>
                    <w:right w:val="nil"/>
                  </w:tcBorders>
                  <w:shd w:val="clear" w:color="auto" w:fill="auto"/>
                  <w:vAlign w:val="center"/>
                </w:tcPr>
                <w:p w14:paraId="3680DC6B">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备注</w:t>
                  </w:r>
                </w:p>
              </w:tc>
            </w:tr>
            <w:tr w14:paraId="64946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57" w:type="dxa"/>
                  <w:vMerge w:val="continue"/>
                  <w:tcBorders>
                    <w:top w:val="single" w:color="000000" w:sz="12" w:space="0"/>
                    <w:left w:val="nil"/>
                    <w:bottom w:val="single" w:color="000000" w:sz="8" w:space="0"/>
                    <w:right w:val="single" w:color="000000" w:sz="8" w:space="0"/>
                  </w:tcBorders>
                  <w:shd w:val="clear" w:color="auto" w:fill="auto"/>
                  <w:vAlign w:val="center"/>
                </w:tcPr>
                <w:p w14:paraId="0AEB5BEA">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644" w:type="dxa"/>
                  <w:vMerge w:val="continue"/>
                  <w:tcBorders>
                    <w:top w:val="single" w:color="000000" w:sz="12" w:space="0"/>
                    <w:left w:val="single" w:color="000000" w:sz="8" w:space="0"/>
                    <w:bottom w:val="single" w:color="000000" w:sz="8" w:space="0"/>
                    <w:right w:val="single" w:color="000000" w:sz="8" w:space="0"/>
                  </w:tcBorders>
                  <w:shd w:val="clear" w:color="auto" w:fill="auto"/>
                  <w:vAlign w:val="center"/>
                </w:tcPr>
                <w:p w14:paraId="31A0E7E5">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786" w:type="dxa"/>
                  <w:vMerge w:val="continue"/>
                  <w:tcBorders>
                    <w:top w:val="single" w:color="000000" w:sz="12" w:space="0"/>
                    <w:left w:val="single" w:color="000000" w:sz="8" w:space="0"/>
                    <w:bottom w:val="single" w:color="000000" w:sz="8" w:space="0"/>
                    <w:right w:val="single" w:color="000000" w:sz="8" w:space="0"/>
                  </w:tcBorders>
                  <w:shd w:val="clear" w:color="auto" w:fill="auto"/>
                  <w:vAlign w:val="center"/>
                </w:tcPr>
                <w:p w14:paraId="75A94472">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62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0425E25">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新鲜水</w:t>
                  </w:r>
                </w:p>
              </w:tc>
              <w:tc>
                <w:tcPr>
                  <w:tcW w:w="6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6AD7631">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循环水</w:t>
                  </w:r>
                  <w:r>
                    <w:rPr>
                      <w:rFonts w:hint="default"/>
                      <w:caps w:val="0"/>
                      <w:color w:val="auto"/>
                      <w:spacing w:val="0"/>
                      <w:position w:val="0"/>
                      <w:highlight w:val="none"/>
                      <w:lang w:val="en-US" w:eastAsia="zh-CN"/>
                    </w:rPr>
                    <w:t>/</w:t>
                  </w:r>
                  <w:r>
                    <w:rPr>
                      <w:rFonts w:hint="eastAsia"/>
                      <w:caps w:val="0"/>
                      <w:color w:val="auto"/>
                      <w:spacing w:val="0"/>
                      <w:position w:val="0"/>
                      <w:highlight w:val="none"/>
                      <w:lang w:val="en-US" w:eastAsia="zh-CN"/>
                    </w:rPr>
                    <w:t>回用水</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B7CA555">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渗滤液</w:t>
                  </w:r>
                </w:p>
              </w:tc>
              <w:tc>
                <w:tcPr>
                  <w:tcW w:w="62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E942A24">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初期雨水</w:t>
                  </w:r>
                </w:p>
              </w:tc>
              <w:tc>
                <w:tcPr>
                  <w:tcW w:w="85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D155B2C">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循环水</w:t>
                  </w:r>
                  <w:r>
                    <w:rPr>
                      <w:rFonts w:hint="default"/>
                      <w:caps w:val="0"/>
                      <w:color w:val="auto"/>
                      <w:spacing w:val="0"/>
                      <w:position w:val="0"/>
                      <w:highlight w:val="none"/>
                      <w:lang w:val="en-US" w:eastAsia="zh-CN"/>
                    </w:rPr>
                    <w:t>/</w:t>
                  </w:r>
                  <w:r>
                    <w:rPr>
                      <w:rFonts w:hint="eastAsia"/>
                      <w:caps w:val="0"/>
                      <w:color w:val="auto"/>
                      <w:spacing w:val="0"/>
                      <w:position w:val="0"/>
                      <w:highlight w:val="none"/>
                      <w:lang w:val="en-US" w:eastAsia="zh-CN"/>
                    </w:rPr>
                    <w:t>回用水</w:t>
                  </w:r>
                </w:p>
              </w:tc>
              <w:tc>
                <w:tcPr>
                  <w:tcW w:w="7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38700FA">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蒸发</w:t>
                  </w:r>
                  <w:r>
                    <w:rPr>
                      <w:rFonts w:hint="default"/>
                      <w:caps w:val="0"/>
                      <w:color w:val="auto"/>
                      <w:spacing w:val="0"/>
                      <w:position w:val="0"/>
                      <w:highlight w:val="none"/>
                      <w:lang w:val="en-US" w:eastAsia="zh-CN"/>
                    </w:rPr>
                    <w:t>/</w:t>
                  </w:r>
                  <w:r>
                    <w:rPr>
                      <w:rFonts w:hint="eastAsia"/>
                      <w:caps w:val="0"/>
                      <w:color w:val="auto"/>
                      <w:spacing w:val="0"/>
                      <w:position w:val="0"/>
                      <w:highlight w:val="none"/>
                      <w:lang w:val="en-US" w:eastAsia="zh-CN"/>
                    </w:rPr>
                    <w:t>损耗</w:t>
                  </w:r>
                </w:p>
              </w:tc>
              <w:tc>
                <w:tcPr>
                  <w:tcW w:w="76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F849B92">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进入产品</w:t>
                  </w:r>
                </w:p>
              </w:tc>
              <w:tc>
                <w:tcPr>
                  <w:tcW w:w="67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4C1F989">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排放量/灌溉量</w:t>
                  </w:r>
                </w:p>
              </w:tc>
              <w:tc>
                <w:tcPr>
                  <w:tcW w:w="674" w:type="dxa"/>
                  <w:vMerge w:val="continue"/>
                  <w:tcBorders>
                    <w:top w:val="single" w:color="000000" w:sz="12" w:space="0"/>
                    <w:left w:val="single" w:color="000000" w:sz="8" w:space="0"/>
                    <w:bottom w:val="single" w:color="000000" w:sz="8" w:space="0"/>
                    <w:right w:val="nil"/>
                  </w:tcBorders>
                  <w:shd w:val="clear" w:color="auto" w:fill="auto"/>
                  <w:vAlign w:val="center"/>
                </w:tcPr>
                <w:p w14:paraId="18FE650A">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r>
            <w:tr w14:paraId="203E9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57" w:type="dxa"/>
                  <w:tcBorders>
                    <w:top w:val="single" w:color="000000" w:sz="8" w:space="0"/>
                    <w:left w:val="nil"/>
                    <w:bottom w:val="single" w:color="000000" w:sz="8" w:space="0"/>
                    <w:right w:val="single" w:color="000000" w:sz="8" w:space="0"/>
                  </w:tcBorders>
                  <w:shd w:val="clear" w:color="auto" w:fill="auto"/>
                  <w:vAlign w:val="center"/>
                </w:tcPr>
                <w:p w14:paraId="18952D8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①</w:t>
                  </w:r>
                </w:p>
              </w:tc>
              <w:tc>
                <w:tcPr>
                  <w:tcW w:w="64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F243A02">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搅拌用水</w:t>
                  </w:r>
                </w:p>
              </w:tc>
              <w:tc>
                <w:tcPr>
                  <w:tcW w:w="786"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3FB152A">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16.67</w:t>
                  </w:r>
                </w:p>
              </w:tc>
              <w:tc>
                <w:tcPr>
                  <w:tcW w:w="62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B1CB817">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1.71</w:t>
                  </w:r>
                </w:p>
              </w:tc>
              <w:tc>
                <w:tcPr>
                  <w:tcW w:w="6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FE2CFFF">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1.36</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4109A05">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5.6</w:t>
                  </w:r>
                </w:p>
              </w:tc>
              <w:tc>
                <w:tcPr>
                  <w:tcW w:w="62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4A63094">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8</w:t>
                  </w:r>
                </w:p>
              </w:tc>
              <w:tc>
                <w:tcPr>
                  <w:tcW w:w="85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5640B30">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w:t>
                  </w:r>
                </w:p>
              </w:tc>
              <w:tc>
                <w:tcPr>
                  <w:tcW w:w="7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A27207B">
                  <w:pPr>
                    <w:pStyle w:val="28"/>
                    <w:keepNext w:val="0"/>
                    <w:keepLines w:val="0"/>
                    <w:suppressLineNumbers w:val="0"/>
                    <w:bidi w:val="0"/>
                    <w:spacing w:beforeAutospacing="0" w:afterAutospacing="0"/>
                    <w:ind w:left="0" w:right="0"/>
                    <w:rPr>
                      <w:rFonts w:hint="default"/>
                      <w:caps w:val="0"/>
                      <w:color w:val="auto"/>
                      <w:spacing w:val="0"/>
                      <w:position w:val="0"/>
                      <w:lang w:val="en-US" w:eastAsia="zh-CN"/>
                    </w:rPr>
                  </w:pPr>
                  <w:r>
                    <w:rPr>
                      <w:rFonts w:hint="default"/>
                      <w:caps w:val="0"/>
                      <w:color w:val="auto"/>
                      <w:spacing w:val="0"/>
                      <w:position w:val="0"/>
                      <w:lang w:val="en-US" w:eastAsia="zh-CN"/>
                    </w:rPr>
                    <w:t>13.55</w:t>
                  </w:r>
                </w:p>
              </w:tc>
              <w:tc>
                <w:tcPr>
                  <w:tcW w:w="76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9A169EF">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3.12</w:t>
                  </w:r>
                </w:p>
              </w:tc>
              <w:tc>
                <w:tcPr>
                  <w:tcW w:w="67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1387D9B">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w:t>
                  </w:r>
                </w:p>
              </w:tc>
              <w:tc>
                <w:tcPr>
                  <w:tcW w:w="674" w:type="dxa"/>
                  <w:tcBorders>
                    <w:top w:val="single" w:color="000000" w:sz="8" w:space="0"/>
                    <w:left w:val="single" w:color="000000" w:sz="8" w:space="0"/>
                    <w:bottom w:val="single" w:color="000000" w:sz="8" w:space="0"/>
                    <w:right w:val="nil"/>
                  </w:tcBorders>
                  <w:shd w:val="clear" w:color="auto" w:fill="auto"/>
                  <w:vAlign w:val="center"/>
                </w:tcPr>
                <w:p w14:paraId="1842257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r>
            <w:tr w14:paraId="749C7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0" w:hRule="atLeast"/>
                <w:jc w:val="center"/>
              </w:trPr>
              <w:tc>
                <w:tcPr>
                  <w:tcW w:w="357" w:type="dxa"/>
                  <w:tcBorders>
                    <w:top w:val="single" w:color="000000" w:sz="8" w:space="0"/>
                    <w:left w:val="nil"/>
                    <w:bottom w:val="single" w:color="000000" w:sz="8" w:space="0"/>
                    <w:right w:val="single" w:color="000000" w:sz="8" w:space="0"/>
                  </w:tcBorders>
                  <w:shd w:val="clear" w:color="auto" w:fill="auto"/>
                  <w:vAlign w:val="center"/>
                </w:tcPr>
                <w:p w14:paraId="727EB28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②</w:t>
                  </w:r>
                </w:p>
              </w:tc>
              <w:tc>
                <w:tcPr>
                  <w:tcW w:w="64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E6A63E9">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养护用水</w:t>
                  </w:r>
                </w:p>
              </w:tc>
              <w:tc>
                <w:tcPr>
                  <w:tcW w:w="786"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A560517">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6.67</w:t>
                  </w:r>
                </w:p>
              </w:tc>
              <w:tc>
                <w:tcPr>
                  <w:tcW w:w="62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9D7B48B">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1.34</w:t>
                  </w:r>
                </w:p>
              </w:tc>
              <w:tc>
                <w:tcPr>
                  <w:tcW w:w="6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D525484">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5.33</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E53FAEB">
                  <w:pPr>
                    <w:pStyle w:val="28"/>
                    <w:keepNext w:val="0"/>
                    <w:keepLines w:val="0"/>
                    <w:suppressLineNumbers w:val="0"/>
                    <w:bidi w:val="0"/>
                    <w:spacing w:beforeAutospacing="0" w:afterAutospacing="0"/>
                    <w:ind w:left="0" w:right="0"/>
                    <w:rPr>
                      <w:rFonts w:hint="eastAsia"/>
                      <w:caps w:val="0"/>
                      <w:color w:val="auto"/>
                      <w:spacing w:val="0"/>
                      <w:position w:val="0"/>
                    </w:rPr>
                  </w:pPr>
                  <w:r>
                    <w:rPr>
                      <w:rFonts w:hint="default"/>
                      <w:caps w:val="0"/>
                      <w:color w:val="auto"/>
                      <w:spacing w:val="0"/>
                      <w:position w:val="0"/>
                      <w:lang w:val="en-US" w:eastAsia="zh-CN"/>
                    </w:rPr>
                    <w:t>0</w:t>
                  </w:r>
                </w:p>
              </w:tc>
              <w:tc>
                <w:tcPr>
                  <w:tcW w:w="62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473912A">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w:t>
                  </w:r>
                </w:p>
              </w:tc>
              <w:tc>
                <w:tcPr>
                  <w:tcW w:w="85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24D6572">
                  <w:pPr>
                    <w:pStyle w:val="28"/>
                    <w:keepNext w:val="0"/>
                    <w:keepLines w:val="0"/>
                    <w:suppressLineNumbers w:val="0"/>
                    <w:bidi w:val="0"/>
                    <w:spacing w:beforeAutospacing="0" w:afterAutospacing="0"/>
                    <w:ind w:left="0" w:right="0"/>
                    <w:rPr>
                      <w:rFonts w:hint="default"/>
                      <w:caps w:val="0"/>
                      <w:color w:val="auto"/>
                      <w:spacing w:val="0"/>
                      <w:position w:val="0"/>
                      <w:lang w:val="en-US" w:eastAsia="zh-CN"/>
                    </w:rPr>
                  </w:pPr>
                  <w:r>
                    <w:rPr>
                      <w:rFonts w:hint="default"/>
                      <w:caps w:val="0"/>
                      <w:color w:val="auto"/>
                      <w:spacing w:val="0"/>
                      <w:position w:val="0"/>
                      <w:lang w:val="en-US" w:eastAsia="zh-CN"/>
                    </w:rPr>
                    <w:t>5.33</w:t>
                  </w:r>
                </w:p>
              </w:tc>
              <w:tc>
                <w:tcPr>
                  <w:tcW w:w="7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BFD3C63">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1.34</w:t>
                  </w:r>
                </w:p>
              </w:tc>
              <w:tc>
                <w:tcPr>
                  <w:tcW w:w="76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6388670">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w:t>
                  </w:r>
                </w:p>
              </w:tc>
              <w:tc>
                <w:tcPr>
                  <w:tcW w:w="67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30A8ED1">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w:t>
                  </w:r>
                </w:p>
              </w:tc>
              <w:tc>
                <w:tcPr>
                  <w:tcW w:w="674" w:type="dxa"/>
                  <w:tcBorders>
                    <w:top w:val="single" w:color="000000" w:sz="8" w:space="0"/>
                    <w:left w:val="single" w:color="000000" w:sz="8" w:space="0"/>
                    <w:bottom w:val="single" w:color="000000" w:sz="8" w:space="0"/>
                    <w:right w:val="nil"/>
                  </w:tcBorders>
                  <w:shd w:val="clear" w:color="auto" w:fill="auto"/>
                  <w:vAlign w:val="center"/>
                </w:tcPr>
                <w:p w14:paraId="483DBA42">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回用于养护用水</w:t>
                  </w:r>
                </w:p>
              </w:tc>
            </w:tr>
            <w:tr w14:paraId="08428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57" w:type="dxa"/>
                  <w:tcBorders>
                    <w:top w:val="single" w:color="000000" w:sz="8" w:space="0"/>
                    <w:left w:val="nil"/>
                    <w:bottom w:val="single" w:color="000000" w:sz="8" w:space="0"/>
                    <w:right w:val="single" w:color="000000" w:sz="8" w:space="0"/>
                  </w:tcBorders>
                  <w:shd w:val="clear" w:color="auto" w:fill="auto"/>
                  <w:vAlign w:val="center"/>
                </w:tcPr>
                <w:p w14:paraId="13C9EC1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③</w:t>
                  </w:r>
                </w:p>
              </w:tc>
              <w:tc>
                <w:tcPr>
                  <w:tcW w:w="64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B2E4200">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设备清洗用水</w:t>
                  </w:r>
                </w:p>
              </w:tc>
              <w:tc>
                <w:tcPr>
                  <w:tcW w:w="786"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EF03C7B">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5</w:t>
                  </w:r>
                </w:p>
              </w:tc>
              <w:tc>
                <w:tcPr>
                  <w:tcW w:w="62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EF853D6">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1</w:t>
                  </w:r>
                </w:p>
              </w:tc>
              <w:tc>
                <w:tcPr>
                  <w:tcW w:w="6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D45E730">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4</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424A1F6">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w:t>
                  </w:r>
                </w:p>
              </w:tc>
              <w:tc>
                <w:tcPr>
                  <w:tcW w:w="62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E0A33FE">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w:t>
                  </w:r>
                </w:p>
              </w:tc>
              <w:tc>
                <w:tcPr>
                  <w:tcW w:w="85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9D71B84">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4</w:t>
                  </w:r>
                </w:p>
              </w:tc>
              <w:tc>
                <w:tcPr>
                  <w:tcW w:w="7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556D892">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1</w:t>
                  </w:r>
                </w:p>
              </w:tc>
              <w:tc>
                <w:tcPr>
                  <w:tcW w:w="76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E37BB7B">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w:t>
                  </w:r>
                </w:p>
              </w:tc>
              <w:tc>
                <w:tcPr>
                  <w:tcW w:w="67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26E645E">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w:t>
                  </w:r>
                </w:p>
              </w:tc>
              <w:tc>
                <w:tcPr>
                  <w:tcW w:w="674" w:type="dxa"/>
                  <w:tcBorders>
                    <w:top w:val="single" w:color="000000" w:sz="8" w:space="0"/>
                    <w:left w:val="single" w:color="000000" w:sz="8" w:space="0"/>
                    <w:bottom w:val="single" w:color="000000" w:sz="8" w:space="0"/>
                    <w:right w:val="nil"/>
                  </w:tcBorders>
                  <w:shd w:val="clear" w:color="auto" w:fill="auto"/>
                  <w:vAlign w:val="center"/>
                </w:tcPr>
                <w:p w14:paraId="6F43E95A">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回用于设备清洗用水</w:t>
                  </w:r>
                </w:p>
              </w:tc>
            </w:tr>
            <w:tr w14:paraId="33B9A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57" w:type="dxa"/>
                  <w:tcBorders>
                    <w:top w:val="single" w:color="000000" w:sz="8" w:space="0"/>
                    <w:left w:val="nil"/>
                    <w:bottom w:val="single" w:color="000000" w:sz="8" w:space="0"/>
                    <w:right w:val="single" w:color="000000" w:sz="8" w:space="0"/>
                  </w:tcBorders>
                  <w:shd w:val="clear" w:color="auto" w:fill="auto"/>
                  <w:vAlign w:val="center"/>
                </w:tcPr>
                <w:p w14:paraId="01244BF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④</w:t>
                  </w:r>
                </w:p>
              </w:tc>
              <w:tc>
                <w:tcPr>
                  <w:tcW w:w="64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0155541">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车辆清洗用水</w:t>
                  </w:r>
                </w:p>
              </w:tc>
              <w:tc>
                <w:tcPr>
                  <w:tcW w:w="786"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6AC4ABB">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1.7</w:t>
                  </w:r>
                </w:p>
              </w:tc>
              <w:tc>
                <w:tcPr>
                  <w:tcW w:w="62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B4DA51D">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1.7</w:t>
                  </w:r>
                </w:p>
              </w:tc>
              <w:tc>
                <w:tcPr>
                  <w:tcW w:w="6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84D8D50">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0</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5947E4A">
                  <w:pPr>
                    <w:pStyle w:val="28"/>
                    <w:keepNext w:val="0"/>
                    <w:keepLines w:val="0"/>
                    <w:suppressLineNumbers w:val="0"/>
                    <w:bidi w:val="0"/>
                    <w:spacing w:beforeAutospacing="0" w:afterAutospacing="0"/>
                    <w:ind w:left="0" w:right="0"/>
                    <w:rPr>
                      <w:rFonts w:hint="eastAsia"/>
                      <w:caps w:val="0"/>
                      <w:color w:val="auto"/>
                      <w:spacing w:val="0"/>
                      <w:position w:val="0"/>
                    </w:rPr>
                  </w:pPr>
                  <w:r>
                    <w:rPr>
                      <w:rFonts w:hint="default"/>
                      <w:caps w:val="0"/>
                      <w:color w:val="auto"/>
                      <w:spacing w:val="0"/>
                      <w:position w:val="0"/>
                      <w:lang w:val="en-US" w:eastAsia="zh-CN"/>
                    </w:rPr>
                    <w:t>0</w:t>
                  </w:r>
                </w:p>
              </w:tc>
              <w:tc>
                <w:tcPr>
                  <w:tcW w:w="62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CD9A95C">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w:t>
                  </w:r>
                </w:p>
              </w:tc>
              <w:tc>
                <w:tcPr>
                  <w:tcW w:w="85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3543ADE">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1.36</w:t>
                  </w:r>
                </w:p>
              </w:tc>
              <w:tc>
                <w:tcPr>
                  <w:tcW w:w="7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4A1E196">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0.34</w:t>
                  </w:r>
                </w:p>
              </w:tc>
              <w:tc>
                <w:tcPr>
                  <w:tcW w:w="76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12166BA">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w:t>
                  </w:r>
                </w:p>
              </w:tc>
              <w:tc>
                <w:tcPr>
                  <w:tcW w:w="67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9561591">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w:t>
                  </w:r>
                </w:p>
              </w:tc>
              <w:tc>
                <w:tcPr>
                  <w:tcW w:w="674" w:type="dxa"/>
                  <w:tcBorders>
                    <w:top w:val="single" w:color="000000" w:sz="8" w:space="0"/>
                    <w:left w:val="single" w:color="000000" w:sz="8" w:space="0"/>
                    <w:bottom w:val="single" w:color="000000" w:sz="8" w:space="0"/>
                    <w:right w:val="nil"/>
                  </w:tcBorders>
                  <w:shd w:val="clear" w:color="auto" w:fill="auto"/>
                  <w:vAlign w:val="center"/>
                </w:tcPr>
                <w:p w14:paraId="3CBBB15F">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回用于搅拌用水</w:t>
                  </w:r>
                </w:p>
              </w:tc>
            </w:tr>
            <w:tr w14:paraId="33640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357" w:type="dxa"/>
                  <w:tcBorders>
                    <w:top w:val="single" w:color="000000" w:sz="8" w:space="0"/>
                    <w:left w:val="nil"/>
                    <w:bottom w:val="single" w:color="000000" w:sz="8" w:space="0"/>
                    <w:right w:val="single" w:color="000000" w:sz="8" w:space="0"/>
                  </w:tcBorders>
                  <w:shd w:val="clear" w:color="auto" w:fill="auto"/>
                  <w:vAlign w:val="center"/>
                </w:tcPr>
                <w:p w14:paraId="4A4A7CC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⑤</w:t>
                  </w:r>
                </w:p>
              </w:tc>
              <w:tc>
                <w:tcPr>
                  <w:tcW w:w="64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E47C8F2">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抑尘用水</w:t>
                  </w:r>
                </w:p>
              </w:tc>
              <w:tc>
                <w:tcPr>
                  <w:tcW w:w="786"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E3D15DD">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10</w:t>
                  </w:r>
                </w:p>
              </w:tc>
              <w:tc>
                <w:tcPr>
                  <w:tcW w:w="62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1CA880B">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w:t>
                  </w:r>
                </w:p>
              </w:tc>
              <w:tc>
                <w:tcPr>
                  <w:tcW w:w="6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E7DCE43">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7C8BCA8">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w:t>
                  </w:r>
                </w:p>
              </w:tc>
              <w:tc>
                <w:tcPr>
                  <w:tcW w:w="62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70DC814">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10</w:t>
                  </w:r>
                </w:p>
              </w:tc>
              <w:tc>
                <w:tcPr>
                  <w:tcW w:w="85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E9EAC85">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w:t>
                  </w:r>
                </w:p>
              </w:tc>
              <w:tc>
                <w:tcPr>
                  <w:tcW w:w="7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DFD5EC1">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10</w:t>
                  </w:r>
                </w:p>
              </w:tc>
              <w:tc>
                <w:tcPr>
                  <w:tcW w:w="76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A80C740">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w:t>
                  </w:r>
                </w:p>
              </w:tc>
              <w:tc>
                <w:tcPr>
                  <w:tcW w:w="67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BB1A578">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w:t>
                  </w:r>
                </w:p>
              </w:tc>
              <w:tc>
                <w:tcPr>
                  <w:tcW w:w="674" w:type="dxa"/>
                  <w:tcBorders>
                    <w:top w:val="single" w:color="000000" w:sz="8" w:space="0"/>
                    <w:left w:val="single" w:color="000000" w:sz="8" w:space="0"/>
                    <w:bottom w:val="single" w:color="000000" w:sz="8" w:space="0"/>
                    <w:right w:val="nil"/>
                  </w:tcBorders>
                  <w:shd w:val="clear" w:color="auto" w:fill="auto"/>
                  <w:vAlign w:val="center"/>
                </w:tcPr>
                <w:p w14:paraId="37FC276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r>
            <w:tr w14:paraId="55E40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0" w:hRule="atLeast"/>
                <w:jc w:val="center"/>
              </w:trPr>
              <w:tc>
                <w:tcPr>
                  <w:tcW w:w="357" w:type="dxa"/>
                  <w:tcBorders>
                    <w:top w:val="single" w:color="000000" w:sz="8" w:space="0"/>
                    <w:left w:val="nil"/>
                    <w:bottom w:val="single" w:color="000000" w:sz="8" w:space="0"/>
                    <w:right w:val="single" w:color="000000" w:sz="8" w:space="0"/>
                  </w:tcBorders>
                  <w:shd w:val="clear" w:color="auto" w:fill="auto"/>
                  <w:vAlign w:val="center"/>
                </w:tcPr>
                <w:p w14:paraId="0B495E6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⑥</w:t>
                  </w:r>
                </w:p>
              </w:tc>
              <w:tc>
                <w:tcPr>
                  <w:tcW w:w="64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AD0C7A9">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生活用水</w:t>
                  </w:r>
                </w:p>
              </w:tc>
              <w:tc>
                <w:tcPr>
                  <w:tcW w:w="786"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4692893">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1.2</w:t>
                  </w:r>
                </w:p>
              </w:tc>
              <w:tc>
                <w:tcPr>
                  <w:tcW w:w="62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4921379">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1.2</w:t>
                  </w:r>
                </w:p>
              </w:tc>
              <w:tc>
                <w:tcPr>
                  <w:tcW w:w="6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95CBED6">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287E0F8">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w:t>
                  </w:r>
                </w:p>
              </w:tc>
              <w:tc>
                <w:tcPr>
                  <w:tcW w:w="62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48FFA29">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w:t>
                  </w:r>
                </w:p>
              </w:tc>
              <w:tc>
                <w:tcPr>
                  <w:tcW w:w="85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27002CC">
                  <w:pPr>
                    <w:pStyle w:val="28"/>
                    <w:keepNext w:val="0"/>
                    <w:keepLines w:val="0"/>
                    <w:suppressLineNumbers w:val="0"/>
                    <w:bidi w:val="0"/>
                    <w:spacing w:beforeAutospacing="0" w:afterAutospacing="0"/>
                    <w:ind w:left="0" w:right="0"/>
                    <w:rPr>
                      <w:rFonts w:hint="eastAsia"/>
                      <w:caps w:val="0"/>
                      <w:color w:val="auto"/>
                      <w:spacing w:val="0"/>
                      <w:position w:val="0"/>
                      <w:lang w:val="en-US" w:eastAsia="zh-CN"/>
                    </w:rPr>
                  </w:pPr>
                  <w:r>
                    <w:rPr>
                      <w:rFonts w:hint="default"/>
                      <w:caps w:val="0"/>
                      <w:color w:val="auto"/>
                      <w:spacing w:val="0"/>
                      <w:position w:val="0"/>
                      <w:lang w:val="en-US" w:eastAsia="zh-CN"/>
                    </w:rPr>
                    <w:t>0</w:t>
                  </w:r>
                </w:p>
              </w:tc>
              <w:tc>
                <w:tcPr>
                  <w:tcW w:w="7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3F9C41C">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0.24</w:t>
                  </w:r>
                </w:p>
              </w:tc>
              <w:tc>
                <w:tcPr>
                  <w:tcW w:w="76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3AD22DD">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w:t>
                  </w:r>
                </w:p>
              </w:tc>
              <w:tc>
                <w:tcPr>
                  <w:tcW w:w="67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C98AB90">
                  <w:pPr>
                    <w:pStyle w:val="28"/>
                    <w:keepNext w:val="0"/>
                    <w:keepLines w:val="0"/>
                    <w:suppressLineNumbers w:val="0"/>
                    <w:bidi w:val="0"/>
                    <w:spacing w:beforeAutospacing="0" w:afterAutospacing="0"/>
                    <w:ind w:left="0" w:right="0"/>
                    <w:rPr>
                      <w:rFonts w:hint="default"/>
                      <w:caps w:val="0"/>
                      <w:color w:val="auto"/>
                      <w:spacing w:val="0"/>
                      <w:position w:val="0"/>
                    </w:rPr>
                  </w:pPr>
                  <w:r>
                    <w:rPr>
                      <w:rFonts w:hint="default"/>
                      <w:caps w:val="0"/>
                      <w:color w:val="auto"/>
                      <w:spacing w:val="0"/>
                      <w:position w:val="0"/>
                      <w:lang w:val="en-US" w:eastAsia="zh-CN"/>
                    </w:rPr>
                    <w:t>0.96</w:t>
                  </w:r>
                </w:p>
              </w:tc>
              <w:tc>
                <w:tcPr>
                  <w:tcW w:w="674" w:type="dxa"/>
                  <w:tcBorders>
                    <w:top w:val="single" w:color="000000" w:sz="8" w:space="0"/>
                    <w:left w:val="single" w:color="000000" w:sz="8" w:space="0"/>
                    <w:bottom w:val="single" w:color="000000" w:sz="8" w:space="0"/>
                    <w:right w:val="nil"/>
                  </w:tcBorders>
                  <w:shd w:val="clear" w:color="auto" w:fill="auto"/>
                  <w:vAlign w:val="center"/>
                </w:tcPr>
                <w:p w14:paraId="3ABB495E">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用于林地灌</w:t>
                  </w:r>
                </w:p>
              </w:tc>
            </w:tr>
            <w:tr w14:paraId="31617F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01" w:type="dxa"/>
                  <w:gridSpan w:val="2"/>
                  <w:tcBorders>
                    <w:top w:val="single" w:color="000000" w:sz="8" w:space="0"/>
                    <w:left w:val="nil"/>
                    <w:bottom w:val="single" w:color="000000" w:sz="8" w:space="0"/>
                    <w:right w:val="single" w:color="000000" w:sz="8" w:space="0"/>
                  </w:tcBorders>
                  <w:shd w:val="clear" w:color="auto" w:fill="auto"/>
                  <w:vAlign w:val="center"/>
                </w:tcPr>
                <w:p w14:paraId="71CC6111">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小计</w:t>
                  </w:r>
                </w:p>
              </w:tc>
              <w:tc>
                <w:tcPr>
                  <w:tcW w:w="786"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1E0A525">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41.24</w:t>
                  </w:r>
                </w:p>
              </w:tc>
              <w:tc>
                <w:tcPr>
                  <w:tcW w:w="623"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0A7F388">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6.95</w:t>
                  </w:r>
                </w:p>
              </w:tc>
              <w:tc>
                <w:tcPr>
                  <w:tcW w:w="63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0F47A64">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10.69</w:t>
                  </w:r>
                </w:p>
              </w:tc>
              <w:tc>
                <w:tcPr>
                  <w:tcW w:w="70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98297D6">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5.6</w:t>
                  </w:r>
                </w:p>
              </w:tc>
              <w:tc>
                <w:tcPr>
                  <w:tcW w:w="62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22D481F">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18</w:t>
                  </w:r>
                </w:p>
              </w:tc>
              <w:tc>
                <w:tcPr>
                  <w:tcW w:w="85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7E59E24">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10.69</w:t>
                  </w:r>
                </w:p>
              </w:tc>
              <w:tc>
                <w:tcPr>
                  <w:tcW w:w="7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8ABD35F">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26.47</w:t>
                  </w:r>
                </w:p>
              </w:tc>
              <w:tc>
                <w:tcPr>
                  <w:tcW w:w="76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1391394">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3.12</w:t>
                  </w:r>
                </w:p>
              </w:tc>
              <w:tc>
                <w:tcPr>
                  <w:tcW w:w="67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C5354D2">
                  <w:pPr>
                    <w:pStyle w:val="28"/>
                    <w:keepNext w:val="0"/>
                    <w:keepLines w:val="0"/>
                    <w:suppressLineNumbers w:val="0"/>
                    <w:bidi w:val="0"/>
                    <w:spacing w:beforeAutospacing="0" w:afterAutospacing="0"/>
                    <w:ind w:left="0" w:right="0"/>
                    <w:rPr>
                      <w:rFonts w:hint="default"/>
                      <w:caps w:val="0"/>
                      <w:color w:val="auto"/>
                      <w:spacing w:val="0"/>
                      <w:position w:val="0"/>
                      <w:lang w:val="en-US"/>
                    </w:rPr>
                  </w:pPr>
                  <w:r>
                    <w:rPr>
                      <w:rFonts w:hint="default"/>
                      <w:caps w:val="0"/>
                      <w:color w:val="auto"/>
                      <w:spacing w:val="0"/>
                      <w:position w:val="0"/>
                      <w:lang w:val="en-US" w:eastAsia="zh-CN"/>
                    </w:rPr>
                    <w:t>0.96</w:t>
                  </w:r>
                </w:p>
              </w:tc>
              <w:tc>
                <w:tcPr>
                  <w:tcW w:w="674" w:type="dxa"/>
                  <w:tcBorders>
                    <w:top w:val="single" w:color="000000" w:sz="8" w:space="0"/>
                    <w:left w:val="single" w:color="000000" w:sz="8" w:space="0"/>
                    <w:bottom w:val="single" w:color="000000" w:sz="8" w:space="0"/>
                    <w:right w:val="nil"/>
                  </w:tcBorders>
                  <w:shd w:val="clear" w:color="auto" w:fill="auto"/>
                  <w:vAlign w:val="center"/>
                </w:tcPr>
                <w:p w14:paraId="08B5A29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r>
            <w:tr w14:paraId="73DD0B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01" w:type="dxa"/>
                  <w:gridSpan w:val="2"/>
                  <w:tcBorders>
                    <w:top w:val="single" w:color="000000" w:sz="8" w:space="0"/>
                    <w:left w:val="nil"/>
                    <w:bottom w:val="single" w:color="000000" w:sz="12" w:space="0"/>
                    <w:right w:val="single" w:color="000000" w:sz="8" w:space="0"/>
                  </w:tcBorders>
                  <w:shd w:val="clear" w:color="auto" w:fill="auto"/>
                  <w:vAlign w:val="center"/>
                </w:tcPr>
                <w:p w14:paraId="27EE1CDA">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合计</w:t>
                  </w:r>
                </w:p>
              </w:tc>
              <w:tc>
                <w:tcPr>
                  <w:tcW w:w="786" w:type="dxa"/>
                  <w:tcBorders>
                    <w:top w:val="single" w:color="000000" w:sz="8" w:space="0"/>
                    <w:left w:val="single" w:color="000000" w:sz="8" w:space="0"/>
                    <w:bottom w:val="single" w:color="000000" w:sz="12" w:space="0"/>
                    <w:right w:val="single" w:color="000000" w:sz="8" w:space="0"/>
                  </w:tcBorders>
                  <w:shd w:val="clear" w:color="auto" w:fill="auto"/>
                  <w:vAlign w:val="center"/>
                </w:tcPr>
                <w:p w14:paraId="20FA6CA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41.24</w:t>
                  </w:r>
                </w:p>
              </w:tc>
              <w:tc>
                <w:tcPr>
                  <w:tcW w:w="2585" w:type="dxa"/>
                  <w:gridSpan w:val="4"/>
                  <w:tcBorders>
                    <w:top w:val="single" w:color="000000" w:sz="8" w:space="0"/>
                    <w:left w:val="single" w:color="000000" w:sz="8" w:space="0"/>
                    <w:bottom w:val="single" w:color="000000" w:sz="12" w:space="0"/>
                    <w:right w:val="single" w:color="000000" w:sz="8" w:space="0"/>
                  </w:tcBorders>
                  <w:shd w:val="clear" w:color="auto" w:fill="auto"/>
                  <w:vAlign w:val="center"/>
                </w:tcPr>
                <w:p w14:paraId="2F36EEB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41.24</w:t>
                  </w:r>
                </w:p>
              </w:tc>
              <w:tc>
                <w:tcPr>
                  <w:tcW w:w="3034" w:type="dxa"/>
                  <w:gridSpan w:val="4"/>
                  <w:tcBorders>
                    <w:top w:val="single" w:color="000000" w:sz="8" w:space="0"/>
                    <w:left w:val="single" w:color="000000" w:sz="8" w:space="0"/>
                    <w:bottom w:val="single" w:color="000000" w:sz="12" w:space="0"/>
                    <w:right w:val="single" w:color="000000" w:sz="8" w:space="0"/>
                  </w:tcBorders>
                  <w:shd w:val="clear" w:color="auto" w:fill="auto"/>
                  <w:vAlign w:val="center"/>
                </w:tcPr>
                <w:p w14:paraId="76D494B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41.24</w:t>
                  </w:r>
                </w:p>
              </w:tc>
              <w:tc>
                <w:tcPr>
                  <w:tcW w:w="674" w:type="dxa"/>
                  <w:tcBorders>
                    <w:top w:val="single" w:color="000000" w:sz="8" w:space="0"/>
                    <w:left w:val="single" w:color="000000" w:sz="8" w:space="0"/>
                    <w:bottom w:val="single" w:color="000000" w:sz="12" w:space="0"/>
                    <w:right w:val="nil"/>
                  </w:tcBorders>
                  <w:shd w:val="clear" w:color="auto" w:fill="auto"/>
                  <w:vAlign w:val="center"/>
                </w:tcPr>
                <w:p w14:paraId="254F630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r>
          </w:tbl>
          <w:p w14:paraId="3011E565">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由</w:t>
            </w:r>
            <w:r>
              <w:rPr>
                <w:rFonts w:hint="eastAsia" w:cs="Times New Roman"/>
                <w:caps w:val="0"/>
                <w:color w:val="auto"/>
                <w:spacing w:val="0"/>
                <w:position w:val="0"/>
                <w:highlight w:val="none"/>
                <w:lang w:val="en-US" w:eastAsia="zh-CN"/>
              </w:rPr>
              <w:t>上图表</w:t>
            </w:r>
            <w:r>
              <w:rPr>
                <w:rFonts w:hint="default" w:ascii="Times New Roman" w:hAnsi="Times New Roman" w:cs="Times New Roman"/>
                <w:caps w:val="0"/>
                <w:color w:val="auto"/>
                <w:spacing w:val="0"/>
                <w:position w:val="0"/>
                <w:highlight w:val="none"/>
                <w:lang w:val="en-US" w:eastAsia="zh-CN"/>
              </w:rPr>
              <w:t>可知，本项目总用水量</w:t>
            </w:r>
            <w:r>
              <w:rPr>
                <w:rFonts w:hint="eastAsia" w:cs="Times New Roman"/>
                <w:caps w:val="0"/>
                <w:color w:val="auto"/>
                <w:spacing w:val="0"/>
                <w:position w:val="0"/>
                <w:highlight w:val="none"/>
                <w:lang w:val="en-US" w:eastAsia="zh-CN"/>
              </w:rPr>
              <w:t>41.24</w:t>
            </w:r>
            <w:r>
              <w:rPr>
                <w:rFonts w:hint="default" w:ascii="Times New Roman" w:hAnsi="Times New Roman" w:cs="Times New Roman"/>
                <w:caps w:val="0"/>
                <w:color w:val="auto"/>
                <w:spacing w:val="0"/>
                <w:position w:val="0"/>
                <w:highlight w:val="none"/>
                <w:lang w:val="en-US" w:eastAsia="zh-CN"/>
              </w:rPr>
              <w:t>t/d，其中新鲜水用量</w:t>
            </w:r>
            <w:r>
              <w:rPr>
                <w:rFonts w:hint="eastAsia" w:cs="Times New Roman"/>
                <w:caps w:val="0"/>
                <w:color w:val="auto"/>
                <w:spacing w:val="0"/>
                <w:position w:val="0"/>
                <w:highlight w:val="none"/>
                <w:lang w:val="en-US" w:eastAsia="zh-CN"/>
              </w:rPr>
              <w:t>6.95</w:t>
            </w:r>
            <w:r>
              <w:rPr>
                <w:rFonts w:hint="default" w:ascii="Times New Roman" w:hAnsi="Times New Roman" w:cs="Times New Roman"/>
                <w:caps w:val="0"/>
                <w:color w:val="auto"/>
                <w:spacing w:val="0"/>
                <w:position w:val="0"/>
                <w:highlight w:val="none"/>
                <w:lang w:val="en-US" w:eastAsia="zh-CN"/>
              </w:rPr>
              <w:t>t/d，初期雨水</w:t>
            </w:r>
            <w:r>
              <w:rPr>
                <w:rFonts w:hint="eastAsia" w:cs="Times New Roman"/>
                <w:caps w:val="0"/>
                <w:color w:val="auto"/>
                <w:spacing w:val="0"/>
                <w:position w:val="0"/>
                <w:highlight w:val="none"/>
                <w:lang w:val="en-US" w:eastAsia="zh-CN"/>
              </w:rPr>
              <w:t>18</w:t>
            </w:r>
            <w:r>
              <w:rPr>
                <w:rFonts w:hint="default" w:ascii="Times New Roman" w:hAnsi="Times New Roman" w:cs="Times New Roman"/>
                <w:caps w:val="0"/>
                <w:color w:val="auto"/>
                <w:spacing w:val="0"/>
                <w:position w:val="0"/>
                <w:highlight w:val="none"/>
                <w:lang w:val="en-US" w:eastAsia="zh-CN"/>
              </w:rPr>
              <w:t>t/d，循环水量</w:t>
            </w:r>
            <w:r>
              <w:rPr>
                <w:rFonts w:hint="eastAsia" w:cs="Times New Roman"/>
                <w:caps w:val="0"/>
                <w:color w:val="auto"/>
                <w:spacing w:val="0"/>
                <w:position w:val="0"/>
                <w:highlight w:val="none"/>
                <w:lang w:val="en-US" w:eastAsia="zh-CN"/>
              </w:rPr>
              <w:t>10.69</w:t>
            </w:r>
            <w:r>
              <w:rPr>
                <w:rFonts w:hint="default" w:ascii="Times New Roman" w:hAnsi="Times New Roman" w:cs="Times New Roman"/>
                <w:caps w:val="0"/>
                <w:color w:val="auto"/>
                <w:spacing w:val="0"/>
                <w:position w:val="0"/>
                <w:highlight w:val="none"/>
                <w:lang w:val="en-US" w:eastAsia="zh-CN"/>
              </w:rPr>
              <w:t>t/d</w:t>
            </w:r>
            <w:r>
              <w:rPr>
                <w:rFonts w:hint="eastAsia" w:cs="Times New Roman"/>
                <w:caps w:val="0"/>
                <w:color w:val="auto"/>
                <w:spacing w:val="0"/>
                <w:position w:val="0"/>
                <w:highlight w:val="none"/>
                <w:lang w:val="en-US" w:eastAsia="zh-CN"/>
              </w:rPr>
              <w:t>，灌溉量0.96</w:t>
            </w:r>
            <w:r>
              <w:rPr>
                <w:rFonts w:hint="default" w:ascii="Times New Roman" w:hAnsi="Times New Roman" w:cs="Times New Roman"/>
                <w:caps w:val="0"/>
                <w:color w:val="auto"/>
                <w:spacing w:val="0"/>
                <w:position w:val="0"/>
                <w:highlight w:val="none"/>
                <w:lang w:val="en-US" w:eastAsia="zh-CN"/>
              </w:rPr>
              <w:t>t/d。</w:t>
            </w:r>
          </w:p>
          <w:p w14:paraId="74D2451A">
            <w:pPr>
              <w:pStyle w:val="74"/>
              <w:keepNext w:val="0"/>
              <w:keepLines w:val="0"/>
              <w:suppressLineNumbers w:val="0"/>
              <w:bidi w:val="0"/>
              <w:spacing w:before="0" w:beforeAutospacing="0" w:after="0" w:afterAutospacing="0"/>
              <w:ind w:left="0" w:right="0"/>
              <w:rPr>
                <w:rFonts w:hint="default" w:ascii="Times New Roman" w:hAnsi="Times New Roman" w:cs="Times New Roman"/>
                <w:b/>
                <w:bCs w:val="0"/>
                <w:caps w:val="0"/>
                <w:color w:val="auto"/>
                <w:spacing w:val="0"/>
                <w:position w:val="0"/>
                <w:highlight w:val="none"/>
              </w:rPr>
            </w:pPr>
            <w:r>
              <w:rPr>
                <w:rFonts w:hint="default" w:ascii="Times New Roman" w:hAnsi="Times New Roman" w:cs="Times New Roman"/>
                <w:b/>
                <w:bCs w:val="0"/>
                <w:caps w:val="0"/>
                <w:color w:val="auto"/>
                <w:spacing w:val="0"/>
                <w:position w:val="0"/>
                <w:highlight w:val="none"/>
                <w:lang w:val="en-US" w:eastAsia="zh-CN"/>
              </w:rPr>
              <w:t>9</w:t>
            </w:r>
            <w:r>
              <w:rPr>
                <w:rFonts w:hint="default" w:ascii="Times New Roman" w:hAnsi="Times New Roman" w:cs="Times New Roman"/>
                <w:b/>
                <w:bCs w:val="0"/>
                <w:caps w:val="0"/>
                <w:color w:val="auto"/>
                <w:spacing w:val="0"/>
                <w:position w:val="0"/>
                <w:highlight w:val="none"/>
              </w:rPr>
              <w:t>、厂区平面布置</w:t>
            </w:r>
          </w:p>
          <w:p w14:paraId="0189495E">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本着结合项目用地的自然条件，合理利用土地，便于各功能区之间的联系，缩短物料厂区运输距离，方便管理和有利生产的总体布置原则，根据各功能区的不同特点，采用分区布置方式。</w:t>
            </w:r>
          </w:p>
          <w:p w14:paraId="27EF7E3F">
            <w:pPr>
              <w:pStyle w:val="74"/>
              <w:keepNext w:val="0"/>
              <w:keepLines w:val="0"/>
              <w:suppressLineNumbers w:val="0"/>
              <w:bidi w:val="0"/>
              <w:spacing w:before="0" w:beforeAutospacing="0" w:after="0" w:afterAutospacing="0"/>
              <w:ind w:left="0" w:right="0"/>
              <w:rPr>
                <w:rFonts w:hint="default" w:ascii="Times New Roman" w:hAnsi="Times New Roman" w:cs="Times New Roman"/>
                <w:bCs/>
                <w:caps w:val="0"/>
                <w:color w:val="auto"/>
                <w:spacing w:val="0"/>
                <w:position w:val="0"/>
                <w:szCs w:val="21"/>
                <w:highlight w:val="none"/>
              </w:rPr>
            </w:pPr>
            <w:r>
              <w:rPr>
                <w:rFonts w:hint="eastAsia" w:cs="Times New Roman"/>
                <w:caps w:val="0"/>
                <w:color w:val="auto"/>
                <w:spacing w:val="0"/>
                <w:position w:val="0"/>
                <w:highlight w:val="none"/>
                <w:lang w:val="en-US" w:eastAsia="zh-CN"/>
              </w:rPr>
              <w:t>项目拆除原有建筑，新建厂房，将生产区、</w:t>
            </w:r>
            <w:r>
              <w:rPr>
                <w:rFonts w:hint="default" w:ascii="Times New Roman" w:hAnsi="Times New Roman" w:cs="Times New Roman"/>
                <w:caps w:val="0"/>
                <w:color w:val="auto"/>
                <w:spacing w:val="0"/>
                <w:position w:val="0"/>
                <w:highlight w:val="none"/>
                <w:lang w:val="en-US" w:eastAsia="zh-CN"/>
              </w:rPr>
              <w:t>原料仓库</w:t>
            </w:r>
            <w:r>
              <w:rPr>
                <w:rFonts w:hint="eastAsia" w:cs="Times New Roman"/>
                <w:caps w:val="0"/>
                <w:color w:val="auto"/>
                <w:spacing w:val="0"/>
                <w:position w:val="0"/>
                <w:highlight w:val="none"/>
                <w:lang w:val="en-US" w:eastAsia="zh-CN"/>
              </w:rPr>
              <w:t>、锂渣仓库和养护区均设在新建厂房内，</w:t>
            </w:r>
            <w:r>
              <w:rPr>
                <w:rFonts w:hint="default" w:ascii="Times New Roman" w:hAnsi="Times New Roman" w:cs="Times New Roman"/>
                <w:caps w:val="0"/>
                <w:color w:val="auto"/>
                <w:spacing w:val="0"/>
                <w:position w:val="0"/>
                <w:highlight w:val="none"/>
                <w:lang w:val="en-US" w:eastAsia="zh-CN"/>
              </w:rPr>
              <w:t>便于</w:t>
            </w:r>
            <w:r>
              <w:rPr>
                <w:rFonts w:hint="eastAsia" w:cs="Times New Roman"/>
                <w:caps w:val="0"/>
                <w:color w:val="auto"/>
                <w:spacing w:val="0"/>
                <w:position w:val="0"/>
                <w:highlight w:val="none"/>
                <w:lang w:val="en-US" w:eastAsia="zh-CN"/>
              </w:rPr>
              <w:t>原辅材料</w:t>
            </w:r>
            <w:r>
              <w:rPr>
                <w:rFonts w:hint="default" w:ascii="Times New Roman" w:hAnsi="Times New Roman" w:cs="Times New Roman"/>
                <w:caps w:val="0"/>
                <w:color w:val="auto"/>
                <w:spacing w:val="0"/>
                <w:position w:val="0"/>
                <w:highlight w:val="none"/>
                <w:lang w:val="en-US" w:eastAsia="zh-CN"/>
              </w:rPr>
              <w:t>的</w:t>
            </w:r>
            <w:r>
              <w:rPr>
                <w:rFonts w:hint="eastAsia" w:cs="Times New Roman"/>
                <w:caps w:val="0"/>
                <w:color w:val="auto"/>
                <w:spacing w:val="0"/>
                <w:position w:val="0"/>
                <w:highlight w:val="none"/>
                <w:lang w:val="en-US" w:eastAsia="zh-CN"/>
              </w:rPr>
              <w:t>转运</w:t>
            </w:r>
            <w:r>
              <w:rPr>
                <w:rFonts w:hint="default" w:ascii="Times New Roman" w:hAnsi="Times New Roman" w:cs="Times New Roman"/>
                <w:caps w:val="0"/>
                <w:color w:val="auto"/>
                <w:spacing w:val="0"/>
                <w:position w:val="0"/>
                <w:highlight w:val="none"/>
                <w:lang w:val="en-US" w:eastAsia="zh-CN"/>
              </w:rPr>
              <w:t>，方便生产成品储存，同时，</w:t>
            </w:r>
            <w:r>
              <w:rPr>
                <w:rFonts w:hint="eastAsia" w:cs="Times New Roman"/>
                <w:caps w:val="0"/>
                <w:color w:val="auto"/>
                <w:spacing w:val="0"/>
                <w:position w:val="0"/>
                <w:highlight w:val="none"/>
                <w:lang w:val="en-US" w:eastAsia="zh-CN"/>
              </w:rPr>
              <w:t>养护区</w:t>
            </w:r>
            <w:r>
              <w:rPr>
                <w:rFonts w:hint="default" w:ascii="Times New Roman" w:hAnsi="Times New Roman" w:cs="Times New Roman"/>
                <w:caps w:val="0"/>
                <w:color w:val="auto"/>
                <w:spacing w:val="0"/>
                <w:position w:val="0"/>
                <w:highlight w:val="none"/>
                <w:lang w:val="en-US" w:eastAsia="zh-CN"/>
              </w:rPr>
              <w:t>靠近</w:t>
            </w:r>
            <w:r>
              <w:rPr>
                <w:rFonts w:hint="eastAsia" w:cs="Times New Roman"/>
                <w:caps w:val="0"/>
                <w:color w:val="auto"/>
                <w:spacing w:val="0"/>
                <w:position w:val="0"/>
                <w:highlight w:val="none"/>
                <w:lang w:val="en-US" w:eastAsia="zh-CN"/>
              </w:rPr>
              <w:t>出</w:t>
            </w:r>
            <w:r>
              <w:rPr>
                <w:rFonts w:hint="default" w:ascii="Times New Roman" w:hAnsi="Times New Roman" w:cs="Times New Roman"/>
                <w:caps w:val="0"/>
                <w:color w:val="auto"/>
                <w:spacing w:val="0"/>
                <w:position w:val="0"/>
                <w:highlight w:val="none"/>
                <w:lang w:val="en-US" w:eastAsia="zh-CN"/>
              </w:rPr>
              <w:t>口，便于产品的外运。项目各功能区内设施布置紧凑，各建筑物、构筑物的外形规整：功能区布置符合生产流程、操作要求和使用功能。本项目办公区位于厂区</w:t>
            </w:r>
            <w:r>
              <w:rPr>
                <w:rFonts w:hint="eastAsia" w:cs="Times New Roman"/>
                <w:caps w:val="0"/>
                <w:color w:val="auto"/>
                <w:spacing w:val="0"/>
                <w:position w:val="0"/>
                <w:highlight w:val="none"/>
                <w:lang w:val="en-US" w:eastAsia="zh-CN"/>
              </w:rPr>
              <w:t>东北</w:t>
            </w:r>
            <w:r>
              <w:rPr>
                <w:rFonts w:hint="default" w:ascii="Times New Roman" w:hAnsi="Times New Roman" w:cs="Times New Roman"/>
                <w:caps w:val="0"/>
                <w:color w:val="auto"/>
                <w:spacing w:val="0"/>
                <w:position w:val="0"/>
                <w:highlight w:val="none"/>
                <w:lang w:val="en-US" w:eastAsia="zh-CN"/>
              </w:rPr>
              <w:t>部，与生产车间有一定的距离，可减少噪声对职工的影响，同时，高安市近五年的主导风向为东北风，其处于项目所在地加工区主导风向的</w:t>
            </w:r>
            <w:r>
              <w:rPr>
                <w:rFonts w:hint="eastAsia" w:cs="Times New Roman"/>
                <w:caps w:val="0"/>
                <w:color w:val="auto"/>
                <w:spacing w:val="0"/>
                <w:position w:val="0"/>
                <w:highlight w:val="none"/>
                <w:lang w:val="en-US" w:eastAsia="zh-CN"/>
              </w:rPr>
              <w:t>上</w:t>
            </w:r>
            <w:r>
              <w:rPr>
                <w:rFonts w:hint="default" w:ascii="Times New Roman" w:hAnsi="Times New Roman" w:cs="Times New Roman"/>
                <w:caps w:val="0"/>
                <w:color w:val="auto"/>
                <w:spacing w:val="0"/>
                <w:position w:val="0"/>
                <w:highlight w:val="none"/>
                <w:lang w:val="en-US" w:eastAsia="zh-CN"/>
              </w:rPr>
              <w:t>风向，从环保角度分析布置较合理。综上所述，评价认为本项目总平面布置功能分区明确，人流、物流分开，很好地利用了场地的空间布局，同时本项目产生的污染较小，对外环境的影响小。本项目总平面布置在满足消防、安全、卫生要求的前提下，总平面布局功能分明、工艺流程顺畅、运输及物流合理、生产管理方便，同时结构紧凑、最大限度节约空间，项目平面布置合理</w:t>
            </w:r>
            <w:r>
              <w:rPr>
                <w:rFonts w:hint="default" w:ascii="Times New Roman" w:hAnsi="Times New Roman" w:cs="Times New Roman"/>
                <w:caps w:val="0"/>
                <w:color w:val="auto"/>
                <w:spacing w:val="0"/>
                <w:position w:val="0"/>
                <w:highlight w:val="none"/>
              </w:rPr>
              <w:t>，布局方整，便捷性较好，有利于货物进出。</w:t>
            </w:r>
          </w:p>
        </w:tc>
      </w:tr>
      <w:tr w14:paraId="5AA9B4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3" w:type="dxa"/>
            <w:noWrap w:val="0"/>
            <w:vAlign w:val="center"/>
          </w:tcPr>
          <w:p w14:paraId="45192C1F">
            <w:pPr>
              <w:pStyle w:val="20"/>
              <w:keepNext w:val="0"/>
              <w:keepLines w:val="0"/>
              <w:suppressLineNumbers w:val="0"/>
              <w:adjustRightInd w:val="0"/>
              <w:snapToGrid w:val="0"/>
              <w:spacing w:before="0" w:beforeAutospacing="0" w:after="0" w:afterAutospacing="0"/>
              <w:ind w:left="0" w:leftChars="0" w:right="0" w:firstLine="0" w:firstLineChars="0"/>
              <w:jc w:val="both"/>
              <w:rPr>
                <w:rFonts w:hint="default" w:ascii="Times New Roman" w:hAnsi="Times New Roman" w:cs="Times New Roman"/>
                <w:caps w:val="0"/>
                <w:color w:val="auto"/>
                <w:spacing w:val="0"/>
                <w:position w:val="0"/>
                <w:sz w:val="21"/>
                <w:szCs w:val="21"/>
                <w:highlight w:val="none"/>
              </w:rPr>
            </w:pPr>
            <w:r>
              <w:rPr>
                <w:rFonts w:hint="default" w:ascii="Times New Roman" w:hAnsi="Times New Roman" w:cs="Times New Roman"/>
                <w:caps w:val="0"/>
                <w:color w:val="auto"/>
                <w:spacing w:val="0"/>
                <w:position w:val="0"/>
                <w:szCs w:val="24"/>
                <w:highlight w:val="none"/>
              </w:rPr>
              <w:t>工艺流程和产排污环节</w:t>
            </w:r>
          </w:p>
        </w:tc>
        <w:tc>
          <w:tcPr>
            <w:tcW w:w="8161" w:type="dxa"/>
            <w:noWrap w:val="0"/>
            <w:vAlign w:val="top"/>
          </w:tcPr>
          <w:p w14:paraId="60AFE18E">
            <w:pPr>
              <w:pStyle w:val="74"/>
              <w:keepNext w:val="0"/>
              <w:keepLines w:val="0"/>
              <w:suppressLineNumbers w:val="0"/>
              <w:bidi w:val="0"/>
              <w:spacing w:before="0" w:beforeAutospacing="0" w:after="0" w:afterAutospacing="0"/>
              <w:ind w:left="0" w:right="0"/>
              <w:rPr>
                <w:rFonts w:hint="default" w:ascii="Times New Roman" w:hAnsi="Times New Roman" w:cs="Times New Roman"/>
                <w:b/>
                <w:bCs w:val="0"/>
                <w:caps w:val="0"/>
                <w:color w:val="auto"/>
                <w:spacing w:val="0"/>
                <w:position w:val="0"/>
                <w:highlight w:val="none"/>
              </w:rPr>
            </w:pPr>
            <w:r>
              <w:rPr>
                <w:rFonts w:hint="default" w:ascii="Times New Roman" w:hAnsi="Times New Roman" w:cs="Times New Roman"/>
                <w:b/>
                <w:bCs w:val="0"/>
                <w:caps w:val="0"/>
                <w:color w:val="auto"/>
                <w:spacing w:val="0"/>
                <w:position w:val="0"/>
                <w:highlight w:val="none"/>
                <w:lang w:val="en-US" w:eastAsia="zh-CN"/>
              </w:rPr>
              <w:t>一、</w:t>
            </w:r>
            <w:r>
              <w:rPr>
                <w:rFonts w:hint="default" w:ascii="Times New Roman" w:hAnsi="Times New Roman" w:cs="Times New Roman"/>
                <w:b/>
                <w:bCs w:val="0"/>
                <w:caps w:val="0"/>
                <w:color w:val="auto"/>
                <w:spacing w:val="0"/>
                <w:position w:val="0"/>
                <w:highlight w:val="none"/>
              </w:rPr>
              <w:t>施工期</w:t>
            </w:r>
            <w:r>
              <w:rPr>
                <w:rFonts w:hint="default" w:ascii="Times New Roman" w:hAnsi="Times New Roman" w:cs="Times New Roman"/>
                <w:b/>
                <w:bCs w:val="0"/>
                <w:caps w:val="0"/>
                <w:color w:val="auto"/>
                <w:spacing w:val="0"/>
                <w:position w:val="0"/>
                <w:highlight w:val="none"/>
                <w:lang w:val="en-US" w:eastAsia="zh-CN"/>
              </w:rPr>
              <w:t>工艺流程及产污环节</w:t>
            </w:r>
          </w:p>
          <w:p w14:paraId="1D9FA14F">
            <w:pPr>
              <w:pStyle w:val="76"/>
              <w:keepNext w:val="0"/>
              <w:keepLines w:val="0"/>
              <w:suppressLineNumbers w:val="0"/>
              <w:spacing w:before="0" w:beforeAutospacing="0" w:after="0" w:afterAutospacing="0"/>
              <w:ind w:left="0" w:right="0" w:firstLine="480"/>
              <w:rPr>
                <w:rFonts w:hint="default"/>
                <w:caps w:val="0"/>
                <w:color w:val="auto"/>
                <w:spacing w:val="0"/>
                <w:position w:val="0"/>
                <w:highlight w:val="none"/>
              </w:rPr>
            </w:pPr>
            <w:r>
              <w:rPr>
                <w:rFonts w:hint="eastAsia"/>
                <w:caps w:val="0"/>
                <w:color w:val="auto"/>
                <w:spacing w:val="0"/>
                <w:position w:val="0"/>
                <w:highlight w:val="none"/>
              </w:rPr>
              <w:t>本项目施工期主要进行厂房主体建筑的搭建和厂区根据功能的分区装修以及设备安装。主体建筑包括生产车间、仓库、</w:t>
            </w:r>
            <w:r>
              <w:rPr>
                <w:rFonts w:hint="eastAsia"/>
                <w:caps w:val="0"/>
                <w:color w:val="auto"/>
                <w:spacing w:val="0"/>
                <w:position w:val="0"/>
                <w:highlight w:val="none"/>
                <w:lang w:val="en-US" w:eastAsia="zh-CN"/>
              </w:rPr>
              <w:t>锂渣仓库</w:t>
            </w:r>
            <w:r>
              <w:rPr>
                <w:rFonts w:hint="eastAsia"/>
                <w:caps w:val="0"/>
                <w:color w:val="auto"/>
                <w:spacing w:val="0"/>
                <w:position w:val="0"/>
                <w:highlight w:val="none"/>
              </w:rPr>
              <w:t>等。本项目施工期工艺流程及产污环节如下图所示。</w:t>
            </w:r>
          </w:p>
          <w:p w14:paraId="4623C3CB">
            <w:pPr>
              <w:pStyle w:val="76"/>
              <w:keepNext w:val="0"/>
              <w:keepLines w:val="0"/>
              <w:suppressLineNumbers w:val="0"/>
              <w:spacing w:before="0" w:beforeAutospacing="0" w:after="0" w:afterAutospacing="0"/>
              <w:ind w:left="0" w:right="0" w:firstLine="0" w:firstLineChars="0"/>
              <w:jc w:val="center"/>
              <w:rPr>
                <w:rFonts w:hint="default"/>
                <w:caps w:val="0"/>
                <w:color w:val="auto"/>
                <w:spacing w:val="0"/>
                <w:position w:val="0"/>
                <w:highlight w:val="none"/>
              </w:rPr>
            </w:pPr>
            <w:r>
              <w:rPr>
                <w:rFonts w:hint="default"/>
                <w:b/>
                <w:caps w:val="0"/>
                <w:color w:val="auto"/>
                <w:spacing w:val="0"/>
                <w:position w:val="0"/>
                <w:sz w:val="24"/>
                <w:highlight w:val="none"/>
              </w:rPr>
              <w:drawing>
                <wp:inline distT="0" distB="0" distL="0" distR="0">
                  <wp:extent cx="4147185" cy="859790"/>
                  <wp:effectExtent l="0" t="0" r="5715" b="165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224284" cy="875956"/>
                          </a:xfrm>
                          <a:prstGeom prst="rect">
                            <a:avLst/>
                          </a:prstGeom>
                          <a:noFill/>
                          <a:ln>
                            <a:noFill/>
                          </a:ln>
                        </pic:spPr>
                      </pic:pic>
                    </a:graphicData>
                  </a:graphic>
                </wp:inline>
              </w:drawing>
            </w:r>
          </w:p>
          <w:p w14:paraId="2D5916A8">
            <w:pPr>
              <w:pStyle w:val="75"/>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图2-</w:t>
            </w:r>
            <w:r>
              <w:rPr>
                <w:rFonts w:hint="default"/>
                <w:caps w:val="0"/>
                <w:color w:val="auto"/>
                <w:spacing w:val="0"/>
                <w:position w:val="0"/>
                <w:highlight w:val="none"/>
              </w:rPr>
              <w:t>2</w:t>
            </w:r>
            <w:r>
              <w:rPr>
                <w:rFonts w:hint="eastAsia"/>
                <w:caps w:val="0"/>
                <w:color w:val="auto"/>
                <w:spacing w:val="0"/>
                <w:position w:val="0"/>
                <w:highlight w:val="none"/>
              </w:rPr>
              <w:t xml:space="preserve"> 施工期工艺流程图</w:t>
            </w:r>
          </w:p>
          <w:p w14:paraId="04F23C5A">
            <w:pPr>
              <w:keepNext w:val="0"/>
              <w:keepLines w:val="0"/>
              <w:suppressLineNumbers w:val="0"/>
              <w:spacing w:before="0" w:beforeAutospacing="0" w:after="0" w:afterAutospacing="0" w:line="360" w:lineRule="auto"/>
              <w:ind w:left="0" w:right="0" w:firstLine="480" w:firstLineChars="200"/>
              <w:outlineLvl w:val="9"/>
              <w:rPr>
                <w:rFonts w:hint="default"/>
                <w:caps w:val="0"/>
                <w:color w:val="auto"/>
                <w:spacing w:val="0"/>
                <w:position w:val="0"/>
                <w:sz w:val="24"/>
                <w:highlight w:val="none"/>
              </w:rPr>
            </w:pPr>
            <w:r>
              <w:rPr>
                <w:rFonts w:hint="default"/>
                <w:caps w:val="0"/>
                <w:color w:val="auto"/>
                <w:spacing w:val="0"/>
                <w:position w:val="0"/>
                <w:sz w:val="24"/>
                <w:highlight w:val="none"/>
              </w:rPr>
              <w:t>（1）基础工程</w:t>
            </w:r>
          </w:p>
          <w:p w14:paraId="5C02096F">
            <w:pPr>
              <w:keepNext w:val="0"/>
              <w:keepLines w:val="0"/>
              <w:suppressLineNumbers w:val="0"/>
              <w:spacing w:before="0" w:beforeAutospacing="0" w:after="0" w:afterAutospacing="0" w:line="360" w:lineRule="auto"/>
              <w:ind w:left="0" w:right="0" w:firstLine="480" w:firstLineChars="200"/>
              <w:outlineLvl w:val="9"/>
              <w:rPr>
                <w:rFonts w:hint="default"/>
                <w:caps w:val="0"/>
                <w:color w:val="auto"/>
                <w:spacing w:val="0"/>
                <w:position w:val="0"/>
                <w:sz w:val="24"/>
                <w:highlight w:val="none"/>
              </w:rPr>
            </w:pPr>
            <w:r>
              <w:rPr>
                <w:rFonts w:hint="default"/>
                <w:caps w:val="0"/>
                <w:color w:val="auto"/>
                <w:spacing w:val="0"/>
                <w:position w:val="0"/>
                <w:sz w:val="24"/>
                <w:highlight w:val="none"/>
              </w:rPr>
              <w:t>基础工程主要为静压预应力混凝土管桩。该工段主要污染物为施工机械产生的噪声、粉尘和排放的尾气。</w:t>
            </w:r>
          </w:p>
          <w:p w14:paraId="5530BEC4">
            <w:pPr>
              <w:keepNext w:val="0"/>
              <w:keepLines w:val="0"/>
              <w:suppressLineNumbers w:val="0"/>
              <w:spacing w:before="0" w:beforeAutospacing="0" w:after="0" w:afterAutospacing="0" w:line="360" w:lineRule="auto"/>
              <w:ind w:left="0" w:right="0" w:firstLine="480" w:firstLineChars="200"/>
              <w:outlineLvl w:val="9"/>
              <w:rPr>
                <w:rFonts w:hint="default"/>
                <w:caps w:val="0"/>
                <w:color w:val="auto"/>
                <w:spacing w:val="0"/>
                <w:position w:val="0"/>
                <w:sz w:val="24"/>
                <w:highlight w:val="none"/>
              </w:rPr>
            </w:pPr>
            <w:r>
              <w:rPr>
                <w:rFonts w:hint="default"/>
                <w:caps w:val="0"/>
                <w:color w:val="auto"/>
                <w:spacing w:val="0"/>
                <w:position w:val="0"/>
                <w:sz w:val="24"/>
                <w:highlight w:val="none"/>
              </w:rPr>
              <w:t>（2）主体工程</w:t>
            </w:r>
          </w:p>
          <w:p w14:paraId="4A133E11">
            <w:pPr>
              <w:keepNext w:val="0"/>
              <w:keepLines w:val="0"/>
              <w:suppressLineNumbers w:val="0"/>
              <w:spacing w:before="0" w:beforeAutospacing="0" w:after="0" w:afterAutospacing="0" w:line="360" w:lineRule="auto"/>
              <w:ind w:left="0" w:right="0" w:firstLine="480" w:firstLineChars="200"/>
              <w:outlineLvl w:val="9"/>
              <w:rPr>
                <w:rFonts w:hint="default"/>
                <w:caps w:val="0"/>
                <w:color w:val="auto"/>
                <w:spacing w:val="0"/>
                <w:position w:val="0"/>
                <w:sz w:val="24"/>
                <w:highlight w:val="none"/>
              </w:rPr>
            </w:pPr>
            <w:r>
              <w:rPr>
                <w:rFonts w:hint="default"/>
                <w:caps w:val="0"/>
                <w:color w:val="auto"/>
                <w:spacing w:val="0"/>
                <w:position w:val="0"/>
                <w:sz w:val="24"/>
                <w:highlight w:val="none"/>
              </w:rPr>
              <w:t>主体工程主要为现浇钢砼柱、梁，砖墙砌筑。根据施工图纸，进行钢筋的配料和加工，安装于架好的模板之处，及时连续浇筑混凝土，并捣实使混凝土成型。拟建项目在砖墙砌筑时，首先进行水泥砂浆的调配，然后再挂线砌筑。该工段工期较长，主要污染物为搅拌机产生的噪声、尾气，搅拌砂浆时的砂浆水，碎砖和废砂等固废。</w:t>
            </w:r>
          </w:p>
          <w:p w14:paraId="5F40FC59">
            <w:pPr>
              <w:keepNext w:val="0"/>
              <w:keepLines w:val="0"/>
              <w:suppressLineNumbers w:val="0"/>
              <w:spacing w:before="0" w:beforeAutospacing="0" w:after="0" w:afterAutospacing="0" w:line="360" w:lineRule="auto"/>
              <w:ind w:left="0" w:right="0" w:firstLine="480" w:firstLineChars="200"/>
              <w:outlineLvl w:val="9"/>
              <w:rPr>
                <w:rFonts w:hint="default"/>
                <w:caps w:val="0"/>
                <w:color w:val="auto"/>
                <w:spacing w:val="0"/>
                <w:position w:val="0"/>
                <w:sz w:val="24"/>
                <w:highlight w:val="none"/>
              </w:rPr>
            </w:pPr>
            <w:r>
              <w:rPr>
                <w:rFonts w:hint="default"/>
                <w:caps w:val="0"/>
                <w:color w:val="auto"/>
                <w:spacing w:val="0"/>
                <w:position w:val="0"/>
                <w:sz w:val="24"/>
                <w:highlight w:val="none"/>
              </w:rPr>
              <w:t>（3）装饰工程</w:t>
            </w:r>
          </w:p>
          <w:p w14:paraId="5B1DCAEE">
            <w:pPr>
              <w:keepNext w:val="0"/>
              <w:keepLines w:val="0"/>
              <w:suppressLineNumbers w:val="0"/>
              <w:spacing w:before="0" w:beforeAutospacing="0" w:after="0" w:afterAutospacing="0" w:line="360" w:lineRule="auto"/>
              <w:ind w:left="0" w:right="0" w:firstLine="480" w:firstLineChars="200"/>
              <w:outlineLvl w:val="9"/>
              <w:rPr>
                <w:rFonts w:hint="default"/>
                <w:caps w:val="0"/>
                <w:color w:val="auto"/>
                <w:spacing w:val="0"/>
                <w:position w:val="0"/>
                <w:sz w:val="24"/>
                <w:highlight w:val="none"/>
              </w:rPr>
            </w:pPr>
            <w:r>
              <w:rPr>
                <w:rFonts w:hint="default"/>
                <w:caps w:val="0"/>
                <w:color w:val="auto"/>
                <w:spacing w:val="0"/>
                <w:position w:val="0"/>
                <w:sz w:val="24"/>
                <w:highlight w:val="none"/>
              </w:rPr>
              <w:t>利用各种加工机械对木材、铝合金等按图进行加工，同时进行屋面制作外墙面砖，然后对外露的铁件进行油漆施工，本工段时间较短，且使用的涂料和油漆量较少，有少量的有机废气挥发。</w:t>
            </w:r>
          </w:p>
          <w:p w14:paraId="49DA41FC">
            <w:pPr>
              <w:pStyle w:val="74"/>
              <w:keepNext w:val="0"/>
              <w:keepLines w:val="0"/>
              <w:suppressLineNumbers w:val="0"/>
              <w:bidi w:val="0"/>
              <w:spacing w:before="0" w:beforeAutospacing="0" w:after="0" w:afterAutospacing="0"/>
              <w:ind w:left="0" w:right="0"/>
              <w:rPr>
                <w:rFonts w:hint="default" w:ascii="Times New Roman" w:hAnsi="Times New Roman" w:cs="Times New Roman"/>
                <w:b/>
                <w:bCs w:val="0"/>
                <w:caps w:val="0"/>
                <w:color w:val="auto"/>
                <w:spacing w:val="0"/>
                <w:position w:val="0"/>
                <w:highlight w:val="none"/>
              </w:rPr>
            </w:pPr>
            <w:r>
              <w:rPr>
                <w:rFonts w:hint="default" w:ascii="Times New Roman" w:hAnsi="Times New Roman" w:cs="Times New Roman"/>
                <w:b/>
                <w:bCs w:val="0"/>
                <w:caps w:val="0"/>
                <w:color w:val="auto"/>
                <w:spacing w:val="0"/>
                <w:position w:val="0"/>
                <w:highlight w:val="none"/>
                <w:lang w:val="en-US" w:eastAsia="zh-CN"/>
              </w:rPr>
              <w:t>二、</w:t>
            </w:r>
            <w:r>
              <w:rPr>
                <w:rFonts w:hint="default" w:ascii="Times New Roman" w:hAnsi="Times New Roman" w:cs="Times New Roman"/>
                <w:b/>
                <w:bCs w:val="0"/>
                <w:caps w:val="0"/>
                <w:color w:val="auto"/>
                <w:spacing w:val="0"/>
                <w:position w:val="0"/>
                <w:highlight w:val="none"/>
              </w:rPr>
              <w:t>营运期</w:t>
            </w:r>
          </w:p>
          <w:p w14:paraId="3DB9AE45">
            <w:pPr>
              <w:pStyle w:val="74"/>
              <w:keepNext w:val="0"/>
              <w:keepLines w:val="0"/>
              <w:suppressLineNumbers w:val="0"/>
              <w:bidi w:val="0"/>
              <w:spacing w:before="0" w:beforeAutospacing="0" w:after="0" w:afterAutospacing="0"/>
              <w:ind w:left="0" w:right="0"/>
              <w:rPr>
                <w:rFonts w:hint="default" w:ascii="Times New Roman" w:hAnsi="Times New Roman" w:cs="Times New Roman"/>
                <w:b/>
                <w:bCs w:val="0"/>
                <w:caps w:val="0"/>
                <w:color w:val="auto"/>
                <w:spacing w:val="0"/>
                <w:position w:val="0"/>
                <w:highlight w:val="none"/>
              </w:rPr>
            </w:pPr>
            <w:r>
              <w:rPr>
                <w:rFonts w:hint="default" w:ascii="Times New Roman" w:hAnsi="Times New Roman" w:cs="Times New Roman"/>
                <w:b/>
                <w:bCs w:val="0"/>
                <w:caps w:val="0"/>
                <w:color w:val="auto"/>
                <w:spacing w:val="0"/>
                <w:position w:val="0"/>
                <w:highlight w:val="none"/>
                <w:lang w:val="en-US" w:eastAsia="zh-CN"/>
              </w:rPr>
              <w:t>1、</w:t>
            </w:r>
            <w:r>
              <w:rPr>
                <w:rFonts w:hint="default" w:ascii="Times New Roman" w:hAnsi="Times New Roman" w:cs="Times New Roman"/>
                <w:b/>
                <w:bCs w:val="0"/>
                <w:caps w:val="0"/>
                <w:color w:val="auto"/>
                <w:spacing w:val="0"/>
                <w:position w:val="0"/>
                <w:highlight w:val="none"/>
              </w:rPr>
              <w:t>生产工艺流程及产污节点图</w:t>
            </w:r>
          </w:p>
          <w:p w14:paraId="075D25E8">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工艺流程简述：</w:t>
            </w:r>
          </w:p>
          <w:p w14:paraId="65FA5B18">
            <w:pPr>
              <w:pStyle w:val="75"/>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caps w:val="0"/>
                <w:color w:val="auto"/>
                <w:spacing w:val="0"/>
                <w:position w:val="0"/>
                <w:highlight w:val="none"/>
              </w:rPr>
              <w:drawing>
                <wp:inline distT="0" distB="0" distL="114300" distR="114300">
                  <wp:extent cx="3133725" cy="3209925"/>
                  <wp:effectExtent l="0" t="0" r="9525" b="9525"/>
                  <wp:docPr id="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
                          <pic:cNvPicPr>
                            <a:picLocks noChangeAspect="1"/>
                          </pic:cNvPicPr>
                        </pic:nvPicPr>
                        <pic:blipFill>
                          <a:blip r:embed="rId12"/>
                          <a:stretch>
                            <a:fillRect/>
                          </a:stretch>
                        </pic:blipFill>
                        <pic:spPr>
                          <a:xfrm>
                            <a:off x="0" y="0"/>
                            <a:ext cx="3133725" cy="3209925"/>
                          </a:xfrm>
                          <a:prstGeom prst="rect">
                            <a:avLst/>
                          </a:prstGeom>
                          <a:noFill/>
                          <a:ln>
                            <a:noFill/>
                          </a:ln>
                        </pic:spPr>
                      </pic:pic>
                    </a:graphicData>
                  </a:graphic>
                </wp:inline>
              </w:drawing>
            </w:r>
          </w:p>
          <w:p w14:paraId="28544A9B">
            <w:pPr>
              <w:pStyle w:val="75"/>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图2-</w:t>
            </w:r>
            <w:r>
              <w:rPr>
                <w:rFonts w:hint="eastAsia" w:cs="Times New Roman"/>
                <w:caps w:val="0"/>
                <w:color w:val="auto"/>
                <w:spacing w:val="0"/>
                <w:position w:val="0"/>
                <w:highlight w:val="none"/>
                <w:lang w:val="en-US" w:eastAsia="zh-CN"/>
              </w:rPr>
              <w:t>3</w:t>
            </w:r>
            <w:r>
              <w:rPr>
                <w:rFonts w:hint="default" w:ascii="Times New Roman" w:hAnsi="Times New Roman" w:cs="Times New Roman"/>
                <w:caps w:val="0"/>
                <w:color w:val="auto"/>
                <w:spacing w:val="0"/>
                <w:position w:val="0"/>
                <w:highlight w:val="none"/>
              </w:rPr>
              <w:t xml:space="preserve"> </w:t>
            </w:r>
            <w:r>
              <w:rPr>
                <w:rFonts w:hint="default" w:ascii="Times New Roman" w:hAnsi="Times New Roman" w:cs="Times New Roman"/>
                <w:caps w:val="0"/>
                <w:color w:val="auto"/>
                <w:spacing w:val="0"/>
                <w:position w:val="0"/>
                <w:highlight w:val="none"/>
                <w:lang w:val="en-US" w:eastAsia="zh-CN"/>
              </w:rPr>
              <w:t>发泡砖</w:t>
            </w:r>
            <w:r>
              <w:rPr>
                <w:rFonts w:hint="default" w:ascii="Times New Roman" w:hAnsi="Times New Roman" w:cs="Times New Roman"/>
                <w:caps w:val="0"/>
                <w:color w:val="auto"/>
                <w:spacing w:val="0"/>
                <w:position w:val="0"/>
                <w:highlight w:val="none"/>
              </w:rPr>
              <w:t>工艺流程图</w:t>
            </w:r>
          </w:p>
          <w:p w14:paraId="351D11C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本项目锂冶炼剩余物在各产品中替代砂子使用，掺比量为</w:t>
            </w:r>
            <w:r>
              <w:rPr>
                <w:rFonts w:hint="eastAsia"/>
                <w:caps w:val="0"/>
                <w:color w:val="auto"/>
                <w:spacing w:val="0"/>
                <w:position w:val="0"/>
                <w:highlight w:val="none"/>
                <w:lang w:val="en-US" w:eastAsia="zh-CN"/>
              </w:rPr>
              <w:t>70</w:t>
            </w:r>
            <w:r>
              <w:rPr>
                <w:rFonts w:hint="eastAsia"/>
                <w:caps w:val="0"/>
                <w:color w:val="auto"/>
                <w:spacing w:val="0"/>
                <w:position w:val="0"/>
                <w:highlight w:val="none"/>
              </w:rPr>
              <w:t>%。</w:t>
            </w:r>
          </w:p>
          <w:p w14:paraId="1CAE6745">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eastAsia="zh-CN"/>
              </w:rPr>
            </w:pPr>
            <w:r>
              <w:rPr>
                <w:rFonts w:hint="default"/>
                <w:caps w:val="0"/>
                <w:color w:val="auto"/>
                <w:spacing w:val="0"/>
                <w:position w:val="0"/>
                <w:highlight w:val="none"/>
              </w:rPr>
              <w:t>（1）原辅料进场：外购的原料由汽车运输至厂区内，</w:t>
            </w:r>
            <w:r>
              <w:rPr>
                <w:rFonts w:hint="default" w:ascii="Times New Roman" w:hAnsi="Times New Roman" w:cs="Times New Roman"/>
                <w:caps w:val="0"/>
                <w:color w:val="auto"/>
                <w:spacing w:val="0"/>
                <w:position w:val="0"/>
                <w:highlight w:val="none"/>
                <w:lang w:val="en-US" w:eastAsia="zh-CN"/>
              </w:rPr>
              <w:t>锂渣入厂后暂存于锂渣仓库；</w:t>
            </w:r>
            <w:r>
              <w:rPr>
                <w:rFonts w:hint="eastAsia" w:cs="Times New Roman"/>
                <w:caps w:val="0"/>
                <w:color w:val="auto"/>
                <w:spacing w:val="0"/>
                <w:position w:val="0"/>
                <w:highlight w:val="none"/>
                <w:lang w:val="en-US" w:eastAsia="zh-CN"/>
              </w:rPr>
              <w:t>水泥、石粉和硅粉</w:t>
            </w:r>
            <w:r>
              <w:rPr>
                <w:rFonts w:hint="default" w:ascii="Times New Roman" w:hAnsi="Times New Roman" w:cs="Times New Roman"/>
                <w:caps w:val="0"/>
                <w:color w:val="auto"/>
                <w:spacing w:val="0"/>
                <w:position w:val="0"/>
                <w:highlight w:val="none"/>
                <w:lang w:val="en-US" w:eastAsia="zh-CN"/>
              </w:rPr>
              <w:t>经专用罐车运输进厂后直接卸料至料仓内，卸料时通过管道以负压吸入料斗，再以压缩空气通过管道输送至料仓，碎石、</w:t>
            </w:r>
            <w:r>
              <w:rPr>
                <w:rFonts w:hint="eastAsia" w:cs="Times New Roman"/>
                <w:caps w:val="0"/>
                <w:color w:val="auto"/>
                <w:spacing w:val="0"/>
                <w:position w:val="0"/>
                <w:highlight w:val="none"/>
                <w:lang w:val="en-US" w:eastAsia="zh-CN"/>
              </w:rPr>
              <w:t>压榨尾泥</w:t>
            </w:r>
            <w:r>
              <w:rPr>
                <w:rFonts w:hint="default" w:ascii="Times New Roman" w:hAnsi="Times New Roman" w:cs="Times New Roman"/>
                <w:caps w:val="0"/>
                <w:color w:val="auto"/>
                <w:spacing w:val="0"/>
                <w:position w:val="0"/>
                <w:highlight w:val="none"/>
                <w:lang w:val="en-US" w:eastAsia="zh-CN"/>
              </w:rPr>
              <w:t>入厂后直接暂存于原料仓库</w:t>
            </w:r>
            <w:r>
              <w:rPr>
                <w:rFonts w:hint="default"/>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此工序产生的污染物主要为颗粒物、渗滤液和设备噪声</w:t>
            </w:r>
            <w:r>
              <w:rPr>
                <w:rFonts w:hint="default"/>
                <w:caps w:val="0"/>
                <w:color w:val="auto"/>
                <w:spacing w:val="0"/>
                <w:position w:val="0"/>
                <w:highlight w:val="none"/>
              </w:rPr>
              <w:t>。</w:t>
            </w:r>
          </w:p>
          <w:p w14:paraId="13D2A4FE">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w:t>
            </w:r>
            <w:r>
              <w:rPr>
                <w:rFonts w:hint="eastAsia"/>
                <w:caps w:val="0"/>
                <w:color w:val="auto"/>
                <w:spacing w:val="0"/>
                <w:position w:val="0"/>
                <w:highlight w:val="none"/>
                <w:lang w:val="en-US" w:eastAsia="zh-CN"/>
              </w:rPr>
              <w:t>2</w:t>
            </w:r>
            <w:r>
              <w:rPr>
                <w:rFonts w:hint="default"/>
                <w:caps w:val="0"/>
                <w:color w:val="auto"/>
                <w:spacing w:val="0"/>
                <w:position w:val="0"/>
                <w:highlight w:val="none"/>
              </w:rPr>
              <w:t>）配料、搅拌</w:t>
            </w:r>
          </w:p>
          <w:p w14:paraId="69E81217">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符合要求的</w:t>
            </w:r>
            <w:r>
              <w:rPr>
                <w:rFonts w:hint="eastAsia"/>
                <w:caps w:val="0"/>
                <w:color w:val="auto"/>
                <w:spacing w:val="0"/>
                <w:position w:val="0"/>
                <w:highlight w:val="none"/>
              </w:rPr>
              <w:t>锂冶炼剩余物</w:t>
            </w:r>
            <w:r>
              <w:rPr>
                <w:rFonts w:hint="default"/>
                <w:caps w:val="0"/>
                <w:color w:val="auto"/>
                <w:spacing w:val="0"/>
                <w:position w:val="0"/>
                <w:highlight w:val="none"/>
              </w:rPr>
              <w:t>、石粉、压榨尾泥</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硅粉、碎石</w:t>
            </w:r>
            <w:r>
              <w:rPr>
                <w:rFonts w:hint="default"/>
                <w:caps w:val="0"/>
                <w:color w:val="auto"/>
                <w:spacing w:val="0"/>
                <w:position w:val="0"/>
                <w:highlight w:val="none"/>
              </w:rPr>
              <w:t>和水泥进入配料系统，建设单位拟选用全自动电子配料系统，可根据配比要求自动完成配料程序。</w:t>
            </w:r>
            <w:r>
              <w:rPr>
                <w:rFonts w:hint="eastAsia"/>
                <w:caps w:val="0"/>
                <w:color w:val="auto"/>
                <w:spacing w:val="0"/>
                <w:position w:val="0"/>
                <w:highlight w:val="none"/>
                <w:lang w:val="en-US" w:eastAsia="zh-CN"/>
              </w:rPr>
              <w:t>压榨尾泥人工拆包后</w:t>
            </w:r>
            <w:r>
              <w:rPr>
                <w:rFonts w:hint="default"/>
                <w:caps w:val="0"/>
                <w:color w:val="auto"/>
                <w:spacing w:val="0"/>
                <w:position w:val="0"/>
                <w:highlight w:val="none"/>
                <w:lang w:val="en-US" w:eastAsia="zh-CN"/>
              </w:rPr>
              <w:t>经铲车从堆场将其铲装至</w:t>
            </w:r>
            <w:r>
              <w:rPr>
                <w:rFonts w:hint="eastAsia"/>
                <w:caps w:val="0"/>
                <w:color w:val="auto"/>
                <w:spacing w:val="0"/>
                <w:position w:val="0"/>
                <w:highlight w:val="none"/>
                <w:lang w:val="en-US" w:eastAsia="zh-CN"/>
              </w:rPr>
              <w:t>配料机的</w:t>
            </w:r>
            <w:r>
              <w:rPr>
                <w:rFonts w:hint="default"/>
                <w:caps w:val="0"/>
                <w:color w:val="auto"/>
                <w:spacing w:val="0"/>
                <w:position w:val="0"/>
                <w:highlight w:val="none"/>
                <w:lang w:val="en-US" w:eastAsia="zh-CN"/>
              </w:rPr>
              <w:t>料斗内，经计量后通过密闭运输皮带送至搅拌机</w:t>
            </w:r>
            <w:r>
              <w:rPr>
                <w:rFonts w:hint="eastAsia"/>
                <w:caps w:val="0"/>
                <w:color w:val="auto"/>
                <w:spacing w:val="0"/>
                <w:position w:val="0"/>
                <w:highlight w:val="none"/>
                <w:lang w:val="en-US" w:eastAsia="zh-CN"/>
              </w:rPr>
              <w:t>；</w:t>
            </w:r>
            <w:r>
              <w:rPr>
                <w:rFonts w:hint="eastAsia"/>
                <w:caps w:val="0"/>
                <w:color w:val="auto"/>
                <w:spacing w:val="0"/>
                <w:position w:val="0"/>
                <w:highlight w:val="none"/>
              </w:rPr>
              <w:t>锂冶炼剩余物</w:t>
            </w:r>
            <w:r>
              <w:rPr>
                <w:rFonts w:hint="eastAsia"/>
                <w:caps w:val="0"/>
                <w:color w:val="auto"/>
                <w:spacing w:val="0"/>
                <w:position w:val="0"/>
                <w:highlight w:val="none"/>
                <w:lang w:val="en-US" w:eastAsia="zh-CN"/>
              </w:rPr>
              <w:t>和碎石</w:t>
            </w:r>
            <w:r>
              <w:rPr>
                <w:rFonts w:hint="default"/>
                <w:caps w:val="0"/>
                <w:color w:val="auto"/>
                <w:spacing w:val="0"/>
                <w:position w:val="0"/>
                <w:highlight w:val="none"/>
              </w:rPr>
              <w:t>通过铲车</w:t>
            </w:r>
            <w:r>
              <w:rPr>
                <w:rFonts w:hint="eastAsia"/>
                <w:caps w:val="0"/>
                <w:color w:val="auto"/>
                <w:spacing w:val="0"/>
                <w:position w:val="0"/>
                <w:highlight w:val="none"/>
                <w:lang w:val="en-US" w:eastAsia="zh-CN"/>
              </w:rPr>
              <w:t>加入</w:t>
            </w:r>
            <w:r>
              <w:rPr>
                <w:rFonts w:hint="default"/>
                <w:caps w:val="0"/>
                <w:color w:val="auto"/>
                <w:spacing w:val="0"/>
                <w:position w:val="0"/>
                <w:highlight w:val="none"/>
              </w:rPr>
              <w:t>料仓内</w:t>
            </w:r>
            <w:r>
              <w:rPr>
                <w:rFonts w:hint="default"/>
                <w:caps w:val="0"/>
                <w:color w:val="auto"/>
                <w:spacing w:val="0"/>
                <w:position w:val="0"/>
                <w:highlight w:val="none"/>
                <w:lang w:eastAsia="zh-CN"/>
              </w:rPr>
              <w:t>，</w:t>
            </w:r>
            <w:r>
              <w:rPr>
                <w:rFonts w:hint="default"/>
                <w:caps w:val="0"/>
                <w:color w:val="auto"/>
                <w:spacing w:val="0"/>
                <w:position w:val="0"/>
                <w:highlight w:val="none"/>
                <w:lang w:val="en-US" w:eastAsia="zh-CN"/>
              </w:rPr>
              <w:t>经计量后</w:t>
            </w:r>
            <w:r>
              <w:rPr>
                <w:rFonts w:hint="default"/>
                <w:caps w:val="0"/>
                <w:color w:val="auto"/>
                <w:spacing w:val="0"/>
                <w:position w:val="0"/>
                <w:highlight w:val="none"/>
              </w:rPr>
              <w:t>通过</w:t>
            </w:r>
            <w:r>
              <w:rPr>
                <w:rFonts w:hint="default"/>
                <w:caps w:val="0"/>
                <w:color w:val="auto"/>
                <w:spacing w:val="0"/>
                <w:position w:val="0"/>
                <w:highlight w:val="none"/>
                <w:lang w:val="en-US" w:eastAsia="zh-CN"/>
              </w:rPr>
              <w:t>皮带密闭输送</w:t>
            </w:r>
            <w:r>
              <w:rPr>
                <w:rFonts w:hint="default"/>
                <w:caps w:val="0"/>
                <w:color w:val="auto"/>
                <w:spacing w:val="0"/>
                <w:position w:val="0"/>
                <w:highlight w:val="none"/>
              </w:rPr>
              <w:t>至搅拌机内</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碎石粒径已满足要求不需额外破碎；</w:t>
            </w:r>
            <w:r>
              <w:rPr>
                <w:rFonts w:hint="default"/>
                <w:caps w:val="0"/>
                <w:color w:val="auto"/>
                <w:spacing w:val="0"/>
                <w:position w:val="0"/>
                <w:highlight w:val="none"/>
                <w:lang w:val="en-US" w:eastAsia="zh-CN"/>
              </w:rPr>
              <w:t>水泥、石粉</w:t>
            </w:r>
            <w:r>
              <w:rPr>
                <w:rFonts w:hint="eastAsia"/>
                <w:caps w:val="0"/>
                <w:color w:val="auto"/>
                <w:spacing w:val="0"/>
                <w:position w:val="0"/>
                <w:highlight w:val="none"/>
                <w:lang w:val="en-US" w:eastAsia="zh-CN"/>
              </w:rPr>
              <w:t>、硅粉</w:t>
            </w:r>
            <w:r>
              <w:rPr>
                <w:rFonts w:hint="default"/>
                <w:caps w:val="0"/>
                <w:color w:val="auto"/>
                <w:spacing w:val="0"/>
                <w:position w:val="0"/>
                <w:highlight w:val="none"/>
                <w:lang w:val="en-US" w:eastAsia="zh-CN"/>
              </w:rPr>
              <w:t>经螺旋输送机计量后经密闭管道送入搅拌机内。</w:t>
            </w:r>
            <w:r>
              <w:rPr>
                <w:rFonts w:hint="default"/>
                <w:caps w:val="0"/>
                <w:color w:val="auto"/>
                <w:spacing w:val="0"/>
                <w:position w:val="0"/>
                <w:highlight w:val="none"/>
              </w:rPr>
              <w:t>同时水泵抽入水称计量后由增压泵抽出，经喷水器喷入搅拌机。各物料按照一定的配比</w:t>
            </w:r>
            <w:r>
              <w:rPr>
                <w:rFonts w:hint="eastAsia"/>
                <w:caps w:val="0"/>
                <w:color w:val="auto"/>
                <w:spacing w:val="0"/>
                <w:position w:val="0"/>
                <w:highlight w:val="none"/>
                <w:lang w:eastAsia="zh-CN"/>
              </w:rPr>
              <w:t>（</w:t>
            </w:r>
            <w:r>
              <w:rPr>
                <w:rFonts w:hint="eastAsia"/>
                <w:caps w:val="0"/>
                <w:color w:val="auto"/>
                <w:spacing w:val="0"/>
                <w:position w:val="0"/>
                <w:highlight w:val="none"/>
              </w:rPr>
              <w:t>锂冶炼剩余物</w:t>
            </w:r>
            <w:r>
              <w:rPr>
                <w:rFonts w:hint="default"/>
                <w:caps w:val="0"/>
                <w:color w:val="auto"/>
                <w:spacing w:val="0"/>
                <w:position w:val="0"/>
                <w:highlight w:val="none"/>
              </w:rPr>
              <w:t>、石粉、压榨尾泥、</w:t>
            </w:r>
            <w:r>
              <w:rPr>
                <w:rFonts w:hint="eastAsia"/>
                <w:caps w:val="0"/>
                <w:color w:val="auto"/>
                <w:spacing w:val="0"/>
                <w:position w:val="0"/>
                <w:highlight w:val="none"/>
                <w:lang w:val="en-US" w:eastAsia="zh-CN"/>
              </w:rPr>
              <w:t>硅粉、</w:t>
            </w:r>
            <w:r>
              <w:rPr>
                <w:rFonts w:hint="default"/>
                <w:caps w:val="0"/>
                <w:color w:val="auto"/>
                <w:spacing w:val="0"/>
                <w:position w:val="0"/>
                <w:highlight w:val="none"/>
              </w:rPr>
              <w:t>水泥</w:t>
            </w:r>
            <w:r>
              <w:rPr>
                <w:rFonts w:hint="default"/>
                <w:caps w:val="0"/>
                <w:color w:val="auto"/>
                <w:spacing w:val="0"/>
                <w:position w:val="0"/>
                <w:highlight w:val="none"/>
                <w:lang w:eastAsia="zh-CN"/>
              </w:rPr>
              <w:t>、</w:t>
            </w:r>
            <w:r>
              <w:rPr>
                <w:rFonts w:hint="eastAsia"/>
                <w:caps w:val="0"/>
                <w:color w:val="auto"/>
                <w:spacing w:val="0"/>
                <w:position w:val="0"/>
                <w:highlight w:val="none"/>
                <w:lang w:val="en-US" w:eastAsia="zh-CN"/>
              </w:rPr>
              <w:t>碎石</w:t>
            </w:r>
            <w:r>
              <w:rPr>
                <w:rFonts w:hint="default"/>
                <w:caps w:val="0"/>
                <w:color w:val="auto"/>
                <w:spacing w:val="0"/>
                <w:position w:val="0"/>
                <w:highlight w:val="none"/>
              </w:rPr>
              <w:t>配比</w:t>
            </w:r>
            <w:r>
              <w:rPr>
                <w:rFonts w:hint="eastAsia"/>
                <w:caps w:val="0"/>
                <w:color w:val="auto"/>
                <w:spacing w:val="0"/>
                <w:position w:val="0"/>
                <w:highlight w:val="none"/>
                <w:lang w:val="en-US" w:eastAsia="zh-CN"/>
              </w:rPr>
              <w:t>为70.4：4：5：4：7.3：9.3）</w:t>
            </w:r>
            <w:r>
              <w:rPr>
                <w:rFonts w:hint="default"/>
                <w:caps w:val="0"/>
                <w:color w:val="auto"/>
                <w:spacing w:val="0"/>
                <w:position w:val="0"/>
                <w:highlight w:val="none"/>
              </w:rPr>
              <w:t>，通过计量后投入搅拌机内进行搅拌，采用电脑控制，从而保证</w:t>
            </w:r>
            <w:r>
              <w:rPr>
                <w:rFonts w:hint="eastAsia"/>
                <w:caps w:val="0"/>
                <w:color w:val="auto"/>
                <w:spacing w:val="0"/>
                <w:position w:val="0"/>
                <w:highlight w:val="none"/>
                <w:lang w:val="en-US" w:eastAsia="zh-CN"/>
              </w:rPr>
              <w:t>砖</w:t>
            </w:r>
            <w:r>
              <w:rPr>
                <w:rFonts w:hint="default"/>
                <w:caps w:val="0"/>
                <w:color w:val="auto"/>
                <w:spacing w:val="0"/>
                <w:position w:val="0"/>
                <w:highlight w:val="none"/>
              </w:rPr>
              <w:t>的质量。</w:t>
            </w:r>
            <w:r>
              <w:rPr>
                <w:rFonts w:hint="default" w:ascii="Times New Roman" w:hAnsi="Times New Roman" w:cs="Times New Roman"/>
                <w:caps w:val="0"/>
                <w:color w:val="auto"/>
                <w:spacing w:val="0"/>
                <w:position w:val="0"/>
                <w:highlight w:val="none"/>
                <w:lang w:val="en-US" w:eastAsia="zh-CN"/>
              </w:rPr>
              <w:t>此工序产生的污染物主要为颗粒物和设备噪声</w:t>
            </w:r>
            <w:r>
              <w:rPr>
                <w:rFonts w:hint="default"/>
                <w:caps w:val="0"/>
                <w:color w:val="auto"/>
                <w:spacing w:val="0"/>
                <w:position w:val="0"/>
                <w:highlight w:val="none"/>
              </w:rPr>
              <w:t>。</w:t>
            </w:r>
          </w:p>
          <w:p w14:paraId="69229BBA">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rPr>
              <w:t>（</w:t>
            </w:r>
            <w:r>
              <w:rPr>
                <w:rFonts w:hint="eastAsia"/>
                <w:caps w:val="0"/>
                <w:color w:val="auto"/>
                <w:spacing w:val="0"/>
                <w:position w:val="0"/>
                <w:highlight w:val="none"/>
                <w:lang w:val="en-US" w:eastAsia="zh-CN"/>
              </w:rPr>
              <w:t>3</w:t>
            </w:r>
            <w:r>
              <w:rPr>
                <w:rFonts w:hint="default"/>
                <w:caps w:val="0"/>
                <w:color w:val="auto"/>
                <w:spacing w:val="0"/>
                <w:position w:val="0"/>
                <w:highlight w:val="none"/>
              </w:rPr>
              <w:t>）</w:t>
            </w:r>
            <w:r>
              <w:rPr>
                <w:rFonts w:hint="default"/>
                <w:caps w:val="0"/>
                <w:color w:val="auto"/>
                <w:spacing w:val="0"/>
                <w:position w:val="0"/>
                <w:highlight w:val="none"/>
                <w:lang w:val="en-US" w:eastAsia="zh-CN"/>
              </w:rPr>
              <w:t>静压</w:t>
            </w:r>
            <w:r>
              <w:rPr>
                <w:rFonts w:hint="default"/>
                <w:caps w:val="0"/>
                <w:color w:val="auto"/>
                <w:spacing w:val="0"/>
                <w:position w:val="0"/>
                <w:highlight w:val="none"/>
              </w:rPr>
              <w:t>成型</w:t>
            </w:r>
          </w:p>
          <w:p w14:paraId="31E9BE83">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rPr>
            </w:pPr>
            <w:r>
              <w:rPr>
                <w:rFonts w:hint="default"/>
                <w:caps w:val="0"/>
                <w:color w:val="auto"/>
                <w:spacing w:val="0"/>
                <w:position w:val="0"/>
                <w:highlight w:val="none"/>
              </w:rPr>
              <w:t>搅拌好的坯料经皮带输送机送</w:t>
            </w:r>
            <w:r>
              <w:rPr>
                <w:rFonts w:hint="default"/>
                <w:caps w:val="0"/>
                <w:color w:val="auto"/>
                <w:spacing w:val="0"/>
                <w:position w:val="0"/>
                <w:highlight w:val="none"/>
                <w:lang w:val="en-US" w:eastAsia="zh-CN"/>
              </w:rPr>
              <w:t>入静压机中静压</w:t>
            </w:r>
            <w:r>
              <w:rPr>
                <w:rFonts w:hint="default"/>
                <w:caps w:val="0"/>
                <w:color w:val="auto"/>
                <w:spacing w:val="0"/>
                <w:position w:val="0"/>
                <w:highlight w:val="none"/>
              </w:rPr>
              <w:t>成型</w:t>
            </w:r>
            <w:r>
              <w:rPr>
                <w:rFonts w:hint="eastAsia"/>
                <w:caps w:val="0"/>
                <w:color w:val="auto"/>
                <w:spacing w:val="0"/>
                <w:position w:val="0"/>
                <w:highlight w:val="none"/>
                <w:lang w:val="en-US" w:eastAsia="zh-CN"/>
              </w:rPr>
              <w:t>静压时间为3-10s，</w:t>
            </w:r>
            <w:r>
              <w:rPr>
                <w:rFonts w:hint="default"/>
                <w:caps w:val="0"/>
                <w:color w:val="auto"/>
                <w:spacing w:val="0"/>
                <w:position w:val="0"/>
                <w:highlight w:val="none"/>
              </w:rPr>
              <w:t>。具体流程为：坯料进入</w:t>
            </w:r>
            <w:r>
              <w:rPr>
                <w:rFonts w:hint="default"/>
                <w:caps w:val="0"/>
                <w:color w:val="auto"/>
                <w:spacing w:val="0"/>
                <w:position w:val="0"/>
                <w:highlight w:val="none"/>
                <w:lang w:val="en-US" w:eastAsia="zh-CN"/>
              </w:rPr>
              <w:t>静压机</w:t>
            </w:r>
            <w:r>
              <w:rPr>
                <w:rFonts w:hint="default"/>
                <w:caps w:val="0"/>
                <w:color w:val="auto"/>
                <w:spacing w:val="0"/>
                <w:position w:val="0"/>
                <w:highlight w:val="none"/>
              </w:rPr>
              <w:t>的布料小车，布料小车向前把坯料布满整个制</w:t>
            </w:r>
            <w:r>
              <w:rPr>
                <w:rFonts w:hint="eastAsia"/>
                <w:caps w:val="0"/>
                <w:color w:val="auto"/>
                <w:spacing w:val="0"/>
                <w:position w:val="0"/>
                <w:highlight w:val="none"/>
                <w:lang w:val="en-US" w:eastAsia="zh-CN"/>
              </w:rPr>
              <w:t>发泡砖</w:t>
            </w:r>
            <w:r>
              <w:rPr>
                <w:rFonts w:hint="default"/>
                <w:caps w:val="0"/>
                <w:color w:val="auto"/>
                <w:spacing w:val="0"/>
                <w:position w:val="0"/>
                <w:highlight w:val="none"/>
              </w:rPr>
              <w:t>模具内，然后利用液压机产生的高压压出坯料中的空气，由于压力强，减少了压缩空气造成的坯料回弹膨胀，从而提高了砖坯的密实度和强度。经过压制，砖坯内进行湿热反应，形成了有益于产品强度的水化产物。</w:t>
            </w:r>
            <w:r>
              <w:rPr>
                <w:rFonts w:hint="default"/>
                <w:caps w:val="0"/>
                <w:color w:val="auto"/>
                <w:spacing w:val="0"/>
                <w:position w:val="0"/>
                <w:highlight w:val="none"/>
                <w:lang w:val="en-US" w:eastAsia="zh-CN"/>
              </w:rPr>
              <w:t>静压</w:t>
            </w:r>
            <w:r>
              <w:rPr>
                <w:rFonts w:hint="default"/>
                <w:caps w:val="0"/>
                <w:color w:val="auto"/>
                <w:spacing w:val="0"/>
                <w:position w:val="0"/>
                <w:highlight w:val="none"/>
              </w:rPr>
              <w:t>机自动压出砖坯，砖坯从模具上脱落出来以后落在托板上。</w:t>
            </w:r>
            <w:r>
              <w:rPr>
                <w:rFonts w:hint="default" w:ascii="Times New Roman" w:hAnsi="Times New Roman" w:cs="Times New Roman"/>
                <w:caps w:val="0"/>
                <w:color w:val="auto"/>
                <w:spacing w:val="0"/>
                <w:position w:val="0"/>
                <w:highlight w:val="none"/>
                <w:lang w:val="en-US" w:eastAsia="zh-CN"/>
              </w:rPr>
              <w:t>此工序产生的污染物主要为设备噪</w:t>
            </w:r>
            <w:r>
              <w:rPr>
                <w:rFonts w:hint="eastAsia" w:ascii="Times New Roman" w:hAnsi="Times New Roman" w:cs="Times New Roman"/>
                <w:caps w:val="0"/>
                <w:color w:val="auto"/>
                <w:spacing w:val="0"/>
                <w:position w:val="0"/>
                <w:highlight w:val="none"/>
                <w:lang w:val="en-US" w:eastAsia="zh-CN"/>
              </w:rPr>
              <w:t>声。</w:t>
            </w:r>
          </w:p>
          <w:p w14:paraId="1FD2B029">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w:t>
            </w:r>
            <w:r>
              <w:rPr>
                <w:rFonts w:hint="eastAsia"/>
                <w:caps w:val="0"/>
                <w:color w:val="auto"/>
                <w:spacing w:val="0"/>
                <w:position w:val="0"/>
                <w:highlight w:val="none"/>
                <w:lang w:val="en-US" w:eastAsia="zh-CN"/>
              </w:rPr>
              <w:t>4</w:t>
            </w:r>
            <w:r>
              <w:rPr>
                <w:rFonts w:hint="default"/>
                <w:caps w:val="0"/>
                <w:color w:val="auto"/>
                <w:spacing w:val="0"/>
                <w:position w:val="0"/>
                <w:highlight w:val="none"/>
              </w:rPr>
              <w:t>）养护</w:t>
            </w:r>
          </w:p>
          <w:p w14:paraId="42B3DC03">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rPr>
              <w:t>托板上</w:t>
            </w:r>
            <w:r>
              <w:rPr>
                <w:rFonts w:hint="default"/>
                <w:caps w:val="0"/>
                <w:color w:val="auto"/>
                <w:spacing w:val="0"/>
                <w:position w:val="0"/>
                <w:highlight w:val="none"/>
                <w:lang w:val="en-US" w:eastAsia="zh-CN"/>
              </w:rPr>
              <w:t>的</w:t>
            </w:r>
            <w:r>
              <w:rPr>
                <w:rFonts w:hint="default"/>
                <w:caps w:val="0"/>
                <w:color w:val="auto"/>
                <w:spacing w:val="0"/>
                <w:position w:val="0"/>
                <w:highlight w:val="none"/>
              </w:rPr>
              <w:t>砖坯</w:t>
            </w:r>
            <w:r>
              <w:rPr>
                <w:rFonts w:hint="default"/>
                <w:caps w:val="0"/>
                <w:color w:val="auto"/>
                <w:spacing w:val="0"/>
                <w:position w:val="0"/>
                <w:highlight w:val="none"/>
                <w:lang w:val="en-US" w:eastAsia="zh-CN"/>
              </w:rPr>
              <w:t>经输送带进入码坯机中自动码坯后</w:t>
            </w:r>
            <w:r>
              <w:rPr>
                <w:rFonts w:hint="default"/>
                <w:caps w:val="0"/>
                <w:color w:val="auto"/>
                <w:spacing w:val="0"/>
                <w:position w:val="0"/>
                <w:highlight w:val="none"/>
              </w:rPr>
              <w:t>堆存在养护区，养护时间为</w:t>
            </w:r>
            <w:r>
              <w:rPr>
                <w:rFonts w:hint="eastAsia"/>
                <w:caps w:val="0"/>
                <w:color w:val="auto"/>
                <w:spacing w:val="0"/>
                <w:position w:val="0"/>
                <w:highlight w:val="none"/>
                <w:lang w:val="en-US" w:eastAsia="zh-CN"/>
              </w:rPr>
              <w:t>4</w:t>
            </w:r>
            <w:r>
              <w:rPr>
                <w:rFonts w:hint="default"/>
                <w:caps w:val="0"/>
                <w:color w:val="auto"/>
                <w:spacing w:val="0"/>
                <w:position w:val="0"/>
                <w:highlight w:val="none"/>
              </w:rPr>
              <w:t>天，每天洒水2~5次，经养护后的产品在</w:t>
            </w:r>
            <w:r>
              <w:rPr>
                <w:rFonts w:hint="eastAsia"/>
                <w:caps w:val="0"/>
                <w:color w:val="auto"/>
                <w:spacing w:val="0"/>
                <w:position w:val="0"/>
                <w:highlight w:val="none"/>
                <w:lang w:val="en-US" w:eastAsia="zh-CN"/>
              </w:rPr>
              <w:t>养护区</w:t>
            </w:r>
            <w:r>
              <w:rPr>
                <w:rFonts w:hint="default"/>
                <w:caps w:val="0"/>
                <w:color w:val="auto"/>
                <w:spacing w:val="0"/>
                <w:position w:val="0"/>
                <w:highlight w:val="none"/>
              </w:rPr>
              <w:t>待售区进一步自然蒸发待售。</w:t>
            </w:r>
            <w:r>
              <w:rPr>
                <w:rFonts w:hint="default" w:ascii="Times New Roman" w:hAnsi="Times New Roman" w:cs="Times New Roman"/>
                <w:caps w:val="0"/>
                <w:color w:val="auto"/>
                <w:spacing w:val="0"/>
                <w:position w:val="0"/>
                <w:highlight w:val="none"/>
                <w:lang w:val="en-US" w:eastAsia="zh-CN"/>
              </w:rPr>
              <w:t>此工序产生的污染物主要为</w:t>
            </w:r>
            <w:r>
              <w:rPr>
                <w:rFonts w:hint="eastAsia" w:ascii="Times New Roman" w:hAnsi="Times New Roman" w:cs="Times New Roman"/>
                <w:caps w:val="0"/>
                <w:color w:val="auto"/>
                <w:spacing w:val="0"/>
                <w:position w:val="0"/>
                <w:highlight w:val="none"/>
                <w:lang w:val="en-US" w:eastAsia="zh-CN"/>
              </w:rPr>
              <w:t>养护废水</w:t>
            </w:r>
            <w:r>
              <w:rPr>
                <w:rFonts w:hint="eastAsia"/>
                <w:caps w:val="0"/>
                <w:color w:val="auto"/>
                <w:spacing w:val="0"/>
                <w:position w:val="0"/>
                <w:highlight w:val="none"/>
                <w:lang w:val="en-US" w:eastAsia="zh-CN"/>
              </w:rPr>
              <w:t>。</w:t>
            </w:r>
          </w:p>
          <w:p w14:paraId="430FB78F">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5</w:t>
            </w:r>
            <w:r>
              <w:rPr>
                <w:rFonts w:hint="eastAsia"/>
                <w:caps w:val="0"/>
                <w:color w:val="auto"/>
                <w:spacing w:val="0"/>
                <w:position w:val="0"/>
                <w:highlight w:val="none"/>
                <w:lang w:eastAsia="zh-CN"/>
              </w:rPr>
              <w:t>）</w:t>
            </w:r>
            <w:r>
              <w:rPr>
                <w:rFonts w:hint="default"/>
                <w:caps w:val="0"/>
                <w:color w:val="auto"/>
                <w:spacing w:val="0"/>
                <w:position w:val="0"/>
                <w:highlight w:val="none"/>
                <w:lang w:val="en-US" w:eastAsia="zh-CN"/>
              </w:rPr>
              <w:t>成品检验</w:t>
            </w:r>
          </w:p>
          <w:p w14:paraId="4699B370">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对</w:t>
            </w:r>
            <w:r>
              <w:rPr>
                <w:rFonts w:hint="eastAsia"/>
                <w:caps w:val="0"/>
                <w:color w:val="auto"/>
                <w:spacing w:val="0"/>
                <w:position w:val="0"/>
                <w:highlight w:val="none"/>
                <w:lang w:val="en-US" w:eastAsia="zh-CN"/>
              </w:rPr>
              <w:t>养护</w:t>
            </w:r>
            <w:r>
              <w:rPr>
                <w:rFonts w:hint="default"/>
                <w:caps w:val="0"/>
                <w:color w:val="auto"/>
                <w:spacing w:val="0"/>
                <w:position w:val="0"/>
                <w:highlight w:val="none"/>
                <w:lang w:val="en-US" w:eastAsia="zh-CN"/>
              </w:rPr>
              <w:t>好的砖块进行质量</w:t>
            </w:r>
            <w:r>
              <w:rPr>
                <w:rFonts w:hint="eastAsia"/>
                <w:caps w:val="0"/>
                <w:color w:val="auto"/>
                <w:spacing w:val="0"/>
                <w:position w:val="0"/>
                <w:highlight w:val="none"/>
                <w:lang w:val="en-US" w:eastAsia="zh-CN"/>
              </w:rPr>
              <w:t>（硬度等）</w:t>
            </w:r>
            <w:r>
              <w:rPr>
                <w:rFonts w:hint="default"/>
                <w:caps w:val="0"/>
                <w:color w:val="auto"/>
                <w:spacing w:val="0"/>
                <w:position w:val="0"/>
                <w:highlight w:val="none"/>
                <w:lang w:val="en-US" w:eastAsia="zh-CN"/>
              </w:rPr>
              <w:t>检验</w:t>
            </w:r>
            <w:r>
              <w:rPr>
                <w:rFonts w:hint="eastAsia"/>
                <w:caps w:val="0"/>
                <w:color w:val="auto"/>
                <w:spacing w:val="0"/>
                <w:position w:val="0"/>
                <w:highlight w:val="none"/>
                <w:lang w:val="en-US" w:eastAsia="zh-CN"/>
              </w:rPr>
              <w:t>，合格成品转入养护区储存。</w:t>
            </w:r>
            <w:r>
              <w:rPr>
                <w:rFonts w:hint="default" w:ascii="Times New Roman" w:hAnsi="Times New Roman" w:cs="Times New Roman"/>
                <w:caps w:val="0"/>
                <w:color w:val="auto"/>
                <w:spacing w:val="0"/>
                <w:position w:val="0"/>
                <w:highlight w:val="none"/>
                <w:lang w:val="en-US" w:eastAsia="zh-CN"/>
              </w:rPr>
              <w:t>此工序产生的污染物主要为</w:t>
            </w:r>
            <w:r>
              <w:rPr>
                <w:rFonts w:hint="eastAsia" w:ascii="Times New Roman" w:hAnsi="Times New Roman" w:cs="Times New Roman"/>
                <w:caps w:val="0"/>
                <w:color w:val="auto"/>
                <w:spacing w:val="0"/>
                <w:position w:val="0"/>
                <w:highlight w:val="none"/>
                <w:lang w:val="en-US" w:eastAsia="zh-CN"/>
              </w:rPr>
              <w:t>不合格品和</w:t>
            </w:r>
            <w:r>
              <w:rPr>
                <w:rFonts w:hint="default" w:ascii="Times New Roman" w:hAnsi="Times New Roman" w:cs="Times New Roman"/>
                <w:caps w:val="0"/>
                <w:color w:val="auto"/>
                <w:spacing w:val="0"/>
                <w:position w:val="0"/>
                <w:highlight w:val="none"/>
                <w:lang w:val="en-US" w:eastAsia="zh-CN"/>
              </w:rPr>
              <w:t>设备噪</w:t>
            </w:r>
            <w:r>
              <w:rPr>
                <w:rFonts w:hint="eastAsia" w:ascii="Times New Roman" w:hAnsi="Times New Roman" w:cs="Times New Roman"/>
                <w:caps w:val="0"/>
                <w:color w:val="auto"/>
                <w:spacing w:val="0"/>
                <w:position w:val="0"/>
                <w:highlight w:val="none"/>
                <w:lang w:val="en-US" w:eastAsia="zh-CN"/>
              </w:rPr>
              <w:t>声。</w:t>
            </w:r>
          </w:p>
          <w:p w14:paraId="795FA052">
            <w:pPr>
              <w:pStyle w:val="74"/>
              <w:keepNext w:val="0"/>
              <w:keepLines w:val="0"/>
              <w:suppressLineNumbers w:val="0"/>
              <w:bidi w:val="0"/>
              <w:spacing w:before="0" w:beforeAutospacing="0" w:after="0" w:afterAutospacing="0"/>
              <w:ind w:left="0" w:right="0"/>
              <w:rPr>
                <w:rFonts w:hint="default" w:ascii="Times New Roman" w:hAnsi="Times New Roman" w:cs="Times New Roman"/>
                <w:b/>
                <w:bCs w:val="0"/>
                <w:caps w:val="0"/>
                <w:color w:val="auto"/>
                <w:spacing w:val="0"/>
                <w:position w:val="0"/>
                <w:highlight w:val="none"/>
                <w:lang w:val="en-US" w:eastAsia="zh-CN"/>
              </w:rPr>
            </w:pPr>
            <w:r>
              <w:rPr>
                <w:rFonts w:hint="default" w:ascii="Times New Roman" w:hAnsi="Times New Roman" w:cs="Times New Roman"/>
                <w:b/>
                <w:bCs w:val="0"/>
                <w:caps w:val="0"/>
                <w:color w:val="auto"/>
                <w:spacing w:val="0"/>
                <w:position w:val="0"/>
                <w:highlight w:val="none"/>
                <w:lang w:val="en-US" w:eastAsia="zh-CN"/>
              </w:rPr>
              <w:t>2、物料平衡</w:t>
            </w:r>
          </w:p>
          <w:p w14:paraId="25650FD5">
            <w:pPr>
              <w:pStyle w:val="75"/>
              <w:keepNext w:val="0"/>
              <w:keepLines w:val="0"/>
              <w:numPr>
                <w:ilvl w:val="0"/>
                <w:numId w:val="4"/>
              </w:numPr>
              <w:suppressLineNumbers w:val="0"/>
              <w:tabs>
                <w:tab w:val="clear" w:pos="420"/>
              </w:tabs>
              <w:bidi w:val="0"/>
              <w:spacing w:before="0" w:beforeAutospacing="0" w:after="0" w:afterAutospacing="0"/>
              <w:ind w:left="0" w:leftChars="0" w:right="0" w:rightChars="0" w:firstLine="420" w:firstLineChars="0"/>
              <w:rPr>
                <w:rFonts w:hint="default" w:ascii="Times New Roman" w:hAnsi="Times New Roman" w:cs="Times New Roman"/>
                <w:b/>
                <w:bCs/>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项目</w:t>
            </w:r>
            <w:r>
              <w:rPr>
                <w:rFonts w:hint="default" w:ascii="Times New Roman" w:hAnsi="Times New Roman" w:cs="Times New Roman"/>
                <w:caps w:val="0"/>
                <w:color w:val="auto"/>
                <w:spacing w:val="0"/>
                <w:position w:val="0"/>
                <w:highlight w:val="none"/>
                <w:lang w:val="en-US" w:eastAsia="zh-CN"/>
              </w:rPr>
              <w:t>物料平衡</w:t>
            </w:r>
            <w:r>
              <w:rPr>
                <w:rFonts w:hint="default" w:ascii="Times New Roman" w:hAnsi="Times New Roman" w:cs="Times New Roman"/>
                <w:caps w:val="0"/>
                <w:color w:val="auto"/>
                <w:spacing w:val="0"/>
                <w:position w:val="0"/>
                <w:highlight w:val="none"/>
              </w:rPr>
              <w:t>表</w:t>
            </w:r>
            <w:r>
              <w:rPr>
                <w:rFonts w:hint="default" w:ascii="Times New Roman" w:hAnsi="Times New Roman" w:eastAsia="宋体" w:cs="Times New Roman"/>
                <w:b/>
                <w:bCs/>
                <w:caps w:val="0"/>
                <w:color w:val="auto"/>
                <w:spacing w:val="0"/>
                <w:position w:val="0"/>
                <w:highlight w:val="none"/>
                <w:lang w:val="en-US" w:eastAsia="zh-CN"/>
              </w:rPr>
              <w:t>（</w:t>
            </w:r>
            <w:r>
              <w:rPr>
                <w:rFonts w:hint="default" w:ascii="Times New Roman" w:hAnsi="Times New Roman" w:cs="Times New Roman"/>
                <w:b/>
                <w:bCs/>
                <w:caps w:val="0"/>
                <w:color w:val="auto"/>
                <w:spacing w:val="0"/>
                <w:position w:val="0"/>
                <w:highlight w:val="none"/>
                <w:lang w:val="en-US" w:eastAsia="zh-CN"/>
              </w:rPr>
              <w:t>t/a）</w:t>
            </w:r>
          </w:p>
          <w:tbl>
            <w:tblPr>
              <w:tblStyle w:val="23"/>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2226"/>
              <w:gridCol w:w="1814"/>
              <w:gridCol w:w="2020"/>
              <w:gridCol w:w="2020"/>
            </w:tblGrid>
            <w:tr w14:paraId="70F5495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2500" w:type="pct"/>
                  <w:gridSpan w:val="2"/>
                  <w:tcBorders>
                    <w:tl2br w:val="nil"/>
                    <w:tr2bl w:val="nil"/>
                  </w:tcBorders>
                  <w:shd w:val="clear" w:color="auto" w:fill="auto"/>
                  <w:vAlign w:val="center"/>
                </w:tcPr>
                <w:p w14:paraId="2F0D4150">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投入</w:t>
                  </w:r>
                </w:p>
              </w:tc>
              <w:tc>
                <w:tcPr>
                  <w:tcW w:w="2500" w:type="pct"/>
                  <w:gridSpan w:val="2"/>
                  <w:tcBorders>
                    <w:tl2br w:val="nil"/>
                    <w:tr2bl w:val="nil"/>
                  </w:tcBorders>
                  <w:shd w:val="clear" w:color="auto" w:fill="auto"/>
                  <w:vAlign w:val="center"/>
                </w:tcPr>
                <w:p w14:paraId="0EAADEA9">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产出</w:t>
                  </w:r>
                </w:p>
              </w:tc>
            </w:tr>
            <w:tr w14:paraId="3285A1F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377" w:type="pct"/>
                  <w:tcBorders>
                    <w:tl2br w:val="nil"/>
                    <w:tr2bl w:val="nil"/>
                  </w:tcBorders>
                  <w:shd w:val="clear" w:color="auto" w:fill="auto"/>
                  <w:vAlign w:val="center"/>
                </w:tcPr>
                <w:p w14:paraId="2F413AB4">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锂渣（锂冶炼剩余物）</w:t>
                  </w:r>
                </w:p>
              </w:tc>
              <w:tc>
                <w:tcPr>
                  <w:tcW w:w="1122" w:type="pct"/>
                  <w:tcBorders>
                    <w:tl2br w:val="nil"/>
                    <w:tr2bl w:val="nil"/>
                  </w:tcBorders>
                  <w:shd w:val="clear" w:color="auto" w:fill="auto"/>
                  <w:noWrap/>
                  <w:vAlign w:val="center"/>
                </w:tcPr>
                <w:p w14:paraId="2A776D3C">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default"/>
                      <w:caps w:val="0"/>
                      <w:color w:val="auto"/>
                      <w:spacing w:val="0"/>
                      <w:position w:val="0"/>
                      <w:highlight w:val="none"/>
                      <w:lang w:val="en-US" w:eastAsia="zh-CN"/>
                    </w:rPr>
                    <w:t>140000</w:t>
                  </w:r>
                </w:p>
              </w:tc>
              <w:tc>
                <w:tcPr>
                  <w:tcW w:w="1250" w:type="pct"/>
                  <w:tcBorders>
                    <w:tl2br w:val="nil"/>
                    <w:tr2bl w:val="nil"/>
                  </w:tcBorders>
                  <w:shd w:val="clear" w:color="auto" w:fill="auto"/>
                  <w:noWrap/>
                  <w:vAlign w:val="center"/>
                </w:tcPr>
                <w:p w14:paraId="4B3D687A">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发泡砖</w:t>
                  </w:r>
                </w:p>
              </w:tc>
              <w:tc>
                <w:tcPr>
                  <w:tcW w:w="2020" w:type="dxa"/>
                  <w:tcBorders>
                    <w:tl2br w:val="nil"/>
                    <w:tr2bl w:val="nil"/>
                  </w:tcBorders>
                  <w:shd w:val="clear" w:color="auto" w:fill="auto"/>
                  <w:vAlign w:val="center"/>
                </w:tcPr>
                <w:p w14:paraId="6BA47E4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200000</w:t>
                  </w:r>
                </w:p>
              </w:tc>
            </w:tr>
            <w:tr w14:paraId="69A474E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377" w:type="pct"/>
                  <w:tcBorders>
                    <w:tl2br w:val="nil"/>
                    <w:tr2bl w:val="nil"/>
                  </w:tcBorders>
                  <w:shd w:val="clear" w:color="auto" w:fill="auto"/>
                  <w:vAlign w:val="center"/>
                </w:tcPr>
                <w:p w14:paraId="70A9197A">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石粉</w:t>
                  </w:r>
                </w:p>
              </w:tc>
              <w:tc>
                <w:tcPr>
                  <w:tcW w:w="1122" w:type="pct"/>
                  <w:tcBorders>
                    <w:tl2br w:val="nil"/>
                    <w:tr2bl w:val="nil"/>
                  </w:tcBorders>
                  <w:shd w:val="clear" w:color="auto" w:fill="auto"/>
                  <w:noWrap/>
                  <w:vAlign w:val="center"/>
                </w:tcPr>
                <w:p w14:paraId="371B1781">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default"/>
                      <w:caps w:val="0"/>
                      <w:color w:val="auto"/>
                      <w:spacing w:val="0"/>
                      <w:position w:val="0"/>
                      <w:highlight w:val="none"/>
                      <w:lang w:val="en-US" w:eastAsia="zh-CN"/>
                    </w:rPr>
                    <w:t>8000</w:t>
                  </w:r>
                </w:p>
              </w:tc>
              <w:tc>
                <w:tcPr>
                  <w:tcW w:w="1250" w:type="pct"/>
                  <w:tcBorders>
                    <w:tl2br w:val="nil"/>
                    <w:tr2bl w:val="nil"/>
                  </w:tcBorders>
                  <w:shd w:val="clear" w:color="auto" w:fill="auto"/>
                  <w:noWrap/>
                  <w:vAlign w:val="center"/>
                </w:tcPr>
                <w:p w14:paraId="1E96CE81">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粉尘排放</w:t>
                  </w:r>
                </w:p>
              </w:tc>
              <w:tc>
                <w:tcPr>
                  <w:tcW w:w="2020" w:type="dxa"/>
                  <w:tcBorders>
                    <w:tl2br w:val="nil"/>
                    <w:tr2bl w:val="nil"/>
                  </w:tcBorders>
                  <w:shd w:val="clear" w:color="auto" w:fill="auto"/>
                  <w:vAlign w:val="center"/>
                </w:tcPr>
                <w:p w14:paraId="045FAF15">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0.53</w:t>
                  </w:r>
                </w:p>
              </w:tc>
            </w:tr>
            <w:tr w14:paraId="5951EF0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377" w:type="pct"/>
                  <w:tcBorders>
                    <w:tl2br w:val="nil"/>
                    <w:tr2bl w:val="nil"/>
                  </w:tcBorders>
                  <w:shd w:val="clear" w:color="auto" w:fill="auto"/>
                  <w:vAlign w:val="center"/>
                </w:tcPr>
                <w:p w14:paraId="67EA3310">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硅粉</w:t>
                  </w:r>
                </w:p>
              </w:tc>
              <w:tc>
                <w:tcPr>
                  <w:tcW w:w="1122" w:type="pct"/>
                  <w:tcBorders>
                    <w:tl2br w:val="nil"/>
                    <w:tr2bl w:val="nil"/>
                  </w:tcBorders>
                  <w:shd w:val="clear" w:color="auto" w:fill="auto"/>
                  <w:noWrap/>
                  <w:vAlign w:val="center"/>
                </w:tcPr>
                <w:p w14:paraId="1E3E93C2">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default"/>
                      <w:caps w:val="0"/>
                      <w:color w:val="auto"/>
                      <w:spacing w:val="0"/>
                      <w:position w:val="0"/>
                      <w:highlight w:val="none"/>
                      <w:lang w:val="en-US" w:eastAsia="zh-CN"/>
                    </w:rPr>
                    <w:t>8000</w:t>
                  </w:r>
                </w:p>
              </w:tc>
              <w:tc>
                <w:tcPr>
                  <w:tcW w:w="1250" w:type="pct"/>
                  <w:tcBorders>
                    <w:tl2br w:val="nil"/>
                    <w:tr2bl w:val="nil"/>
                  </w:tcBorders>
                  <w:shd w:val="clear" w:color="auto" w:fill="auto"/>
                  <w:noWrap/>
                  <w:vAlign w:val="center"/>
                </w:tcPr>
                <w:p w14:paraId="4885E639">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不合格品</w:t>
                  </w:r>
                </w:p>
              </w:tc>
              <w:tc>
                <w:tcPr>
                  <w:tcW w:w="2020" w:type="dxa"/>
                  <w:tcBorders>
                    <w:tl2br w:val="nil"/>
                    <w:tr2bl w:val="nil"/>
                  </w:tcBorders>
                  <w:shd w:val="clear" w:color="auto" w:fill="auto"/>
                  <w:vAlign w:val="center"/>
                </w:tcPr>
                <w:p w14:paraId="007E2593">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5</w:t>
                  </w:r>
                </w:p>
              </w:tc>
            </w:tr>
            <w:tr w14:paraId="5D5D4A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377" w:type="pct"/>
                  <w:tcBorders>
                    <w:tl2br w:val="nil"/>
                    <w:tr2bl w:val="nil"/>
                  </w:tcBorders>
                  <w:shd w:val="clear" w:color="auto" w:fill="auto"/>
                  <w:vAlign w:val="center"/>
                </w:tcPr>
                <w:p w14:paraId="42970128">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水泥</w:t>
                  </w:r>
                </w:p>
              </w:tc>
              <w:tc>
                <w:tcPr>
                  <w:tcW w:w="1122" w:type="pct"/>
                  <w:tcBorders>
                    <w:tl2br w:val="nil"/>
                    <w:tr2bl w:val="nil"/>
                  </w:tcBorders>
                  <w:shd w:val="clear" w:color="auto" w:fill="auto"/>
                  <w:noWrap/>
                  <w:vAlign w:val="center"/>
                </w:tcPr>
                <w:p w14:paraId="72EBBCBB">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default"/>
                      <w:caps w:val="0"/>
                      <w:color w:val="auto"/>
                      <w:spacing w:val="0"/>
                      <w:position w:val="0"/>
                      <w:highlight w:val="none"/>
                      <w:lang w:val="en-US" w:eastAsia="zh-CN"/>
                    </w:rPr>
                    <w:t>14600</w:t>
                  </w:r>
                </w:p>
              </w:tc>
              <w:tc>
                <w:tcPr>
                  <w:tcW w:w="1250" w:type="pct"/>
                  <w:tcBorders>
                    <w:tl2br w:val="nil"/>
                    <w:tr2bl w:val="nil"/>
                  </w:tcBorders>
                  <w:shd w:val="clear" w:color="auto" w:fill="auto"/>
                  <w:vAlign w:val="center"/>
                </w:tcPr>
                <w:p w14:paraId="40AAA005">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水分蒸发损耗</w:t>
                  </w:r>
                </w:p>
              </w:tc>
              <w:tc>
                <w:tcPr>
                  <w:tcW w:w="2020" w:type="dxa"/>
                  <w:tcBorders>
                    <w:tl2br w:val="nil"/>
                    <w:tr2bl w:val="nil"/>
                  </w:tcBorders>
                  <w:shd w:val="clear" w:color="auto" w:fill="auto"/>
                  <w:vAlign w:val="center"/>
                </w:tcPr>
                <w:p w14:paraId="2C52D830">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4064.47</w:t>
                  </w:r>
                </w:p>
              </w:tc>
            </w:tr>
            <w:tr w14:paraId="4DC2894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377" w:type="pct"/>
                  <w:tcBorders>
                    <w:tl2br w:val="nil"/>
                    <w:tr2bl w:val="nil"/>
                  </w:tcBorders>
                  <w:shd w:val="clear" w:color="auto" w:fill="auto"/>
                  <w:noWrap/>
                  <w:vAlign w:val="center"/>
                </w:tcPr>
                <w:p w14:paraId="2C763A7A">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碎石</w:t>
                  </w:r>
                </w:p>
              </w:tc>
              <w:tc>
                <w:tcPr>
                  <w:tcW w:w="1122" w:type="pct"/>
                  <w:tcBorders>
                    <w:tl2br w:val="nil"/>
                    <w:tr2bl w:val="nil"/>
                  </w:tcBorders>
                  <w:shd w:val="clear" w:color="auto" w:fill="auto"/>
                  <w:noWrap/>
                  <w:vAlign w:val="center"/>
                </w:tcPr>
                <w:p w14:paraId="4038C217">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default"/>
                      <w:caps w:val="0"/>
                      <w:color w:val="auto"/>
                      <w:spacing w:val="0"/>
                      <w:position w:val="0"/>
                      <w:highlight w:val="none"/>
                      <w:lang w:val="en-US" w:eastAsia="zh-CN"/>
                    </w:rPr>
                    <w:t>18550</w:t>
                  </w:r>
                </w:p>
              </w:tc>
              <w:tc>
                <w:tcPr>
                  <w:tcW w:w="1250" w:type="pct"/>
                  <w:tcBorders>
                    <w:tl2br w:val="nil"/>
                    <w:tr2bl w:val="nil"/>
                  </w:tcBorders>
                  <w:shd w:val="clear" w:color="auto" w:fill="auto"/>
                  <w:vAlign w:val="center"/>
                </w:tcPr>
                <w:p w14:paraId="0B86FCFF">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沉淀沉渣</w:t>
                  </w:r>
                </w:p>
              </w:tc>
              <w:tc>
                <w:tcPr>
                  <w:tcW w:w="2020" w:type="dxa"/>
                  <w:tcBorders>
                    <w:tl2br w:val="nil"/>
                    <w:tr2bl w:val="nil"/>
                  </w:tcBorders>
                  <w:shd w:val="clear" w:color="auto" w:fill="auto"/>
                  <w:noWrap/>
                  <w:vAlign w:val="center"/>
                </w:tcPr>
                <w:p w14:paraId="4F1D59ED">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4.9</w:t>
                  </w:r>
                </w:p>
              </w:tc>
            </w:tr>
            <w:tr w14:paraId="0EA705A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377" w:type="pct"/>
                  <w:tcBorders>
                    <w:tl2br w:val="nil"/>
                    <w:tr2bl w:val="nil"/>
                  </w:tcBorders>
                  <w:shd w:val="clear" w:color="auto" w:fill="auto"/>
                  <w:vAlign w:val="center"/>
                </w:tcPr>
                <w:p w14:paraId="0AB18BD1">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压榨尾泥</w:t>
                  </w:r>
                </w:p>
              </w:tc>
              <w:tc>
                <w:tcPr>
                  <w:tcW w:w="1122" w:type="pct"/>
                  <w:tcBorders>
                    <w:tl2br w:val="nil"/>
                    <w:tr2bl w:val="nil"/>
                  </w:tcBorders>
                  <w:shd w:val="clear" w:color="auto" w:fill="auto"/>
                  <w:vAlign w:val="center"/>
                </w:tcPr>
                <w:p w14:paraId="71ACF769">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default"/>
                      <w:caps w:val="0"/>
                      <w:color w:val="auto"/>
                      <w:spacing w:val="0"/>
                      <w:position w:val="0"/>
                      <w:highlight w:val="none"/>
                      <w:lang w:val="en-US" w:eastAsia="zh-CN"/>
                    </w:rPr>
                    <w:t>9920</w:t>
                  </w:r>
                </w:p>
              </w:tc>
              <w:tc>
                <w:tcPr>
                  <w:tcW w:w="1250" w:type="pct"/>
                  <w:tcBorders>
                    <w:tl2br w:val="nil"/>
                    <w:tr2bl w:val="nil"/>
                  </w:tcBorders>
                  <w:shd w:val="clear" w:color="auto" w:fill="auto"/>
                  <w:vAlign w:val="center"/>
                </w:tcPr>
                <w:p w14:paraId="69489FF3">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收集粉尘</w:t>
                  </w:r>
                </w:p>
              </w:tc>
              <w:tc>
                <w:tcPr>
                  <w:tcW w:w="2020" w:type="dxa"/>
                  <w:tcBorders>
                    <w:tl2br w:val="nil"/>
                    <w:tr2bl w:val="nil"/>
                  </w:tcBorders>
                  <w:shd w:val="clear" w:color="auto" w:fill="auto"/>
                  <w:noWrap/>
                  <w:vAlign w:val="center"/>
                </w:tcPr>
                <w:p w14:paraId="0A20C60E">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34.35</w:t>
                  </w:r>
                </w:p>
              </w:tc>
            </w:tr>
            <w:tr w14:paraId="67BFBA2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377" w:type="pct"/>
                  <w:tcBorders>
                    <w:tl2br w:val="nil"/>
                    <w:tr2bl w:val="nil"/>
                  </w:tcBorders>
                  <w:shd w:val="clear" w:color="auto" w:fill="auto"/>
                  <w:vAlign w:val="center"/>
                </w:tcPr>
                <w:p w14:paraId="60480DAA">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水</w:t>
                  </w:r>
                </w:p>
              </w:tc>
              <w:tc>
                <w:tcPr>
                  <w:tcW w:w="1122" w:type="pct"/>
                  <w:tcBorders>
                    <w:tl2br w:val="nil"/>
                    <w:tr2bl w:val="nil"/>
                  </w:tcBorders>
                  <w:shd w:val="clear" w:color="auto" w:fill="auto"/>
                  <w:noWrap/>
                  <w:vAlign w:val="center"/>
                </w:tcPr>
                <w:p w14:paraId="1625CF60">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5000</w:t>
                  </w:r>
                </w:p>
              </w:tc>
              <w:tc>
                <w:tcPr>
                  <w:tcW w:w="1250" w:type="pct"/>
                  <w:tcBorders>
                    <w:tl2br w:val="nil"/>
                    <w:tr2bl w:val="nil"/>
                  </w:tcBorders>
                  <w:shd w:val="clear" w:color="auto" w:fill="auto"/>
                  <w:vAlign w:val="center"/>
                </w:tcPr>
                <w:p w14:paraId="7B7CD0EB">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2020" w:type="dxa"/>
                  <w:tcBorders>
                    <w:tl2br w:val="nil"/>
                    <w:tr2bl w:val="nil"/>
                  </w:tcBorders>
                  <w:shd w:val="clear" w:color="auto" w:fill="auto"/>
                  <w:noWrap/>
                  <w:vAlign w:val="center"/>
                </w:tcPr>
                <w:p w14:paraId="30CD595F">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p>
              </w:tc>
            </w:tr>
            <w:tr w14:paraId="4E3B78C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377" w:type="pct"/>
                  <w:tcBorders>
                    <w:tl2br w:val="nil"/>
                    <w:tr2bl w:val="nil"/>
                  </w:tcBorders>
                  <w:shd w:val="clear" w:color="auto" w:fill="auto"/>
                  <w:vAlign w:val="center"/>
                </w:tcPr>
                <w:p w14:paraId="5B58DF90">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沉淀沉渣</w:t>
                  </w:r>
                </w:p>
              </w:tc>
              <w:tc>
                <w:tcPr>
                  <w:tcW w:w="1122" w:type="pct"/>
                  <w:tcBorders>
                    <w:tl2br w:val="nil"/>
                    <w:tr2bl w:val="nil"/>
                  </w:tcBorders>
                  <w:shd w:val="clear" w:color="auto" w:fill="auto"/>
                  <w:noWrap/>
                  <w:vAlign w:val="center"/>
                </w:tcPr>
                <w:p w14:paraId="21A086A3">
                  <w:pPr>
                    <w:pStyle w:val="28"/>
                    <w:keepNext w:val="0"/>
                    <w:keepLines w:val="0"/>
                    <w:suppressLineNumbers w:val="0"/>
                    <w:bidi w:val="0"/>
                    <w:spacing w:beforeAutospacing="0" w:afterAutospacing="0"/>
                    <w:ind w:left="0" w:leftChars="0" w:right="0" w:rightChars="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4.9</w:t>
                  </w:r>
                </w:p>
              </w:tc>
              <w:tc>
                <w:tcPr>
                  <w:tcW w:w="1250" w:type="pct"/>
                  <w:tcBorders>
                    <w:tl2br w:val="nil"/>
                    <w:tr2bl w:val="nil"/>
                  </w:tcBorders>
                  <w:shd w:val="clear" w:color="auto" w:fill="auto"/>
                  <w:vAlign w:val="center"/>
                </w:tcPr>
                <w:p w14:paraId="49017C0A">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2020" w:type="dxa"/>
                  <w:tcBorders>
                    <w:tl2br w:val="nil"/>
                    <w:tr2bl w:val="nil"/>
                  </w:tcBorders>
                  <w:shd w:val="clear" w:color="auto" w:fill="auto"/>
                  <w:noWrap/>
                  <w:vAlign w:val="center"/>
                </w:tcPr>
                <w:p w14:paraId="5B740DA8">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p>
              </w:tc>
            </w:tr>
            <w:tr w14:paraId="4D7BE0A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377" w:type="pct"/>
                  <w:tcBorders>
                    <w:tl2br w:val="nil"/>
                    <w:tr2bl w:val="nil"/>
                  </w:tcBorders>
                  <w:shd w:val="clear" w:color="auto" w:fill="auto"/>
                  <w:vAlign w:val="center"/>
                </w:tcPr>
                <w:p w14:paraId="3D771DAF">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收集粉尘</w:t>
                  </w:r>
                </w:p>
              </w:tc>
              <w:tc>
                <w:tcPr>
                  <w:tcW w:w="1122" w:type="pct"/>
                  <w:tcBorders>
                    <w:tl2br w:val="nil"/>
                    <w:tr2bl w:val="nil"/>
                  </w:tcBorders>
                  <w:shd w:val="clear" w:color="auto" w:fill="auto"/>
                  <w:noWrap/>
                  <w:vAlign w:val="center"/>
                </w:tcPr>
                <w:p w14:paraId="5C447C1F">
                  <w:pPr>
                    <w:pStyle w:val="28"/>
                    <w:keepNext w:val="0"/>
                    <w:keepLines w:val="0"/>
                    <w:suppressLineNumbers w:val="0"/>
                    <w:bidi w:val="0"/>
                    <w:spacing w:beforeAutospacing="0" w:afterAutospacing="0"/>
                    <w:ind w:left="0" w:leftChars="0" w:right="0" w:rightChars="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34.35</w:t>
                  </w:r>
                </w:p>
              </w:tc>
              <w:tc>
                <w:tcPr>
                  <w:tcW w:w="1250" w:type="pct"/>
                  <w:tcBorders>
                    <w:tl2br w:val="nil"/>
                    <w:tr2bl w:val="nil"/>
                  </w:tcBorders>
                  <w:shd w:val="clear" w:color="auto" w:fill="auto"/>
                  <w:vAlign w:val="center"/>
                </w:tcPr>
                <w:p w14:paraId="77EF4007">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2020" w:type="dxa"/>
                  <w:tcBorders>
                    <w:tl2br w:val="nil"/>
                    <w:tr2bl w:val="nil"/>
                  </w:tcBorders>
                  <w:shd w:val="clear" w:color="auto" w:fill="auto"/>
                  <w:noWrap/>
                  <w:vAlign w:val="center"/>
                </w:tcPr>
                <w:p w14:paraId="01F11D1B">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7BE4DFD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377" w:type="pct"/>
                  <w:tcBorders>
                    <w:tl2br w:val="nil"/>
                    <w:tr2bl w:val="nil"/>
                  </w:tcBorders>
                  <w:shd w:val="clear" w:color="auto" w:fill="auto"/>
                  <w:vAlign w:val="center"/>
                </w:tcPr>
                <w:p w14:paraId="6A3733AA">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合计</w:t>
                  </w:r>
                </w:p>
              </w:tc>
              <w:tc>
                <w:tcPr>
                  <w:tcW w:w="1122" w:type="pct"/>
                  <w:tcBorders>
                    <w:tl2br w:val="nil"/>
                    <w:tr2bl w:val="nil"/>
                  </w:tcBorders>
                  <w:shd w:val="clear" w:color="auto" w:fill="auto"/>
                  <w:vAlign w:val="center"/>
                </w:tcPr>
                <w:p w14:paraId="4C16A6DC">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204109.25</w:t>
                  </w:r>
                </w:p>
              </w:tc>
              <w:tc>
                <w:tcPr>
                  <w:tcW w:w="1250" w:type="pct"/>
                  <w:tcBorders>
                    <w:tl2br w:val="nil"/>
                    <w:tr2bl w:val="nil"/>
                  </w:tcBorders>
                  <w:shd w:val="clear" w:color="auto" w:fill="auto"/>
                  <w:vAlign w:val="center"/>
                </w:tcPr>
                <w:p w14:paraId="2433B22C">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共计</w:t>
                  </w:r>
                </w:p>
              </w:tc>
              <w:tc>
                <w:tcPr>
                  <w:tcW w:w="2020" w:type="dxa"/>
                  <w:tcBorders>
                    <w:tl2br w:val="nil"/>
                    <w:tr2bl w:val="nil"/>
                  </w:tcBorders>
                  <w:shd w:val="clear" w:color="auto" w:fill="auto"/>
                  <w:vAlign w:val="center"/>
                </w:tcPr>
                <w:p w14:paraId="0239F503">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204109.25</w:t>
                  </w:r>
                </w:p>
              </w:tc>
            </w:tr>
          </w:tbl>
          <w:p w14:paraId="5AE43A6E">
            <w:pPr>
              <w:pStyle w:val="74"/>
              <w:keepNext w:val="0"/>
              <w:keepLines w:val="0"/>
              <w:suppressLineNumbers w:val="0"/>
              <w:bidi w:val="0"/>
              <w:spacing w:before="0" w:beforeAutospacing="0" w:after="0" w:afterAutospacing="0"/>
              <w:ind w:left="0" w:right="0"/>
              <w:rPr>
                <w:rFonts w:hint="default" w:ascii="Times New Roman" w:hAnsi="Times New Roman" w:cs="Times New Roman"/>
                <w:b/>
                <w:bCs w:val="0"/>
                <w:caps w:val="0"/>
                <w:color w:val="auto"/>
                <w:spacing w:val="0"/>
                <w:position w:val="0"/>
                <w:highlight w:val="none"/>
                <w:lang w:val="en-US" w:eastAsia="zh-CN"/>
              </w:rPr>
            </w:pPr>
            <w:r>
              <w:rPr>
                <w:rFonts w:hint="default" w:ascii="Times New Roman" w:hAnsi="Times New Roman" w:cs="Times New Roman"/>
                <w:b/>
                <w:bCs w:val="0"/>
                <w:caps w:val="0"/>
                <w:color w:val="auto"/>
                <w:spacing w:val="0"/>
                <w:position w:val="0"/>
                <w:highlight w:val="none"/>
                <w:lang w:val="en-US" w:eastAsia="zh-CN"/>
              </w:rPr>
              <w:t>3、元素平衡</w:t>
            </w:r>
          </w:p>
          <w:p w14:paraId="0F5541ED">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由于项目粉尘废气处理工序布袋除尘器</w:t>
            </w:r>
            <w:r>
              <w:rPr>
                <w:rFonts w:hint="eastAsia" w:ascii="Times New Roman" w:hAnsi="Times New Roman" w:cs="Times New Roman"/>
                <w:caps w:val="0"/>
                <w:color w:val="auto"/>
                <w:spacing w:val="0"/>
                <w:position w:val="0"/>
                <w:highlight w:val="none"/>
                <w:lang w:val="en-US" w:eastAsia="zh-CN"/>
              </w:rPr>
              <w:t>、</w:t>
            </w:r>
            <w:r>
              <w:rPr>
                <w:rFonts w:hint="default" w:ascii="Times New Roman" w:hAnsi="Times New Roman" w:cs="Times New Roman"/>
                <w:caps w:val="0"/>
                <w:color w:val="auto"/>
                <w:spacing w:val="0"/>
                <w:position w:val="0"/>
                <w:highlight w:val="none"/>
                <w:lang w:val="en-US" w:eastAsia="zh-CN"/>
              </w:rPr>
              <w:t>无组织洒水降尘收集的粉尘</w:t>
            </w:r>
            <w:r>
              <w:rPr>
                <w:rFonts w:hint="eastAsia" w:ascii="Times New Roman" w:hAnsi="Times New Roman" w:cs="Times New Roman"/>
                <w:caps w:val="0"/>
                <w:color w:val="auto"/>
                <w:spacing w:val="0"/>
                <w:position w:val="0"/>
                <w:highlight w:val="none"/>
                <w:lang w:val="en-US" w:eastAsia="zh-CN"/>
              </w:rPr>
              <w:t>和沉淀沉渣</w:t>
            </w:r>
            <w:r>
              <w:rPr>
                <w:rFonts w:hint="default" w:ascii="Times New Roman" w:hAnsi="Times New Roman" w:cs="Times New Roman"/>
                <w:caps w:val="0"/>
                <w:color w:val="auto"/>
                <w:spacing w:val="0"/>
                <w:position w:val="0"/>
                <w:highlight w:val="none"/>
                <w:lang w:val="en-US" w:eastAsia="zh-CN"/>
              </w:rPr>
              <w:t>回用于生产，故评价元素平衡不考虑其中的元素量。项目铊平衡表见下表。</w:t>
            </w:r>
          </w:p>
          <w:p w14:paraId="60BF1037">
            <w:pPr>
              <w:pStyle w:val="75"/>
              <w:keepNext w:val="0"/>
              <w:keepLines w:val="0"/>
              <w:numPr>
                <w:ilvl w:val="0"/>
                <w:numId w:val="4"/>
              </w:numPr>
              <w:suppressLineNumbers w:val="0"/>
              <w:bidi w:val="0"/>
              <w:spacing w:before="0" w:beforeAutospacing="0" w:after="0" w:afterAutospacing="0"/>
              <w:ind w:left="0" w:leftChars="0" w:right="0" w:firstLine="420" w:firstLineChars="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项目铊平衡</w:t>
            </w:r>
            <w:r>
              <w:rPr>
                <w:rFonts w:hint="default" w:ascii="Times New Roman" w:hAnsi="Times New Roman" w:cs="Times New Roman"/>
                <w:caps w:val="0"/>
                <w:color w:val="auto"/>
                <w:spacing w:val="0"/>
                <w:position w:val="0"/>
                <w:highlight w:val="none"/>
              </w:rPr>
              <w:t>表</w:t>
            </w:r>
            <w:r>
              <w:rPr>
                <w:rFonts w:hint="default" w:ascii="Times New Roman" w:hAnsi="Times New Roman" w:eastAsia="宋体" w:cs="Times New Roman"/>
                <w:b/>
                <w:bCs/>
                <w:caps w:val="0"/>
                <w:color w:val="auto"/>
                <w:spacing w:val="0"/>
                <w:position w:val="0"/>
                <w:highlight w:val="none"/>
                <w:lang w:val="en-US" w:eastAsia="zh-CN"/>
              </w:rPr>
              <w:t>（</w:t>
            </w:r>
            <w:r>
              <w:rPr>
                <w:rFonts w:hint="default" w:ascii="Times New Roman" w:hAnsi="Times New Roman" w:cs="Times New Roman"/>
                <w:b/>
                <w:bCs/>
                <w:caps w:val="0"/>
                <w:color w:val="auto"/>
                <w:spacing w:val="0"/>
                <w:position w:val="0"/>
                <w:highlight w:val="none"/>
                <w:lang w:val="en-US" w:eastAsia="zh-CN"/>
              </w:rPr>
              <w:t>t/a）</w:t>
            </w:r>
          </w:p>
          <w:tbl>
            <w:tblPr>
              <w:tblStyle w:val="23"/>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274"/>
              <w:gridCol w:w="915"/>
              <w:gridCol w:w="1123"/>
              <w:gridCol w:w="1019"/>
              <w:gridCol w:w="1306"/>
              <w:gridCol w:w="1019"/>
              <w:gridCol w:w="1425"/>
            </w:tblGrid>
            <w:tr w14:paraId="0470D81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4331" w:type="dxa"/>
                  <w:gridSpan w:val="4"/>
                  <w:tcBorders>
                    <w:tl2br w:val="nil"/>
                    <w:tr2bl w:val="nil"/>
                  </w:tcBorders>
                  <w:shd w:val="clear" w:color="auto" w:fill="auto"/>
                  <w:vAlign w:val="center"/>
                </w:tcPr>
                <w:p w14:paraId="3697D680">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投入</w:t>
                  </w:r>
                </w:p>
              </w:tc>
              <w:tc>
                <w:tcPr>
                  <w:tcW w:w="3749" w:type="dxa"/>
                  <w:gridSpan w:val="3"/>
                  <w:tcBorders>
                    <w:tl2br w:val="nil"/>
                    <w:tr2bl w:val="nil"/>
                  </w:tcBorders>
                  <w:shd w:val="clear" w:color="auto" w:fill="auto"/>
                  <w:vAlign w:val="center"/>
                </w:tcPr>
                <w:p w14:paraId="33BFD03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产出</w:t>
                  </w:r>
                </w:p>
              </w:tc>
            </w:tr>
            <w:tr w14:paraId="1D79EC2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274" w:type="dxa"/>
                  <w:tcBorders>
                    <w:tl2br w:val="nil"/>
                    <w:tr2bl w:val="nil"/>
                  </w:tcBorders>
                  <w:shd w:val="clear" w:color="auto" w:fill="auto"/>
                  <w:vAlign w:val="center"/>
                </w:tcPr>
                <w:p w14:paraId="64CA65E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名称</w:t>
                  </w:r>
                </w:p>
              </w:tc>
              <w:tc>
                <w:tcPr>
                  <w:tcW w:w="915" w:type="dxa"/>
                  <w:tcBorders>
                    <w:tl2br w:val="nil"/>
                    <w:tr2bl w:val="nil"/>
                  </w:tcBorders>
                  <w:shd w:val="clear" w:color="auto" w:fill="auto"/>
                  <w:vAlign w:val="center"/>
                </w:tcPr>
                <w:p w14:paraId="61B74DDC">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数量（t/a）</w:t>
                  </w:r>
                </w:p>
              </w:tc>
              <w:tc>
                <w:tcPr>
                  <w:tcW w:w="1123" w:type="dxa"/>
                  <w:tcBorders>
                    <w:tl2br w:val="nil"/>
                    <w:tr2bl w:val="nil"/>
                  </w:tcBorders>
                  <w:shd w:val="clear" w:color="auto" w:fill="auto"/>
                  <w:vAlign w:val="center"/>
                </w:tcPr>
                <w:p w14:paraId="0C2BC63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含量（mg/kg）</w:t>
                  </w:r>
                </w:p>
              </w:tc>
              <w:tc>
                <w:tcPr>
                  <w:tcW w:w="1019" w:type="dxa"/>
                  <w:tcBorders>
                    <w:tl2br w:val="nil"/>
                    <w:tr2bl w:val="nil"/>
                  </w:tcBorders>
                  <w:shd w:val="clear" w:color="auto" w:fill="auto"/>
                  <w:vAlign w:val="center"/>
                </w:tcPr>
                <w:p w14:paraId="18E7BB1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元素总量（t/a）</w:t>
                  </w:r>
                </w:p>
              </w:tc>
              <w:tc>
                <w:tcPr>
                  <w:tcW w:w="1306" w:type="dxa"/>
                  <w:tcBorders>
                    <w:tl2br w:val="nil"/>
                    <w:tr2bl w:val="nil"/>
                  </w:tcBorders>
                  <w:shd w:val="clear" w:color="auto" w:fill="auto"/>
                  <w:vAlign w:val="center"/>
                </w:tcPr>
                <w:p w14:paraId="592868C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名称</w:t>
                  </w:r>
                </w:p>
              </w:tc>
              <w:tc>
                <w:tcPr>
                  <w:tcW w:w="1019" w:type="dxa"/>
                  <w:tcBorders>
                    <w:tl2br w:val="nil"/>
                    <w:tr2bl w:val="nil"/>
                  </w:tcBorders>
                  <w:shd w:val="clear" w:color="auto" w:fill="auto"/>
                  <w:vAlign w:val="center"/>
                </w:tcPr>
                <w:p w14:paraId="4495F8B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数量（t/a）</w:t>
                  </w:r>
                </w:p>
              </w:tc>
              <w:tc>
                <w:tcPr>
                  <w:tcW w:w="1424" w:type="dxa"/>
                  <w:tcBorders>
                    <w:tl2br w:val="nil"/>
                    <w:tr2bl w:val="nil"/>
                  </w:tcBorders>
                  <w:shd w:val="clear" w:color="auto" w:fill="auto"/>
                  <w:vAlign w:val="center"/>
                </w:tcPr>
                <w:p w14:paraId="11CC8168">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元素总量（t/a）</w:t>
                  </w:r>
                </w:p>
              </w:tc>
            </w:tr>
            <w:tr w14:paraId="6B0F8CA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274" w:type="dxa"/>
                  <w:tcBorders>
                    <w:tl2br w:val="nil"/>
                    <w:tr2bl w:val="nil"/>
                  </w:tcBorders>
                  <w:shd w:val="clear" w:color="auto" w:fill="auto"/>
                  <w:vAlign w:val="center"/>
                </w:tcPr>
                <w:p w14:paraId="300A451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锂冶炼剩余物</w:t>
                  </w:r>
                </w:p>
              </w:tc>
              <w:tc>
                <w:tcPr>
                  <w:tcW w:w="915" w:type="dxa"/>
                  <w:tcBorders>
                    <w:tl2br w:val="nil"/>
                    <w:tr2bl w:val="nil"/>
                  </w:tcBorders>
                  <w:shd w:val="clear" w:color="auto" w:fill="auto"/>
                  <w:vAlign w:val="center"/>
                </w:tcPr>
                <w:p w14:paraId="0491A9A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14</w:t>
                  </w:r>
                  <w:r>
                    <w:rPr>
                      <w:rFonts w:hint="default"/>
                      <w:caps w:val="0"/>
                      <w:color w:val="auto"/>
                      <w:spacing w:val="0"/>
                      <w:position w:val="0"/>
                      <w:highlight w:val="none"/>
                      <w:lang w:val="en-US" w:eastAsia="zh-CN"/>
                    </w:rPr>
                    <w:t>0000</w:t>
                  </w:r>
                </w:p>
              </w:tc>
              <w:tc>
                <w:tcPr>
                  <w:tcW w:w="1123" w:type="dxa"/>
                  <w:tcBorders>
                    <w:tl2br w:val="nil"/>
                    <w:tr2bl w:val="nil"/>
                  </w:tcBorders>
                  <w:shd w:val="clear" w:color="auto" w:fill="auto"/>
                  <w:vAlign w:val="center"/>
                </w:tcPr>
                <w:p w14:paraId="3094DE9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11.7mg/kg</w:t>
                  </w:r>
                </w:p>
              </w:tc>
              <w:tc>
                <w:tcPr>
                  <w:tcW w:w="1019" w:type="dxa"/>
                  <w:tcBorders>
                    <w:tl2br w:val="nil"/>
                    <w:tr2bl w:val="nil"/>
                  </w:tcBorders>
                  <w:shd w:val="clear" w:color="auto" w:fill="auto"/>
                  <w:vAlign w:val="center"/>
                </w:tcPr>
                <w:p w14:paraId="416FA29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1.638</w:t>
                  </w:r>
                </w:p>
              </w:tc>
              <w:tc>
                <w:tcPr>
                  <w:tcW w:w="1306" w:type="dxa"/>
                  <w:tcBorders>
                    <w:tl2br w:val="nil"/>
                    <w:tr2bl w:val="nil"/>
                  </w:tcBorders>
                  <w:shd w:val="clear" w:color="auto" w:fill="auto"/>
                  <w:noWrap/>
                  <w:vAlign w:val="center"/>
                </w:tcPr>
                <w:p w14:paraId="2DAC550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发泡砖</w:t>
                  </w:r>
                </w:p>
              </w:tc>
              <w:tc>
                <w:tcPr>
                  <w:tcW w:w="1019" w:type="dxa"/>
                  <w:tcBorders>
                    <w:tl2br w:val="nil"/>
                    <w:tr2bl w:val="nil"/>
                  </w:tcBorders>
                  <w:shd w:val="clear" w:color="auto" w:fill="auto"/>
                  <w:noWrap/>
                  <w:vAlign w:val="center"/>
                </w:tcPr>
                <w:p w14:paraId="0427054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200000</w:t>
                  </w:r>
                </w:p>
              </w:tc>
              <w:tc>
                <w:tcPr>
                  <w:tcW w:w="1424" w:type="dxa"/>
                  <w:tcBorders>
                    <w:tl2br w:val="nil"/>
                    <w:tr2bl w:val="nil"/>
                  </w:tcBorders>
                  <w:shd w:val="clear" w:color="auto" w:fill="auto"/>
                  <w:noWrap/>
                  <w:vAlign w:val="center"/>
                </w:tcPr>
                <w:p w14:paraId="537ABBD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1.638</w:t>
                  </w:r>
                </w:p>
              </w:tc>
            </w:tr>
            <w:tr w14:paraId="0C26C21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274" w:type="dxa"/>
                  <w:tcBorders>
                    <w:tl2br w:val="nil"/>
                    <w:tr2bl w:val="nil"/>
                  </w:tcBorders>
                  <w:shd w:val="clear" w:color="auto" w:fill="auto"/>
                  <w:vAlign w:val="center"/>
                </w:tcPr>
                <w:p w14:paraId="2D30327A">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915" w:type="dxa"/>
                  <w:tcBorders>
                    <w:tl2br w:val="nil"/>
                    <w:tr2bl w:val="nil"/>
                  </w:tcBorders>
                  <w:shd w:val="clear" w:color="auto" w:fill="auto"/>
                  <w:vAlign w:val="center"/>
                </w:tcPr>
                <w:p w14:paraId="1D3FB1C6">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123" w:type="dxa"/>
                  <w:tcBorders>
                    <w:tl2br w:val="nil"/>
                    <w:tr2bl w:val="nil"/>
                  </w:tcBorders>
                  <w:shd w:val="clear" w:color="auto" w:fill="auto"/>
                  <w:vAlign w:val="center"/>
                </w:tcPr>
                <w:p w14:paraId="1C0B9558">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019" w:type="dxa"/>
                  <w:tcBorders>
                    <w:tl2br w:val="nil"/>
                    <w:tr2bl w:val="nil"/>
                  </w:tcBorders>
                  <w:shd w:val="clear" w:color="auto" w:fill="auto"/>
                  <w:vAlign w:val="center"/>
                </w:tcPr>
                <w:p w14:paraId="45B5F420">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306" w:type="dxa"/>
                  <w:tcBorders>
                    <w:tl2br w:val="nil"/>
                    <w:tr2bl w:val="nil"/>
                  </w:tcBorders>
                  <w:shd w:val="clear" w:color="auto" w:fill="auto"/>
                  <w:vAlign w:val="center"/>
                </w:tcPr>
                <w:p w14:paraId="330D80AF">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排放粉尘</w:t>
                  </w:r>
                </w:p>
              </w:tc>
              <w:tc>
                <w:tcPr>
                  <w:tcW w:w="1019" w:type="dxa"/>
                  <w:tcBorders>
                    <w:tl2br w:val="nil"/>
                    <w:tr2bl w:val="nil"/>
                  </w:tcBorders>
                  <w:shd w:val="clear" w:color="auto" w:fill="auto"/>
                  <w:vAlign w:val="center"/>
                </w:tcPr>
                <w:p w14:paraId="4837A2B9">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0.53</w:t>
                  </w:r>
                </w:p>
              </w:tc>
              <w:tc>
                <w:tcPr>
                  <w:tcW w:w="1424" w:type="dxa"/>
                  <w:tcBorders>
                    <w:tl2br w:val="nil"/>
                    <w:tr2bl w:val="nil"/>
                  </w:tcBorders>
                  <w:shd w:val="clear" w:color="auto" w:fill="auto"/>
                  <w:noWrap/>
                  <w:vAlign w:val="center"/>
                </w:tcPr>
                <w:p w14:paraId="72CCEC71">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0.0000062</w:t>
                  </w:r>
                </w:p>
              </w:tc>
            </w:tr>
            <w:tr w14:paraId="27CEE6A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274" w:type="dxa"/>
                  <w:tcBorders>
                    <w:tl2br w:val="nil"/>
                    <w:tr2bl w:val="nil"/>
                  </w:tcBorders>
                  <w:shd w:val="clear" w:color="auto" w:fill="auto"/>
                  <w:vAlign w:val="center"/>
                </w:tcPr>
                <w:p w14:paraId="654DC91A">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915" w:type="dxa"/>
                  <w:tcBorders>
                    <w:tl2br w:val="nil"/>
                    <w:tr2bl w:val="nil"/>
                  </w:tcBorders>
                  <w:shd w:val="clear" w:color="auto" w:fill="auto"/>
                  <w:vAlign w:val="center"/>
                </w:tcPr>
                <w:p w14:paraId="39FECC82">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123" w:type="dxa"/>
                  <w:tcBorders>
                    <w:tl2br w:val="nil"/>
                    <w:tr2bl w:val="nil"/>
                  </w:tcBorders>
                  <w:shd w:val="clear" w:color="auto" w:fill="auto"/>
                  <w:vAlign w:val="center"/>
                </w:tcPr>
                <w:p w14:paraId="4EC8B388">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019" w:type="dxa"/>
                  <w:tcBorders>
                    <w:tl2br w:val="nil"/>
                    <w:tr2bl w:val="nil"/>
                  </w:tcBorders>
                  <w:shd w:val="clear" w:color="auto" w:fill="auto"/>
                  <w:vAlign w:val="center"/>
                </w:tcPr>
                <w:p w14:paraId="1183889B">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306" w:type="dxa"/>
                  <w:tcBorders>
                    <w:tl2br w:val="nil"/>
                    <w:tr2bl w:val="nil"/>
                  </w:tcBorders>
                  <w:shd w:val="clear" w:color="auto" w:fill="auto"/>
                  <w:vAlign w:val="center"/>
                </w:tcPr>
                <w:p w14:paraId="5BA7060D">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不合格品</w:t>
                  </w:r>
                </w:p>
              </w:tc>
              <w:tc>
                <w:tcPr>
                  <w:tcW w:w="1019" w:type="dxa"/>
                  <w:tcBorders>
                    <w:tl2br w:val="nil"/>
                    <w:tr2bl w:val="nil"/>
                  </w:tcBorders>
                  <w:shd w:val="clear" w:color="auto" w:fill="auto"/>
                  <w:vAlign w:val="center"/>
                </w:tcPr>
                <w:p w14:paraId="4B9F7C9C">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5</w:t>
                  </w:r>
                </w:p>
              </w:tc>
              <w:tc>
                <w:tcPr>
                  <w:tcW w:w="1424" w:type="dxa"/>
                  <w:tcBorders>
                    <w:tl2br w:val="nil"/>
                    <w:tr2bl w:val="nil"/>
                  </w:tcBorders>
                  <w:shd w:val="clear" w:color="auto" w:fill="auto"/>
                  <w:noWrap/>
                  <w:vAlign w:val="center"/>
                </w:tcPr>
                <w:p w14:paraId="45F7B126">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0.0000</w:t>
                  </w:r>
                  <w:r>
                    <w:rPr>
                      <w:rFonts w:hint="eastAsia"/>
                      <w:caps w:val="0"/>
                      <w:color w:val="auto"/>
                      <w:spacing w:val="0"/>
                      <w:position w:val="0"/>
                      <w:highlight w:val="none"/>
                      <w:lang w:val="en-US" w:eastAsia="zh-CN"/>
                    </w:rPr>
                    <w:t>6</w:t>
                  </w:r>
                </w:p>
              </w:tc>
            </w:tr>
            <w:tr w14:paraId="216B46C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3312" w:type="dxa"/>
                  <w:gridSpan w:val="3"/>
                  <w:tcBorders>
                    <w:tl2br w:val="nil"/>
                    <w:tr2bl w:val="nil"/>
                  </w:tcBorders>
                  <w:shd w:val="clear" w:color="auto" w:fill="auto"/>
                  <w:vAlign w:val="center"/>
                </w:tcPr>
                <w:p w14:paraId="72678A9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合计</w:t>
                  </w:r>
                </w:p>
              </w:tc>
              <w:tc>
                <w:tcPr>
                  <w:tcW w:w="1019" w:type="dxa"/>
                  <w:tcBorders>
                    <w:tl2br w:val="nil"/>
                    <w:tr2bl w:val="nil"/>
                  </w:tcBorders>
                  <w:shd w:val="clear" w:color="auto" w:fill="auto"/>
                  <w:vAlign w:val="center"/>
                </w:tcPr>
                <w:p w14:paraId="7CAD2B23">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default"/>
                      <w:caps w:val="0"/>
                      <w:color w:val="auto"/>
                      <w:spacing w:val="0"/>
                      <w:position w:val="0"/>
                      <w:highlight w:val="none"/>
                      <w:lang w:val="en-US" w:eastAsia="zh-CN"/>
                    </w:rPr>
                    <w:t>1.638</w:t>
                  </w:r>
                </w:p>
              </w:tc>
              <w:tc>
                <w:tcPr>
                  <w:tcW w:w="1306" w:type="dxa"/>
                  <w:tcBorders>
                    <w:tl2br w:val="nil"/>
                    <w:tr2bl w:val="nil"/>
                  </w:tcBorders>
                  <w:shd w:val="clear" w:color="auto" w:fill="auto"/>
                  <w:vAlign w:val="center"/>
                </w:tcPr>
                <w:p w14:paraId="0D1AF1E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合计</w:t>
                  </w:r>
                </w:p>
              </w:tc>
              <w:tc>
                <w:tcPr>
                  <w:tcW w:w="1019" w:type="dxa"/>
                  <w:tcBorders>
                    <w:tl2br w:val="nil"/>
                    <w:tr2bl w:val="nil"/>
                  </w:tcBorders>
                  <w:shd w:val="clear" w:color="auto" w:fill="auto"/>
                  <w:vAlign w:val="center"/>
                </w:tcPr>
                <w:p w14:paraId="42D9EF38">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424" w:type="dxa"/>
                  <w:tcBorders>
                    <w:tl2br w:val="nil"/>
                    <w:tr2bl w:val="nil"/>
                  </w:tcBorders>
                  <w:shd w:val="clear" w:color="auto" w:fill="auto"/>
                  <w:noWrap/>
                  <w:vAlign w:val="center"/>
                </w:tcPr>
                <w:p w14:paraId="32A557B3">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default"/>
                      <w:caps w:val="0"/>
                      <w:color w:val="auto"/>
                      <w:spacing w:val="0"/>
                      <w:position w:val="0"/>
                      <w:highlight w:val="none"/>
                      <w:lang w:val="en-US" w:eastAsia="zh-CN"/>
                    </w:rPr>
                    <w:t>1.638</w:t>
                  </w:r>
                </w:p>
              </w:tc>
            </w:tr>
          </w:tbl>
          <w:p w14:paraId="5B7E8C69">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项目铍平衡表见下表</w:t>
            </w:r>
            <w:r>
              <w:rPr>
                <w:rFonts w:hint="default" w:ascii="Times New Roman" w:hAnsi="Times New Roman" w:cs="Times New Roman"/>
                <w:caps w:val="0"/>
                <w:color w:val="auto"/>
                <w:spacing w:val="0"/>
                <w:position w:val="0"/>
                <w:highlight w:val="none"/>
              </w:rPr>
              <w:t>。</w:t>
            </w:r>
          </w:p>
          <w:p w14:paraId="44EEC385">
            <w:pPr>
              <w:pStyle w:val="75"/>
              <w:keepNext w:val="0"/>
              <w:keepLines w:val="0"/>
              <w:numPr>
                <w:ilvl w:val="0"/>
                <w:numId w:val="4"/>
              </w:numPr>
              <w:suppressLineNumbers w:val="0"/>
              <w:bidi w:val="0"/>
              <w:spacing w:before="0" w:beforeAutospacing="0" w:after="0" w:afterAutospacing="0"/>
              <w:ind w:left="0" w:leftChars="0" w:right="0" w:firstLine="420" w:firstLineChars="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项目铍平衡</w:t>
            </w:r>
            <w:r>
              <w:rPr>
                <w:rFonts w:hint="default" w:ascii="Times New Roman" w:hAnsi="Times New Roman" w:cs="Times New Roman"/>
                <w:caps w:val="0"/>
                <w:color w:val="auto"/>
                <w:spacing w:val="0"/>
                <w:position w:val="0"/>
                <w:highlight w:val="none"/>
              </w:rPr>
              <w:t>表</w:t>
            </w:r>
            <w:r>
              <w:rPr>
                <w:rFonts w:hint="default" w:ascii="Times New Roman" w:hAnsi="Times New Roman" w:eastAsia="宋体" w:cs="Times New Roman"/>
                <w:b/>
                <w:bCs/>
                <w:caps w:val="0"/>
                <w:color w:val="auto"/>
                <w:spacing w:val="0"/>
                <w:position w:val="0"/>
                <w:highlight w:val="none"/>
                <w:lang w:val="en-US" w:eastAsia="zh-CN"/>
              </w:rPr>
              <w:t>（</w:t>
            </w:r>
            <w:r>
              <w:rPr>
                <w:rFonts w:hint="default" w:ascii="Times New Roman" w:hAnsi="Times New Roman" w:cs="Times New Roman"/>
                <w:b/>
                <w:bCs/>
                <w:caps w:val="0"/>
                <w:color w:val="auto"/>
                <w:spacing w:val="0"/>
                <w:position w:val="0"/>
                <w:highlight w:val="none"/>
                <w:lang w:val="en-US" w:eastAsia="zh-CN"/>
              </w:rPr>
              <w:t>t/a）</w:t>
            </w:r>
          </w:p>
          <w:tbl>
            <w:tblPr>
              <w:tblStyle w:val="23"/>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274"/>
              <w:gridCol w:w="915"/>
              <w:gridCol w:w="1123"/>
              <w:gridCol w:w="1019"/>
              <w:gridCol w:w="1306"/>
              <w:gridCol w:w="1019"/>
              <w:gridCol w:w="1425"/>
            </w:tblGrid>
            <w:tr w14:paraId="5D39671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4331" w:type="dxa"/>
                  <w:gridSpan w:val="4"/>
                  <w:tcBorders>
                    <w:tl2br w:val="nil"/>
                    <w:tr2bl w:val="nil"/>
                  </w:tcBorders>
                  <w:shd w:val="clear" w:color="auto" w:fill="auto"/>
                  <w:vAlign w:val="center"/>
                </w:tcPr>
                <w:p w14:paraId="5FB193E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投入</w:t>
                  </w:r>
                </w:p>
              </w:tc>
              <w:tc>
                <w:tcPr>
                  <w:tcW w:w="3749" w:type="dxa"/>
                  <w:gridSpan w:val="3"/>
                  <w:tcBorders>
                    <w:tl2br w:val="nil"/>
                    <w:tr2bl w:val="nil"/>
                  </w:tcBorders>
                  <w:shd w:val="clear" w:color="auto" w:fill="auto"/>
                  <w:vAlign w:val="center"/>
                </w:tcPr>
                <w:p w14:paraId="0CB9EE8B">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产出</w:t>
                  </w:r>
                </w:p>
              </w:tc>
            </w:tr>
            <w:tr w14:paraId="379AE56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274" w:type="dxa"/>
                  <w:tcBorders>
                    <w:tl2br w:val="nil"/>
                    <w:tr2bl w:val="nil"/>
                  </w:tcBorders>
                  <w:shd w:val="clear" w:color="auto" w:fill="auto"/>
                  <w:vAlign w:val="center"/>
                </w:tcPr>
                <w:p w14:paraId="49A2B43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名称</w:t>
                  </w:r>
                </w:p>
              </w:tc>
              <w:tc>
                <w:tcPr>
                  <w:tcW w:w="915" w:type="dxa"/>
                  <w:tcBorders>
                    <w:tl2br w:val="nil"/>
                    <w:tr2bl w:val="nil"/>
                  </w:tcBorders>
                  <w:shd w:val="clear" w:color="auto" w:fill="auto"/>
                  <w:vAlign w:val="center"/>
                </w:tcPr>
                <w:p w14:paraId="66CA3D6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数量（t/a）</w:t>
                  </w:r>
                </w:p>
              </w:tc>
              <w:tc>
                <w:tcPr>
                  <w:tcW w:w="1123" w:type="dxa"/>
                  <w:tcBorders>
                    <w:tl2br w:val="nil"/>
                    <w:tr2bl w:val="nil"/>
                  </w:tcBorders>
                  <w:shd w:val="clear" w:color="auto" w:fill="auto"/>
                  <w:vAlign w:val="center"/>
                </w:tcPr>
                <w:p w14:paraId="1731151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含量（mg/kg）</w:t>
                  </w:r>
                </w:p>
              </w:tc>
              <w:tc>
                <w:tcPr>
                  <w:tcW w:w="1019" w:type="dxa"/>
                  <w:tcBorders>
                    <w:tl2br w:val="nil"/>
                    <w:tr2bl w:val="nil"/>
                  </w:tcBorders>
                  <w:shd w:val="clear" w:color="auto" w:fill="auto"/>
                  <w:vAlign w:val="center"/>
                </w:tcPr>
                <w:p w14:paraId="558F8D98">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元素总量（t/a）</w:t>
                  </w:r>
                </w:p>
              </w:tc>
              <w:tc>
                <w:tcPr>
                  <w:tcW w:w="1306" w:type="dxa"/>
                  <w:tcBorders>
                    <w:tl2br w:val="nil"/>
                    <w:tr2bl w:val="nil"/>
                  </w:tcBorders>
                  <w:shd w:val="clear" w:color="auto" w:fill="auto"/>
                  <w:vAlign w:val="center"/>
                </w:tcPr>
                <w:p w14:paraId="274041F8">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名称</w:t>
                  </w:r>
                </w:p>
              </w:tc>
              <w:tc>
                <w:tcPr>
                  <w:tcW w:w="1019" w:type="dxa"/>
                  <w:tcBorders>
                    <w:tl2br w:val="nil"/>
                    <w:tr2bl w:val="nil"/>
                  </w:tcBorders>
                  <w:shd w:val="clear" w:color="auto" w:fill="auto"/>
                  <w:vAlign w:val="center"/>
                </w:tcPr>
                <w:p w14:paraId="443C9F2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数量（t/a）</w:t>
                  </w:r>
                </w:p>
              </w:tc>
              <w:tc>
                <w:tcPr>
                  <w:tcW w:w="1424" w:type="dxa"/>
                  <w:tcBorders>
                    <w:tl2br w:val="nil"/>
                    <w:tr2bl w:val="nil"/>
                  </w:tcBorders>
                  <w:shd w:val="clear" w:color="auto" w:fill="auto"/>
                  <w:vAlign w:val="center"/>
                </w:tcPr>
                <w:p w14:paraId="291D8B9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元素总量（t/a）</w:t>
                  </w:r>
                </w:p>
              </w:tc>
            </w:tr>
            <w:tr w14:paraId="0E4DB78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274" w:type="dxa"/>
                  <w:tcBorders>
                    <w:tl2br w:val="nil"/>
                    <w:tr2bl w:val="nil"/>
                  </w:tcBorders>
                  <w:shd w:val="clear" w:color="auto" w:fill="auto"/>
                  <w:vAlign w:val="center"/>
                </w:tcPr>
                <w:p w14:paraId="3C0C8D3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锂冶炼剩余物</w:t>
                  </w:r>
                </w:p>
              </w:tc>
              <w:tc>
                <w:tcPr>
                  <w:tcW w:w="915" w:type="dxa"/>
                  <w:tcBorders>
                    <w:tl2br w:val="nil"/>
                    <w:tr2bl w:val="nil"/>
                  </w:tcBorders>
                  <w:shd w:val="clear" w:color="auto" w:fill="auto"/>
                  <w:vAlign w:val="center"/>
                </w:tcPr>
                <w:p w14:paraId="4304F38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14</w:t>
                  </w:r>
                  <w:r>
                    <w:rPr>
                      <w:rFonts w:hint="default"/>
                      <w:caps w:val="0"/>
                      <w:color w:val="auto"/>
                      <w:spacing w:val="0"/>
                      <w:position w:val="0"/>
                      <w:highlight w:val="none"/>
                      <w:lang w:val="en-US" w:eastAsia="zh-CN"/>
                    </w:rPr>
                    <w:t>0000</w:t>
                  </w:r>
                </w:p>
              </w:tc>
              <w:tc>
                <w:tcPr>
                  <w:tcW w:w="1123" w:type="dxa"/>
                  <w:tcBorders>
                    <w:tl2br w:val="nil"/>
                    <w:tr2bl w:val="nil"/>
                  </w:tcBorders>
                  <w:shd w:val="clear" w:color="auto" w:fill="auto"/>
                  <w:vAlign w:val="center"/>
                </w:tcPr>
                <w:p w14:paraId="468A1CA8">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default"/>
                      <w:caps w:val="0"/>
                      <w:color w:val="auto"/>
                      <w:spacing w:val="0"/>
                      <w:position w:val="0"/>
                      <w:highlight w:val="none"/>
                      <w:lang w:val="en-US" w:eastAsia="zh-CN"/>
                    </w:rPr>
                    <w:t>65.4mg/kg</w:t>
                  </w:r>
                </w:p>
              </w:tc>
              <w:tc>
                <w:tcPr>
                  <w:tcW w:w="1019" w:type="dxa"/>
                  <w:tcBorders>
                    <w:tl2br w:val="nil"/>
                    <w:tr2bl w:val="nil"/>
                  </w:tcBorders>
                  <w:shd w:val="clear" w:color="auto" w:fill="auto"/>
                  <w:vAlign w:val="center"/>
                </w:tcPr>
                <w:p w14:paraId="5288BEE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9.156</w:t>
                  </w:r>
                </w:p>
              </w:tc>
              <w:tc>
                <w:tcPr>
                  <w:tcW w:w="1306" w:type="dxa"/>
                  <w:tcBorders>
                    <w:tl2br w:val="nil"/>
                    <w:tr2bl w:val="nil"/>
                  </w:tcBorders>
                  <w:shd w:val="clear" w:color="auto" w:fill="auto"/>
                  <w:noWrap/>
                  <w:vAlign w:val="center"/>
                </w:tcPr>
                <w:p w14:paraId="0DA3C5E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发泡砖</w:t>
                  </w:r>
                </w:p>
              </w:tc>
              <w:tc>
                <w:tcPr>
                  <w:tcW w:w="1019" w:type="dxa"/>
                  <w:tcBorders>
                    <w:tl2br w:val="nil"/>
                    <w:tr2bl w:val="nil"/>
                  </w:tcBorders>
                  <w:shd w:val="clear" w:color="auto" w:fill="auto"/>
                  <w:noWrap/>
                  <w:vAlign w:val="center"/>
                </w:tcPr>
                <w:p w14:paraId="0053DBF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200000</w:t>
                  </w:r>
                </w:p>
              </w:tc>
              <w:tc>
                <w:tcPr>
                  <w:tcW w:w="1424" w:type="dxa"/>
                  <w:tcBorders>
                    <w:tl2br w:val="nil"/>
                    <w:tr2bl w:val="nil"/>
                  </w:tcBorders>
                  <w:shd w:val="clear" w:color="auto" w:fill="auto"/>
                  <w:noWrap/>
                  <w:vAlign w:val="center"/>
                </w:tcPr>
                <w:p w14:paraId="51CFAAD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9.156</w:t>
                  </w:r>
                </w:p>
              </w:tc>
            </w:tr>
            <w:tr w14:paraId="12543C3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PrEx>
              <w:trPr>
                <w:trHeight w:val="0" w:hRule="atLeast"/>
                <w:jc w:val="center"/>
              </w:trPr>
              <w:tc>
                <w:tcPr>
                  <w:tcW w:w="1274" w:type="dxa"/>
                  <w:tcBorders>
                    <w:tl2br w:val="nil"/>
                    <w:tr2bl w:val="nil"/>
                  </w:tcBorders>
                  <w:shd w:val="clear" w:color="auto" w:fill="auto"/>
                  <w:vAlign w:val="center"/>
                </w:tcPr>
                <w:p w14:paraId="6290AABE">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915" w:type="dxa"/>
                  <w:tcBorders>
                    <w:tl2br w:val="nil"/>
                    <w:tr2bl w:val="nil"/>
                  </w:tcBorders>
                  <w:shd w:val="clear" w:color="auto" w:fill="auto"/>
                  <w:vAlign w:val="center"/>
                </w:tcPr>
                <w:p w14:paraId="7AD9BDEC">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123" w:type="dxa"/>
                  <w:tcBorders>
                    <w:tl2br w:val="nil"/>
                    <w:tr2bl w:val="nil"/>
                  </w:tcBorders>
                  <w:shd w:val="clear" w:color="auto" w:fill="auto"/>
                  <w:vAlign w:val="center"/>
                </w:tcPr>
                <w:p w14:paraId="0B91B474">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019" w:type="dxa"/>
                  <w:tcBorders>
                    <w:tl2br w:val="nil"/>
                    <w:tr2bl w:val="nil"/>
                  </w:tcBorders>
                  <w:shd w:val="clear" w:color="auto" w:fill="auto"/>
                  <w:vAlign w:val="center"/>
                </w:tcPr>
                <w:p w14:paraId="010E8126">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306" w:type="dxa"/>
                  <w:tcBorders>
                    <w:tl2br w:val="nil"/>
                    <w:tr2bl w:val="nil"/>
                  </w:tcBorders>
                  <w:shd w:val="clear" w:color="auto" w:fill="auto"/>
                  <w:vAlign w:val="center"/>
                </w:tcPr>
                <w:p w14:paraId="6CA344E1">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排放粉尘</w:t>
                  </w:r>
                </w:p>
              </w:tc>
              <w:tc>
                <w:tcPr>
                  <w:tcW w:w="1019" w:type="dxa"/>
                  <w:tcBorders>
                    <w:tl2br w:val="nil"/>
                    <w:tr2bl w:val="nil"/>
                  </w:tcBorders>
                  <w:shd w:val="clear" w:color="auto" w:fill="auto"/>
                  <w:vAlign w:val="center"/>
                </w:tcPr>
                <w:p w14:paraId="1801EDF9">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0.53</w:t>
                  </w:r>
                </w:p>
              </w:tc>
              <w:tc>
                <w:tcPr>
                  <w:tcW w:w="1424" w:type="dxa"/>
                  <w:tcBorders>
                    <w:tl2br w:val="nil"/>
                    <w:tr2bl w:val="nil"/>
                  </w:tcBorders>
                  <w:shd w:val="clear" w:color="auto" w:fill="auto"/>
                  <w:noWrap/>
                  <w:vAlign w:val="center"/>
                </w:tcPr>
                <w:p w14:paraId="3DF91800">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0.00003</w:t>
                  </w:r>
                  <w:r>
                    <w:rPr>
                      <w:rFonts w:hint="eastAsia"/>
                      <w:caps w:val="0"/>
                      <w:color w:val="auto"/>
                      <w:spacing w:val="0"/>
                      <w:position w:val="0"/>
                      <w:highlight w:val="none"/>
                      <w:lang w:val="en-US" w:eastAsia="zh-CN"/>
                    </w:rPr>
                    <w:t>5</w:t>
                  </w:r>
                </w:p>
              </w:tc>
            </w:tr>
            <w:tr w14:paraId="3973E0F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274" w:type="dxa"/>
                  <w:tcBorders>
                    <w:tl2br w:val="nil"/>
                    <w:tr2bl w:val="nil"/>
                  </w:tcBorders>
                  <w:shd w:val="clear" w:color="auto" w:fill="auto"/>
                  <w:vAlign w:val="center"/>
                </w:tcPr>
                <w:p w14:paraId="272ABBC5">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915" w:type="dxa"/>
                  <w:tcBorders>
                    <w:tl2br w:val="nil"/>
                    <w:tr2bl w:val="nil"/>
                  </w:tcBorders>
                  <w:shd w:val="clear" w:color="auto" w:fill="auto"/>
                  <w:vAlign w:val="center"/>
                </w:tcPr>
                <w:p w14:paraId="1896CD0E">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123" w:type="dxa"/>
                  <w:tcBorders>
                    <w:tl2br w:val="nil"/>
                    <w:tr2bl w:val="nil"/>
                  </w:tcBorders>
                  <w:shd w:val="clear" w:color="auto" w:fill="auto"/>
                  <w:vAlign w:val="center"/>
                </w:tcPr>
                <w:p w14:paraId="257828F1">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019" w:type="dxa"/>
                  <w:tcBorders>
                    <w:tl2br w:val="nil"/>
                    <w:tr2bl w:val="nil"/>
                  </w:tcBorders>
                  <w:shd w:val="clear" w:color="auto" w:fill="auto"/>
                  <w:vAlign w:val="center"/>
                </w:tcPr>
                <w:p w14:paraId="3CA1CC11">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306" w:type="dxa"/>
                  <w:tcBorders>
                    <w:tl2br w:val="nil"/>
                    <w:tr2bl w:val="nil"/>
                  </w:tcBorders>
                  <w:shd w:val="clear" w:color="auto" w:fill="auto"/>
                  <w:vAlign w:val="center"/>
                </w:tcPr>
                <w:p w14:paraId="56C16E1A">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不合格品</w:t>
                  </w:r>
                </w:p>
              </w:tc>
              <w:tc>
                <w:tcPr>
                  <w:tcW w:w="1019" w:type="dxa"/>
                  <w:tcBorders>
                    <w:tl2br w:val="nil"/>
                    <w:tr2bl w:val="nil"/>
                  </w:tcBorders>
                  <w:shd w:val="clear" w:color="auto" w:fill="auto"/>
                  <w:vAlign w:val="center"/>
                </w:tcPr>
                <w:p w14:paraId="7539450C">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5</w:t>
                  </w:r>
                </w:p>
              </w:tc>
              <w:tc>
                <w:tcPr>
                  <w:tcW w:w="1424" w:type="dxa"/>
                  <w:tcBorders>
                    <w:tl2br w:val="nil"/>
                    <w:tr2bl w:val="nil"/>
                  </w:tcBorders>
                  <w:shd w:val="clear" w:color="auto" w:fill="auto"/>
                  <w:noWrap/>
                  <w:vAlign w:val="center"/>
                </w:tcPr>
                <w:p w14:paraId="1F1F39EA">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0.0003</w:t>
                  </w:r>
                  <w:r>
                    <w:rPr>
                      <w:rFonts w:hint="eastAsia"/>
                      <w:caps w:val="0"/>
                      <w:color w:val="auto"/>
                      <w:spacing w:val="0"/>
                      <w:position w:val="0"/>
                      <w:highlight w:val="none"/>
                      <w:lang w:val="en-US" w:eastAsia="zh-CN"/>
                    </w:rPr>
                    <w:t>3</w:t>
                  </w:r>
                </w:p>
              </w:tc>
            </w:tr>
            <w:tr w14:paraId="69C338C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3312" w:type="dxa"/>
                  <w:gridSpan w:val="3"/>
                  <w:tcBorders>
                    <w:tl2br w:val="nil"/>
                    <w:tr2bl w:val="nil"/>
                  </w:tcBorders>
                  <w:shd w:val="clear" w:color="auto" w:fill="auto"/>
                  <w:vAlign w:val="center"/>
                </w:tcPr>
                <w:p w14:paraId="2EE7907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合计</w:t>
                  </w:r>
                </w:p>
              </w:tc>
              <w:tc>
                <w:tcPr>
                  <w:tcW w:w="1019" w:type="dxa"/>
                  <w:tcBorders>
                    <w:tl2br w:val="nil"/>
                    <w:tr2bl w:val="nil"/>
                  </w:tcBorders>
                  <w:shd w:val="clear" w:color="auto" w:fill="auto"/>
                  <w:vAlign w:val="center"/>
                </w:tcPr>
                <w:p w14:paraId="1D1ADCF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9.156</w:t>
                  </w:r>
                </w:p>
              </w:tc>
              <w:tc>
                <w:tcPr>
                  <w:tcW w:w="1306" w:type="dxa"/>
                  <w:tcBorders>
                    <w:tl2br w:val="nil"/>
                    <w:tr2bl w:val="nil"/>
                  </w:tcBorders>
                  <w:shd w:val="clear" w:color="auto" w:fill="auto"/>
                  <w:vAlign w:val="center"/>
                </w:tcPr>
                <w:p w14:paraId="3BBE6A3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合计</w:t>
                  </w:r>
                </w:p>
              </w:tc>
              <w:tc>
                <w:tcPr>
                  <w:tcW w:w="1019" w:type="dxa"/>
                  <w:tcBorders>
                    <w:tl2br w:val="nil"/>
                    <w:tr2bl w:val="nil"/>
                  </w:tcBorders>
                  <w:shd w:val="clear" w:color="auto" w:fill="auto"/>
                  <w:vAlign w:val="center"/>
                </w:tcPr>
                <w:p w14:paraId="1267CB91">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424" w:type="dxa"/>
                  <w:tcBorders>
                    <w:tl2br w:val="nil"/>
                    <w:tr2bl w:val="nil"/>
                  </w:tcBorders>
                  <w:shd w:val="clear" w:color="auto" w:fill="auto"/>
                  <w:noWrap/>
                  <w:vAlign w:val="center"/>
                </w:tcPr>
                <w:p w14:paraId="7122ABE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9.156</w:t>
                  </w:r>
                </w:p>
              </w:tc>
            </w:tr>
          </w:tbl>
          <w:p w14:paraId="6E8651ED">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项目氟平衡表见下表</w:t>
            </w:r>
            <w:r>
              <w:rPr>
                <w:rFonts w:hint="default" w:ascii="Times New Roman" w:hAnsi="Times New Roman" w:cs="Times New Roman"/>
                <w:caps w:val="0"/>
                <w:color w:val="auto"/>
                <w:spacing w:val="0"/>
                <w:position w:val="0"/>
                <w:highlight w:val="none"/>
              </w:rPr>
              <w:t>。</w:t>
            </w:r>
          </w:p>
          <w:p w14:paraId="19AF2479">
            <w:pPr>
              <w:pStyle w:val="75"/>
              <w:keepNext w:val="0"/>
              <w:keepLines w:val="0"/>
              <w:numPr>
                <w:ilvl w:val="0"/>
                <w:numId w:val="4"/>
              </w:numPr>
              <w:suppressLineNumbers w:val="0"/>
              <w:bidi w:val="0"/>
              <w:spacing w:before="0" w:beforeAutospacing="0" w:after="0" w:afterAutospacing="0"/>
              <w:ind w:left="0" w:leftChars="0" w:right="0" w:firstLine="420" w:firstLineChars="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项目氟平衡</w:t>
            </w:r>
            <w:r>
              <w:rPr>
                <w:rFonts w:hint="default" w:ascii="Times New Roman" w:hAnsi="Times New Roman" w:cs="Times New Roman"/>
                <w:caps w:val="0"/>
                <w:color w:val="auto"/>
                <w:spacing w:val="0"/>
                <w:position w:val="0"/>
                <w:highlight w:val="none"/>
              </w:rPr>
              <w:t>表</w:t>
            </w:r>
            <w:r>
              <w:rPr>
                <w:rFonts w:hint="default" w:ascii="Times New Roman" w:hAnsi="Times New Roman" w:eastAsia="宋体" w:cs="Times New Roman"/>
                <w:b/>
                <w:bCs/>
                <w:caps w:val="0"/>
                <w:color w:val="auto"/>
                <w:spacing w:val="0"/>
                <w:position w:val="0"/>
                <w:highlight w:val="none"/>
                <w:lang w:val="en-US" w:eastAsia="zh-CN"/>
              </w:rPr>
              <w:t>（</w:t>
            </w:r>
            <w:r>
              <w:rPr>
                <w:rFonts w:hint="default" w:ascii="Times New Roman" w:hAnsi="Times New Roman" w:cs="Times New Roman"/>
                <w:b/>
                <w:bCs/>
                <w:caps w:val="0"/>
                <w:color w:val="auto"/>
                <w:spacing w:val="0"/>
                <w:position w:val="0"/>
                <w:highlight w:val="none"/>
                <w:lang w:val="en-US" w:eastAsia="zh-CN"/>
              </w:rPr>
              <w:t>t/a）</w:t>
            </w:r>
          </w:p>
          <w:tbl>
            <w:tblPr>
              <w:tblStyle w:val="23"/>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274"/>
              <w:gridCol w:w="915"/>
              <w:gridCol w:w="1123"/>
              <w:gridCol w:w="1019"/>
              <w:gridCol w:w="1306"/>
              <w:gridCol w:w="1019"/>
              <w:gridCol w:w="1425"/>
            </w:tblGrid>
            <w:tr w14:paraId="0272AD7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4331" w:type="dxa"/>
                  <w:gridSpan w:val="4"/>
                  <w:tcBorders>
                    <w:tl2br w:val="nil"/>
                    <w:tr2bl w:val="nil"/>
                  </w:tcBorders>
                  <w:shd w:val="clear" w:color="auto" w:fill="auto"/>
                  <w:vAlign w:val="center"/>
                </w:tcPr>
                <w:p w14:paraId="58182EC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投入</w:t>
                  </w:r>
                </w:p>
              </w:tc>
              <w:tc>
                <w:tcPr>
                  <w:tcW w:w="3749" w:type="dxa"/>
                  <w:gridSpan w:val="3"/>
                  <w:tcBorders>
                    <w:tl2br w:val="nil"/>
                    <w:tr2bl w:val="nil"/>
                  </w:tcBorders>
                  <w:shd w:val="clear" w:color="auto" w:fill="auto"/>
                  <w:vAlign w:val="center"/>
                </w:tcPr>
                <w:p w14:paraId="60536C5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产出</w:t>
                  </w:r>
                </w:p>
              </w:tc>
            </w:tr>
            <w:tr w14:paraId="38467B9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274" w:type="dxa"/>
                  <w:tcBorders>
                    <w:tl2br w:val="nil"/>
                    <w:tr2bl w:val="nil"/>
                  </w:tcBorders>
                  <w:shd w:val="clear" w:color="auto" w:fill="auto"/>
                  <w:vAlign w:val="center"/>
                </w:tcPr>
                <w:p w14:paraId="67340F3C">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名称</w:t>
                  </w:r>
                </w:p>
              </w:tc>
              <w:tc>
                <w:tcPr>
                  <w:tcW w:w="915" w:type="dxa"/>
                  <w:tcBorders>
                    <w:tl2br w:val="nil"/>
                    <w:tr2bl w:val="nil"/>
                  </w:tcBorders>
                  <w:shd w:val="clear" w:color="auto" w:fill="auto"/>
                  <w:vAlign w:val="center"/>
                </w:tcPr>
                <w:p w14:paraId="0E77FB7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数量（t/a）</w:t>
                  </w:r>
                </w:p>
              </w:tc>
              <w:tc>
                <w:tcPr>
                  <w:tcW w:w="1123" w:type="dxa"/>
                  <w:tcBorders>
                    <w:tl2br w:val="nil"/>
                    <w:tr2bl w:val="nil"/>
                  </w:tcBorders>
                  <w:shd w:val="clear" w:color="auto" w:fill="auto"/>
                  <w:vAlign w:val="center"/>
                </w:tcPr>
                <w:p w14:paraId="115F7C0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含量（%）</w:t>
                  </w:r>
                </w:p>
              </w:tc>
              <w:tc>
                <w:tcPr>
                  <w:tcW w:w="1019" w:type="dxa"/>
                  <w:tcBorders>
                    <w:tl2br w:val="nil"/>
                    <w:tr2bl w:val="nil"/>
                  </w:tcBorders>
                  <w:shd w:val="clear" w:color="auto" w:fill="auto"/>
                  <w:vAlign w:val="center"/>
                </w:tcPr>
                <w:p w14:paraId="7F85CC7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元素总量（t/a）</w:t>
                  </w:r>
                </w:p>
              </w:tc>
              <w:tc>
                <w:tcPr>
                  <w:tcW w:w="1306" w:type="dxa"/>
                  <w:tcBorders>
                    <w:tl2br w:val="nil"/>
                    <w:tr2bl w:val="nil"/>
                  </w:tcBorders>
                  <w:shd w:val="clear" w:color="auto" w:fill="auto"/>
                  <w:vAlign w:val="center"/>
                </w:tcPr>
                <w:p w14:paraId="2D695F9C">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名称</w:t>
                  </w:r>
                </w:p>
              </w:tc>
              <w:tc>
                <w:tcPr>
                  <w:tcW w:w="1019" w:type="dxa"/>
                  <w:tcBorders>
                    <w:tl2br w:val="nil"/>
                    <w:tr2bl w:val="nil"/>
                  </w:tcBorders>
                  <w:shd w:val="clear" w:color="auto" w:fill="auto"/>
                  <w:vAlign w:val="center"/>
                </w:tcPr>
                <w:p w14:paraId="25ACB7EB">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数量（t/a）</w:t>
                  </w:r>
                </w:p>
              </w:tc>
              <w:tc>
                <w:tcPr>
                  <w:tcW w:w="1424" w:type="dxa"/>
                  <w:tcBorders>
                    <w:tl2br w:val="nil"/>
                    <w:tr2bl w:val="nil"/>
                  </w:tcBorders>
                  <w:shd w:val="clear" w:color="auto" w:fill="auto"/>
                  <w:vAlign w:val="center"/>
                </w:tcPr>
                <w:p w14:paraId="0B2718F4">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元素总量（t/a）</w:t>
                  </w:r>
                </w:p>
              </w:tc>
            </w:tr>
            <w:tr w14:paraId="7699DBD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274" w:type="dxa"/>
                  <w:tcBorders>
                    <w:tl2br w:val="nil"/>
                    <w:tr2bl w:val="nil"/>
                  </w:tcBorders>
                  <w:shd w:val="clear" w:color="auto" w:fill="auto"/>
                  <w:vAlign w:val="center"/>
                </w:tcPr>
                <w:p w14:paraId="5DCDFD8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锂冶炼剩余物</w:t>
                  </w:r>
                </w:p>
              </w:tc>
              <w:tc>
                <w:tcPr>
                  <w:tcW w:w="915" w:type="dxa"/>
                  <w:tcBorders>
                    <w:tl2br w:val="nil"/>
                    <w:tr2bl w:val="nil"/>
                  </w:tcBorders>
                  <w:shd w:val="clear" w:color="auto" w:fill="auto"/>
                  <w:vAlign w:val="center"/>
                </w:tcPr>
                <w:p w14:paraId="5405292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14</w:t>
                  </w:r>
                  <w:r>
                    <w:rPr>
                      <w:rFonts w:hint="default"/>
                      <w:caps w:val="0"/>
                      <w:color w:val="auto"/>
                      <w:spacing w:val="0"/>
                      <w:position w:val="0"/>
                      <w:highlight w:val="none"/>
                      <w:lang w:val="en-US" w:eastAsia="zh-CN"/>
                    </w:rPr>
                    <w:t>0000</w:t>
                  </w:r>
                </w:p>
              </w:tc>
              <w:tc>
                <w:tcPr>
                  <w:tcW w:w="1123" w:type="dxa"/>
                  <w:tcBorders>
                    <w:tl2br w:val="nil"/>
                    <w:tr2bl w:val="nil"/>
                  </w:tcBorders>
                  <w:shd w:val="clear" w:color="auto" w:fill="auto"/>
                  <w:vAlign w:val="center"/>
                </w:tcPr>
                <w:p w14:paraId="18FD52E8">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default"/>
                      <w:caps w:val="0"/>
                      <w:color w:val="auto"/>
                      <w:spacing w:val="0"/>
                      <w:position w:val="0"/>
                      <w:highlight w:val="none"/>
                      <w:lang w:val="en-US" w:eastAsia="zh-CN"/>
                    </w:rPr>
                    <w:t>18g/kg</w:t>
                  </w:r>
                </w:p>
              </w:tc>
              <w:tc>
                <w:tcPr>
                  <w:tcW w:w="1019" w:type="dxa"/>
                  <w:tcBorders>
                    <w:tl2br w:val="nil"/>
                    <w:tr2bl w:val="nil"/>
                  </w:tcBorders>
                  <w:shd w:val="clear" w:color="auto" w:fill="auto"/>
                  <w:vAlign w:val="center"/>
                </w:tcPr>
                <w:p w14:paraId="2B73634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2520</w:t>
                  </w:r>
                </w:p>
              </w:tc>
              <w:tc>
                <w:tcPr>
                  <w:tcW w:w="1306" w:type="dxa"/>
                  <w:tcBorders>
                    <w:tl2br w:val="nil"/>
                    <w:tr2bl w:val="nil"/>
                  </w:tcBorders>
                  <w:shd w:val="clear" w:color="auto" w:fill="auto"/>
                  <w:noWrap/>
                  <w:vAlign w:val="center"/>
                </w:tcPr>
                <w:p w14:paraId="793C9EB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发泡砖</w:t>
                  </w:r>
                </w:p>
              </w:tc>
              <w:tc>
                <w:tcPr>
                  <w:tcW w:w="1019" w:type="dxa"/>
                  <w:tcBorders>
                    <w:tl2br w:val="nil"/>
                    <w:tr2bl w:val="nil"/>
                  </w:tcBorders>
                  <w:shd w:val="clear" w:color="auto" w:fill="auto"/>
                  <w:noWrap/>
                  <w:vAlign w:val="center"/>
                </w:tcPr>
                <w:p w14:paraId="66465CA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200000</w:t>
                  </w:r>
                </w:p>
              </w:tc>
              <w:tc>
                <w:tcPr>
                  <w:tcW w:w="1424" w:type="dxa"/>
                  <w:tcBorders>
                    <w:tl2br w:val="nil"/>
                    <w:tr2bl w:val="nil"/>
                  </w:tcBorders>
                  <w:shd w:val="clear" w:color="auto" w:fill="auto"/>
                  <w:noWrap/>
                  <w:vAlign w:val="center"/>
                </w:tcPr>
                <w:p w14:paraId="09C2D21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2519.9</w:t>
                  </w:r>
                </w:p>
              </w:tc>
            </w:tr>
            <w:tr w14:paraId="3CFF7FD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274" w:type="dxa"/>
                  <w:tcBorders>
                    <w:tl2br w:val="nil"/>
                    <w:tr2bl w:val="nil"/>
                  </w:tcBorders>
                  <w:shd w:val="clear" w:color="auto" w:fill="auto"/>
                  <w:vAlign w:val="center"/>
                </w:tcPr>
                <w:p w14:paraId="50AF1AF2">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915" w:type="dxa"/>
                  <w:tcBorders>
                    <w:tl2br w:val="nil"/>
                    <w:tr2bl w:val="nil"/>
                  </w:tcBorders>
                  <w:shd w:val="clear" w:color="auto" w:fill="auto"/>
                  <w:vAlign w:val="center"/>
                </w:tcPr>
                <w:p w14:paraId="151BBCB6">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123" w:type="dxa"/>
                  <w:tcBorders>
                    <w:tl2br w:val="nil"/>
                    <w:tr2bl w:val="nil"/>
                  </w:tcBorders>
                  <w:shd w:val="clear" w:color="auto" w:fill="auto"/>
                  <w:vAlign w:val="center"/>
                </w:tcPr>
                <w:p w14:paraId="541DBCDA">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019" w:type="dxa"/>
                  <w:tcBorders>
                    <w:tl2br w:val="nil"/>
                    <w:tr2bl w:val="nil"/>
                  </w:tcBorders>
                  <w:shd w:val="clear" w:color="auto" w:fill="auto"/>
                  <w:vAlign w:val="center"/>
                </w:tcPr>
                <w:p w14:paraId="4386B816">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306" w:type="dxa"/>
                  <w:tcBorders>
                    <w:tl2br w:val="nil"/>
                    <w:tr2bl w:val="nil"/>
                  </w:tcBorders>
                  <w:shd w:val="clear" w:color="auto" w:fill="auto"/>
                  <w:vAlign w:val="center"/>
                </w:tcPr>
                <w:p w14:paraId="595A6E8B">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排放粉尘</w:t>
                  </w:r>
                </w:p>
              </w:tc>
              <w:tc>
                <w:tcPr>
                  <w:tcW w:w="1019" w:type="dxa"/>
                  <w:tcBorders>
                    <w:tl2br w:val="nil"/>
                    <w:tr2bl w:val="nil"/>
                  </w:tcBorders>
                  <w:shd w:val="clear" w:color="auto" w:fill="auto"/>
                  <w:vAlign w:val="center"/>
                </w:tcPr>
                <w:p w14:paraId="0E7DD304">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0.53</w:t>
                  </w:r>
                </w:p>
              </w:tc>
              <w:tc>
                <w:tcPr>
                  <w:tcW w:w="1424" w:type="dxa"/>
                  <w:tcBorders>
                    <w:tl2br w:val="nil"/>
                    <w:tr2bl w:val="nil"/>
                  </w:tcBorders>
                  <w:shd w:val="clear" w:color="auto" w:fill="auto"/>
                  <w:noWrap/>
                  <w:vAlign w:val="center"/>
                </w:tcPr>
                <w:p w14:paraId="7959F546">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0.01</w:t>
                  </w:r>
                </w:p>
              </w:tc>
            </w:tr>
            <w:tr w14:paraId="5656310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274" w:type="dxa"/>
                  <w:tcBorders>
                    <w:tl2br w:val="nil"/>
                    <w:tr2bl w:val="nil"/>
                  </w:tcBorders>
                  <w:shd w:val="clear" w:color="auto" w:fill="auto"/>
                  <w:vAlign w:val="center"/>
                </w:tcPr>
                <w:p w14:paraId="57E970D0">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915" w:type="dxa"/>
                  <w:tcBorders>
                    <w:tl2br w:val="nil"/>
                    <w:tr2bl w:val="nil"/>
                  </w:tcBorders>
                  <w:shd w:val="clear" w:color="auto" w:fill="auto"/>
                  <w:vAlign w:val="center"/>
                </w:tcPr>
                <w:p w14:paraId="674436AB">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123" w:type="dxa"/>
                  <w:tcBorders>
                    <w:tl2br w:val="nil"/>
                    <w:tr2bl w:val="nil"/>
                  </w:tcBorders>
                  <w:shd w:val="clear" w:color="auto" w:fill="auto"/>
                  <w:vAlign w:val="center"/>
                </w:tcPr>
                <w:p w14:paraId="610E7D75">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019" w:type="dxa"/>
                  <w:tcBorders>
                    <w:tl2br w:val="nil"/>
                    <w:tr2bl w:val="nil"/>
                  </w:tcBorders>
                  <w:shd w:val="clear" w:color="auto" w:fill="auto"/>
                  <w:vAlign w:val="center"/>
                </w:tcPr>
                <w:p w14:paraId="6300DA4D">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306" w:type="dxa"/>
                  <w:tcBorders>
                    <w:tl2br w:val="nil"/>
                    <w:tr2bl w:val="nil"/>
                  </w:tcBorders>
                  <w:shd w:val="clear" w:color="auto" w:fill="auto"/>
                  <w:vAlign w:val="center"/>
                </w:tcPr>
                <w:p w14:paraId="3324D6EC">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不合格品</w:t>
                  </w:r>
                </w:p>
              </w:tc>
              <w:tc>
                <w:tcPr>
                  <w:tcW w:w="1019" w:type="dxa"/>
                  <w:tcBorders>
                    <w:tl2br w:val="nil"/>
                    <w:tr2bl w:val="nil"/>
                  </w:tcBorders>
                  <w:shd w:val="clear" w:color="auto" w:fill="auto"/>
                  <w:vAlign w:val="center"/>
                </w:tcPr>
                <w:p w14:paraId="2AF33D49">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5</w:t>
                  </w:r>
                </w:p>
              </w:tc>
              <w:tc>
                <w:tcPr>
                  <w:tcW w:w="1424" w:type="dxa"/>
                  <w:tcBorders>
                    <w:tl2br w:val="nil"/>
                    <w:tr2bl w:val="nil"/>
                  </w:tcBorders>
                  <w:shd w:val="clear" w:color="auto" w:fill="auto"/>
                  <w:noWrap/>
                  <w:vAlign w:val="center"/>
                </w:tcPr>
                <w:p w14:paraId="213B5151">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0.09</w:t>
                  </w:r>
                </w:p>
              </w:tc>
            </w:tr>
            <w:tr w14:paraId="3D42D79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3312" w:type="dxa"/>
                  <w:gridSpan w:val="3"/>
                  <w:tcBorders>
                    <w:tl2br w:val="nil"/>
                    <w:tr2bl w:val="nil"/>
                  </w:tcBorders>
                  <w:shd w:val="clear" w:color="auto" w:fill="auto"/>
                  <w:vAlign w:val="center"/>
                </w:tcPr>
                <w:p w14:paraId="68B4DC5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合计</w:t>
                  </w:r>
                </w:p>
              </w:tc>
              <w:tc>
                <w:tcPr>
                  <w:tcW w:w="1019" w:type="dxa"/>
                  <w:tcBorders>
                    <w:tl2br w:val="nil"/>
                    <w:tr2bl w:val="nil"/>
                  </w:tcBorders>
                  <w:shd w:val="clear" w:color="auto" w:fill="auto"/>
                  <w:vAlign w:val="center"/>
                </w:tcPr>
                <w:p w14:paraId="623FB98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2520</w:t>
                  </w:r>
                </w:p>
              </w:tc>
              <w:tc>
                <w:tcPr>
                  <w:tcW w:w="1306" w:type="dxa"/>
                  <w:tcBorders>
                    <w:tl2br w:val="nil"/>
                    <w:tr2bl w:val="nil"/>
                  </w:tcBorders>
                  <w:shd w:val="clear" w:color="auto" w:fill="auto"/>
                  <w:vAlign w:val="center"/>
                </w:tcPr>
                <w:p w14:paraId="255C8DA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合计</w:t>
                  </w:r>
                </w:p>
              </w:tc>
              <w:tc>
                <w:tcPr>
                  <w:tcW w:w="1019" w:type="dxa"/>
                  <w:tcBorders>
                    <w:tl2br w:val="nil"/>
                    <w:tr2bl w:val="nil"/>
                  </w:tcBorders>
                  <w:shd w:val="clear" w:color="auto" w:fill="auto"/>
                  <w:vAlign w:val="center"/>
                </w:tcPr>
                <w:p w14:paraId="3DD130CD">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424" w:type="dxa"/>
                  <w:tcBorders>
                    <w:tl2br w:val="nil"/>
                    <w:tr2bl w:val="nil"/>
                  </w:tcBorders>
                  <w:shd w:val="clear" w:color="auto" w:fill="auto"/>
                  <w:noWrap/>
                  <w:vAlign w:val="center"/>
                </w:tcPr>
                <w:p w14:paraId="2F11B64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2520</w:t>
                  </w:r>
                </w:p>
              </w:tc>
            </w:tr>
          </w:tbl>
          <w:p w14:paraId="46EE783D">
            <w:pPr>
              <w:keepNext w:val="0"/>
              <w:keepLines w:val="0"/>
              <w:suppressLineNumbers w:val="0"/>
              <w:spacing w:before="0" w:beforeAutospacing="0" w:after="0" w:afterAutospacing="0" w:line="22" w:lineRule="exact"/>
              <w:ind w:left="0" w:right="0"/>
              <w:rPr>
                <w:rFonts w:hint="default" w:ascii="Times New Roman" w:hAnsi="Times New Roman" w:cs="Times New Roman"/>
                <w:caps w:val="0"/>
                <w:color w:val="auto"/>
                <w:spacing w:val="0"/>
                <w:position w:val="0"/>
                <w:highlight w:val="none"/>
              </w:rPr>
            </w:pPr>
          </w:p>
          <w:p w14:paraId="30B76C74">
            <w:pPr>
              <w:pStyle w:val="74"/>
              <w:keepNext w:val="0"/>
              <w:keepLines w:val="0"/>
              <w:suppressLineNumbers w:val="0"/>
              <w:bidi w:val="0"/>
              <w:spacing w:before="0" w:beforeAutospacing="0" w:after="0" w:afterAutospacing="0"/>
              <w:ind w:left="0" w:right="0"/>
              <w:rPr>
                <w:rFonts w:hint="default" w:ascii="Times New Roman" w:hAnsi="Times New Roman" w:cs="Times New Roman"/>
                <w:b/>
                <w:bCs w:val="0"/>
                <w:caps w:val="0"/>
                <w:color w:val="auto"/>
                <w:spacing w:val="0"/>
                <w:position w:val="0"/>
                <w:highlight w:val="none"/>
                <w:lang w:val="en-US" w:eastAsia="zh-CN"/>
              </w:rPr>
            </w:pPr>
            <w:r>
              <w:rPr>
                <w:rFonts w:hint="eastAsia" w:cs="Times New Roman"/>
                <w:b/>
                <w:bCs w:val="0"/>
                <w:caps w:val="0"/>
                <w:color w:val="auto"/>
                <w:spacing w:val="0"/>
                <w:position w:val="0"/>
                <w:highlight w:val="none"/>
                <w:lang w:val="en-US" w:eastAsia="zh-CN"/>
              </w:rPr>
              <w:t>4</w:t>
            </w:r>
            <w:r>
              <w:rPr>
                <w:rFonts w:hint="default" w:ascii="Times New Roman" w:hAnsi="Times New Roman" w:cs="Times New Roman"/>
                <w:b/>
                <w:bCs w:val="0"/>
                <w:caps w:val="0"/>
                <w:color w:val="auto"/>
                <w:spacing w:val="0"/>
                <w:position w:val="0"/>
                <w:highlight w:val="none"/>
                <w:lang w:val="en-US" w:eastAsia="zh-CN"/>
              </w:rPr>
              <w:t>、产污环节说明</w:t>
            </w:r>
          </w:p>
          <w:p w14:paraId="7A092F85">
            <w:pPr>
              <w:pStyle w:val="75"/>
              <w:keepNext w:val="0"/>
              <w:keepLines w:val="0"/>
              <w:numPr>
                <w:ilvl w:val="0"/>
                <w:numId w:val="4"/>
              </w:numPr>
              <w:suppressLineNumbers w:val="0"/>
              <w:bidi w:val="0"/>
              <w:spacing w:before="0" w:beforeAutospacing="0" w:after="0" w:afterAutospacing="0"/>
              <w:ind w:left="0" w:leftChars="0" w:right="0" w:firstLine="420" w:firstLineChars="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项目产污环节一览表</w:t>
            </w:r>
          </w:p>
          <w:tbl>
            <w:tblPr>
              <w:tblStyle w:val="2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64"/>
              <w:gridCol w:w="942"/>
              <w:gridCol w:w="1890"/>
              <w:gridCol w:w="4381"/>
            </w:tblGrid>
            <w:tr w14:paraId="589A2A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4" w:hRule="atLeast"/>
                <w:jc w:val="center"/>
              </w:trPr>
              <w:tc>
                <w:tcPr>
                  <w:tcW w:w="1117" w:type="pct"/>
                  <w:gridSpan w:val="2"/>
                  <w:tcBorders>
                    <w:tl2br w:val="nil"/>
                    <w:tr2bl w:val="nil"/>
                  </w:tcBorders>
                  <w:shd w:val="clear" w:color="auto" w:fill="auto"/>
                  <w:noWrap w:val="0"/>
                  <w:vAlign w:val="center"/>
                </w:tcPr>
                <w:p w14:paraId="69D4AD2D">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rPr>
                  </w:pPr>
                  <w:r>
                    <w:rPr>
                      <w:rFonts w:hint="default" w:ascii="Times New Roman" w:hAnsi="Times New Roman" w:cs="Times New Roman"/>
                      <w:b/>
                      <w:bCs/>
                      <w:caps w:val="0"/>
                      <w:color w:val="auto"/>
                      <w:spacing w:val="0"/>
                      <w:position w:val="0"/>
                      <w:highlight w:val="none"/>
                    </w:rPr>
                    <w:t>污染类别</w:t>
                  </w:r>
                </w:p>
              </w:tc>
              <w:tc>
                <w:tcPr>
                  <w:tcW w:w="1169" w:type="pct"/>
                  <w:tcBorders>
                    <w:tl2br w:val="nil"/>
                    <w:tr2bl w:val="nil"/>
                  </w:tcBorders>
                  <w:shd w:val="clear" w:color="auto" w:fill="auto"/>
                  <w:noWrap w:val="0"/>
                  <w:vAlign w:val="center"/>
                </w:tcPr>
                <w:p w14:paraId="59B9259F">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rPr>
                  </w:pPr>
                  <w:r>
                    <w:rPr>
                      <w:rFonts w:hint="default" w:ascii="Times New Roman" w:hAnsi="Times New Roman" w:cs="Times New Roman"/>
                      <w:b/>
                      <w:bCs/>
                      <w:caps w:val="0"/>
                      <w:color w:val="auto"/>
                      <w:spacing w:val="0"/>
                      <w:position w:val="0"/>
                      <w:highlight w:val="none"/>
                    </w:rPr>
                    <w:t>来源</w:t>
                  </w:r>
                </w:p>
              </w:tc>
              <w:tc>
                <w:tcPr>
                  <w:tcW w:w="2712" w:type="pct"/>
                  <w:tcBorders>
                    <w:tl2br w:val="nil"/>
                    <w:tr2bl w:val="nil"/>
                  </w:tcBorders>
                  <w:shd w:val="clear" w:color="auto" w:fill="auto"/>
                  <w:noWrap w:val="0"/>
                  <w:vAlign w:val="center"/>
                </w:tcPr>
                <w:p w14:paraId="478F15DF">
                  <w:pPr>
                    <w:pStyle w:val="28"/>
                    <w:keepNext w:val="0"/>
                    <w:keepLines w:val="0"/>
                    <w:suppressLineNumbers w:val="0"/>
                    <w:bidi w:val="0"/>
                    <w:spacing w:beforeAutospacing="0" w:afterAutospacing="0"/>
                    <w:ind w:left="0" w:right="0"/>
                    <w:rPr>
                      <w:rFonts w:hint="default" w:ascii="Times New Roman" w:hAnsi="Times New Roman" w:cs="Times New Roman"/>
                      <w:b/>
                      <w:bCs/>
                      <w:caps w:val="0"/>
                      <w:color w:val="auto"/>
                      <w:spacing w:val="0"/>
                      <w:position w:val="0"/>
                      <w:highlight w:val="none"/>
                    </w:rPr>
                  </w:pPr>
                  <w:r>
                    <w:rPr>
                      <w:rFonts w:hint="default" w:ascii="Times New Roman" w:hAnsi="Times New Roman" w:cs="Times New Roman"/>
                      <w:b/>
                      <w:bCs/>
                      <w:caps w:val="0"/>
                      <w:color w:val="auto"/>
                      <w:spacing w:val="0"/>
                      <w:position w:val="0"/>
                      <w:highlight w:val="none"/>
                    </w:rPr>
                    <w:t>污染物种类</w:t>
                  </w:r>
                </w:p>
              </w:tc>
            </w:tr>
            <w:tr w14:paraId="27AC81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79" w:hRule="atLeast"/>
                <w:jc w:val="center"/>
              </w:trPr>
              <w:tc>
                <w:tcPr>
                  <w:tcW w:w="534" w:type="pct"/>
                  <w:vMerge w:val="restart"/>
                  <w:tcBorders>
                    <w:tl2br w:val="nil"/>
                    <w:tr2bl w:val="nil"/>
                  </w:tcBorders>
                  <w:shd w:val="clear" w:color="auto" w:fill="auto"/>
                  <w:noWrap w:val="0"/>
                  <w:vAlign w:val="center"/>
                </w:tcPr>
                <w:p w14:paraId="645784D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营运期</w:t>
                  </w:r>
                </w:p>
              </w:tc>
              <w:tc>
                <w:tcPr>
                  <w:tcW w:w="583" w:type="pct"/>
                  <w:tcBorders>
                    <w:tl2br w:val="nil"/>
                    <w:tr2bl w:val="nil"/>
                  </w:tcBorders>
                  <w:shd w:val="clear" w:color="auto" w:fill="auto"/>
                  <w:noWrap w:val="0"/>
                  <w:vAlign w:val="center"/>
                </w:tcPr>
                <w:p w14:paraId="5869837B">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ascii="Times New Roman" w:hAnsi="Times New Roman" w:cs="Times New Roman"/>
                      <w:caps w:val="0"/>
                      <w:color w:val="auto"/>
                      <w:spacing w:val="0"/>
                      <w:position w:val="0"/>
                      <w:highlight w:val="none"/>
                    </w:rPr>
                    <w:t>废气</w:t>
                  </w:r>
                </w:p>
              </w:tc>
              <w:tc>
                <w:tcPr>
                  <w:tcW w:w="1169" w:type="pct"/>
                  <w:tcBorders>
                    <w:tl2br w:val="nil"/>
                    <w:tr2bl w:val="nil"/>
                  </w:tcBorders>
                  <w:shd w:val="clear" w:color="auto" w:fill="auto"/>
                  <w:noWrap w:val="0"/>
                  <w:vAlign w:val="center"/>
                </w:tcPr>
                <w:p w14:paraId="77870339">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ascii="Times New Roman" w:hAnsi="Times New Roman" w:cs="Times New Roman"/>
                      <w:caps w:val="0"/>
                      <w:color w:val="auto"/>
                      <w:spacing w:val="0"/>
                      <w:position w:val="0"/>
                      <w:highlight w:val="none"/>
                      <w:lang w:val="en-US" w:eastAsia="zh-CN"/>
                    </w:rPr>
                    <w:t>储</w:t>
                  </w:r>
                  <w:r>
                    <w:rPr>
                      <w:rFonts w:hint="eastAsia" w:cs="Times New Roman"/>
                      <w:caps w:val="0"/>
                      <w:color w:val="auto"/>
                      <w:spacing w:val="0"/>
                      <w:position w:val="0"/>
                      <w:highlight w:val="none"/>
                      <w:lang w:val="en-US" w:eastAsia="zh-CN"/>
                    </w:rPr>
                    <w:t>存</w:t>
                  </w:r>
                  <w:r>
                    <w:rPr>
                      <w:rFonts w:hint="default" w:ascii="Times New Roman" w:hAnsi="Times New Roman" w:cs="Times New Roman"/>
                      <w:caps w:val="0"/>
                      <w:color w:val="auto"/>
                      <w:spacing w:val="0"/>
                      <w:position w:val="0"/>
                      <w:highlight w:val="none"/>
                      <w:lang w:val="en-US" w:eastAsia="zh-CN"/>
                    </w:rPr>
                    <w:t>、投料、</w:t>
                  </w:r>
                  <w:r>
                    <w:rPr>
                      <w:rFonts w:hint="eastAsia" w:cs="Times New Roman"/>
                      <w:caps w:val="0"/>
                      <w:color w:val="auto"/>
                      <w:spacing w:val="0"/>
                      <w:position w:val="0"/>
                      <w:highlight w:val="none"/>
                      <w:lang w:val="en-US" w:eastAsia="zh-CN"/>
                    </w:rPr>
                    <w:t>筒</w:t>
                  </w:r>
                  <w:r>
                    <w:rPr>
                      <w:rFonts w:hint="default" w:ascii="Times New Roman" w:hAnsi="Times New Roman" w:cs="Times New Roman"/>
                      <w:caps w:val="0"/>
                      <w:color w:val="auto"/>
                      <w:spacing w:val="0"/>
                      <w:position w:val="0"/>
                      <w:highlight w:val="none"/>
                      <w:lang w:val="en-US" w:eastAsia="zh-CN"/>
                    </w:rPr>
                    <w:t>仓、搅拌、运输废气</w:t>
                  </w:r>
                </w:p>
              </w:tc>
              <w:tc>
                <w:tcPr>
                  <w:tcW w:w="2712" w:type="pct"/>
                  <w:tcBorders>
                    <w:tl2br w:val="nil"/>
                    <w:tr2bl w:val="nil"/>
                  </w:tcBorders>
                  <w:shd w:val="clear" w:color="auto" w:fill="auto"/>
                  <w:noWrap w:val="0"/>
                  <w:vAlign w:val="center"/>
                </w:tcPr>
                <w:p w14:paraId="683ADB13">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颗粒物、铊及化合物、铍及其化合物、</w:t>
                  </w:r>
                  <w:r>
                    <w:rPr>
                      <w:rFonts w:hint="default" w:ascii="Times New Roman" w:hAnsi="Times New Roman" w:eastAsia="宋体" w:cs="Times New Roman"/>
                      <w:caps w:val="0"/>
                      <w:color w:val="auto"/>
                      <w:spacing w:val="0"/>
                      <w:kern w:val="2"/>
                      <w:position w:val="0"/>
                      <w:sz w:val="21"/>
                      <w:szCs w:val="21"/>
                      <w:highlight w:val="none"/>
                      <w:lang w:val="en-US" w:eastAsia="zh-CN" w:bidi="ar-SA"/>
                    </w:rPr>
                    <w:t>氟化物</w:t>
                  </w:r>
                </w:p>
              </w:tc>
            </w:tr>
            <w:tr w14:paraId="285689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90" w:hRule="atLeast"/>
                <w:jc w:val="center"/>
              </w:trPr>
              <w:tc>
                <w:tcPr>
                  <w:tcW w:w="534" w:type="pct"/>
                  <w:vMerge w:val="continue"/>
                  <w:tcBorders>
                    <w:tl2br w:val="nil"/>
                    <w:tr2bl w:val="nil"/>
                  </w:tcBorders>
                  <w:shd w:val="clear" w:color="auto" w:fill="auto"/>
                  <w:noWrap w:val="0"/>
                  <w:vAlign w:val="center"/>
                </w:tcPr>
                <w:p w14:paraId="384AF78C">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583" w:type="pct"/>
                  <w:vMerge w:val="restart"/>
                  <w:tcBorders>
                    <w:tl2br w:val="nil"/>
                    <w:tr2bl w:val="nil"/>
                  </w:tcBorders>
                  <w:shd w:val="clear" w:color="auto" w:fill="auto"/>
                  <w:noWrap w:val="0"/>
                  <w:vAlign w:val="center"/>
                </w:tcPr>
                <w:p w14:paraId="08C2029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废水</w:t>
                  </w:r>
                </w:p>
              </w:tc>
              <w:tc>
                <w:tcPr>
                  <w:tcW w:w="1169" w:type="pct"/>
                  <w:tcBorders>
                    <w:tl2br w:val="nil"/>
                    <w:tr2bl w:val="nil"/>
                  </w:tcBorders>
                  <w:shd w:val="clear" w:color="auto" w:fill="auto"/>
                  <w:noWrap w:val="0"/>
                  <w:vAlign w:val="center"/>
                </w:tcPr>
                <w:p w14:paraId="13BC0BD7">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生活污水</w:t>
                  </w:r>
                </w:p>
              </w:tc>
              <w:tc>
                <w:tcPr>
                  <w:tcW w:w="2712" w:type="pct"/>
                  <w:tcBorders>
                    <w:tl2br w:val="nil"/>
                    <w:tr2bl w:val="nil"/>
                  </w:tcBorders>
                  <w:shd w:val="clear" w:color="auto" w:fill="auto"/>
                  <w:noWrap w:val="0"/>
                  <w:vAlign w:val="center"/>
                </w:tcPr>
                <w:p w14:paraId="36EC9597">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pH</w:t>
                  </w:r>
                  <w:r>
                    <w:rPr>
                      <w:rFonts w:hint="eastAsia"/>
                      <w:caps w:val="0"/>
                      <w:color w:val="auto"/>
                      <w:spacing w:val="0"/>
                      <w:position w:val="0"/>
                      <w:highlight w:val="none"/>
                      <w:lang w:val="en-US" w:eastAsia="zh-CN"/>
                    </w:rPr>
                    <w:t>、</w:t>
                  </w:r>
                  <w:r>
                    <w:rPr>
                      <w:rFonts w:hint="default"/>
                      <w:caps w:val="0"/>
                      <w:color w:val="auto"/>
                      <w:spacing w:val="0"/>
                      <w:position w:val="0"/>
                      <w:highlight w:val="none"/>
                    </w:rPr>
                    <w:t>COD</w:t>
                  </w:r>
                  <w:r>
                    <w:rPr>
                      <w:rFonts w:hint="eastAsia"/>
                      <w:caps w:val="0"/>
                      <w:color w:val="auto"/>
                      <w:spacing w:val="0"/>
                      <w:position w:val="0"/>
                      <w:highlight w:val="none"/>
                      <w:vertAlign w:val="subscript"/>
                      <w:lang w:val="en-US" w:eastAsia="zh-CN"/>
                    </w:rPr>
                    <w:t>C</w:t>
                  </w:r>
                  <w:r>
                    <w:rPr>
                      <w:rFonts w:hint="default"/>
                      <w:caps w:val="0"/>
                      <w:color w:val="auto"/>
                      <w:spacing w:val="0"/>
                      <w:position w:val="0"/>
                      <w:highlight w:val="none"/>
                      <w:vertAlign w:val="subscript"/>
                    </w:rPr>
                    <w:t>r</w:t>
                  </w:r>
                  <w:r>
                    <w:rPr>
                      <w:rFonts w:hint="default"/>
                      <w:caps w:val="0"/>
                      <w:color w:val="auto"/>
                      <w:spacing w:val="0"/>
                      <w:position w:val="0"/>
                      <w:highlight w:val="none"/>
                    </w:rPr>
                    <w:t>、BOD</w:t>
                  </w:r>
                  <w:r>
                    <w:rPr>
                      <w:rFonts w:hint="default"/>
                      <w:caps w:val="0"/>
                      <w:color w:val="auto"/>
                      <w:spacing w:val="0"/>
                      <w:position w:val="0"/>
                      <w:highlight w:val="none"/>
                      <w:vertAlign w:val="subscript"/>
                    </w:rPr>
                    <w:t>5</w:t>
                  </w:r>
                  <w:r>
                    <w:rPr>
                      <w:rFonts w:hint="default"/>
                      <w:caps w:val="0"/>
                      <w:color w:val="auto"/>
                      <w:spacing w:val="0"/>
                      <w:position w:val="0"/>
                      <w:highlight w:val="none"/>
                    </w:rPr>
                    <w:t>、SS、NH</w:t>
                  </w:r>
                  <w:r>
                    <w:rPr>
                      <w:rFonts w:hint="default"/>
                      <w:caps w:val="0"/>
                      <w:color w:val="auto"/>
                      <w:spacing w:val="0"/>
                      <w:position w:val="0"/>
                      <w:highlight w:val="none"/>
                      <w:vertAlign w:val="subscript"/>
                    </w:rPr>
                    <w:t>3</w:t>
                  </w:r>
                  <w:r>
                    <w:rPr>
                      <w:rFonts w:hint="default"/>
                      <w:caps w:val="0"/>
                      <w:color w:val="auto"/>
                      <w:spacing w:val="0"/>
                      <w:position w:val="0"/>
                      <w:highlight w:val="none"/>
                    </w:rPr>
                    <w:t>-N、TP</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TN</w:t>
                  </w:r>
                </w:p>
              </w:tc>
            </w:tr>
            <w:tr w14:paraId="06D7A3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90" w:hRule="atLeast"/>
                <w:jc w:val="center"/>
              </w:trPr>
              <w:tc>
                <w:tcPr>
                  <w:tcW w:w="534" w:type="pct"/>
                  <w:vMerge w:val="continue"/>
                  <w:tcBorders>
                    <w:tl2br w:val="nil"/>
                    <w:tr2bl w:val="nil"/>
                  </w:tcBorders>
                  <w:shd w:val="clear" w:color="auto" w:fill="auto"/>
                  <w:noWrap w:val="0"/>
                  <w:vAlign w:val="center"/>
                </w:tcPr>
                <w:p w14:paraId="426D8F8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583" w:type="pct"/>
                  <w:vMerge w:val="continue"/>
                  <w:tcBorders>
                    <w:tl2br w:val="nil"/>
                    <w:tr2bl w:val="nil"/>
                  </w:tcBorders>
                  <w:shd w:val="clear" w:color="auto" w:fill="auto"/>
                  <w:noWrap w:val="0"/>
                  <w:vAlign w:val="center"/>
                </w:tcPr>
                <w:p w14:paraId="469A125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169" w:type="pct"/>
                  <w:tcBorders>
                    <w:tl2br w:val="nil"/>
                    <w:tr2bl w:val="nil"/>
                  </w:tcBorders>
                  <w:shd w:val="clear" w:color="auto" w:fill="auto"/>
                  <w:noWrap w:val="0"/>
                  <w:vAlign w:val="center"/>
                </w:tcPr>
                <w:p w14:paraId="028FE82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rPr>
                  </w:pPr>
                  <w:r>
                    <w:rPr>
                      <w:rFonts w:hint="default" w:ascii="Times New Roman" w:hAnsi="Times New Roman" w:cs="Times New Roman"/>
                      <w:caps w:val="0"/>
                      <w:color w:val="auto"/>
                      <w:spacing w:val="0"/>
                      <w:position w:val="0"/>
                      <w:highlight w:val="none"/>
                      <w:lang w:val="en-US" w:eastAsia="zh-CN"/>
                    </w:rPr>
                    <w:t>车辆冲洗</w:t>
                  </w:r>
                </w:p>
              </w:tc>
              <w:tc>
                <w:tcPr>
                  <w:tcW w:w="2712" w:type="pct"/>
                  <w:tcBorders>
                    <w:tl2br w:val="nil"/>
                    <w:tr2bl w:val="nil"/>
                  </w:tcBorders>
                  <w:shd w:val="clear" w:color="auto" w:fill="auto"/>
                  <w:noWrap w:val="0"/>
                  <w:vAlign w:val="center"/>
                </w:tcPr>
                <w:p w14:paraId="7BC130EC">
                  <w:pPr>
                    <w:pStyle w:val="8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heme="minorBidi"/>
                      <w:caps w:val="0"/>
                      <w:snapToGrid w:val="0"/>
                      <w:color w:val="auto"/>
                      <w:spacing w:val="0"/>
                      <w:kern w:val="0"/>
                      <w:position w:val="0"/>
                      <w:sz w:val="21"/>
                      <w:szCs w:val="21"/>
                      <w:highlight w:val="none"/>
                      <w:lang w:val="en-US" w:eastAsia="zh-CN" w:bidi="ar-SA"/>
                    </w:rPr>
                  </w:pPr>
                  <w:r>
                    <w:rPr>
                      <w:rFonts w:hint="default" w:ascii="Times New Roman" w:hAnsi="Times New Roman" w:eastAsia="宋体" w:cs="Times New Roman"/>
                      <w:b w:val="0"/>
                      <w:bCs w:val="0"/>
                      <w:caps w:val="0"/>
                      <w:color w:val="auto"/>
                      <w:spacing w:val="0"/>
                      <w:position w:val="0"/>
                      <w:sz w:val="21"/>
                      <w:szCs w:val="21"/>
                      <w:highlight w:val="none"/>
                      <w:lang w:val="en-US" w:eastAsia="zh-CN"/>
                    </w:rPr>
                    <w:t>COD</w:t>
                  </w:r>
                  <w:r>
                    <w:rPr>
                      <w:rFonts w:hint="default" w:ascii="Times New Roman" w:hAnsi="Times New Roman" w:eastAsia="宋体" w:cs="Times New Roman"/>
                      <w:b w:val="0"/>
                      <w:bCs w:val="0"/>
                      <w:caps w:val="0"/>
                      <w:color w:val="auto"/>
                      <w:spacing w:val="0"/>
                      <w:position w:val="0"/>
                      <w:sz w:val="21"/>
                      <w:szCs w:val="21"/>
                      <w:highlight w:val="none"/>
                      <w:vertAlign w:val="subscript"/>
                      <w:lang w:val="en-US" w:eastAsia="zh-CN"/>
                    </w:rPr>
                    <w:t>Cr</w:t>
                  </w:r>
                  <w:r>
                    <w:rPr>
                      <w:rFonts w:hint="eastAsia" w:ascii="Times New Roman" w:hAnsi="Times New Roman" w:eastAsia="宋体" w:cs="Times New Roman"/>
                      <w:b w:val="0"/>
                      <w:bCs w:val="0"/>
                      <w:caps w:val="0"/>
                      <w:color w:val="auto"/>
                      <w:spacing w:val="0"/>
                      <w:position w:val="0"/>
                      <w:sz w:val="21"/>
                      <w:szCs w:val="21"/>
                      <w:highlight w:val="none"/>
                      <w:vertAlign w:val="baseline"/>
                      <w:lang w:val="en-US" w:eastAsia="zh-CN"/>
                    </w:rPr>
                    <w:t>、</w:t>
                  </w:r>
                  <w:r>
                    <w:rPr>
                      <w:rFonts w:hint="default" w:ascii="Times New Roman" w:hAnsi="Times New Roman" w:eastAsia="宋体" w:cs="Times New Roman"/>
                      <w:caps w:val="0"/>
                      <w:color w:val="auto"/>
                      <w:spacing w:val="0"/>
                      <w:kern w:val="2"/>
                      <w:position w:val="0"/>
                      <w:sz w:val="21"/>
                      <w:szCs w:val="21"/>
                      <w:highlight w:val="none"/>
                      <w:lang w:val="en-US" w:eastAsia="zh-CN" w:bidi="ar-SA"/>
                    </w:rPr>
                    <w:t>SS、石油类、总铍、总铊、氟化物</w:t>
                  </w:r>
                </w:p>
              </w:tc>
            </w:tr>
            <w:tr w14:paraId="33FD91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90" w:hRule="atLeast"/>
                <w:jc w:val="center"/>
              </w:trPr>
              <w:tc>
                <w:tcPr>
                  <w:tcW w:w="534" w:type="pct"/>
                  <w:vMerge w:val="continue"/>
                  <w:tcBorders>
                    <w:tl2br w:val="nil"/>
                    <w:tr2bl w:val="nil"/>
                  </w:tcBorders>
                  <w:shd w:val="clear" w:color="auto" w:fill="auto"/>
                  <w:noWrap w:val="0"/>
                  <w:vAlign w:val="center"/>
                </w:tcPr>
                <w:p w14:paraId="70F0E06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583" w:type="pct"/>
                  <w:vMerge w:val="continue"/>
                  <w:tcBorders>
                    <w:tl2br w:val="nil"/>
                    <w:tr2bl w:val="nil"/>
                  </w:tcBorders>
                  <w:shd w:val="clear" w:color="auto" w:fill="auto"/>
                  <w:noWrap w:val="0"/>
                  <w:vAlign w:val="center"/>
                </w:tcPr>
                <w:p w14:paraId="664767CB">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169" w:type="pct"/>
                  <w:tcBorders>
                    <w:tl2br w:val="nil"/>
                    <w:tr2bl w:val="nil"/>
                  </w:tcBorders>
                  <w:shd w:val="clear" w:color="auto" w:fill="auto"/>
                  <w:noWrap w:val="0"/>
                  <w:vAlign w:val="center"/>
                </w:tcPr>
                <w:p w14:paraId="7F7F71D7">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养护用水</w:t>
                  </w:r>
                </w:p>
              </w:tc>
              <w:tc>
                <w:tcPr>
                  <w:tcW w:w="2712" w:type="pct"/>
                  <w:tcBorders>
                    <w:tl2br w:val="nil"/>
                    <w:tr2bl w:val="nil"/>
                  </w:tcBorders>
                  <w:shd w:val="clear" w:color="auto" w:fill="auto"/>
                  <w:noWrap w:val="0"/>
                  <w:vAlign w:val="center"/>
                </w:tcPr>
                <w:p w14:paraId="539CD52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SS</w:t>
                  </w:r>
                </w:p>
              </w:tc>
            </w:tr>
            <w:tr w14:paraId="4BAC60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90" w:hRule="atLeast"/>
                <w:jc w:val="center"/>
              </w:trPr>
              <w:tc>
                <w:tcPr>
                  <w:tcW w:w="534" w:type="pct"/>
                  <w:vMerge w:val="continue"/>
                  <w:tcBorders>
                    <w:tl2br w:val="nil"/>
                    <w:tr2bl w:val="nil"/>
                  </w:tcBorders>
                  <w:shd w:val="clear" w:color="auto" w:fill="auto"/>
                  <w:noWrap w:val="0"/>
                  <w:vAlign w:val="center"/>
                </w:tcPr>
                <w:p w14:paraId="57D38BE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583" w:type="pct"/>
                  <w:vMerge w:val="continue"/>
                  <w:tcBorders>
                    <w:tl2br w:val="nil"/>
                    <w:tr2bl w:val="nil"/>
                  </w:tcBorders>
                  <w:shd w:val="clear" w:color="auto" w:fill="auto"/>
                  <w:noWrap w:val="0"/>
                  <w:vAlign w:val="center"/>
                </w:tcPr>
                <w:p w14:paraId="27C9AFE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169" w:type="pct"/>
                  <w:tcBorders>
                    <w:tl2br w:val="nil"/>
                    <w:tr2bl w:val="nil"/>
                  </w:tcBorders>
                  <w:shd w:val="clear" w:color="auto" w:fill="auto"/>
                  <w:noWrap w:val="0"/>
                  <w:vAlign w:val="center"/>
                </w:tcPr>
                <w:p w14:paraId="14F146EB">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val="en-US" w:eastAsia="zh-CN"/>
                    </w:rPr>
                    <w:t>设备清洗废水</w:t>
                  </w:r>
                </w:p>
              </w:tc>
              <w:tc>
                <w:tcPr>
                  <w:tcW w:w="2712" w:type="pct"/>
                  <w:tcBorders>
                    <w:tl2br w:val="nil"/>
                    <w:tr2bl w:val="nil"/>
                  </w:tcBorders>
                  <w:shd w:val="clear" w:color="auto" w:fill="auto"/>
                  <w:noWrap w:val="0"/>
                  <w:vAlign w:val="center"/>
                </w:tcPr>
                <w:p w14:paraId="59EF3F32">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aps w:val="0"/>
                      <w:color w:val="auto"/>
                      <w:spacing w:val="0"/>
                      <w:position w:val="0"/>
                      <w:highlight w:val="none"/>
                      <w:lang w:val="en-US" w:eastAsia="zh-CN"/>
                    </w:rPr>
                    <w:t>SS</w:t>
                  </w:r>
                </w:p>
              </w:tc>
            </w:tr>
            <w:tr w14:paraId="2BD8EF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90" w:hRule="atLeast"/>
                <w:jc w:val="center"/>
              </w:trPr>
              <w:tc>
                <w:tcPr>
                  <w:tcW w:w="534" w:type="pct"/>
                  <w:vMerge w:val="continue"/>
                  <w:tcBorders>
                    <w:tl2br w:val="nil"/>
                    <w:tr2bl w:val="nil"/>
                  </w:tcBorders>
                  <w:shd w:val="clear" w:color="auto" w:fill="auto"/>
                  <w:noWrap w:val="0"/>
                  <w:vAlign w:val="center"/>
                </w:tcPr>
                <w:p w14:paraId="5E304E0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583" w:type="pct"/>
                  <w:vMerge w:val="continue"/>
                  <w:tcBorders>
                    <w:tl2br w:val="nil"/>
                    <w:tr2bl w:val="nil"/>
                  </w:tcBorders>
                  <w:shd w:val="clear" w:color="auto" w:fill="auto"/>
                  <w:noWrap w:val="0"/>
                  <w:vAlign w:val="center"/>
                </w:tcPr>
                <w:p w14:paraId="2BF48BA7">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169" w:type="pct"/>
                  <w:tcBorders>
                    <w:tl2br w:val="nil"/>
                    <w:tr2bl w:val="nil"/>
                  </w:tcBorders>
                  <w:shd w:val="clear" w:color="auto" w:fill="auto"/>
                  <w:noWrap w:val="0"/>
                  <w:vAlign w:val="center"/>
                </w:tcPr>
                <w:p w14:paraId="7317BBD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初期雨水</w:t>
                  </w:r>
                </w:p>
              </w:tc>
              <w:tc>
                <w:tcPr>
                  <w:tcW w:w="2712" w:type="pct"/>
                  <w:tcBorders>
                    <w:tl2br w:val="nil"/>
                    <w:tr2bl w:val="nil"/>
                  </w:tcBorders>
                  <w:shd w:val="clear" w:color="auto" w:fill="auto"/>
                  <w:noWrap w:val="0"/>
                  <w:vAlign w:val="center"/>
                </w:tcPr>
                <w:p w14:paraId="067B152B">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aps w:val="0"/>
                      <w:color w:val="auto"/>
                      <w:spacing w:val="0"/>
                      <w:position w:val="0"/>
                      <w:highlight w:val="none"/>
                      <w:lang w:val="en-US" w:eastAsia="zh-CN"/>
                    </w:rPr>
                    <w:t>pH、</w:t>
                  </w:r>
                  <w:r>
                    <w:rPr>
                      <w:rFonts w:hint="default"/>
                      <w:caps w:val="0"/>
                      <w:color w:val="auto"/>
                      <w:spacing w:val="0"/>
                      <w:position w:val="0"/>
                      <w:highlight w:val="none"/>
                    </w:rPr>
                    <w:t>COD</w:t>
                  </w:r>
                  <w:r>
                    <w:rPr>
                      <w:rFonts w:hint="eastAsia" w:ascii="Times New Roman" w:eastAsia="宋体"/>
                      <w:caps w:val="0"/>
                      <w:color w:val="auto"/>
                      <w:spacing w:val="0"/>
                      <w:position w:val="0"/>
                      <w:highlight w:val="none"/>
                      <w:vertAlign w:val="subscript"/>
                      <w:lang w:val="en-US" w:eastAsia="zh-CN"/>
                    </w:rPr>
                    <w:t>C</w:t>
                  </w:r>
                  <w:r>
                    <w:rPr>
                      <w:rFonts w:hint="default"/>
                      <w:caps w:val="0"/>
                      <w:color w:val="auto"/>
                      <w:spacing w:val="0"/>
                      <w:position w:val="0"/>
                      <w:highlight w:val="none"/>
                      <w:vertAlign w:val="subscript"/>
                    </w:rPr>
                    <w:t>r</w:t>
                  </w:r>
                  <w:r>
                    <w:rPr>
                      <w:rFonts w:hint="eastAsia"/>
                      <w:caps w:val="0"/>
                      <w:color w:val="auto"/>
                      <w:spacing w:val="0"/>
                      <w:position w:val="0"/>
                      <w:highlight w:val="none"/>
                      <w:lang w:val="en-US" w:eastAsia="zh-CN"/>
                    </w:rPr>
                    <w:t>、SS、氨氮、铊、铍、</w:t>
                  </w:r>
                  <w:r>
                    <w:rPr>
                      <w:rFonts w:hint="default" w:ascii="Times New Roman" w:hAnsi="Times New Roman" w:eastAsia="宋体" w:cs="Times New Roman"/>
                      <w:caps w:val="0"/>
                      <w:color w:val="auto"/>
                      <w:spacing w:val="0"/>
                      <w:kern w:val="2"/>
                      <w:position w:val="0"/>
                      <w:sz w:val="21"/>
                      <w:szCs w:val="21"/>
                      <w:highlight w:val="none"/>
                      <w:lang w:val="en-US" w:eastAsia="zh-CN" w:bidi="ar-SA"/>
                    </w:rPr>
                    <w:t>氟化物</w:t>
                  </w:r>
                  <w:r>
                    <w:rPr>
                      <w:rFonts w:hint="eastAsia"/>
                      <w:caps w:val="0"/>
                      <w:color w:val="auto"/>
                      <w:spacing w:val="0"/>
                      <w:position w:val="0"/>
                      <w:highlight w:val="none"/>
                      <w:lang w:val="en-US" w:eastAsia="zh-CN"/>
                    </w:rPr>
                    <w:t>等</w:t>
                  </w:r>
                </w:p>
              </w:tc>
            </w:tr>
            <w:tr w14:paraId="11E890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84" w:hRule="atLeast"/>
                <w:jc w:val="center"/>
              </w:trPr>
              <w:tc>
                <w:tcPr>
                  <w:tcW w:w="534" w:type="pct"/>
                  <w:vMerge w:val="continue"/>
                  <w:tcBorders>
                    <w:tl2br w:val="nil"/>
                    <w:tr2bl w:val="nil"/>
                  </w:tcBorders>
                  <w:shd w:val="clear" w:color="auto" w:fill="auto"/>
                  <w:noWrap w:val="0"/>
                  <w:vAlign w:val="center"/>
                </w:tcPr>
                <w:p w14:paraId="2A1C62C1">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583" w:type="pct"/>
                  <w:tcBorders>
                    <w:tl2br w:val="nil"/>
                    <w:tr2bl w:val="nil"/>
                  </w:tcBorders>
                  <w:shd w:val="clear" w:color="auto" w:fill="auto"/>
                  <w:noWrap w:val="0"/>
                  <w:vAlign w:val="center"/>
                </w:tcPr>
                <w:p w14:paraId="7C7EC12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噪声</w:t>
                  </w:r>
                </w:p>
              </w:tc>
              <w:tc>
                <w:tcPr>
                  <w:tcW w:w="1169" w:type="pct"/>
                  <w:tcBorders>
                    <w:tl2br w:val="nil"/>
                    <w:tr2bl w:val="nil"/>
                  </w:tcBorders>
                  <w:shd w:val="clear" w:color="auto" w:fill="auto"/>
                  <w:noWrap w:val="0"/>
                  <w:vAlign w:val="center"/>
                </w:tcPr>
                <w:p w14:paraId="5D28D0DC">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生产设备噪声</w:t>
                  </w:r>
                </w:p>
              </w:tc>
              <w:tc>
                <w:tcPr>
                  <w:tcW w:w="2712" w:type="pct"/>
                  <w:tcBorders>
                    <w:tl2br w:val="nil"/>
                    <w:tr2bl w:val="nil"/>
                  </w:tcBorders>
                  <w:shd w:val="clear" w:color="auto" w:fill="auto"/>
                  <w:noWrap w:val="0"/>
                  <w:vAlign w:val="center"/>
                </w:tcPr>
                <w:p w14:paraId="09B5EBAD">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等效连续A声级</w:t>
                  </w:r>
                </w:p>
              </w:tc>
            </w:tr>
            <w:tr w14:paraId="21CE7B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90" w:hRule="atLeast"/>
                <w:jc w:val="center"/>
              </w:trPr>
              <w:tc>
                <w:tcPr>
                  <w:tcW w:w="534" w:type="pct"/>
                  <w:vMerge w:val="continue"/>
                  <w:tcBorders>
                    <w:tl2br w:val="nil"/>
                    <w:tr2bl w:val="nil"/>
                  </w:tcBorders>
                  <w:shd w:val="clear" w:color="auto" w:fill="auto"/>
                  <w:noWrap w:val="0"/>
                  <w:vAlign w:val="center"/>
                </w:tcPr>
                <w:p w14:paraId="0F5D9F1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583" w:type="pct"/>
                  <w:vMerge w:val="restart"/>
                  <w:tcBorders>
                    <w:tl2br w:val="nil"/>
                    <w:tr2bl w:val="nil"/>
                  </w:tcBorders>
                  <w:shd w:val="clear" w:color="auto" w:fill="auto"/>
                  <w:noWrap w:val="0"/>
                  <w:vAlign w:val="center"/>
                </w:tcPr>
                <w:p w14:paraId="68504FF3">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固废</w:t>
                  </w:r>
                </w:p>
              </w:tc>
              <w:tc>
                <w:tcPr>
                  <w:tcW w:w="1169" w:type="pct"/>
                  <w:tcBorders>
                    <w:tl2br w:val="nil"/>
                    <w:tr2bl w:val="nil"/>
                  </w:tcBorders>
                  <w:shd w:val="clear" w:color="auto" w:fill="auto"/>
                  <w:noWrap w:val="0"/>
                  <w:vAlign w:val="center"/>
                </w:tcPr>
                <w:p w14:paraId="1A9124E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生活办公</w:t>
                  </w:r>
                </w:p>
              </w:tc>
              <w:tc>
                <w:tcPr>
                  <w:tcW w:w="2712" w:type="pct"/>
                  <w:tcBorders>
                    <w:tl2br w:val="nil"/>
                    <w:tr2bl w:val="nil"/>
                  </w:tcBorders>
                  <w:shd w:val="clear" w:color="auto" w:fill="auto"/>
                  <w:noWrap w:val="0"/>
                  <w:vAlign w:val="center"/>
                </w:tcPr>
                <w:p w14:paraId="452D85D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生活垃圾</w:t>
                  </w:r>
                </w:p>
              </w:tc>
            </w:tr>
            <w:tr w14:paraId="69C31B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14" w:hRule="atLeast"/>
                <w:jc w:val="center"/>
              </w:trPr>
              <w:tc>
                <w:tcPr>
                  <w:tcW w:w="534" w:type="pct"/>
                  <w:vMerge w:val="continue"/>
                  <w:tcBorders>
                    <w:tl2br w:val="nil"/>
                    <w:tr2bl w:val="nil"/>
                  </w:tcBorders>
                  <w:shd w:val="clear" w:color="auto" w:fill="auto"/>
                  <w:noWrap w:val="0"/>
                  <w:vAlign w:val="center"/>
                </w:tcPr>
                <w:p w14:paraId="150AEAF9">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583" w:type="pct"/>
                  <w:vMerge w:val="continue"/>
                  <w:tcBorders>
                    <w:tl2br w:val="nil"/>
                    <w:tr2bl w:val="nil"/>
                  </w:tcBorders>
                  <w:shd w:val="clear" w:color="auto" w:fill="auto"/>
                  <w:noWrap w:val="0"/>
                  <w:vAlign w:val="center"/>
                </w:tcPr>
                <w:p w14:paraId="0883C49D">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169" w:type="pct"/>
                  <w:tcBorders>
                    <w:tl2br w:val="nil"/>
                    <w:tr2bl w:val="nil"/>
                  </w:tcBorders>
                  <w:shd w:val="clear" w:color="auto" w:fill="auto"/>
                  <w:noWrap w:val="0"/>
                  <w:vAlign w:val="center"/>
                </w:tcPr>
                <w:p w14:paraId="10612B1E">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生产过程</w:t>
                  </w:r>
                </w:p>
              </w:tc>
              <w:tc>
                <w:tcPr>
                  <w:tcW w:w="2712" w:type="pct"/>
                  <w:tcBorders>
                    <w:tl2br w:val="nil"/>
                    <w:tr2bl w:val="nil"/>
                  </w:tcBorders>
                  <w:shd w:val="clear" w:color="auto" w:fill="auto"/>
                  <w:noWrap w:val="0"/>
                  <w:vAlign w:val="center"/>
                </w:tcPr>
                <w:p w14:paraId="4C7138C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废包装材料、不合格品</w:t>
                  </w:r>
                </w:p>
              </w:tc>
            </w:tr>
            <w:tr w14:paraId="3C3CC9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14" w:hRule="atLeast"/>
                <w:jc w:val="center"/>
              </w:trPr>
              <w:tc>
                <w:tcPr>
                  <w:tcW w:w="534" w:type="pct"/>
                  <w:vMerge w:val="continue"/>
                  <w:tcBorders>
                    <w:tl2br w:val="nil"/>
                    <w:tr2bl w:val="nil"/>
                  </w:tcBorders>
                  <w:shd w:val="clear" w:color="auto" w:fill="auto"/>
                  <w:noWrap w:val="0"/>
                  <w:vAlign w:val="center"/>
                </w:tcPr>
                <w:p w14:paraId="228C6842">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583" w:type="pct"/>
                  <w:vMerge w:val="continue"/>
                  <w:tcBorders>
                    <w:tl2br w:val="nil"/>
                    <w:tr2bl w:val="nil"/>
                  </w:tcBorders>
                  <w:shd w:val="clear" w:color="auto" w:fill="auto"/>
                  <w:noWrap w:val="0"/>
                  <w:vAlign w:val="center"/>
                </w:tcPr>
                <w:p w14:paraId="02AB53DE">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169" w:type="pct"/>
                  <w:tcBorders>
                    <w:tl2br w:val="nil"/>
                    <w:tr2bl w:val="nil"/>
                  </w:tcBorders>
                  <w:shd w:val="clear" w:color="auto" w:fill="auto"/>
                  <w:noWrap w:val="0"/>
                  <w:vAlign w:val="center"/>
                </w:tcPr>
                <w:p w14:paraId="5986009C">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环保措施</w:t>
                  </w:r>
                </w:p>
              </w:tc>
              <w:tc>
                <w:tcPr>
                  <w:tcW w:w="2712" w:type="pct"/>
                  <w:tcBorders>
                    <w:tl2br w:val="nil"/>
                    <w:tr2bl w:val="nil"/>
                  </w:tcBorders>
                  <w:shd w:val="clear" w:color="auto" w:fill="auto"/>
                  <w:noWrap w:val="0"/>
                  <w:vAlign w:val="center"/>
                </w:tcPr>
                <w:p w14:paraId="3B9B5F25">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废布袋、收集粉尘、沉淀沉渣</w:t>
                  </w:r>
                </w:p>
              </w:tc>
            </w:tr>
            <w:tr w14:paraId="540CB1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14" w:hRule="atLeast"/>
                <w:jc w:val="center"/>
              </w:trPr>
              <w:tc>
                <w:tcPr>
                  <w:tcW w:w="534" w:type="pct"/>
                  <w:vMerge w:val="continue"/>
                  <w:tcBorders>
                    <w:tl2br w:val="nil"/>
                    <w:tr2bl w:val="nil"/>
                  </w:tcBorders>
                  <w:shd w:val="clear" w:color="auto" w:fill="auto"/>
                  <w:noWrap w:val="0"/>
                  <w:vAlign w:val="center"/>
                </w:tcPr>
                <w:p w14:paraId="1CB358A7">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583" w:type="pct"/>
                  <w:vMerge w:val="continue"/>
                  <w:tcBorders>
                    <w:tl2br w:val="nil"/>
                    <w:tr2bl w:val="nil"/>
                  </w:tcBorders>
                  <w:shd w:val="clear" w:color="auto" w:fill="auto"/>
                  <w:noWrap w:val="0"/>
                  <w:vAlign w:val="center"/>
                </w:tcPr>
                <w:p w14:paraId="2905AE6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p>
              </w:tc>
              <w:tc>
                <w:tcPr>
                  <w:tcW w:w="1169" w:type="pct"/>
                  <w:tcBorders>
                    <w:tl2br w:val="nil"/>
                    <w:tr2bl w:val="nil"/>
                  </w:tcBorders>
                  <w:shd w:val="clear" w:color="auto" w:fill="auto"/>
                  <w:noWrap w:val="0"/>
                  <w:vAlign w:val="center"/>
                </w:tcPr>
                <w:p w14:paraId="6C4D3C9F">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设备维修</w:t>
                  </w:r>
                </w:p>
              </w:tc>
              <w:tc>
                <w:tcPr>
                  <w:tcW w:w="2712" w:type="pct"/>
                  <w:tcBorders>
                    <w:tl2br w:val="nil"/>
                    <w:tr2bl w:val="nil"/>
                  </w:tcBorders>
                  <w:shd w:val="clear" w:color="auto" w:fill="auto"/>
                  <w:noWrap w:val="0"/>
                  <w:vAlign w:val="center"/>
                </w:tcPr>
                <w:p w14:paraId="49C379CC">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废润滑油</w:t>
                  </w:r>
                  <w:r>
                    <w:rPr>
                      <w:rFonts w:hint="eastAsia" w:cs="Times New Roman"/>
                      <w:caps w:val="0"/>
                      <w:color w:val="auto"/>
                      <w:spacing w:val="0"/>
                      <w:position w:val="0"/>
                      <w:highlight w:val="none"/>
                      <w:lang w:val="en-US" w:eastAsia="zh-CN"/>
                    </w:rPr>
                    <w:t>、</w:t>
                  </w:r>
                  <w:r>
                    <w:rPr>
                      <w:rFonts w:hint="default" w:ascii="Times New Roman" w:hAnsi="Times New Roman" w:cs="Times New Roman"/>
                      <w:caps w:val="0"/>
                      <w:color w:val="auto"/>
                      <w:spacing w:val="0"/>
                      <w:position w:val="0"/>
                      <w:highlight w:val="none"/>
                      <w:lang w:val="en-US" w:eastAsia="zh-CN"/>
                    </w:rPr>
                    <w:t>废润滑油桶、废含油抹布</w:t>
                  </w:r>
                </w:p>
              </w:tc>
            </w:tr>
          </w:tbl>
          <w:p w14:paraId="195CDDA6">
            <w:pPr>
              <w:pStyle w:val="10"/>
              <w:keepNext w:val="0"/>
              <w:keepLines w:val="0"/>
              <w:suppressLineNumbers w:val="0"/>
              <w:spacing w:before="0" w:beforeAutospacing="0" w:afterAutospacing="0"/>
              <w:ind w:left="0" w:leftChars="0" w:right="0" w:firstLine="0" w:firstLineChars="0"/>
              <w:rPr>
                <w:rFonts w:hint="default" w:ascii="Times New Roman" w:hAnsi="Times New Roman" w:cs="Times New Roman"/>
                <w:caps w:val="0"/>
                <w:color w:val="auto"/>
                <w:spacing w:val="0"/>
                <w:position w:val="0"/>
                <w:highlight w:val="none"/>
              </w:rPr>
            </w:pPr>
          </w:p>
        </w:tc>
      </w:tr>
      <w:tr w14:paraId="676FC8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82" w:hRule="atLeast"/>
          <w:jc w:val="center"/>
        </w:trPr>
        <w:tc>
          <w:tcPr>
            <w:tcW w:w="823" w:type="dxa"/>
            <w:noWrap w:val="0"/>
            <w:vAlign w:val="center"/>
          </w:tcPr>
          <w:p w14:paraId="39B853A6">
            <w:pPr>
              <w:pStyle w:val="75"/>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与项目有关的原有环境污染问题</w:t>
            </w:r>
          </w:p>
        </w:tc>
        <w:tc>
          <w:tcPr>
            <w:tcW w:w="8161" w:type="dxa"/>
            <w:noWrap w:val="0"/>
            <w:vAlign w:val="center"/>
          </w:tcPr>
          <w:p w14:paraId="711FE20C">
            <w:pPr>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cs="Times New Roman"/>
                <w:caps w:val="0"/>
                <w:color w:val="auto"/>
                <w:spacing w:val="0"/>
                <w:position w:val="0"/>
                <w:highlight w:val="none"/>
                <w:lang w:val="en-US" w:eastAsia="zh-CN"/>
              </w:rPr>
            </w:pPr>
            <w:r>
              <w:rPr>
                <w:rFonts w:hint="default"/>
                <w:caps w:val="0"/>
                <w:color w:val="auto"/>
                <w:spacing w:val="0"/>
                <w:position w:val="0"/>
                <w:highlight w:val="none"/>
              </w:rPr>
              <w:t>本项目为新建项目</w:t>
            </w:r>
            <w:r>
              <w:rPr>
                <w:rFonts w:hint="eastAsia"/>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项目租赁</w:t>
            </w:r>
            <w:r>
              <w:rPr>
                <w:rFonts w:hint="eastAsia" w:cs="Times New Roman"/>
                <w:caps w:val="0"/>
                <w:color w:val="auto"/>
                <w:spacing w:val="0"/>
                <w:position w:val="0"/>
                <w:highlight w:val="none"/>
                <w:lang w:val="en-US" w:eastAsia="zh-CN"/>
              </w:rPr>
              <w:t>江西新余矿业有限责任公司英岗岭分公司</w:t>
            </w:r>
            <w:r>
              <w:rPr>
                <w:rFonts w:hint="default" w:ascii="Times New Roman" w:hAnsi="Times New Roman" w:cs="Times New Roman"/>
                <w:caps w:val="0"/>
                <w:color w:val="auto"/>
                <w:spacing w:val="0"/>
                <w:position w:val="0"/>
                <w:highlight w:val="none"/>
              </w:rPr>
              <w:t>的</w:t>
            </w:r>
            <w:r>
              <w:rPr>
                <w:rFonts w:hint="eastAsia" w:cs="Times New Roman"/>
                <w:caps w:val="0"/>
                <w:color w:val="auto"/>
                <w:spacing w:val="0"/>
                <w:position w:val="0"/>
                <w:highlight w:val="none"/>
                <w:lang w:val="en-US" w:eastAsia="zh-CN"/>
              </w:rPr>
              <w:t>厂区</w:t>
            </w:r>
            <w:r>
              <w:rPr>
                <w:rFonts w:hint="default" w:ascii="Times New Roman" w:hAnsi="Times New Roman" w:cs="Times New Roman"/>
                <w:caps w:val="0"/>
                <w:color w:val="auto"/>
                <w:spacing w:val="0"/>
                <w:position w:val="0"/>
                <w:highlight w:val="none"/>
                <w:lang w:val="en-US" w:eastAsia="zh-CN"/>
              </w:rPr>
              <w:t>建设本项目，</w:t>
            </w:r>
            <w:r>
              <w:rPr>
                <w:rFonts w:hint="eastAsia" w:cs="Times New Roman"/>
                <w:caps w:val="0"/>
                <w:color w:val="auto"/>
                <w:spacing w:val="0"/>
                <w:position w:val="0"/>
                <w:highlight w:val="none"/>
                <w:lang w:val="en-US" w:eastAsia="zh-CN"/>
              </w:rPr>
              <w:t>江西新余矿业有限责任公司英岗岭分公司于2020年将厂房租赁给高安市吉致建材有限公司建设《年碎石60万吨建设项目》，高安市吉致建材有限公司于2020年11月3号由宜春市高安生态环境局</w:t>
            </w:r>
            <w:r>
              <w:rPr>
                <w:rFonts w:hint="default" w:ascii="Times New Roman" w:hAnsi="Times New Roman" w:cs="Times New Roman"/>
                <w:caps w:val="0"/>
                <w:color w:val="auto"/>
                <w:spacing w:val="0"/>
                <w:position w:val="0"/>
                <w:highlight w:val="none"/>
                <w:lang w:val="en-US" w:eastAsia="zh-CN"/>
              </w:rPr>
              <w:t>以（</w:t>
            </w:r>
            <w:r>
              <w:rPr>
                <w:rFonts w:hint="eastAsia" w:ascii="Times New Roman" w:hAnsi="Times New Roman" w:cs="Times New Roman"/>
                <w:caps w:val="0"/>
                <w:color w:val="auto"/>
                <w:spacing w:val="0"/>
                <w:position w:val="0"/>
                <w:highlight w:val="none"/>
                <w:lang w:val="en-US" w:eastAsia="zh-CN"/>
              </w:rPr>
              <w:t>高</w:t>
            </w:r>
            <w:r>
              <w:rPr>
                <w:rFonts w:hint="default" w:ascii="Times New Roman" w:hAnsi="Times New Roman" w:cs="Times New Roman"/>
                <w:caps w:val="0"/>
                <w:color w:val="auto"/>
                <w:spacing w:val="0"/>
                <w:position w:val="0"/>
                <w:highlight w:val="none"/>
                <w:lang w:val="en-US" w:eastAsia="zh-CN"/>
              </w:rPr>
              <w:t>环</w:t>
            </w:r>
            <w:r>
              <w:rPr>
                <w:rFonts w:hint="eastAsia" w:ascii="Times New Roman" w:hAnsi="Times New Roman" w:cs="Times New Roman"/>
                <w:caps w:val="0"/>
                <w:color w:val="auto"/>
                <w:spacing w:val="0"/>
                <w:position w:val="0"/>
                <w:highlight w:val="none"/>
                <w:lang w:val="en-US" w:eastAsia="zh-CN"/>
              </w:rPr>
              <w:t>评字[2020]191</w:t>
            </w:r>
            <w:r>
              <w:rPr>
                <w:rFonts w:hint="default" w:ascii="Times New Roman" w:hAnsi="Times New Roman" w:cs="Times New Roman"/>
                <w:caps w:val="0"/>
                <w:color w:val="auto"/>
                <w:spacing w:val="0"/>
                <w:position w:val="0"/>
                <w:highlight w:val="none"/>
                <w:lang w:val="en-US" w:eastAsia="zh-CN"/>
              </w:rPr>
              <w:t>号）文予以批复。20</w:t>
            </w:r>
            <w:r>
              <w:rPr>
                <w:rFonts w:hint="eastAsia" w:cs="Times New Roman"/>
                <w:caps w:val="0"/>
                <w:color w:val="auto"/>
                <w:spacing w:val="0"/>
                <w:position w:val="0"/>
                <w:highlight w:val="none"/>
                <w:lang w:val="en-US" w:eastAsia="zh-CN"/>
              </w:rPr>
              <w:t>21</w:t>
            </w:r>
            <w:r>
              <w:rPr>
                <w:rFonts w:hint="default" w:ascii="Times New Roman" w:hAnsi="Times New Roman" w:cs="Times New Roman"/>
                <w:caps w:val="0"/>
                <w:color w:val="auto"/>
                <w:spacing w:val="0"/>
                <w:position w:val="0"/>
                <w:highlight w:val="none"/>
                <w:lang w:val="en-US" w:eastAsia="zh-CN"/>
              </w:rPr>
              <w:t>年</w:t>
            </w:r>
            <w:r>
              <w:rPr>
                <w:rFonts w:hint="eastAsia" w:cs="Times New Roman"/>
                <w:caps w:val="0"/>
                <w:color w:val="auto"/>
                <w:spacing w:val="0"/>
                <w:position w:val="0"/>
                <w:highlight w:val="none"/>
                <w:lang w:val="en-US" w:eastAsia="zh-CN"/>
              </w:rPr>
              <w:t>8</w:t>
            </w:r>
            <w:r>
              <w:rPr>
                <w:rFonts w:hint="default" w:ascii="Times New Roman" w:hAnsi="Times New Roman" w:cs="Times New Roman"/>
                <w:caps w:val="0"/>
                <w:color w:val="auto"/>
                <w:spacing w:val="0"/>
                <w:position w:val="0"/>
                <w:highlight w:val="none"/>
                <w:lang w:val="en-US" w:eastAsia="zh-CN"/>
              </w:rPr>
              <w:t>月完成了《</w:t>
            </w:r>
            <w:r>
              <w:rPr>
                <w:rFonts w:hint="eastAsia" w:cs="Times New Roman"/>
                <w:caps w:val="0"/>
                <w:color w:val="auto"/>
                <w:spacing w:val="0"/>
                <w:position w:val="0"/>
                <w:highlight w:val="none"/>
                <w:lang w:val="en-US" w:eastAsia="zh-CN"/>
              </w:rPr>
              <w:t>年碎石60万吨建设项目</w:t>
            </w:r>
            <w:r>
              <w:rPr>
                <w:rFonts w:hint="default" w:ascii="Times New Roman" w:hAnsi="Times New Roman" w:cs="Times New Roman"/>
                <w:caps w:val="0"/>
                <w:color w:val="auto"/>
                <w:spacing w:val="0"/>
                <w:position w:val="0"/>
                <w:highlight w:val="none"/>
                <w:lang w:val="en-US" w:eastAsia="zh-CN"/>
              </w:rPr>
              <w:t>峻工环境保护验收监测》。</w:t>
            </w:r>
            <w:r>
              <w:rPr>
                <w:rFonts w:hint="default" w:ascii="Times New Roman" w:hAnsi="Times New Roman" w:cs="Times New Roman"/>
                <w:caps w:val="0"/>
                <w:color w:val="auto"/>
                <w:spacing w:val="0"/>
                <w:position w:val="0"/>
                <w:sz w:val="24"/>
                <w:highlight w:val="none"/>
                <w:lang w:val="en-US" w:eastAsia="zh-CN"/>
              </w:rPr>
              <w:t>由于市场行情影响，该项目厂房和设备安装完成并运营一段时间后未产生预计效益，</w:t>
            </w:r>
            <w:r>
              <w:rPr>
                <w:rFonts w:hint="default" w:ascii="Times New Roman" w:hAnsi="Times New Roman" w:cs="Times New Roman"/>
                <w:caps w:val="0"/>
                <w:color w:val="auto"/>
                <w:spacing w:val="0"/>
                <w:position w:val="0"/>
                <w:highlight w:val="none"/>
                <w:lang w:val="en-US" w:eastAsia="zh-CN"/>
              </w:rPr>
              <w:t>于202</w:t>
            </w:r>
            <w:r>
              <w:rPr>
                <w:rFonts w:hint="eastAsia" w:cs="Times New Roman"/>
                <w:caps w:val="0"/>
                <w:color w:val="auto"/>
                <w:spacing w:val="0"/>
                <w:position w:val="0"/>
                <w:highlight w:val="none"/>
                <w:lang w:val="en-US" w:eastAsia="zh-CN"/>
              </w:rPr>
              <w:t>4</w:t>
            </w:r>
            <w:r>
              <w:rPr>
                <w:rFonts w:hint="default" w:ascii="Times New Roman" w:hAnsi="Times New Roman" w:cs="Times New Roman"/>
                <w:caps w:val="0"/>
                <w:color w:val="auto"/>
                <w:spacing w:val="0"/>
                <w:position w:val="0"/>
                <w:highlight w:val="none"/>
                <w:lang w:val="en-US" w:eastAsia="zh-CN"/>
              </w:rPr>
              <w:t>年全面停产。厂房目前为闲置状态，后续不会再进行生产活动。</w:t>
            </w:r>
          </w:p>
          <w:p w14:paraId="125C38BC">
            <w:pPr>
              <w:pStyle w:val="74"/>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caps w:val="0"/>
                <w:color w:val="auto"/>
                <w:spacing w:val="0"/>
                <w:position w:val="0"/>
                <w:lang w:val="en-US" w:eastAsia="zh-CN"/>
              </w:rPr>
              <w:t>根据现场踏勘，厂房设备均已拆除，</w:t>
            </w:r>
            <w:r>
              <w:rPr>
                <w:rFonts w:hint="eastAsia"/>
                <w:caps w:val="0"/>
                <w:color w:val="auto"/>
                <w:spacing w:val="0"/>
                <w:position w:val="0"/>
                <w:lang w:val="en-US" w:eastAsia="zh-CN"/>
              </w:rPr>
              <w:t>现有厂房未拆除，本项目拆除现有厂房新建厂房，办公室与洗车平台依托现有，根据现场踏勘，</w:t>
            </w:r>
            <w:r>
              <w:rPr>
                <w:rFonts w:hint="default"/>
                <w:caps w:val="0"/>
                <w:color w:val="auto"/>
                <w:spacing w:val="0"/>
                <w:position w:val="0"/>
              </w:rPr>
              <w:t>现有工程存在以下环境问题：</w:t>
            </w:r>
          </w:p>
          <w:p w14:paraId="2478A9A1">
            <w:pPr>
              <w:pStyle w:val="74"/>
              <w:keepNext w:val="0"/>
              <w:keepLines w:val="0"/>
              <w:suppressLineNumbers w:val="0"/>
              <w:bidi w:val="0"/>
              <w:spacing w:before="0" w:beforeAutospacing="0" w:after="0" w:afterAutospacing="0"/>
              <w:ind w:left="0" w:right="0"/>
              <w:rPr>
                <w:rFonts w:hint="eastAsia" w:eastAsia="宋体"/>
                <w:caps w:val="0"/>
                <w:color w:val="auto"/>
                <w:spacing w:val="0"/>
                <w:position w:val="0"/>
                <w:lang w:eastAsia="zh-CN"/>
              </w:rPr>
            </w:pPr>
            <w:r>
              <w:rPr>
                <w:rFonts w:hint="default"/>
                <w:caps w:val="0"/>
                <w:color w:val="auto"/>
                <w:spacing w:val="0"/>
                <w:position w:val="0"/>
              </w:rPr>
              <w:t>①厂区雨污未分流</w:t>
            </w:r>
            <w:r>
              <w:rPr>
                <w:rFonts w:hint="eastAsia"/>
                <w:caps w:val="0"/>
                <w:color w:val="auto"/>
                <w:spacing w:val="0"/>
                <w:position w:val="0"/>
                <w:lang w:eastAsia="zh-CN"/>
              </w:rPr>
              <w:t>，</w:t>
            </w:r>
          </w:p>
          <w:p w14:paraId="03D873C3">
            <w:pPr>
              <w:pStyle w:val="74"/>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caps w:val="0"/>
                <w:color w:val="auto"/>
                <w:spacing w:val="0"/>
                <w:position w:val="0"/>
              </w:rPr>
              <w:t>②生活污水未及时清掏，污水漫出暂存池；</w:t>
            </w:r>
          </w:p>
          <w:p w14:paraId="2F512DBD">
            <w:pPr>
              <w:pStyle w:val="74"/>
              <w:keepNext w:val="0"/>
              <w:keepLines w:val="0"/>
              <w:suppressLineNumbers w:val="0"/>
              <w:bidi w:val="0"/>
              <w:spacing w:before="0" w:beforeAutospacing="0" w:after="0" w:afterAutospacing="0"/>
              <w:ind w:left="0" w:right="0"/>
              <w:rPr>
                <w:rFonts w:hint="eastAsia"/>
                <w:caps w:val="0"/>
                <w:color w:val="auto"/>
                <w:spacing w:val="0"/>
                <w:position w:val="0"/>
                <w:lang w:val="en-US" w:eastAsia="zh-CN"/>
              </w:rPr>
            </w:pPr>
            <w:r>
              <w:rPr>
                <w:rFonts w:hint="default"/>
                <w:caps w:val="0"/>
                <w:color w:val="auto"/>
                <w:spacing w:val="0"/>
                <w:position w:val="0"/>
              </w:rPr>
              <w:t>③车辆冲洗平台</w:t>
            </w:r>
            <w:r>
              <w:rPr>
                <w:rFonts w:hint="eastAsia"/>
                <w:caps w:val="0"/>
                <w:color w:val="auto"/>
                <w:spacing w:val="0"/>
                <w:position w:val="0"/>
                <w:lang w:val="en-US" w:eastAsia="zh-CN"/>
              </w:rPr>
              <w:t>未做防渗。</w:t>
            </w:r>
          </w:p>
          <w:p w14:paraId="346C1BF7">
            <w:pPr>
              <w:pStyle w:val="74"/>
              <w:keepNext w:val="0"/>
              <w:keepLines w:val="0"/>
              <w:suppressLineNumbers w:val="0"/>
              <w:bidi w:val="0"/>
              <w:spacing w:before="0" w:beforeAutospacing="0" w:after="0" w:afterAutospacing="0"/>
              <w:ind w:left="0" w:right="0"/>
              <w:rPr>
                <w:rFonts w:hint="eastAsia" w:eastAsia="宋体"/>
                <w:caps w:val="0"/>
                <w:color w:val="auto"/>
                <w:spacing w:val="0"/>
                <w:position w:val="0"/>
                <w:lang w:eastAsia="zh-CN"/>
              </w:rPr>
            </w:pPr>
            <w:r>
              <w:rPr>
                <w:rFonts w:hint="default"/>
                <w:caps w:val="0"/>
                <w:color w:val="auto"/>
                <w:spacing w:val="0"/>
                <w:position w:val="0"/>
              </w:rPr>
              <w:t>整改措施</w:t>
            </w:r>
            <w:r>
              <w:rPr>
                <w:rFonts w:hint="eastAsia"/>
                <w:caps w:val="0"/>
                <w:color w:val="auto"/>
                <w:spacing w:val="0"/>
                <w:position w:val="0"/>
                <w:lang w:eastAsia="zh-CN"/>
              </w:rPr>
              <w:t>：</w:t>
            </w:r>
          </w:p>
          <w:p w14:paraId="444B574D">
            <w:pPr>
              <w:pStyle w:val="74"/>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caps w:val="0"/>
                <w:color w:val="auto"/>
                <w:spacing w:val="0"/>
                <w:position w:val="0"/>
              </w:rPr>
              <w:t>①修建雨水、污水管网；</w:t>
            </w:r>
          </w:p>
          <w:p w14:paraId="3A01C408">
            <w:pPr>
              <w:pStyle w:val="74"/>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caps w:val="0"/>
                <w:color w:val="auto"/>
                <w:spacing w:val="0"/>
                <w:position w:val="0"/>
              </w:rPr>
              <w:t>②加强环保设施管理，安排人员及时清掏生活污水；</w:t>
            </w:r>
          </w:p>
          <w:p w14:paraId="59DF61F1">
            <w:pPr>
              <w:pStyle w:val="74"/>
              <w:keepNext w:val="0"/>
              <w:keepLines w:val="0"/>
              <w:suppressLineNumbers w:val="0"/>
              <w:bidi w:val="0"/>
              <w:spacing w:before="0" w:beforeAutospacing="0" w:after="0" w:afterAutospacing="0"/>
              <w:ind w:left="0" w:right="0"/>
              <w:rPr>
                <w:rFonts w:hint="default"/>
                <w:caps w:val="0"/>
                <w:color w:val="auto"/>
                <w:spacing w:val="0"/>
                <w:position w:val="0"/>
                <w:lang w:val="en-US" w:eastAsia="zh-CN"/>
              </w:rPr>
            </w:pPr>
            <w:r>
              <w:rPr>
                <w:rFonts w:hint="default"/>
                <w:caps w:val="0"/>
                <w:color w:val="auto"/>
                <w:spacing w:val="0"/>
                <w:position w:val="0"/>
              </w:rPr>
              <w:t>③车辆冲洗平台</w:t>
            </w:r>
            <w:r>
              <w:rPr>
                <w:rFonts w:hint="eastAsia"/>
                <w:caps w:val="0"/>
                <w:color w:val="auto"/>
                <w:spacing w:val="0"/>
                <w:position w:val="0"/>
                <w:lang w:val="en-US" w:eastAsia="zh-CN"/>
              </w:rPr>
              <w:t>做防渗</w:t>
            </w:r>
            <w:r>
              <w:rPr>
                <w:rFonts w:hint="eastAsia"/>
                <w:caps w:val="0"/>
                <w:color w:val="auto"/>
                <w:spacing w:val="0"/>
                <w:position w:val="0"/>
                <w:lang w:eastAsia="zh-CN"/>
              </w:rPr>
              <w:t>。</w:t>
            </w:r>
          </w:p>
          <w:p w14:paraId="0072E5C4">
            <w:pPr>
              <w:pStyle w:val="83"/>
              <w:keepNext w:val="0"/>
              <w:keepLines w:val="0"/>
              <w:suppressLineNumbers w:val="0"/>
              <w:spacing w:before="0" w:beforeAutospacing="0" w:after="0" w:afterAutospacing="0"/>
              <w:ind w:left="0" w:right="0" w:firstLine="480"/>
              <w:rPr>
                <w:rFonts w:hint="default" w:ascii="Times New Roman" w:hAnsi="Times New Roman" w:cs="Times New Roman"/>
                <w:bCs w:val="0"/>
                <w:caps w:val="0"/>
                <w:color w:val="auto"/>
                <w:spacing w:val="0"/>
                <w:position w:val="0"/>
                <w:szCs w:val="21"/>
                <w:highlight w:val="none"/>
                <w:lang w:val="en-US"/>
              </w:rPr>
            </w:pPr>
          </w:p>
        </w:tc>
      </w:tr>
    </w:tbl>
    <w:p w14:paraId="2339E8A5">
      <w:pPr>
        <w:pStyle w:val="32"/>
        <w:rPr>
          <w:caps w:val="0"/>
          <w:color w:val="auto"/>
          <w:spacing w:val="0"/>
          <w:position w:val="0"/>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4A464AA3">
      <w:pPr>
        <w:pStyle w:val="32"/>
        <w:jc w:val="center"/>
        <w:outlineLvl w:val="0"/>
        <w:rPr>
          <w:rFonts w:hint="default" w:ascii="Times New Roman" w:hAnsi="Times New Roman" w:eastAsia="黑体" w:cs="Times New Roman"/>
          <w:caps w:val="0"/>
          <w:snapToGrid w:val="0"/>
          <w:color w:val="auto"/>
          <w:spacing w:val="0"/>
          <w:position w:val="0"/>
          <w:sz w:val="30"/>
          <w:szCs w:val="30"/>
          <w:highlight w:val="none"/>
        </w:rPr>
      </w:pPr>
      <w:bookmarkStart w:id="12" w:name="_Toc25952"/>
      <w:bookmarkStart w:id="13" w:name="_Toc15281"/>
      <w:r>
        <w:rPr>
          <w:rFonts w:hint="eastAsia" w:ascii="Times New Roman" w:hAnsi="Times New Roman" w:eastAsia="黑体" w:cs="Times New Roman"/>
          <w:caps w:val="0"/>
          <w:snapToGrid w:val="0"/>
          <w:color w:val="auto"/>
          <w:spacing w:val="0"/>
          <w:position w:val="0"/>
          <w:sz w:val="30"/>
          <w:szCs w:val="30"/>
          <w:highlight w:val="none"/>
          <w:lang w:val="en-US" w:eastAsia="zh-CN"/>
        </w:rPr>
        <w:t>三</w:t>
      </w:r>
      <w:r>
        <w:rPr>
          <w:rFonts w:hint="default" w:ascii="Times New Roman" w:hAnsi="Times New Roman" w:eastAsia="黑体" w:cs="Times New Roman"/>
          <w:caps w:val="0"/>
          <w:snapToGrid w:val="0"/>
          <w:color w:val="auto"/>
          <w:spacing w:val="0"/>
          <w:position w:val="0"/>
          <w:sz w:val="30"/>
          <w:szCs w:val="30"/>
          <w:highlight w:val="none"/>
        </w:rPr>
        <w:t>、区域环境质量现状、环境保护目标及评价标准</w:t>
      </w:r>
      <w:bookmarkEnd w:id="12"/>
      <w:bookmarkEnd w:id="13"/>
    </w:p>
    <w:tbl>
      <w:tblPr>
        <w:tblStyle w:val="23"/>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8406"/>
      </w:tblGrid>
      <w:tr w14:paraId="0EF1D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727" w:type="dxa"/>
            <w:vAlign w:val="center"/>
          </w:tcPr>
          <w:p w14:paraId="23DDEF9B">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区域环境质量现状</w:t>
            </w:r>
          </w:p>
        </w:tc>
        <w:tc>
          <w:tcPr>
            <w:tcW w:w="8406" w:type="dxa"/>
          </w:tcPr>
          <w:p w14:paraId="143DCF79">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一、环境空气环境质量现状</w:t>
            </w:r>
          </w:p>
          <w:p w14:paraId="532A0D18">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本项目环境空气质量现状评价数据来源选择为：</w:t>
            </w:r>
          </w:p>
          <w:p w14:paraId="79595A70">
            <w:pPr>
              <w:pStyle w:val="75"/>
              <w:keepNext w:val="0"/>
              <w:keepLines w:val="0"/>
              <w:numPr>
                <w:ilvl w:val="0"/>
                <w:numId w:val="5"/>
              </w:numPr>
              <w:suppressLineNumbers w:val="0"/>
              <w:tabs>
                <w:tab w:val="left" w:pos="0"/>
              </w:tabs>
              <w:bidi w:val="0"/>
              <w:spacing w:before="0" w:beforeAutospacing="0" w:after="0" w:afterAutospacing="0"/>
              <w:ind w:left="0" w:leftChars="0" w:right="0" w:firstLine="420" w:firstLineChars="0"/>
              <w:rPr>
                <w:rFonts w:hint="default"/>
                <w:caps w:val="0"/>
                <w:color w:val="auto"/>
                <w:spacing w:val="0"/>
                <w:position w:val="0"/>
                <w:highlight w:val="none"/>
              </w:rPr>
            </w:pPr>
            <w:r>
              <w:rPr>
                <w:rFonts w:hint="default"/>
                <w:caps w:val="0"/>
                <w:color w:val="auto"/>
                <w:spacing w:val="0"/>
                <w:position w:val="0"/>
                <w:highlight w:val="none"/>
              </w:rPr>
              <w:t>环境空气质量现状评价数据来源</w:t>
            </w:r>
            <w:r>
              <w:rPr>
                <w:rFonts w:hint="eastAsia"/>
                <w:caps w:val="0"/>
                <w:color w:val="auto"/>
                <w:spacing w:val="0"/>
                <w:position w:val="0"/>
                <w:highlight w:val="none"/>
                <w:lang w:val="en-US" w:eastAsia="zh-CN"/>
              </w:rPr>
              <w:t>情况</w:t>
            </w:r>
            <w:r>
              <w:rPr>
                <w:rFonts w:hint="default"/>
                <w:caps w:val="0"/>
                <w:color w:val="auto"/>
                <w:spacing w:val="0"/>
                <w:position w:val="0"/>
                <w:highlight w:val="none"/>
              </w:rPr>
              <w:t>表</w:t>
            </w:r>
          </w:p>
          <w:tbl>
            <w:tblPr>
              <w:tblStyle w:val="23"/>
              <w:tblW w:w="5000" w:type="pct"/>
              <w:tblInd w:w="1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6"/>
              <w:gridCol w:w="4086"/>
              <w:gridCol w:w="3219"/>
            </w:tblGrid>
            <w:tr w14:paraId="34E25C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541" w:type="pct"/>
                  <w:tcBorders>
                    <w:tl2br w:val="nil"/>
                    <w:tr2bl w:val="nil"/>
                  </w:tcBorders>
                  <w:vAlign w:val="center"/>
                </w:tcPr>
                <w:p w14:paraId="0F4530F5">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指标</w:t>
                  </w:r>
                </w:p>
              </w:tc>
              <w:tc>
                <w:tcPr>
                  <w:tcW w:w="2494" w:type="pct"/>
                  <w:tcBorders>
                    <w:tl2br w:val="nil"/>
                    <w:tr2bl w:val="nil"/>
                  </w:tcBorders>
                  <w:vAlign w:val="center"/>
                </w:tcPr>
                <w:p w14:paraId="6C73D54F">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说明数据方式</w:t>
                  </w:r>
                </w:p>
              </w:tc>
              <w:tc>
                <w:tcPr>
                  <w:tcW w:w="1965" w:type="pct"/>
                  <w:tcBorders>
                    <w:tl2br w:val="nil"/>
                    <w:tr2bl w:val="nil"/>
                  </w:tcBorders>
                  <w:vAlign w:val="center"/>
                </w:tcPr>
                <w:p w14:paraId="32CB1B48">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说明数据来源</w:t>
                  </w:r>
                </w:p>
              </w:tc>
            </w:tr>
            <w:tr w14:paraId="6BD02B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541" w:type="pct"/>
                  <w:tcBorders>
                    <w:tl2br w:val="nil"/>
                    <w:tr2bl w:val="nil"/>
                  </w:tcBorders>
                  <w:vAlign w:val="center"/>
                </w:tcPr>
                <w:p w14:paraId="6AF2D9E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基本</w:t>
                  </w:r>
                </w:p>
                <w:p w14:paraId="019D878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污染物</w:t>
                  </w:r>
                </w:p>
              </w:tc>
              <w:tc>
                <w:tcPr>
                  <w:tcW w:w="2494" w:type="pct"/>
                  <w:tcBorders>
                    <w:tl2br w:val="nil"/>
                    <w:tr2bl w:val="nil"/>
                  </w:tcBorders>
                  <w:vAlign w:val="center"/>
                </w:tcPr>
                <w:p w14:paraId="1365D49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项目所在区域达标判定，优先采用国家或地方生态环境主管部门公开发布的评价基准年环境质量公告或环境质量报告中的数据或结论</w:t>
                  </w:r>
                </w:p>
              </w:tc>
              <w:tc>
                <w:tcPr>
                  <w:tcW w:w="1965" w:type="pct"/>
                  <w:tcBorders>
                    <w:tl2br w:val="nil"/>
                    <w:tr2bl w:val="nil"/>
                  </w:tcBorders>
                  <w:vAlign w:val="center"/>
                </w:tcPr>
                <w:p w14:paraId="449A3AD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江西省生态环境厅发布的《202</w:t>
                  </w:r>
                  <w:r>
                    <w:rPr>
                      <w:rFonts w:hint="eastAsia"/>
                      <w:caps w:val="0"/>
                      <w:color w:val="auto"/>
                      <w:spacing w:val="0"/>
                      <w:position w:val="0"/>
                      <w:highlight w:val="none"/>
                      <w:lang w:val="en-US" w:eastAsia="zh-CN"/>
                    </w:rPr>
                    <w:t>4</w:t>
                  </w:r>
                  <w:r>
                    <w:rPr>
                      <w:rFonts w:hint="eastAsia"/>
                      <w:caps w:val="0"/>
                      <w:color w:val="auto"/>
                      <w:spacing w:val="0"/>
                      <w:position w:val="0"/>
                      <w:highlight w:val="none"/>
                    </w:rPr>
                    <w:t>年江西省各县（市、区）六项污染物浓度年均值》</w:t>
                  </w:r>
                </w:p>
              </w:tc>
            </w:tr>
            <w:tr w14:paraId="459E85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541" w:type="pct"/>
                  <w:tcBorders>
                    <w:tl2br w:val="nil"/>
                    <w:tr2bl w:val="nil"/>
                  </w:tcBorders>
                  <w:vAlign w:val="center"/>
                </w:tcPr>
                <w:p w14:paraId="2C12504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其他污染物</w:t>
                  </w:r>
                </w:p>
              </w:tc>
              <w:tc>
                <w:tcPr>
                  <w:tcW w:w="2494" w:type="pct"/>
                  <w:tcBorders>
                    <w:tl2br w:val="nil"/>
                    <w:tr2bl w:val="nil"/>
                  </w:tcBorders>
                  <w:vAlign w:val="center"/>
                </w:tcPr>
                <w:p w14:paraId="559E606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排放国家、地方环境空气质量标准中有标准限值要求的特征污染物时，可引用建设项目周边5千米范围内近三年的现有监测数据</w:t>
                  </w:r>
                </w:p>
              </w:tc>
              <w:tc>
                <w:tcPr>
                  <w:tcW w:w="1965" w:type="pct"/>
                  <w:tcBorders>
                    <w:tl2br w:val="nil"/>
                    <w:tr2bl w:val="nil"/>
                  </w:tcBorders>
                  <w:vAlign w:val="center"/>
                </w:tcPr>
                <w:p w14:paraId="37E41FA3">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rPr>
                    <w:t>本项目排放国家环境空气质量标准中有标准限值要求的特征污染物为</w:t>
                  </w:r>
                  <w:r>
                    <w:rPr>
                      <w:rFonts w:hint="default"/>
                      <w:caps w:val="0"/>
                      <w:color w:val="auto"/>
                      <w:spacing w:val="0"/>
                      <w:position w:val="0"/>
                      <w:highlight w:val="none"/>
                    </w:rPr>
                    <w:t>TSP</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氟化物</w:t>
                  </w:r>
                  <w:r>
                    <w:rPr>
                      <w:rFonts w:hint="eastAsia"/>
                      <w:caps w:val="0"/>
                      <w:color w:val="auto"/>
                      <w:spacing w:val="0"/>
                      <w:position w:val="0"/>
                      <w:highlight w:val="none"/>
                    </w:rPr>
                    <w:t>，</w:t>
                  </w:r>
                  <w:r>
                    <w:rPr>
                      <w:rFonts w:hint="default"/>
                      <w:caps w:val="0"/>
                      <w:color w:val="auto"/>
                      <w:spacing w:val="0"/>
                      <w:position w:val="0"/>
                      <w:highlight w:val="none"/>
                    </w:rPr>
                    <w:t>TSP</w:t>
                  </w:r>
                  <w:r>
                    <w:rPr>
                      <w:rFonts w:hint="eastAsia"/>
                      <w:caps w:val="0"/>
                      <w:color w:val="auto"/>
                      <w:spacing w:val="0"/>
                      <w:position w:val="0"/>
                      <w:highlight w:val="none"/>
                    </w:rPr>
                    <w:t>引用《</w:t>
                  </w:r>
                  <w:r>
                    <w:rPr>
                      <w:rFonts w:hint="default"/>
                      <w:caps w:val="0"/>
                      <w:color w:val="auto"/>
                      <w:spacing w:val="0"/>
                      <w:position w:val="0"/>
                      <w:highlight w:val="none"/>
                    </w:rPr>
                    <w:t>高安市格律新材料有限公司年产10000吨液态防水材料建设项目环境影响报告表</w:t>
                  </w:r>
                  <w:r>
                    <w:rPr>
                      <w:rFonts w:hint="eastAsia"/>
                      <w:caps w:val="0"/>
                      <w:color w:val="auto"/>
                      <w:spacing w:val="0"/>
                      <w:position w:val="0"/>
                      <w:highlight w:val="none"/>
                    </w:rPr>
                    <w:t>》监测数据</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氟化物自行监测。</w:t>
                  </w:r>
                </w:p>
              </w:tc>
            </w:tr>
          </w:tbl>
          <w:p w14:paraId="6D65554A">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1、基本污染物</w:t>
            </w:r>
          </w:p>
          <w:p w14:paraId="224D1758">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根据江西省生态环境厅发布的《202</w:t>
            </w:r>
            <w:r>
              <w:rPr>
                <w:rFonts w:hint="eastAsia"/>
                <w:caps w:val="0"/>
                <w:color w:val="auto"/>
                <w:spacing w:val="0"/>
                <w:position w:val="0"/>
                <w:highlight w:val="none"/>
                <w:lang w:val="en-US" w:eastAsia="zh-CN"/>
              </w:rPr>
              <w:t>4</w:t>
            </w:r>
            <w:r>
              <w:rPr>
                <w:rFonts w:hint="default"/>
                <w:caps w:val="0"/>
                <w:color w:val="auto"/>
                <w:spacing w:val="0"/>
                <w:position w:val="0"/>
                <w:highlight w:val="none"/>
              </w:rPr>
              <w:t>年江西省各县（市、区）六项污染物浓度年均值》</w:t>
            </w:r>
            <w:r>
              <w:rPr>
                <w:rFonts w:hint="eastAsia"/>
                <w:caps w:val="0"/>
                <w:color w:val="auto"/>
                <w:spacing w:val="0"/>
                <w:position w:val="0"/>
                <w:highlight w:val="none"/>
              </w:rPr>
              <w:t>中</w:t>
            </w:r>
            <w:r>
              <w:rPr>
                <w:rFonts w:hint="eastAsia"/>
                <w:caps w:val="0"/>
                <w:color w:val="auto"/>
                <w:spacing w:val="0"/>
                <w:position w:val="0"/>
                <w:highlight w:val="none"/>
                <w:lang w:val="en-US" w:eastAsia="zh-CN"/>
              </w:rPr>
              <w:t>高安市</w:t>
            </w:r>
            <w:r>
              <w:rPr>
                <w:rFonts w:hint="eastAsia"/>
                <w:caps w:val="0"/>
                <w:color w:val="auto"/>
                <w:spacing w:val="0"/>
                <w:position w:val="0"/>
                <w:highlight w:val="none"/>
              </w:rPr>
              <w:t>的监测数据，</w:t>
            </w:r>
            <w:r>
              <w:rPr>
                <w:rFonts w:hint="eastAsia"/>
                <w:caps w:val="0"/>
                <w:color w:val="auto"/>
                <w:spacing w:val="0"/>
                <w:position w:val="0"/>
                <w:highlight w:val="none"/>
                <w:lang w:val="en-US" w:eastAsia="zh-CN"/>
              </w:rPr>
              <w:t>高安市</w:t>
            </w:r>
            <w:r>
              <w:rPr>
                <w:rFonts w:hint="eastAsia"/>
                <w:caps w:val="0"/>
                <w:color w:val="auto"/>
                <w:spacing w:val="0"/>
                <w:position w:val="0"/>
                <w:highlight w:val="none"/>
              </w:rPr>
              <w:t>空气质量现状评价表见表3-</w:t>
            </w:r>
            <w:r>
              <w:rPr>
                <w:rFonts w:hint="eastAsia"/>
                <w:caps w:val="0"/>
                <w:color w:val="auto"/>
                <w:spacing w:val="0"/>
                <w:position w:val="0"/>
                <w:highlight w:val="none"/>
                <w:lang w:val="en-US" w:eastAsia="zh-CN"/>
              </w:rPr>
              <w:t>2</w:t>
            </w:r>
            <w:r>
              <w:rPr>
                <w:rFonts w:hint="eastAsia"/>
                <w:caps w:val="0"/>
                <w:color w:val="auto"/>
                <w:spacing w:val="0"/>
                <w:position w:val="0"/>
                <w:highlight w:val="none"/>
              </w:rPr>
              <w:t>。</w:t>
            </w:r>
          </w:p>
          <w:p w14:paraId="02856244">
            <w:pPr>
              <w:pStyle w:val="75"/>
              <w:keepNext w:val="0"/>
              <w:keepLines w:val="0"/>
              <w:numPr>
                <w:ilvl w:val="0"/>
                <w:numId w:val="5"/>
              </w:numPr>
              <w:suppressLineNumbers w:val="0"/>
              <w:bidi w:val="0"/>
              <w:spacing w:before="0" w:beforeAutospacing="0" w:after="0" w:afterAutospacing="0"/>
              <w:ind w:left="0" w:leftChars="0" w:right="0" w:firstLine="420" w:firstLineChars="0"/>
              <w:rPr>
                <w:rFonts w:hint="default"/>
                <w:caps w:val="0"/>
                <w:color w:val="auto"/>
                <w:spacing w:val="0"/>
                <w:position w:val="0"/>
                <w:highlight w:val="none"/>
              </w:rPr>
            </w:pPr>
            <w:r>
              <w:rPr>
                <w:rFonts w:hint="default"/>
                <w:caps w:val="0"/>
                <w:color w:val="auto"/>
                <w:spacing w:val="0"/>
                <w:position w:val="0"/>
                <w:highlight w:val="none"/>
              </w:rPr>
              <w:t>202</w:t>
            </w:r>
            <w:r>
              <w:rPr>
                <w:rFonts w:hint="eastAsia"/>
                <w:caps w:val="0"/>
                <w:color w:val="auto"/>
                <w:spacing w:val="0"/>
                <w:position w:val="0"/>
                <w:highlight w:val="none"/>
                <w:lang w:val="en-US" w:eastAsia="zh-CN"/>
              </w:rPr>
              <w:t>4</w:t>
            </w:r>
            <w:r>
              <w:rPr>
                <w:rFonts w:hint="default"/>
                <w:caps w:val="0"/>
                <w:color w:val="auto"/>
                <w:spacing w:val="0"/>
                <w:position w:val="0"/>
                <w:highlight w:val="none"/>
              </w:rPr>
              <w:t>年</w:t>
            </w:r>
            <w:r>
              <w:rPr>
                <w:rFonts w:hint="eastAsia"/>
                <w:caps w:val="0"/>
                <w:color w:val="auto"/>
                <w:spacing w:val="0"/>
                <w:position w:val="0"/>
                <w:highlight w:val="none"/>
                <w:lang w:val="en-US" w:eastAsia="zh-CN"/>
              </w:rPr>
              <w:t>高安市</w:t>
            </w:r>
            <w:r>
              <w:rPr>
                <w:rFonts w:hint="default"/>
                <w:caps w:val="0"/>
                <w:color w:val="auto"/>
                <w:spacing w:val="0"/>
                <w:position w:val="0"/>
                <w:highlight w:val="none"/>
              </w:rPr>
              <w:t>环境空气质量状况表</w:t>
            </w:r>
            <w:r>
              <w:rPr>
                <w:rFonts w:hint="eastAsia"/>
                <w:caps w:val="0"/>
                <w:color w:val="auto"/>
                <w:spacing w:val="0"/>
                <w:position w:val="0"/>
                <w:highlight w:val="none"/>
                <w:lang w:val="en-US" w:eastAsia="zh-CN"/>
              </w:rPr>
              <w:t xml:space="preserve">   </w:t>
            </w:r>
            <w:r>
              <w:rPr>
                <w:rFonts w:hint="default"/>
                <w:caps w:val="0"/>
                <w:color w:val="auto"/>
                <w:spacing w:val="0"/>
                <w:position w:val="0"/>
                <w:highlight w:val="none"/>
              </w:rPr>
              <w:t>单位：μg/m</w:t>
            </w:r>
            <w:r>
              <w:rPr>
                <w:rFonts w:hint="default"/>
                <w:caps w:val="0"/>
                <w:color w:val="auto"/>
                <w:spacing w:val="0"/>
                <w:position w:val="0"/>
                <w:highlight w:val="none"/>
                <w:vertAlign w:val="superscript"/>
              </w:rPr>
              <w:t>3</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651"/>
              <w:gridCol w:w="1155"/>
              <w:gridCol w:w="1278"/>
              <w:gridCol w:w="1155"/>
              <w:gridCol w:w="1143"/>
            </w:tblGrid>
            <w:tr w14:paraId="424AA2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3" w:type="dxa"/>
                  <w:tcBorders>
                    <w:tl2br w:val="nil"/>
                    <w:tr2bl w:val="nil"/>
                  </w:tcBorders>
                  <w:vAlign w:val="center"/>
                </w:tcPr>
                <w:p w14:paraId="52176F44">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bookmarkStart w:id="14" w:name="_Toc130374604"/>
                  <w:bookmarkStart w:id="15" w:name="_Toc131760381"/>
                  <w:r>
                    <w:rPr>
                      <w:rFonts w:hint="default"/>
                      <w:b/>
                      <w:bCs/>
                      <w:caps w:val="0"/>
                      <w:color w:val="auto"/>
                      <w:spacing w:val="0"/>
                      <w:position w:val="0"/>
                      <w:highlight w:val="none"/>
                    </w:rPr>
                    <w:t>污染物</w:t>
                  </w:r>
                  <w:bookmarkEnd w:id="14"/>
                  <w:bookmarkEnd w:id="15"/>
                </w:p>
              </w:tc>
              <w:tc>
                <w:tcPr>
                  <w:tcW w:w="2977" w:type="dxa"/>
                  <w:tcBorders>
                    <w:tl2br w:val="nil"/>
                    <w:tr2bl w:val="nil"/>
                  </w:tcBorders>
                  <w:vAlign w:val="center"/>
                </w:tcPr>
                <w:p w14:paraId="6814761E">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bookmarkStart w:id="16" w:name="_Toc131760382"/>
                  <w:bookmarkStart w:id="17" w:name="_Toc130374605"/>
                  <w:r>
                    <w:rPr>
                      <w:rFonts w:hint="default"/>
                      <w:b/>
                      <w:bCs/>
                      <w:caps w:val="0"/>
                      <w:color w:val="auto"/>
                      <w:spacing w:val="0"/>
                      <w:position w:val="0"/>
                      <w:highlight w:val="none"/>
                    </w:rPr>
                    <w:t>年评价指标</w:t>
                  </w:r>
                  <w:bookmarkEnd w:id="16"/>
                  <w:bookmarkEnd w:id="17"/>
                </w:p>
              </w:tc>
              <w:tc>
                <w:tcPr>
                  <w:tcW w:w="1276" w:type="dxa"/>
                  <w:tcBorders>
                    <w:tl2br w:val="nil"/>
                    <w:tr2bl w:val="nil"/>
                  </w:tcBorders>
                  <w:vAlign w:val="center"/>
                </w:tcPr>
                <w:p w14:paraId="74045BC0">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bookmarkStart w:id="18" w:name="_Toc130374606"/>
                  <w:bookmarkStart w:id="19" w:name="_Toc131760383"/>
                  <w:r>
                    <w:rPr>
                      <w:rFonts w:hint="default"/>
                      <w:b/>
                      <w:bCs/>
                      <w:caps w:val="0"/>
                      <w:color w:val="auto"/>
                      <w:spacing w:val="0"/>
                      <w:position w:val="0"/>
                      <w:highlight w:val="none"/>
                    </w:rPr>
                    <w:t>现状浓度</w:t>
                  </w:r>
                  <w:bookmarkEnd w:id="18"/>
                  <w:bookmarkEnd w:id="19"/>
                </w:p>
              </w:tc>
              <w:tc>
                <w:tcPr>
                  <w:tcW w:w="1417" w:type="dxa"/>
                  <w:tcBorders>
                    <w:tl2br w:val="nil"/>
                    <w:tr2bl w:val="nil"/>
                  </w:tcBorders>
                  <w:vAlign w:val="center"/>
                </w:tcPr>
                <w:p w14:paraId="6640C271">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bookmarkStart w:id="20" w:name="_Toc131760384"/>
                  <w:bookmarkStart w:id="21" w:name="_Toc130374607"/>
                  <w:r>
                    <w:rPr>
                      <w:rFonts w:hint="default"/>
                      <w:b/>
                      <w:bCs/>
                      <w:caps w:val="0"/>
                      <w:color w:val="auto"/>
                      <w:spacing w:val="0"/>
                      <w:position w:val="0"/>
                      <w:highlight w:val="none"/>
                    </w:rPr>
                    <w:t>标准限值</w:t>
                  </w:r>
                  <w:bookmarkEnd w:id="20"/>
                  <w:bookmarkEnd w:id="21"/>
                </w:p>
              </w:tc>
              <w:tc>
                <w:tcPr>
                  <w:tcW w:w="1276" w:type="dxa"/>
                  <w:tcBorders>
                    <w:tl2br w:val="nil"/>
                    <w:tr2bl w:val="nil"/>
                  </w:tcBorders>
                  <w:vAlign w:val="center"/>
                </w:tcPr>
                <w:p w14:paraId="5D706641">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占标率/%</w:t>
                  </w:r>
                </w:p>
              </w:tc>
              <w:tc>
                <w:tcPr>
                  <w:tcW w:w="1264" w:type="dxa"/>
                  <w:tcBorders>
                    <w:tl2br w:val="nil"/>
                    <w:tr2bl w:val="nil"/>
                  </w:tcBorders>
                  <w:vAlign w:val="center"/>
                </w:tcPr>
                <w:p w14:paraId="3C0FB975">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bookmarkStart w:id="22" w:name="_Toc131760385"/>
                  <w:bookmarkStart w:id="23" w:name="_Toc130374608"/>
                  <w:r>
                    <w:rPr>
                      <w:rFonts w:hint="default"/>
                      <w:b/>
                      <w:bCs/>
                      <w:caps w:val="0"/>
                      <w:color w:val="auto"/>
                      <w:spacing w:val="0"/>
                      <w:position w:val="0"/>
                      <w:highlight w:val="none"/>
                    </w:rPr>
                    <w:t>达标情况</w:t>
                  </w:r>
                  <w:bookmarkEnd w:id="22"/>
                  <w:bookmarkEnd w:id="23"/>
                </w:p>
              </w:tc>
            </w:tr>
            <w:tr w14:paraId="684BFE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3" w:type="dxa"/>
                  <w:tcBorders>
                    <w:tl2br w:val="nil"/>
                    <w:tr2bl w:val="nil"/>
                  </w:tcBorders>
                  <w:vAlign w:val="center"/>
                </w:tcPr>
                <w:p w14:paraId="444089C2">
                  <w:pPr>
                    <w:pStyle w:val="28"/>
                    <w:keepNext w:val="0"/>
                    <w:keepLines w:val="0"/>
                    <w:suppressLineNumbers w:val="0"/>
                    <w:bidi w:val="0"/>
                    <w:spacing w:beforeAutospacing="0" w:afterAutospacing="0"/>
                    <w:ind w:left="0" w:right="0"/>
                    <w:rPr>
                      <w:rFonts w:hint="default"/>
                      <w:caps w:val="0"/>
                      <w:color w:val="auto"/>
                      <w:spacing w:val="0"/>
                      <w:position w:val="0"/>
                      <w:highlight w:val="none"/>
                    </w:rPr>
                  </w:pPr>
                  <w:bookmarkStart w:id="24" w:name="_Toc131760386"/>
                  <w:bookmarkStart w:id="25" w:name="_Toc130374609"/>
                  <w:r>
                    <w:rPr>
                      <w:rFonts w:hint="default"/>
                      <w:caps w:val="0"/>
                      <w:color w:val="auto"/>
                      <w:spacing w:val="0"/>
                      <w:position w:val="0"/>
                      <w:highlight w:val="none"/>
                    </w:rPr>
                    <w:t>SO</w:t>
                  </w:r>
                  <w:r>
                    <w:rPr>
                      <w:rFonts w:hint="default"/>
                      <w:caps w:val="0"/>
                      <w:color w:val="auto"/>
                      <w:spacing w:val="0"/>
                      <w:position w:val="0"/>
                      <w:highlight w:val="none"/>
                      <w:vertAlign w:val="subscript"/>
                    </w:rPr>
                    <w:t>2</w:t>
                  </w:r>
                  <w:bookmarkEnd w:id="24"/>
                  <w:bookmarkEnd w:id="25"/>
                </w:p>
              </w:tc>
              <w:tc>
                <w:tcPr>
                  <w:tcW w:w="2977" w:type="dxa"/>
                  <w:tcBorders>
                    <w:tl2br w:val="nil"/>
                    <w:tr2bl w:val="nil"/>
                  </w:tcBorders>
                  <w:vAlign w:val="center"/>
                </w:tcPr>
                <w:p w14:paraId="7AF1BD00">
                  <w:pPr>
                    <w:pStyle w:val="28"/>
                    <w:keepNext w:val="0"/>
                    <w:keepLines w:val="0"/>
                    <w:suppressLineNumbers w:val="0"/>
                    <w:bidi w:val="0"/>
                    <w:spacing w:beforeAutospacing="0" w:afterAutospacing="0"/>
                    <w:ind w:left="0" w:right="0"/>
                    <w:rPr>
                      <w:rFonts w:hint="default"/>
                      <w:caps w:val="0"/>
                      <w:color w:val="auto"/>
                      <w:spacing w:val="0"/>
                      <w:position w:val="0"/>
                      <w:highlight w:val="none"/>
                    </w:rPr>
                  </w:pPr>
                  <w:bookmarkStart w:id="26" w:name="_Toc130374610"/>
                  <w:bookmarkStart w:id="27" w:name="_Toc131760387"/>
                  <w:r>
                    <w:rPr>
                      <w:rFonts w:hint="default"/>
                      <w:caps w:val="0"/>
                      <w:color w:val="auto"/>
                      <w:spacing w:val="0"/>
                      <w:position w:val="0"/>
                      <w:highlight w:val="none"/>
                    </w:rPr>
                    <w:t>年平均质量浓度</w:t>
                  </w:r>
                  <w:bookmarkEnd w:id="26"/>
                  <w:bookmarkEnd w:id="27"/>
                </w:p>
              </w:tc>
              <w:tc>
                <w:tcPr>
                  <w:tcW w:w="1276" w:type="dxa"/>
                  <w:tcBorders>
                    <w:tl2br w:val="nil"/>
                    <w:tr2bl w:val="nil"/>
                  </w:tcBorders>
                  <w:vAlign w:val="center"/>
                </w:tcPr>
                <w:p w14:paraId="26ECADED">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11</w:t>
                  </w:r>
                </w:p>
              </w:tc>
              <w:tc>
                <w:tcPr>
                  <w:tcW w:w="1417" w:type="dxa"/>
                  <w:tcBorders>
                    <w:tl2br w:val="nil"/>
                    <w:tr2bl w:val="nil"/>
                  </w:tcBorders>
                  <w:vAlign w:val="center"/>
                </w:tcPr>
                <w:p w14:paraId="60D9199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60</w:t>
                  </w:r>
                </w:p>
              </w:tc>
              <w:tc>
                <w:tcPr>
                  <w:tcW w:w="1276" w:type="dxa"/>
                  <w:tcBorders>
                    <w:tl2br w:val="nil"/>
                    <w:tr2bl w:val="nil"/>
                  </w:tcBorders>
                  <w:shd w:val="clear" w:color="auto" w:fill="auto"/>
                  <w:vAlign w:val="center"/>
                </w:tcPr>
                <w:p w14:paraId="03B6998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18.33</w:t>
                  </w:r>
                </w:p>
              </w:tc>
              <w:tc>
                <w:tcPr>
                  <w:tcW w:w="1264" w:type="dxa"/>
                  <w:tcBorders>
                    <w:tl2br w:val="nil"/>
                    <w:tr2bl w:val="nil"/>
                  </w:tcBorders>
                  <w:vAlign w:val="center"/>
                </w:tcPr>
                <w:p w14:paraId="0F2DBA2D">
                  <w:pPr>
                    <w:pStyle w:val="28"/>
                    <w:keepNext w:val="0"/>
                    <w:keepLines w:val="0"/>
                    <w:suppressLineNumbers w:val="0"/>
                    <w:bidi w:val="0"/>
                    <w:spacing w:beforeAutospacing="0" w:afterAutospacing="0"/>
                    <w:ind w:left="0" w:right="0"/>
                    <w:rPr>
                      <w:rFonts w:hint="default"/>
                      <w:caps w:val="0"/>
                      <w:color w:val="auto"/>
                      <w:spacing w:val="0"/>
                      <w:position w:val="0"/>
                      <w:highlight w:val="none"/>
                    </w:rPr>
                  </w:pPr>
                  <w:bookmarkStart w:id="28" w:name="_Toc131760390"/>
                  <w:bookmarkStart w:id="29" w:name="_Toc130374613"/>
                  <w:r>
                    <w:rPr>
                      <w:rFonts w:hint="default"/>
                      <w:caps w:val="0"/>
                      <w:color w:val="auto"/>
                      <w:spacing w:val="0"/>
                      <w:position w:val="0"/>
                      <w:highlight w:val="none"/>
                    </w:rPr>
                    <w:t>达标</w:t>
                  </w:r>
                  <w:bookmarkEnd w:id="28"/>
                  <w:bookmarkEnd w:id="29"/>
                </w:p>
              </w:tc>
            </w:tr>
            <w:tr w14:paraId="5E5312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3" w:type="dxa"/>
                  <w:tcBorders>
                    <w:tl2br w:val="nil"/>
                    <w:tr2bl w:val="nil"/>
                  </w:tcBorders>
                  <w:vAlign w:val="center"/>
                </w:tcPr>
                <w:p w14:paraId="467AEFFD">
                  <w:pPr>
                    <w:pStyle w:val="28"/>
                    <w:keepNext w:val="0"/>
                    <w:keepLines w:val="0"/>
                    <w:suppressLineNumbers w:val="0"/>
                    <w:bidi w:val="0"/>
                    <w:spacing w:beforeAutospacing="0" w:afterAutospacing="0"/>
                    <w:ind w:left="0" w:right="0"/>
                    <w:rPr>
                      <w:rFonts w:hint="default"/>
                      <w:caps w:val="0"/>
                      <w:color w:val="auto"/>
                      <w:spacing w:val="0"/>
                      <w:position w:val="0"/>
                      <w:highlight w:val="none"/>
                    </w:rPr>
                  </w:pPr>
                  <w:bookmarkStart w:id="30" w:name="_Toc131760391"/>
                  <w:bookmarkStart w:id="31" w:name="_Toc130374614"/>
                  <w:r>
                    <w:rPr>
                      <w:rFonts w:hint="default"/>
                      <w:caps w:val="0"/>
                      <w:color w:val="auto"/>
                      <w:spacing w:val="0"/>
                      <w:position w:val="0"/>
                      <w:highlight w:val="none"/>
                    </w:rPr>
                    <w:t>NO</w:t>
                  </w:r>
                  <w:r>
                    <w:rPr>
                      <w:rFonts w:hint="default"/>
                      <w:caps w:val="0"/>
                      <w:color w:val="auto"/>
                      <w:spacing w:val="0"/>
                      <w:position w:val="0"/>
                      <w:highlight w:val="none"/>
                      <w:vertAlign w:val="subscript"/>
                    </w:rPr>
                    <w:t>2</w:t>
                  </w:r>
                  <w:bookmarkEnd w:id="30"/>
                  <w:bookmarkEnd w:id="31"/>
                </w:p>
              </w:tc>
              <w:tc>
                <w:tcPr>
                  <w:tcW w:w="2977" w:type="dxa"/>
                  <w:tcBorders>
                    <w:tl2br w:val="nil"/>
                    <w:tr2bl w:val="nil"/>
                  </w:tcBorders>
                  <w:vAlign w:val="center"/>
                </w:tcPr>
                <w:p w14:paraId="75559DDD">
                  <w:pPr>
                    <w:pStyle w:val="28"/>
                    <w:keepNext w:val="0"/>
                    <w:keepLines w:val="0"/>
                    <w:suppressLineNumbers w:val="0"/>
                    <w:bidi w:val="0"/>
                    <w:spacing w:beforeAutospacing="0" w:afterAutospacing="0"/>
                    <w:ind w:left="0" w:right="0"/>
                    <w:rPr>
                      <w:rFonts w:hint="default"/>
                      <w:caps w:val="0"/>
                      <w:color w:val="auto"/>
                      <w:spacing w:val="0"/>
                      <w:position w:val="0"/>
                      <w:highlight w:val="none"/>
                    </w:rPr>
                  </w:pPr>
                  <w:bookmarkStart w:id="32" w:name="_Toc131760392"/>
                  <w:bookmarkStart w:id="33" w:name="_Toc130374615"/>
                  <w:r>
                    <w:rPr>
                      <w:rFonts w:hint="default"/>
                      <w:caps w:val="0"/>
                      <w:color w:val="auto"/>
                      <w:spacing w:val="0"/>
                      <w:position w:val="0"/>
                      <w:highlight w:val="none"/>
                    </w:rPr>
                    <w:t>年平均质量浓度</w:t>
                  </w:r>
                  <w:bookmarkEnd w:id="32"/>
                  <w:bookmarkEnd w:id="33"/>
                </w:p>
              </w:tc>
              <w:tc>
                <w:tcPr>
                  <w:tcW w:w="1276" w:type="dxa"/>
                  <w:tcBorders>
                    <w:tl2br w:val="nil"/>
                    <w:tr2bl w:val="nil"/>
                  </w:tcBorders>
                  <w:vAlign w:val="center"/>
                </w:tcPr>
                <w:p w14:paraId="70962922">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20</w:t>
                  </w:r>
                </w:p>
              </w:tc>
              <w:tc>
                <w:tcPr>
                  <w:tcW w:w="1417" w:type="dxa"/>
                  <w:tcBorders>
                    <w:tl2br w:val="nil"/>
                    <w:tr2bl w:val="nil"/>
                  </w:tcBorders>
                  <w:vAlign w:val="center"/>
                </w:tcPr>
                <w:p w14:paraId="4BB4F55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40</w:t>
                  </w:r>
                </w:p>
              </w:tc>
              <w:tc>
                <w:tcPr>
                  <w:tcW w:w="1276" w:type="dxa"/>
                  <w:tcBorders>
                    <w:tl2br w:val="nil"/>
                    <w:tr2bl w:val="nil"/>
                  </w:tcBorders>
                  <w:shd w:val="clear" w:color="auto" w:fill="auto"/>
                  <w:vAlign w:val="center"/>
                </w:tcPr>
                <w:p w14:paraId="7833D08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50</w:t>
                  </w:r>
                </w:p>
              </w:tc>
              <w:tc>
                <w:tcPr>
                  <w:tcW w:w="1264" w:type="dxa"/>
                  <w:tcBorders>
                    <w:tl2br w:val="nil"/>
                    <w:tr2bl w:val="nil"/>
                  </w:tcBorders>
                  <w:vAlign w:val="center"/>
                </w:tcPr>
                <w:p w14:paraId="76D4D743">
                  <w:pPr>
                    <w:pStyle w:val="28"/>
                    <w:keepNext w:val="0"/>
                    <w:keepLines w:val="0"/>
                    <w:suppressLineNumbers w:val="0"/>
                    <w:bidi w:val="0"/>
                    <w:spacing w:beforeAutospacing="0" w:afterAutospacing="0"/>
                    <w:ind w:left="0" w:right="0"/>
                    <w:rPr>
                      <w:rFonts w:hint="default"/>
                      <w:caps w:val="0"/>
                      <w:color w:val="auto"/>
                      <w:spacing w:val="0"/>
                      <w:position w:val="0"/>
                      <w:highlight w:val="none"/>
                    </w:rPr>
                  </w:pPr>
                  <w:bookmarkStart w:id="34" w:name="_Toc130374618"/>
                  <w:bookmarkStart w:id="35" w:name="_Toc131760395"/>
                  <w:r>
                    <w:rPr>
                      <w:rFonts w:hint="default"/>
                      <w:caps w:val="0"/>
                      <w:color w:val="auto"/>
                      <w:spacing w:val="0"/>
                      <w:position w:val="0"/>
                      <w:highlight w:val="none"/>
                    </w:rPr>
                    <w:t>达标</w:t>
                  </w:r>
                  <w:bookmarkEnd w:id="34"/>
                  <w:bookmarkEnd w:id="35"/>
                </w:p>
              </w:tc>
            </w:tr>
            <w:tr w14:paraId="0BBD62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883" w:type="dxa"/>
                  <w:tcBorders>
                    <w:tl2br w:val="nil"/>
                    <w:tr2bl w:val="nil"/>
                  </w:tcBorders>
                  <w:vAlign w:val="center"/>
                </w:tcPr>
                <w:p w14:paraId="340B3751">
                  <w:pPr>
                    <w:pStyle w:val="28"/>
                    <w:keepNext w:val="0"/>
                    <w:keepLines w:val="0"/>
                    <w:suppressLineNumbers w:val="0"/>
                    <w:bidi w:val="0"/>
                    <w:spacing w:beforeAutospacing="0" w:afterAutospacing="0"/>
                    <w:ind w:left="0" w:right="0"/>
                    <w:rPr>
                      <w:rFonts w:hint="default"/>
                      <w:caps w:val="0"/>
                      <w:color w:val="auto"/>
                      <w:spacing w:val="0"/>
                      <w:position w:val="0"/>
                      <w:highlight w:val="none"/>
                    </w:rPr>
                  </w:pPr>
                  <w:bookmarkStart w:id="36" w:name="_Toc130374619"/>
                  <w:bookmarkStart w:id="37" w:name="_Toc131760396"/>
                  <w:r>
                    <w:rPr>
                      <w:rFonts w:hint="default"/>
                      <w:caps w:val="0"/>
                      <w:color w:val="auto"/>
                      <w:spacing w:val="0"/>
                      <w:position w:val="0"/>
                      <w:highlight w:val="none"/>
                    </w:rPr>
                    <w:t>PM</w:t>
                  </w:r>
                  <w:r>
                    <w:rPr>
                      <w:rFonts w:hint="default"/>
                      <w:caps w:val="0"/>
                      <w:color w:val="auto"/>
                      <w:spacing w:val="0"/>
                      <w:position w:val="0"/>
                      <w:highlight w:val="none"/>
                      <w:vertAlign w:val="subscript"/>
                    </w:rPr>
                    <w:t>10</w:t>
                  </w:r>
                  <w:bookmarkEnd w:id="36"/>
                  <w:bookmarkEnd w:id="37"/>
                </w:p>
              </w:tc>
              <w:tc>
                <w:tcPr>
                  <w:tcW w:w="2977" w:type="dxa"/>
                  <w:tcBorders>
                    <w:tl2br w:val="nil"/>
                    <w:tr2bl w:val="nil"/>
                  </w:tcBorders>
                  <w:vAlign w:val="center"/>
                </w:tcPr>
                <w:p w14:paraId="2D55F100">
                  <w:pPr>
                    <w:pStyle w:val="28"/>
                    <w:keepNext w:val="0"/>
                    <w:keepLines w:val="0"/>
                    <w:suppressLineNumbers w:val="0"/>
                    <w:bidi w:val="0"/>
                    <w:spacing w:beforeAutospacing="0" w:afterAutospacing="0"/>
                    <w:ind w:left="0" w:right="0"/>
                    <w:rPr>
                      <w:rFonts w:hint="default"/>
                      <w:caps w:val="0"/>
                      <w:color w:val="auto"/>
                      <w:spacing w:val="0"/>
                      <w:position w:val="0"/>
                      <w:highlight w:val="none"/>
                    </w:rPr>
                  </w:pPr>
                  <w:bookmarkStart w:id="38" w:name="_Toc130374620"/>
                  <w:bookmarkStart w:id="39" w:name="_Toc131760397"/>
                  <w:r>
                    <w:rPr>
                      <w:rFonts w:hint="default"/>
                      <w:caps w:val="0"/>
                      <w:color w:val="auto"/>
                      <w:spacing w:val="0"/>
                      <w:position w:val="0"/>
                      <w:highlight w:val="none"/>
                    </w:rPr>
                    <w:t>年平均质量浓度</w:t>
                  </w:r>
                  <w:bookmarkEnd w:id="38"/>
                  <w:bookmarkEnd w:id="39"/>
                </w:p>
              </w:tc>
              <w:tc>
                <w:tcPr>
                  <w:tcW w:w="1276" w:type="dxa"/>
                  <w:tcBorders>
                    <w:tl2br w:val="nil"/>
                    <w:tr2bl w:val="nil"/>
                  </w:tcBorders>
                  <w:vAlign w:val="center"/>
                </w:tcPr>
                <w:p w14:paraId="550B46EB">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38</w:t>
                  </w:r>
                </w:p>
              </w:tc>
              <w:tc>
                <w:tcPr>
                  <w:tcW w:w="1417" w:type="dxa"/>
                  <w:tcBorders>
                    <w:tl2br w:val="nil"/>
                    <w:tr2bl w:val="nil"/>
                  </w:tcBorders>
                  <w:vAlign w:val="center"/>
                </w:tcPr>
                <w:p w14:paraId="2CAC8ED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70</w:t>
                  </w:r>
                </w:p>
              </w:tc>
              <w:tc>
                <w:tcPr>
                  <w:tcW w:w="1276" w:type="dxa"/>
                  <w:tcBorders>
                    <w:tl2br w:val="nil"/>
                    <w:tr2bl w:val="nil"/>
                  </w:tcBorders>
                  <w:shd w:val="clear" w:color="auto" w:fill="auto"/>
                  <w:vAlign w:val="center"/>
                </w:tcPr>
                <w:p w14:paraId="72F1D14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54.28</w:t>
                  </w:r>
                </w:p>
              </w:tc>
              <w:tc>
                <w:tcPr>
                  <w:tcW w:w="1264" w:type="dxa"/>
                  <w:tcBorders>
                    <w:tl2br w:val="nil"/>
                    <w:tr2bl w:val="nil"/>
                  </w:tcBorders>
                  <w:vAlign w:val="center"/>
                </w:tcPr>
                <w:p w14:paraId="41F5BF6C">
                  <w:pPr>
                    <w:pStyle w:val="28"/>
                    <w:keepNext w:val="0"/>
                    <w:keepLines w:val="0"/>
                    <w:suppressLineNumbers w:val="0"/>
                    <w:bidi w:val="0"/>
                    <w:spacing w:beforeAutospacing="0" w:afterAutospacing="0"/>
                    <w:ind w:left="0" w:right="0"/>
                    <w:rPr>
                      <w:rFonts w:hint="default"/>
                      <w:caps w:val="0"/>
                      <w:color w:val="auto"/>
                      <w:spacing w:val="0"/>
                      <w:position w:val="0"/>
                      <w:highlight w:val="none"/>
                    </w:rPr>
                  </w:pPr>
                  <w:bookmarkStart w:id="40" w:name="_Toc130374623"/>
                  <w:bookmarkStart w:id="41" w:name="_Toc131760400"/>
                  <w:r>
                    <w:rPr>
                      <w:rFonts w:hint="default"/>
                      <w:caps w:val="0"/>
                      <w:color w:val="auto"/>
                      <w:spacing w:val="0"/>
                      <w:position w:val="0"/>
                      <w:highlight w:val="none"/>
                    </w:rPr>
                    <w:t>达标</w:t>
                  </w:r>
                  <w:bookmarkEnd w:id="40"/>
                  <w:bookmarkEnd w:id="41"/>
                </w:p>
              </w:tc>
            </w:tr>
            <w:tr w14:paraId="2BDF95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3" w:type="dxa"/>
                  <w:tcBorders>
                    <w:tl2br w:val="nil"/>
                    <w:tr2bl w:val="nil"/>
                  </w:tcBorders>
                  <w:vAlign w:val="center"/>
                </w:tcPr>
                <w:p w14:paraId="7B6C77A4">
                  <w:pPr>
                    <w:pStyle w:val="28"/>
                    <w:keepNext w:val="0"/>
                    <w:keepLines w:val="0"/>
                    <w:suppressLineNumbers w:val="0"/>
                    <w:bidi w:val="0"/>
                    <w:spacing w:beforeAutospacing="0" w:afterAutospacing="0"/>
                    <w:ind w:left="0" w:right="0"/>
                    <w:rPr>
                      <w:rFonts w:hint="default"/>
                      <w:caps w:val="0"/>
                      <w:color w:val="auto"/>
                      <w:spacing w:val="0"/>
                      <w:position w:val="0"/>
                      <w:highlight w:val="none"/>
                    </w:rPr>
                  </w:pPr>
                  <w:bookmarkStart w:id="42" w:name="_Toc131760401"/>
                  <w:bookmarkStart w:id="43" w:name="_Toc130374624"/>
                  <w:r>
                    <w:rPr>
                      <w:rFonts w:hint="default"/>
                      <w:caps w:val="0"/>
                      <w:color w:val="auto"/>
                      <w:spacing w:val="0"/>
                      <w:position w:val="0"/>
                      <w:highlight w:val="none"/>
                    </w:rPr>
                    <w:t>PM</w:t>
                  </w:r>
                  <w:r>
                    <w:rPr>
                      <w:rFonts w:hint="default"/>
                      <w:caps w:val="0"/>
                      <w:color w:val="auto"/>
                      <w:spacing w:val="0"/>
                      <w:position w:val="0"/>
                      <w:highlight w:val="none"/>
                      <w:vertAlign w:val="subscript"/>
                    </w:rPr>
                    <w:t>2.5</w:t>
                  </w:r>
                  <w:bookmarkEnd w:id="42"/>
                  <w:bookmarkEnd w:id="43"/>
                </w:p>
              </w:tc>
              <w:tc>
                <w:tcPr>
                  <w:tcW w:w="2977" w:type="dxa"/>
                  <w:tcBorders>
                    <w:tl2br w:val="nil"/>
                    <w:tr2bl w:val="nil"/>
                  </w:tcBorders>
                  <w:vAlign w:val="center"/>
                </w:tcPr>
                <w:p w14:paraId="0B36D53A">
                  <w:pPr>
                    <w:pStyle w:val="28"/>
                    <w:keepNext w:val="0"/>
                    <w:keepLines w:val="0"/>
                    <w:suppressLineNumbers w:val="0"/>
                    <w:bidi w:val="0"/>
                    <w:spacing w:beforeAutospacing="0" w:afterAutospacing="0"/>
                    <w:ind w:left="0" w:right="0"/>
                    <w:rPr>
                      <w:rFonts w:hint="default"/>
                      <w:caps w:val="0"/>
                      <w:color w:val="auto"/>
                      <w:spacing w:val="0"/>
                      <w:position w:val="0"/>
                      <w:highlight w:val="none"/>
                    </w:rPr>
                  </w:pPr>
                  <w:bookmarkStart w:id="44" w:name="_Toc131760402"/>
                  <w:bookmarkStart w:id="45" w:name="_Toc130374625"/>
                  <w:r>
                    <w:rPr>
                      <w:rFonts w:hint="default"/>
                      <w:caps w:val="0"/>
                      <w:color w:val="auto"/>
                      <w:spacing w:val="0"/>
                      <w:position w:val="0"/>
                      <w:highlight w:val="none"/>
                    </w:rPr>
                    <w:t>年平均质量浓度</w:t>
                  </w:r>
                  <w:bookmarkEnd w:id="44"/>
                  <w:bookmarkEnd w:id="45"/>
                </w:p>
              </w:tc>
              <w:tc>
                <w:tcPr>
                  <w:tcW w:w="1276" w:type="dxa"/>
                  <w:tcBorders>
                    <w:tl2br w:val="nil"/>
                    <w:tr2bl w:val="nil"/>
                  </w:tcBorders>
                  <w:vAlign w:val="center"/>
                </w:tcPr>
                <w:p w14:paraId="519ED548">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23.4</w:t>
                  </w:r>
                </w:p>
              </w:tc>
              <w:tc>
                <w:tcPr>
                  <w:tcW w:w="1417" w:type="dxa"/>
                  <w:tcBorders>
                    <w:tl2br w:val="nil"/>
                    <w:tr2bl w:val="nil"/>
                  </w:tcBorders>
                  <w:vAlign w:val="center"/>
                </w:tcPr>
                <w:p w14:paraId="5569025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35</w:t>
                  </w:r>
                </w:p>
              </w:tc>
              <w:tc>
                <w:tcPr>
                  <w:tcW w:w="1276" w:type="dxa"/>
                  <w:tcBorders>
                    <w:tl2br w:val="nil"/>
                    <w:tr2bl w:val="nil"/>
                  </w:tcBorders>
                  <w:shd w:val="clear" w:color="auto" w:fill="auto"/>
                  <w:vAlign w:val="center"/>
                </w:tcPr>
                <w:p w14:paraId="388CE0D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66.8</w:t>
                  </w:r>
                  <w:r>
                    <w:rPr>
                      <w:rFonts w:hint="eastAsia"/>
                      <w:caps w:val="0"/>
                      <w:color w:val="auto"/>
                      <w:spacing w:val="0"/>
                      <w:position w:val="0"/>
                      <w:highlight w:val="none"/>
                      <w:lang w:val="en-US" w:eastAsia="zh-CN"/>
                    </w:rPr>
                    <w:t>6</w:t>
                  </w:r>
                </w:p>
              </w:tc>
              <w:tc>
                <w:tcPr>
                  <w:tcW w:w="1264" w:type="dxa"/>
                  <w:tcBorders>
                    <w:tl2br w:val="nil"/>
                    <w:tr2bl w:val="nil"/>
                  </w:tcBorders>
                  <w:vAlign w:val="center"/>
                </w:tcPr>
                <w:p w14:paraId="0F9A41EB">
                  <w:pPr>
                    <w:pStyle w:val="28"/>
                    <w:keepNext w:val="0"/>
                    <w:keepLines w:val="0"/>
                    <w:suppressLineNumbers w:val="0"/>
                    <w:bidi w:val="0"/>
                    <w:spacing w:beforeAutospacing="0" w:afterAutospacing="0"/>
                    <w:ind w:left="0" w:right="0"/>
                    <w:rPr>
                      <w:rFonts w:hint="default"/>
                      <w:caps w:val="0"/>
                      <w:color w:val="auto"/>
                      <w:spacing w:val="0"/>
                      <w:position w:val="0"/>
                      <w:highlight w:val="none"/>
                    </w:rPr>
                  </w:pPr>
                  <w:bookmarkStart w:id="46" w:name="_Toc130374628"/>
                  <w:bookmarkStart w:id="47" w:name="_Toc131760405"/>
                  <w:r>
                    <w:rPr>
                      <w:rFonts w:hint="default"/>
                      <w:caps w:val="0"/>
                      <w:color w:val="auto"/>
                      <w:spacing w:val="0"/>
                      <w:position w:val="0"/>
                      <w:highlight w:val="none"/>
                    </w:rPr>
                    <w:t>达标</w:t>
                  </w:r>
                  <w:bookmarkEnd w:id="46"/>
                  <w:bookmarkEnd w:id="47"/>
                </w:p>
              </w:tc>
            </w:tr>
            <w:tr w14:paraId="78D739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3" w:type="dxa"/>
                  <w:tcBorders>
                    <w:tl2br w:val="nil"/>
                    <w:tr2bl w:val="nil"/>
                  </w:tcBorders>
                  <w:vAlign w:val="center"/>
                </w:tcPr>
                <w:p w14:paraId="3B7689F8">
                  <w:pPr>
                    <w:pStyle w:val="28"/>
                    <w:keepNext w:val="0"/>
                    <w:keepLines w:val="0"/>
                    <w:suppressLineNumbers w:val="0"/>
                    <w:bidi w:val="0"/>
                    <w:spacing w:beforeAutospacing="0" w:afterAutospacing="0"/>
                    <w:ind w:left="0" w:right="0"/>
                    <w:rPr>
                      <w:rFonts w:hint="default"/>
                      <w:caps w:val="0"/>
                      <w:color w:val="auto"/>
                      <w:spacing w:val="0"/>
                      <w:position w:val="0"/>
                      <w:highlight w:val="none"/>
                    </w:rPr>
                  </w:pPr>
                  <w:bookmarkStart w:id="48" w:name="_Toc130374629"/>
                  <w:bookmarkStart w:id="49" w:name="_Toc131760406"/>
                  <w:r>
                    <w:rPr>
                      <w:rFonts w:hint="default"/>
                      <w:caps w:val="0"/>
                      <w:color w:val="auto"/>
                      <w:spacing w:val="0"/>
                      <w:position w:val="0"/>
                      <w:highlight w:val="none"/>
                    </w:rPr>
                    <w:t>CO</w:t>
                  </w:r>
                  <w:bookmarkEnd w:id="48"/>
                  <w:bookmarkEnd w:id="49"/>
                </w:p>
              </w:tc>
              <w:tc>
                <w:tcPr>
                  <w:tcW w:w="2977" w:type="dxa"/>
                  <w:tcBorders>
                    <w:tl2br w:val="nil"/>
                    <w:tr2bl w:val="nil"/>
                  </w:tcBorders>
                  <w:vAlign w:val="center"/>
                </w:tcPr>
                <w:p w14:paraId="4D97B35A">
                  <w:pPr>
                    <w:pStyle w:val="28"/>
                    <w:keepNext w:val="0"/>
                    <w:keepLines w:val="0"/>
                    <w:suppressLineNumbers w:val="0"/>
                    <w:bidi w:val="0"/>
                    <w:spacing w:beforeAutospacing="0" w:afterAutospacing="0"/>
                    <w:ind w:left="0" w:right="0"/>
                    <w:rPr>
                      <w:rFonts w:hint="default"/>
                      <w:caps w:val="0"/>
                      <w:color w:val="auto"/>
                      <w:spacing w:val="0"/>
                      <w:position w:val="0"/>
                      <w:highlight w:val="none"/>
                    </w:rPr>
                  </w:pPr>
                  <w:bookmarkStart w:id="50" w:name="_Toc130374630"/>
                  <w:bookmarkStart w:id="51" w:name="_Toc131760407"/>
                  <w:r>
                    <w:rPr>
                      <w:rFonts w:hint="default"/>
                      <w:caps w:val="0"/>
                      <w:color w:val="auto"/>
                      <w:spacing w:val="0"/>
                      <w:position w:val="0"/>
                      <w:highlight w:val="none"/>
                    </w:rPr>
                    <w:t>24小时平均第95百分位数</w:t>
                  </w:r>
                  <w:bookmarkEnd w:id="50"/>
                  <w:bookmarkEnd w:id="51"/>
                </w:p>
              </w:tc>
              <w:tc>
                <w:tcPr>
                  <w:tcW w:w="1276" w:type="dxa"/>
                  <w:tcBorders>
                    <w:tl2br w:val="nil"/>
                    <w:tr2bl w:val="nil"/>
                  </w:tcBorders>
                  <w:vAlign w:val="center"/>
                </w:tcPr>
                <w:p w14:paraId="4FC86FB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0.9</w:t>
                  </w:r>
                  <w:r>
                    <w:rPr>
                      <w:rFonts w:hint="default"/>
                      <w:caps w:val="0"/>
                      <w:color w:val="auto"/>
                      <w:spacing w:val="0"/>
                      <w:position w:val="0"/>
                      <w:highlight w:val="none"/>
                    </w:rPr>
                    <w:t>mg/m</w:t>
                  </w:r>
                  <w:r>
                    <w:rPr>
                      <w:rFonts w:hint="default"/>
                      <w:caps w:val="0"/>
                      <w:color w:val="auto"/>
                      <w:spacing w:val="0"/>
                      <w:position w:val="0"/>
                      <w:highlight w:val="none"/>
                      <w:vertAlign w:val="superscript"/>
                    </w:rPr>
                    <w:t>3</w:t>
                  </w:r>
                </w:p>
              </w:tc>
              <w:tc>
                <w:tcPr>
                  <w:tcW w:w="1417" w:type="dxa"/>
                  <w:tcBorders>
                    <w:tl2br w:val="nil"/>
                    <w:tr2bl w:val="nil"/>
                  </w:tcBorders>
                  <w:vAlign w:val="center"/>
                </w:tcPr>
                <w:p w14:paraId="5773A30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4mg/m</w:t>
                  </w:r>
                  <w:r>
                    <w:rPr>
                      <w:rFonts w:hint="default"/>
                      <w:caps w:val="0"/>
                      <w:color w:val="auto"/>
                      <w:spacing w:val="0"/>
                      <w:position w:val="0"/>
                      <w:highlight w:val="none"/>
                      <w:vertAlign w:val="superscript"/>
                    </w:rPr>
                    <w:t>3</w:t>
                  </w:r>
                </w:p>
              </w:tc>
              <w:tc>
                <w:tcPr>
                  <w:tcW w:w="1276" w:type="dxa"/>
                  <w:tcBorders>
                    <w:tl2br w:val="nil"/>
                    <w:tr2bl w:val="nil"/>
                  </w:tcBorders>
                  <w:shd w:val="clear" w:color="auto" w:fill="auto"/>
                  <w:vAlign w:val="center"/>
                </w:tcPr>
                <w:p w14:paraId="0A41A5E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22.5</w:t>
                  </w:r>
                </w:p>
              </w:tc>
              <w:tc>
                <w:tcPr>
                  <w:tcW w:w="1264" w:type="dxa"/>
                  <w:tcBorders>
                    <w:tl2br w:val="nil"/>
                    <w:tr2bl w:val="nil"/>
                  </w:tcBorders>
                  <w:vAlign w:val="center"/>
                </w:tcPr>
                <w:p w14:paraId="1385388D">
                  <w:pPr>
                    <w:pStyle w:val="28"/>
                    <w:keepNext w:val="0"/>
                    <w:keepLines w:val="0"/>
                    <w:suppressLineNumbers w:val="0"/>
                    <w:bidi w:val="0"/>
                    <w:spacing w:beforeAutospacing="0" w:afterAutospacing="0"/>
                    <w:ind w:left="0" w:right="0"/>
                    <w:rPr>
                      <w:rFonts w:hint="default"/>
                      <w:caps w:val="0"/>
                      <w:color w:val="auto"/>
                      <w:spacing w:val="0"/>
                      <w:position w:val="0"/>
                      <w:highlight w:val="none"/>
                    </w:rPr>
                  </w:pPr>
                  <w:bookmarkStart w:id="52" w:name="_Toc130374633"/>
                  <w:bookmarkStart w:id="53" w:name="_Toc131760410"/>
                  <w:r>
                    <w:rPr>
                      <w:rFonts w:hint="default"/>
                      <w:caps w:val="0"/>
                      <w:color w:val="auto"/>
                      <w:spacing w:val="0"/>
                      <w:position w:val="0"/>
                      <w:highlight w:val="none"/>
                    </w:rPr>
                    <w:t>达标</w:t>
                  </w:r>
                  <w:bookmarkEnd w:id="52"/>
                  <w:bookmarkEnd w:id="53"/>
                </w:p>
              </w:tc>
            </w:tr>
            <w:tr w14:paraId="7522FD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3" w:type="dxa"/>
                  <w:tcBorders>
                    <w:tl2br w:val="nil"/>
                    <w:tr2bl w:val="nil"/>
                  </w:tcBorders>
                  <w:vAlign w:val="center"/>
                </w:tcPr>
                <w:p w14:paraId="73BAAB19">
                  <w:pPr>
                    <w:pStyle w:val="28"/>
                    <w:keepNext w:val="0"/>
                    <w:keepLines w:val="0"/>
                    <w:suppressLineNumbers w:val="0"/>
                    <w:bidi w:val="0"/>
                    <w:spacing w:beforeAutospacing="0" w:afterAutospacing="0"/>
                    <w:ind w:left="0" w:right="0"/>
                    <w:rPr>
                      <w:rFonts w:hint="default"/>
                      <w:caps w:val="0"/>
                      <w:color w:val="auto"/>
                      <w:spacing w:val="0"/>
                      <w:position w:val="0"/>
                      <w:highlight w:val="none"/>
                    </w:rPr>
                  </w:pPr>
                  <w:bookmarkStart w:id="54" w:name="_Toc131760411"/>
                  <w:bookmarkStart w:id="55" w:name="_Toc130374634"/>
                  <w:r>
                    <w:rPr>
                      <w:rFonts w:hint="default"/>
                      <w:caps w:val="0"/>
                      <w:color w:val="auto"/>
                      <w:spacing w:val="0"/>
                      <w:position w:val="0"/>
                      <w:highlight w:val="none"/>
                    </w:rPr>
                    <w:t>O</w:t>
                  </w:r>
                  <w:r>
                    <w:rPr>
                      <w:rFonts w:hint="default"/>
                      <w:caps w:val="0"/>
                      <w:color w:val="auto"/>
                      <w:spacing w:val="0"/>
                      <w:position w:val="0"/>
                      <w:highlight w:val="none"/>
                      <w:vertAlign w:val="subscript"/>
                    </w:rPr>
                    <w:t>3</w:t>
                  </w:r>
                  <w:bookmarkEnd w:id="54"/>
                  <w:bookmarkEnd w:id="55"/>
                </w:p>
              </w:tc>
              <w:tc>
                <w:tcPr>
                  <w:tcW w:w="2977" w:type="dxa"/>
                  <w:tcBorders>
                    <w:tl2br w:val="nil"/>
                    <w:tr2bl w:val="nil"/>
                  </w:tcBorders>
                  <w:vAlign w:val="center"/>
                </w:tcPr>
                <w:p w14:paraId="5B42E03B">
                  <w:pPr>
                    <w:pStyle w:val="28"/>
                    <w:keepNext w:val="0"/>
                    <w:keepLines w:val="0"/>
                    <w:suppressLineNumbers w:val="0"/>
                    <w:bidi w:val="0"/>
                    <w:spacing w:beforeAutospacing="0" w:afterAutospacing="0"/>
                    <w:ind w:left="0" w:right="0"/>
                    <w:rPr>
                      <w:rFonts w:hint="default"/>
                      <w:caps w:val="0"/>
                      <w:color w:val="auto"/>
                      <w:spacing w:val="0"/>
                      <w:position w:val="0"/>
                      <w:highlight w:val="none"/>
                    </w:rPr>
                  </w:pPr>
                  <w:bookmarkStart w:id="56" w:name="_Toc130374635"/>
                  <w:bookmarkStart w:id="57" w:name="_Toc131760412"/>
                  <w:r>
                    <w:rPr>
                      <w:rFonts w:hint="default"/>
                      <w:caps w:val="0"/>
                      <w:color w:val="auto"/>
                      <w:spacing w:val="0"/>
                      <w:position w:val="0"/>
                      <w:highlight w:val="none"/>
                    </w:rPr>
                    <w:t>最大8小时滑动平均值的第90百分位数</w:t>
                  </w:r>
                  <w:bookmarkEnd w:id="56"/>
                  <w:bookmarkEnd w:id="57"/>
                </w:p>
              </w:tc>
              <w:tc>
                <w:tcPr>
                  <w:tcW w:w="1276" w:type="dxa"/>
                  <w:tcBorders>
                    <w:tl2br w:val="nil"/>
                    <w:tr2bl w:val="nil"/>
                  </w:tcBorders>
                  <w:vAlign w:val="center"/>
                </w:tcPr>
                <w:p w14:paraId="2FA124E8">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134</w:t>
                  </w:r>
                </w:p>
              </w:tc>
              <w:tc>
                <w:tcPr>
                  <w:tcW w:w="1417" w:type="dxa"/>
                  <w:tcBorders>
                    <w:tl2br w:val="nil"/>
                    <w:tr2bl w:val="nil"/>
                  </w:tcBorders>
                  <w:vAlign w:val="center"/>
                </w:tcPr>
                <w:p w14:paraId="54119A3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160</w:t>
                  </w:r>
                </w:p>
              </w:tc>
              <w:tc>
                <w:tcPr>
                  <w:tcW w:w="1276" w:type="dxa"/>
                  <w:tcBorders>
                    <w:tl2br w:val="nil"/>
                    <w:tr2bl w:val="nil"/>
                  </w:tcBorders>
                  <w:shd w:val="clear" w:color="auto" w:fill="auto"/>
                  <w:vAlign w:val="center"/>
                </w:tcPr>
                <w:p w14:paraId="42562A3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83.75</w:t>
                  </w:r>
                </w:p>
              </w:tc>
              <w:tc>
                <w:tcPr>
                  <w:tcW w:w="1264" w:type="dxa"/>
                  <w:tcBorders>
                    <w:tl2br w:val="nil"/>
                    <w:tr2bl w:val="nil"/>
                  </w:tcBorders>
                  <w:vAlign w:val="center"/>
                </w:tcPr>
                <w:p w14:paraId="7E9D5717">
                  <w:pPr>
                    <w:pStyle w:val="28"/>
                    <w:keepNext w:val="0"/>
                    <w:keepLines w:val="0"/>
                    <w:suppressLineNumbers w:val="0"/>
                    <w:bidi w:val="0"/>
                    <w:spacing w:beforeAutospacing="0" w:afterAutospacing="0"/>
                    <w:ind w:left="0" w:right="0"/>
                    <w:rPr>
                      <w:rFonts w:hint="default"/>
                      <w:caps w:val="0"/>
                      <w:color w:val="auto"/>
                      <w:spacing w:val="0"/>
                      <w:position w:val="0"/>
                      <w:highlight w:val="none"/>
                    </w:rPr>
                  </w:pPr>
                  <w:bookmarkStart w:id="58" w:name="_Toc130374638"/>
                  <w:bookmarkStart w:id="59" w:name="_Toc131760415"/>
                  <w:r>
                    <w:rPr>
                      <w:rFonts w:hint="default"/>
                      <w:caps w:val="0"/>
                      <w:color w:val="auto"/>
                      <w:spacing w:val="0"/>
                      <w:position w:val="0"/>
                      <w:highlight w:val="none"/>
                    </w:rPr>
                    <w:t>达标</w:t>
                  </w:r>
                  <w:bookmarkEnd w:id="58"/>
                  <w:bookmarkEnd w:id="59"/>
                </w:p>
              </w:tc>
            </w:tr>
          </w:tbl>
          <w:p w14:paraId="5A64D45F">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由上表可知，项目区域环境空气质量指标中SO</w:t>
            </w:r>
            <w:r>
              <w:rPr>
                <w:rFonts w:hint="default"/>
                <w:caps w:val="0"/>
                <w:color w:val="auto"/>
                <w:spacing w:val="0"/>
                <w:position w:val="0"/>
                <w:highlight w:val="none"/>
                <w:vertAlign w:val="subscript"/>
              </w:rPr>
              <w:t>2</w:t>
            </w:r>
            <w:r>
              <w:rPr>
                <w:rFonts w:hint="default"/>
                <w:caps w:val="0"/>
                <w:color w:val="auto"/>
                <w:spacing w:val="0"/>
                <w:position w:val="0"/>
                <w:highlight w:val="none"/>
              </w:rPr>
              <w:t>、NO</w:t>
            </w:r>
            <w:r>
              <w:rPr>
                <w:rFonts w:hint="default"/>
                <w:caps w:val="0"/>
                <w:color w:val="auto"/>
                <w:spacing w:val="0"/>
                <w:position w:val="0"/>
                <w:highlight w:val="none"/>
                <w:vertAlign w:val="subscript"/>
              </w:rPr>
              <w:t>2</w:t>
            </w:r>
            <w:r>
              <w:rPr>
                <w:rFonts w:hint="default"/>
                <w:caps w:val="0"/>
                <w:color w:val="auto"/>
                <w:spacing w:val="0"/>
                <w:position w:val="0"/>
                <w:highlight w:val="none"/>
              </w:rPr>
              <w:t>、PM</w:t>
            </w:r>
            <w:r>
              <w:rPr>
                <w:rFonts w:hint="default"/>
                <w:caps w:val="0"/>
                <w:color w:val="auto"/>
                <w:spacing w:val="0"/>
                <w:position w:val="0"/>
                <w:highlight w:val="none"/>
                <w:vertAlign w:val="subscript"/>
              </w:rPr>
              <w:t>2.5</w:t>
            </w:r>
            <w:r>
              <w:rPr>
                <w:rFonts w:hint="default"/>
                <w:caps w:val="0"/>
                <w:color w:val="auto"/>
                <w:spacing w:val="0"/>
                <w:position w:val="0"/>
                <w:highlight w:val="none"/>
              </w:rPr>
              <w:t>、PM</w:t>
            </w:r>
            <w:r>
              <w:rPr>
                <w:rFonts w:hint="default"/>
                <w:caps w:val="0"/>
                <w:color w:val="auto"/>
                <w:spacing w:val="0"/>
                <w:position w:val="0"/>
                <w:highlight w:val="none"/>
                <w:vertAlign w:val="subscript"/>
              </w:rPr>
              <w:t>10</w:t>
            </w:r>
            <w:r>
              <w:rPr>
                <w:rFonts w:hint="default"/>
                <w:caps w:val="0"/>
                <w:color w:val="auto"/>
                <w:spacing w:val="0"/>
                <w:position w:val="0"/>
                <w:highlight w:val="none"/>
              </w:rPr>
              <w:t>、CO、O</w:t>
            </w:r>
            <w:r>
              <w:rPr>
                <w:rFonts w:hint="default"/>
                <w:caps w:val="0"/>
                <w:color w:val="auto"/>
                <w:spacing w:val="0"/>
                <w:position w:val="0"/>
                <w:highlight w:val="none"/>
                <w:vertAlign w:val="subscript"/>
              </w:rPr>
              <w:t>3</w:t>
            </w:r>
            <w:r>
              <w:rPr>
                <w:rFonts w:hint="default"/>
                <w:caps w:val="0"/>
                <w:color w:val="auto"/>
                <w:spacing w:val="0"/>
                <w:position w:val="0"/>
                <w:highlight w:val="none"/>
              </w:rPr>
              <w:t>均可满足《环境空气质量标准》（GB3095-2012）二级标准，因此判定项目评价范围为达标区。</w:t>
            </w:r>
          </w:p>
          <w:p w14:paraId="20564B88">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eastAsia"/>
                <w:b/>
                <w:bCs w:val="0"/>
                <w:caps w:val="0"/>
                <w:color w:val="auto"/>
                <w:spacing w:val="0"/>
                <w:position w:val="0"/>
                <w:highlight w:val="none"/>
              </w:rPr>
              <w:t>2、</w:t>
            </w:r>
            <w:r>
              <w:rPr>
                <w:rFonts w:hint="eastAsia"/>
                <w:b/>
                <w:bCs w:val="0"/>
                <w:caps w:val="0"/>
                <w:color w:val="auto"/>
                <w:spacing w:val="0"/>
                <w:position w:val="0"/>
                <w:highlight w:val="none"/>
                <w:lang w:val="en-US" w:eastAsia="zh-CN"/>
              </w:rPr>
              <w:t>特征</w:t>
            </w:r>
            <w:r>
              <w:rPr>
                <w:rFonts w:hint="eastAsia"/>
                <w:b/>
                <w:bCs w:val="0"/>
                <w:caps w:val="0"/>
                <w:color w:val="auto"/>
                <w:spacing w:val="0"/>
                <w:position w:val="0"/>
                <w:highlight w:val="none"/>
              </w:rPr>
              <w:t>污染物</w:t>
            </w:r>
          </w:p>
          <w:p w14:paraId="09A5CEB3">
            <w:pPr>
              <w:pStyle w:val="8"/>
              <w:keepNext w:val="0"/>
              <w:keepLines w:val="0"/>
              <w:suppressLineNumbers w:val="0"/>
              <w:spacing w:before="0" w:beforeAutospacing="0" w:after="0" w:afterAutospacing="0"/>
              <w:ind w:left="0" w:right="0"/>
              <w:rPr>
                <w:rFonts w:hint="eastAsia" w:eastAsia="宋体"/>
                <w:caps w:val="0"/>
                <w:color w:val="auto"/>
                <w:spacing w:val="0"/>
                <w:position w:val="0"/>
                <w:highlight w:val="none"/>
                <w:lang w:eastAsia="zh-CN"/>
              </w:rPr>
            </w:pPr>
            <w:r>
              <w:rPr>
                <w:rFonts w:hint="default"/>
                <w:caps w:val="0"/>
                <w:color w:val="auto"/>
                <w:spacing w:val="0"/>
                <w:position w:val="0"/>
                <w:highlight w:val="none"/>
              </w:rPr>
              <w:t>根据《建设项目环境影响报告表编制技术指南（污染影响类）》，“排放国家、地方环境空气质量标准中有标准限值要求的特征污染物时，引用建设项目周边5千米范围内近3年的现有监测数据，无相关数据的选择当季主导风向下风向1个点位补充不少于3天的监测数据。”</w:t>
            </w:r>
            <w:r>
              <w:rPr>
                <w:rFonts w:hint="eastAsia"/>
                <w:caps w:val="0"/>
                <w:color w:val="auto"/>
                <w:spacing w:val="0"/>
                <w:position w:val="0"/>
                <w:highlight w:val="none"/>
              </w:rPr>
              <w:t>本项目特征污染物为TSP</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铊及其化合物、铍及其化合物、氟化物</w:t>
            </w:r>
            <w:r>
              <w:rPr>
                <w:rFonts w:hint="eastAsia"/>
                <w:caps w:val="0"/>
                <w:color w:val="auto"/>
                <w:spacing w:val="0"/>
                <w:position w:val="0"/>
                <w:highlight w:val="none"/>
                <w:lang w:eastAsia="zh-CN"/>
              </w:rPr>
              <w:t>，</w:t>
            </w:r>
            <w:r>
              <w:rPr>
                <w:rFonts w:hint="default" w:cs="Times New Roman"/>
                <w:caps w:val="0"/>
                <w:color w:val="auto"/>
                <w:spacing w:val="0"/>
                <w:position w:val="0"/>
                <w:highlight w:val="none"/>
              </w:rPr>
              <w:t>根据《&lt;建设项目环境影响报告表&gt;内容、格式及编制技术指南常见问题解答》(环境影响评价网，2021年10月20日)第7条:技术指南中提到“排放国家、地方环境空气质量标准中有标准限值要求的特征污染物”，其中环境空气质量标准指《环境空气质量标准》(GB3095)和地方的环境空气质量标准，不包括《环境影响评价技术导则大气环境》(HJ2.2-2018)附录 D、《工业企业设计卫生标准》(TJ36-97)、《前苏联居住区标准》(CH245-71)《大气污染物综合排放标准详解》等导则或参考资料。本项目排放的</w:t>
            </w:r>
            <w:r>
              <w:rPr>
                <w:rFonts w:hint="eastAsia"/>
                <w:caps w:val="0"/>
                <w:color w:val="auto"/>
                <w:spacing w:val="0"/>
                <w:position w:val="0"/>
                <w:highlight w:val="none"/>
                <w:lang w:val="en-US" w:eastAsia="zh-CN"/>
              </w:rPr>
              <w:t>铊及其化合物、铍及其化合物</w:t>
            </w:r>
            <w:r>
              <w:rPr>
                <w:rFonts w:hint="default" w:cs="Times New Roman"/>
                <w:caps w:val="0"/>
                <w:color w:val="auto"/>
                <w:spacing w:val="0"/>
                <w:position w:val="0"/>
                <w:highlight w:val="none"/>
              </w:rPr>
              <w:t>不属于国家、地方环境空气质量标准中有标准限值要求的特征污染物，无需开展环境现状监测。</w:t>
            </w:r>
            <w:r>
              <w:rPr>
                <w:rFonts w:hint="eastAsia"/>
                <w:caps w:val="0"/>
                <w:color w:val="auto"/>
                <w:spacing w:val="0"/>
                <w:position w:val="0"/>
                <w:highlight w:val="none"/>
                <w:lang w:val="en-US" w:eastAsia="zh-CN"/>
              </w:rPr>
              <w:t>因此需</w:t>
            </w:r>
            <w:r>
              <w:rPr>
                <w:rFonts w:hint="eastAsia"/>
                <w:caps w:val="0"/>
                <w:color w:val="auto"/>
                <w:spacing w:val="0"/>
                <w:position w:val="0"/>
                <w:highlight w:val="none"/>
              </w:rPr>
              <w:t>对TSP</w:t>
            </w:r>
            <w:r>
              <w:rPr>
                <w:rFonts w:hint="eastAsia"/>
                <w:caps w:val="0"/>
                <w:color w:val="auto"/>
                <w:spacing w:val="0"/>
                <w:position w:val="0"/>
                <w:highlight w:val="none"/>
                <w:lang w:val="en-US" w:eastAsia="zh-CN"/>
              </w:rPr>
              <w:t>和氟化物</w:t>
            </w:r>
            <w:r>
              <w:rPr>
                <w:rFonts w:hint="eastAsia"/>
                <w:caps w:val="0"/>
                <w:color w:val="auto"/>
                <w:spacing w:val="0"/>
                <w:position w:val="0"/>
                <w:highlight w:val="none"/>
              </w:rPr>
              <w:t>进行现状调查</w:t>
            </w:r>
            <w:r>
              <w:rPr>
                <w:rFonts w:hint="eastAsia"/>
                <w:caps w:val="0"/>
                <w:color w:val="auto"/>
                <w:spacing w:val="0"/>
                <w:position w:val="0"/>
                <w:highlight w:val="none"/>
                <w:lang w:eastAsia="zh-CN"/>
              </w:rPr>
              <w:t>。</w:t>
            </w:r>
            <w:r>
              <w:rPr>
                <w:rFonts w:hint="default"/>
                <w:caps w:val="0"/>
                <w:color w:val="auto"/>
                <w:spacing w:val="0"/>
                <w:position w:val="0"/>
                <w:highlight w:val="none"/>
              </w:rPr>
              <w:t>特征污染物TSP</w:t>
            </w:r>
            <w:r>
              <w:rPr>
                <w:rFonts w:hint="eastAsia"/>
                <w:caps w:val="0"/>
                <w:color w:val="auto"/>
                <w:spacing w:val="0"/>
                <w:position w:val="0"/>
                <w:highlight w:val="none"/>
                <w:lang w:val="en-US" w:eastAsia="zh-CN"/>
              </w:rPr>
              <w:t>引用</w:t>
            </w:r>
            <w:r>
              <w:rPr>
                <w:rFonts w:hint="default"/>
                <w:caps w:val="0"/>
                <w:color w:val="auto"/>
                <w:spacing w:val="0"/>
                <w:position w:val="0"/>
                <w:highlight w:val="none"/>
              </w:rPr>
              <w:t>《高安市格律新材料有限公司年产10000吨液态防水材料建设项目环境影响报告表》中监测数据（江西中明环境检测有限公司于2023.06.29~2023.07.05监测，详见附件），监测点709厂居民区位于本项目西</w:t>
            </w:r>
            <w:r>
              <w:rPr>
                <w:rFonts w:hint="eastAsia"/>
                <w:caps w:val="0"/>
                <w:color w:val="auto"/>
                <w:spacing w:val="0"/>
                <w:position w:val="0"/>
                <w:highlight w:val="none"/>
                <w:lang w:val="en-US" w:eastAsia="zh-CN"/>
              </w:rPr>
              <w:t>北</w:t>
            </w:r>
            <w:r>
              <w:rPr>
                <w:rFonts w:hint="default"/>
                <w:caps w:val="0"/>
                <w:color w:val="auto"/>
                <w:spacing w:val="0"/>
                <w:position w:val="0"/>
                <w:highlight w:val="none"/>
              </w:rPr>
              <w:t>侧，距离本项目约</w:t>
            </w:r>
            <w:r>
              <w:rPr>
                <w:rFonts w:hint="eastAsia"/>
                <w:caps w:val="0"/>
                <w:color w:val="auto"/>
                <w:spacing w:val="0"/>
                <w:position w:val="0"/>
                <w:highlight w:val="none"/>
                <w:lang w:val="en-US" w:eastAsia="zh-CN"/>
              </w:rPr>
              <w:t>2660</w:t>
            </w:r>
            <w:r>
              <w:rPr>
                <w:rFonts w:hint="default"/>
                <w:caps w:val="0"/>
                <w:color w:val="auto"/>
                <w:spacing w:val="0"/>
                <w:position w:val="0"/>
                <w:highlight w:val="none"/>
              </w:rPr>
              <w:t>m（详见附图），监测时间为2023年6月29日~7月05日。引用监测点位检测时间未超过3年，位于本项目周边5km范围内，检测至今该区域范围内未发生重大污染源排放情况的变化，因此本项目引用该监测数据具有可行性和时效性</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氟化物</w:t>
            </w:r>
            <w:r>
              <w:rPr>
                <w:rFonts w:hint="eastAsia" w:ascii="Times New Roman" w:hAnsi="Times New Roman" w:eastAsia="宋体" w:cs="Times New Roman"/>
                <w:caps w:val="0"/>
                <w:color w:val="auto"/>
                <w:spacing w:val="0"/>
                <w:position w:val="0"/>
                <w:sz w:val="24"/>
                <w:highlight w:val="none"/>
                <w:lang w:val="en-US" w:eastAsia="zh-CN"/>
              </w:rPr>
              <w:t>委托南昌宇环检测技术有限公司于2025年</w:t>
            </w:r>
            <w:r>
              <w:rPr>
                <w:rFonts w:hint="eastAsia" w:cs="Times New Roman"/>
                <w:caps w:val="0"/>
                <w:color w:val="auto"/>
                <w:spacing w:val="0"/>
                <w:position w:val="0"/>
                <w:sz w:val="24"/>
                <w:highlight w:val="none"/>
                <w:lang w:val="en-US" w:eastAsia="zh-CN"/>
              </w:rPr>
              <w:t>9</w:t>
            </w:r>
            <w:r>
              <w:rPr>
                <w:rFonts w:hint="eastAsia" w:ascii="Times New Roman" w:hAnsi="Times New Roman" w:eastAsia="宋体" w:cs="Times New Roman"/>
                <w:caps w:val="0"/>
                <w:color w:val="auto"/>
                <w:spacing w:val="0"/>
                <w:position w:val="0"/>
                <w:sz w:val="24"/>
                <w:highlight w:val="none"/>
                <w:lang w:val="en-US" w:eastAsia="zh-CN"/>
              </w:rPr>
              <w:t>月</w:t>
            </w:r>
            <w:r>
              <w:rPr>
                <w:rFonts w:hint="eastAsia" w:cs="Times New Roman"/>
                <w:caps w:val="0"/>
                <w:color w:val="auto"/>
                <w:spacing w:val="0"/>
                <w:position w:val="0"/>
                <w:sz w:val="24"/>
                <w:highlight w:val="none"/>
                <w:lang w:val="en-US" w:eastAsia="zh-CN"/>
              </w:rPr>
              <w:t>8-10</w:t>
            </w:r>
            <w:r>
              <w:rPr>
                <w:rFonts w:hint="eastAsia" w:ascii="Times New Roman" w:hAnsi="Times New Roman" w:eastAsia="宋体" w:cs="Times New Roman"/>
                <w:caps w:val="0"/>
                <w:color w:val="auto"/>
                <w:spacing w:val="0"/>
                <w:position w:val="0"/>
                <w:sz w:val="24"/>
                <w:highlight w:val="none"/>
                <w:lang w:val="en-US" w:eastAsia="zh-CN"/>
              </w:rPr>
              <w:t>日对项目区大气下风向</w:t>
            </w:r>
            <w:r>
              <w:rPr>
                <w:rFonts w:hint="eastAsia" w:cs="Times New Roman"/>
                <w:caps w:val="0"/>
                <w:color w:val="auto"/>
                <w:spacing w:val="0"/>
                <w:position w:val="0"/>
                <w:sz w:val="24"/>
                <w:highlight w:val="none"/>
                <w:lang w:val="en-US" w:eastAsia="zh-CN"/>
              </w:rPr>
              <w:t>枫树泉</w:t>
            </w:r>
            <w:r>
              <w:rPr>
                <w:rFonts w:hint="eastAsia" w:ascii="Times New Roman" w:hAnsi="Times New Roman" w:eastAsia="宋体" w:cs="Times New Roman"/>
                <w:caps w:val="0"/>
                <w:color w:val="auto"/>
                <w:spacing w:val="0"/>
                <w:position w:val="0"/>
                <w:sz w:val="24"/>
                <w:highlight w:val="none"/>
                <w:lang w:val="en-US" w:eastAsia="zh-CN"/>
              </w:rPr>
              <w:t>村居民</w:t>
            </w:r>
            <w:r>
              <w:rPr>
                <w:rFonts w:hint="eastAsia" w:cs="Times New Roman"/>
                <w:caps w:val="0"/>
                <w:color w:val="auto"/>
                <w:spacing w:val="0"/>
                <w:position w:val="0"/>
                <w:sz w:val="24"/>
                <w:highlight w:val="none"/>
                <w:lang w:val="en-US" w:eastAsia="zh-CN"/>
              </w:rPr>
              <w:t>区</w:t>
            </w:r>
            <w:r>
              <w:rPr>
                <w:rFonts w:hint="eastAsia" w:ascii="Times New Roman" w:hAnsi="Times New Roman" w:eastAsia="宋体" w:cs="Times New Roman"/>
                <w:caps w:val="0"/>
                <w:color w:val="auto"/>
                <w:spacing w:val="0"/>
                <w:position w:val="0"/>
                <w:sz w:val="24"/>
                <w:highlight w:val="none"/>
                <w:lang w:val="en-US" w:eastAsia="zh-CN"/>
              </w:rPr>
              <w:t>进行监测</w:t>
            </w:r>
            <w:r>
              <w:rPr>
                <w:rFonts w:hint="eastAsia" w:cs="Times New Roman"/>
                <w:caps w:val="0"/>
                <w:color w:val="auto"/>
                <w:spacing w:val="0"/>
                <w:position w:val="0"/>
                <w:sz w:val="24"/>
                <w:highlight w:val="none"/>
                <w:lang w:val="en-US" w:eastAsia="zh-CN"/>
              </w:rPr>
              <w:t>，</w:t>
            </w:r>
            <w:r>
              <w:rPr>
                <w:rFonts w:hint="default"/>
                <w:caps w:val="0"/>
                <w:color w:val="auto"/>
                <w:spacing w:val="0"/>
                <w:position w:val="0"/>
                <w:highlight w:val="none"/>
              </w:rPr>
              <w:t>距离本项目约</w:t>
            </w:r>
            <w:r>
              <w:rPr>
                <w:rFonts w:hint="eastAsia"/>
                <w:caps w:val="0"/>
                <w:color w:val="auto"/>
                <w:spacing w:val="0"/>
                <w:position w:val="0"/>
                <w:highlight w:val="none"/>
                <w:lang w:val="en-US" w:eastAsia="zh-CN"/>
              </w:rPr>
              <w:t>420</w:t>
            </w:r>
            <w:r>
              <w:rPr>
                <w:rFonts w:hint="default"/>
                <w:caps w:val="0"/>
                <w:color w:val="auto"/>
                <w:spacing w:val="0"/>
                <w:position w:val="0"/>
                <w:highlight w:val="none"/>
              </w:rPr>
              <w:t>m（详见附图）</w:t>
            </w:r>
            <w:r>
              <w:rPr>
                <w:rFonts w:hint="eastAsia" w:cs="Times New Roman"/>
                <w:caps w:val="0"/>
                <w:color w:val="auto"/>
                <w:spacing w:val="0"/>
                <w:position w:val="0"/>
                <w:sz w:val="24"/>
                <w:highlight w:val="none"/>
                <w:lang w:val="en-US" w:eastAsia="zh-CN"/>
              </w:rPr>
              <w:t>具体</w:t>
            </w:r>
            <w:r>
              <w:rPr>
                <w:rFonts w:hint="eastAsia"/>
                <w:caps w:val="0"/>
                <w:color w:val="auto"/>
                <w:spacing w:val="0"/>
                <w:position w:val="0"/>
                <w:highlight w:val="none"/>
                <w:lang w:val="en-US" w:eastAsia="zh-CN"/>
              </w:rPr>
              <w:t>监</w:t>
            </w:r>
            <w:r>
              <w:rPr>
                <w:rFonts w:hint="default"/>
                <w:caps w:val="0"/>
                <w:color w:val="auto"/>
                <w:spacing w:val="0"/>
                <w:position w:val="0"/>
                <w:highlight w:val="none"/>
              </w:rPr>
              <w:t>测结果见下表</w:t>
            </w:r>
            <w:r>
              <w:rPr>
                <w:rFonts w:hint="eastAsia"/>
                <w:caps w:val="0"/>
                <w:color w:val="auto"/>
                <w:spacing w:val="0"/>
                <w:position w:val="0"/>
                <w:highlight w:val="none"/>
                <w:lang w:eastAsia="zh-CN"/>
              </w:rPr>
              <w:t>。</w:t>
            </w:r>
          </w:p>
          <w:p w14:paraId="25CAA88B">
            <w:pPr>
              <w:pStyle w:val="75"/>
              <w:keepNext w:val="0"/>
              <w:keepLines w:val="0"/>
              <w:numPr>
                <w:ilvl w:val="0"/>
                <w:numId w:val="5"/>
              </w:numPr>
              <w:suppressLineNumbers w:val="0"/>
              <w:bidi w:val="0"/>
              <w:spacing w:before="0" w:beforeAutospacing="0" w:after="0" w:afterAutospacing="0"/>
              <w:ind w:left="0" w:leftChars="0" w:right="0" w:firstLine="420" w:firstLineChars="0"/>
              <w:rPr>
                <w:rFonts w:hint="default"/>
                <w:caps w:val="0"/>
                <w:color w:val="auto"/>
                <w:spacing w:val="0"/>
                <w:position w:val="0"/>
                <w:highlight w:val="none"/>
              </w:rPr>
            </w:pPr>
            <w:r>
              <w:rPr>
                <w:rFonts w:hint="eastAsia"/>
                <w:caps w:val="0"/>
                <w:color w:val="auto"/>
                <w:spacing w:val="0"/>
                <w:position w:val="0"/>
                <w:highlight w:val="none"/>
                <w:lang w:val="en-US" w:eastAsia="zh-CN"/>
              </w:rPr>
              <w:t>大气</w:t>
            </w:r>
            <w:r>
              <w:rPr>
                <w:rFonts w:hint="eastAsia"/>
                <w:caps w:val="0"/>
                <w:color w:val="auto"/>
                <w:spacing w:val="0"/>
                <w:position w:val="0"/>
                <w:highlight w:val="none"/>
              </w:rPr>
              <w:t>引用</w:t>
            </w:r>
            <w:r>
              <w:rPr>
                <w:rFonts w:hint="default"/>
                <w:caps w:val="0"/>
                <w:color w:val="auto"/>
                <w:spacing w:val="0"/>
                <w:position w:val="0"/>
                <w:highlight w:val="none"/>
              </w:rPr>
              <w:t>监测结果</w:t>
            </w:r>
          </w:p>
          <w:tbl>
            <w:tblPr>
              <w:tblStyle w:val="23"/>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72"/>
              <w:gridCol w:w="1687"/>
              <w:gridCol w:w="1015"/>
              <w:gridCol w:w="1266"/>
              <w:gridCol w:w="1211"/>
              <w:gridCol w:w="668"/>
              <w:gridCol w:w="1070"/>
            </w:tblGrid>
            <w:tr w14:paraId="7EDC7E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76" w:type="pct"/>
                  <w:tcBorders>
                    <w:tl2br w:val="nil"/>
                    <w:tr2bl w:val="nil"/>
                  </w:tcBorders>
                  <w:vAlign w:val="center"/>
                </w:tcPr>
                <w:p w14:paraId="5D14FDF0">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监测点位</w:t>
                  </w:r>
                </w:p>
              </w:tc>
              <w:tc>
                <w:tcPr>
                  <w:tcW w:w="1030" w:type="pct"/>
                  <w:tcBorders>
                    <w:tl2br w:val="nil"/>
                    <w:tr2bl w:val="nil"/>
                  </w:tcBorders>
                  <w:vAlign w:val="center"/>
                </w:tcPr>
                <w:p w14:paraId="0F86F81E">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监测时间</w:t>
                  </w:r>
                </w:p>
              </w:tc>
              <w:tc>
                <w:tcPr>
                  <w:tcW w:w="619" w:type="pct"/>
                  <w:tcBorders>
                    <w:tl2br w:val="nil"/>
                    <w:tr2bl w:val="nil"/>
                  </w:tcBorders>
                  <w:vAlign w:val="center"/>
                </w:tcPr>
                <w:p w14:paraId="297A9683">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检测项目</w:t>
                  </w:r>
                </w:p>
              </w:tc>
              <w:tc>
                <w:tcPr>
                  <w:tcW w:w="772" w:type="pct"/>
                  <w:tcBorders>
                    <w:tl2br w:val="nil"/>
                    <w:tr2bl w:val="nil"/>
                  </w:tcBorders>
                  <w:vAlign w:val="center"/>
                </w:tcPr>
                <w:p w14:paraId="121B88CC">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检测值（</w:t>
                  </w:r>
                  <w:r>
                    <w:rPr>
                      <w:rFonts w:hint="eastAsia"/>
                      <w:b/>
                      <w:bCs/>
                      <w:caps w:val="0"/>
                      <w:color w:val="auto"/>
                      <w:spacing w:val="0"/>
                      <w:position w:val="0"/>
                      <w:highlight w:val="none"/>
                    </w:rPr>
                    <w:t>m</w:t>
                  </w:r>
                  <w:r>
                    <w:rPr>
                      <w:rFonts w:hint="default"/>
                      <w:b/>
                      <w:bCs/>
                      <w:caps w:val="0"/>
                      <w:color w:val="auto"/>
                      <w:spacing w:val="0"/>
                      <w:position w:val="0"/>
                      <w:highlight w:val="none"/>
                    </w:rPr>
                    <w:t>g/m</w:t>
                  </w:r>
                  <w:r>
                    <w:rPr>
                      <w:rFonts w:hint="default"/>
                      <w:b/>
                      <w:bCs/>
                      <w:caps w:val="0"/>
                      <w:color w:val="auto"/>
                      <w:spacing w:val="0"/>
                      <w:position w:val="0"/>
                      <w:highlight w:val="none"/>
                      <w:vertAlign w:val="superscript"/>
                    </w:rPr>
                    <w:t>3</w:t>
                  </w:r>
                  <w:r>
                    <w:rPr>
                      <w:rFonts w:hint="default"/>
                      <w:b/>
                      <w:bCs/>
                      <w:caps w:val="0"/>
                      <w:color w:val="auto"/>
                      <w:spacing w:val="0"/>
                      <w:position w:val="0"/>
                      <w:highlight w:val="none"/>
                    </w:rPr>
                    <w:t>）</w:t>
                  </w:r>
                </w:p>
              </w:tc>
              <w:tc>
                <w:tcPr>
                  <w:tcW w:w="739" w:type="pct"/>
                  <w:tcBorders>
                    <w:tl2br w:val="nil"/>
                    <w:tr2bl w:val="nil"/>
                  </w:tcBorders>
                  <w:vAlign w:val="center"/>
                </w:tcPr>
                <w:p w14:paraId="656E93B7">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标准值（</w:t>
                  </w:r>
                  <w:r>
                    <w:rPr>
                      <w:rFonts w:hint="eastAsia"/>
                      <w:b/>
                      <w:bCs/>
                      <w:caps w:val="0"/>
                      <w:color w:val="auto"/>
                      <w:spacing w:val="0"/>
                      <w:position w:val="0"/>
                      <w:highlight w:val="none"/>
                    </w:rPr>
                    <w:t>mg</w:t>
                  </w:r>
                  <w:r>
                    <w:rPr>
                      <w:rFonts w:hint="default"/>
                      <w:b/>
                      <w:bCs/>
                      <w:caps w:val="0"/>
                      <w:color w:val="auto"/>
                      <w:spacing w:val="0"/>
                      <w:position w:val="0"/>
                      <w:highlight w:val="none"/>
                    </w:rPr>
                    <w:t>/m</w:t>
                  </w:r>
                  <w:r>
                    <w:rPr>
                      <w:rFonts w:hint="default"/>
                      <w:b/>
                      <w:bCs/>
                      <w:caps w:val="0"/>
                      <w:color w:val="auto"/>
                      <w:spacing w:val="0"/>
                      <w:position w:val="0"/>
                      <w:highlight w:val="none"/>
                      <w:vertAlign w:val="superscript"/>
                    </w:rPr>
                    <w:t>3</w:t>
                  </w:r>
                  <w:r>
                    <w:rPr>
                      <w:rFonts w:hint="default"/>
                      <w:b/>
                      <w:bCs/>
                      <w:caps w:val="0"/>
                      <w:color w:val="auto"/>
                      <w:spacing w:val="0"/>
                      <w:position w:val="0"/>
                      <w:highlight w:val="none"/>
                    </w:rPr>
                    <w:t>）</w:t>
                  </w:r>
                </w:p>
              </w:tc>
              <w:tc>
                <w:tcPr>
                  <w:tcW w:w="407" w:type="pct"/>
                  <w:tcBorders>
                    <w:tl2br w:val="nil"/>
                    <w:tr2bl w:val="nil"/>
                  </w:tcBorders>
                  <w:vAlign w:val="center"/>
                </w:tcPr>
                <w:p w14:paraId="308E6D08">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超标率%</w:t>
                  </w:r>
                </w:p>
              </w:tc>
              <w:tc>
                <w:tcPr>
                  <w:tcW w:w="653" w:type="pct"/>
                  <w:tcBorders>
                    <w:tl2br w:val="nil"/>
                    <w:tr2bl w:val="nil"/>
                  </w:tcBorders>
                  <w:vAlign w:val="center"/>
                </w:tcPr>
                <w:p w14:paraId="1020D9D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占标率%</w:t>
                  </w:r>
                </w:p>
              </w:tc>
            </w:tr>
            <w:tr w14:paraId="6F0F8E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76" w:type="pct"/>
                  <w:tcBorders>
                    <w:tl2br w:val="nil"/>
                    <w:tr2bl w:val="nil"/>
                  </w:tcBorders>
                  <w:vAlign w:val="center"/>
                </w:tcPr>
                <w:p w14:paraId="5479CF2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709厂居民区</w:t>
                  </w:r>
                  <w:r>
                    <w:rPr>
                      <w:rFonts w:hint="eastAsia"/>
                      <w:caps w:val="0"/>
                      <w:color w:val="auto"/>
                      <w:spacing w:val="0"/>
                      <w:position w:val="0"/>
                      <w:highlight w:val="none"/>
                    </w:rPr>
                    <w:t>A1</w:t>
                  </w:r>
                </w:p>
              </w:tc>
              <w:tc>
                <w:tcPr>
                  <w:tcW w:w="1030" w:type="pct"/>
                  <w:tcBorders>
                    <w:tl2br w:val="nil"/>
                    <w:tr2bl w:val="nil"/>
                  </w:tcBorders>
                  <w:vAlign w:val="center"/>
                </w:tcPr>
                <w:p w14:paraId="600D2824">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eastAsia="宋体"/>
                      <w:caps w:val="0"/>
                      <w:color w:val="auto"/>
                      <w:spacing w:val="0"/>
                      <w:position w:val="0"/>
                      <w:highlight w:val="none"/>
                      <w:lang w:val="en-US" w:eastAsia="zh-CN"/>
                    </w:rPr>
                    <w:t>2023.06.29-07.05</w:t>
                  </w:r>
                </w:p>
              </w:tc>
              <w:tc>
                <w:tcPr>
                  <w:tcW w:w="619" w:type="pct"/>
                  <w:tcBorders>
                    <w:tl2br w:val="nil"/>
                    <w:tr2bl w:val="nil"/>
                  </w:tcBorders>
                  <w:vAlign w:val="center"/>
                </w:tcPr>
                <w:p w14:paraId="6299ADF3">
                  <w:pPr>
                    <w:pStyle w:val="28"/>
                    <w:keepNext w:val="0"/>
                    <w:keepLines w:val="0"/>
                    <w:suppressLineNumbers w:val="0"/>
                    <w:bidi w:val="0"/>
                    <w:spacing w:beforeAutospacing="0" w:afterAutospacing="0"/>
                    <w:ind w:left="0" w:leftChars="0" w:right="0" w:rightChars="0"/>
                    <w:rPr>
                      <w:rFonts w:hint="default"/>
                      <w:caps w:val="0"/>
                      <w:color w:val="auto"/>
                      <w:spacing w:val="0"/>
                      <w:position w:val="0"/>
                      <w:highlight w:val="none"/>
                    </w:rPr>
                  </w:pPr>
                  <w:r>
                    <w:rPr>
                      <w:rFonts w:hint="default"/>
                      <w:caps w:val="0"/>
                      <w:color w:val="auto"/>
                      <w:spacing w:val="0"/>
                      <w:position w:val="0"/>
                      <w:highlight w:val="none"/>
                    </w:rPr>
                    <w:t>TSP</w:t>
                  </w:r>
                </w:p>
              </w:tc>
              <w:tc>
                <w:tcPr>
                  <w:tcW w:w="772" w:type="pct"/>
                  <w:tcBorders>
                    <w:tl2br w:val="nil"/>
                    <w:tr2bl w:val="nil"/>
                  </w:tcBorders>
                  <w:vAlign w:val="center"/>
                </w:tcPr>
                <w:p w14:paraId="184D6E06">
                  <w:pPr>
                    <w:pStyle w:val="28"/>
                    <w:keepNext w:val="0"/>
                    <w:keepLines w:val="0"/>
                    <w:suppressLineNumbers w:val="0"/>
                    <w:bidi w:val="0"/>
                    <w:spacing w:beforeAutospacing="0" w:afterAutospacing="0"/>
                    <w:ind w:left="0" w:leftChars="0" w:right="0" w:rightChars="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0.086-0.102</w:t>
                  </w:r>
                </w:p>
              </w:tc>
              <w:tc>
                <w:tcPr>
                  <w:tcW w:w="739" w:type="pct"/>
                  <w:tcBorders>
                    <w:tl2br w:val="nil"/>
                    <w:tr2bl w:val="nil"/>
                  </w:tcBorders>
                  <w:vAlign w:val="center"/>
                </w:tcPr>
                <w:p w14:paraId="56700EB2">
                  <w:pPr>
                    <w:pStyle w:val="28"/>
                    <w:keepNext w:val="0"/>
                    <w:keepLines w:val="0"/>
                    <w:suppressLineNumbers w:val="0"/>
                    <w:bidi w:val="0"/>
                    <w:spacing w:beforeAutospacing="0" w:afterAutospacing="0"/>
                    <w:ind w:left="0" w:leftChars="0" w:right="0" w:rightChars="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0.3</w:t>
                  </w:r>
                </w:p>
              </w:tc>
              <w:tc>
                <w:tcPr>
                  <w:tcW w:w="407" w:type="pct"/>
                  <w:tcBorders>
                    <w:tl2br w:val="nil"/>
                    <w:tr2bl w:val="nil"/>
                  </w:tcBorders>
                  <w:vAlign w:val="center"/>
                </w:tcPr>
                <w:p w14:paraId="3064074C">
                  <w:pPr>
                    <w:pStyle w:val="28"/>
                    <w:keepNext w:val="0"/>
                    <w:keepLines w:val="0"/>
                    <w:suppressLineNumbers w:val="0"/>
                    <w:bidi w:val="0"/>
                    <w:spacing w:beforeAutospacing="0" w:afterAutospacing="0"/>
                    <w:ind w:left="0" w:leftChars="0" w:right="0" w:rightChars="0"/>
                    <w:rPr>
                      <w:rFonts w:hint="default"/>
                      <w:caps w:val="0"/>
                      <w:color w:val="auto"/>
                      <w:spacing w:val="0"/>
                      <w:position w:val="0"/>
                      <w:highlight w:val="none"/>
                    </w:rPr>
                  </w:pPr>
                  <w:r>
                    <w:rPr>
                      <w:rFonts w:hint="default"/>
                      <w:caps w:val="0"/>
                      <w:color w:val="auto"/>
                      <w:spacing w:val="0"/>
                      <w:position w:val="0"/>
                      <w:highlight w:val="none"/>
                    </w:rPr>
                    <w:t>0</w:t>
                  </w:r>
                </w:p>
              </w:tc>
              <w:tc>
                <w:tcPr>
                  <w:tcW w:w="653" w:type="pct"/>
                  <w:tcBorders>
                    <w:tl2br w:val="nil"/>
                    <w:tr2bl w:val="nil"/>
                  </w:tcBorders>
                  <w:vAlign w:val="center"/>
                </w:tcPr>
                <w:p w14:paraId="5E41C587">
                  <w:pPr>
                    <w:pStyle w:val="28"/>
                    <w:keepNext w:val="0"/>
                    <w:keepLines w:val="0"/>
                    <w:suppressLineNumbers w:val="0"/>
                    <w:bidi w:val="0"/>
                    <w:spacing w:beforeAutospacing="0" w:afterAutospacing="0"/>
                    <w:ind w:left="0" w:leftChars="0" w:right="0" w:rightChars="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28.7-0.34</w:t>
                  </w:r>
                </w:p>
              </w:tc>
            </w:tr>
            <w:tr w14:paraId="4B69A6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76" w:type="pct"/>
                  <w:tcBorders>
                    <w:tl2br w:val="nil"/>
                    <w:tr2bl w:val="nil"/>
                  </w:tcBorders>
                  <w:vAlign w:val="center"/>
                </w:tcPr>
                <w:p w14:paraId="6D019D97">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default"/>
                      <w:caps w:val="0"/>
                      <w:color w:val="auto"/>
                      <w:spacing w:val="0"/>
                      <w:position w:val="0"/>
                      <w:highlight w:val="none"/>
                    </w:rPr>
                    <w:t>枫树泉村居民区</w:t>
                  </w:r>
                  <w:r>
                    <w:rPr>
                      <w:rFonts w:hint="eastAsia"/>
                      <w:caps w:val="0"/>
                      <w:color w:val="auto"/>
                      <w:spacing w:val="0"/>
                      <w:position w:val="0"/>
                      <w:highlight w:val="none"/>
                      <w:lang w:val="en-US" w:eastAsia="zh-CN"/>
                    </w:rPr>
                    <w:t>A2</w:t>
                  </w:r>
                </w:p>
              </w:tc>
              <w:tc>
                <w:tcPr>
                  <w:tcW w:w="1030" w:type="pct"/>
                  <w:tcBorders>
                    <w:tl2br w:val="nil"/>
                    <w:tr2bl w:val="nil"/>
                  </w:tcBorders>
                  <w:vAlign w:val="center"/>
                </w:tcPr>
                <w:p w14:paraId="15A78725">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2025.9.8-10</w:t>
                  </w:r>
                </w:p>
              </w:tc>
              <w:tc>
                <w:tcPr>
                  <w:tcW w:w="619" w:type="pct"/>
                  <w:tcBorders>
                    <w:tl2br w:val="nil"/>
                    <w:tr2bl w:val="nil"/>
                  </w:tcBorders>
                  <w:vAlign w:val="center"/>
                </w:tcPr>
                <w:p w14:paraId="545E0C9B">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氟化物</w:t>
                  </w:r>
                </w:p>
              </w:tc>
              <w:tc>
                <w:tcPr>
                  <w:tcW w:w="772" w:type="pct"/>
                  <w:tcBorders>
                    <w:tl2br w:val="nil"/>
                    <w:tr2bl w:val="nil"/>
                  </w:tcBorders>
                  <w:vAlign w:val="center"/>
                </w:tcPr>
                <w:p w14:paraId="5C1DFDE8">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0.00065-0.00103</w:t>
                  </w:r>
                </w:p>
              </w:tc>
              <w:tc>
                <w:tcPr>
                  <w:tcW w:w="739" w:type="pct"/>
                  <w:tcBorders>
                    <w:tl2br w:val="nil"/>
                    <w:tr2bl w:val="nil"/>
                  </w:tcBorders>
                  <w:vAlign w:val="center"/>
                </w:tcPr>
                <w:p w14:paraId="7215B707">
                  <w:pPr>
                    <w:pStyle w:val="28"/>
                    <w:keepNext w:val="0"/>
                    <w:keepLines w:val="0"/>
                    <w:suppressLineNumbers w:val="0"/>
                    <w:bidi w:val="0"/>
                    <w:spacing w:beforeAutospacing="0" w:afterAutospacing="0"/>
                    <w:ind w:left="0" w:leftChars="0" w:right="0" w:rightChars="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0.020</w:t>
                  </w:r>
                </w:p>
              </w:tc>
              <w:tc>
                <w:tcPr>
                  <w:tcW w:w="407" w:type="pct"/>
                  <w:tcBorders>
                    <w:tl2br w:val="nil"/>
                    <w:tr2bl w:val="nil"/>
                  </w:tcBorders>
                  <w:vAlign w:val="center"/>
                </w:tcPr>
                <w:p w14:paraId="4CEB4040">
                  <w:pPr>
                    <w:pStyle w:val="28"/>
                    <w:keepNext w:val="0"/>
                    <w:keepLines w:val="0"/>
                    <w:suppressLineNumbers w:val="0"/>
                    <w:bidi w:val="0"/>
                    <w:spacing w:beforeAutospacing="0" w:afterAutospacing="0"/>
                    <w:ind w:left="0" w:leftChars="0" w:right="0" w:rightChars="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w:t>
                  </w:r>
                </w:p>
              </w:tc>
              <w:tc>
                <w:tcPr>
                  <w:tcW w:w="653" w:type="pct"/>
                  <w:tcBorders>
                    <w:tl2br w:val="nil"/>
                    <w:tr2bl w:val="nil"/>
                  </w:tcBorders>
                  <w:vAlign w:val="center"/>
                </w:tcPr>
                <w:p w14:paraId="0B202471">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3.25-5.15</w:t>
                  </w:r>
                </w:p>
              </w:tc>
            </w:tr>
          </w:tbl>
          <w:p w14:paraId="05172A4C">
            <w:pPr>
              <w:pStyle w:val="8"/>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T</w:t>
            </w:r>
            <w:r>
              <w:rPr>
                <w:rFonts w:hint="default"/>
                <w:caps w:val="0"/>
                <w:color w:val="auto"/>
                <w:spacing w:val="0"/>
                <w:position w:val="0"/>
                <w:highlight w:val="none"/>
              </w:rPr>
              <w:t>SP</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氟化物</w:t>
            </w:r>
            <w:r>
              <w:rPr>
                <w:rFonts w:hint="default"/>
                <w:caps w:val="0"/>
                <w:color w:val="auto"/>
                <w:spacing w:val="0"/>
                <w:position w:val="0"/>
                <w:highlight w:val="none"/>
              </w:rPr>
              <w:t>污染物</w:t>
            </w:r>
            <w:r>
              <w:rPr>
                <w:rFonts w:hint="eastAsia"/>
                <w:caps w:val="0"/>
                <w:color w:val="auto"/>
                <w:spacing w:val="0"/>
                <w:position w:val="0"/>
                <w:highlight w:val="none"/>
                <w:lang w:val="en-US" w:eastAsia="zh-CN"/>
              </w:rPr>
              <w:t>浓度</w:t>
            </w:r>
            <w:r>
              <w:rPr>
                <w:rFonts w:hint="default"/>
                <w:caps w:val="0"/>
                <w:color w:val="auto"/>
                <w:spacing w:val="0"/>
                <w:position w:val="0"/>
                <w:highlight w:val="none"/>
              </w:rPr>
              <w:t>符合《环境空气质量标准》（GB3095-2012）二级</w:t>
            </w:r>
            <w:r>
              <w:rPr>
                <w:rFonts w:hint="eastAsia"/>
                <w:caps w:val="0"/>
                <w:color w:val="auto"/>
                <w:spacing w:val="0"/>
                <w:position w:val="0"/>
                <w:highlight w:val="none"/>
              </w:rPr>
              <w:t>标准要求。</w:t>
            </w:r>
          </w:p>
          <w:p w14:paraId="64BE6AC4">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二、地表水环境质量</w:t>
            </w:r>
          </w:p>
          <w:p w14:paraId="0A4BA5DE">
            <w:pPr>
              <w:pStyle w:val="8"/>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sz w:val="24"/>
                <w:highlight w:val="none"/>
              </w:rPr>
              <w:t>根据《建设项目环境影响报告表编制技术指南》（污染影响类）（试行）内容：地表水环境可引用生态环境主管部门发布的水环境质量数据或地表水达标情况的结论。</w:t>
            </w:r>
          </w:p>
          <w:p w14:paraId="4F9C4E9D">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根据宜春市生态环境局发布的《202</w:t>
            </w:r>
            <w:r>
              <w:rPr>
                <w:rFonts w:hint="eastAsia"/>
                <w:caps w:val="0"/>
                <w:color w:val="auto"/>
                <w:spacing w:val="0"/>
                <w:position w:val="0"/>
                <w:highlight w:val="none"/>
                <w:lang w:val="en-US" w:eastAsia="zh-CN"/>
              </w:rPr>
              <w:t>5</w:t>
            </w:r>
            <w:r>
              <w:rPr>
                <w:rFonts w:hint="eastAsia"/>
                <w:caps w:val="0"/>
                <w:color w:val="auto"/>
                <w:spacing w:val="0"/>
                <w:position w:val="0"/>
                <w:highlight w:val="none"/>
              </w:rPr>
              <w:t>年宜春市环境质量月报（</w:t>
            </w:r>
            <w:r>
              <w:rPr>
                <w:rFonts w:hint="eastAsia"/>
                <w:caps w:val="0"/>
                <w:color w:val="auto"/>
                <w:spacing w:val="0"/>
                <w:position w:val="0"/>
                <w:highlight w:val="none"/>
                <w:lang w:val="en-US" w:eastAsia="zh-CN"/>
              </w:rPr>
              <w:t>8</w:t>
            </w:r>
            <w:r>
              <w:rPr>
                <w:rFonts w:hint="eastAsia"/>
                <w:caps w:val="0"/>
                <w:color w:val="auto"/>
                <w:spacing w:val="0"/>
                <w:position w:val="0"/>
                <w:highlight w:val="none"/>
              </w:rPr>
              <w:t>月）》，2025年</w:t>
            </w:r>
            <w:r>
              <w:rPr>
                <w:rFonts w:hint="eastAsia"/>
                <w:caps w:val="0"/>
                <w:color w:val="auto"/>
                <w:spacing w:val="0"/>
                <w:position w:val="0"/>
                <w:highlight w:val="none"/>
                <w:lang w:val="en-US" w:eastAsia="zh-CN"/>
              </w:rPr>
              <w:t>8</w:t>
            </w:r>
            <w:r>
              <w:rPr>
                <w:rFonts w:hint="eastAsia"/>
                <w:caps w:val="0"/>
                <w:color w:val="auto"/>
                <w:spacing w:val="0"/>
                <w:position w:val="0"/>
                <w:highlight w:val="none"/>
              </w:rPr>
              <w:t>月江西省宜春生态环境监测中心对全市主要流域5个断面水质进行了监测，对我市范围内其他中心监测的13个断面水质数据进行了收集，按照《2025年省控地表水监测及评价方案》要求，对未开展监测的18个断面，采用该断面上一个邻近月份的监测数据进行替代。监测评价指标为pH、溶解氧、高锰酸盐指数、化学需氧量、五日生化需氧量、氨氮、总磷、铜、锌、氟化物、硒、砷、汞、镉、六价铬、铅、氰化物、挥发酚、石油类、阴离子表面活性剂、硫化物共21项。监测评价标准为《地表水环境质量标准》(GB3838-2002)。其中</w:t>
            </w:r>
            <w:r>
              <w:rPr>
                <w:rFonts w:hint="eastAsia"/>
                <w:caps w:val="0"/>
                <w:color w:val="auto"/>
                <w:spacing w:val="0"/>
                <w:position w:val="0"/>
                <w:highlight w:val="none"/>
                <w:lang w:val="en-US" w:eastAsia="zh-CN"/>
              </w:rPr>
              <w:t>肖江</w:t>
            </w:r>
            <w:r>
              <w:rPr>
                <w:rFonts w:hint="eastAsia"/>
                <w:caps w:val="0"/>
                <w:color w:val="auto"/>
                <w:spacing w:val="0"/>
                <w:position w:val="0"/>
                <w:highlight w:val="none"/>
              </w:rPr>
              <w:t>断面监测相关数据均能满足《地表水环境质量标准》（GB3838-2002）Ⅲ类标准，</w:t>
            </w:r>
            <w:r>
              <w:rPr>
                <w:rFonts w:hint="eastAsia" w:ascii="Times New Roman" w:eastAsia="宋体"/>
                <w:caps w:val="0"/>
                <w:color w:val="auto"/>
                <w:spacing w:val="0"/>
                <w:position w:val="0"/>
                <w:highlight w:val="none"/>
                <w:lang w:val="en-US" w:eastAsia="zh-CN"/>
              </w:rPr>
              <w:t>肖江</w:t>
            </w:r>
            <w:r>
              <w:rPr>
                <w:rFonts w:hint="eastAsia"/>
                <w:caps w:val="0"/>
                <w:color w:val="auto"/>
                <w:spacing w:val="0"/>
                <w:position w:val="0"/>
                <w:highlight w:val="none"/>
              </w:rPr>
              <w:t>地表水环境现状良好。202</w:t>
            </w:r>
            <w:r>
              <w:rPr>
                <w:rFonts w:hint="eastAsia"/>
                <w:caps w:val="0"/>
                <w:color w:val="auto"/>
                <w:spacing w:val="0"/>
                <w:position w:val="0"/>
                <w:highlight w:val="none"/>
                <w:lang w:val="en-US" w:eastAsia="zh-CN"/>
              </w:rPr>
              <w:t>5</w:t>
            </w:r>
            <w:r>
              <w:rPr>
                <w:rFonts w:hint="eastAsia"/>
                <w:caps w:val="0"/>
                <w:color w:val="auto"/>
                <w:spacing w:val="0"/>
                <w:position w:val="0"/>
                <w:highlight w:val="none"/>
              </w:rPr>
              <w:t>年</w:t>
            </w:r>
            <w:r>
              <w:rPr>
                <w:rFonts w:hint="eastAsia"/>
                <w:caps w:val="0"/>
                <w:color w:val="auto"/>
                <w:spacing w:val="0"/>
                <w:position w:val="0"/>
                <w:highlight w:val="none"/>
                <w:lang w:val="en-US" w:eastAsia="zh-CN"/>
              </w:rPr>
              <w:t>8</w:t>
            </w:r>
            <w:r>
              <w:rPr>
                <w:rFonts w:hint="eastAsia"/>
                <w:caps w:val="0"/>
                <w:color w:val="auto"/>
                <w:spacing w:val="0"/>
                <w:position w:val="0"/>
                <w:highlight w:val="none"/>
              </w:rPr>
              <w:t>月</w:t>
            </w:r>
            <w:r>
              <w:rPr>
                <w:rFonts w:hint="eastAsia"/>
                <w:caps w:val="0"/>
                <w:color w:val="auto"/>
                <w:spacing w:val="0"/>
                <w:position w:val="0"/>
                <w:highlight w:val="none"/>
                <w:lang w:val="en-US" w:eastAsia="zh-CN"/>
              </w:rPr>
              <w:t>高安市</w:t>
            </w:r>
            <w:r>
              <w:rPr>
                <w:rFonts w:hint="eastAsia" w:ascii="Times New Roman" w:eastAsia="宋体"/>
                <w:caps w:val="0"/>
                <w:color w:val="auto"/>
                <w:spacing w:val="0"/>
                <w:position w:val="0"/>
                <w:highlight w:val="none"/>
                <w:lang w:val="en-US" w:eastAsia="zh-CN"/>
              </w:rPr>
              <w:t>肖江</w:t>
            </w:r>
            <w:r>
              <w:rPr>
                <w:rFonts w:hint="eastAsia"/>
                <w:caps w:val="0"/>
                <w:color w:val="auto"/>
                <w:spacing w:val="0"/>
                <w:position w:val="0"/>
                <w:highlight w:val="none"/>
              </w:rPr>
              <w:t>各监测断面水质结果见下表。</w:t>
            </w:r>
          </w:p>
          <w:p w14:paraId="3A68DE4C">
            <w:pPr>
              <w:pStyle w:val="75"/>
              <w:keepNext w:val="0"/>
              <w:keepLines w:val="0"/>
              <w:numPr>
                <w:ilvl w:val="0"/>
                <w:numId w:val="5"/>
              </w:numPr>
              <w:suppressLineNumbers w:val="0"/>
              <w:bidi w:val="0"/>
              <w:spacing w:before="0" w:beforeAutospacing="0" w:after="0" w:afterAutospacing="0"/>
              <w:ind w:left="0" w:leftChars="0" w:right="0" w:firstLine="420" w:firstLineChars="0"/>
              <w:rPr>
                <w:rFonts w:hint="default"/>
                <w:caps w:val="0"/>
                <w:color w:val="auto"/>
                <w:spacing w:val="0"/>
                <w:position w:val="0"/>
                <w:highlight w:val="none"/>
              </w:rPr>
            </w:pPr>
            <w:r>
              <w:rPr>
                <w:rFonts w:hint="eastAsia"/>
                <w:caps w:val="0"/>
                <w:color w:val="auto"/>
                <w:spacing w:val="0"/>
                <w:position w:val="0"/>
                <w:highlight w:val="none"/>
              </w:rPr>
              <w:t>202</w:t>
            </w:r>
            <w:r>
              <w:rPr>
                <w:rFonts w:hint="eastAsia"/>
                <w:caps w:val="0"/>
                <w:color w:val="auto"/>
                <w:spacing w:val="0"/>
                <w:position w:val="0"/>
                <w:highlight w:val="none"/>
                <w:lang w:val="en-US" w:eastAsia="zh-CN"/>
              </w:rPr>
              <w:t>5</w:t>
            </w:r>
            <w:r>
              <w:rPr>
                <w:rFonts w:hint="eastAsia"/>
                <w:caps w:val="0"/>
                <w:color w:val="auto"/>
                <w:spacing w:val="0"/>
                <w:position w:val="0"/>
                <w:highlight w:val="none"/>
              </w:rPr>
              <w:t>年</w:t>
            </w:r>
            <w:r>
              <w:rPr>
                <w:rFonts w:hint="eastAsia"/>
                <w:caps w:val="0"/>
                <w:color w:val="auto"/>
                <w:spacing w:val="0"/>
                <w:position w:val="0"/>
                <w:highlight w:val="none"/>
                <w:lang w:val="en-US" w:eastAsia="zh-CN"/>
              </w:rPr>
              <w:t>8</w:t>
            </w:r>
            <w:r>
              <w:rPr>
                <w:rFonts w:hint="eastAsia"/>
                <w:caps w:val="0"/>
                <w:color w:val="auto"/>
                <w:spacing w:val="0"/>
                <w:position w:val="0"/>
                <w:highlight w:val="none"/>
              </w:rPr>
              <w:t>月</w:t>
            </w:r>
            <w:r>
              <w:rPr>
                <w:rFonts w:hint="eastAsia" w:ascii="Times New Roman" w:eastAsia="宋体"/>
                <w:caps w:val="0"/>
                <w:color w:val="auto"/>
                <w:spacing w:val="0"/>
                <w:position w:val="0"/>
                <w:highlight w:val="none"/>
                <w:lang w:val="en-US" w:eastAsia="zh-CN"/>
              </w:rPr>
              <w:t>肖江</w:t>
            </w:r>
            <w:r>
              <w:rPr>
                <w:rFonts w:hint="eastAsia"/>
                <w:caps w:val="0"/>
                <w:color w:val="auto"/>
                <w:spacing w:val="0"/>
                <w:position w:val="0"/>
                <w:highlight w:val="none"/>
              </w:rPr>
              <w:t>各断面水质监测评价结果一览表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0"/>
              <w:gridCol w:w="1034"/>
              <w:gridCol w:w="1160"/>
              <w:gridCol w:w="1160"/>
              <w:gridCol w:w="1286"/>
              <w:gridCol w:w="1034"/>
              <w:gridCol w:w="907"/>
              <w:gridCol w:w="849"/>
            </w:tblGrid>
            <w:tr w14:paraId="397A61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8" w:type="dxa"/>
                  <w:tcBorders>
                    <w:tl2br w:val="nil"/>
                    <w:tr2bl w:val="nil"/>
                  </w:tcBorders>
                  <w:vAlign w:val="center"/>
                </w:tcPr>
                <w:p w14:paraId="6674AD54">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序号</w:t>
                  </w:r>
                </w:p>
              </w:tc>
              <w:tc>
                <w:tcPr>
                  <w:tcW w:w="1134" w:type="dxa"/>
                  <w:tcBorders>
                    <w:tl2br w:val="nil"/>
                    <w:tr2bl w:val="nil"/>
                  </w:tcBorders>
                  <w:vAlign w:val="center"/>
                </w:tcPr>
                <w:p w14:paraId="49AE00B1">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流域名称</w:t>
                  </w:r>
                </w:p>
              </w:tc>
              <w:tc>
                <w:tcPr>
                  <w:tcW w:w="1276" w:type="dxa"/>
                  <w:tcBorders>
                    <w:tl2br w:val="nil"/>
                    <w:tr2bl w:val="nil"/>
                  </w:tcBorders>
                  <w:vAlign w:val="center"/>
                </w:tcPr>
                <w:p w14:paraId="54A1371D">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河流名称</w:t>
                  </w:r>
                </w:p>
              </w:tc>
              <w:tc>
                <w:tcPr>
                  <w:tcW w:w="1276" w:type="dxa"/>
                  <w:tcBorders>
                    <w:tl2br w:val="nil"/>
                    <w:tr2bl w:val="nil"/>
                  </w:tcBorders>
                  <w:vAlign w:val="center"/>
                </w:tcPr>
                <w:p w14:paraId="252A4EC0">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断面</w:t>
                  </w:r>
                  <w:r>
                    <w:rPr>
                      <w:rFonts w:hint="eastAsia"/>
                      <w:b/>
                      <w:bCs/>
                      <w:caps w:val="0"/>
                      <w:color w:val="auto"/>
                      <w:spacing w:val="0"/>
                      <w:position w:val="0"/>
                      <w:highlight w:val="none"/>
                    </w:rPr>
                    <w:t>名称</w:t>
                  </w:r>
                </w:p>
              </w:tc>
              <w:tc>
                <w:tcPr>
                  <w:tcW w:w="1417" w:type="dxa"/>
                  <w:tcBorders>
                    <w:tl2br w:val="nil"/>
                    <w:tr2bl w:val="nil"/>
                  </w:tcBorders>
                  <w:vAlign w:val="center"/>
                </w:tcPr>
                <w:p w14:paraId="0231B02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断面属性</w:t>
                  </w:r>
                </w:p>
              </w:tc>
              <w:tc>
                <w:tcPr>
                  <w:tcW w:w="1134" w:type="dxa"/>
                  <w:tcBorders>
                    <w:tl2br w:val="nil"/>
                    <w:tr2bl w:val="nil"/>
                  </w:tcBorders>
                  <w:vAlign w:val="center"/>
                </w:tcPr>
                <w:p w14:paraId="631BF06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水质类别（类）</w:t>
                  </w:r>
                </w:p>
              </w:tc>
              <w:tc>
                <w:tcPr>
                  <w:tcW w:w="992" w:type="dxa"/>
                  <w:tcBorders>
                    <w:tl2br w:val="nil"/>
                    <w:tr2bl w:val="nil"/>
                  </w:tcBorders>
                  <w:vAlign w:val="center"/>
                </w:tcPr>
                <w:p w14:paraId="22924FE1">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执行</w:t>
                  </w:r>
                </w:p>
                <w:p w14:paraId="41E31C73">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标准</w:t>
                  </w:r>
                </w:p>
              </w:tc>
              <w:tc>
                <w:tcPr>
                  <w:tcW w:w="926" w:type="dxa"/>
                  <w:tcBorders>
                    <w:tl2br w:val="nil"/>
                    <w:tr2bl w:val="nil"/>
                  </w:tcBorders>
                  <w:vAlign w:val="center"/>
                </w:tcPr>
                <w:p w14:paraId="0F7D526F">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超标</w:t>
                  </w:r>
                </w:p>
                <w:p w14:paraId="40C750FA">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因子</w:t>
                  </w:r>
                </w:p>
              </w:tc>
            </w:tr>
            <w:tr w14:paraId="6015CA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8" w:type="dxa"/>
                  <w:tcBorders>
                    <w:tl2br w:val="nil"/>
                    <w:tr2bl w:val="nil"/>
                  </w:tcBorders>
                  <w:vAlign w:val="center"/>
                </w:tcPr>
                <w:p w14:paraId="26FD838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1</w:t>
                  </w:r>
                </w:p>
              </w:tc>
              <w:tc>
                <w:tcPr>
                  <w:tcW w:w="1134" w:type="dxa"/>
                  <w:tcBorders>
                    <w:tl2br w:val="nil"/>
                    <w:tr2bl w:val="nil"/>
                  </w:tcBorders>
                  <w:vAlign w:val="center"/>
                </w:tcPr>
                <w:p w14:paraId="1EFF051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赣江流域</w:t>
                  </w:r>
                </w:p>
              </w:tc>
              <w:tc>
                <w:tcPr>
                  <w:tcW w:w="1276" w:type="dxa"/>
                  <w:tcBorders>
                    <w:tl2br w:val="nil"/>
                    <w:tr2bl w:val="nil"/>
                  </w:tcBorders>
                  <w:vAlign w:val="center"/>
                </w:tcPr>
                <w:p w14:paraId="29F6B17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肖江</w:t>
                  </w:r>
                </w:p>
              </w:tc>
              <w:tc>
                <w:tcPr>
                  <w:tcW w:w="1276" w:type="dxa"/>
                  <w:tcBorders>
                    <w:tl2br w:val="nil"/>
                    <w:tr2bl w:val="nil"/>
                  </w:tcBorders>
                  <w:vAlign w:val="center"/>
                </w:tcPr>
                <w:p w14:paraId="66AB2D4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丰城皮家组</w:t>
                  </w:r>
                </w:p>
              </w:tc>
              <w:tc>
                <w:tcPr>
                  <w:tcW w:w="1417" w:type="dxa"/>
                  <w:tcBorders>
                    <w:tl2br w:val="nil"/>
                    <w:tr2bl w:val="nil"/>
                  </w:tcBorders>
                  <w:vAlign w:val="center"/>
                </w:tcPr>
                <w:p w14:paraId="02369D9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省考、省控、县界</w:t>
                  </w:r>
                </w:p>
              </w:tc>
              <w:tc>
                <w:tcPr>
                  <w:tcW w:w="1134" w:type="dxa"/>
                  <w:tcBorders>
                    <w:tl2br w:val="nil"/>
                    <w:tr2bl w:val="nil"/>
                  </w:tcBorders>
                  <w:vAlign w:val="center"/>
                </w:tcPr>
                <w:p w14:paraId="4FF3E95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Ⅱ</w:t>
                  </w:r>
                </w:p>
              </w:tc>
              <w:tc>
                <w:tcPr>
                  <w:tcW w:w="992" w:type="dxa"/>
                  <w:tcBorders>
                    <w:tl2br w:val="nil"/>
                    <w:tr2bl w:val="nil"/>
                  </w:tcBorders>
                  <w:vAlign w:val="center"/>
                </w:tcPr>
                <w:p w14:paraId="5B4B501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Ⅲ</w:t>
                  </w:r>
                </w:p>
              </w:tc>
              <w:tc>
                <w:tcPr>
                  <w:tcW w:w="926" w:type="dxa"/>
                  <w:tcBorders>
                    <w:tl2br w:val="nil"/>
                    <w:tr2bl w:val="nil"/>
                  </w:tcBorders>
                  <w:vAlign w:val="center"/>
                </w:tcPr>
                <w:p w14:paraId="734CB05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无</w:t>
                  </w:r>
                </w:p>
              </w:tc>
            </w:tr>
            <w:tr w14:paraId="084B66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8" w:type="dxa"/>
                  <w:tcBorders>
                    <w:tl2br w:val="nil"/>
                    <w:tr2bl w:val="nil"/>
                  </w:tcBorders>
                  <w:vAlign w:val="center"/>
                </w:tcPr>
                <w:p w14:paraId="351F6DD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2</w:t>
                  </w:r>
                </w:p>
              </w:tc>
              <w:tc>
                <w:tcPr>
                  <w:tcW w:w="1134" w:type="dxa"/>
                  <w:tcBorders>
                    <w:tl2br w:val="nil"/>
                    <w:tr2bl w:val="nil"/>
                  </w:tcBorders>
                  <w:vAlign w:val="center"/>
                </w:tcPr>
                <w:p w14:paraId="11C5DE0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赣江流域</w:t>
                  </w:r>
                </w:p>
              </w:tc>
              <w:tc>
                <w:tcPr>
                  <w:tcW w:w="1276" w:type="dxa"/>
                  <w:tcBorders>
                    <w:tl2br w:val="nil"/>
                    <w:tr2bl w:val="nil"/>
                  </w:tcBorders>
                  <w:vAlign w:val="center"/>
                </w:tcPr>
                <w:p w14:paraId="6EE43F6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肖江</w:t>
                  </w:r>
                </w:p>
              </w:tc>
              <w:tc>
                <w:tcPr>
                  <w:tcW w:w="1276" w:type="dxa"/>
                  <w:tcBorders>
                    <w:tl2br w:val="nil"/>
                    <w:tr2bl w:val="nil"/>
                  </w:tcBorders>
                  <w:vAlign w:val="center"/>
                </w:tcPr>
                <w:p w14:paraId="4560885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肖江江口</w:t>
                  </w:r>
                </w:p>
              </w:tc>
              <w:tc>
                <w:tcPr>
                  <w:tcW w:w="1417" w:type="dxa"/>
                  <w:tcBorders>
                    <w:tl2br w:val="nil"/>
                    <w:tr2bl w:val="nil"/>
                  </w:tcBorders>
                  <w:vAlign w:val="center"/>
                </w:tcPr>
                <w:p w14:paraId="235A4CB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国考、国控</w:t>
                  </w:r>
                </w:p>
              </w:tc>
              <w:tc>
                <w:tcPr>
                  <w:tcW w:w="1134" w:type="dxa"/>
                  <w:tcBorders>
                    <w:tl2br w:val="nil"/>
                    <w:tr2bl w:val="nil"/>
                  </w:tcBorders>
                  <w:vAlign w:val="center"/>
                </w:tcPr>
                <w:p w14:paraId="5A3CDDC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Ⅲ</w:t>
                  </w:r>
                </w:p>
              </w:tc>
              <w:tc>
                <w:tcPr>
                  <w:tcW w:w="992" w:type="dxa"/>
                  <w:tcBorders>
                    <w:tl2br w:val="nil"/>
                    <w:tr2bl w:val="nil"/>
                  </w:tcBorders>
                  <w:vAlign w:val="center"/>
                </w:tcPr>
                <w:p w14:paraId="6C15972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Ⅲ</w:t>
                  </w:r>
                </w:p>
              </w:tc>
              <w:tc>
                <w:tcPr>
                  <w:tcW w:w="926" w:type="dxa"/>
                  <w:tcBorders>
                    <w:tl2br w:val="nil"/>
                    <w:tr2bl w:val="nil"/>
                  </w:tcBorders>
                  <w:vAlign w:val="center"/>
                </w:tcPr>
                <w:p w14:paraId="1353936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无</w:t>
                  </w:r>
                </w:p>
              </w:tc>
            </w:tr>
          </w:tbl>
          <w:p w14:paraId="3A80AE2F">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eastAsia"/>
                <w:b/>
                <w:bCs w:val="0"/>
                <w:caps w:val="0"/>
                <w:color w:val="auto"/>
                <w:spacing w:val="0"/>
                <w:position w:val="0"/>
                <w:highlight w:val="none"/>
              </w:rPr>
              <w:t>三、声环境质量</w:t>
            </w:r>
          </w:p>
          <w:p w14:paraId="51BEB4BB">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default"/>
                <w:caps w:val="0"/>
                <w:color w:val="auto"/>
                <w:spacing w:val="0"/>
                <w:position w:val="0"/>
                <w:highlight w:val="none"/>
              </w:rPr>
              <w:t>根据《建设项目环境影响报告表编制技术指南》（污染影响类）（试行）内容：“厂界外周边50米范围内存在声环境保护目标的建设项目，应监测保护目标声环境质量现状并评价达标情况。</w:t>
            </w:r>
            <w:r>
              <w:rPr>
                <w:rFonts w:hint="eastAsia"/>
                <w:caps w:val="0"/>
                <w:color w:val="auto"/>
                <w:spacing w:val="0"/>
                <w:position w:val="0"/>
                <w:highlight w:val="none"/>
              </w:rPr>
              <w:t>本项目建设地点位于</w:t>
            </w:r>
            <w:r>
              <w:rPr>
                <w:rFonts w:hint="eastAsia"/>
                <w:caps w:val="0"/>
                <w:color w:val="auto"/>
                <w:spacing w:val="0"/>
                <w:position w:val="0"/>
                <w:highlight w:val="none"/>
                <w:lang w:eastAsia="zh-CN"/>
              </w:rPr>
              <w:t>江西省宜春市高安市建山镇枫林村(原泰华公司工业广场南面场地)</w:t>
            </w:r>
            <w:r>
              <w:rPr>
                <w:rFonts w:hint="eastAsia"/>
                <w:caps w:val="0"/>
                <w:color w:val="auto"/>
                <w:spacing w:val="0"/>
                <w:position w:val="0"/>
                <w:highlight w:val="none"/>
              </w:rPr>
              <w:t>，</w:t>
            </w:r>
            <w:r>
              <w:rPr>
                <w:rFonts w:hint="default"/>
                <w:caps w:val="0"/>
                <w:color w:val="auto"/>
                <w:spacing w:val="0"/>
                <w:position w:val="0"/>
                <w:highlight w:val="none"/>
              </w:rPr>
              <w:t>根据现场踏勘，</w:t>
            </w:r>
            <w:r>
              <w:rPr>
                <w:rFonts w:hint="eastAsia"/>
                <w:caps w:val="0"/>
                <w:color w:val="auto"/>
                <w:spacing w:val="0"/>
                <w:position w:val="0"/>
                <w:highlight w:val="none"/>
              </w:rPr>
              <w:t>本项目生产厂房边界50米范围内无敏感点，无需进行噪声监测。</w:t>
            </w:r>
          </w:p>
          <w:p w14:paraId="6333D9DA">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eastAsia"/>
                <w:b/>
                <w:bCs w:val="0"/>
                <w:caps w:val="0"/>
                <w:color w:val="auto"/>
                <w:spacing w:val="0"/>
                <w:position w:val="0"/>
                <w:highlight w:val="none"/>
              </w:rPr>
              <w:t>四、地下水、土壤环境</w:t>
            </w:r>
          </w:p>
          <w:p w14:paraId="4217D70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根据《建设项目环境影响报告表编制技术指南（污染影响类）（试行）》要求，原则上不开展环境质量现状调查。建设项目存在土壤、地下水环境污染途径的，应结合污染源、保护目标分布情况开展现状调查以留作背景值。</w:t>
            </w:r>
          </w:p>
          <w:p w14:paraId="46AA6D73">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b/>
                <w:bCs w:val="0"/>
                <w:caps w:val="0"/>
                <w:color w:val="auto"/>
                <w:spacing w:val="0"/>
                <w:position w:val="0"/>
                <w:highlight w:val="none"/>
              </w:rPr>
              <w:t>地下水、土壤：</w:t>
            </w:r>
            <w:r>
              <w:rPr>
                <w:rFonts w:hint="default"/>
                <w:caps w:val="0"/>
                <w:color w:val="auto"/>
                <w:spacing w:val="0"/>
                <w:position w:val="0"/>
                <w:highlight w:val="none"/>
              </w:rPr>
              <w:t>本项目使用的锂冶炼剩余物来源于二次提锂企业产生的水洗渣，为一般工业固废，主要来源于研硕科技，锂冶炼剩余物（水洗渣）中污染物需满足《公路路基工程利用锂渣技术规范（试行）》（DB36/T1968-2024）表1改性锂冶炼剩余物浸出液污染物浓度限值要求。</w:t>
            </w:r>
          </w:p>
          <w:p w14:paraId="3714B749">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rPr>
              <w:t>项目不排放重金属污染物和第一类水污染物。主要生产区、</w:t>
            </w:r>
            <w:r>
              <w:rPr>
                <w:rFonts w:hint="eastAsia"/>
                <w:caps w:val="0"/>
                <w:color w:val="auto"/>
                <w:spacing w:val="0"/>
                <w:position w:val="0"/>
                <w:highlight w:val="none"/>
                <w:lang w:val="en-US" w:eastAsia="zh-CN"/>
              </w:rPr>
              <w:t>初期雨水池、</w:t>
            </w:r>
            <w:r>
              <w:rPr>
                <w:rFonts w:hint="default"/>
                <w:caps w:val="0"/>
                <w:color w:val="auto"/>
                <w:spacing w:val="0"/>
                <w:position w:val="0"/>
                <w:highlight w:val="none"/>
              </w:rPr>
              <w:t>沉淀池</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养护区、锂渣仓库、洗车平台、危废暂存间、一般固废间、化粪池</w:t>
            </w:r>
            <w:r>
              <w:rPr>
                <w:rFonts w:hint="default"/>
                <w:caps w:val="0"/>
                <w:color w:val="auto"/>
                <w:spacing w:val="0"/>
                <w:position w:val="0"/>
                <w:highlight w:val="none"/>
              </w:rPr>
              <w:t>均落实相关防渗、硬化工作，项目排放的废气均可厂界达标排放，不会污染到地下水、土壤环境，可不开展环境质量现状调查。</w:t>
            </w:r>
          </w:p>
          <w:p w14:paraId="4FA44CE8">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五、生态环境现状</w:t>
            </w:r>
          </w:p>
          <w:p w14:paraId="40120944">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（1）生态功能区划</w:t>
            </w:r>
          </w:p>
          <w:p w14:paraId="09A80C70">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根据《江西省生态功能区划》，该项目评价区属于I赣北平原湖泊生态区，I-1 鄱阳湖平原北部农田与水域生态亚区，I-3-3 赣江下游河谷平原农业环境保护与防洪分蓄洪生态功能区。项目所在地生态功能区划见图 3-1。</w:t>
            </w:r>
          </w:p>
          <w:p w14:paraId="28D08F38">
            <w:pPr>
              <w:pStyle w:val="74"/>
              <w:keepNext w:val="0"/>
              <w:keepLines w:val="0"/>
              <w:suppressLineNumbers w:val="0"/>
              <w:bidi w:val="0"/>
              <w:spacing w:before="0" w:beforeAutospacing="0" w:after="0" w:afterAutospacing="0"/>
              <w:ind w:left="0" w:leftChars="0" w:right="0" w:firstLine="0" w:firstLineChars="0"/>
              <w:jc w:val="center"/>
              <w:rPr>
                <w:rStyle w:val="79"/>
                <w:rFonts w:hint="default"/>
                <w:bCs/>
                <w:caps w:val="0"/>
                <w:color w:val="auto"/>
                <w:spacing w:val="0"/>
                <w:position w:val="0"/>
                <w:highlight w:val="none"/>
              </w:rPr>
            </w:pPr>
            <w:r>
              <w:rPr>
                <w:rFonts w:hint="default"/>
                <w:caps w:val="0"/>
                <w:color w:val="auto"/>
                <w:spacing w:val="0"/>
                <w:position w:val="0"/>
                <w:highlight w:val="none"/>
              </w:rPr>
              <w:drawing>
                <wp:inline distT="0" distB="0" distL="0" distR="0">
                  <wp:extent cx="5173980" cy="4073525"/>
                  <wp:effectExtent l="0" t="0" r="7620" b="3175"/>
                  <wp:docPr id="33" name="IM 24"/>
                  <wp:cNvGraphicFramePr/>
                  <a:graphic xmlns:a="http://schemas.openxmlformats.org/drawingml/2006/main">
                    <a:graphicData uri="http://schemas.openxmlformats.org/drawingml/2006/picture">
                      <pic:pic xmlns:pic="http://schemas.openxmlformats.org/drawingml/2006/picture">
                        <pic:nvPicPr>
                          <pic:cNvPr id="33" name="IM 24"/>
                          <pic:cNvPicPr/>
                        </pic:nvPicPr>
                        <pic:blipFill>
                          <a:blip r:embed="rId13"/>
                          <a:stretch>
                            <a:fillRect/>
                          </a:stretch>
                        </pic:blipFill>
                        <pic:spPr>
                          <a:xfrm>
                            <a:off x="0" y="0"/>
                            <a:ext cx="5173980" cy="4073525"/>
                          </a:xfrm>
                          <a:prstGeom prst="rect">
                            <a:avLst/>
                          </a:prstGeom>
                        </pic:spPr>
                      </pic:pic>
                    </a:graphicData>
                  </a:graphic>
                </wp:inline>
              </w:drawing>
            </w:r>
            <w:r>
              <w:rPr>
                <w:rFonts w:hint="default"/>
                <w:caps w:val="0"/>
                <w:color w:val="auto"/>
                <w:spacing w:val="0"/>
                <w:position w:val="0"/>
                <w:sz w:val="24"/>
                <w:highlight w:val="none"/>
              </w:rPr>
              <mc:AlternateContent>
                <mc:Choice Requires="wps">
                  <w:drawing>
                    <wp:anchor distT="0" distB="0" distL="114300" distR="114300" simplePos="0" relativeHeight="251662336" behindDoc="0" locked="0" layoutInCell="1" allowOverlap="1">
                      <wp:simplePos x="0" y="0"/>
                      <wp:positionH relativeFrom="column">
                        <wp:posOffset>1826260</wp:posOffset>
                      </wp:positionH>
                      <wp:positionV relativeFrom="paragraph">
                        <wp:posOffset>2717165</wp:posOffset>
                      </wp:positionV>
                      <wp:extent cx="123190" cy="88900"/>
                      <wp:effectExtent l="24765" t="15875" r="42545" b="28575"/>
                      <wp:wrapNone/>
                      <wp:docPr id="34" name="五角星 34"/>
                      <wp:cNvGraphicFramePr/>
                      <a:graphic xmlns:a="http://schemas.openxmlformats.org/drawingml/2006/main">
                        <a:graphicData uri="http://schemas.microsoft.com/office/word/2010/wordprocessingShape">
                          <wps:wsp>
                            <wps:cNvSpPr/>
                            <wps:spPr>
                              <a:xfrm>
                                <a:off x="3335020" y="5914390"/>
                                <a:ext cx="123190" cy="88900"/>
                              </a:xfrm>
                              <a:prstGeom prst="star5">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43.8pt;margin-top:213.95pt;height:7pt;width:9.7pt;z-index:251662336;v-text-anchor:middle;mso-width-relative:page;mso-height-relative:page;" fillcolor="#FF0000" filled="t" stroked="t" coordsize="123190,88900" o:gfxdata="UEsDBAoAAAAAAIdO4kAAAAAAAAAAAAAAAAAEAAAAZHJzL1BLAwQUAAAACACHTuJAZYxp9toAAAAL&#10;AQAADwAAAGRycy9kb3ducmV2LnhtbE2PPU/DMBCGdyT+g3VILBW1E6IkDXE6IJDoVloEqxu7SUR8&#10;jmKnbf59j6mM996j96NcX2zPTmb0nUMJ0VIAM1g73WEj4Wv//pQD80GhVr1DI2E2HtbV/V2pCu3O&#10;+GlOu9AwMkFfKAltCEPBua9bY5VfusEg/Y5utCrQOTZcj+pM5rbnsRApt6pDSmjVYF5bU//uJku5&#10;m+95u1hsp/0xj7r57SP92SSplI8PkXgBFswl3GD4q0/VoaJOBzeh9qyXEOdZSqiEJM5WwIh4Fhmt&#10;O5CSRCvgVcn/b6iuUEsDBBQAAAAIAIdO4kDh2pZAfAIAAAQFAAAOAAAAZHJzL2Uyb0RvYy54bWyt&#10;VEtuFDEQ3SNxB8t70j0/kozSE40yGoQUkUgBsfa43dOW/MP2fMIxEAt2WXIHzoMQx+DZ3fnCIgtm&#10;4alyVb+qelXlk9O9VmQrfJDWVHRwUFIiDLe1NOuKfni/fHVESYjM1ExZIyp6LQI9nb18cbJzUzG0&#10;rVW18AQgJkx3rqJtjG5aFIG3QrNwYJ0wMDbWaxah+nVRe7YDulbFsCxfFzvra+ctFyHgdtEZaY/o&#10;nwNom0ZysbB8o4WJHaoXikWUFFrpAp3lbJtG8HjRNEFEoiqKSmM+EQTyKp3F7IRN1565VvI+Bfac&#10;FJ7UpJk0CHoHtWCRkY2Xf0Fpyb0NtokH3OqiKyQzgioG5RNurlrmRK4FVAd3R3r4f7D83fbSE1lX&#10;dDSmxDCNjv/88fX39y+/vt0Q3IGgnQtT+F25S99rAWKqdt94nf5RB9kDYjSalENQe13RyfFgPDru&#10;CRb7SDgcBsPRAHeEw+Ho6LjM5uIex/kQ3wirSRIqijH0k0wr256HiODwvfVJcYNVsl5KpbLi16sz&#10;5cmWodfLZYlfyh6fPHJThuxSJocwE84wwQ0mB6J2YCGYNSVMrbEaPPoc+9HX4XlBUpILFtoumYzQ&#10;jZqWEdujpAYBKcPbFJVBponojtokrWx9jd542w1tcHwpAXvOQrxkHlOK/LHH8QJHoyyKsr1ESWv9&#10;53/dJ38MD6yU7DD1KPjThnlBiXprMFZo2hiwMSvjyWFqpn9oWT20mI0+syB7gBfD8Swm/6huxcZb&#10;/RHrPk9RYWKGI3ZHba+cxW4b8WBwMZ9nN6yGY/HcXDmewFNzjZ1vom1kHoJ7dnrSsBy50f0ip+17&#10;qGev+8dr9g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BljGn22gAAAAsBAAAPAAAAAAAAAAEAIAAA&#10;ACIAAABkcnMvZG93bnJldi54bWxQSwECFAAUAAAACACHTuJA4dqWQHwCAAAEBQAADgAAAAAAAAAB&#10;ACAAAAApAQAAZHJzL2Uyb0RvYy54bWxQSwUGAAAAAAYABgBZAQAAFwYAAAAA&#10;" path="m0,33956l47054,33956,61595,0,76135,33956,123189,33956,85121,54942,99662,88899,61595,67913,23527,88899,38068,54942xe">
                      <v:path o:connectlocs="61595,0;0,33956;23527,88899;99662,88899;123189,33956" o:connectangles="247,164,82,82,0"/>
                      <v:fill on="t" focussize="0,0"/>
                      <v:stroke weight="1pt" color="#FF0000 [2404]" miterlimit="8" joinstyle="miter"/>
                      <v:imagedata o:title=""/>
                      <o:lock v:ext="edit" aspectratio="f"/>
                    </v:shape>
                  </w:pict>
                </mc:Fallback>
              </mc:AlternateContent>
            </w:r>
            <w:r>
              <w:rPr>
                <w:rStyle w:val="79"/>
                <w:rFonts w:hint="default"/>
                <w:bCs/>
                <w:caps w:val="0"/>
                <w:color w:val="auto"/>
                <w:spacing w:val="0"/>
                <w:position w:val="0"/>
                <w:highlight w:val="none"/>
              </w:rPr>
              <w:t>图3-1 生态功能区划图</w:t>
            </w:r>
          </w:p>
          <w:p w14:paraId="716AE53E">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（2）生态环境总体概况</w:t>
            </w:r>
          </w:p>
          <w:p w14:paraId="79E7896A">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本项目位于</w:t>
            </w:r>
            <w:r>
              <w:rPr>
                <w:rFonts w:hint="eastAsia"/>
                <w:caps w:val="0"/>
                <w:color w:val="auto"/>
                <w:spacing w:val="0"/>
                <w:position w:val="0"/>
                <w:highlight w:val="none"/>
                <w:lang w:val="en-US" w:eastAsia="zh-CN"/>
              </w:rPr>
              <w:t>租赁方</w:t>
            </w:r>
            <w:r>
              <w:rPr>
                <w:rFonts w:hint="default"/>
                <w:caps w:val="0"/>
                <w:color w:val="auto"/>
                <w:spacing w:val="0"/>
                <w:position w:val="0"/>
                <w:highlight w:val="none"/>
              </w:rPr>
              <w:t>原厂界范围内，符合生态环境分区管控要求、不涉及生态敏感区。</w:t>
            </w:r>
          </w:p>
          <w:p w14:paraId="223405FA">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（1）动物现状</w:t>
            </w:r>
          </w:p>
          <w:p w14:paraId="6EFBE835">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两栖类动物：常见种类有蟾蜍、黑斑蛙、泽蛙、沼蛙等常见蛙类为主。其中主要种类生态习性及其分布状况：中华蟾蛤，俗称“癞蛤蟆"栖于近水源或潮湿的灌草丛、池塘、村舍附近，也是种群数量最大的种类。黑斑蛙，又名“田鸡”或“青蛙”，常栖息于水田、河沟或近水草丛间。爬行类：厂区周边分布的爬行动物以中国石龙子、北草蜥等。偶见有灰鼠蛇、眼镜蛇、乌梢蛇等。但由于捕捉与生境的退化，野生爬行动物种群在逐渐下降，野生的乌龟、鳖等已很少见。</w:t>
            </w:r>
          </w:p>
          <w:p w14:paraId="60336D14">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评价区域尚未发现国家保护动物资源的分布。</w:t>
            </w:r>
          </w:p>
          <w:p w14:paraId="65D58546">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（2）植物现状</w:t>
            </w:r>
          </w:p>
          <w:p w14:paraId="32D6CDD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项目所在地沿线交通相对便利，加之沿线均有村落分布、农田水网交错，土地利用强度大，主要分布着旱地（花生为主）、水田，区间夹杂着部分人工马尾松林，涉及的植物主要有花生、玉米、蔬菜、水稻等常见的农作物及人工树木马尾松等。评价区域尚未发现国家重点保护植物和古树名木的分布。</w:t>
            </w:r>
          </w:p>
          <w:p w14:paraId="517D31E9">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（3）水生生态</w:t>
            </w:r>
          </w:p>
          <w:p w14:paraId="67AAF3A6">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根据现场调查，在项目周边200米范围内未发现国家保护的水生动物。</w:t>
            </w:r>
          </w:p>
          <w:p w14:paraId="5865628B">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周边水体鱼类主要以青鱼、草鱼、鲢鱼、鱼、鲫鱼鲤、鲫、青鱼、草鱼、鲶鱼、河鲶。底栖水生生物有虾、蚌、螺、鳅、鳝等。评价区河段无特有鱼类分布，无大型鱼类的产卵场、索饵场、越冬场、洄游通道等。</w:t>
            </w:r>
          </w:p>
          <w:p w14:paraId="1E8674B4">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（4）生态环境评价结论</w:t>
            </w:r>
          </w:p>
          <w:p w14:paraId="355ECDD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对照技术指南，本项目不属于园区范围内，项目周边有农田，但调查未发现在评价区内有需要重点保护的野生动物种群及其栖息地，环境敏感程度较低，周边也没有当地特有的野生动物种类。</w:t>
            </w:r>
          </w:p>
          <w:p w14:paraId="0F57F32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综上所述，项目区域及周边环境空气质量、地表水环境质量、声环境质量符合功能区划要求。</w:t>
            </w:r>
          </w:p>
        </w:tc>
      </w:tr>
      <w:tr w14:paraId="29B7A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1" w:hRule="atLeast"/>
          <w:jc w:val="center"/>
        </w:trPr>
        <w:tc>
          <w:tcPr>
            <w:tcW w:w="727" w:type="dxa"/>
            <w:vAlign w:val="center"/>
          </w:tcPr>
          <w:p w14:paraId="6FB3ACC8">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环境保护目标</w:t>
            </w:r>
          </w:p>
        </w:tc>
        <w:tc>
          <w:tcPr>
            <w:tcW w:w="8406" w:type="dxa"/>
          </w:tcPr>
          <w:p w14:paraId="5AF856F6">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根据现场踏勘，评价范围内无自然保护区、风景旅游点和文物古迹等需要特殊保护的环境敏感对象。根据区域环境特征和建设项目污染特征，确定本次评价环境保护目标见下表。</w:t>
            </w:r>
          </w:p>
          <w:p w14:paraId="033AC566">
            <w:pPr>
              <w:pStyle w:val="75"/>
              <w:keepNext w:val="0"/>
              <w:keepLines w:val="0"/>
              <w:numPr>
                <w:ilvl w:val="0"/>
                <w:numId w:val="5"/>
              </w:numPr>
              <w:suppressLineNumbers w:val="0"/>
              <w:bidi w:val="0"/>
              <w:spacing w:before="0" w:beforeAutospacing="0" w:after="0" w:afterAutospacing="0"/>
              <w:ind w:left="0" w:leftChars="0" w:right="0" w:firstLine="420" w:firstLineChars="0"/>
              <w:rPr>
                <w:rFonts w:hint="default"/>
                <w:caps w:val="0"/>
                <w:color w:val="auto"/>
                <w:spacing w:val="0"/>
                <w:position w:val="0"/>
                <w:highlight w:val="none"/>
              </w:rPr>
            </w:pPr>
            <w:r>
              <w:rPr>
                <w:rFonts w:hint="default"/>
                <w:caps w:val="0"/>
                <w:color w:val="auto"/>
                <w:spacing w:val="0"/>
                <w:position w:val="0"/>
                <w:highlight w:val="none"/>
              </w:rPr>
              <w:t>环境保护目标一览表</w:t>
            </w:r>
          </w:p>
          <w:tbl>
            <w:tblPr>
              <w:tblStyle w:val="23"/>
              <w:tblW w:w="819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88"/>
              <w:gridCol w:w="620"/>
              <w:gridCol w:w="656"/>
              <w:gridCol w:w="789"/>
              <w:gridCol w:w="562"/>
              <w:gridCol w:w="1274"/>
              <w:gridCol w:w="1090"/>
              <w:gridCol w:w="2412"/>
            </w:tblGrid>
            <w:tr w14:paraId="3E87DD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8" w:type="dxa"/>
                  <w:vMerge w:val="restart"/>
                  <w:tcBorders>
                    <w:tl2br w:val="nil"/>
                    <w:tr2bl w:val="nil"/>
                  </w:tcBorders>
                  <w:vAlign w:val="center"/>
                </w:tcPr>
                <w:p w14:paraId="2709E830">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环境</w:t>
                  </w:r>
                </w:p>
                <w:p w14:paraId="725918CF">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要素</w:t>
                  </w:r>
                </w:p>
              </w:tc>
              <w:tc>
                <w:tcPr>
                  <w:tcW w:w="1276" w:type="dxa"/>
                  <w:gridSpan w:val="2"/>
                  <w:tcBorders>
                    <w:tl2br w:val="nil"/>
                    <w:tr2bl w:val="nil"/>
                  </w:tcBorders>
                  <w:vAlign w:val="center"/>
                </w:tcPr>
                <w:p w14:paraId="7B1C3D90">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坐标</w:t>
                  </w:r>
                </w:p>
              </w:tc>
              <w:tc>
                <w:tcPr>
                  <w:tcW w:w="789" w:type="dxa"/>
                  <w:vMerge w:val="restart"/>
                  <w:tcBorders>
                    <w:tl2br w:val="nil"/>
                    <w:tr2bl w:val="nil"/>
                  </w:tcBorders>
                  <w:vAlign w:val="center"/>
                </w:tcPr>
                <w:p w14:paraId="0CCFF609">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对象名称</w:t>
                  </w:r>
                </w:p>
              </w:tc>
              <w:tc>
                <w:tcPr>
                  <w:tcW w:w="562" w:type="dxa"/>
                  <w:vMerge w:val="restart"/>
                  <w:tcBorders>
                    <w:tl2br w:val="nil"/>
                    <w:tr2bl w:val="nil"/>
                  </w:tcBorders>
                  <w:vAlign w:val="center"/>
                </w:tcPr>
                <w:p w14:paraId="0790D7EA">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方位</w:t>
                  </w:r>
                </w:p>
              </w:tc>
              <w:tc>
                <w:tcPr>
                  <w:tcW w:w="1274" w:type="dxa"/>
                  <w:vMerge w:val="restart"/>
                  <w:tcBorders>
                    <w:tl2br w:val="nil"/>
                    <w:tr2bl w:val="nil"/>
                  </w:tcBorders>
                  <w:vAlign w:val="center"/>
                </w:tcPr>
                <w:p w14:paraId="5D957C80">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与本项目</w:t>
                  </w:r>
                </w:p>
                <w:p w14:paraId="6993082C">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边界距离（m）</w:t>
                  </w:r>
                </w:p>
              </w:tc>
              <w:tc>
                <w:tcPr>
                  <w:tcW w:w="1090" w:type="dxa"/>
                  <w:vMerge w:val="restart"/>
                  <w:tcBorders>
                    <w:tl2br w:val="nil"/>
                    <w:tr2bl w:val="nil"/>
                  </w:tcBorders>
                  <w:vAlign w:val="center"/>
                </w:tcPr>
                <w:p w14:paraId="1312D3C0">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规模（人）</w:t>
                  </w:r>
                </w:p>
              </w:tc>
              <w:tc>
                <w:tcPr>
                  <w:tcW w:w="2412" w:type="dxa"/>
                  <w:vMerge w:val="restart"/>
                  <w:tcBorders>
                    <w:tl2br w:val="nil"/>
                    <w:tr2bl w:val="nil"/>
                  </w:tcBorders>
                  <w:vAlign w:val="center"/>
                </w:tcPr>
                <w:p w14:paraId="3309543D">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环境</w:t>
                  </w:r>
                </w:p>
                <w:p w14:paraId="5602A529">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功能</w:t>
                  </w:r>
                </w:p>
              </w:tc>
            </w:tr>
            <w:tr w14:paraId="5350C3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8" w:type="dxa"/>
                  <w:vMerge w:val="continue"/>
                  <w:tcBorders>
                    <w:tl2br w:val="nil"/>
                    <w:tr2bl w:val="nil"/>
                  </w:tcBorders>
                  <w:vAlign w:val="center"/>
                </w:tcPr>
                <w:p w14:paraId="504C87CB">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620" w:type="dxa"/>
                  <w:tcBorders>
                    <w:tl2br w:val="nil"/>
                    <w:tr2bl w:val="nil"/>
                  </w:tcBorders>
                  <w:vAlign w:val="center"/>
                </w:tcPr>
                <w:p w14:paraId="681D7E15">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X</w:t>
                  </w:r>
                </w:p>
              </w:tc>
              <w:tc>
                <w:tcPr>
                  <w:tcW w:w="656" w:type="dxa"/>
                  <w:tcBorders>
                    <w:tl2br w:val="nil"/>
                    <w:tr2bl w:val="nil"/>
                  </w:tcBorders>
                  <w:vAlign w:val="center"/>
                </w:tcPr>
                <w:p w14:paraId="48F35720">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Y</w:t>
                  </w:r>
                </w:p>
              </w:tc>
              <w:tc>
                <w:tcPr>
                  <w:tcW w:w="789" w:type="dxa"/>
                  <w:vMerge w:val="continue"/>
                  <w:tcBorders>
                    <w:tl2br w:val="nil"/>
                    <w:tr2bl w:val="nil"/>
                  </w:tcBorders>
                  <w:vAlign w:val="center"/>
                </w:tcPr>
                <w:p w14:paraId="798F48F8">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562" w:type="dxa"/>
                  <w:vMerge w:val="continue"/>
                  <w:tcBorders>
                    <w:tl2br w:val="nil"/>
                    <w:tr2bl w:val="nil"/>
                  </w:tcBorders>
                  <w:vAlign w:val="center"/>
                </w:tcPr>
                <w:p w14:paraId="05DFF6AA">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274" w:type="dxa"/>
                  <w:vMerge w:val="continue"/>
                  <w:tcBorders>
                    <w:tl2br w:val="nil"/>
                    <w:tr2bl w:val="nil"/>
                  </w:tcBorders>
                  <w:vAlign w:val="center"/>
                </w:tcPr>
                <w:p w14:paraId="3B8AC7D2">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090" w:type="dxa"/>
                  <w:vMerge w:val="continue"/>
                  <w:tcBorders>
                    <w:tl2br w:val="nil"/>
                    <w:tr2bl w:val="nil"/>
                  </w:tcBorders>
                  <w:vAlign w:val="center"/>
                </w:tcPr>
                <w:p w14:paraId="203C3B4F">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2412" w:type="dxa"/>
                  <w:vMerge w:val="continue"/>
                  <w:tcBorders>
                    <w:tl2br w:val="nil"/>
                    <w:tr2bl w:val="nil"/>
                  </w:tcBorders>
                  <w:vAlign w:val="center"/>
                </w:tcPr>
                <w:p w14:paraId="00CABCFA">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2C7C7B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8" w:type="dxa"/>
                  <w:vMerge w:val="restart"/>
                  <w:tcBorders>
                    <w:tl2br w:val="nil"/>
                    <w:tr2bl w:val="nil"/>
                  </w:tcBorders>
                  <w:vAlign w:val="center"/>
                </w:tcPr>
                <w:p w14:paraId="553B454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环境空气</w:t>
                  </w:r>
                </w:p>
              </w:tc>
              <w:tc>
                <w:tcPr>
                  <w:tcW w:w="620" w:type="dxa"/>
                  <w:tcBorders>
                    <w:tl2br w:val="nil"/>
                    <w:tr2bl w:val="nil"/>
                  </w:tcBorders>
                  <w:vAlign w:val="center"/>
                </w:tcPr>
                <w:p w14:paraId="5154C4C0">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225.07</w:t>
                  </w:r>
                </w:p>
              </w:tc>
              <w:tc>
                <w:tcPr>
                  <w:tcW w:w="656" w:type="dxa"/>
                  <w:tcBorders>
                    <w:tl2br w:val="nil"/>
                    <w:tr2bl w:val="nil"/>
                  </w:tcBorders>
                  <w:vAlign w:val="center"/>
                </w:tcPr>
                <w:p w14:paraId="52452E67">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290.19</w:t>
                  </w:r>
                </w:p>
              </w:tc>
              <w:tc>
                <w:tcPr>
                  <w:tcW w:w="789" w:type="dxa"/>
                  <w:tcBorders>
                    <w:tl2br w:val="nil"/>
                    <w:tr2bl w:val="nil"/>
                  </w:tcBorders>
                  <w:vAlign w:val="center"/>
                </w:tcPr>
                <w:p w14:paraId="5771565E">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散居居民处</w:t>
                  </w:r>
                </w:p>
              </w:tc>
              <w:tc>
                <w:tcPr>
                  <w:tcW w:w="562" w:type="dxa"/>
                  <w:tcBorders>
                    <w:tl2br w:val="nil"/>
                    <w:tr2bl w:val="nil"/>
                  </w:tcBorders>
                  <w:vAlign w:val="center"/>
                </w:tcPr>
                <w:p w14:paraId="59317496">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东北</w:t>
                  </w:r>
                </w:p>
              </w:tc>
              <w:tc>
                <w:tcPr>
                  <w:tcW w:w="1274" w:type="dxa"/>
                  <w:tcBorders>
                    <w:tl2br w:val="nil"/>
                    <w:tr2bl w:val="nil"/>
                  </w:tcBorders>
                  <w:vAlign w:val="center"/>
                </w:tcPr>
                <w:p w14:paraId="65096BD1">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227</w:t>
                  </w:r>
                </w:p>
              </w:tc>
              <w:tc>
                <w:tcPr>
                  <w:tcW w:w="1090" w:type="dxa"/>
                  <w:tcBorders>
                    <w:tl2br w:val="nil"/>
                    <w:tr2bl w:val="nil"/>
                  </w:tcBorders>
                  <w:vAlign w:val="center"/>
                </w:tcPr>
                <w:p w14:paraId="36BB181D">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20</w:t>
                  </w:r>
                </w:p>
              </w:tc>
              <w:tc>
                <w:tcPr>
                  <w:tcW w:w="2412" w:type="dxa"/>
                  <w:vMerge w:val="restart"/>
                  <w:tcBorders>
                    <w:tl2br w:val="nil"/>
                    <w:tr2bl w:val="nil"/>
                  </w:tcBorders>
                  <w:vAlign w:val="center"/>
                </w:tcPr>
                <w:p w14:paraId="4BA0556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GB3095-2012二级标准</w:t>
                  </w:r>
                </w:p>
              </w:tc>
            </w:tr>
            <w:tr w14:paraId="4682DE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8" w:type="dxa"/>
                  <w:vMerge w:val="continue"/>
                  <w:tcBorders>
                    <w:tl2br w:val="nil"/>
                    <w:tr2bl w:val="nil"/>
                  </w:tcBorders>
                  <w:vAlign w:val="center"/>
                </w:tcPr>
                <w:p w14:paraId="147F276C">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620" w:type="dxa"/>
                  <w:tcBorders>
                    <w:tl2br w:val="nil"/>
                    <w:tr2bl w:val="nil"/>
                  </w:tcBorders>
                  <w:vAlign w:val="center"/>
                </w:tcPr>
                <w:p w14:paraId="7971C6F5">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-669.1</w:t>
                  </w:r>
                </w:p>
              </w:tc>
              <w:tc>
                <w:tcPr>
                  <w:tcW w:w="656" w:type="dxa"/>
                  <w:tcBorders>
                    <w:tl2br w:val="nil"/>
                    <w:tr2bl w:val="nil"/>
                  </w:tcBorders>
                  <w:vAlign w:val="center"/>
                </w:tcPr>
                <w:p w14:paraId="5C3B5F29">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-91.59</w:t>
                  </w:r>
                </w:p>
              </w:tc>
              <w:tc>
                <w:tcPr>
                  <w:tcW w:w="789" w:type="dxa"/>
                  <w:tcBorders>
                    <w:tl2br w:val="nil"/>
                    <w:tr2bl w:val="nil"/>
                  </w:tcBorders>
                  <w:vAlign w:val="center"/>
                </w:tcPr>
                <w:p w14:paraId="349D2F1C">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山背村</w:t>
                  </w:r>
                </w:p>
              </w:tc>
              <w:tc>
                <w:tcPr>
                  <w:tcW w:w="562" w:type="dxa"/>
                  <w:tcBorders>
                    <w:tl2br w:val="nil"/>
                    <w:tr2bl w:val="nil"/>
                  </w:tcBorders>
                  <w:vAlign w:val="center"/>
                </w:tcPr>
                <w:p w14:paraId="04F0D1EF">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西</w:t>
                  </w:r>
                </w:p>
              </w:tc>
              <w:tc>
                <w:tcPr>
                  <w:tcW w:w="1274" w:type="dxa"/>
                  <w:tcBorders>
                    <w:tl2br w:val="nil"/>
                    <w:tr2bl w:val="nil"/>
                  </w:tcBorders>
                  <w:vAlign w:val="center"/>
                </w:tcPr>
                <w:p w14:paraId="1AC27B3C">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370</w:t>
                  </w:r>
                </w:p>
              </w:tc>
              <w:tc>
                <w:tcPr>
                  <w:tcW w:w="1090" w:type="dxa"/>
                  <w:tcBorders>
                    <w:tl2br w:val="nil"/>
                    <w:tr2bl w:val="nil"/>
                  </w:tcBorders>
                  <w:vAlign w:val="center"/>
                </w:tcPr>
                <w:p w14:paraId="1A368C90">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200</w:t>
                  </w:r>
                </w:p>
              </w:tc>
              <w:tc>
                <w:tcPr>
                  <w:tcW w:w="2412" w:type="dxa"/>
                  <w:vMerge w:val="continue"/>
                  <w:tcBorders>
                    <w:tl2br w:val="nil"/>
                    <w:tr2bl w:val="nil"/>
                  </w:tcBorders>
                  <w:vAlign w:val="center"/>
                </w:tcPr>
                <w:p w14:paraId="0BB55735">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r>
            <w:tr w14:paraId="6A5DE2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8" w:type="dxa"/>
                  <w:vMerge w:val="continue"/>
                  <w:tcBorders>
                    <w:tl2br w:val="nil"/>
                    <w:tr2bl w:val="nil"/>
                  </w:tcBorders>
                  <w:vAlign w:val="center"/>
                </w:tcPr>
                <w:p w14:paraId="7B3A2E7E">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620" w:type="dxa"/>
                  <w:tcBorders>
                    <w:tl2br w:val="nil"/>
                    <w:tr2bl w:val="nil"/>
                  </w:tcBorders>
                  <w:vAlign w:val="center"/>
                </w:tcPr>
                <w:p w14:paraId="1EDC6A0D">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-568.5</w:t>
                  </w:r>
                </w:p>
              </w:tc>
              <w:tc>
                <w:tcPr>
                  <w:tcW w:w="656" w:type="dxa"/>
                  <w:tcBorders>
                    <w:tl2br w:val="nil"/>
                    <w:tr2bl w:val="nil"/>
                  </w:tcBorders>
                  <w:vAlign w:val="center"/>
                </w:tcPr>
                <w:p w14:paraId="359185D5">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-253.9</w:t>
                  </w:r>
                </w:p>
              </w:tc>
              <w:tc>
                <w:tcPr>
                  <w:tcW w:w="789" w:type="dxa"/>
                  <w:tcBorders>
                    <w:tl2br w:val="nil"/>
                    <w:tr2bl w:val="nil"/>
                  </w:tcBorders>
                  <w:vAlign w:val="center"/>
                </w:tcPr>
                <w:p w14:paraId="33903C5E">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枫树泉村</w:t>
                  </w:r>
                </w:p>
              </w:tc>
              <w:tc>
                <w:tcPr>
                  <w:tcW w:w="562" w:type="dxa"/>
                  <w:tcBorders>
                    <w:tl2br w:val="nil"/>
                    <w:tr2bl w:val="nil"/>
                  </w:tcBorders>
                  <w:shd w:val="clear" w:color="auto" w:fill="auto"/>
                  <w:vAlign w:val="center"/>
                </w:tcPr>
                <w:p w14:paraId="010E78D2">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西南</w:t>
                  </w:r>
                </w:p>
              </w:tc>
              <w:tc>
                <w:tcPr>
                  <w:tcW w:w="1274" w:type="dxa"/>
                  <w:tcBorders>
                    <w:tl2br w:val="nil"/>
                    <w:tr2bl w:val="nil"/>
                  </w:tcBorders>
                  <w:shd w:val="clear" w:color="auto" w:fill="auto"/>
                  <w:vAlign w:val="center"/>
                </w:tcPr>
                <w:p w14:paraId="02A502CD">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370</w:t>
                  </w:r>
                </w:p>
              </w:tc>
              <w:tc>
                <w:tcPr>
                  <w:tcW w:w="1090" w:type="dxa"/>
                  <w:tcBorders>
                    <w:tl2br w:val="nil"/>
                    <w:tr2bl w:val="nil"/>
                  </w:tcBorders>
                  <w:vAlign w:val="center"/>
                </w:tcPr>
                <w:p w14:paraId="1612BF7B">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100</w:t>
                  </w:r>
                </w:p>
              </w:tc>
              <w:tc>
                <w:tcPr>
                  <w:tcW w:w="2412" w:type="dxa"/>
                  <w:vMerge w:val="continue"/>
                  <w:tcBorders>
                    <w:tl2br w:val="nil"/>
                    <w:tr2bl w:val="nil"/>
                  </w:tcBorders>
                  <w:vAlign w:val="center"/>
                </w:tcPr>
                <w:p w14:paraId="75F10B4A">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r>
            <w:tr w14:paraId="7E256A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8" w:type="dxa"/>
                  <w:vMerge w:val="continue"/>
                  <w:tcBorders>
                    <w:tl2br w:val="nil"/>
                    <w:tr2bl w:val="nil"/>
                  </w:tcBorders>
                  <w:vAlign w:val="center"/>
                </w:tcPr>
                <w:p w14:paraId="36B807BF">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620" w:type="dxa"/>
                  <w:tcBorders>
                    <w:tl2br w:val="nil"/>
                    <w:tr2bl w:val="nil"/>
                  </w:tcBorders>
                  <w:vAlign w:val="center"/>
                </w:tcPr>
                <w:p w14:paraId="2736A89C">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-478.21</w:t>
                  </w:r>
                </w:p>
              </w:tc>
              <w:tc>
                <w:tcPr>
                  <w:tcW w:w="656" w:type="dxa"/>
                  <w:tcBorders>
                    <w:tl2br w:val="nil"/>
                    <w:tr2bl w:val="nil"/>
                  </w:tcBorders>
                  <w:vAlign w:val="center"/>
                </w:tcPr>
                <w:p w14:paraId="669B7A53">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-151.88</w:t>
                  </w:r>
                </w:p>
              </w:tc>
              <w:tc>
                <w:tcPr>
                  <w:tcW w:w="789" w:type="dxa"/>
                  <w:tcBorders>
                    <w:tl2br w:val="nil"/>
                    <w:tr2bl w:val="nil"/>
                  </w:tcBorders>
                  <w:vAlign w:val="center"/>
                </w:tcPr>
                <w:p w14:paraId="1F8044F8">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江西英岗岭矿务局职工医院</w:t>
                  </w:r>
                </w:p>
              </w:tc>
              <w:tc>
                <w:tcPr>
                  <w:tcW w:w="562" w:type="dxa"/>
                  <w:tcBorders>
                    <w:tl2br w:val="nil"/>
                    <w:tr2bl w:val="nil"/>
                  </w:tcBorders>
                  <w:vAlign w:val="center"/>
                </w:tcPr>
                <w:p w14:paraId="7C9AE9D7">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西</w:t>
                  </w:r>
                </w:p>
              </w:tc>
              <w:tc>
                <w:tcPr>
                  <w:tcW w:w="1274" w:type="dxa"/>
                  <w:tcBorders>
                    <w:tl2br w:val="nil"/>
                    <w:tr2bl w:val="nil"/>
                  </w:tcBorders>
                  <w:vAlign w:val="center"/>
                </w:tcPr>
                <w:p w14:paraId="0951537A">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360</w:t>
                  </w:r>
                </w:p>
              </w:tc>
              <w:tc>
                <w:tcPr>
                  <w:tcW w:w="1090" w:type="dxa"/>
                  <w:tcBorders>
                    <w:tl2br w:val="nil"/>
                    <w:tr2bl w:val="nil"/>
                  </w:tcBorders>
                  <w:vAlign w:val="center"/>
                </w:tcPr>
                <w:p w14:paraId="6EA7DC80">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100</w:t>
                  </w:r>
                </w:p>
              </w:tc>
              <w:tc>
                <w:tcPr>
                  <w:tcW w:w="2412" w:type="dxa"/>
                  <w:vMerge w:val="continue"/>
                  <w:tcBorders>
                    <w:tl2br w:val="nil"/>
                    <w:tr2bl w:val="nil"/>
                  </w:tcBorders>
                  <w:vAlign w:val="center"/>
                </w:tcPr>
                <w:p w14:paraId="1E54728D">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r>
            <w:tr w14:paraId="5BC9A5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8" w:type="dxa"/>
                  <w:vMerge w:val="continue"/>
                  <w:tcBorders>
                    <w:tl2br w:val="nil"/>
                    <w:tr2bl w:val="nil"/>
                  </w:tcBorders>
                  <w:vAlign w:val="center"/>
                </w:tcPr>
                <w:p w14:paraId="45733150">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620" w:type="dxa"/>
                  <w:tcBorders>
                    <w:tl2br w:val="nil"/>
                    <w:tr2bl w:val="nil"/>
                  </w:tcBorders>
                  <w:vAlign w:val="center"/>
                </w:tcPr>
                <w:p w14:paraId="1E8A5B9C">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-94.37</w:t>
                  </w:r>
                </w:p>
              </w:tc>
              <w:tc>
                <w:tcPr>
                  <w:tcW w:w="656" w:type="dxa"/>
                  <w:tcBorders>
                    <w:tl2br w:val="nil"/>
                    <w:tr2bl w:val="nil"/>
                  </w:tcBorders>
                  <w:vAlign w:val="center"/>
                </w:tcPr>
                <w:p w14:paraId="4FF1BDA7">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443.6</w:t>
                  </w:r>
                </w:p>
              </w:tc>
              <w:tc>
                <w:tcPr>
                  <w:tcW w:w="789" w:type="dxa"/>
                  <w:tcBorders>
                    <w:tl2br w:val="nil"/>
                    <w:tr2bl w:val="nil"/>
                  </w:tcBorders>
                  <w:vAlign w:val="center"/>
                </w:tcPr>
                <w:p w14:paraId="7716A56E">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新村社区</w:t>
                  </w:r>
                </w:p>
              </w:tc>
              <w:tc>
                <w:tcPr>
                  <w:tcW w:w="562" w:type="dxa"/>
                  <w:tcBorders>
                    <w:tl2br w:val="nil"/>
                    <w:tr2bl w:val="nil"/>
                  </w:tcBorders>
                  <w:vAlign w:val="center"/>
                </w:tcPr>
                <w:p w14:paraId="325F188A">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北</w:t>
                  </w:r>
                </w:p>
              </w:tc>
              <w:tc>
                <w:tcPr>
                  <w:tcW w:w="1274" w:type="dxa"/>
                  <w:tcBorders>
                    <w:tl2br w:val="nil"/>
                    <w:tr2bl w:val="nil"/>
                  </w:tcBorders>
                  <w:vAlign w:val="center"/>
                </w:tcPr>
                <w:p w14:paraId="59FFB14B">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365</w:t>
                  </w:r>
                </w:p>
              </w:tc>
              <w:tc>
                <w:tcPr>
                  <w:tcW w:w="1090" w:type="dxa"/>
                  <w:tcBorders>
                    <w:tl2br w:val="nil"/>
                    <w:tr2bl w:val="nil"/>
                  </w:tcBorders>
                  <w:vAlign w:val="center"/>
                </w:tcPr>
                <w:p w14:paraId="0B5A4C8F">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500</w:t>
                  </w:r>
                </w:p>
              </w:tc>
              <w:tc>
                <w:tcPr>
                  <w:tcW w:w="2412" w:type="dxa"/>
                  <w:vMerge w:val="continue"/>
                  <w:tcBorders>
                    <w:tl2br w:val="nil"/>
                    <w:tr2bl w:val="nil"/>
                  </w:tcBorders>
                  <w:vAlign w:val="center"/>
                </w:tcPr>
                <w:p w14:paraId="2EE7D6B8">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r>
            <w:tr w14:paraId="616D22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8" w:type="dxa"/>
                  <w:vMerge w:val="restart"/>
                  <w:tcBorders>
                    <w:tl2br w:val="nil"/>
                    <w:tr2bl w:val="nil"/>
                  </w:tcBorders>
                  <w:vAlign w:val="center"/>
                </w:tcPr>
                <w:p w14:paraId="21023D4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水环境</w:t>
                  </w:r>
                </w:p>
              </w:tc>
              <w:tc>
                <w:tcPr>
                  <w:tcW w:w="620" w:type="dxa"/>
                  <w:tcBorders>
                    <w:tl2br w:val="nil"/>
                    <w:tr2bl w:val="nil"/>
                  </w:tcBorders>
                  <w:vAlign w:val="center"/>
                </w:tcPr>
                <w:p w14:paraId="32851552">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-181</w:t>
                  </w:r>
                </w:p>
              </w:tc>
              <w:tc>
                <w:tcPr>
                  <w:tcW w:w="656" w:type="dxa"/>
                  <w:tcBorders>
                    <w:tl2br w:val="nil"/>
                    <w:tr2bl w:val="nil"/>
                  </w:tcBorders>
                  <w:vAlign w:val="center"/>
                </w:tcPr>
                <w:p w14:paraId="694B3017">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-297.38</w:t>
                  </w:r>
                </w:p>
              </w:tc>
              <w:tc>
                <w:tcPr>
                  <w:tcW w:w="789" w:type="dxa"/>
                  <w:tcBorders>
                    <w:tl2br w:val="nil"/>
                    <w:tr2bl w:val="nil"/>
                  </w:tcBorders>
                  <w:vAlign w:val="center"/>
                </w:tcPr>
                <w:p w14:paraId="078BDB66">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无名水库1</w:t>
                  </w:r>
                </w:p>
              </w:tc>
              <w:tc>
                <w:tcPr>
                  <w:tcW w:w="562" w:type="dxa"/>
                  <w:tcBorders>
                    <w:tl2br w:val="nil"/>
                    <w:tr2bl w:val="nil"/>
                  </w:tcBorders>
                  <w:vAlign w:val="center"/>
                </w:tcPr>
                <w:p w14:paraId="3755CBA8">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西南</w:t>
                  </w:r>
                </w:p>
              </w:tc>
              <w:tc>
                <w:tcPr>
                  <w:tcW w:w="1274" w:type="dxa"/>
                  <w:tcBorders>
                    <w:tl2br w:val="nil"/>
                    <w:tr2bl w:val="nil"/>
                  </w:tcBorders>
                  <w:vAlign w:val="center"/>
                </w:tcPr>
                <w:p w14:paraId="20AAFB18">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160</w:t>
                  </w:r>
                </w:p>
              </w:tc>
              <w:tc>
                <w:tcPr>
                  <w:tcW w:w="1090" w:type="dxa"/>
                  <w:vMerge w:val="restart"/>
                  <w:tcBorders>
                    <w:tl2br w:val="nil"/>
                    <w:tr2bl w:val="nil"/>
                  </w:tcBorders>
                  <w:vAlign w:val="center"/>
                </w:tcPr>
                <w:p w14:paraId="74518C5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小型（水体功能为：农业灌溉）</w:t>
                  </w:r>
                </w:p>
              </w:tc>
              <w:tc>
                <w:tcPr>
                  <w:tcW w:w="2412" w:type="dxa"/>
                  <w:vMerge w:val="restart"/>
                  <w:tcBorders>
                    <w:tl2br w:val="nil"/>
                    <w:tr2bl w:val="nil"/>
                  </w:tcBorders>
                  <w:vAlign w:val="center"/>
                </w:tcPr>
                <w:p w14:paraId="67846BB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(GB3838-2002)</w:t>
                  </w:r>
                  <w:r>
                    <w:rPr>
                      <w:rFonts w:hint="eastAsia"/>
                      <w:caps w:val="0"/>
                      <w:color w:val="auto"/>
                      <w:spacing w:val="0"/>
                      <w:position w:val="0"/>
                      <w:highlight w:val="none"/>
                    </w:rPr>
                    <w:t>Ⅲ类标准</w:t>
                  </w:r>
                </w:p>
              </w:tc>
            </w:tr>
            <w:tr w14:paraId="44A1BF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8" w:type="dxa"/>
                  <w:vMerge w:val="continue"/>
                  <w:tcBorders>
                    <w:tl2br w:val="nil"/>
                    <w:tr2bl w:val="nil"/>
                  </w:tcBorders>
                  <w:vAlign w:val="center"/>
                </w:tcPr>
                <w:p w14:paraId="0F22E272">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620" w:type="dxa"/>
                  <w:tcBorders>
                    <w:tl2br w:val="nil"/>
                    <w:tr2bl w:val="nil"/>
                  </w:tcBorders>
                  <w:shd w:val="clear" w:color="auto" w:fill="auto"/>
                  <w:vAlign w:val="center"/>
                </w:tcPr>
                <w:p w14:paraId="3FF38C0B">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-91.52</w:t>
                  </w:r>
                </w:p>
              </w:tc>
              <w:tc>
                <w:tcPr>
                  <w:tcW w:w="656" w:type="dxa"/>
                  <w:tcBorders>
                    <w:tl2br w:val="nil"/>
                    <w:tr2bl w:val="nil"/>
                  </w:tcBorders>
                  <w:shd w:val="clear" w:color="auto" w:fill="auto"/>
                  <w:vAlign w:val="center"/>
                </w:tcPr>
                <w:p w14:paraId="24C5032B">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-407.27</w:t>
                  </w:r>
                </w:p>
              </w:tc>
              <w:tc>
                <w:tcPr>
                  <w:tcW w:w="789" w:type="dxa"/>
                  <w:tcBorders>
                    <w:tl2br w:val="nil"/>
                    <w:tr2bl w:val="nil"/>
                  </w:tcBorders>
                  <w:shd w:val="clear" w:color="auto" w:fill="auto"/>
                  <w:vAlign w:val="center"/>
                </w:tcPr>
                <w:p w14:paraId="1EB20B8F">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无名水库2</w:t>
                  </w:r>
                </w:p>
              </w:tc>
              <w:tc>
                <w:tcPr>
                  <w:tcW w:w="562" w:type="dxa"/>
                  <w:tcBorders>
                    <w:tl2br w:val="nil"/>
                    <w:tr2bl w:val="nil"/>
                  </w:tcBorders>
                  <w:shd w:val="clear" w:color="auto" w:fill="auto"/>
                  <w:vAlign w:val="center"/>
                </w:tcPr>
                <w:p w14:paraId="4F89FACB">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西南</w:t>
                  </w:r>
                </w:p>
              </w:tc>
              <w:tc>
                <w:tcPr>
                  <w:tcW w:w="1274" w:type="dxa"/>
                  <w:tcBorders>
                    <w:tl2br w:val="nil"/>
                    <w:tr2bl w:val="nil"/>
                  </w:tcBorders>
                  <w:shd w:val="clear" w:color="auto" w:fill="auto"/>
                  <w:vAlign w:val="center"/>
                </w:tcPr>
                <w:p w14:paraId="3B7B432E">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240</w:t>
                  </w:r>
                </w:p>
              </w:tc>
              <w:tc>
                <w:tcPr>
                  <w:tcW w:w="1090" w:type="dxa"/>
                  <w:vMerge w:val="continue"/>
                  <w:tcBorders>
                    <w:tl2br w:val="nil"/>
                    <w:tr2bl w:val="nil"/>
                  </w:tcBorders>
                  <w:vAlign w:val="center"/>
                </w:tcPr>
                <w:p w14:paraId="73BF9E15">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2412" w:type="dxa"/>
                  <w:vMerge w:val="continue"/>
                  <w:tcBorders>
                    <w:tl2br w:val="nil"/>
                    <w:tr2bl w:val="nil"/>
                  </w:tcBorders>
                  <w:vAlign w:val="center"/>
                </w:tcPr>
                <w:p w14:paraId="7E383D67">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r>
            <w:tr w14:paraId="5738E9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8" w:type="dxa"/>
                  <w:vMerge w:val="continue"/>
                  <w:tcBorders>
                    <w:tl2br w:val="nil"/>
                    <w:tr2bl w:val="nil"/>
                  </w:tcBorders>
                  <w:vAlign w:val="center"/>
                </w:tcPr>
                <w:p w14:paraId="34CA6A98">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620" w:type="dxa"/>
                  <w:tcBorders>
                    <w:tl2br w:val="nil"/>
                    <w:tr2bl w:val="nil"/>
                  </w:tcBorders>
                  <w:vAlign w:val="center"/>
                </w:tcPr>
                <w:p w14:paraId="55AE2451">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213.04</w:t>
                  </w:r>
                </w:p>
              </w:tc>
              <w:tc>
                <w:tcPr>
                  <w:tcW w:w="656" w:type="dxa"/>
                  <w:tcBorders>
                    <w:tl2br w:val="nil"/>
                    <w:tr2bl w:val="nil"/>
                  </w:tcBorders>
                  <w:vAlign w:val="center"/>
                </w:tcPr>
                <w:p w14:paraId="188FF2DF">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357.77</w:t>
                  </w:r>
                </w:p>
              </w:tc>
              <w:tc>
                <w:tcPr>
                  <w:tcW w:w="789" w:type="dxa"/>
                  <w:tcBorders>
                    <w:tl2br w:val="nil"/>
                    <w:tr2bl w:val="nil"/>
                  </w:tcBorders>
                  <w:vAlign w:val="center"/>
                </w:tcPr>
                <w:p w14:paraId="152727AE">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无名水库3</w:t>
                  </w:r>
                </w:p>
              </w:tc>
              <w:tc>
                <w:tcPr>
                  <w:tcW w:w="562" w:type="dxa"/>
                  <w:tcBorders>
                    <w:tl2br w:val="nil"/>
                    <w:tr2bl w:val="nil"/>
                  </w:tcBorders>
                  <w:vAlign w:val="center"/>
                </w:tcPr>
                <w:p w14:paraId="46803734">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北</w:t>
                  </w:r>
                </w:p>
              </w:tc>
              <w:tc>
                <w:tcPr>
                  <w:tcW w:w="1274" w:type="dxa"/>
                  <w:tcBorders>
                    <w:tl2br w:val="nil"/>
                    <w:tr2bl w:val="nil"/>
                  </w:tcBorders>
                  <w:vAlign w:val="center"/>
                </w:tcPr>
                <w:p w14:paraId="66420CBA">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206</w:t>
                  </w:r>
                </w:p>
              </w:tc>
              <w:tc>
                <w:tcPr>
                  <w:tcW w:w="1090" w:type="dxa"/>
                  <w:vMerge w:val="continue"/>
                  <w:tcBorders>
                    <w:tl2br w:val="nil"/>
                    <w:tr2bl w:val="nil"/>
                  </w:tcBorders>
                  <w:vAlign w:val="center"/>
                </w:tcPr>
                <w:p w14:paraId="2585AE40">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2412" w:type="dxa"/>
                  <w:vMerge w:val="continue"/>
                  <w:tcBorders>
                    <w:tl2br w:val="nil"/>
                    <w:tr2bl w:val="nil"/>
                  </w:tcBorders>
                  <w:vAlign w:val="center"/>
                </w:tcPr>
                <w:p w14:paraId="4577CC2E">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08D1C1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8" w:type="dxa"/>
                  <w:vMerge w:val="continue"/>
                  <w:tcBorders>
                    <w:tl2br w:val="nil"/>
                    <w:tr2bl w:val="nil"/>
                  </w:tcBorders>
                  <w:vAlign w:val="center"/>
                </w:tcPr>
                <w:p w14:paraId="7E742B81">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620" w:type="dxa"/>
                  <w:tcBorders>
                    <w:tl2br w:val="nil"/>
                    <w:tr2bl w:val="nil"/>
                  </w:tcBorders>
                  <w:vAlign w:val="center"/>
                </w:tcPr>
                <w:p w14:paraId="49A66A65">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10.5</w:t>
                  </w:r>
                </w:p>
              </w:tc>
              <w:tc>
                <w:tcPr>
                  <w:tcW w:w="656" w:type="dxa"/>
                  <w:tcBorders>
                    <w:tl2br w:val="nil"/>
                    <w:tr2bl w:val="nil"/>
                  </w:tcBorders>
                  <w:vAlign w:val="center"/>
                </w:tcPr>
                <w:p w14:paraId="3B063D55">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1860</w:t>
                  </w:r>
                </w:p>
              </w:tc>
              <w:tc>
                <w:tcPr>
                  <w:tcW w:w="789" w:type="dxa"/>
                  <w:tcBorders>
                    <w:tl2br w:val="nil"/>
                    <w:tr2bl w:val="nil"/>
                  </w:tcBorders>
                  <w:vAlign w:val="center"/>
                </w:tcPr>
                <w:p w14:paraId="2B868C7E">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无名小河</w:t>
                  </w:r>
                </w:p>
              </w:tc>
              <w:tc>
                <w:tcPr>
                  <w:tcW w:w="562" w:type="dxa"/>
                  <w:tcBorders>
                    <w:tl2br w:val="nil"/>
                    <w:tr2bl w:val="nil"/>
                  </w:tcBorders>
                  <w:vAlign w:val="center"/>
                </w:tcPr>
                <w:p w14:paraId="1293FBC6">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南</w:t>
                  </w:r>
                </w:p>
              </w:tc>
              <w:tc>
                <w:tcPr>
                  <w:tcW w:w="1274" w:type="dxa"/>
                  <w:tcBorders>
                    <w:tl2br w:val="nil"/>
                    <w:tr2bl w:val="nil"/>
                  </w:tcBorders>
                  <w:vAlign w:val="center"/>
                </w:tcPr>
                <w:p w14:paraId="7394F882">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1880</w:t>
                  </w:r>
                </w:p>
              </w:tc>
              <w:tc>
                <w:tcPr>
                  <w:tcW w:w="1090" w:type="dxa"/>
                  <w:tcBorders>
                    <w:tl2br w:val="nil"/>
                    <w:tr2bl w:val="nil"/>
                  </w:tcBorders>
                  <w:vAlign w:val="center"/>
                </w:tcPr>
                <w:p w14:paraId="1A3C12B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小河</w:t>
                  </w:r>
                </w:p>
              </w:tc>
              <w:tc>
                <w:tcPr>
                  <w:tcW w:w="2412" w:type="dxa"/>
                  <w:tcBorders>
                    <w:tl2br w:val="nil"/>
                    <w:tr2bl w:val="nil"/>
                  </w:tcBorders>
                  <w:vAlign w:val="center"/>
                </w:tcPr>
                <w:p w14:paraId="102A986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(GB3838-2002)</w:t>
                  </w:r>
                  <w:r>
                    <w:rPr>
                      <w:rFonts w:hint="eastAsia"/>
                      <w:caps w:val="0"/>
                      <w:color w:val="auto"/>
                      <w:spacing w:val="0"/>
                      <w:position w:val="0"/>
                      <w:highlight w:val="none"/>
                    </w:rPr>
                    <w:t>Ⅲ类标准</w:t>
                  </w:r>
                </w:p>
              </w:tc>
            </w:tr>
            <w:tr w14:paraId="2C6365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8" w:type="dxa"/>
                  <w:tcBorders>
                    <w:tl2br w:val="nil"/>
                    <w:tr2bl w:val="nil"/>
                  </w:tcBorders>
                  <w:vAlign w:val="center"/>
                </w:tcPr>
                <w:p w14:paraId="5356983D">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声环境</w:t>
                  </w:r>
                </w:p>
              </w:tc>
              <w:tc>
                <w:tcPr>
                  <w:tcW w:w="7403" w:type="dxa"/>
                  <w:gridSpan w:val="7"/>
                  <w:tcBorders>
                    <w:tl2br w:val="nil"/>
                    <w:tr2bl w:val="nil"/>
                  </w:tcBorders>
                  <w:vAlign w:val="center"/>
                </w:tcPr>
                <w:p w14:paraId="7419F1F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ascii="Times New Roman" w:hAnsi="Times New Roman" w:cs="Times New Roman"/>
                      <w:caps w:val="0"/>
                      <w:color w:val="auto"/>
                      <w:spacing w:val="0"/>
                      <w:position w:val="0"/>
                      <w:highlight w:val="none"/>
                    </w:rPr>
                    <w:t>厂界外50m范围内无保护目标</w:t>
                  </w:r>
                </w:p>
              </w:tc>
            </w:tr>
            <w:tr w14:paraId="139EC8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88" w:type="dxa"/>
                  <w:tcBorders>
                    <w:tl2br w:val="nil"/>
                    <w:tr2bl w:val="nil"/>
                  </w:tcBorders>
                  <w:vAlign w:val="center"/>
                </w:tcPr>
                <w:p w14:paraId="021B1F4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地下水</w:t>
                  </w:r>
                </w:p>
                <w:p w14:paraId="508E3AF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环境</w:t>
                  </w:r>
                </w:p>
              </w:tc>
              <w:tc>
                <w:tcPr>
                  <w:tcW w:w="7403" w:type="dxa"/>
                  <w:gridSpan w:val="7"/>
                  <w:tcBorders>
                    <w:tl2br w:val="nil"/>
                    <w:tr2bl w:val="nil"/>
                  </w:tcBorders>
                  <w:vAlign w:val="center"/>
                </w:tcPr>
                <w:p w14:paraId="3C5F63A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厂界范围外500米范围内无集中式饮用水水源和热水、矿泉水、温泉等特殊地下水资源</w:t>
                  </w:r>
                </w:p>
              </w:tc>
            </w:tr>
            <w:tr w14:paraId="739F33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191" w:type="dxa"/>
                  <w:gridSpan w:val="8"/>
                  <w:tcBorders>
                    <w:tl2br w:val="nil"/>
                    <w:tr2bl w:val="nil"/>
                  </w:tcBorders>
                  <w:vAlign w:val="center"/>
                </w:tcPr>
                <w:p w14:paraId="6280370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备注：</w:t>
                  </w:r>
                  <w:bookmarkStart w:id="60" w:name="OLE_LINK5"/>
                  <w:r>
                    <w:rPr>
                      <w:rFonts w:hint="eastAsia"/>
                      <w:caps w:val="0"/>
                      <w:color w:val="auto"/>
                      <w:spacing w:val="0"/>
                      <w:position w:val="0"/>
                      <w:highlight w:val="none"/>
                    </w:rPr>
                    <w:t>①本次评价以厂区中</w:t>
                  </w:r>
                  <w:r>
                    <w:rPr>
                      <w:rFonts w:hint="default"/>
                      <w:caps w:val="0"/>
                      <w:color w:val="auto"/>
                      <w:spacing w:val="0"/>
                      <w:position w:val="0"/>
                      <w:highlight w:val="none"/>
                    </w:rPr>
                    <w:t>心E115°</w:t>
                  </w:r>
                  <w:r>
                    <w:rPr>
                      <w:rFonts w:hint="eastAsia"/>
                      <w:caps w:val="0"/>
                      <w:color w:val="auto"/>
                      <w:spacing w:val="0"/>
                      <w:position w:val="0"/>
                      <w:highlight w:val="none"/>
                      <w:lang w:val="en-US" w:eastAsia="zh-CN"/>
                    </w:rPr>
                    <w:t>11</w:t>
                  </w:r>
                  <w:r>
                    <w:rPr>
                      <w:rFonts w:hint="default"/>
                      <w:caps w:val="0"/>
                      <w:color w:val="auto"/>
                      <w:spacing w:val="0"/>
                      <w:position w:val="0"/>
                      <w:highlight w:val="none"/>
                    </w:rPr>
                    <w:t>′</w:t>
                  </w:r>
                  <w:r>
                    <w:rPr>
                      <w:rFonts w:hint="eastAsia"/>
                      <w:caps w:val="0"/>
                      <w:color w:val="auto"/>
                      <w:spacing w:val="0"/>
                      <w:position w:val="0"/>
                      <w:highlight w:val="none"/>
                      <w:lang w:val="en-US" w:eastAsia="zh-CN"/>
                    </w:rPr>
                    <w:t>8.874</w:t>
                  </w:r>
                  <w:r>
                    <w:rPr>
                      <w:rFonts w:hint="default"/>
                      <w:caps w:val="0"/>
                      <w:color w:val="auto"/>
                      <w:spacing w:val="0"/>
                      <w:position w:val="0"/>
                      <w:highlight w:val="none"/>
                    </w:rPr>
                    <w:t>″，N28°</w:t>
                  </w:r>
                  <w:r>
                    <w:rPr>
                      <w:rFonts w:hint="eastAsia"/>
                      <w:caps w:val="0"/>
                      <w:color w:val="auto"/>
                      <w:spacing w:val="0"/>
                      <w:position w:val="0"/>
                      <w:highlight w:val="none"/>
                      <w:lang w:val="en-US" w:eastAsia="zh-CN"/>
                    </w:rPr>
                    <w:t>6</w:t>
                  </w:r>
                  <w:r>
                    <w:rPr>
                      <w:rFonts w:hint="default"/>
                      <w:caps w:val="0"/>
                      <w:color w:val="auto"/>
                      <w:spacing w:val="0"/>
                      <w:position w:val="0"/>
                      <w:highlight w:val="none"/>
                    </w:rPr>
                    <w:t>′4</w:t>
                  </w:r>
                  <w:r>
                    <w:rPr>
                      <w:rFonts w:hint="eastAsia"/>
                      <w:caps w:val="0"/>
                      <w:color w:val="auto"/>
                      <w:spacing w:val="0"/>
                      <w:position w:val="0"/>
                      <w:highlight w:val="none"/>
                      <w:lang w:val="en-US" w:eastAsia="zh-CN"/>
                    </w:rPr>
                    <w:t>3.259</w:t>
                  </w:r>
                  <w:r>
                    <w:rPr>
                      <w:rFonts w:hint="default"/>
                      <w:caps w:val="0"/>
                      <w:color w:val="auto"/>
                      <w:spacing w:val="0"/>
                      <w:position w:val="0"/>
                      <w:highlight w:val="none"/>
                    </w:rPr>
                    <w:t>″为原点坐标</w:t>
                  </w:r>
                  <w:r>
                    <w:rPr>
                      <w:rFonts w:hint="eastAsia"/>
                      <w:caps w:val="0"/>
                      <w:color w:val="auto"/>
                      <w:spacing w:val="0"/>
                      <w:position w:val="0"/>
                      <w:highlight w:val="none"/>
                    </w:rPr>
                    <w:t>（0，0），正东X轴为正方向，正北Y轴为正方向建立直角坐标系。</w:t>
                  </w:r>
                  <w:bookmarkEnd w:id="60"/>
                </w:p>
              </w:tc>
            </w:tr>
          </w:tbl>
          <w:p w14:paraId="330D3CDA">
            <w:pPr>
              <w:pStyle w:val="54"/>
              <w:keepNext w:val="0"/>
              <w:keepLines w:val="0"/>
              <w:suppressLineNumbers w:val="0"/>
              <w:spacing w:before="0" w:beforeAutospacing="0" w:after="0" w:afterAutospacing="0"/>
              <w:ind w:left="0" w:right="0"/>
              <w:rPr>
                <w:rFonts w:hint="default"/>
                <w:caps w:val="0"/>
                <w:color w:val="auto"/>
                <w:spacing w:val="0"/>
                <w:position w:val="0"/>
                <w:highlight w:val="none"/>
              </w:rPr>
            </w:pPr>
          </w:p>
          <w:p w14:paraId="3DCAD76F">
            <w:pPr>
              <w:pStyle w:val="54"/>
              <w:keepNext w:val="0"/>
              <w:keepLines w:val="0"/>
              <w:suppressLineNumbers w:val="0"/>
              <w:spacing w:before="0" w:beforeAutospacing="0" w:after="0" w:afterAutospacing="0"/>
              <w:ind w:left="0" w:right="0"/>
              <w:rPr>
                <w:rFonts w:hint="default"/>
                <w:b/>
                <w:caps w:val="0"/>
                <w:color w:val="auto"/>
                <w:spacing w:val="0"/>
                <w:position w:val="0"/>
                <w:highlight w:val="none"/>
              </w:rPr>
            </w:pPr>
          </w:p>
        </w:tc>
      </w:tr>
      <w:tr w14:paraId="22919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3" w:hRule="atLeast"/>
          <w:jc w:val="center"/>
        </w:trPr>
        <w:tc>
          <w:tcPr>
            <w:tcW w:w="727" w:type="dxa"/>
            <w:vAlign w:val="center"/>
          </w:tcPr>
          <w:p w14:paraId="0520418F">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污染物排放控制标准</w:t>
            </w:r>
          </w:p>
        </w:tc>
        <w:tc>
          <w:tcPr>
            <w:tcW w:w="8406" w:type="dxa"/>
          </w:tcPr>
          <w:p w14:paraId="417FCDEF">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一、废水</w:t>
            </w:r>
          </w:p>
          <w:p w14:paraId="070716BB">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bookmarkStart w:id="61" w:name="_Hlk138777916"/>
            <w:bookmarkStart w:id="62" w:name="_Hlk138581527"/>
            <w:r>
              <w:rPr>
                <w:rFonts w:hint="default"/>
                <w:caps w:val="0"/>
                <w:color w:val="auto"/>
                <w:spacing w:val="0"/>
                <w:position w:val="0"/>
                <w:highlight w:val="none"/>
              </w:rPr>
              <w:t>本项目废水主要为员工生活污水</w:t>
            </w:r>
            <w:r>
              <w:rPr>
                <w:rFonts w:hint="default"/>
                <w:caps w:val="0"/>
                <w:color w:val="auto"/>
                <w:spacing w:val="0"/>
                <w:position w:val="0"/>
                <w:highlight w:val="none"/>
                <w:lang w:eastAsia="zh-CN"/>
              </w:rPr>
              <w:t>、</w:t>
            </w:r>
            <w:r>
              <w:rPr>
                <w:rFonts w:hint="default"/>
                <w:caps w:val="0"/>
                <w:color w:val="auto"/>
                <w:spacing w:val="0"/>
                <w:position w:val="0"/>
                <w:highlight w:val="none"/>
                <w:lang w:val="en-US" w:eastAsia="zh-CN"/>
              </w:rPr>
              <w:t>初期雨水、车辆清洗废水、养护及设备清洗废水</w:t>
            </w:r>
            <w:r>
              <w:rPr>
                <w:rFonts w:hint="eastAsia"/>
                <w:caps w:val="0"/>
                <w:color w:val="auto"/>
                <w:spacing w:val="0"/>
                <w:position w:val="0"/>
                <w:highlight w:val="none"/>
                <w:lang w:val="en-US" w:eastAsia="zh-CN"/>
              </w:rPr>
              <w:t>和渗滤液</w:t>
            </w:r>
            <w:r>
              <w:rPr>
                <w:rFonts w:hint="default"/>
                <w:caps w:val="0"/>
                <w:color w:val="auto"/>
                <w:spacing w:val="0"/>
                <w:position w:val="0"/>
                <w:highlight w:val="none"/>
              </w:rPr>
              <w:t>，项目</w:t>
            </w:r>
            <w:r>
              <w:rPr>
                <w:rFonts w:hint="eastAsia"/>
                <w:caps w:val="0"/>
                <w:color w:val="auto"/>
                <w:spacing w:val="0"/>
                <w:position w:val="0"/>
                <w:highlight w:val="none"/>
                <w:lang w:val="en-US" w:eastAsia="zh-CN"/>
              </w:rPr>
              <w:t>洗车废水经氧化+絮凝沉淀（1#沉淀池30m</w:t>
            </w:r>
            <w:r>
              <w:rPr>
                <w:rFonts w:hint="eastAsia"/>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）处理后循环回用于搅拌工序；设备清洗废水经沉淀（2#沉淀池10m</w:t>
            </w:r>
            <w:r>
              <w:rPr>
                <w:rFonts w:hint="eastAsia"/>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）处理后回用于设备清洗用水；养护废水经沉淀（3#沉淀池10m</w:t>
            </w:r>
            <w:r>
              <w:rPr>
                <w:rFonts w:hint="eastAsia"/>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）处理后回用于养护用水；渗滤液由导流槽收集至渗滤液池后回用于搅拌工序；</w:t>
            </w:r>
            <w:r>
              <w:rPr>
                <w:rFonts w:hint="default"/>
                <w:caps w:val="0"/>
                <w:color w:val="auto"/>
                <w:spacing w:val="0"/>
                <w:position w:val="0"/>
                <w:highlight w:val="none"/>
              </w:rPr>
              <w:t>无</w:t>
            </w:r>
            <w:r>
              <w:rPr>
                <w:rFonts w:hint="eastAsia"/>
                <w:caps w:val="0"/>
                <w:color w:val="auto"/>
                <w:spacing w:val="0"/>
                <w:position w:val="0"/>
                <w:highlight w:val="none"/>
                <w:lang w:val="en-US" w:eastAsia="zh-CN"/>
              </w:rPr>
              <w:t>生产废水</w:t>
            </w:r>
            <w:r>
              <w:rPr>
                <w:rFonts w:hint="default"/>
                <w:caps w:val="0"/>
                <w:color w:val="auto"/>
                <w:spacing w:val="0"/>
                <w:position w:val="0"/>
                <w:highlight w:val="none"/>
              </w:rPr>
              <w:t>外排</w:t>
            </w:r>
            <w:r>
              <w:rPr>
                <w:rFonts w:hint="eastAsia"/>
                <w:caps w:val="0"/>
                <w:color w:val="auto"/>
                <w:spacing w:val="0"/>
                <w:position w:val="0"/>
                <w:highlight w:val="none"/>
                <w:lang w:eastAsia="zh-CN"/>
              </w:rPr>
              <w:t>。</w:t>
            </w:r>
            <w:r>
              <w:rPr>
                <w:rFonts w:hint="default"/>
                <w:caps w:val="0"/>
                <w:color w:val="auto"/>
                <w:spacing w:val="0"/>
                <w:position w:val="0"/>
                <w:highlight w:val="none"/>
                <w:lang w:val="en-US" w:eastAsia="zh-CN"/>
              </w:rPr>
              <w:t>洗车废水、养护废水</w:t>
            </w:r>
            <w:r>
              <w:rPr>
                <w:rFonts w:hint="eastAsia"/>
                <w:caps w:val="0"/>
                <w:color w:val="auto"/>
                <w:spacing w:val="0"/>
                <w:position w:val="0"/>
                <w:highlight w:val="none"/>
                <w:lang w:val="en-US" w:eastAsia="zh-CN"/>
              </w:rPr>
              <w:t>、</w:t>
            </w:r>
            <w:r>
              <w:rPr>
                <w:rFonts w:hint="default"/>
                <w:caps w:val="0"/>
                <w:color w:val="auto"/>
                <w:spacing w:val="0"/>
                <w:position w:val="0"/>
                <w:highlight w:val="none"/>
                <w:lang w:val="en-US" w:eastAsia="zh-CN"/>
              </w:rPr>
              <w:t>设备清洗废水</w:t>
            </w:r>
            <w:r>
              <w:rPr>
                <w:rFonts w:hint="eastAsia"/>
                <w:caps w:val="0"/>
                <w:color w:val="auto"/>
                <w:spacing w:val="0"/>
                <w:position w:val="0"/>
                <w:highlight w:val="none"/>
                <w:lang w:val="en-US" w:eastAsia="zh-CN"/>
              </w:rPr>
              <w:t>和初期雨水</w:t>
            </w:r>
            <w:r>
              <w:rPr>
                <w:rFonts w:hint="default"/>
                <w:caps w:val="0"/>
                <w:color w:val="auto"/>
                <w:spacing w:val="0"/>
                <w:position w:val="0"/>
                <w:highlight w:val="none"/>
                <w:lang w:eastAsia="zh-CN"/>
              </w:rPr>
              <w:t>回用</w:t>
            </w:r>
            <w:r>
              <w:rPr>
                <w:rFonts w:hint="eastAsia"/>
                <w:caps w:val="0"/>
                <w:color w:val="auto"/>
                <w:spacing w:val="0"/>
                <w:position w:val="0"/>
                <w:highlight w:val="none"/>
                <w:lang w:val="en-US" w:eastAsia="zh-CN"/>
              </w:rPr>
              <w:t>水中基础因子</w:t>
            </w:r>
            <w:r>
              <w:rPr>
                <w:rFonts w:hint="default"/>
                <w:caps w:val="0"/>
                <w:color w:val="auto"/>
                <w:spacing w:val="0"/>
                <w:position w:val="0"/>
                <w:highlight w:val="none"/>
                <w:lang w:eastAsia="zh-CN"/>
              </w:rPr>
              <w:t>执行</w:t>
            </w:r>
            <w:r>
              <w:rPr>
                <w:rFonts w:hint="eastAsia" w:eastAsia="宋体"/>
                <w:caps w:val="0"/>
                <w:color w:val="auto"/>
                <w:spacing w:val="0"/>
                <w:position w:val="0"/>
                <w:highlight w:val="none"/>
                <w:lang w:eastAsia="zh-CN"/>
              </w:rPr>
              <w:t>《城市污水再生利用工业用水水质》（GB/T19923-2024）中洗涤水标准</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特征因子执行</w:t>
            </w:r>
            <w:r>
              <w:rPr>
                <w:rFonts w:hint="eastAsia"/>
                <w:caps w:val="0"/>
                <w:color w:val="auto"/>
                <w:spacing w:val="0"/>
                <w:position w:val="0"/>
                <w:highlight w:val="none"/>
                <w:lang w:eastAsia="zh-CN"/>
              </w:rPr>
              <w:t>《无机化学工业污染物排放标准》（GB31573-2015）修改单</w:t>
            </w:r>
            <w:r>
              <w:rPr>
                <w:rFonts w:hint="eastAsia"/>
                <w:caps w:val="0"/>
                <w:color w:val="auto"/>
                <w:spacing w:val="0"/>
                <w:position w:val="0"/>
                <w:highlight w:val="none"/>
              </w:rPr>
              <w:t>和《工业废水铊污染物排放标准》（DB36/1149-2019）</w:t>
            </w:r>
            <w:r>
              <w:rPr>
                <w:rFonts w:hint="default"/>
                <w:caps w:val="0"/>
                <w:color w:val="auto"/>
                <w:spacing w:val="0"/>
                <w:position w:val="0"/>
                <w:highlight w:val="none"/>
                <w:lang w:eastAsia="zh-CN"/>
              </w:rPr>
              <w:t>标准中的较严值后回用</w:t>
            </w:r>
            <w:r>
              <w:rPr>
                <w:rFonts w:hint="eastAsia"/>
                <w:caps w:val="0"/>
                <w:color w:val="auto"/>
                <w:spacing w:val="0"/>
                <w:position w:val="0"/>
                <w:highlight w:val="none"/>
                <w:lang w:eastAsia="zh-CN"/>
              </w:rPr>
              <w:t>。</w:t>
            </w:r>
          </w:p>
          <w:p w14:paraId="5ED49FDD">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eastAsia="zh-CN"/>
              </w:rPr>
            </w:pPr>
            <w:r>
              <w:rPr>
                <w:rFonts w:hint="default" w:ascii="Times New Roman" w:hAnsi="Times New Roman" w:eastAsia="宋体" w:cs="Times New Roman"/>
                <w:caps w:val="0"/>
                <w:color w:val="auto"/>
                <w:spacing w:val="0"/>
                <w:position w:val="0"/>
                <w:sz w:val="24"/>
                <w:highlight w:val="none"/>
                <w:lang w:val="en-US" w:eastAsia="zh-CN"/>
              </w:rPr>
              <w:t>生活污水经</w:t>
            </w:r>
            <w:r>
              <w:rPr>
                <w:rFonts w:hint="eastAsia" w:ascii="Times New Roman" w:hAnsi="Times New Roman" w:eastAsia="宋体" w:cs="Times New Roman"/>
                <w:caps w:val="0"/>
                <w:color w:val="auto"/>
                <w:spacing w:val="0"/>
                <w:position w:val="0"/>
                <w:sz w:val="24"/>
                <w:highlight w:val="none"/>
                <w:lang w:val="en-US" w:eastAsia="zh-CN"/>
              </w:rPr>
              <w:t>化粪池</w:t>
            </w:r>
            <w:r>
              <w:rPr>
                <w:rFonts w:hint="default" w:ascii="Times New Roman" w:hAnsi="Times New Roman" w:eastAsia="宋体" w:cs="Times New Roman"/>
                <w:caps w:val="0"/>
                <w:color w:val="auto"/>
                <w:spacing w:val="0"/>
                <w:position w:val="0"/>
                <w:sz w:val="24"/>
                <w:highlight w:val="none"/>
                <w:lang w:val="en-US" w:eastAsia="zh-CN"/>
              </w:rPr>
              <w:t>处理后达到《农田灌溉水质标准》（GB5084-2021）表1中旱作标准后用于林地灌溉，不外排</w:t>
            </w:r>
            <w:r>
              <w:rPr>
                <w:rFonts w:hint="eastAsia" w:ascii="Times New Roman" w:hAnsi="Times New Roman" w:eastAsia="宋体" w:cs="Times New Roman"/>
                <w:caps w:val="0"/>
                <w:color w:val="auto"/>
                <w:spacing w:val="0"/>
                <w:position w:val="0"/>
                <w:sz w:val="24"/>
                <w:highlight w:val="none"/>
                <w:lang w:val="en-US" w:eastAsia="zh-CN"/>
              </w:rPr>
              <w:t>。</w:t>
            </w:r>
          </w:p>
          <w:p w14:paraId="40F500D3">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ascii="Times New Roman" w:hAnsi="Times New Roman" w:cs="Times New Roman"/>
                <w:caps w:val="0"/>
                <w:color w:val="auto"/>
                <w:spacing w:val="0"/>
                <w:position w:val="0"/>
                <w:highlight w:val="none"/>
              </w:rPr>
              <w:t>后期</w:t>
            </w:r>
            <w:r>
              <w:rPr>
                <w:rFonts w:hint="default"/>
                <w:caps w:val="0"/>
                <w:color w:val="auto"/>
                <w:spacing w:val="0"/>
                <w:position w:val="0"/>
                <w:highlight w:val="none"/>
              </w:rPr>
              <w:t>雨水通过现有</w:t>
            </w:r>
            <w:r>
              <w:rPr>
                <w:rFonts w:hint="eastAsia"/>
                <w:caps w:val="0"/>
                <w:color w:val="auto"/>
                <w:spacing w:val="0"/>
                <w:position w:val="0"/>
                <w:highlight w:val="none"/>
                <w:lang w:val="en-US" w:eastAsia="zh-CN"/>
              </w:rPr>
              <w:t>排水沟</w:t>
            </w:r>
            <w:r>
              <w:rPr>
                <w:rFonts w:hint="default"/>
                <w:caps w:val="0"/>
                <w:color w:val="auto"/>
                <w:spacing w:val="0"/>
                <w:position w:val="0"/>
                <w:highlight w:val="none"/>
              </w:rPr>
              <w:t>外排至</w:t>
            </w:r>
            <w:r>
              <w:rPr>
                <w:rFonts w:hint="eastAsia"/>
                <w:caps w:val="0"/>
                <w:color w:val="auto"/>
                <w:spacing w:val="0"/>
                <w:position w:val="0"/>
                <w:highlight w:val="none"/>
                <w:lang w:val="en-US" w:eastAsia="zh-CN"/>
              </w:rPr>
              <w:t>无名小河最后汇入肖</w:t>
            </w:r>
            <w:r>
              <w:rPr>
                <w:rFonts w:hint="default"/>
                <w:caps w:val="0"/>
                <w:color w:val="auto"/>
                <w:spacing w:val="0"/>
                <w:position w:val="0"/>
                <w:highlight w:val="none"/>
              </w:rPr>
              <w:t>江</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因为有排水沟引流不会排入附近水库</w:t>
            </w:r>
            <w:r>
              <w:rPr>
                <w:rFonts w:hint="default"/>
                <w:caps w:val="0"/>
                <w:color w:val="auto"/>
                <w:spacing w:val="0"/>
                <w:position w:val="0"/>
                <w:highlight w:val="none"/>
              </w:rPr>
              <w:t>。</w:t>
            </w:r>
            <w:r>
              <w:rPr>
                <w:rFonts w:hint="eastAsia"/>
                <w:caps w:val="0"/>
                <w:color w:val="auto"/>
                <w:spacing w:val="0"/>
                <w:position w:val="0"/>
                <w:highlight w:val="none"/>
                <w:lang w:val="en-US" w:eastAsia="zh-CN"/>
              </w:rPr>
              <w:t>厂区雨水排口设置铊和氟化物自动监测设备，</w:t>
            </w:r>
            <w:r>
              <w:rPr>
                <w:rFonts w:hint="eastAsia"/>
                <w:caps w:val="0"/>
                <w:color w:val="auto"/>
                <w:spacing w:val="0"/>
                <w:position w:val="0"/>
                <w:highlight w:val="none"/>
              </w:rPr>
              <w:t>如出现铊等元素浓度异常情况则停止作业，本次评价参考《宜春市涉锂电主要行业生态环境监管标准（试行）》（宜环委办字〔</w:t>
            </w:r>
            <w:r>
              <w:rPr>
                <w:rFonts w:hint="default"/>
                <w:caps w:val="0"/>
                <w:color w:val="auto"/>
                <w:spacing w:val="0"/>
                <w:position w:val="0"/>
                <w:highlight w:val="none"/>
              </w:rPr>
              <w:t>2023</w:t>
            </w:r>
            <w:r>
              <w:rPr>
                <w:rFonts w:hint="eastAsia"/>
                <w:caps w:val="0"/>
                <w:color w:val="auto"/>
                <w:spacing w:val="0"/>
                <w:position w:val="0"/>
                <w:highlight w:val="none"/>
              </w:rPr>
              <w:t>〕</w:t>
            </w:r>
            <w:r>
              <w:rPr>
                <w:rFonts w:hint="default"/>
                <w:caps w:val="0"/>
                <w:color w:val="auto"/>
                <w:spacing w:val="0"/>
                <w:position w:val="0"/>
                <w:highlight w:val="none"/>
              </w:rPr>
              <w:t>2号）</w:t>
            </w:r>
            <w:r>
              <w:rPr>
                <w:rFonts w:hint="eastAsia"/>
                <w:caps w:val="0"/>
                <w:color w:val="auto"/>
                <w:spacing w:val="0"/>
                <w:position w:val="0"/>
                <w:highlight w:val="none"/>
              </w:rPr>
              <w:t>中相关浓度预警值要求，提出雨水排放口铊预警浓度为</w:t>
            </w:r>
            <w:r>
              <w:rPr>
                <w:rFonts w:hint="default"/>
                <w:caps w:val="0"/>
                <w:color w:val="auto"/>
                <w:spacing w:val="0"/>
                <w:position w:val="0"/>
                <w:highlight w:val="none"/>
              </w:rPr>
              <w:t>0.00</w:t>
            </w:r>
            <w:r>
              <w:rPr>
                <w:rFonts w:hint="eastAsia"/>
                <w:caps w:val="0"/>
                <w:color w:val="auto"/>
                <w:spacing w:val="0"/>
                <w:position w:val="0"/>
                <w:highlight w:val="none"/>
                <w:lang w:val="en-US" w:eastAsia="zh-CN"/>
              </w:rPr>
              <w:t>5</w:t>
            </w:r>
            <w:r>
              <w:rPr>
                <w:rFonts w:hint="eastAsia"/>
                <w:caps w:val="0"/>
                <w:color w:val="auto"/>
                <w:spacing w:val="0"/>
                <w:position w:val="0"/>
                <w:highlight w:val="none"/>
              </w:rPr>
              <w:t>mg/L（参照《工业废水铊污染物排放标准》（DB36/1149-2019）标准排放限值）、氟化物预警浓度为</w:t>
            </w:r>
            <w:r>
              <w:rPr>
                <w:rFonts w:hint="eastAsia"/>
                <w:caps w:val="0"/>
                <w:color w:val="auto"/>
                <w:spacing w:val="0"/>
                <w:position w:val="0"/>
                <w:highlight w:val="none"/>
                <w:lang w:val="en-US" w:eastAsia="zh-CN"/>
              </w:rPr>
              <w:t>2</w:t>
            </w:r>
            <w:r>
              <w:rPr>
                <w:rFonts w:hint="eastAsia"/>
                <w:caps w:val="0"/>
                <w:color w:val="auto"/>
                <w:spacing w:val="0"/>
                <w:position w:val="0"/>
                <w:highlight w:val="none"/>
              </w:rPr>
              <w:t>mg/L（参照</w:t>
            </w:r>
            <w:r>
              <w:rPr>
                <w:rFonts w:hint="eastAsia"/>
                <w:caps w:val="0"/>
                <w:color w:val="auto"/>
                <w:spacing w:val="0"/>
                <w:position w:val="0"/>
                <w:highlight w:val="none"/>
                <w:lang w:eastAsia="zh-CN"/>
              </w:rPr>
              <w:t>《无机化学工业污染物排放标准》（GB31573-2015）修改单</w:t>
            </w:r>
            <w:r>
              <w:rPr>
                <w:rFonts w:hint="eastAsia"/>
                <w:caps w:val="0"/>
                <w:color w:val="auto"/>
                <w:spacing w:val="0"/>
                <w:position w:val="0"/>
                <w:highlight w:val="none"/>
              </w:rPr>
              <w:t>的水污染物</w:t>
            </w:r>
            <w:r>
              <w:rPr>
                <w:rFonts w:hint="eastAsia"/>
                <w:caps w:val="0"/>
                <w:color w:val="auto"/>
                <w:spacing w:val="0"/>
                <w:position w:val="0"/>
                <w:highlight w:val="none"/>
                <w:lang w:val="en-US" w:eastAsia="zh-CN"/>
              </w:rPr>
              <w:t>特别</w:t>
            </w:r>
            <w:r>
              <w:rPr>
                <w:rFonts w:hint="eastAsia"/>
                <w:caps w:val="0"/>
                <w:color w:val="auto"/>
                <w:spacing w:val="0"/>
                <w:position w:val="0"/>
                <w:highlight w:val="none"/>
              </w:rPr>
              <w:t>排放限值）</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sz w:val="24"/>
                <w:szCs w:val="24"/>
                <w:highlight w:val="none"/>
                <w:lang w:val="en-US" w:eastAsia="zh-CN"/>
              </w:rPr>
              <w:t>超过预</w:t>
            </w:r>
            <w:r>
              <w:rPr>
                <w:rFonts w:hint="default" w:ascii="Times New Roman" w:hAnsi="Times New Roman" w:cs="Times New Roman"/>
                <w:caps w:val="0"/>
                <w:color w:val="auto"/>
                <w:spacing w:val="0"/>
                <w:position w:val="0"/>
                <w:highlight w:val="none"/>
              </w:rPr>
              <w:t>警限值浓度</w:t>
            </w:r>
            <w:r>
              <w:rPr>
                <w:rFonts w:hint="default" w:ascii="Times New Roman" w:hAnsi="Times New Roman" w:cs="Times New Roman"/>
                <w:caps w:val="0"/>
                <w:color w:val="auto"/>
                <w:spacing w:val="0"/>
                <w:position w:val="0"/>
                <w:highlight w:val="none"/>
                <w:lang w:val="en-US" w:eastAsia="zh-CN"/>
              </w:rPr>
              <w:t>后立即停止排放。</w:t>
            </w:r>
            <w:r>
              <w:rPr>
                <w:rFonts w:hint="eastAsia"/>
                <w:caps w:val="0"/>
                <w:color w:val="auto"/>
                <w:spacing w:val="0"/>
                <w:position w:val="0"/>
                <w:highlight w:val="none"/>
              </w:rPr>
              <w:t>污染物浓度限值详见下表。</w:t>
            </w:r>
          </w:p>
          <w:p w14:paraId="6EBACA95">
            <w:pPr>
              <w:pStyle w:val="75"/>
              <w:keepNext w:val="0"/>
              <w:keepLines w:val="0"/>
              <w:numPr>
                <w:ilvl w:val="0"/>
                <w:numId w:val="5"/>
              </w:numPr>
              <w:suppressLineNumbers w:val="0"/>
              <w:bidi w:val="0"/>
              <w:spacing w:before="0" w:beforeAutospacing="0" w:after="0" w:afterAutospacing="0"/>
              <w:ind w:left="0" w:leftChars="0" w:right="0" w:firstLine="420" w:firstLineChars="0"/>
              <w:rPr>
                <w:rFonts w:hint="eastAsia"/>
                <w:caps w:val="0"/>
                <w:color w:val="auto"/>
                <w:spacing w:val="0"/>
                <w:position w:val="0"/>
                <w:highlight w:val="none"/>
              </w:rPr>
            </w:pPr>
            <w:r>
              <w:rPr>
                <w:rFonts w:hint="default"/>
                <w:caps w:val="0"/>
                <w:color w:val="auto"/>
                <w:spacing w:val="0"/>
                <w:position w:val="0"/>
                <w:highlight w:val="none"/>
              </w:rPr>
              <w:t>洗车</w:t>
            </w:r>
            <w:r>
              <w:rPr>
                <w:rFonts w:hint="eastAsia"/>
                <w:caps w:val="0"/>
                <w:color w:val="auto"/>
                <w:spacing w:val="0"/>
                <w:position w:val="0"/>
                <w:highlight w:val="none"/>
                <w:lang w:eastAsia="zh-CN"/>
              </w:rPr>
              <w:t>、</w:t>
            </w:r>
            <w:r>
              <w:rPr>
                <w:rFonts w:hint="default"/>
                <w:caps w:val="0"/>
                <w:color w:val="auto"/>
                <w:spacing w:val="0"/>
                <w:position w:val="0"/>
                <w:highlight w:val="none"/>
              </w:rPr>
              <w:t>养护</w:t>
            </w:r>
            <w:r>
              <w:rPr>
                <w:rFonts w:hint="eastAsia"/>
                <w:caps w:val="0"/>
                <w:color w:val="auto"/>
                <w:spacing w:val="0"/>
                <w:position w:val="0"/>
                <w:highlight w:val="none"/>
                <w:lang w:val="en-US" w:eastAsia="zh-CN"/>
              </w:rPr>
              <w:t>、设备清洗废</w:t>
            </w:r>
            <w:r>
              <w:rPr>
                <w:rFonts w:hint="default"/>
                <w:caps w:val="0"/>
                <w:color w:val="auto"/>
                <w:spacing w:val="0"/>
                <w:position w:val="0"/>
                <w:highlight w:val="none"/>
              </w:rPr>
              <w:t>水</w:t>
            </w:r>
            <w:r>
              <w:rPr>
                <w:rFonts w:hint="eastAsia"/>
                <w:caps w:val="0"/>
                <w:color w:val="auto"/>
                <w:spacing w:val="0"/>
                <w:position w:val="0"/>
                <w:highlight w:val="none"/>
                <w:lang w:val="en-US" w:eastAsia="zh-CN"/>
              </w:rPr>
              <w:t>和初期雨水回用</w:t>
            </w:r>
            <w:r>
              <w:rPr>
                <w:rFonts w:hint="default"/>
                <w:caps w:val="0"/>
                <w:color w:val="auto"/>
                <w:spacing w:val="0"/>
                <w:position w:val="0"/>
                <w:highlight w:val="none"/>
              </w:rPr>
              <w:t>标准限值</w:t>
            </w:r>
            <w:r>
              <w:rPr>
                <w:rFonts w:hint="eastAsia"/>
                <w:caps w:val="0"/>
                <w:color w:val="auto"/>
                <w:spacing w:val="0"/>
                <w:position w:val="0"/>
                <w:highlight w:val="none"/>
              </w:rPr>
              <w:t>（单位：m</w:t>
            </w:r>
            <w:r>
              <w:rPr>
                <w:rFonts w:hint="default"/>
                <w:caps w:val="0"/>
                <w:color w:val="auto"/>
                <w:spacing w:val="0"/>
                <w:position w:val="0"/>
                <w:highlight w:val="none"/>
              </w:rPr>
              <w:t>g/L</w:t>
            </w:r>
            <w:r>
              <w:rPr>
                <w:rFonts w:hint="eastAsia"/>
                <w:caps w:val="0"/>
                <w:color w:val="auto"/>
                <w:spacing w:val="0"/>
                <w:position w:val="0"/>
                <w:highlight w:val="none"/>
              </w:rPr>
              <w:t>，p</w:t>
            </w:r>
            <w:r>
              <w:rPr>
                <w:rFonts w:hint="default"/>
                <w:caps w:val="0"/>
                <w:color w:val="auto"/>
                <w:spacing w:val="0"/>
                <w:position w:val="0"/>
                <w:highlight w:val="none"/>
              </w:rPr>
              <w:t>H</w:t>
            </w:r>
            <w:r>
              <w:rPr>
                <w:rFonts w:hint="eastAsia"/>
                <w:caps w:val="0"/>
                <w:color w:val="auto"/>
                <w:spacing w:val="0"/>
                <w:position w:val="0"/>
                <w:highlight w:val="none"/>
              </w:rPr>
              <w:t>无量纲）</w:t>
            </w:r>
          </w:p>
          <w:tbl>
            <w:tblPr>
              <w:tblStyle w:val="2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54"/>
              <w:gridCol w:w="838"/>
              <w:gridCol w:w="2235"/>
              <w:gridCol w:w="1503"/>
              <w:gridCol w:w="1530"/>
              <w:gridCol w:w="1530"/>
            </w:tblGrid>
            <w:tr w14:paraId="174A5D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54" w:type="dxa"/>
                  <w:tcBorders>
                    <w:tl2br w:val="nil"/>
                    <w:tr2bl w:val="nil"/>
                  </w:tcBorders>
                  <w:vAlign w:val="center"/>
                </w:tcPr>
                <w:p w14:paraId="78AAD97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序号</w:t>
                  </w:r>
                </w:p>
              </w:tc>
              <w:tc>
                <w:tcPr>
                  <w:tcW w:w="838" w:type="dxa"/>
                  <w:tcBorders>
                    <w:tl2br w:val="nil"/>
                    <w:tr2bl w:val="nil"/>
                  </w:tcBorders>
                  <w:vAlign w:val="center"/>
                </w:tcPr>
                <w:p w14:paraId="4D6643D0">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控制项目</w:t>
                  </w:r>
                </w:p>
              </w:tc>
              <w:tc>
                <w:tcPr>
                  <w:tcW w:w="2235" w:type="dxa"/>
                  <w:tcBorders>
                    <w:tl2br w:val="nil"/>
                    <w:tr2bl w:val="nil"/>
                  </w:tcBorders>
                  <w:vAlign w:val="center"/>
                </w:tcPr>
                <w:p w14:paraId="67446458">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《城市污水再生利用工业用水水质》(GB/T19923-2024)工艺与产品用水</w:t>
                  </w:r>
                </w:p>
              </w:tc>
              <w:tc>
                <w:tcPr>
                  <w:tcW w:w="1503" w:type="dxa"/>
                  <w:tcBorders>
                    <w:tl2br w:val="nil"/>
                    <w:tr2bl w:val="nil"/>
                  </w:tcBorders>
                  <w:vAlign w:val="center"/>
                </w:tcPr>
                <w:p w14:paraId="45CA5F62">
                  <w:pPr>
                    <w:pStyle w:val="28"/>
                    <w:keepNext w:val="0"/>
                    <w:keepLines w:val="0"/>
                    <w:suppressLineNumbers w:val="0"/>
                    <w:bidi w:val="0"/>
                    <w:spacing w:beforeAutospacing="0" w:afterAutospacing="0"/>
                    <w:ind w:left="0" w:right="0"/>
                    <w:rPr>
                      <w:rFonts w:hint="eastAsia" w:eastAsia="宋体"/>
                      <w:b/>
                      <w:bCs/>
                      <w:caps w:val="0"/>
                      <w:color w:val="auto"/>
                      <w:spacing w:val="0"/>
                      <w:position w:val="0"/>
                      <w:highlight w:val="none"/>
                      <w:lang w:eastAsia="zh-CN"/>
                    </w:rPr>
                  </w:pPr>
                  <w:r>
                    <w:rPr>
                      <w:rFonts w:hint="eastAsia"/>
                      <w:b/>
                      <w:bCs/>
                      <w:caps w:val="0"/>
                      <w:color w:val="auto"/>
                      <w:spacing w:val="0"/>
                      <w:position w:val="0"/>
                      <w:highlight w:val="none"/>
                      <w:lang w:eastAsia="zh-CN"/>
                    </w:rPr>
                    <w:t>《无机化学工业污染物排放标准》（GB31573-2015）修改单</w:t>
                  </w:r>
                </w:p>
              </w:tc>
              <w:tc>
                <w:tcPr>
                  <w:tcW w:w="1530" w:type="dxa"/>
                  <w:tcBorders>
                    <w:tl2br w:val="nil"/>
                    <w:tr2bl w:val="nil"/>
                  </w:tcBorders>
                  <w:vAlign w:val="center"/>
                </w:tcPr>
                <w:p w14:paraId="7FB9FD27">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《工业废水铊污染物排放标准》（DB36/1149-2019）</w:t>
                  </w:r>
                </w:p>
              </w:tc>
              <w:tc>
                <w:tcPr>
                  <w:tcW w:w="1530" w:type="dxa"/>
                  <w:tcBorders>
                    <w:tl2br w:val="nil"/>
                    <w:tr2bl w:val="nil"/>
                  </w:tcBorders>
                  <w:vAlign w:val="center"/>
                </w:tcPr>
                <w:p w14:paraId="1D31B71C">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本项目执行标准</w:t>
                  </w:r>
                </w:p>
              </w:tc>
            </w:tr>
            <w:tr w14:paraId="0CECE8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54" w:type="dxa"/>
                  <w:tcBorders>
                    <w:tl2br w:val="nil"/>
                    <w:tr2bl w:val="nil"/>
                  </w:tcBorders>
                  <w:vAlign w:val="center"/>
                </w:tcPr>
                <w:p w14:paraId="1AE0983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1</w:t>
                  </w:r>
                </w:p>
              </w:tc>
              <w:tc>
                <w:tcPr>
                  <w:tcW w:w="838" w:type="dxa"/>
                  <w:tcBorders>
                    <w:tl2br w:val="nil"/>
                    <w:tr2bl w:val="nil"/>
                  </w:tcBorders>
                  <w:vAlign w:val="center"/>
                </w:tcPr>
                <w:p w14:paraId="353B227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pH值</w:t>
                  </w:r>
                </w:p>
              </w:tc>
              <w:tc>
                <w:tcPr>
                  <w:tcW w:w="2235" w:type="dxa"/>
                  <w:tcBorders>
                    <w:tl2br w:val="nil"/>
                    <w:tr2bl w:val="nil"/>
                  </w:tcBorders>
                  <w:vAlign w:val="center"/>
                </w:tcPr>
                <w:p w14:paraId="38A5C51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6—9</w:t>
                  </w:r>
                </w:p>
              </w:tc>
              <w:tc>
                <w:tcPr>
                  <w:tcW w:w="1503" w:type="dxa"/>
                  <w:tcBorders>
                    <w:tl2br w:val="nil"/>
                    <w:tr2bl w:val="nil"/>
                  </w:tcBorders>
                  <w:vAlign w:val="center"/>
                </w:tcPr>
                <w:p w14:paraId="4A879E8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6~9</w:t>
                  </w:r>
                </w:p>
              </w:tc>
              <w:tc>
                <w:tcPr>
                  <w:tcW w:w="1530" w:type="dxa"/>
                  <w:tcBorders>
                    <w:tl2br w:val="nil"/>
                    <w:tr2bl w:val="nil"/>
                  </w:tcBorders>
                  <w:vAlign w:val="center"/>
                </w:tcPr>
                <w:p w14:paraId="4FD8CB2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w:t>
                  </w:r>
                </w:p>
              </w:tc>
              <w:tc>
                <w:tcPr>
                  <w:tcW w:w="1530" w:type="dxa"/>
                  <w:tcBorders>
                    <w:tl2br w:val="nil"/>
                    <w:tr2bl w:val="nil"/>
                  </w:tcBorders>
                  <w:vAlign w:val="center"/>
                </w:tcPr>
                <w:p w14:paraId="4AF7510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6—9</w:t>
                  </w:r>
                </w:p>
              </w:tc>
            </w:tr>
            <w:tr w14:paraId="24592C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54" w:type="dxa"/>
                  <w:tcBorders>
                    <w:tl2br w:val="nil"/>
                    <w:tr2bl w:val="nil"/>
                  </w:tcBorders>
                  <w:vAlign w:val="center"/>
                </w:tcPr>
                <w:p w14:paraId="77A8868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2</w:t>
                  </w:r>
                </w:p>
              </w:tc>
              <w:tc>
                <w:tcPr>
                  <w:tcW w:w="838" w:type="dxa"/>
                  <w:tcBorders>
                    <w:tl2br w:val="nil"/>
                    <w:tr2bl w:val="nil"/>
                  </w:tcBorders>
                  <w:vAlign w:val="center"/>
                </w:tcPr>
                <w:p w14:paraId="173DBEE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悬浮物（SS）</w:t>
                  </w:r>
                </w:p>
              </w:tc>
              <w:tc>
                <w:tcPr>
                  <w:tcW w:w="2235" w:type="dxa"/>
                  <w:tcBorders>
                    <w:tl2br w:val="nil"/>
                    <w:tr2bl w:val="nil"/>
                  </w:tcBorders>
                  <w:vAlign w:val="center"/>
                </w:tcPr>
                <w:p w14:paraId="36D1D0C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w:t>
                  </w:r>
                </w:p>
              </w:tc>
              <w:tc>
                <w:tcPr>
                  <w:tcW w:w="1503" w:type="dxa"/>
                  <w:tcBorders>
                    <w:tl2br w:val="nil"/>
                    <w:tr2bl w:val="nil"/>
                  </w:tcBorders>
                  <w:vAlign w:val="center"/>
                </w:tcPr>
                <w:p w14:paraId="2A433DDB">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100</w:t>
                  </w:r>
                </w:p>
              </w:tc>
              <w:tc>
                <w:tcPr>
                  <w:tcW w:w="1530" w:type="dxa"/>
                  <w:tcBorders>
                    <w:tl2br w:val="nil"/>
                    <w:tr2bl w:val="nil"/>
                  </w:tcBorders>
                  <w:vAlign w:val="center"/>
                </w:tcPr>
                <w:p w14:paraId="70A8D30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w:t>
                  </w:r>
                </w:p>
              </w:tc>
              <w:tc>
                <w:tcPr>
                  <w:tcW w:w="1530" w:type="dxa"/>
                  <w:tcBorders>
                    <w:tl2br w:val="nil"/>
                    <w:tr2bl w:val="nil"/>
                  </w:tcBorders>
                  <w:vAlign w:val="center"/>
                </w:tcPr>
                <w:p w14:paraId="17B5610F">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100</w:t>
                  </w:r>
                </w:p>
              </w:tc>
            </w:tr>
            <w:tr w14:paraId="0C183A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54" w:type="dxa"/>
                  <w:tcBorders>
                    <w:tl2br w:val="nil"/>
                    <w:tr2bl w:val="nil"/>
                  </w:tcBorders>
                  <w:vAlign w:val="center"/>
                </w:tcPr>
                <w:p w14:paraId="0C1D6DF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3</w:t>
                  </w:r>
                </w:p>
              </w:tc>
              <w:tc>
                <w:tcPr>
                  <w:tcW w:w="838" w:type="dxa"/>
                  <w:tcBorders>
                    <w:tl2br w:val="nil"/>
                    <w:tr2bl w:val="nil"/>
                  </w:tcBorders>
                  <w:vAlign w:val="center"/>
                </w:tcPr>
                <w:p w14:paraId="600F9B5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生化需氧量（</w:t>
                  </w:r>
                  <w:r>
                    <w:rPr>
                      <w:rFonts w:hint="default"/>
                      <w:caps w:val="0"/>
                      <w:color w:val="auto"/>
                      <w:spacing w:val="0"/>
                      <w:position w:val="0"/>
                      <w:highlight w:val="none"/>
                    </w:rPr>
                    <w:t>BOD5</w:t>
                  </w:r>
                  <w:r>
                    <w:rPr>
                      <w:rFonts w:hint="eastAsia"/>
                      <w:caps w:val="0"/>
                      <w:color w:val="auto"/>
                      <w:spacing w:val="0"/>
                      <w:position w:val="0"/>
                      <w:highlight w:val="none"/>
                    </w:rPr>
                    <w:t>）</w:t>
                  </w:r>
                </w:p>
              </w:tc>
              <w:tc>
                <w:tcPr>
                  <w:tcW w:w="2235" w:type="dxa"/>
                  <w:tcBorders>
                    <w:tl2br w:val="nil"/>
                    <w:tr2bl w:val="nil"/>
                  </w:tcBorders>
                  <w:vAlign w:val="center"/>
                </w:tcPr>
                <w:p w14:paraId="51C6CB1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10</w:t>
                  </w:r>
                </w:p>
              </w:tc>
              <w:tc>
                <w:tcPr>
                  <w:tcW w:w="1503" w:type="dxa"/>
                  <w:tcBorders>
                    <w:tl2br w:val="nil"/>
                    <w:tr2bl w:val="nil"/>
                  </w:tcBorders>
                  <w:vAlign w:val="center"/>
                </w:tcPr>
                <w:p w14:paraId="526B236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w:t>
                  </w:r>
                </w:p>
              </w:tc>
              <w:tc>
                <w:tcPr>
                  <w:tcW w:w="1530" w:type="dxa"/>
                  <w:tcBorders>
                    <w:tl2br w:val="nil"/>
                    <w:tr2bl w:val="nil"/>
                  </w:tcBorders>
                  <w:vAlign w:val="center"/>
                </w:tcPr>
                <w:p w14:paraId="733AEB2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w:t>
                  </w:r>
                </w:p>
              </w:tc>
              <w:tc>
                <w:tcPr>
                  <w:tcW w:w="1530" w:type="dxa"/>
                  <w:tcBorders>
                    <w:tl2br w:val="nil"/>
                    <w:tr2bl w:val="nil"/>
                  </w:tcBorders>
                  <w:vAlign w:val="center"/>
                </w:tcPr>
                <w:p w14:paraId="365C403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10</w:t>
                  </w:r>
                </w:p>
              </w:tc>
            </w:tr>
            <w:tr w14:paraId="3A42F8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54" w:type="dxa"/>
                  <w:tcBorders>
                    <w:tl2br w:val="nil"/>
                    <w:tr2bl w:val="nil"/>
                  </w:tcBorders>
                  <w:vAlign w:val="center"/>
                </w:tcPr>
                <w:p w14:paraId="1875D86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4</w:t>
                  </w:r>
                </w:p>
              </w:tc>
              <w:tc>
                <w:tcPr>
                  <w:tcW w:w="838" w:type="dxa"/>
                  <w:tcBorders>
                    <w:tl2br w:val="nil"/>
                    <w:tr2bl w:val="nil"/>
                  </w:tcBorders>
                  <w:vAlign w:val="center"/>
                </w:tcPr>
                <w:p w14:paraId="7BFCEA4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化学需氧量（</w:t>
                  </w:r>
                  <w:r>
                    <w:rPr>
                      <w:rFonts w:hint="default"/>
                      <w:caps w:val="0"/>
                      <w:color w:val="auto"/>
                      <w:spacing w:val="0"/>
                      <w:position w:val="0"/>
                      <w:highlight w:val="none"/>
                    </w:rPr>
                    <w:t>COD</w:t>
                  </w:r>
                  <w:r>
                    <w:rPr>
                      <w:rFonts w:hint="eastAsia"/>
                      <w:caps w:val="0"/>
                      <w:color w:val="auto"/>
                      <w:spacing w:val="0"/>
                      <w:position w:val="0"/>
                      <w:highlight w:val="none"/>
                    </w:rPr>
                    <w:t>）</w:t>
                  </w:r>
                </w:p>
              </w:tc>
              <w:tc>
                <w:tcPr>
                  <w:tcW w:w="2235" w:type="dxa"/>
                  <w:tcBorders>
                    <w:tl2br w:val="nil"/>
                    <w:tr2bl w:val="nil"/>
                  </w:tcBorders>
                  <w:vAlign w:val="center"/>
                </w:tcPr>
                <w:p w14:paraId="30B4520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50</w:t>
                  </w:r>
                </w:p>
              </w:tc>
              <w:tc>
                <w:tcPr>
                  <w:tcW w:w="1503" w:type="dxa"/>
                  <w:tcBorders>
                    <w:tl2br w:val="nil"/>
                    <w:tr2bl w:val="nil"/>
                  </w:tcBorders>
                  <w:vAlign w:val="center"/>
                </w:tcPr>
                <w:p w14:paraId="10BAAA70">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eastAsia="zh-CN"/>
                    </w:rPr>
                  </w:pPr>
                  <w:r>
                    <w:rPr>
                      <w:rFonts w:hint="eastAsia"/>
                      <w:caps w:val="0"/>
                      <w:color w:val="auto"/>
                      <w:spacing w:val="0"/>
                      <w:position w:val="0"/>
                      <w:highlight w:val="none"/>
                      <w:lang w:val="en-US" w:eastAsia="zh-CN"/>
                    </w:rPr>
                    <w:t>/</w:t>
                  </w:r>
                </w:p>
              </w:tc>
              <w:tc>
                <w:tcPr>
                  <w:tcW w:w="1530" w:type="dxa"/>
                  <w:tcBorders>
                    <w:tl2br w:val="nil"/>
                    <w:tr2bl w:val="nil"/>
                  </w:tcBorders>
                  <w:vAlign w:val="center"/>
                </w:tcPr>
                <w:p w14:paraId="6429356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w:t>
                  </w:r>
                </w:p>
              </w:tc>
              <w:tc>
                <w:tcPr>
                  <w:tcW w:w="1530" w:type="dxa"/>
                  <w:tcBorders>
                    <w:tl2br w:val="nil"/>
                    <w:tr2bl w:val="nil"/>
                  </w:tcBorders>
                  <w:vAlign w:val="center"/>
                </w:tcPr>
                <w:p w14:paraId="1BF2521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50</w:t>
                  </w:r>
                </w:p>
              </w:tc>
            </w:tr>
            <w:tr w14:paraId="55070B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54" w:type="dxa"/>
                  <w:tcBorders>
                    <w:tl2br w:val="nil"/>
                    <w:tr2bl w:val="nil"/>
                  </w:tcBorders>
                  <w:vAlign w:val="center"/>
                </w:tcPr>
                <w:p w14:paraId="36499AB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5</w:t>
                  </w:r>
                </w:p>
              </w:tc>
              <w:tc>
                <w:tcPr>
                  <w:tcW w:w="838" w:type="dxa"/>
                  <w:tcBorders>
                    <w:tl2br w:val="nil"/>
                    <w:tr2bl w:val="nil"/>
                  </w:tcBorders>
                  <w:vAlign w:val="center"/>
                </w:tcPr>
                <w:p w14:paraId="40C086D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氟化物</w:t>
                  </w:r>
                </w:p>
              </w:tc>
              <w:tc>
                <w:tcPr>
                  <w:tcW w:w="2235" w:type="dxa"/>
                  <w:tcBorders>
                    <w:tl2br w:val="nil"/>
                    <w:tr2bl w:val="nil"/>
                  </w:tcBorders>
                  <w:vAlign w:val="center"/>
                </w:tcPr>
                <w:p w14:paraId="3500C5D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40</w:t>
                  </w:r>
                  <w:r>
                    <w:rPr>
                      <w:rFonts w:hint="eastAsia"/>
                      <w:caps w:val="0"/>
                      <w:color w:val="auto"/>
                      <w:spacing w:val="0"/>
                      <w:position w:val="0"/>
                      <w:highlight w:val="none"/>
                    </w:rPr>
                    <w:t>0</w:t>
                  </w:r>
                </w:p>
              </w:tc>
              <w:tc>
                <w:tcPr>
                  <w:tcW w:w="1503" w:type="dxa"/>
                  <w:tcBorders>
                    <w:tl2br w:val="nil"/>
                    <w:tr2bl w:val="nil"/>
                  </w:tcBorders>
                  <w:vAlign w:val="center"/>
                </w:tcPr>
                <w:p w14:paraId="79B26846">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eastAsia="zh-CN"/>
                    </w:rPr>
                  </w:pPr>
                  <w:r>
                    <w:rPr>
                      <w:rFonts w:hint="eastAsia"/>
                      <w:caps w:val="0"/>
                      <w:color w:val="auto"/>
                      <w:spacing w:val="0"/>
                      <w:position w:val="0"/>
                      <w:highlight w:val="none"/>
                      <w:lang w:val="en-US" w:eastAsia="zh-CN"/>
                    </w:rPr>
                    <w:t>6</w:t>
                  </w:r>
                </w:p>
              </w:tc>
              <w:tc>
                <w:tcPr>
                  <w:tcW w:w="1530" w:type="dxa"/>
                  <w:tcBorders>
                    <w:tl2br w:val="nil"/>
                    <w:tr2bl w:val="nil"/>
                  </w:tcBorders>
                  <w:vAlign w:val="center"/>
                </w:tcPr>
                <w:p w14:paraId="4C5734D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w:t>
                  </w:r>
                </w:p>
              </w:tc>
              <w:tc>
                <w:tcPr>
                  <w:tcW w:w="1530" w:type="dxa"/>
                  <w:tcBorders>
                    <w:tl2br w:val="nil"/>
                    <w:tr2bl w:val="nil"/>
                  </w:tcBorders>
                  <w:vAlign w:val="center"/>
                </w:tcPr>
                <w:p w14:paraId="48934691">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eastAsia="zh-CN"/>
                    </w:rPr>
                  </w:pPr>
                  <w:r>
                    <w:rPr>
                      <w:rFonts w:hint="eastAsia"/>
                      <w:caps w:val="0"/>
                      <w:color w:val="auto"/>
                      <w:spacing w:val="0"/>
                      <w:position w:val="0"/>
                      <w:highlight w:val="none"/>
                      <w:lang w:val="en-US" w:eastAsia="zh-CN"/>
                    </w:rPr>
                    <w:t>6</w:t>
                  </w:r>
                </w:p>
              </w:tc>
            </w:tr>
            <w:tr w14:paraId="4ADFD0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54" w:type="dxa"/>
                  <w:tcBorders>
                    <w:tl2br w:val="nil"/>
                    <w:tr2bl w:val="nil"/>
                  </w:tcBorders>
                  <w:vAlign w:val="center"/>
                </w:tcPr>
                <w:p w14:paraId="0A4E643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6</w:t>
                  </w:r>
                </w:p>
              </w:tc>
              <w:tc>
                <w:tcPr>
                  <w:tcW w:w="838" w:type="dxa"/>
                  <w:tcBorders>
                    <w:tl2br w:val="nil"/>
                    <w:tr2bl w:val="nil"/>
                  </w:tcBorders>
                  <w:vAlign w:val="center"/>
                </w:tcPr>
                <w:p w14:paraId="7C68338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铊</w:t>
                  </w:r>
                </w:p>
              </w:tc>
              <w:tc>
                <w:tcPr>
                  <w:tcW w:w="2235" w:type="dxa"/>
                  <w:tcBorders>
                    <w:tl2br w:val="nil"/>
                    <w:tr2bl w:val="nil"/>
                  </w:tcBorders>
                  <w:vAlign w:val="center"/>
                </w:tcPr>
                <w:p w14:paraId="448CB04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w:t>
                  </w:r>
                </w:p>
              </w:tc>
              <w:tc>
                <w:tcPr>
                  <w:tcW w:w="1503" w:type="dxa"/>
                  <w:tcBorders>
                    <w:tl2br w:val="nil"/>
                    <w:tr2bl w:val="nil"/>
                  </w:tcBorders>
                  <w:vAlign w:val="center"/>
                </w:tcPr>
                <w:p w14:paraId="64549572">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eastAsia="zh-CN"/>
                    </w:rPr>
                  </w:pPr>
                  <w:r>
                    <w:rPr>
                      <w:rFonts w:hint="eastAsia"/>
                      <w:caps w:val="0"/>
                      <w:color w:val="auto"/>
                      <w:spacing w:val="0"/>
                      <w:position w:val="0"/>
                      <w:highlight w:val="none"/>
                    </w:rPr>
                    <w:t>0.00</w:t>
                  </w:r>
                  <w:r>
                    <w:rPr>
                      <w:rFonts w:hint="eastAsia"/>
                      <w:caps w:val="0"/>
                      <w:color w:val="auto"/>
                      <w:spacing w:val="0"/>
                      <w:position w:val="0"/>
                      <w:highlight w:val="none"/>
                      <w:lang w:val="en-US" w:eastAsia="zh-CN"/>
                    </w:rPr>
                    <w:t>5</w:t>
                  </w:r>
                </w:p>
              </w:tc>
              <w:tc>
                <w:tcPr>
                  <w:tcW w:w="1530" w:type="dxa"/>
                  <w:tcBorders>
                    <w:tl2br w:val="nil"/>
                    <w:tr2bl w:val="nil"/>
                  </w:tcBorders>
                  <w:vAlign w:val="center"/>
                </w:tcPr>
                <w:p w14:paraId="1BF632F3">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eastAsia="zh-CN"/>
                    </w:rPr>
                  </w:pPr>
                  <w:r>
                    <w:rPr>
                      <w:rFonts w:hint="eastAsia"/>
                      <w:caps w:val="0"/>
                      <w:color w:val="auto"/>
                      <w:spacing w:val="0"/>
                      <w:position w:val="0"/>
                      <w:highlight w:val="none"/>
                    </w:rPr>
                    <w:t>0.00</w:t>
                  </w:r>
                  <w:r>
                    <w:rPr>
                      <w:rFonts w:hint="eastAsia"/>
                      <w:caps w:val="0"/>
                      <w:color w:val="auto"/>
                      <w:spacing w:val="0"/>
                      <w:position w:val="0"/>
                      <w:highlight w:val="none"/>
                      <w:lang w:val="en-US" w:eastAsia="zh-CN"/>
                    </w:rPr>
                    <w:t>5</w:t>
                  </w:r>
                </w:p>
              </w:tc>
              <w:tc>
                <w:tcPr>
                  <w:tcW w:w="1530" w:type="dxa"/>
                  <w:tcBorders>
                    <w:tl2br w:val="nil"/>
                    <w:tr2bl w:val="nil"/>
                  </w:tcBorders>
                  <w:vAlign w:val="center"/>
                </w:tcPr>
                <w:p w14:paraId="4F0D4368">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eastAsia="zh-CN"/>
                    </w:rPr>
                  </w:pPr>
                  <w:r>
                    <w:rPr>
                      <w:rFonts w:hint="eastAsia"/>
                      <w:caps w:val="0"/>
                      <w:color w:val="auto"/>
                      <w:spacing w:val="0"/>
                      <w:position w:val="0"/>
                      <w:highlight w:val="none"/>
                    </w:rPr>
                    <w:t>0.00</w:t>
                  </w:r>
                  <w:r>
                    <w:rPr>
                      <w:rFonts w:hint="eastAsia"/>
                      <w:caps w:val="0"/>
                      <w:color w:val="auto"/>
                      <w:spacing w:val="0"/>
                      <w:position w:val="0"/>
                      <w:highlight w:val="none"/>
                      <w:lang w:val="en-US" w:eastAsia="zh-CN"/>
                    </w:rPr>
                    <w:t>5</w:t>
                  </w:r>
                </w:p>
              </w:tc>
            </w:tr>
            <w:tr w14:paraId="25FCAC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54" w:type="dxa"/>
                  <w:tcBorders>
                    <w:tl2br w:val="nil"/>
                    <w:tr2bl w:val="nil"/>
                  </w:tcBorders>
                  <w:vAlign w:val="center"/>
                </w:tcPr>
                <w:p w14:paraId="074662C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7</w:t>
                  </w:r>
                </w:p>
              </w:tc>
              <w:tc>
                <w:tcPr>
                  <w:tcW w:w="838" w:type="dxa"/>
                  <w:tcBorders>
                    <w:tl2br w:val="nil"/>
                    <w:tr2bl w:val="nil"/>
                  </w:tcBorders>
                  <w:vAlign w:val="center"/>
                </w:tcPr>
                <w:p w14:paraId="32473E9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铍</w:t>
                  </w:r>
                </w:p>
              </w:tc>
              <w:tc>
                <w:tcPr>
                  <w:tcW w:w="2235" w:type="dxa"/>
                  <w:tcBorders>
                    <w:tl2br w:val="nil"/>
                    <w:tr2bl w:val="nil"/>
                  </w:tcBorders>
                  <w:vAlign w:val="center"/>
                </w:tcPr>
                <w:p w14:paraId="7239BED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w:t>
                  </w:r>
                </w:p>
              </w:tc>
              <w:tc>
                <w:tcPr>
                  <w:tcW w:w="1503" w:type="dxa"/>
                  <w:tcBorders>
                    <w:tl2br w:val="nil"/>
                    <w:tr2bl w:val="nil"/>
                  </w:tcBorders>
                  <w:vAlign w:val="center"/>
                </w:tcPr>
                <w:p w14:paraId="2C5BF61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0.005</w:t>
                  </w:r>
                </w:p>
              </w:tc>
              <w:tc>
                <w:tcPr>
                  <w:tcW w:w="1530" w:type="dxa"/>
                  <w:tcBorders>
                    <w:tl2br w:val="nil"/>
                    <w:tr2bl w:val="nil"/>
                  </w:tcBorders>
                  <w:vAlign w:val="center"/>
                </w:tcPr>
                <w:p w14:paraId="5EFD512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w:t>
                  </w:r>
                </w:p>
              </w:tc>
              <w:tc>
                <w:tcPr>
                  <w:tcW w:w="1530" w:type="dxa"/>
                  <w:tcBorders>
                    <w:tl2br w:val="nil"/>
                    <w:tr2bl w:val="nil"/>
                  </w:tcBorders>
                  <w:vAlign w:val="center"/>
                </w:tcPr>
                <w:p w14:paraId="371E71B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0.005</w:t>
                  </w:r>
                </w:p>
              </w:tc>
            </w:tr>
            <w:tr w14:paraId="4120B2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54" w:type="dxa"/>
                  <w:tcBorders>
                    <w:tl2br w:val="nil"/>
                    <w:tr2bl w:val="nil"/>
                  </w:tcBorders>
                  <w:vAlign w:val="center"/>
                </w:tcPr>
                <w:p w14:paraId="6973A25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8</w:t>
                  </w:r>
                </w:p>
              </w:tc>
              <w:tc>
                <w:tcPr>
                  <w:tcW w:w="838" w:type="dxa"/>
                  <w:tcBorders>
                    <w:tl2br w:val="nil"/>
                    <w:tr2bl w:val="nil"/>
                  </w:tcBorders>
                  <w:vAlign w:val="center"/>
                </w:tcPr>
                <w:p w14:paraId="1427C1A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氨氮</w:t>
                  </w:r>
                </w:p>
              </w:tc>
              <w:tc>
                <w:tcPr>
                  <w:tcW w:w="2235" w:type="dxa"/>
                  <w:tcBorders>
                    <w:tl2br w:val="nil"/>
                    <w:tr2bl w:val="nil"/>
                  </w:tcBorders>
                  <w:vAlign w:val="center"/>
                </w:tcPr>
                <w:p w14:paraId="543C88D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5</w:t>
                  </w:r>
                </w:p>
              </w:tc>
              <w:tc>
                <w:tcPr>
                  <w:tcW w:w="1503" w:type="dxa"/>
                  <w:tcBorders>
                    <w:tl2br w:val="nil"/>
                    <w:tr2bl w:val="nil"/>
                  </w:tcBorders>
                  <w:vAlign w:val="center"/>
                </w:tcPr>
                <w:p w14:paraId="315A9F4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40</w:t>
                  </w:r>
                </w:p>
              </w:tc>
              <w:tc>
                <w:tcPr>
                  <w:tcW w:w="1530" w:type="dxa"/>
                  <w:tcBorders>
                    <w:tl2br w:val="nil"/>
                    <w:tr2bl w:val="nil"/>
                  </w:tcBorders>
                  <w:vAlign w:val="center"/>
                </w:tcPr>
                <w:p w14:paraId="7C9C8A2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w:t>
                  </w:r>
                </w:p>
              </w:tc>
              <w:tc>
                <w:tcPr>
                  <w:tcW w:w="1530" w:type="dxa"/>
                  <w:tcBorders>
                    <w:tl2br w:val="nil"/>
                    <w:tr2bl w:val="nil"/>
                  </w:tcBorders>
                  <w:vAlign w:val="center"/>
                </w:tcPr>
                <w:p w14:paraId="1C6DF36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5</w:t>
                  </w:r>
                </w:p>
              </w:tc>
            </w:tr>
            <w:tr w14:paraId="6F22D7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54" w:type="dxa"/>
                  <w:tcBorders>
                    <w:tl2br w:val="nil"/>
                    <w:tr2bl w:val="nil"/>
                  </w:tcBorders>
                  <w:vAlign w:val="center"/>
                </w:tcPr>
                <w:p w14:paraId="1E6810E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9</w:t>
                  </w:r>
                </w:p>
              </w:tc>
              <w:tc>
                <w:tcPr>
                  <w:tcW w:w="838" w:type="dxa"/>
                  <w:tcBorders>
                    <w:tl2br w:val="nil"/>
                    <w:tr2bl w:val="nil"/>
                  </w:tcBorders>
                  <w:vAlign w:val="center"/>
                </w:tcPr>
                <w:p w14:paraId="195D235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石油类</w:t>
                  </w:r>
                </w:p>
              </w:tc>
              <w:tc>
                <w:tcPr>
                  <w:tcW w:w="2235" w:type="dxa"/>
                  <w:tcBorders>
                    <w:tl2br w:val="nil"/>
                    <w:tr2bl w:val="nil"/>
                  </w:tcBorders>
                  <w:vAlign w:val="center"/>
                </w:tcPr>
                <w:p w14:paraId="2521AE0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1</w:t>
                  </w:r>
                </w:p>
              </w:tc>
              <w:tc>
                <w:tcPr>
                  <w:tcW w:w="1503" w:type="dxa"/>
                  <w:tcBorders>
                    <w:tl2br w:val="nil"/>
                    <w:tr2bl w:val="nil"/>
                  </w:tcBorders>
                  <w:vAlign w:val="center"/>
                </w:tcPr>
                <w:p w14:paraId="181D175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6</w:t>
                  </w:r>
                </w:p>
              </w:tc>
              <w:tc>
                <w:tcPr>
                  <w:tcW w:w="1530" w:type="dxa"/>
                  <w:tcBorders>
                    <w:tl2br w:val="nil"/>
                    <w:tr2bl w:val="nil"/>
                  </w:tcBorders>
                  <w:vAlign w:val="center"/>
                </w:tcPr>
                <w:p w14:paraId="2F14EFD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w:t>
                  </w:r>
                </w:p>
              </w:tc>
              <w:tc>
                <w:tcPr>
                  <w:tcW w:w="1530" w:type="dxa"/>
                  <w:tcBorders>
                    <w:tl2br w:val="nil"/>
                    <w:tr2bl w:val="nil"/>
                  </w:tcBorders>
                  <w:vAlign w:val="center"/>
                </w:tcPr>
                <w:p w14:paraId="514214B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1</w:t>
                  </w:r>
                </w:p>
              </w:tc>
            </w:tr>
          </w:tbl>
          <w:p w14:paraId="0348D7C3">
            <w:pPr>
              <w:pStyle w:val="75"/>
              <w:keepNext w:val="0"/>
              <w:keepLines w:val="0"/>
              <w:numPr>
                <w:ilvl w:val="0"/>
                <w:numId w:val="5"/>
              </w:numPr>
              <w:suppressLineNumbers w:val="0"/>
              <w:bidi w:val="0"/>
              <w:spacing w:before="0" w:beforeAutospacing="0" w:after="0" w:afterAutospacing="0"/>
              <w:ind w:left="0" w:leftChars="0" w:right="0" w:firstLine="420" w:firstLineChars="0"/>
              <w:rPr>
                <w:rFonts w:hint="default"/>
                <w:caps w:val="0"/>
                <w:color w:val="auto"/>
                <w:spacing w:val="0"/>
                <w:position w:val="0"/>
                <w:highlight w:val="none"/>
              </w:rPr>
            </w:pPr>
            <w:r>
              <w:rPr>
                <w:rFonts w:hint="eastAsia"/>
                <w:caps w:val="0"/>
                <w:color w:val="auto"/>
                <w:spacing w:val="0"/>
                <w:position w:val="0"/>
                <w:highlight w:val="none"/>
                <w:lang w:val="en-US" w:eastAsia="zh-CN"/>
              </w:rPr>
              <w:t>生活污水灌溉标准</w:t>
            </w:r>
            <w:r>
              <w:rPr>
                <w:rFonts w:hint="eastAsia"/>
                <w:caps w:val="0"/>
                <w:color w:val="auto"/>
                <w:spacing w:val="0"/>
                <w:position w:val="0"/>
                <w:highlight w:val="none"/>
              </w:rPr>
              <w:t>（单位：m</w:t>
            </w:r>
            <w:r>
              <w:rPr>
                <w:rFonts w:hint="default"/>
                <w:caps w:val="0"/>
                <w:color w:val="auto"/>
                <w:spacing w:val="0"/>
                <w:position w:val="0"/>
                <w:highlight w:val="none"/>
              </w:rPr>
              <w:t>g/L</w:t>
            </w:r>
            <w:r>
              <w:rPr>
                <w:rFonts w:hint="eastAsia"/>
                <w:caps w:val="0"/>
                <w:color w:val="auto"/>
                <w:spacing w:val="0"/>
                <w:position w:val="0"/>
                <w:highlight w:val="none"/>
              </w:rPr>
              <w:t>，p</w:t>
            </w:r>
            <w:r>
              <w:rPr>
                <w:rFonts w:hint="default"/>
                <w:caps w:val="0"/>
                <w:color w:val="auto"/>
                <w:spacing w:val="0"/>
                <w:position w:val="0"/>
                <w:highlight w:val="none"/>
              </w:rPr>
              <w:t>H</w:t>
            </w:r>
            <w:r>
              <w:rPr>
                <w:rFonts w:hint="eastAsia"/>
                <w:caps w:val="0"/>
                <w:color w:val="auto"/>
                <w:spacing w:val="0"/>
                <w:position w:val="0"/>
                <w:highlight w:val="none"/>
              </w:rPr>
              <w:t>无量纲）</w:t>
            </w:r>
          </w:p>
          <w:tbl>
            <w:tblPr>
              <w:tblStyle w:val="2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570"/>
              <w:gridCol w:w="2373"/>
              <w:gridCol w:w="4247"/>
            </w:tblGrid>
            <w:tr w14:paraId="30E763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570" w:type="dxa"/>
                  <w:tcBorders>
                    <w:tl2br w:val="nil"/>
                    <w:tr2bl w:val="nil"/>
                  </w:tcBorders>
                  <w:vAlign w:val="center"/>
                </w:tcPr>
                <w:p w14:paraId="2A6D096F">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序号</w:t>
                  </w:r>
                </w:p>
              </w:tc>
              <w:tc>
                <w:tcPr>
                  <w:tcW w:w="2373" w:type="dxa"/>
                  <w:tcBorders>
                    <w:tl2br w:val="nil"/>
                    <w:tr2bl w:val="nil"/>
                  </w:tcBorders>
                  <w:vAlign w:val="center"/>
                </w:tcPr>
                <w:p w14:paraId="4EDA3371">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控制项目</w:t>
                  </w:r>
                </w:p>
              </w:tc>
              <w:tc>
                <w:tcPr>
                  <w:tcW w:w="4247" w:type="dxa"/>
                  <w:tcBorders>
                    <w:tl2br w:val="nil"/>
                    <w:tr2bl w:val="nil"/>
                  </w:tcBorders>
                  <w:vAlign w:val="center"/>
                </w:tcPr>
                <w:p w14:paraId="25449D94">
                  <w:pPr>
                    <w:pStyle w:val="28"/>
                    <w:keepNext w:val="0"/>
                    <w:keepLines w:val="0"/>
                    <w:suppressLineNumbers w:val="0"/>
                    <w:bidi w:val="0"/>
                    <w:spacing w:beforeAutospacing="0" w:afterAutospacing="0"/>
                    <w:ind w:left="0" w:right="0"/>
                    <w:rPr>
                      <w:rFonts w:hint="eastAsia"/>
                      <w:b/>
                      <w:bCs/>
                      <w:caps w:val="0"/>
                      <w:color w:val="auto"/>
                      <w:spacing w:val="0"/>
                      <w:position w:val="0"/>
                      <w:highlight w:val="none"/>
                    </w:rPr>
                  </w:pPr>
                  <w:r>
                    <w:rPr>
                      <w:rFonts w:hint="default"/>
                      <w:b/>
                      <w:bCs/>
                      <w:caps w:val="0"/>
                      <w:color w:val="auto"/>
                      <w:spacing w:val="0"/>
                      <w:position w:val="0"/>
                      <w:highlight w:val="none"/>
                      <w:lang w:val="en-US" w:eastAsia="zh-CN"/>
                    </w:rPr>
                    <w:t>《农田灌溉水质标准》（GB5084-2021）表1中旱作标准</w:t>
                  </w:r>
                </w:p>
              </w:tc>
            </w:tr>
            <w:tr w14:paraId="2BF2F2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570" w:type="dxa"/>
                  <w:tcBorders>
                    <w:tl2br w:val="nil"/>
                    <w:tr2bl w:val="nil"/>
                  </w:tcBorders>
                  <w:vAlign w:val="center"/>
                </w:tcPr>
                <w:p w14:paraId="6C8AC2F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1</w:t>
                  </w:r>
                </w:p>
              </w:tc>
              <w:tc>
                <w:tcPr>
                  <w:tcW w:w="2373" w:type="dxa"/>
                  <w:tcBorders>
                    <w:tl2br w:val="nil"/>
                    <w:tr2bl w:val="nil"/>
                  </w:tcBorders>
                  <w:vAlign w:val="center"/>
                </w:tcPr>
                <w:p w14:paraId="73057A9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pH值</w:t>
                  </w:r>
                </w:p>
              </w:tc>
              <w:tc>
                <w:tcPr>
                  <w:tcW w:w="4247" w:type="dxa"/>
                  <w:tcBorders>
                    <w:tl2br w:val="nil"/>
                    <w:tr2bl w:val="nil"/>
                  </w:tcBorders>
                  <w:vAlign w:val="center"/>
                </w:tcPr>
                <w:p w14:paraId="38980AAC">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5.5-8.5</w:t>
                  </w:r>
                </w:p>
              </w:tc>
            </w:tr>
            <w:tr w14:paraId="557812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570" w:type="dxa"/>
                  <w:tcBorders>
                    <w:tl2br w:val="nil"/>
                    <w:tr2bl w:val="nil"/>
                  </w:tcBorders>
                  <w:vAlign w:val="center"/>
                </w:tcPr>
                <w:p w14:paraId="2981946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2</w:t>
                  </w:r>
                </w:p>
              </w:tc>
              <w:tc>
                <w:tcPr>
                  <w:tcW w:w="2373" w:type="dxa"/>
                  <w:tcBorders>
                    <w:tl2br w:val="nil"/>
                    <w:tr2bl w:val="nil"/>
                  </w:tcBorders>
                  <w:vAlign w:val="center"/>
                </w:tcPr>
                <w:p w14:paraId="3609816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悬浮物（SS）</w:t>
                  </w:r>
                </w:p>
              </w:tc>
              <w:tc>
                <w:tcPr>
                  <w:tcW w:w="4247" w:type="dxa"/>
                  <w:tcBorders>
                    <w:tl2br w:val="nil"/>
                    <w:tr2bl w:val="nil"/>
                  </w:tcBorders>
                  <w:vAlign w:val="center"/>
                </w:tcPr>
                <w:p w14:paraId="10A3EC22">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100</w:t>
                  </w:r>
                </w:p>
              </w:tc>
            </w:tr>
            <w:tr w14:paraId="2AD4D4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0" w:hRule="atLeast"/>
                <w:jc w:val="center"/>
              </w:trPr>
              <w:tc>
                <w:tcPr>
                  <w:tcW w:w="1570" w:type="dxa"/>
                  <w:tcBorders>
                    <w:tl2br w:val="nil"/>
                    <w:tr2bl w:val="nil"/>
                  </w:tcBorders>
                  <w:vAlign w:val="center"/>
                </w:tcPr>
                <w:p w14:paraId="1ADEC55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3</w:t>
                  </w:r>
                </w:p>
              </w:tc>
              <w:tc>
                <w:tcPr>
                  <w:tcW w:w="2373" w:type="dxa"/>
                  <w:tcBorders>
                    <w:tl2br w:val="nil"/>
                    <w:tr2bl w:val="nil"/>
                  </w:tcBorders>
                  <w:vAlign w:val="center"/>
                </w:tcPr>
                <w:p w14:paraId="2817EF3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生化需氧量（</w:t>
                  </w:r>
                  <w:r>
                    <w:rPr>
                      <w:rFonts w:hint="default"/>
                      <w:caps w:val="0"/>
                      <w:color w:val="auto"/>
                      <w:spacing w:val="0"/>
                      <w:position w:val="0"/>
                      <w:highlight w:val="none"/>
                    </w:rPr>
                    <w:t>BOD5</w:t>
                  </w:r>
                  <w:r>
                    <w:rPr>
                      <w:rFonts w:hint="eastAsia"/>
                      <w:caps w:val="0"/>
                      <w:color w:val="auto"/>
                      <w:spacing w:val="0"/>
                      <w:position w:val="0"/>
                      <w:highlight w:val="none"/>
                    </w:rPr>
                    <w:t>）</w:t>
                  </w:r>
                </w:p>
              </w:tc>
              <w:tc>
                <w:tcPr>
                  <w:tcW w:w="4247" w:type="dxa"/>
                  <w:tcBorders>
                    <w:tl2br w:val="nil"/>
                    <w:tr2bl w:val="nil"/>
                  </w:tcBorders>
                  <w:vAlign w:val="center"/>
                </w:tcPr>
                <w:p w14:paraId="3D5D5F21">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100</w:t>
                  </w:r>
                </w:p>
              </w:tc>
            </w:tr>
            <w:tr w14:paraId="5DE4CA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570" w:type="dxa"/>
                  <w:tcBorders>
                    <w:tl2br w:val="nil"/>
                    <w:tr2bl w:val="nil"/>
                  </w:tcBorders>
                  <w:vAlign w:val="center"/>
                </w:tcPr>
                <w:p w14:paraId="610F96E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4</w:t>
                  </w:r>
                </w:p>
              </w:tc>
              <w:tc>
                <w:tcPr>
                  <w:tcW w:w="2373" w:type="dxa"/>
                  <w:tcBorders>
                    <w:tl2br w:val="nil"/>
                    <w:tr2bl w:val="nil"/>
                  </w:tcBorders>
                  <w:vAlign w:val="center"/>
                </w:tcPr>
                <w:p w14:paraId="3E2A389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化学需氧量（</w:t>
                  </w:r>
                  <w:r>
                    <w:rPr>
                      <w:rFonts w:hint="default"/>
                      <w:caps w:val="0"/>
                      <w:color w:val="auto"/>
                      <w:spacing w:val="0"/>
                      <w:position w:val="0"/>
                      <w:highlight w:val="none"/>
                    </w:rPr>
                    <w:t>COD</w:t>
                  </w:r>
                  <w:r>
                    <w:rPr>
                      <w:rFonts w:hint="eastAsia"/>
                      <w:caps w:val="0"/>
                      <w:color w:val="auto"/>
                      <w:spacing w:val="0"/>
                      <w:position w:val="0"/>
                      <w:highlight w:val="none"/>
                    </w:rPr>
                    <w:t>）</w:t>
                  </w:r>
                </w:p>
              </w:tc>
              <w:tc>
                <w:tcPr>
                  <w:tcW w:w="4247" w:type="dxa"/>
                  <w:tcBorders>
                    <w:tl2br w:val="nil"/>
                    <w:tr2bl w:val="nil"/>
                  </w:tcBorders>
                  <w:vAlign w:val="center"/>
                </w:tcPr>
                <w:p w14:paraId="51A6BB35">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200</w:t>
                  </w:r>
                </w:p>
              </w:tc>
            </w:tr>
            <w:tr w14:paraId="094AAA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570" w:type="dxa"/>
                  <w:tcBorders>
                    <w:tl2br w:val="nil"/>
                    <w:tr2bl w:val="nil"/>
                  </w:tcBorders>
                  <w:vAlign w:val="center"/>
                </w:tcPr>
                <w:p w14:paraId="0CA133F4">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eastAsia="zh-CN"/>
                    </w:rPr>
                  </w:pPr>
                  <w:r>
                    <w:rPr>
                      <w:rFonts w:hint="eastAsia"/>
                      <w:caps w:val="0"/>
                      <w:color w:val="auto"/>
                      <w:spacing w:val="0"/>
                      <w:position w:val="0"/>
                      <w:highlight w:val="none"/>
                      <w:lang w:val="en-US" w:eastAsia="zh-CN"/>
                    </w:rPr>
                    <w:t>5</w:t>
                  </w:r>
                </w:p>
              </w:tc>
              <w:tc>
                <w:tcPr>
                  <w:tcW w:w="2373" w:type="dxa"/>
                  <w:tcBorders>
                    <w:tl2br w:val="nil"/>
                    <w:tr2bl w:val="nil"/>
                  </w:tcBorders>
                  <w:vAlign w:val="center"/>
                </w:tcPr>
                <w:p w14:paraId="4BF8421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氨氮</w:t>
                  </w:r>
                </w:p>
              </w:tc>
              <w:tc>
                <w:tcPr>
                  <w:tcW w:w="4247" w:type="dxa"/>
                  <w:tcBorders>
                    <w:tl2br w:val="nil"/>
                    <w:tr2bl w:val="nil"/>
                  </w:tcBorders>
                  <w:vAlign w:val="center"/>
                </w:tcPr>
                <w:p w14:paraId="08D952AB">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w:t>
                  </w:r>
                </w:p>
              </w:tc>
            </w:tr>
            <w:tr w14:paraId="16AEDD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1570" w:type="dxa"/>
                  <w:tcBorders>
                    <w:tl2br w:val="nil"/>
                    <w:tr2bl w:val="nil"/>
                  </w:tcBorders>
                  <w:vAlign w:val="center"/>
                </w:tcPr>
                <w:p w14:paraId="5E905ECB">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eastAsia="zh-CN"/>
                    </w:rPr>
                  </w:pPr>
                  <w:r>
                    <w:rPr>
                      <w:rFonts w:hint="eastAsia"/>
                      <w:caps w:val="0"/>
                      <w:color w:val="auto"/>
                      <w:spacing w:val="0"/>
                      <w:position w:val="0"/>
                      <w:highlight w:val="none"/>
                      <w:lang w:val="en-US" w:eastAsia="zh-CN"/>
                    </w:rPr>
                    <w:t>6</w:t>
                  </w:r>
                </w:p>
              </w:tc>
              <w:tc>
                <w:tcPr>
                  <w:tcW w:w="2373" w:type="dxa"/>
                  <w:tcBorders>
                    <w:tl2br w:val="nil"/>
                    <w:tr2bl w:val="nil"/>
                  </w:tcBorders>
                  <w:vAlign w:val="center"/>
                </w:tcPr>
                <w:p w14:paraId="42FC7E9C">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TN</w:t>
                  </w:r>
                </w:p>
              </w:tc>
              <w:tc>
                <w:tcPr>
                  <w:tcW w:w="4247" w:type="dxa"/>
                  <w:tcBorders>
                    <w:tl2br w:val="nil"/>
                    <w:tr2bl w:val="nil"/>
                  </w:tcBorders>
                  <w:vAlign w:val="center"/>
                </w:tcPr>
                <w:p w14:paraId="77E790E0">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w:t>
                  </w:r>
                </w:p>
              </w:tc>
            </w:tr>
            <w:tr w14:paraId="36B6DA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0" w:hRule="atLeast"/>
                <w:jc w:val="center"/>
              </w:trPr>
              <w:tc>
                <w:tcPr>
                  <w:tcW w:w="1570" w:type="dxa"/>
                  <w:tcBorders>
                    <w:tl2br w:val="nil"/>
                    <w:tr2bl w:val="nil"/>
                  </w:tcBorders>
                  <w:vAlign w:val="center"/>
                </w:tcPr>
                <w:p w14:paraId="1ED21994">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7</w:t>
                  </w:r>
                </w:p>
              </w:tc>
              <w:tc>
                <w:tcPr>
                  <w:tcW w:w="2373" w:type="dxa"/>
                  <w:tcBorders>
                    <w:tl2br w:val="nil"/>
                    <w:tr2bl w:val="nil"/>
                  </w:tcBorders>
                  <w:vAlign w:val="center"/>
                </w:tcPr>
                <w:p w14:paraId="19E6BF14">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TP</w:t>
                  </w:r>
                </w:p>
              </w:tc>
              <w:tc>
                <w:tcPr>
                  <w:tcW w:w="4247" w:type="dxa"/>
                  <w:tcBorders>
                    <w:tl2br w:val="nil"/>
                    <w:tr2bl w:val="nil"/>
                  </w:tcBorders>
                  <w:vAlign w:val="center"/>
                </w:tcPr>
                <w:p w14:paraId="11658DB1">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w:t>
                  </w:r>
                </w:p>
              </w:tc>
            </w:tr>
          </w:tbl>
          <w:p w14:paraId="4B239C5C">
            <w:pPr>
              <w:pStyle w:val="75"/>
              <w:keepNext w:val="0"/>
              <w:keepLines w:val="0"/>
              <w:numPr>
                <w:ilvl w:val="0"/>
                <w:numId w:val="5"/>
              </w:numPr>
              <w:suppressLineNumbers w:val="0"/>
              <w:bidi w:val="0"/>
              <w:spacing w:before="0" w:beforeAutospacing="0" w:after="0" w:afterAutospacing="0"/>
              <w:ind w:left="0" w:leftChars="0" w:right="0" w:firstLine="420" w:firstLineChars="0"/>
              <w:rPr>
                <w:rFonts w:hint="default"/>
                <w:caps w:val="0"/>
                <w:color w:val="auto"/>
                <w:spacing w:val="0"/>
                <w:position w:val="0"/>
                <w:highlight w:val="none"/>
              </w:rPr>
            </w:pPr>
            <w:r>
              <w:rPr>
                <w:rFonts w:hint="eastAsia"/>
                <w:caps w:val="0"/>
                <w:color w:val="auto"/>
                <w:spacing w:val="0"/>
                <w:position w:val="0"/>
                <w:highlight w:val="none"/>
              </w:rPr>
              <w:t>后期雨水排放标准一览表 单位：mg/L</w:t>
            </w:r>
          </w:p>
          <w:tbl>
            <w:tblPr>
              <w:tblStyle w:val="2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33"/>
              <w:gridCol w:w="1348"/>
              <w:gridCol w:w="2337"/>
              <w:gridCol w:w="2400"/>
              <w:gridCol w:w="1572"/>
            </w:tblGrid>
            <w:tr w14:paraId="063593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90" w:type="dxa"/>
                  <w:tcBorders>
                    <w:tl2br w:val="nil"/>
                    <w:tr2bl w:val="nil"/>
                  </w:tcBorders>
                  <w:vAlign w:val="center"/>
                </w:tcPr>
                <w:p w14:paraId="1AE61E58">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序号</w:t>
                  </w:r>
                </w:p>
              </w:tc>
              <w:tc>
                <w:tcPr>
                  <w:tcW w:w="1493" w:type="dxa"/>
                  <w:tcBorders>
                    <w:tl2br w:val="nil"/>
                    <w:tr2bl w:val="nil"/>
                  </w:tcBorders>
                  <w:vAlign w:val="center"/>
                </w:tcPr>
                <w:p w14:paraId="0926D895">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控制项目</w:t>
                  </w:r>
                </w:p>
              </w:tc>
              <w:tc>
                <w:tcPr>
                  <w:tcW w:w="2589" w:type="dxa"/>
                  <w:tcBorders>
                    <w:tl2br w:val="nil"/>
                    <w:tr2bl w:val="nil"/>
                  </w:tcBorders>
                  <w:vAlign w:val="center"/>
                </w:tcPr>
                <w:p w14:paraId="324F91F7">
                  <w:pPr>
                    <w:pStyle w:val="28"/>
                    <w:keepNext w:val="0"/>
                    <w:keepLines w:val="0"/>
                    <w:suppressLineNumbers w:val="0"/>
                    <w:bidi w:val="0"/>
                    <w:spacing w:beforeAutospacing="0" w:afterAutospacing="0"/>
                    <w:ind w:left="0" w:right="0"/>
                    <w:rPr>
                      <w:rFonts w:hint="eastAsia" w:eastAsia="宋体"/>
                      <w:b/>
                      <w:bCs/>
                      <w:caps w:val="0"/>
                      <w:color w:val="auto"/>
                      <w:spacing w:val="0"/>
                      <w:position w:val="0"/>
                      <w:highlight w:val="none"/>
                      <w:lang w:eastAsia="zh-CN"/>
                    </w:rPr>
                  </w:pPr>
                  <w:r>
                    <w:rPr>
                      <w:rFonts w:hint="eastAsia"/>
                      <w:b/>
                      <w:bCs/>
                      <w:caps w:val="0"/>
                      <w:color w:val="auto"/>
                      <w:spacing w:val="0"/>
                      <w:position w:val="0"/>
                      <w:highlight w:val="none"/>
                      <w:lang w:eastAsia="zh-CN"/>
                    </w:rPr>
                    <w:t>《无机化学工业污染物排放标准》（GB31573-2015）修改单</w:t>
                  </w:r>
                </w:p>
              </w:tc>
              <w:tc>
                <w:tcPr>
                  <w:tcW w:w="2659" w:type="dxa"/>
                  <w:tcBorders>
                    <w:tl2br w:val="nil"/>
                    <w:tr2bl w:val="nil"/>
                  </w:tcBorders>
                  <w:vAlign w:val="center"/>
                </w:tcPr>
                <w:p w14:paraId="319F6F4C">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《工业废水铊污染物排放标准》（DB36/1149-2019）</w:t>
                  </w:r>
                </w:p>
              </w:tc>
              <w:tc>
                <w:tcPr>
                  <w:tcW w:w="1741" w:type="dxa"/>
                  <w:tcBorders>
                    <w:tl2br w:val="nil"/>
                    <w:tr2bl w:val="nil"/>
                  </w:tcBorders>
                  <w:vAlign w:val="center"/>
                </w:tcPr>
                <w:p w14:paraId="4C7D83C9">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本项目执行标准</w:t>
                  </w:r>
                </w:p>
              </w:tc>
            </w:tr>
            <w:tr w14:paraId="76F75B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90" w:type="dxa"/>
                  <w:tcBorders>
                    <w:tl2br w:val="nil"/>
                    <w:tr2bl w:val="nil"/>
                  </w:tcBorders>
                  <w:vAlign w:val="center"/>
                </w:tcPr>
                <w:p w14:paraId="5060F6A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1</w:t>
                  </w:r>
                </w:p>
              </w:tc>
              <w:tc>
                <w:tcPr>
                  <w:tcW w:w="1493" w:type="dxa"/>
                  <w:tcBorders>
                    <w:tl2br w:val="nil"/>
                    <w:tr2bl w:val="nil"/>
                  </w:tcBorders>
                  <w:vAlign w:val="center"/>
                </w:tcPr>
                <w:p w14:paraId="32E2F39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氟化物</w:t>
                  </w:r>
                </w:p>
              </w:tc>
              <w:tc>
                <w:tcPr>
                  <w:tcW w:w="2589" w:type="dxa"/>
                  <w:tcBorders>
                    <w:tl2br w:val="nil"/>
                    <w:tr2bl w:val="nil"/>
                  </w:tcBorders>
                  <w:vAlign w:val="center"/>
                </w:tcPr>
                <w:p w14:paraId="47A7543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2</w:t>
                  </w:r>
                </w:p>
              </w:tc>
              <w:tc>
                <w:tcPr>
                  <w:tcW w:w="2659" w:type="dxa"/>
                  <w:tcBorders>
                    <w:tl2br w:val="nil"/>
                    <w:tr2bl w:val="nil"/>
                  </w:tcBorders>
                  <w:vAlign w:val="center"/>
                </w:tcPr>
                <w:p w14:paraId="7956F84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w:t>
                  </w:r>
                </w:p>
              </w:tc>
              <w:tc>
                <w:tcPr>
                  <w:tcW w:w="1741" w:type="dxa"/>
                  <w:tcBorders>
                    <w:tl2br w:val="nil"/>
                    <w:tr2bl w:val="nil"/>
                  </w:tcBorders>
                  <w:vAlign w:val="center"/>
                </w:tcPr>
                <w:p w14:paraId="187FB96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2</w:t>
                  </w:r>
                </w:p>
              </w:tc>
            </w:tr>
            <w:tr w14:paraId="680B54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90" w:type="dxa"/>
                  <w:tcBorders>
                    <w:tl2br w:val="nil"/>
                    <w:tr2bl w:val="nil"/>
                  </w:tcBorders>
                  <w:vAlign w:val="center"/>
                </w:tcPr>
                <w:p w14:paraId="0A8AF0E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2</w:t>
                  </w:r>
                </w:p>
              </w:tc>
              <w:tc>
                <w:tcPr>
                  <w:tcW w:w="1493" w:type="dxa"/>
                  <w:tcBorders>
                    <w:tl2br w:val="nil"/>
                    <w:tr2bl w:val="nil"/>
                  </w:tcBorders>
                  <w:vAlign w:val="center"/>
                </w:tcPr>
                <w:p w14:paraId="0F4928A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铊</w:t>
                  </w:r>
                </w:p>
              </w:tc>
              <w:tc>
                <w:tcPr>
                  <w:tcW w:w="2589" w:type="dxa"/>
                  <w:tcBorders>
                    <w:tl2br w:val="nil"/>
                    <w:tr2bl w:val="nil"/>
                  </w:tcBorders>
                  <w:vAlign w:val="center"/>
                </w:tcPr>
                <w:p w14:paraId="04A8B0B6">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0.005</w:t>
                  </w:r>
                </w:p>
              </w:tc>
              <w:tc>
                <w:tcPr>
                  <w:tcW w:w="2659" w:type="dxa"/>
                  <w:tcBorders>
                    <w:tl2br w:val="nil"/>
                    <w:tr2bl w:val="nil"/>
                  </w:tcBorders>
                  <w:vAlign w:val="center"/>
                </w:tcPr>
                <w:p w14:paraId="568FF222">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eastAsia="zh-CN"/>
                    </w:rPr>
                  </w:pPr>
                  <w:r>
                    <w:rPr>
                      <w:rFonts w:hint="eastAsia"/>
                      <w:caps w:val="0"/>
                      <w:color w:val="auto"/>
                      <w:spacing w:val="0"/>
                      <w:position w:val="0"/>
                      <w:highlight w:val="none"/>
                    </w:rPr>
                    <w:t>0.00</w:t>
                  </w:r>
                  <w:r>
                    <w:rPr>
                      <w:rFonts w:hint="eastAsia"/>
                      <w:caps w:val="0"/>
                      <w:color w:val="auto"/>
                      <w:spacing w:val="0"/>
                      <w:position w:val="0"/>
                      <w:highlight w:val="none"/>
                      <w:lang w:val="en-US" w:eastAsia="zh-CN"/>
                    </w:rPr>
                    <w:t>5</w:t>
                  </w:r>
                </w:p>
              </w:tc>
              <w:tc>
                <w:tcPr>
                  <w:tcW w:w="1741" w:type="dxa"/>
                  <w:tcBorders>
                    <w:tl2br w:val="nil"/>
                    <w:tr2bl w:val="nil"/>
                  </w:tcBorders>
                  <w:vAlign w:val="center"/>
                </w:tcPr>
                <w:p w14:paraId="6B48EF25">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eastAsia="zh-CN"/>
                    </w:rPr>
                  </w:pPr>
                  <w:r>
                    <w:rPr>
                      <w:rFonts w:hint="eastAsia"/>
                      <w:caps w:val="0"/>
                      <w:color w:val="auto"/>
                      <w:spacing w:val="0"/>
                      <w:position w:val="0"/>
                      <w:highlight w:val="none"/>
                    </w:rPr>
                    <w:t>0.00</w:t>
                  </w:r>
                  <w:r>
                    <w:rPr>
                      <w:rFonts w:hint="eastAsia"/>
                      <w:caps w:val="0"/>
                      <w:color w:val="auto"/>
                      <w:spacing w:val="0"/>
                      <w:position w:val="0"/>
                      <w:highlight w:val="none"/>
                      <w:lang w:val="en-US" w:eastAsia="zh-CN"/>
                    </w:rPr>
                    <w:t>5</w:t>
                  </w:r>
                </w:p>
              </w:tc>
            </w:tr>
            <w:bookmarkEnd w:id="61"/>
            <w:bookmarkEnd w:id="62"/>
          </w:tbl>
          <w:p w14:paraId="060E7C94">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bookmarkStart w:id="63" w:name="_Toc130374640"/>
            <w:bookmarkStart w:id="64" w:name="_Toc131760417"/>
            <w:r>
              <w:rPr>
                <w:rFonts w:hint="default"/>
                <w:b/>
                <w:bCs w:val="0"/>
                <w:caps w:val="0"/>
                <w:color w:val="auto"/>
                <w:spacing w:val="0"/>
                <w:position w:val="0"/>
                <w:highlight w:val="none"/>
              </w:rPr>
              <w:t>二、废气</w:t>
            </w:r>
            <w:bookmarkEnd w:id="63"/>
            <w:bookmarkEnd w:id="64"/>
          </w:p>
          <w:p w14:paraId="1CEE11C8">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bookmarkStart w:id="65" w:name="_Hlk138581506"/>
            <w:bookmarkStart w:id="66" w:name="_Hlk138777899"/>
            <w:r>
              <w:rPr>
                <w:rFonts w:hint="default"/>
                <w:caps w:val="0"/>
                <w:color w:val="auto"/>
                <w:spacing w:val="0"/>
                <w:position w:val="0"/>
                <w:highlight w:val="none"/>
              </w:rPr>
              <w:t>本项目</w:t>
            </w:r>
            <w:r>
              <w:rPr>
                <w:rFonts w:hint="eastAsia"/>
                <w:caps w:val="0"/>
                <w:color w:val="auto"/>
                <w:spacing w:val="0"/>
                <w:position w:val="0"/>
                <w:highlight w:val="none"/>
                <w:lang w:val="en-US" w:eastAsia="zh-CN"/>
              </w:rPr>
              <w:t>储存</w:t>
            </w:r>
            <w:r>
              <w:rPr>
                <w:rFonts w:hint="eastAsia"/>
                <w:caps w:val="0"/>
                <w:color w:val="auto"/>
                <w:spacing w:val="0"/>
                <w:position w:val="0"/>
                <w:highlight w:val="none"/>
              </w:rPr>
              <w:t>粉尘、</w:t>
            </w:r>
            <w:r>
              <w:rPr>
                <w:rFonts w:hint="eastAsia"/>
                <w:caps w:val="0"/>
                <w:color w:val="auto"/>
                <w:spacing w:val="0"/>
                <w:position w:val="0"/>
                <w:highlight w:val="none"/>
                <w:lang w:val="en-US" w:eastAsia="zh-CN"/>
              </w:rPr>
              <w:t>投料粉尘、</w:t>
            </w:r>
            <w:r>
              <w:rPr>
                <w:rFonts w:hint="eastAsia"/>
                <w:caps w:val="0"/>
                <w:color w:val="auto"/>
                <w:spacing w:val="0"/>
                <w:position w:val="0"/>
                <w:highlight w:val="none"/>
              </w:rPr>
              <w:t>搅拌粉尘</w:t>
            </w:r>
            <w:r>
              <w:rPr>
                <w:rFonts w:hint="eastAsia"/>
                <w:caps w:val="0"/>
                <w:color w:val="auto"/>
                <w:spacing w:val="0"/>
                <w:position w:val="0"/>
                <w:highlight w:val="none"/>
                <w:lang w:val="en-US" w:eastAsia="zh-CN"/>
              </w:rPr>
              <w:t>、筒仓呼吸粉尘</w:t>
            </w:r>
            <w:r>
              <w:rPr>
                <w:rFonts w:hint="eastAsia"/>
                <w:caps w:val="0"/>
                <w:color w:val="auto"/>
                <w:spacing w:val="0"/>
                <w:position w:val="0"/>
                <w:highlight w:val="none"/>
              </w:rPr>
              <w:t>及</w:t>
            </w:r>
            <w:r>
              <w:rPr>
                <w:rFonts w:hint="eastAsia"/>
                <w:caps w:val="0"/>
                <w:color w:val="auto"/>
                <w:spacing w:val="0"/>
                <w:position w:val="0"/>
                <w:highlight w:val="none"/>
                <w:lang w:val="en-US" w:eastAsia="zh-CN"/>
              </w:rPr>
              <w:t>运输扬尘中污染物颗粒物</w:t>
            </w:r>
            <w:r>
              <w:rPr>
                <w:rFonts w:hint="default"/>
                <w:caps w:val="0"/>
                <w:color w:val="auto"/>
                <w:spacing w:val="0"/>
                <w:position w:val="0"/>
                <w:highlight w:val="none"/>
              </w:rPr>
              <w:t>排放执行</w:t>
            </w:r>
            <w:r>
              <w:rPr>
                <w:rFonts w:hint="eastAsia"/>
                <w:caps w:val="0"/>
                <w:color w:val="auto"/>
                <w:spacing w:val="0"/>
                <w:position w:val="0"/>
                <w:highlight w:val="none"/>
              </w:rPr>
              <w:t>《水泥工业大气污染物排放标准》（GB4915-2013）</w:t>
            </w:r>
            <w:r>
              <w:rPr>
                <w:rFonts w:hint="default"/>
                <w:caps w:val="0"/>
                <w:color w:val="auto"/>
                <w:spacing w:val="0"/>
                <w:position w:val="0"/>
                <w:highlight w:val="none"/>
              </w:rPr>
              <w:t>中</w:t>
            </w:r>
            <w:r>
              <w:rPr>
                <w:rFonts w:hint="eastAsia"/>
                <w:caps w:val="0"/>
                <w:color w:val="auto"/>
                <w:spacing w:val="0"/>
                <w:position w:val="0"/>
                <w:highlight w:val="none"/>
              </w:rPr>
              <w:t>表1新建企业大气污染物最高允许排放浓度</w:t>
            </w:r>
            <w:r>
              <w:rPr>
                <w:rFonts w:hint="eastAsia"/>
                <w:caps w:val="0"/>
                <w:color w:val="auto"/>
                <w:spacing w:val="0"/>
                <w:position w:val="0"/>
                <w:highlight w:val="none"/>
                <w:lang w:val="en-US" w:eastAsia="zh-CN"/>
              </w:rPr>
              <w:t>及</w:t>
            </w:r>
            <w:r>
              <w:rPr>
                <w:rFonts w:hint="eastAsia"/>
                <w:caps w:val="0"/>
                <w:color w:val="auto"/>
                <w:spacing w:val="0"/>
                <w:position w:val="0"/>
                <w:highlight w:val="none"/>
              </w:rPr>
              <w:t>表</w:t>
            </w:r>
            <w:r>
              <w:rPr>
                <w:rFonts w:hint="eastAsia"/>
                <w:caps w:val="0"/>
                <w:color w:val="auto"/>
                <w:spacing w:val="0"/>
                <w:position w:val="0"/>
                <w:highlight w:val="none"/>
                <w:lang w:val="en-US" w:eastAsia="zh-CN"/>
              </w:rPr>
              <w:t>3</w:t>
            </w:r>
            <w:r>
              <w:rPr>
                <w:rFonts w:hint="eastAsia"/>
                <w:caps w:val="0"/>
                <w:color w:val="auto"/>
                <w:spacing w:val="0"/>
                <w:position w:val="0"/>
                <w:highlight w:val="none"/>
              </w:rPr>
              <w:t>大气污染物无组织排放限值；氟化物、铊及其化合物排放参照执行</w:t>
            </w:r>
            <w:r>
              <w:rPr>
                <w:rFonts w:hint="eastAsia"/>
                <w:caps w:val="0"/>
                <w:color w:val="auto"/>
                <w:spacing w:val="0"/>
                <w:position w:val="0"/>
                <w:highlight w:val="none"/>
                <w:lang w:eastAsia="zh-CN"/>
              </w:rPr>
              <w:t>《无机化学工业污染物排放标准》（GB31573-2015）修改单</w:t>
            </w:r>
            <w:r>
              <w:rPr>
                <w:rFonts w:hint="eastAsia"/>
                <w:caps w:val="0"/>
                <w:color w:val="auto"/>
                <w:spacing w:val="0"/>
                <w:position w:val="0"/>
                <w:highlight w:val="none"/>
              </w:rPr>
              <w:t>；铍及其化合物执行《大气污染物综合排放标准》（GB16297-1996）。</w:t>
            </w:r>
          </w:p>
          <w:p w14:paraId="2C901C25">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eastAsia"/>
                <w:caps w:val="0"/>
                <w:color w:val="auto"/>
                <w:spacing w:val="0"/>
                <w:position w:val="0"/>
                <w:highlight w:val="none"/>
              </w:rPr>
              <w:t>厂界无组织污染物氟化物、铊及其化合物排放执行</w:t>
            </w:r>
            <w:r>
              <w:rPr>
                <w:rFonts w:hint="eastAsia"/>
                <w:caps w:val="0"/>
                <w:color w:val="auto"/>
                <w:spacing w:val="0"/>
                <w:position w:val="0"/>
                <w:highlight w:val="none"/>
                <w:lang w:eastAsia="zh-CN"/>
              </w:rPr>
              <w:t>《无机化学工业污染物排放标准》（GB31573-2015）修改单</w:t>
            </w:r>
            <w:r>
              <w:rPr>
                <w:rFonts w:hint="eastAsia"/>
                <w:caps w:val="0"/>
                <w:color w:val="auto"/>
                <w:spacing w:val="0"/>
                <w:position w:val="0"/>
                <w:highlight w:val="none"/>
              </w:rPr>
              <w:t>表5企业边界大气污染物排放限值；</w:t>
            </w:r>
            <w:r>
              <w:rPr>
                <w:rFonts w:hint="eastAsia"/>
                <w:caps w:val="0"/>
                <w:color w:val="auto"/>
                <w:spacing w:val="0"/>
                <w:position w:val="0"/>
                <w:highlight w:val="none"/>
                <w:lang w:val="en-US" w:eastAsia="zh-CN"/>
              </w:rPr>
              <w:t>无组织</w:t>
            </w:r>
            <w:r>
              <w:rPr>
                <w:rFonts w:hint="eastAsia"/>
                <w:caps w:val="0"/>
                <w:color w:val="auto"/>
                <w:spacing w:val="0"/>
                <w:position w:val="0"/>
                <w:highlight w:val="none"/>
              </w:rPr>
              <w:t>颗粒物</w:t>
            </w:r>
            <w:r>
              <w:rPr>
                <w:rFonts w:hint="default"/>
                <w:caps w:val="0"/>
                <w:color w:val="auto"/>
                <w:spacing w:val="0"/>
                <w:position w:val="0"/>
                <w:highlight w:val="none"/>
              </w:rPr>
              <w:t>排放执行</w:t>
            </w:r>
            <w:r>
              <w:rPr>
                <w:rFonts w:hint="eastAsia"/>
                <w:caps w:val="0"/>
                <w:color w:val="auto"/>
                <w:spacing w:val="0"/>
                <w:position w:val="0"/>
                <w:highlight w:val="none"/>
              </w:rPr>
              <w:t>《水泥工业大气污染物排放标准》（GB4915-2013）表</w:t>
            </w:r>
            <w:r>
              <w:rPr>
                <w:rFonts w:hint="eastAsia"/>
                <w:caps w:val="0"/>
                <w:color w:val="auto"/>
                <w:spacing w:val="0"/>
                <w:position w:val="0"/>
                <w:highlight w:val="none"/>
                <w:lang w:val="en-US" w:eastAsia="zh-CN"/>
              </w:rPr>
              <w:t>3</w:t>
            </w:r>
            <w:r>
              <w:rPr>
                <w:rFonts w:hint="eastAsia"/>
                <w:caps w:val="0"/>
                <w:color w:val="auto"/>
                <w:spacing w:val="0"/>
                <w:position w:val="0"/>
                <w:highlight w:val="none"/>
              </w:rPr>
              <w:t>无组织排放监控浓度限值</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无组织</w:t>
            </w:r>
            <w:r>
              <w:rPr>
                <w:rFonts w:hint="eastAsia"/>
                <w:caps w:val="0"/>
                <w:color w:val="auto"/>
                <w:spacing w:val="0"/>
                <w:position w:val="0"/>
                <w:highlight w:val="none"/>
              </w:rPr>
              <w:t>铍及其化合物排放执行《大气污染物综合排放标准》（GB16297-1996）表2无组织排放监控浓度限值；</w:t>
            </w:r>
            <w:r>
              <w:rPr>
                <w:rFonts w:hint="default"/>
                <w:caps w:val="0"/>
                <w:color w:val="auto"/>
                <w:spacing w:val="0"/>
                <w:position w:val="0"/>
                <w:highlight w:val="none"/>
              </w:rPr>
              <w:t>标准限值详见下表</w:t>
            </w:r>
            <w:r>
              <w:rPr>
                <w:rFonts w:hint="eastAsia"/>
                <w:caps w:val="0"/>
                <w:color w:val="auto"/>
                <w:spacing w:val="0"/>
                <w:position w:val="0"/>
                <w:highlight w:val="none"/>
                <w:lang w:eastAsia="zh-CN"/>
              </w:rPr>
              <w:t>。</w:t>
            </w:r>
          </w:p>
          <w:p w14:paraId="1DBC768C">
            <w:pPr>
              <w:pStyle w:val="75"/>
              <w:keepNext w:val="0"/>
              <w:keepLines w:val="0"/>
              <w:numPr>
                <w:ilvl w:val="0"/>
                <w:numId w:val="5"/>
              </w:numPr>
              <w:suppressLineNumbers w:val="0"/>
              <w:bidi w:val="0"/>
              <w:spacing w:before="0" w:beforeAutospacing="0" w:after="0" w:afterAutospacing="0"/>
              <w:ind w:left="0" w:leftChars="0" w:right="0" w:firstLine="420" w:firstLineChars="0"/>
              <w:rPr>
                <w:rFonts w:hint="default"/>
                <w:caps w:val="0"/>
                <w:color w:val="auto"/>
                <w:spacing w:val="0"/>
                <w:position w:val="0"/>
                <w:highlight w:val="none"/>
              </w:rPr>
            </w:pPr>
            <w:r>
              <w:rPr>
                <w:rFonts w:hint="default"/>
                <w:caps w:val="0"/>
                <w:color w:val="auto"/>
                <w:spacing w:val="0"/>
                <w:position w:val="0"/>
                <w:highlight w:val="none"/>
              </w:rPr>
              <w:t>废气排放标准</w:t>
            </w:r>
          </w:p>
          <w:bookmarkEnd w:id="65"/>
          <w:bookmarkEnd w:id="66"/>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02"/>
              <w:gridCol w:w="902"/>
              <w:gridCol w:w="1027"/>
              <w:gridCol w:w="1277"/>
              <w:gridCol w:w="1241"/>
              <w:gridCol w:w="893"/>
              <w:gridCol w:w="1448"/>
            </w:tblGrid>
            <w:tr w14:paraId="4F3DF6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02" w:type="dxa"/>
                  <w:vMerge w:val="restart"/>
                  <w:tcBorders>
                    <w:tl2br w:val="nil"/>
                    <w:tr2bl w:val="nil"/>
                  </w:tcBorders>
                  <w:shd w:val="clear" w:color="auto" w:fill="auto"/>
                  <w:vAlign w:val="center"/>
                </w:tcPr>
                <w:p w14:paraId="3E37D2AE">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bookmarkStart w:id="67" w:name="_Toc131760476"/>
                  <w:bookmarkStart w:id="68" w:name="_Toc130374686"/>
                  <w:r>
                    <w:rPr>
                      <w:rFonts w:hint="default"/>
                      <w:b/>
                      <w:bCs/>
                      <w:caps w:val="0"/>
                      <w:color w:val="auto"/>
                      <w:spacing w:val="0"/>
                      <w:position w:val="0"/>
                      <w:highlight w:val="none"/>
                    </w:rPr>
                    <w:t>污染物</w:t>
                  </w:r>
                </w:p>
              </w:tc>
              <w:tc>
                <w:tcPr>
                  <w:tcW w:w="902" w:type="dxa"/>
                  <w:vMerge w:val="restart"/>
                  <w:tcBorders>
                    <w:tl2br w:val="nil"/>
                    <w:tr2bl w:val="nil"/>
                  </w:tcBorders>
                  <w:vAlign w:val="center"/>
                </w:tcPr>
                <w:p w14:paraId="7E9A3A0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排气筒编号</w:t>
                  </w:r>
                </w:p>
              </w:tc>
              <w:tc>
                <w:tcPr>
                  <w:tcW w:w="1027" w:type="dxa"/>
                  <w:vMerge w:val="restart"/>
                  <w:tcBorders>
                    <w:tl2br w:val="nil"/>
                    <w:tr2bl w:val="nil"/>
                  </w:tcBorders>
                  <w:vAlign w:val="center"/>
                </w:tcPr>
                <w:p w14:paraId="7DB1BA38">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排气筒高度（m）</w:t>
                  </w:r>
                </w:p>
              </w:tc>
              <w:tc>
                <w:tcPr>
                  <w:tcW w:w="1277" w:type="dxa"/>
                  <w:vMerge w:val="restart"/>
                  <w:tcBorders>
                    <w:tl2br w:val="nil"/>
                    <w:tr2bl w:val="nil"/>
                  </w:tcBorders>
                  <w:shd w:val="clear" w:color="auto" w:fill="auto"/>
                  <w:vAlign w:val="center"/>
                </w:tcPr>
                <w:p w14:paraId="2641EADC">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排放浓度</w:t>
                  </w:r>
                  <w:bookmarkStart w:id="69" w:name="OLE_LINK118"/>
                  <w:r>
                    <w:rPr>
                      <w:rFonts w:hint="default"/>
                      <w:b/>
                      <w:bCs/>
                      <w:caps w:val="0"/>
                      <w:color w:val="auto"/>
                      <w:spacing w:val="0"/>
                      <w:position w:val="0"/>
                      <w:highlight w:val="none"/>
                    </w:rPr>
                    <w:t>（mg/m</w:t>
                  </w:r>
                  <w:r>
                    <w:rPr>
                      <w:rFonts w:hint="default"/>
                      <w:b/>
                      <w:bCs/>
                      <w:caps w:val="0"/>
                      <w:color w:val="auto"/>
                      <w:spacing w:val="0"/>
                      <w:position w:val="0"/>
                      <w:highlight w:val="none"/>
                      <w:vertAlign w:val="superscript"/>
                    </w:rPr>
                    <w:t>3</w:t>
                  </w:r>
                  <w:r>
                    <w:rPr>
                      <w:rFonts w:hint="default"/>
                      <w:b/>
                      <w:bCs/>
                      <w:caps w:val="0"/>
                      <w:color w:val="auto"/>
                      <w:spacing w:val="0"/>
                      <w:position w:val="0"/>
                      <w:highlight w:val="none"/>
                    </w:rPr>
                    <w:t>）</w:t>
                  </w:r>
                  <w:bookmarkEnd w:id="69"/>
                </w:p>
              </w:tc>
              <w:tc>
                <w:tcPr>
                  <w:tcW w:w="1241" w:type="dxa"/>
                  <w:vMerge w:val="restart"/>
                  <w:tcBorders>
                    <w:tl2br w:val="nil"/>
                    <w:tr2bl w:val="nil"/>
                  </w:tcBorders>
                  <w:shd w:val="clear" w:color="auto" w:fill="auto"/>
                  <w:vAlign w:val="center"/>
                </w:tcPr>
                <w:p w14:paraId="49DBBEC8">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排放速率（kg/h）</w:t>
                  </w:r>
                </w:p>
              </w:tc>
              <w:tc>
                <w:tcPr>
                  <w:tcW w:w="2341" w:type="dxa"/>
                  <w:gridSpan w:val="2"/>
                  <w:tcBorders>
                    <w:tl2br w:val="nil"/>
                    <w:tr2bl w:val="nil"/>
                  </w:tcBorders>
                  <w:shd w:val="clear" w:color="auto" w:fill="auto"/>
                  <w:vAlign w:val="center"/>
                </w:tcPr>
                <w:p w14:paraId="0E32D5BA">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无组织排放监控浓度限值</w:t>
                  </w:r>
                </w:p>
              </w:tc>
            </w:tr>
            <w:tr w14:paraId="15BA35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02" w:type="dxa"/>
                  <w:vMerge w:val="continue"/>
                  <w:tcBorders>
                    <w:tl2br w:val="nil"/>
                    <w:tr2bl w:val="nil"/>
                  </w:tcBorders>
                  <w:shd w:val="clear" w:color="auto" w:fill="auto"/>
                  <w:vAlign w:val="center"/>
                </w:tcPr>
                <w:p w14:paraId="1729FDA3">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902" w:type="dxa"/>
                  <w:vMerge w:val="continue"/>
                  <w:tcBorders>
                    <w:tl2br w:val="nil"/>
                    <w:tr2bl w:val="nil"/>
                  </w:tcBorders>
                  <w:vAlign w:val="center"/>
                </w:tcPr>
                <w:p w14:paraId="40F41694">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1027" w:type="dxa"/>
                  <w:vMerge w:val="continue"/>
                  <w:tcBorders>
                    <w:tl2br w:val="nil"/>
                    <w:tr2bl w:val="nil"/>
                  </w:tcBorders>
                  <w:vAlign w:val="center"/>
                </w:tcPr>
                <w:p w14:paraId="6F1306BA">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1277" w:type="dxa"/>
                  <w:vMerge w:val="continue"/>
                  <w:tcBorders>
                    <w:tl2br w:val="nil"/>
                    <w:tr2bl w:val="nil"/>
                  </w:tcBorders>
                  <w:shd w:val="clear" w:color="auto" w:fill="auto"/>
                  <w:vAlign w:val="center"/>
                </w:tcPr>
                <w:p w14:paraId="47F5FB0A">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1241" w:type="dxa"/>
                  <w:vMerge w:val="continue"/>
                  <w:tcBorders>
                    <w:tl2br w:val="nil"/>
                    <w:tr2bl w:val="nil"/>
                  </w:tcBorders>
                  <w:shd w:val="clear" w:color="auto" w:fill="auto"/>
                  <w:vAlign w:val="center"/>
                </w:tcPr>
                <w:p w14:paraId="42AC9702">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893" w:type="dxa"/>
                  <w:tcBorders>
                    <w:tl2br w:val="nil"/>
                    <w:tr2bl w:val="nil"/>
                  </w:tcBorders>
                  <w:shd w:val="clear" w:color="auto" w:fill="auto"/>
                  <w:vAlign w:val="center"/>
                </w:tcPr>
                <w:p w14:paraId="722A0289">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监控点</w:t>
                  </w:r>
                </w:p>
              </w:tc>
              <w:tc>
                <w:tcPr>
                  <w:tcW w:w="1448" w:type="dxa"/>
                  <w:tcBorders>
                    <w:tl2br w:val="nil"/>
                    <w:tr2bl w:val="nil"/>
                  </w:tcBorders>
                  <w:shd w:val="clear" w:color="auto" w:fill="auto"/>
                  <w:vAlign w:val="center"/>
                </w:tcPr>
                <w:p w14:paraId="50B047AA">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浓度(mg/m</w:t>
                  </w:r>
                  <w:r>
                    <w:rPr>
                      <w:rFonts w:hint="default"/>
                      <w:b/>
                      <w:bCs/>
                      <w:caps w:val="0"/>
                      <w:color w:val="auto"/>
                      <w:spacing w:val="0"/>
                      <w:position w:val="0"/>
                      <w:highlight w:val="none"/>
                      <w:vertAlign w:val="superscript"/>
                    </w:rPr>
                    <w:t>3</w:t>
                  </w:r>
                  <w:r>
                    <w:rPr>
                      <w:rFonts w:hint="default"/>
                      <w:b/>
                      <w:bCs/>
                      <w:caps w:val="0"/>
                      <w:color w:val="auto"/>
                      <w:spacing w:val="0"/>
                      <w:position w:val="0"/>
                      <w:highlight w:val="none"/>
                    </w:rPr>
                    <w:t>)</w:t>
                  </w:r>
                </w:p>
              </w:tc>
            </w:tr>
            <w:tr w14:paraId="3DB74D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02" w:type="dxa"/>
                  <w:tcBorders>
                    <w:tl2br w:val="nil"/>
                    <w:tr2bl w:val="nil"/>
                  </w:tcBorders>
                  <w:shd w:val="clear" w:color="auto" w:fill="auto"/>
                  <w:vAlign w:val="center"/>
                </w:tcPr>
                <w:p w14:paraId="239E7DF1">
                  <w:pPr>
                    <w:pStyle w:val="28"/>
                    <w:keepNext w:val="0"/>
                    <w:keepLines w:val="0"/>
                    <w:suppressLineNumbers w:val="0"/>
                    <w:bidi w:val="0"/>
                    <w:spacing w:beforeAutospacing="0" w:afterAutospacing="0"/>
                    <w:ind w:left="0" w:right="0"/>
                    <w:rPr>
                      <w:rFonts w:hint="default"/>
                      <w:caps w:val="0"/>
                      <w:color w:val="auto"/>
                      <w:spacing w:val="0"/>
                      <w:position w:val="0"/>
                      <w:highlight w:val="none"/>
                    </w:rPr>
                  </w:pPr>
                  <w:bookmarkStart w:id="70" w:name="_Hlk202715156"/>
                  <w:r>
                    <w:rPr>
                      <w:rFonts w:hint="default"/>
                      <w:caps w:val="0"/>
                      <w:color w:val="auto"/>
                      <w:spacing w:val="0"/>
                      <w:position w:val="0"/>
                      <w:highlight w:val="none"/>
                    </w:rPr>
                    <w:t>颗粒物</w:t>
                  </w:r>
                </w:p>
              </w:tc>
              <w:tc>
                <w:tcPr>
                  <w:tcW w:w="902" w:type="dxa"/>
                  <w:vMerge w:val="restart"/>
                  <w:tcBorders>
                    <w:tl2br w:val="nil"/>
                    <w:tr2bl w:val="nil"/>
                  </w:tcBorders>
                  <w:vAlign w:val="center"/>
                </w:tcPr>
                <w:p w14:paraId="125246C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DA001</w:t>
                  </w:r>
                </w:p>
              </w:tc>
              <w:tc>
                <w:tcPr>
                  <w:tcW w:w="1027" w:type="dxa"/>
                  <w:vMerge w:val="restart"/>
                  <w:tcBorders>
                    <w:tl2br w:val="nil"/>
                    <w:tr2bl w:val="nil"/>
                  </w:tcBorders>
                  <w:vAlign w:val="center"/>
                </w:tcPr>
                <w:p w14:paraId="79719A3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20</w:t>
                  </w:r>
                </w:p>
              </w:tc>
              <w:tc>
                <w:tcPr>
                  <w:tcW w:w="1277" w:type="dxa"/>
                  <w:tcBorders>
                    <w:tl2br w:val="nil"/>
                    <w:tr2bl w:val="nil"/>
                  </w:tcBorders>
                  <w:vAlign w:val="center"/>
                </w:tcPr>
                <w:p w14:paraId="163698C9">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20</w:t>
                  </w:r>
                </w:p>
              </w:tc>
              <w:tc>
                <w:tcPr>
                  <w:tcW w:w="1241" w:type="dxa"/>
                  <w:tcBorders>
                    <w:tl2br w:val="nil"/>
                    <w:tr2bl w:val="nil"/>
                  </w:tcBorders>
                  <w:vAlign w:val="center"/>
                </w:tcPr>
                <w:p w14:paraId="4790184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w:t>
                  </w:r>
                </w:p>
              </w:tc>
              <w:tc>
                <w:tcPr>
                  <w:tcW w:w="893" w:type="dxa"/>
                  <w:vMerge w:val="restart"/>
                  <w:tcBorders>
                    <w:tl2br w:val="nil"/>
                    <w:tr2bl w:val="nil"/>
                  </w:tcBorders>
                  <w:shd w:val="clear" w:color="auto" w:fill="auto"/>
                  <w:vAlign w:val="center"/>
                </w:tcPr>
                <w:p w14:paraId="7E00640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厂界</w:t>
                  </w:r>
                </w:p>
              </w:tc>
              <w:tc>
                <w:tcPr>
                  <w:tcW w:w="1448" w:type="dxa"/>
                  <w:tcBorders>
                    <w:tl2br w:val="nil"/>
                    <w:tr2bl w:val="nil"/>
                  </w:tcBorders>
                  <w:shd w:val="clear" w:color="auto" w:fill="auto"/>
                  <w:vAlign w:val="center"/>
                </w:tcPr>
                <w:p w14:paraId="7009A978">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0.5</w:t>
                  </w:r>
                </w:p>
              </w:tc>
            </w:tr>
            <w:tr w14:paraId="1066D9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02" w:type="dxa"/>
                  <w:tcBorders>
                    <w:tl2br w:val="nil"/>
                    <w:tr2bl w:val="nil"/>
                  </w:tcBorders>
                  <w:vAlign w:val="center"/>
                </w:tcPr>
                <w:p w14:paraId="3C23A53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氟化物</w:t>
                  </w:r>
                </w:p>
              </w:tc>
              <w:tc>
                <w:tcPr>
                  <w:tcW w:w="902" w:type="dxa"/>
                  <w:vMerge w:val="continue"/>
                  <w:tcBorders>
                    <w:tl2br w:val="nil"/>
                    <w:tr2bl w:val="nil"/>
                  </w:tcBorders>
                  <w:vAlign w:val="center"/>
                </w:tcPr>
                <w:p w14:paraId="3E865120">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027" w:type="dxa"/>
                  <w:vMerge w:val="continue"/>
                  <w:tcBorders>
                    <w:tl2br w:val="nil"/>
                    <w:tr2bl w:val="nil"/>
                  </w:tcBorders>
                  <w:vAlign w:val="center"/>
                </w:tcPr>
                <w:p w14:paraId="41E31529">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277" w:type="dxa"/>
                  <w:tcBorders>
                    <w:tl2br w:val="nil"/>
                    <w:tr2bl w:val="nil"/>
                  </w:tcBorders>
                  <w:vAlign w:val="center"/>
                </w:tcPr>
                <w:p w14:paraId="3FAFAC3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6</w:t>
                  </w:r>
                </w:p>
              </w:tc>
              <w:tc>
                <w:tcPr>
                  <w:tcW w:w="1241" w:type="dxa"/>
                  <w:tcBorders>
                    <w:tl2br w:val="nil"/>
                    <w:tr2bl w:val="nil"/>
                  </w:tcBorders>
                  <w:vAlign w:val="center"/>
                </w:tcPr>
                <w:p w14:paraId="516FCB5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w:t>
                  </w:r>
                </w:p>
              </w:tc>
              <w:tc>
                <w:tcPr>
                  <w:tcW w:w="893" w:type="dxa"/>
                  <w:vMerge w:val="continue"/>
                  <w:tcBorders>
                    <w:tl2br w:val="nil"/>
                    <w:tr2bl w:val="nil"/>
                  </w:tcBorders>
                  <w:shd w:val="clear" w:color="auto" w:fill="auto"/>
                  <w:vAlign w:val="center"/>
                </w:tcPr>
                <w:p w14:paraId="48D9D739">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448" w:type="dxa"/>
                  <w:tcBorders>
                    <w:tl2br w:val="nil"/>
                    <w:tr2bl w:val="nil"/>
                  </w:tcBorders>
                  <w:shd w:val="clear" w:color="auto" w:fill="auto"/>
                  <w:vAlign w:val="center"/>
                </w:tcPr>
                <w:p w14:paraId="68228C2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0.02</w:t>
                  </w:r>
                </w:p>
              </w:tc>
            </w:tr>
            <w:tr w14:paraId="63610B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02" w:type="dxa"/>
                  <w:tcBorders>
                    <w:tl2br w:val="nil"/>
                    <w:tr2bl w:val="nil"/>
                  </w:tcBorders>
                  <w:shd w:val="clear" w:color="auto" w:fill="auto"/>
                  <w:vAlign w:val="center"/>
                </w:tcPr>
                <w:p w14:paraId="2EF8817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铊及其化合物</w:t>
                  </w:r>
                </w:p>
              </w:tc>
              <w:tc>
                <w:tcPr>
                  <w:tcW w:w="902" w:type="dxa"/>
                  <w:vMerge w:val="continue"/>
                  <w:tcBorders>
                    <w:tl2br w:val="nil"/>
                    <w:tr2bl w:val="nil"/>
                  </w:tcBorders>
                  <w:vAlign w:val="center"/>
                </w:tcPr>
                <w:p w14:paraId="0E8B67CF">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027" w:type="dxa"/>
                  <w:vMerge w:val="continue"/>
                  <w:tcBorders>
                    <w:tl2br w:val="nil"/>
                    <w:tr2bl w:val="nil"/>
                  </w:tcBorders>
                  <w:vAlign w:val="center"/>
                </w:tcPr>
                <w:p w14:paraId="151A1ECF">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277" w:type="dxa"/>
                  <w:tcBorders>
                    <w:tl2br w:val="nil"/>
                    <w:tr2bl w:val="nil"/>
                  </w:tcBorders>
                  <w:shd w:val="clear" w:color="auto" w:fill="auto"/>
                  <w:vAlign w:val="center"/>
                </w:tcPr>
                <w:p w14:paraId="261C9DE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0.05</w:t>
                  </w:r>
                </w:p>
              </w:tc>
              <w:tc>
                <w:tcPr>
                  <w:tcW w:w="1241" w:type="dxa"/>
                  <w:tcBorders>
                    <w:tl2br w:val="nil"/>
                    <w:tr2bl w:val="nil"/>
                  </w:tcBorders>
                  <w:shd w:val="clear" w:color="auto" w:fill="auto"/>
                  <w:vAlign w:val="center"/>
                </w:tcPr>
                <w:p w14:paraId="32E365D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w:t>
                  </w:r>
                </w:p>
              </w:tc>
              <w:tc>
                <w:tcPr>
                  <w:tcW w:w="893" w:type="dxa"/>
                  <w:vMerge w:val="continue"/>
                  <w:tcBorders>
                    <w:tl2br w:val="nil"/>
                    <w:tr2bl w:val="nil"/>
                  </w:tcBorders>
                  <w:shd w:val="clear" w:color="auto" w:fill="auto"/>
                  <w:vAlign w:val="center"/>
                </w:tcPr>
                <w:p w14:paraId="58C5B8CC">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448" w:type="dxa"/>
                  <w:tcBorders>
                    <w:tl2br w:val="nil"/>
                    <w:tr2bl w:val="nil"/>
                  </w:tcBorders>
                  <w:shd w:val="clear" w:color="auto" w:fill="auto"/>
                  <w:vAlign w:val="center"/>
                </w:tcPr>
                <w:p w14:paraId="344F5AF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0.001</w:t>
                  </w:r>
                </w:p>
              </w:tc>
            </w:tr>
            <w:tr w14:paraId="4BB883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02" w:type="dxa"/>
                  <w:tcBorders>
                    <w:tl2br w:val="nil"/>
                    <w:tr2bl w:val="nil"/>
                  </w:tcBorders>
                  <w:shd w:val="clear" w:color="auto" w:fill="auto"/>
                  <w:vAlign w:val="center"/>
                </w:tcPr>
                <w:p w14:paraId="7C843EC7">
                  <w:pPr>
                    <w:pStyle w:val="28"/>
                    <w:keepNext w:val="0"/>
                    <w:keepLines w:val="0"/>
                    <w:suppressLineNumbers w:val="0"/>
                    <w:bidi w:val="0"/>
                    <w:spacing w:beforeAutospacing="0" w:afterAutospacing="0"/>
                    <w:ind w:left="0" w:right="0"/>
                    <w:rPr>
                      <w:rFonts w:hint="default"/>
                      <w:caps w:val="0"/>
                      <w:color w:val="auto"/>
                      <w:spacing w:val="0"/>
                      <w:position w:val="0"/>
                      <w:highlight w:val="none"/>
                    </w:rPr>
                  </w:pPr>
                  <w:bookmarkStart w:id="71" w:name="_Hlk202714730"/>
                  <w:r>
                    <w:rPr>
                      <w:rFonts w:hint="eastAsia"/>
                      <w:caps w:val="0"/>
                      <w:color w:val="auto"/>
                      <w:spacing w:val="0"/>
                      <w:position w:val="0"/>
                      <w:highlight w:val="none"/>
                    </w:rPr>
                    <w:t>铍及其化合物</w:t>
                  </w:r>
                </w:p>
              </w:tc>
              <w:tc>
                <w:tcPr>
                  <w:tcW w:w="902" w:type="dxa"/>
                  <w:vMerge w:val="continue"/>
                  <w:tcBorders>
                    <w:tl2br w:val="nil"/>
                    <w:tr2bl w:val="nil"/>
                  </w:tcBorders>
                  <w:vAlign w:val="center"/>
                </w:tcPr>
                <w:p w14:paraId="1144ADAB">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027" w:type="dxa"/>
                  <w:vMerge w:val="continue"/>
                  <w:tcBorders>
                    <w:tl2br w:val="nil"/>
                    <w:tr2bl w:val="nil"/>
                  </w:tcBorders>
                  <w:vAlign w:val="center"/>
                </w:tcPr>
                <w:p w14:paraId="161454A5">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277" w:type="dxa"/>
                  <w:tcBorders>
                    <w:tl2br w:val="nil"/>
                    <w:tr2bl w:val="nil"/>
                  </w:tcBorders>
                  <w:shd w:val="clear" w:color="auto" w:fill="auto"/>
                  <w:vAlign w:val="center"/>
                </w:tcPr>
                <w:p w14:paraId="0F1BBBFC">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rPr>
                    <w:t>0.012</w:t>
                  </w:r>
                </w:p>
              </w:tc>
              <w:tc>
                <w:tcPr>
                  <w:tcW w:w="1241" w:type="dxa"/>
                  <w:tcBorders>
                    <w:tl2br w:val="nil"/>
                    <w:tr2bl w:val="nil"/>
                  </w:tcBorders>
                  <w:shd w:val="clear" w:color="auto" w:fill="auto"/>
                  <w:vAlign w:val="center"/>
                </w:tcPr>
                <w:p w14:paraId="2E8ACA2B">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rPr>
                    <w:t>1.8×10</w:t>
                  </w:r>
                  <w:r>
                    <w:rPr>
                      <w:rFonts w:hint="eastAsia"/>
                      <w:caps w:val="0"/>
                      <w:color w:val="auto"/>
                      <w:spacing w:val="0"/>
                      <w:position w:val="0"/>
                      <w:highlight w:val="none"/>
                      <w:vertAlign w:val="superscript"/>
                    </w:rPr>
                    <w:t>-3</w:t>
                  </w:r>
                </w:p>
              </w:tc>
              <w:tc>
                <w:tcPr>
                  <w:tcW w:w="893" w:type="dxa"/>
                  <w:vMerge w:val="continue"/>
                  <w:tcBorders>
                    <w:tl2br w:val="nil"/>
                    <w:tr2bl w:val="nil"/>
                  </w:tcBorders>
                  <w:shd w:val="clear" w:color="auto" w:fill="auto"/>
                  <w:vAlign w:val="center"/>
                </w:tcPr>
                <w:p w14:paraId="09DD6ADC">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448" w:type="dxa"/>
                  <w:tcBorders>
                    <w:tl2br w:val="nil"/>
                    <w:tr2bl w:val="nil"/>
                  </w:tcBorders>
                  <w:shd w:val="clear" w:color="auto" w:fill="auto"/>
                  <w:vAlign w:val="center"/>
                </w:tcPr>
                <w:p w14:paraId="7C387A3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0.0008</w:t>
                  </w:r>
                </w:p>
              </w:tc>
            </w:tr>
            <w:bookmarkEnd w:id="70"/>
            <w:bookmarkEnd w:id="71"/>
          </w:tbl>
          <w:p w14:paraId="7560C020">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三、噪声</w:t>
            </w:r>
            <w:bookmarkEnd w:id="67"/>
            <w:bookmarkEnd w:id="68"/>
          </w:p>
          <w:p w14:paraId="1BB77B6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运营期</w:t>
            </w:r>
            <w:r>
              <w:rPr>
                <w:rFonts w:hint="eastAsia"/>
                <w:caps w:val="0"/>
                <w:color w:val="auto"/>
                <w:spacing w:val="0"/>
                <w:position w:val="0"/>
                <w:highlight w:val="none"/>
                <w:lang w:val="en-US" w:eastAsia="zh-CN"/>
              </w:rPr>
              <w:t>厂界噪声</w:t>
            </w:r>
            <w:r>
              <w:rPr>
                <w:rFonts w:hint="default"/>
                <w:caps w:val="0"/>
                <w:color w:val="auto"/>
                <w:spacing w:val="0"/>
                <w:position w:val="0"/>
                <w:highlight w:val="none"/>
              </w:rPr>
              <w:t>执行《工业企业厂界环境噪声排放标准》（GB12348-2008）</w:t>
            </w:r>
            <w:r>
              <w:rPr>
                <w:rFonts w:hint="eastAsia"/>
                <w:caps w:val="0"/>
                <w:color w:val="auto"/>
                <w:spacing w:val="0"/>
                <w:position w:val="0"/>
                <w:highlight w:val="none"/>
                <w:lang w:val="en-US" w:eastAsia="zh-CN"/>
              </w:rPr>
              <w:t>2</w:t>
            </w:r>
            <w:r>
              <w:rPr>
                <w:rFonts w:hint="default"/>
                <w:caps w:val="0"/>
                <w:color w:val="auto"/>
                <w:spacing w:val="0"/>
                <w:position w:val="0"/>
                <w:highlight w:val="none"/>
              </w:rPr>
              <w:t>类标准。详见下表。</w:t>
            </w:r>
          </w:p>
          <w:p w14:paraId="00E49352">
            <w:pPr>
              <w:pStyle w:val="75"/>
              <w:keepNext w:val="0"/>
              <w:keepLines w:val="0"/>
              <w:numPr>
                <w:ilvl w:val="0"/>
                <w:numId w:val="5"/>
              </w:numPr>
              <w:suppressLineNumbers w:val="0"/>
              <w:bidi w:val="0"/>
              <w:spacing w:before="0" w:beforeAutospacing="0" w:after="0" w:afterAutospacing="0"/>
              <w:ind w:left="0" w:leftChars="0" w:right="0" w:firstLine="420" w:firstLineChars="0"/>
              <w:rPr>
                <w:rFonts w:hint="default"/>
                <w:caps w:val="0"/>
                <w:color w:val="auto"/>
                <w:spacing w:val="0"/>
                <w:position w:val="0"/>
                <w:highlight w:val="none"/>
              </w:rPr>
            </w:pPr>
            <w:r>
              <w:rPr>
                <w:rFonts w:hint="default"/>
                <w:caps w:val="0"/>
                <w:color w:val="auto"/>
                <w:spacing w:val="0"/>
                <w:position w:val="0"/>
                <w:highlight w:val="none"/>
              </w:rPr>
              <w:t>工业企业厂界环境噪声排放标准   dB（A）</w:t>
            </w:r>
          </w:p>
          <w:tbl>
            <w:tblPr>
              <w:tblStyle w:val="23"/>
              <w:tblpPr w:vertAnchor="text" w:horzAnchor="page" w:tblpXSpec="center" w:tblpY="1"/>
              <w:tblOverlap w:val="never"/>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070"/>
              <w:gridCol w:w="1081"/>
              <w:gridCol w:w="1073"/>
              <w:gridCol w:w="966"/>
            </w:tblGrid>
            <w:tr w14:paraId="282A0C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94" w:type="pct"/>
                  <w:tcBorders>
                    <w:tl2br w:val="nil"/>
                    <w:tr2bl w:val="nil"/>
                  </w:tcBorders>
                  <w:vAlign w:val="center"/>
                </w:tcPr>
                <w:p w14:paraId="2FE7FB6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标准</w:t>
                  </w:r>
                </w:p>
              </w:tc>
              <w:tc>
                <w:tcPr>
                  <w:tcW w:w="660" w:type="pct"/>
                  <w:tcBorders>
                    <w:tl2br w:val="nil"/>
                    <w:tr2bl w:val="nil"/>
                  </w:tcBorders>
                  <w:vAlign w:val="center"/>
                </w:tcPr>
                <w:p w14:paraId="7CE3CFB5">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类别</w:t>
                  </w:r>
                </w:p>
              </w:tc>
              <w:tc>
                <w:tcPr>
                  <w:tcW w:w="655" w:type="pct"/>
                  <w:tcBorders>
                    <w:tl2br w:val="nil"/>
                    <w:tr2bl w:val="nil"/>
                  </w:tcBorders>
                  <w:vAlign w:val="center"/>
                </w:tcPr>
                <w:p w14:paraId="24BEA399">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昼间</w:t>
                  </w:r>
                </w:p>
              </w:tc>
              <w:tc>
                <w:tcPr>
                  <w:tcW w:w="589" w:type="pct"/>
                  <w:tcBorders>
                    <w:tl2br w:val="nil"/>
                    <w:tr2bl w:val="nil"/>
                  </w:tcBorders>
                  <w:vAlign w:val="center"/>
                </w:tcPr>
                <w:p w14:paraId="1934F2C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夜间</w:t>
                  </w:r>
                </w:p>
              </w:tc>
            </w:tr>
            <w:tr w14:paraId="12C129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94" w:type="pct"/>
                  <w:tcBorders>
                    <w:tl2br w:val="nil"/>
                    <w:tr2bl w:val="nil"/>
                  </w:tcBorders>
                  <w:vAlign w:val="center"/>
                </w:tcPr>
                <w:p w14:paraId="4418199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《工业企业厂界环境噪声排放标准》（GB12348-2008）</w:t>
                  </w:r>
                </w:p>
              </w:tc>
              <w:tc>
                <w:tcPr>
                  <w:tcW w:w="660" w:type="pct"/>
                  <w:tcBorders>
                    <w:tl2br w:val="nil"/>
                    <w:tr2bl w:val="nil"/>
                  </w:tcBorders>
                  <w:vAlign w:val="center"/>
                </w:tcPr>
                <w:p w14:paraId="2BCE899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2</w:t>
                  </w:r>
                  <w:r>
                    <w:rPr>
                      <w:rFonts w:hint="default"/>
                      <w:caps w:val="0"/>
                      <w:color w:val="auto"/>
                      <w:spacing w:val="0"/>
                      <w:position w:val="0"/>
                      <w:highlight w:val="none"/>
                    </w:rPr>
                    <w:t>类</w:t>
                  </w:r>
                </w:p>
              </w:tc>
              <w:tc>
                <w:tcPr>
                  <w:tcW w:w="655" w:type="pct"/>
                  <w:tcBorders>
                    <w:tl2br w:val="nil"/>
                    <w:tr2bl w:val="nil"/>
                  </w:tcBorders>
                  <w:vAlign w:val="center"/>
                </w:tcPr>
                <w:p w14:paraId="47B3AA62">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eastAsia="zh-CN"/>
                    </w:rPr>
                  </w:pPr>
                  <w:r>
                    <w:rPr>
                      <w:rFonts w:hint="default"/>
                      <w:caps w:val="0"/>
                      <w:color w:val="auto"/>
                      <w:spacing w:val="0"/>
                      <w:position w:val="0"/>
                      <w:highlight w:val="none"/>
                    </w:rPr>
                    <w:t>6</w:t>
                  </w:r>
                  <w:r>
                    <w:rPr>
                      <w:rFonts w:hint="eastAsia"/>
                      <w:caps w:val="0"/>
                      <w:color w:val="auto"/>
                      <w:spacing w:val="0"/>
                      <w:position w:val="0"/>
                      <w:highlight w:val="none"/>
                      <w:lang w:val="en-US" w:eastAsia="zh-CN"/>
                    </w:rPr>
                    <w:t>0</w:t>
                  </w:r>
                </w:p>
              </w:tc>
              <w:tc>
                <w:tcPr>
                  <w:tcW w:w="589" w:type="pct"/>
                  <w:tcBorders>
                    <w:tl2br w:val="nil"/>
                    <w:tr2bl w:val="nil"/>
                  </w:tcBorders>
                  <w:vAlign w:val="center"/>
                </w:tcPr>
                <w:p w14:paraId="5AAF6056">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eastAsia="zh-CN"/>
                    </w:rPr>
                  </w:pPr>
                  <w:r>
                    <w:rPr>
                      <w:rFonts w:hint="default"/>
                      <w:caps w:val="0"/>
                      <w:color w:val="auto"/>
                      <w:spacing w:val="0"/>
                      <w:position w:val="0"/>
                      <w:highlight w:val="none"/>
                    </w:rPr>
                    <w:t>5</w:t>
                  </w:r>
                  <w:r>
                    <w:rPr>
                      <w:rFonts w:hint="eastAsia"/>
                      <w:caps w:val="0"/>
                      <w:color w:val="auto"/>
                      <w:spacing w:val="0"/>
                      <w:position w:val="0"/>
                      <w:highlight w:val="none"/>
                      <w:lang w:val="en-US" w:eastAsia="zh-CN"/>
                    </w:rPr>
                    <w:t>0</w:t>
                  </w:r>
                </w:p>
              </w:tc>
            </w:tr>
          </w:tbl>
          <w:p w14:paraId="1DD5C07E">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四、固体废物</w:t>
            </w:r>
          </w:p>
          <w:p w14:paraId="2C465E04">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项目生活垃圾及一般固体贮存场根据《中华人民共和国固体废物污染环境防治法》做到“分类收集、分类处理”，固废贮存场所做到“防渗漏、防雨淋、防扬尘”等环境保护要求。危险废物贮存及处置执行《危险废物贮存污染控制标准》（GB18597-2023）要求。</w:t>
            </w:r>
          </w:p>
        </w:tc>
      </w:tr>
      <w:tr w14:paraId="618F1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9" w:hRule="atLeast"/>
          <w:jc w:val="center"/>
        </w:trPr>
        <w:tc>
          <w:tcPr>
            <w:tcW w:w="727" w:type="dxa"/>
            <w:vAlign w:val="center"/>
          </w:tcPr>
          <w:p w14:paraId="46EC2155">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总量控制指标</w:t>
            </w:r>
          </w:p>
        </w:tc>
        <w:tc>
          <w:tcPr>
            <w:tcW w:w="8406" w:type="dxa"/>
          </w:tcPr>
          <w:p w14:paraId="0CEADA9C">
            <w:pPr>
              <w:keepNext w:val="0"/>
              <w:keepLines w:val="0"/>
              <w:suppressLineNumbers w:val="0"/>
              <w:snapToGrid w:val="0"/>
              <w:spacing w:before="0" w:beforeAutospacing="0" w:after="0" w:afterAutospacing="0" w:line="360" w:lineRule="auto"/>
              <w:ind w:left="0" w:right="0" w:firstLine="480" w:firstLineChars="200"/>
              <w:rPr>
                <w:rFonts w:hint="default" w:ascii="Times New Roman" w:hAnsi="Times New Roman" w:eastAsia="宋体" w:cs="Times New Roman"/>
                <w:caps w:val="0"/>
                <w:color w:val="auto"/>
                <w:spacing w:val="0"/>
                <w:position w:val="0"/>
                <w:sz w:val="24"/>
                <w:highlight w:val="none"/>
              </w:rPr>
            </w:pPr>
            <w:r>
              <w:rPr>
                <w:rFonts w:hint="default" w:ascii="Times New Roman" w:hAnsi="Times New Roman" w:eastAsia="宋体" w:cs="Times New Roman"/>
                <w:caps w:val="0"/>
                <w:color w:val="auto"/>
                <w:spacing w:val="0"/>
                <w:position w:val="0"/>
                <w:sz w:val="24"/>
                <w:highlight w:val="none"/>
              </w:rPr>
              <w:t>根据国务院关于印发“十四五”节能减排综合工作方案的通知（国发〔2021〕33号）及江西省人民政府关于印发江西省“十四五”生态环境保护规划的通知（赣府发〔2021〕25号），国家实行总量控制的污染物有</w:t>
            </w:r>
            <w:r>
              <w:rPr>
                <w:rFonts w:hint="default" w:ascii="Times New Roman" w:hAnsi="Times New Roman" w:eastAsia="宋体" w:cs="Times New Roman"/>
                <w:caps w:val="0"/>
                <w:color w:val="auto"/>
                <w:spacing w:val="0"/>
                <w:position w:val="0"/>
                <w:sz w:val="24"/>
                <w:highlight w:val="none"/>
                <w:lang w:val="en-US" w:eastAsia="zh-CN"/>
              </w:rPr>
              <w:t>化学需氧量、氨氮、氮氧化物、挥发性有机物</w:t>
            </w:r>
            <w:r>
              <w:rPr>
                <w:rFonts w:hint="default" w:ascii="Times New Roman" w:hAnsi="Times New Roman" w:eastAsia="宋体" w:cs="Times New Roman"/>
                <w:caps w:val="0"/>
                <w:color w:val="auto"/>
                <w:spacing w:val="0"/>
                <w:position w:val="0"/>
                <w:sz w:val="24"/>
                <w:highlight w:val="none"/>
              </w:rPr>
              <w:t>。</w:t>
            </w:r>
          </w:p>
          <w:p w14:paraId="3F05D746">
            <w:pPr>
              <w:keepNext w:val="0"/>
              <w:keepLines w:val="0"/>
              <w:suppressLineNumbers w:val="0"/>
              <w:snapToGrid w:val="0"/>
              <w:spacing w:before="0" w:beforeAutospacing="0" w:after="0" w:afterAutospacing="0" w:line="360" w:lineRule="auto"/>
              <w:ind w:left="0" w:right="0" w:firstLine="480" w:firstLineChars="200"/>
              <w:rPr>
                <w:rFonts w:hint="default" w:ascii="Times New Roman" w:hAnsi="Times New Roman" w:eastAsia="宋体" w:cs="Times New Roman"/>
                <w:caps w:val="0"/>
                <w:color w:val="auto"/>
                <w:spacing w:val="0"/>
                <w:position w:val="0"/>
                <w:sz w:val="24"/>
                <w:highlight w:val="none"/>
                <w:lang w:val="en-US" w:eastAsia="zh-CN"/>
              </w:rPr>
            </w:pPr>
            <w:r>
              <w:rPr>
                <w:rFonts w:hint="default" w:ascii="Times New Roman" w:hAnsi="Times New Roman" w:eastAsia="宋体" w:cs="Times New Roman"/>
                <w:caps w:val="0"/>
                <w:color w:val="auto"/>
                <w:spacing w:val="0"/>
                <w:position w:val="0"/>
                <w:sz w:val="24"/>
                <w:highlight w:val="none"/>
              </w:rPr>
              <w:t>本项目运营期</w:t>
            </w:r>
            <w:r>
              <w:rPr>
                <w:rFonts w:hint="default" w:ascii="Times New Roman" w:hAnsi="Times New Roman" w:eastAsia="宋体" w:cs="Times New Roman"/>
                <w:caps w:val="0"/>
                <w:color w:val="auto"/>
                <w:spacing w:val="0"/>
                <w:position w:val="0"/>
                <w:sz w:val="24"/>
                <w:highlight w:val="none"/>
                <w:lang w:val="en-US" w:eastAsia="zh-CN"/>
              </w:rPr>
              <w:t>生产废水经处理后回用</w:t>
            </w:r>
            <w:r>
              <w:rPr>
                <w:rFonts w:hint="default" w:ascii="Times New Roman" w:hAnsi="Times New Roman" w:eastAsia="宋体" w:cs="Times New Roman"/>
                <w:caps w:val="0"/>
                <w:color w:val="auto"/>
                <w:spacing w:val="0"/>
                <w:position w:val="0"/>
                <w:sz w:val="24"/>
                <w:highlight w:val="none"/>
              </w:rPr>
              <w:t>，</w:t>
            </w:r>
            <w:r>
              <w:rPr>
                <w:rFonts w:hint="default" w:ascii="Times New Roman" w:hAnsi="Times New Roman" w:eastAsia="宋体" w:cs="Times New Roman"/>
                <w:caps w:val="0"/>
                <w:color w:val="auto"/>
                <w:spacing w:val="0"/>
                <w:position w:val="0"/>
                <w:sz w:val="24"/>
                <w:highlight w:val="none"/>
                <w:lang w:val="en-US" w:eastAsia="zh-CN"/>
              </w:rPr>
              <w:t>生</w:t>
            </w:r>
            <w:r>
              <w:rPr>
                <w:rFonts w:hint="eastAsia"/>
                <w:caps w:val="0"/>
                <w:color w:val="auto"/>
                <w:spacing w:val="0"/>
                <w:position w:val="0"/>
                <w:highlight w:val="none"/>
                <w:lang w:val="en-US" w:eastAsia="zh-CN"/>
              </w:rPr>
              <w:t>活污水</w:t>
            </w:r>
            <w:r>
              <w:rPr>
                <w:rFonts w:hint="default" w:ascii="Times New Roman" w:hAnsi="Times New Roman" w:eastAsia="宋体" w:cs="Times New Roman"/>
                <w:caps w:val="0"/>
                <w:color w:val="auto"/>
                <w:spacing w:val="0"/>
                <w:position w:val="0"/>
                <w:sz w:val="24"/>
                <w:highlight w:val="none"/>
                <w:lang w:val="en-US" w:eastAsia="zh-CN"/>
              </w:rPr>
              <w:t>经</w:t>
            </w:r>
            <w:r>
              <w:rPr>
                <w:rFonts w:hint="eastAsia" w:ascii="Times New Roman" w:hAnsi="Times New Roman" w:eastAsia="宋体" w:cs="Times New Roman"/>
                <w:caps w:val="0"/>
                <w:color w:val="auto"/>
                <w:spacing w:val="0"/>
                <w:position w:val="0"/>
                <w:sz w:val="24"/>
                <w:highlight w:val="none"/>
                <w:lang w:val="en-US" w:eastAsia="zh-CN"/>
              </w:rPr>
              <w:t>化粪池</w:t>
            </w:r>
            <w:r>
              <w:rPr>
                <w:rFonts w:hint="default" w:ascii="Times New Roman" w:hAnsi="Times New Roman" w:eastAsia="宋体" w:cs="Times New Roman"/>
                <w:caps w:val="0"/>
                <w:color w:val="auto"/>
                <w:spacing w:val="0"/>
                <w:position w:val="0"/>
                <w:sz w:val="24"/>
                <w:highlight w:val="none"/>
                <w:lang w:val="en-US" w:eastAsia="zh-CN"/>
              </w:rPr>
              <w:t>处理后达到《农田灌溉水质标准》（GB5084-2021）表1中旱作标准后用于林地灌溉</w:t>
            </w:r>
            <w:r>
              <w:rPr>
                <w:rFonts w:hint="eastAsia" w:cs="Times New Roman"/>
                <w:caps w:val="0"/>
                <w:color w:val="auto"/>
                <w:spacing w:val="0"/>
                <w:position w:val="0"/>
                <w:sz w:val="24"/>
                <w:highlight w:val="none"/>
                <w:lang w:val="en-US" w:eastAsia="zh-CN"/>
              </w:rPr>
              <w:t>，</w:t>
            </w:r>
            <w:r>
              <w:rPr>
                <w:rFonts w:hint="default" w:ascii="Times New Roman" w:hAnsi="Times New Roman" w:eastAsia="宋体" w:cs="Times New Roman"/>
                <w:caps w:val="0"/>
                <w:color w:val="auto"/>
                <w:spacing w:val="0"/>
                <w:position w:val="0"/>
                <w:sz w:val="24"/>
                <w:highlight w:val="none"/>
                <w:lang w:val="en-US" w:eastAsia="zh-CN"/>
              </w:rPr>
              <w:t>不外排，不涉及化学需氧量和氨氮的总量控制</w:t>
            </w:r>
            <w:r>
              <w:rPr>
                <w:rFonts w:hint="default" w:ascii="Times New Roman" w:hAnsi="Times New Roman" w:eastAsia="宋体" w:cs="Times New Roman"/>
                <w:caps w:val="0"/>
                <w:color w:val="auto"/>
                <w:spacing w:val="0"/>
                <w:position w:val="0"/>
                <w:sz w:val="24"/>
                <w:highlight w:val="none"/>
                <w:lang w:eastAsia="zh-CN"/>
              </w:rPr>
              <w:t>；</w:t>
            </w:r>
            <w:r>
              <w:rPr>
                <w:rFonts w:hint="default" w:ascii="Times New Roman" w:hAnsi="Times New Roman" w:eastAsia="宋体" w:cs="Times New Roman"/>
                <w:caps w:val="0"/>
                <w:color w:val="auto"/>
                <w:spacing w:val="0"/>
                <w:position w:val="0"/>
                <w:sz w:val="24"/>
                <w:highlight w:val="none"/>
                <w:lang w:val="en-US" w:eastAsia="zh-CN"/>
              </w:rPr>
              <w:t>本项目废气污染物主要为颗粒物，不涉及氮氧化物、挥发性有机物排放。</w:t>
            </w:r>
          </w:p>
          <w:p w14:paraId="6BC78D92">
            <w:pPr>
              <w:pStyle w:val="54"/>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default" w:ascii="Times New Roman" w:hAnsi="Times New Roman" w:eastAsia="宋体" w:cs="Times New Roman"/>
                <w:caps w:val="0"/>
                <w:color w:val="auto"/>
                <w:spacing w:val="0"/>
                <w:position w:val="0"/>
                <w:sz w:val="24"/>
                <w:highlight w:val="none"/>
                <w:lang w:val="en-US" w:eastAsia="zh-CN"/>
              </w:rPr>
              <w:t>因此，</w:t>
            </w:r>
            <w:r>
              <w:rPr>
                <w:rFonts w:hint="default" w:ascii="Times New Roman" w:hAnsi="Times New Roman" w:eastAsia="宋体" w:cs="Times New Roman"/>
                <w:caps w:val="0"/>
                <w:color w:val="auto"/>
                <w:spacing w:val="0"/>
                <w:position w:val="0"/>
                <w:sz w:val="24"/>
                <w:highlight w:val="none"/>
              </w:rPr>
              <w:t>本项目</w:t>
            </w:r>
            <w:r>
              <w:rPr>
                <w:rFonts w:hint="default" w:ascii="Times New Roman" w:hAnsi="Times New Roman" w:eastAsia="宋体" w:cs="Times New Roman"/>
                <w:caps w:val="0"/>
                <w:color w:val="auto"/>
                <w:spacing w:val="0"/>
                <w:position w:val="0"/>
                <w:sz w:val="24"/>
                <w:highlight w:val="none"/>
                <w:lang w:val="en-US" w:eastAsia="zh-CN"/>
              </w:rPr>
              <w:t>无须设置</w:t>
            </w:r>
            <w:r>
              <w:rPr>
                <w:rFonts w:hint="default" w:ascii="Times New Roman" w:hAnsi="Times New Roman" w:eastAsia="宋体" w:cs="Times New Roman"/>
                <w:caps w:val="0"/>
                <w:color w:val="auto"/>
                <w:spacing w:val="0"/>
                <w:position w:val="0"/>
                <w:sz w:val="24"/>
                <w:highlight w:val="none"/>
              </w:rPr>
              <w:t>总量控制</w:t>
            </w:r>
            <w:r>
              <w:rPr>
                <w:rFonts w:hint="default" w:ascii="Times New Roman" w:hAnsi="Times New Roman" w:eastAsia="宋体" w:cs="Times New Roman"/>
                <w:caps w:val="0"/>
                <w:color w:val="auto"/>
                <w:spacing w:val="0"/>
                <w:position w:val="0"/>
                <w:sz w:val="24"/>
                <w:highlight w:val="none"/>
                <w:lang w:val="en-US" w:eastAsia="zh-CN"/>
              </w:rPr>
              <w:t>指标</w:t>
            </w:r>
            <w:r>
              <w:rPr>
                <w:rFonts w:hint="default" w:ascii="Times New Roman" w:hAnsi="Times New Roman" w:eastAsia="宋体" w:cs="Times New Roman"/>
                <w:caps w:val="0"/>
                <w:color w:val="auto"/>
                <w:spacing w:val="0"/>
                <w:position w:val="0"/>
                <w:sz w:val="24"/>
                <w:highlight w:val="none"/>
                <w:lang w:eastAsia="zh-CN"/>
              </w:rPr>
              <w:t>。</w:t>
            </w:r>
          </w:p>
        </w:tc>
      </w:tr>
    </w:tbl>
    <w:p w14:paraId="0684FA36">
      <w:pPr>
        <w:pStyle w:val="74"/>
        <w:bidi w:val="0"/>
        <w:rPr>
          <w:caps w:val="0"/>
          <w:color w:val="auto"/>
          <w:spacing w:val="0"/>
          <w:position w:val="0"/>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9D4E57A">
      <w:pPr>
        <w:pStyle w:val="74"/>
        <w:numPr>
          <w:ilvl w:val="0"/>
          <w:numId w:val="6"/>
        </w:numPr>
        <w:bidi w:val="0"/>
        <w:ind w:left="0" w:leftChars="0" w:firstLine="0" w:firstLineChars="0"/>
        <w:jc w:val="center"/>
        <w:outlineLvl w:val="0"/>
        <w:rPr>
          <w:rFonts w:hint="eastAsia" w:ascii="黑体" w:hAnsi="黑体" w:eastAsia="黑体"/>
          <w:caps w:val="0"/>
          <w:snapToGrid w:val="0"/>
          <w:color w:val="auto"/>
          <w:spacing w:val="0"/>
          <w:position w:val="0"/>
          <w:sz w:val="30"/>
          <w:szCs w:val="30"/>
          <w:highlight w:val="none"/>
        </w:rPr>
      </w:pPr>
      <w:bookmarkStart w:id="72" w:name="_Toc24061"/>
      <w:bookmarkStart w:id="73" w:name="_Toc2515"/>
      <w:bookmarkStart w:id="74" w:name="_Toc6976"/>
      <w:r>
        <w:rPr>
          <w:rFonts w:hint="eastAsia" w:ascii="黑体" w:hAnsi="黑体" w:eastAsia="黑体"/>
          <w:caps w:val="0"/>
          <w:snapToGrid w:val="0"/>
          <w:color w:val="auto"/>
          <w:spacing w:val="0"/>
          <w:position w:val="0"/>
          <w:sz w:val="30"/>
          <w:szCs w:val="30"/>
          <w:highlight w:val="none"/>
        </w:rPr>
        <w:t>主要环境影响和保护措施</w:t>
      </w:r>
      <w:bookmarkEnd w:id="72"/>
      <w:bookmarkEnd w:id="73"/>
      <w:bookmarkEnd w:id="74"/>
    </w:p>
    <w:tbl>
      <w:tblPr>
        <w:tblStyle w:val="23"/>
        <w:tblW w:w="913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71"/>
        <w:gridCol w:w="8362"/>
      </w:tblGrid>
      <w:tr w14:paraId="7A35F1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447" w:hRule="atLeast"/>
          <w:jc w:val="center"/>
        </w:trPr>
        <w:tc>
          <w:tcPr>
            <w:tcW w:w="422" w:type="pct"/>
            <w:noWrap w:val="0"/>
            <w:tcMar>
              <w:left w:w="28" w:type="dxa"/>
              <w:right w:w="28" w:type="dxa"/>
            </w:tcMar>
            <w:vAlign w:val="center"/>
          </w:tcPr>
          <w:p w14:paraId="48F02842">
            <w:pPr>
              <w:pStyle w:val="75"/>
              <w:keepNext w:val="0"/>
              <w:keepLines w:val="0"/>
              <w:suppressLineNumbers w:val="0"/>
              <w:bidi w:val="0"/>
              <w:spacing w:before="0" w:beforeAutospacing="0" w:after="0" w:afterAutospacing="0"/>
              <w:ind w:left="0" w:right="0"/>
              <w:rPr>
                <w:rFonts w:hint="default" w:ascii="Times New Roman" w:hAnsi="Times New Roman" w:cs="Times New Roman"/>
                <w:bCs/>
                <w:caps w:val="0"/>
                <w:color w:val="auto"/>
                <w:spacing w:val="0"/>
                <w:position w:val="0"/>
                <w:szCs w:val="21"/>
                <w:highlight w:val="none"/>
              </w:rPr>
            </w:pPr>
            <w:r>
              <w:rPr>
                <w:rFonts w:hint="default" w:ascii="Times New Roman" w:hAnsi="Times New Roman" w:cs="Times New Roman"/>
                <w:caps w:val="0"/>
                <w:color w:val="auto"/>
                <w:spacing w:val="0"/>
                <w:position w:val="0"/>
                <w:sz w:val="28"/>
                <w:szCs w:val="28"/>
                <w:highlight w:val="none"/>
              </w:rPr>
              <w:t>施工期环境保护措施</w:t>
            </w:r>
          </w:p>
        </w:tc>
        <w:tc>
          <w:tcPr>
            <w:tcW w:w="4577" w:type="pct"/>
            <w:noWrap w:val="0"/>
            <w:vAlign w:val="center"/>
          </w:tcPr>
          <w:p w14:paraId="66743705">
            <w:pPr>
              <w:keepNext w:val="0"/>
              <w:keepLines w:val="0"/>
              <w:suppressLineNumbers w:val="0"/>
              <w:snapToGrid w:val="0"/>
              <w:spacing w:before="0" w:beforeAutospacing="0" w:after="0" w:afterAutospacing="0" w:line="336" w:lineRule="auto"/>
              <w:ind w:left="0" w:right="0" w:firstLine="482" w:firstLineChars="200"/>
              <w:jc w:val="left"/>
              <w:rPr>
                <w:rFonts w:hint="default" w:ascii="Times New Roman" w:hAnsi="Times New Roman" w:cs="Times New Roman"/>
                <w:b/>
                <w:caps w:val="0"/>
                <w:color w:val="auto"/>
                <w:spacing w:val="0"/>
                <w:position w:val="0"/>
                <w:sz w:val="24"/>
                <w:highlight w:val="none"/>
              </w:rPr>
            </w:pPr>
            <w:r>
              <w:rPr>
                <w:rFonts w:hint="default" w:ascii="Times New Roman" w:hAnsi="Times New Roman" w:cs="Times New Roman"/>
                <w:b/>
                <w:caps w:val="0"/>
                <w:color w:val="auto"/>
                <w:spacing w:val="0"/>
                <w:position w:val="0"/>
                <w:sz w:val="24"/>
                <w:highlight w:val="none"/>
              </w:rPr>
              <w:t>施工期环境保护措施</w:t>
            </w:r>
          </w:p>
          <w:p w14:paraId="610CA37D">
            <w:pPr>
              <w:keepNext w:val="0"/>
              <w:keepLines w:val="0"/>
              <w:suppressLineNumbers w:val="0"/>
              <w:snapToGrid w:val="0"/>
              <w:spacing w:before="0" w:beforeAutospacing="0" w:after="0" w:afterAutospacing="0" w:line="336" w:lineRule="auto"/>
              <w:ind w:left="0" w:right="0" w:firstLine="482"/>
              <w:jc w:val="left"/>
              <w:rPr>
                <w:rStyle w:val="89"/>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sz w:val="24"/>
                <w:highlight w:val="none"/>
              </w:rPr>
              <w:t>本项目施工期存在环境影响的工序为：场地平整、土石方工程、打桩、结构施工和装修阶段。</w:t>
            </w:r>
            <w:r>
              <w:rPr>
                <w:rStyle w:val="89"/>
                <w:rFonts w:hint="default" w:ascii="Times New Roman" w:hAnsi="Times New Roman" w:cs="Times New Roman"/>
                <w:caps w:val="0"/>
                <w:color w:val="auto"/>
                <w:spacing w:val="0"/>
                <w:position w:val="0"/>
                <w:highlight w:val="none"/>
              </w:rPr>
              <w:t>在施工中将产生施工废气、废水、噪声、固废等环境污染物，各项施工活动将会不可避免地对周围环境造成一定的影响，因此做好施工期环保工作尤为重要。</w:t>
            </w:r>
          </w:p>
          <w:p w14:paraId="6024D878">
            <w:pPr>
              <w:keepNext w:val="0"/>
              <w:keepLines w:val="0"/>
              <w:suppressLineNumbers w:val="0"/>
              <w:snapToGrid w:val="0"/>
              <w:spacing w:before="0" w:beforeAutospacing="0" w:after="0" w:afterAutospacing="0" w:line="336" w:lineRule="auto"/>
              <w:ind w:left="0" w:right="0" w:firstLine="482"/>
              <w:jc w:val="left"/>
              <w:rPr>
                <w:rFonts w:hint="default" w:ascii="Times New Roman" w:hAnsi="Times New Roman" w:cs="Times New Roman"/>
                <w:b/>
                <w:caps w:val="0"/>
                <w:color w:val="auto"/>
                <w:spacing w:val="0"/>
                <w:position w:val="0"/>
                <w:sz w:val="24"/>
                <w:highlight w:val="none"/>
              </w:rPr>
            </w:pPr>
            <w:r>
              <w:rPr>
                <w:rFonts w:hint="default" w:ascii="Times New Roman" w:hAnsi="Times New Roman" w:cs="Times New Roman"/>
                <w:b/>
                <w:caps w:val="0"/>
                <w:color w:val="auto"/>
                <w:spacing w:val="0"/>
                <w:position w:val="0"/>
                <w:sz w:val="24"/>
                <w:highlight w:val="none"/>
              </w:rPr>
              <w:t>一、废气</w:t>
            </w:r>
          </w:p>
          <w:p w14:paraId="44044793">
            <w:pPr>
              <w:keepNext w:val="0"/>
              <w:keepLines w:val="0"/>
              <w:suppressLineNumbers w:val="0"/>
              <w:snapToGrid w:val="0"/>
              <w:spacing w:before="0" w:beforeAutospacing="0" w:after="0" w:afterAutospacing="0" w:line="336" w:lineRule="auto"/>
              <w:ind w:left="0" w:right="0" w:firstLine="482"/>
              <w:jc w:val="left"/>
              <w:rPr>
                <w:rFonts w:hint="default" w:ascii="Times New Roman" w:hAnsi="Times New Roman" w:cs="Times New Roman"/>
                <w:b/>
                <w:caps w:val="0"/>
                <w:color w:val="auto"/>
                <w:spacing w:val="0"/>
                <w:position w:val="0"/>
                <w:sz w:val="24"/>
                <w:highlight w:val="none"/>
              </w:rPr>
            </w:pPr>
            <w:r>
              <w:rPr>
                <w:rFonts w:hint="default" w:ascii="Times New Roman" w:hAnsi="Times New Roman" w:cs="Times New Roman"/>
                <w:b/>
                <w:caps w:val="0"/>
                <w:color w:val="auto"/>
                <w:spacing w:val="0"/>
                <w:position w:val="0"/>
                <w:sz w:val="24"/>
                <w:highlight w:val="none"/>
              </w:rPr>
              <w:t>1、施工扬尘</w:t>
            </w:r>
          </w:p>
          <w:p w14:paraId="59C4C77B">
            <w:pPr>
              <w:keepNext w:val="0"/>
              <w:keepLines w:val="0"/>
              <w:suppressLineNumbers w:val="0"/>
              <w:snapToGrid w:val="0"/>
              <w:spacing w:before="0" w:beforeAutospacing="0" w:after="0" w:afterAutospacing="0" w:line="336" w:lineRule="auto"/>
              <w:ind w:left="0" w:right="0" w:firstLine="480"/>
              <w:rPr>
                <w:rFonts w:hint="default" w:ascii="Times New Roman" w:hAnsi="Times New Roman" w:cs="Times New Roman"/>
                <w:caps w:val="0"/>
                <w:color w:val="auto"/>
                <w:spacing w:val="0"/>
                <w:position w:val="0"/>
                <w:sz w:val="24"/>
                <w:highlight w:val="none"/>
              </w:rPr>
            </w:pPr>
            <w:r>
              <w:rPr>
                <w:rFonts w:hint="default" w:ascii="Times New Roman" w:hAnsi="Times New Roman" w:cs="Times New Roman"/>
                <w:caps w:val="0"/>
                <w:color w:val="auto"/>
                <w:spacing w:val="0"/>
                <w:position w:val="0"/>
                <w:sz w:val="24"/>
                <w:highlight w:val="none"/>
              </w:rPr>
              <w:t>施工期大气污染物主要是场地平整、车辆运输等产生的悬浮微粒和施工粉尘，据同类工地调查，施工作业场地近地面粉尘浓度可达5-30mg/m</w:t>
            </w:r>
            <w:r>
              <w:rPr>
                <w:rFonts w:hint="default" w:ascii="Times New Roman" w:hAnsi="Times New Roman" w:cs="Times New Roman"/>
                <w:caps w:val="0"/>
                <w:color w:val="auto"/>
                <w:spacing w:val="0"/>
                <w:position w:val="0"/>
                <w:sz w:val="24"/>
                <w:highlight w:val="none"/>
                <w:vertAlign w:val="superscript"/>
              </w:rPr>
              <w:t>3</w:t>
            </w:r>
            <w:r>
              <w:rPr>
                <w:rFonts w:hint="default" w:ascii="Times New Roman" w:hAnsi="Times New Roman" w:cs="Times New Roman"/>
                <w:caps w:val="0"/>
                <w:color w:val="auto"/>
                <w:spacing w:val="0"/>
                <w:position w:val="0"/>
                <w:sz w:val="24"/>
                <w:highlight w:val="none"/>
              </w:rPr>
              <w:t>，为无组织排放面源，另外大量施工机械、车辆排放的尾气也会使施工地周围大气质量变差，必须采取合理可行的控制措施，尽量减轻其污染程度，缩小其影响范围。因此本次评价要求施工单位施工期间应加强防尘防治，施工过程中采取洒水降尘、密闭运输、设置边界围挡及篷布，最大程度降低扬尘对周边环境的影响。</w:t>
            </w:r>
          </w:p>
          <w:p w14:paraId="6803971E">
            <w:pPr>
              <w:keepNext w:val="0"/>
              <w:keepLines w:val="0"/>
              <w:suppressLineNumbers w:val="0"/>
              <w:snapToGrid w:val="0"/>
              <w:spacing w:before="0" w:beforeAutospacing="0" w:after="0" w:afterAutospacing="0" w:line="336" w:lineRule="auto"/>
              <w:ind w:left="0" w:right="0" w:firstLine="480"/>
              <w:rPr>
                <w:rFonts w:hint="default" w:ascii="Times New Roman" w:hAnsi="Times New Roman" w:cs="Times New Roman"/>
                <w:caps w:val="0"/>
                <w:color w:val="auto"/>
                <w:spacing w:val="0"/>
                <w:position w:val="0"/>
                <w:sz w:val="24"/>
                <w:highlight w:val="none"/>
              </w:rPr>
            </w:pPr>
            <w:r>
              <w:rPr>
                <w:rFonts w:hint="default" w:ascii="Times New Roman" w:hAnsi="Times New Roman" w:cs="Times New Roman"/>
                <w:caps w:val="0"/>
                <w:color w:val="auto"/>
                <w:spacing w:val="0"/>
                <w:position w:val="0"/>
                <w:sz w:val="24"/>
                <w:highlight w:val="none"/>
              </w:rPr>
              <w:t>为了减轻扬尘对其影响，本评价提出以下防治措施：</w:t>
            </w:r>
          </w:p>
          <w:p w14:paraId="40017D78">
            <w:pPr>
              <w:keepNext w:val="0"/>
              <w:keepLines w:val="0"/>
              <w:suppressLineNumbers w:val="0"/>
              <w:snapToGrid w:val="0"/>
              <w:spacing w:before="0" w:beforeAutospacing="0" w:after="0" w:afterAutospacing="0" w:line="336" w:lineRule="auto"/>
              <w:ind w:left="0" w:right="0" w:firstLine="480"/>
              <w:rPr>
                <w:rFonts w:hint="default" w:ascii="Times New Roman" w:hAnsi="Times New Roman" w:cs="Times New Roman"/>
                <w:caps w:val="0"/>
                <w:color w:val="auto"/>
                <w:spacing w:val="0"/>
                <w:position w:val="0"/>
                <w:sz w:val="24"/>
                <w:highlight w:val="none"/>
              </w:rPr>
            </w:pPr>
            <w:r>
              <w:rPr>
                <w:rFonts w:hint="default" w:ascii="Times New Roman" w:hAnsi="Times New Roman" w:cs="Times New Roman"/>
                <w:caps w:val="0"/>
                <w:color w:val="auto"/>
                <w:spacing w:val="0"/>
                <w:position w:val="0"/>
                <w:sz w:val="24"/>
                <w:highlight w:val="none"/>
              </w:rPr>
              <w:t>（1）建立施工区场地清扫机构，并配备专职人员，无雨日对施工场地喷水降尘工作，每天洒水若干次，天气干燥时应适当增加洒水次数。据有关调查显示，洒水是抑制扬尘的一个简洁有效的措施，如果在施工期内对车辆行驶的路面实施洒水抑尘，可使扬尘减少70%左右，将扬尘的影响范围缩小到20～50米的范围，大大减轻对周边人群的影响；在项目施工围挡上设置固定自动喷淋装置，以减少扬尘对周围村庄的影响。</w:t>
            </w:r>
          </w:p>
          <w:p w14:paraId="7D52A76B">
            <w:pPr>
              <w:keepNext w:val="0"/>
              <w:keepLines w:val="0"/>
              <w:suppressLineNumbers w:val="0"/>
              <w:snapToGrid w:val="0"/>
              <w:spacing w:before="0" w:beforeAutospacing="0" w:after="0" w:afterAutospacing="0" w:line="336" w:lineRule="auto"/>
              <w:ind w:left="0" w:right="0" w:firstLine="480"/>
              <w:rPr>
                <w:rFonts w:hint="default" w:ascii="Times New Roman" w:hAnsi="Times New Roman" w:cs="Times New Roman"/>
                <w:caps w:val="0"/>
                <w:color w:val="auto"/>
                <w:spacing w:val="0"/>
                <w:position w:val="0"/>
                <w:sz w:val="24"/>
                <w:highlight w:val="none"/>
              </w:rPr>
            </w:pPr>
            <w:r>
              <w:rPr>
                <w:rFonts w:hint="default" w:ascii="Times New Roman" w:hAnsi="Times New Roman" w:cs="Times New Roman"/>
                <w:caps w:val="0"/>
                <w:color w:val="auto"/>
                <w:spacing w:val="0"/>
                <w:position w:val="0"/>
                <w:sz w:val="24"/>
                <w:highlight w:val="none"/>
              </w:rPr>
              <w:t>（2）加强施工管理，对易起尘的材料不应堆放在露天，而应加盖篷布或室内堆放，</w:t>
            </w:r>
            <w:r>
              <w:rPr>
                <w:rFonts w:hint="default" w:ascii="Times New Roman" w:hAnsi="Times New Roman" w:cs="Times New Roman"/>
                <w:caps w:val="0"/>
                <w:color w:val="auto"/>
                <w:spacing w:val="0"/>
                <w:position w:val="0"/>
                <w:sz w:val="24"/>
                <w:highlight w:val="none"/>
                <w:lang w:val="en-US" w:eastAsia="zh-CN"/>
              </w:rPr>
              <w:t>运送材料的车辆需加盖篷布，</w:t>
            </w:r>
            <w:r>
              <w:rPr>
                <w:rFonts w:hint="default" w:ascii="Times New Roman" w:hAnsi="Times New Roman" w:cs="Times New Roman"/>
                <w:caps w:val="0"/>
                <w:color w:val="auto"/>
                <w:spacing w:val="0"/>
                <w:position w:val="0"/>
                <w:sz w:val="24"/>
                <w:highlight w:val="none"/>
              </w:rPr>
              <w:t>并对施工现场外围辅以遮挡物或围幕遮挡扬尘；</w:t>
            </w:r>
          </w:p>
          <w:p w14:paraId="1C8BAD42">
            <w:pPr>
              <w:keepNext w:val="0"/>
              <w:keepLines w:val="0"/>
              <w:suppressLineNumbers w:val="0"/>
              <w:snapToGrid w:val="0"/>
              <w:spacing w:before="0" w:beforeAutospacing="0" w:after="0" w:afterAutospacing="0" w:line="336" w:lineRule="auto"/>
              <w:ind w:left="0" w:right="0" w:firstLine="480"/>
              <w:rPr>
                <w:rFonts w:hint="default" w:ascii="Times New Roman" w:hAnsi="Times New Roman" w:cs="Times New Roman"/>
                <w:caps w:val="0"/>
                <w:color w:val="auto"/>
                <w:spacing w:val="0"/>
                <w:position w:val="0"/>
                <w:sz w:val="24"/>
                <w:highlight w:val="none"/>
              </w:rPr>
            </w:pPr>
            <w:r>
              <w:rPr>
                <w:rFonts w:hint="default" w:ascii="Times New Roman" w:hAnsi="Times New Roman" w:cs="Times New Roman"/>
                <w:caps w:val="0"/>
                <w:color w:val="auto"/>
                <w:spacing w:val="0"/>
                <w:position w:val="0"/>
                <w:sz w:val="24"/>
                <w:highlight w:val="none"/>
              </w:rPr>
              <w:t>（3）在施工现场严禁现场搅拌混凝土、石灰和熬炼沥青，外购搅拌好的商品混凝土使用，避免现场搅拌产生扬尘污染；</w:t>
            </w:r>
          </w:p>
          <w:p w14:paraId="35B604FF">
            <w:pPr>
              <w:keepNext w:val="0"/>
              <w:keepLines w:val="0"/>
              <w:suppressLineNumbers w:val="0"/>
              <w:snapToGrid w:val="0"/>
              <w:spacing w:before="0" w:beforeAutospacing="0" w:after="0" w:afterAutospacing="0" w:line="336" w:lineRule="auto"/>
              <w:ind w:left="0" w:right="0" w:firstLine="480"/>
              <w:rPr>
                <w:rFonts w:hint="default" w:ascii="Times New Roman" w:hAnsi="Times New Roman" w:cs="Times New Roman"/>
                <w:caps w:val="0"/>
                <w:color w:val="auto"/>
                <w:spacing w:val="0"/>
                <w:position w:val="0"/>
                <w:sz w:val="24"/>
                <w:highlight w:val="none"/>
              </w:rPr>
            </w:pPr>
            <w:r>
              <w:rPr>
                <w:rFonts w:hint="default" w:ascii="Times New Roman" w:hAnsi="Times New Roman" w:cs="Times New Roman"/>
                <w:caps w:val="0"/>
                <w:color w:val="auto"/>
                <w:spacing w:val="0"/>
                <w:position w:val="0"/>
                <w:sz w:val="24"/>
                <w:highlight w:val="none"/>
              </w:rPr>
              <w:t>（4）对于建材和沙土的运输也应该加强管理，采取各种措施，防止在运输途中发生跑、冒、漏、滴；</w:t>
            </w:r>
          </w:p>
          <w:p w14:paraId="7D187A2C">
            <w:pPr>
              <w:keepNext w:val="0"/>
              <w:keepLines w:val="0"/>
              <w:suppressLineNumbers w:val="0"/>
              <w:snapToGrid w:val="0"/>
              <w:spacing w:before="0" w:beforeAutospacing="0" w:after="0" w:afterAutospacing="0" w:line="336" w:lineRule="auto"/>
              <w:ind w:left="0" w:right="0" w:firstLine="480"/>
              <w:rPr>
                <w:rFonts w:hint="default" w:ascii="Times New Roman" w:hAnsi="Times New Roman" w:cs="Times New Roman"/>
                <w:caps w:val="0"/>
                <w:color w:val="auto"/>
                <w:spacing w:val="0"/>
                <w:position w:val="0"/>
                <w:sz w:val="24"/>
                <w:highlight w:val="none"/>
              </w:rPr>
            </w:pPr>
            <w:r>
              <w:rPr>
                <w:rFonts w:hint="default" w:ascii="Times New Roman" w:hAnsi="Times New Roman" w:cs="Times New Roman"/>
                <w:caps w:val="0"/>
                <w:color w:val="auto"/>
                <w:spacing w:val="0"/>
                <w:position w:val="0"/>
                <w:sz w:val="24"/>
                <w:highlight w:val="none"/>
              </w:rPr>
              <w:t>（5）由于在施工中从工地驶出汽车的轮胎上会带出部分泥土，对市容环境有较大影响，在干燥天气易形成扬尘。要求在施工工地出口设置冲洗龙头、冲洗平台，沉淀池，并设专人负责冲洗，以防止轮胎夹带泥土。</w:t>
            </w:r>
          </w:p>
          <w:p w14:paraId="4B4E0118">
            <w:pPr>
              <w:keepNext w:val="0"/>
              <w:keepLines w:val="0"/>
              <w:suppressLineNumbers w:val="0"/>
              <w:snapToGrid w:val="0"/>
              <w:spacing w:before="0" w:beforeAutospacing="0" w:after="0" w:afterAutospacing="0" w:line="336" w:lineRule="auto"/>
              <w:ind w:left="0" w:right="0" w:firstLine="480"/>
              <w:rPr>
                <w:rFonts w:hint="default" w:ascii="Times New Roman" w:hAnsi="Times New Roman" w:cs="Times New Roman"/>
                <w:caps w:val="0"/>
                <w:color w:val="auto"/>
                <w:spacing w:val="0"/>
                <w:position w:val="0"/>
                <w:sz w:val="24"/>
                <w:highlight w:val="none"/>
              </w:rPr>
            </w:pPr>
            <w:r>
              <w:rPr>
                <w:rFonts w:hint="default" w:ascii="Times New Roman" w:hAnsi="Times New Roman" w:cs="Times New Roman"/>
                <w:caps w:val="0"/>
                <w:color w:val="auto"/>
                <w:spacing w:val="0"/>
                <w:position w:val="0"/>
                <w:sz w:val="24"/>
                <w:highlight w:val="none"/>
              </w:rPr>
              <w:t>（6）选用密闭渣土运输车进行土石方清运，合理安排运输时间，避开人流密集时间，选在人流、车流较少时段进行清运。</w:t>
            </w:r>
          </w:p>
          <w:p w14:paraId="47963555">
            <w:pPr>
              <w:keepNext w:val="0"/>
              <w:keepLines w:val="0"/>
              <w:suppressLineNumbers w:val="0"/>
              <w:snapToGrid w:val="0"/>
              <w:spacing w:before="0" w:beforeAutospacing="0" w:after="0" w:afterAutospacing="0" w:line="336" w:lineRule="auto"/>
              <w:ind w:left="0" w:right="0" w:firstLine="480"/>
              <w:rPr>
                <w:rFonts w:hint="default" w:ascii="Times New Roman" w:hAnsi="Times New Roman" w:cs="Times New Roman"/>
                <w:caps w:val="0"/>
                <w:color w:val="auto"/>
                <w:spacing w:val="0"/>
                <w:position w:val="0"/>
                <w:sz w:val="24"/>
                <w:highlight w:val="none"/>
              </w:rPr>
            </w:pPr>
            <w:r>
              <w:rPr>
                <w:rFonts w:hint="default" w:ascii="Times New Roman" w:hAnsi="Times New Roman" w:cs="Times New Roman"/>
                <w:caps w:val="0"/>
                <w:color w:val="auto"/>
                <w:spacing w:val="0"/>
                <w:position w:val="0"/>
                <w:sz w:val="24"/>
                <w:highlight w:val="none"/>
              </w:rPr>
              <w:t>（7）在施工场地四周边界，设置1.8m以上围挡，并在围挡上方可根据要求设置自动喷淋装置，减少扬尘。</w:t>
            </w:r>
          </w:p>
          <w:p w14:paraId="7F8D8CD0">
            <w:pPr>
              <w:keepNext w:val="0"/>
              <w:keepLines w:val="0"/>
              <w:suppressLineNumbers w:val="0"/>
              <w:snapToGrid w:val="0"/>
              <w:spacing w:before="0" w:beforeAutospacing="0" w:after="0" w:afterAutospacing="0" w:line="336" w:lineRule="auto"/>
              <w:ind w:left="0" w:right="0" w:firstLine="480"/>
              <w:rPr>
                <w:rFonts w:hint="default" w:ascii="Times New Roman" w:hAnsi="Times New Roman" w:cs="Times New Roman"/>
                <w:caps w:val="0"/>
                <w:color w:val="auto"/>
                <w:spacing w:val="0"/>
                <w:position w:val="0"/>
                <w:sz w:val="24"/>
                <w:highlight w:val="none"/>
              </w:rPr>
            </w:pPr>
            <w:r>
              <w:rPr>
                <w:rFonts w:hint="default" w:ascii="Times New Roman" w:hAnsi="Times New Roman" w:cs="Times New Roman"/>
                <w:caps w:val="0"/>
                <w:color w:val="auto"/>
                <w:spacing w:val="0"/>
                <w:position w:val="0"/>
                <w:sz w:val="24"/>
                <w:highlight w:val="none"/>
              </w:rPr>
              <w:t>通过上述措施，施工扬尘的影响可以得到较大程度的缓解，且施工期间对外的环境影响是暂时的，施工结束后，扬尘影响随即消失。</w:t>
            </w:r>
          </w:p>
          <w:p w14:paraId="7E5D371E">
            <w:pPr>
              <w:keepNext w:val="0"/>
              <w:keepLines w:val="0"/>
              <w:suppressLineNumbers w:val="0"/>
              <w:snapToGrid w:val="0"/>
              <w:spacing w:before="0" w:beforeAutospacing="0" w:after="0" w:afterAutospacing="0" w:line="336" w:lineRule="auto"/>
              <w:ind w:left="0" w:right="0" w:firstLine="482"/>
              <w:jc w:val="left"/>
              <w:rPr>
                <w:rFonts w:hint="default" w:ascii="Times New Roman" w:hAnsi="Times New Roman" w:cs="Times New Roman"/>
                <w:b/>
                <w:caps w:val="0"/>
                <w:color w:val="auto"/>
                <w:spacing w:val="0"/>
                <w:position w:val="0"/>
                <w:sz w:val="24"/>
                <w:highlight w:val="none"/>
              </w:rPr>
            </w:pPr>
            <w:r>
              <w:rPr>
                <w:rFonts w:hint="default" w:ascii="Times New Roman" w:hAnsi="Times New Roman" w:cs="Times New Roman"/>
                <w:b/>
                <w:caps w:val="0"/>
                <w:color w:val="auto"/>
                <w:spacing w:val="0"/>
                <w:position w:val="0"/>
                <w:sz w:val="24"/>
                <w:highlight w:val="none"/>
              </w:rPr>
              <w:t>2、施工机械废气</w:t>
            </w:r>
          </w:p>
          <w:p w14:paraId="26CD865C">
            <w:pPr>
              <w:keepNext w:val="0"/>
              <w:keepLines w:val="0"/>
              <w:suppressLineNumbers w:val="0"/>
              <w:snapToGrid w:val="0"/>
              <w:spacing w:before="0" w:beforeAutospacing="0" w:after="0" w:afterAutospacing="0" w:line="336" w:lineRule="auto"/>
              <w:ind w:left="0" w:right="0" w:firstLine="482"/>
              <w:jc w:val="left"/>
              <w:rPr>
                <w:rFonts w:hint="default" w:ascii="Times New Roman" w:hAnsi="Times New Roman" w:cs="Times New Roman"/>
                <w:caps w:val="0"/>
                <w:color w:val="auto"/>
                <w:spacing w:val="0"/>
                <w:position w:val="0"/>
                <w:sz w:val="24"/>
                <w:highlight w:val="none"/>
              </w:rPr>
            </w:pPr>
            <w:r>
              <w:rPr>
                <w:rFonts w:hint="default" w:ascii="Times New Roman" w:hAnsi="Times New Roman" w:cs="Times New Roman"/>
                <w:caps w:val="0"/>
                <w:color w:val="auto"/>
                <w:spacing w:val="0"/>
                <w:position w:val="0"/>
                <w:sz w:val="24"/>
                <w:highlight w:val="none"/>
              </w:rPr>
              <w:t>本项目施工所涉及</w:t>
            </w:r>
            <w:bookmarkStart w:id="91" w:name="_GoBack"/>
            <w:bookmarkEnd w:id="91"/>
            <w:r>
              <w:rPr>
                <w:rFonts w:hint="default" w:ascii="Times New Roman" w:hAnsi="Times New Roman" w:cs="Times New Roman"/>
                <w:caps w:val="0"/>
                <w:color w:val="auto"/>
                <w:spacing w:val="0"/>
                <w:position w:val="0"/>
                <w:sz w:val="24"/>
                <w:highlight w:val="none"/>
              </w:rPr>
              <w:t>的机械及车辆，场地平整期间主要有挖土机、推土机、装载机、运输卡车等，另外在桩基施工阶段还包括打桩机，结构施工阶段还包括混凝土泵车、混凝土罐车，在装修阶段主要有电动钻孔机、木材及钢筋切割机等。这些机械在运行过程都会产生一定量的废气，主要是动力燃料燃烧后产生，如柴油、汽油燃烧后，生成CO、NO</w:t>
            </w:r>
            <w:r>
              <w:rPr>
                <w:rFonts w:hint="default" w:ascii="Times New Roman" w:hAnsi="Times New Roman" w:cs="Times New Roman"/>
                <w:caps w:val="0"/>
                <w:color w:val="auto"/>
                <w:spacing w:val="0"/>
                <w:position w:val="0"/>
                <w:sz w:val="24"/>
                <w:highlight w:val="none"/>
                <w:vertAlign w:val="subscript"/>
              </w:rPr>
              <w:t>x</w:t>
            </w:r>
            <w:r>
              <w:rPr>
                <w:rFonts w:hint="default" w:ascii="Times New Roman" w:hAnsi="Times New Roman" w:cs="Times New Roman"/>
                <w:caps w:val="0"/>
                <w:color w:val="auto"/>
                <w:spacing w:val="0"/>
                <w:position w:val="0"/>
                <w:sz w:val="24"/>
                <w:highlight w:val="none"/>
              </w:rPr>
              <w:t>以及烃类，其产生量及废气中污染物浓度视其使用频率和发动机对燃料燃烧情况不同，施工机械废气属于无组织排放，具有间断性产生、产生量较小、产生点相对分散、易被稀释扩散等特点，主要通过加强管理、采用高品质燃料以减少尾气排放。同时，为了避免施工机械故障等原因导致废气的超标排放，建议在施工期内多注意施工设备的维护，使其能够正常的运行。</w:t>
            </w:r>
          </w:p>
          <w:p w14:paraId="18CF273B">
            <w:pPr>
              <w:keepNext w:val="0"/>
              <w:keepLines w:val="0"/>
              <w:suppressLineNumbers w:val="0"/>
              <w:snapToGrid w:val="0"/>
              <w:spacing w:before="0" w:beforeAutospacing="0" w:after="0" w:afterAutospacing="0" w:line="336" w:lineRule="auto"/>
              <w:ind w:left="0" w:right="0" w:firstLine="482"/>
              <w:jc w:val="left"/>
              <w:rPr>
                <w:rFonts w:hint="default" w:ascii="Times New Roman" w:hAnsi="Times New Roman" w:cs="Times New Roman"/>
                <w:caps w:val="0"/>
                <w:color w:val="auto"/>
                <w:spacing w:val="0"/>
                <w:position w:val="0"/>
                <w:sz w:val="24"/>
                <w:highlight w:val="none"/>
              </w:rPr>
            </w:pPr>
            <w:r>
              <w:rPr>
                <w:rFonts w:hint="default" w:ascii="Times New Roman" w:hAnsi="Times New Roman" w:cs="Times New Roman"/>
                <w:caps w:val="0"/>
                <w:color w:val="auto"/>
                <w:spacing w:val="0"/>
                <w:position w:val="0"/>
                <w:sz w:val="24"/>
                <w:highlight w:val="none"/>
              </w:rPr>
              <w:t>项目所在施工场地周围较空旷,大气扩散条件相对较好，故一般情况下，施工机械和运输车辆所产生染在空中经自然扩散和稀释后，对评价区域的空气环境质量影响较小。</w:t>
            </w:r>
          </w:p>
          <w:p w14:paraId="5179330F">
            <w:pPr>
              <w:keepNext w:val="0"/>
              <w:keepLines w:val="0"/>
              <w:suppressLineNumbers w:val="0"/>
              <w:snapToGrid w:val="0"/>
              <w:spacing w:before="0" w:beforeAutospacing="0" w:after="0" w:afterAutospacing="0" w:line="336" w:lineRule="auto"/>
              <w:ind w:left="0" w:right="0" w:firstLine="482"/>
              <w:jc w:val="left"/>
              <w:rPr>
                <w:rFonts w:hint="default" w:ascii="Times New Roman" w:hAnsi="Times New Roman" w:cs="Times New Roman"/>
                <w:b/>
                <w:caps w:val="0"/>
                <w:color w:val="auto"/>
                <w:spacing w:val="0"/>
                <w:position w:val="0"/>
                <w:sz w:val="24"/>
                <w:highlight w:val="none"/>
              </w:rPr>
            </w:pPr>
            <w:r>
              <w:rPr>
                <w:rFonts w:hint="default" w:ascii="Times New Roman" w:hAnsi="Times New Roman" w:cs="Times New Roman"/>
                <w:b/>
                <w:caps w:val="0"/>
                <w:color w:val="auto"/>
                <w:spacing w:val="0"/>
                <w:position w:val="0"/>
                <w:sz w:val="24"/>
                <w:highlight w:val="none"/>
              </w:rPr>
              <w:t>二、废水</w:t>
            </w:r>
          </w:p>
          <w:p w14:paraId="39142F2A">
            <w:pPr>
              <w:keepNext w:val="0"/>
              <w:keepLines w:val="0"/>
              <w:suppressLineNumbers w:val="0"/>
              <w:snapToGrid w:val="0"/>
              <w:spacing w:before="0" w:beforeAutospacing="0" w:after="0" w:afterAutospacing="0" w:line="336" w:lineRule="auto"/>
              <w:ind w:left="0" w:right="0" w:firstLine="480"/>
              <w:rPr>
                <w:rFonts w:hint="default" w:ascii="Times New Roman" w:hAnsi="Times New Roman" w:cs="Times New Roman"/>
                <w:caps w:val="0"/>
                <w:color w:val="auto"/>
                <w:spacing w:val="0"/>
                <w:position w:val="0"/>
                <w:sz w:val="24"/>
                <w:highlight w:val="none"/>
              </w:rPr>
            </w:pPr>
            <w:r>
              <w:rPr>
                <w:rFonts w:hint="default" w:ascii="Times New Roman" w:hAnsi="Times New Roman" w:cs="Times New Roman"/>
                <w:caps w:val="0"/>
                <w:color w:val="auto"/>
                <w:spacing w:val="0"/>
                <w:position w:val="0"/>
                <w:sz w:val="24"/>
                <w:highlight w:val="none"/>
              </w:rPr>
              <w:t>项目施工期间产生的废水主要为生产废水和生活污水。</w:t>
            </w:r>
          </w:p>
          <w:p w14:paraId="0DEBB4E7">
            <w:pPr>
              <w:keepNext w:val="0"/>
              <w:keepLines w:val="0"/>
              <w:suppressLineNumbers w:val="0"/>
              <w:snapToGrid w:val="0"/>
              <w:spacing w:before="0" w:beforeAutospacing="0" w:after="0" w:afterAutospacing="0" w:line="336" w:lineRule="auto"/>
              <w:ind w:left="0" w:right="0" w:firstLine="480"/>
              <w:rPr>
                <w:rFonts w:hint="default" w:ascii="Times New Roman" w:hAnsi="Times New Roman" w:cs="Times New Roman"/>
                <w:caps w:val="0"/>
                <w:color w:val="auto"/>
                <w:spacing w:val="0"/>
                <w:position w:val="0"/>
                <w:sz w:val="24"/>
                <w:highlight w:val="none"/>
              </w:rPr>
            </w:pPr>
            <w:r>
              <w:rPr>
                <w:rFonts w:hint="default" w:ascii="Times New Roman" w:hAnsi="Times New Roman" w:cs="Times New Roman"/>
                <w:caps w:val="0"/>
                <w:color w:val="auto"/>
                <w:spacing w:val="0"/>
                <w:position w:val="0"/>
                <w:sz w:val="24"/>
                <w:highlight w:val="none"/>
              </w:rPr>
              <w:t>施工期间产生的生活污水设置临时化粪池处理后浇灌附近</w:t>
            </w:r>
            <w:r>
              <w:rPr>
                <w:rFonts w:hint="eastAsia" w:cs="Times New Roman"/>
                <w:caps w:val="0"/>
                <w:color w:val="auto"/>
                <w:spacing w:val="0"/>
                <w:position w:val="0"/>
                <w:sz w:val="24"/>
                <w:highlight w:val="none"/>
                <w:lang w:val="en-US" w:eastAsia="zh-CN"/>
              </w:rPr>
              <w:t>林地</w:t>
            </w:r>
            <w:r>
              <w:rPr>
                <w:rFonts w:hint="default" w:ascii="Times New Roman" w:hAnsi="Times New Roman" w:cs="Times New Roman"/>
                <w:caps w:val="0"/>
                <w:color w:val="auto"/>
                <w:spacing w:val="0"/>
                <w:position w:val="0"/>
                <w:sz w:val="24"/>
                <w:highlight w:val="none"/>
              </w:rPr>
              <w:t>。</w:t>
            </w:r>
          </w:p>
          <w:p w14:paraId="6D4826D4">
            <w:pPr>
              <w:keepNext w:val="0"/>
              <w:keepLines w:val="0"/>
              <w:suppressLineNumbers w:val="0"/>
              <w:snapToGrid w:val="0"/>
              <w:spacing w:before="0" w:beforeAutospacing="0" w:after="0" w:afterAutospacing="0" w:line="336" w:lineRule="auto"/>
              <w:ind w:left="0" w:right="0" w:firstLine="480"/>
              <w:rPr>
                <w:rFonts w:hint="default" w:ascii="Times New Roman" w:hAnsi="Times New Roman" w:cs="Times New Roman"/>
                <w:caps w:val="0"/>
                <w:color w:val="auto"/>
                <w:spacing w:val="0"/>
                <w:position w:val="0"/>
                <w:sz w:val="24"/>
                <w:highlight w:val="none"/>
              </w:rPr>
            </w:pPr>
            <w:r>
              <w:rPr>
                <w:rFonts w:hint="default" w:ascii="Times New Roman" w:hAnsi="Times New Roman" w:cs="Times New Roman"/>
                <w:caps w:val="0"/>
                <w:color w:val="auto"/>
                <w:spacing w:val="0"/>
                <w:position w:val="0"/>
                <w:sz w:val="24"/>
                <w:highlight w:val="none"/>
              </w:rPr>
              <w:t>施工期间产生的生产废水主要为混凝土设备养护废水和车辆清洗等废水，主要污染物为悬浮固体。由于SS浓度较高，随意排放易污染环境，因此，项目在施工期间设置临时沉砂池，并设置集水管对各废水排放点废水进行收集。施工生产废水经临时沉沙池沉淀处理后，用于建筑材料的冲洗、车辆冲洗、施工作业及施工场地喷水降尘，池底泥沙作为固废运往指定建筑垃圾堆放场。此外，在施工过程中还需要采取以下措施：</w:t>
            </w:r>
          </w:p>
          <w:p w14:paraId="07F13B1D">
            <w:pPr>
              <w:keepNext w:val="0"/>
              <w:keepLines w:val="0"/>
              <w:suppressLineNumbers w:val="0"/>
              <w:snapToGrid w:val="0"/>
              <w:spacing w:before="0" w:beforeAutospacing="0" w:after="0" w:afterAutospacing="0" w:line="336" w:lineRule="auto"/>
              <w:ind w:left="0" w:right="0" w:firstLine="480"/>
              <w:rPr>
                <w:rFonts w:hint="default" w:ascii="Times New Roman" w:hAnsi="Times New Roman" w:cs="Times New Roman"/>
                <w:caps w:val="0"/>
                <w:color w:val="auto"/>
                <w:spacing w:val="0"/>
                <w:position w:val="0"/>
                <w:sz w:val="24"/>
                <w:highlight w:val="none"/>
              </w:rPr>
            </w:pPr>
            <w:r>
              <w:rPr>
                <w:rFonts w:hint="default" w:ascii="Times New Roman" w:hAnsi="Times New Roman" w:cs="Times New Roman"/>
                <w:caps w:val="0"/>
                <w:color w:val="auto"/>
                <w:spacing w:val="0"/>
                <w:position w:val="0"/>
                <w:sz w:val="24"/>
                <w:highlight w:val="none"/>
              </w:rPr>
              <w:t>（1）在施工过程中，水泥、砂浆、混凝土运输应避免泄漏，泄漏水泥、砂浆、以及混凝土等材料应及时清理，运浆容器等用具尽量集中放置，及时清洗，冲洗水引入沉砂池。</w:t>
            </w:r>
          </w:p>
          <w:p w14:paraId="4717D92F">
            <w:pPr>
              <w:keepNext w:val="0"/>
              <w:keepLines w:val="0"/>
              <w:suppressLineNumbers w:val="0"/>
              <w:snapToGrid w:val="0"/>
              <w:spacing w:before="0" w:beforeAutospacing="0" w:after="0" w:afterAutospacing="0" w:line="336" w:lineRule="auto"/>
              <w:ind w:left="0" w:right="0" w:firstLine="480"/>
              <w:rPr>
                <w:rFonts w:hint="default" w:ascii="Times New Roman" w:hAnsi="Times New Roman" w:cs="Times New Roman"/>
                <w:caps w:val="0"/>
                <w:color w:val="auto"/>
                <w:spacing w:val="0"/>
                <w:position w:val="0"/>
                <w:sz w:val="24"/>
                <w:highlight w:val="none"/>
              </w:rPr>
            </w:pPr>
            <w:r>
              <w:rPr>
                <w:rFonts w:hint="default" w:ascii="Times New Roman" w:hAnsi="Times New Roman" w:cs="Times New Roman"/>
                <w:caps w:val="0"/>
                <w:color w:val="auto"/>
                <w:spacing w:val="0"/>
                <w:position w:val="0"/>
                <w:sz w:val="24"/>
                <w:highlight w:val="none"/>
              </w:rPr>
              <w:t>（2）在场地出口位置，设置洗车平台，车辆驶离施工场地前，应在洗车平台清洗轮胎及车身不得带泥上路，洗车废水引入沉砂池，经沉淀处理后清水回用，用于施工机械、运输车辆冲洗及场地抑尘、降尘喷洒用水，全部回用不外排。池底产生的泥池作为固废运往制定建筑垃圾堆放场。</w:t>
            </w:r>
          </w:p>
          <w:p w14:paraId="58609315">
            <w:pPr>
              <w:keepNext w:val="0"/>
              <w:keepLines w:val="0"/>
              <w:suppressLineNumbers w:val="0"/>
              <w:snapToGrid w:val="0"/>
              <w:spacing w:before="0" w:beforeAutospacing="0" w:after="0" w:afterAutospacing="0" w:line="336" w:lineRule="auto"/>
              <w:ind w:left="0" w:right="0" w:firstLine="480"/>
              <w:rPr>
                <w:rFonts w:hint="default" w:ascii="Times New Roman" w:hAnsi="Times New Roman" w:cs="Times New Roman"/>
                <w:caps w:val="0"/>
                <w:color w:val="auto"/>
                <w:spacing w:val="0"/>
                <w:position w:val="0"/>
                <w:sz w:val="24"/>
                <w:highlight w:val="none"/>
              </w:rPr>
            </w:pPr>
            <w:r>
              <w:rPr>
                <w:rFonts w:hint="default" w:ascii="Times New Roman" w:hAnsi="Times New Roman" w:cs="Times New Roman"/>
                <w:caps w:val="0"/>
                <w:color w:val="auto"/>
                <w:spacing w:val="0"/>
                <w:position w:val="0"/>
                <w:sz w:val="24"/>
                <w:highlight w:val="none"/>
              </w:rPr>
              <w:t>通过采取以上措施，可有效控制施工废水污染。</w:t>
            </w:r>
          </w:p>
          <w:p w14:paraId="65E30962">
            <w:pPr>
              <w:pStyle w:val="76"/>
              <w:keepNext w:val="0"/>
              <w:keepLines w:val="0"/>
              <w:suppressLineNumbers w:val="0"/>
              <w:spacing w:before="0" w:beforeAutospacing="0" w:after="0" w:afterAutospacing="0" w:line="336" w:lineRule="auto"/>
              <w:ind w:left="0" w:right="0" w:firstLine="482"/>
              <w:rPr>
                <w:rFonts w:hint="default" w:ascii="Times New Roman" w:hAnsi="Times New Roman" w:cs="Times New Roman"/>
                <w:b/>
                <w:bCs/>
                <w:caps w:val="0"/>
                <w:color w:val="auto"/>
                <w:spacing w:val="0"/>
                <w:position w:val="0"/>
                <w:highlight w:val="none"/>
              </w:rPr>
            </w:pPr>
            <w:r>
              <w:rPr>
                <w:rFonts w:hint="default" w:ascii="Times New Roman" w:hAnsi="Times New Roman" w:cs="Times New Roman"/>
                <w:b/>
                <w:bCs/>
                <w:caps w:val="0"/>
                <w:color w:val="auto"/>
                <w:spacing w:val="0"/>
                <w:position w:val="0"/>
                <w:highlight w:val="none"/>
              </w:rPr>
              <w:t>三、噪声</w:t>
            </w:r>
          </w:p>
          <w:p w14:paraId="38D336A8">
            <w:pPr>
              <w:pStyle w:val="76"/>
              <w:keepNext w:val="0"/>
              <w:keepLines w:val="0"/>
              <w:suppressLineNumbers w:val="0"/>
              <w:spacing w:before="0" w:beforeAutospacing="0" w:after="0" w:afterAutospacing="0" w:line="336" w:lineRule="auto"/>
              <w:ind w:left="0" w:right="0" w:firstLine="48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噪声污染是施工期间最主要的污染因子，施工期间的噪声有各种施工机械噪声和运输车辆噪声等。</w:t>
            </w:r>
          </w:p>
          <w:p w14:paraId="52E8D363">
            <w:pPr>
              <w:pStyle w:val="76"/>
              <w:keepNext w:val="0"/>
              <w:keepLines w:val="0"/>
              <w:suppressLineNumbers w:val="0"/>
              <w:spacing w:before="0" w:beforeAutospacing="0" w:after="0" w:afterAutospacing="0" w:line="336" w:lineRule="auto"/>
              <w:ind w:left="0" w:right="0" w:firstLine="48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项目在施工期要选用低噪设备，并对其采取有效的减振措施，科学合理安排施工工序和施工时间；在施工中要做到文明施工，装卸、搬运模板严禁抛掷，</w:t>
            </w:r>
            <w:r>
              <w:rPr>
                <w:rFonts w:hint="default" w:ascii="Times New Roman" w:hAnsi="Times New Roman" w:cs="Times New Roman"/>
                <w:caps w:val="0"/>
                <w:color w:val="auto"/>
                <w:spacing w:val="0"/>
                <w:kern w:val="0"/>
                <w:position w:val="0"/>
                <w:highlight w:val="none"/>
                <w:lang w:bidi="ar"/>
              </w:rPr>
              <w:t>可有效减小设备安装噪声对环境的影响。车辆运输噪声主要产生于施工设备及物料的拉运过程，通过合理规划运输路线、进入项目区域后禁止鸣笛、减速行驶等措施后，车辆运输噪声不会对环境产生大的影响。</w:t>
            </w:r>
          </w:p>
          <w:p w14:paraId="58EDA3B4">
            <w:pPr>
              <w:pStyle w:val="76"/>
              <w:keepNext w:val="0"/>
              <w:keepLines w:val="0"/>
              <w:suppressLineNumbers w:val="0"/>
              <w:spacing w:before="0" w:beforeAutospacing="0" w:after="0" w:afterAutospacing="0" w:line="336" w:lineRule="auto"/>
              <w:ind w:left="0" w:right="0" w:firstLine="48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kern w:val="0"/>
                <w:position w:val="0"/>
                <w:highlight w:val="none"/>
                <w:lang w:bidi="ar"/>
              </w:rPr>
              <w:t>项目周边外环境主要为农田和村庄，由于项目施工期较短，施工噪声对周边环境的影响是暂时的，会随着施工的结束而结束，因此总体而言，在采取上述措施后，可将施工期噪声对周边环境的影响降至最低。</w:t>
            </w:r>
          </w:p>
          <w:p w14:paraId="2D953D7D">
            <w:pPr>
              <w:keepNext w:val="0"/>
              <w:keepLines w:val="0"/>
              <w:suppressLineNumbers w:val="0"/>
              <w:snapToGrid w:val="0"/>
              <w:spacing w:before="0" w:beforeAutospacing="0" w:after="0" w:afterAutospacing="0" w:line="336" w:lineRule="auto"/>
              <w:ind w:left="0" w:right="0" w:firstLine="482"/>
              <w:jc w:val="left"/>
              <w:rPr>
                <w:rFonts w:hint="default" w:ascii="Times New Roman" w:hAnsi="Times New Roman" w:cs="Times New Roman"/>
                <w:b/>
                <w:caps w:val="0"/>
                <w:color w:val="auto"/>
                <w:spacing w:val="0"/>
                <w:position w:val="0"/>
                <w:sz w:val="24"/>
                <w:highlight w:val="none"/>
              </w:rPr>
            </w:pPr>
            <w:r>
              <w:rPr>
                <w:rFonts w:hint="default" w:ascii="Times New Roman" w:hAnsi="Times New Roman" w:cs="Times New Roman"/>
                <w:b/>
                <w:caps w:val="0"/>
                <w:color w:val="auto"/>
                <w:spacing w:val="0"/>
                <w:position w:val="0"/>
                <w:sz w:val="24"/>
                <w:highlight w:val="none"/>
              </w:rPr>
              <w:t>四、固体废物</w:t>
            </w:r>
          </w:p>
          <w:p w14:paraId="3D1A5079">
            <w:pPr>
              <w:pStyle w:val="76"/>
              <w:keepNext w:val="0"/>
              <w:keepLines w:val="0"/>
              <w:suppressLineNumbers w:val="0"/>
              <w:spacing w:before="0" w:beforeAutospacing="0" w:after="0" w:afterAutospacing="0" w:line="336" w:lineRule="auto"/>
              <w:ind w:left="0" w:right="0" w:firstLine="48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施工期产生的固体废物主要是施工人员产生的生活垃圾和施工中产生的废砖、灰、砂、石等废建筑材料和工程废土。施工人员产生的生活垃圾产生量较少，每人每天产生约0.5kg，应定点存放，由环卫部门按时清运，不能混置在渣土中。工程废土和废砖、灰、砂、石等废建筑材料应按时清运，送到指定地点，不能随意堆放，严禁就近倾倒，应使用按规定配装密闭装置的车辆运输，避免固体废物对周围环境造成不利影响。</w:t>
            </w:r>
          </w:p>
          <w:p w14:paraId="59D88164">
            <w:pPr>
              <w:pStyle w:val="76"/>
              <w:keepNext w:val="0"/>
              <w:keepLines w:val="0"/>
              <w:suppressLineNumbers w:val="0"/>
              <w:spacing w:before="0" w:beforeAutospacing="0" w:after="0" w:afterAutospacing="0" w:line="336" w:lineRule="auto"/>
              <w:ind w:left="0" w:right="0" w:firstLine="48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本项目施工过程中会产生一定量的工程弃土（渣土），这些工程弃土在运输、处置过程中如果处置不当，会对环境产生较大影响。应按相应管理部门的要求进行处置，及时申请办理工程废弃物处置核准手续，运输建设工程废弃物的车辆应按照相应管理部门核准的时间、路线、数量，将建设工程废弃物运送到指定的消纳场所，不得丢弃、撒漏，避免固体废物对环境造成不利影响。暂存的渣土应当集中堆放并全部苫盖，禁止渣土外溢至围挡以外或露天存放。</w:t>
            </w:r>
          </w:p>
          <w:p w14:paraId="76D0B450">
            <w:pPr>
              <w:pStyle w:val="76"/>
              <w:keepNext w:val="0"/>
              <w:keepLines w:val="0"/>
              <w:suppressLineNumbers w:val="0"/>
              <w:spacing w:before="0" w:beforeAutospacing="0" w:after="0" w:afterAutospacing="0" w:line="336" w:lineRule="auto"/>
              <w:ind w:left="0" w:right="0" w:firstLine="48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施工垃圾存放点应合理设置，建设单位应当及时清运建设工程废弃物，在工程竣工验收前，应将所产生的建设工程废弃物全部清除防止污染环境，及时清理施工现场的生活垃圾。</w:t>
            </w:r>
          </w:p>
          <w:p w14:paraId="7DE04FA2">
            <w:pPr>
              <w:pStyle w:val="76"/>
              <w:keepNext w:val="0"/>
              <w:keepLines w:val="0"/>
              <w:suppressLineNumbers w:val="0"/>
              <w:spacing w:before="0" w:beforeAutospacing="0" w:after="0" w:afterAutospacing="0" w:line="336" w:lineRule="auto"/>
              <w:ind w:left="0" w:right="0" w:firstLine="48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一般来说，施工期对环境的影响是短期的，施工结束后受影响的环境要素基本可以恢复到现状水平。</w:t>
            </w:r>
          </w:p>
          <w:p w14:paraId="06D00764">
            <w:pPr>
              <w:keepNext w:val="0"/>
              <w:keepLines w:val="0"/>
              <w:suppressLineNumbers w:val="0"/>
              <w:snapToGrid w:val="0"/>
              <w:spacing w:before="0" w:beforeAutospacing="0" w:after="0" w:afterAutospacing="0" w:line="336" w:lineRule="auto"/>
              <w:ind w:left="0" w:right="0" w:firstLine="482"/>
              <w:jc w:val="left"/>
              <w:rPr>
                <w:rFonts w:hint="default" w:ascii="Times New Roman" w:hAnsi="Times New Roman" w:cs="Times New Roman"/>
                <w:b/>
                <w:caps w:val="0"/>
                <w:color w:val="auto"/>
                <w:spacing w:val="0"/>
                <w:position w:val="0"/>
                <w:sz w:val="24"/>
                <w:highlight w:val="none"/>
              </w:rPr>
            </w:pPr>
            <w:r>
              <w:rPr>
                <w:rFonts w:hint="default" w:ascii="Times New Roman" w:hAnsi="Times New Roman" w:cs="Times New Roman"/>
                <w:b/>
                <w:caps w:val="0"/>
                <w:color w:val="auto"/>
                <w:spacing w:val="0"/>
                <w:position w:val="0"/>
                <w:sz w:val="24"/>
                <w:highlight w:val="none"/>
              </w:rPr>
              <w:t>五、施工期水土流失防治措施</w:t>
            </w:r>
          </w:p>
          <w:p w14:paraId="200BF9AB">
            <w:pPr>
              <w:keepNext w:val="0"/>
              <w:keepLines w:val="0"/>
              <w:widowControl/>
              <w:suppressLineNumbers w:val="0"/>
              <w:adjustRightInd w:val="0"/>
              <w:snapToGrid w:val="0"/>
              <w:spacing w:before="0" w:beforeAutospacing="0" w:after="0" w:afterAutospacing="0" w:line="336" w:lineRule="auto"/>
              <w:ind w:left="0" w:right="0" w:firstLine="480" w:firstLineChars="200"/>
              <w:jc w:val="left"/>
              <w:rPr>
                <w:rFonts w:hint="default" w:ascii="Times New Roman" w:hAnsi="Times New Roman" w:cs="Times New Roman"/>
                <w:caps w:val="0"/>
                <w:color w:val="auto"/>
                <w:spacing w:val="0"/>
                <w:position w:val="0"/>
                <w:sz w:val="24"/>
                <w:highlight w:val="none"/>
              </w:rPr>
            </w:pPr>
            <w:r>
              <w:rPr>
                <w:rFonts w:hint="default" w:ascii="Times New Roman" w:hAnsi="Times New Roman" w:cs="Times New Roman"/>
                <w:caps w:val="0"/>
                <w:color w:val="auto"/>
                <w:spacing w:val="0"/>
                <w:position w:val="0"/>
                <w:sz w:val="24"/>
                <w:highlight w:val="none"/>
              </w:rPr>
              <w:t>项目建设地位于乡村，降雨期间，施工期易造成水土流失。为尽量减少工程施工造成的水土流失，必须实施以下几点水保措施：</w:t>
            </w:r>
          </w:p>
          <w:p w14:paraId="7BB1056D">
            <w:pPr>
              <w:keepNext w:val="0"/>
              <w:keepLines w:val="0"/>
              <w:widowControl/>
              <w:suppressLineNumbers w:val="0"/>
              <w:adjustRightInd w:val="0"/>
              <w:snapToGrid w:val="0"/>
              <w:spacing w:before="0" w:beforeAutospacing="0" w:after="0" w:afterAutospacing="0" w:line="336" w:lineRule="auto"/>
              <w:ind w:left="0" w:right="0" w:firstLine="480" w:firstLineChars="200"/>
              <w:jc w:val="left"/>
              <w:rPr>
                <w:rFonts w:hint="default" w:ascii="Times New Roman" w:hAnsi="Times New Roman" w:cs="Times New Roman"/>
                <w:caps w:val="0"/>
                <w:color w:val="auto"/>
                <w:spacing w:val="0"/>
                <w:position w:val="0"/>
                <w:sz w:val="24"/>
                <w:highlight w:val="none"/>
              </w:rPr>
            </w:pPr>
            <w:r>
              <w:rPr>
                <w:rFonts w:hint="default" w:ascii="Times New Roman" w:hAnsi="Times New Roman" w:cs="Times New Roman"/>
                <w:caps w:val="0"/>
                <w:color w:val="auto"/>
                <w:spacing w:val="0"/>
                <w:position w:val="0"/>
                <w:sz w:val="24"/>
                <w:highlight w:val="none"/>
              </w:rPr>
              <w:t>（1）排水措施</w:t>
            </w:r>
          </w:p>
          <w:p w14:paraId="33000C66">
            <w:pPr>
              <w:keepNext w:val="0"/>
              <w:keepLines w:val="0"/>
              <w:widowControl/>
              <w:suppressLineNumbers w:val="0"/>
              <w:adjustRightInd w:val="0"/>
              <w:snapToGrid w:val="0"/>
              <w:spacing w:before="0" w:beforeAutospacing="0" w:after="0" w:afterAutospacing="0" w:line="336" w:lineRule="auto"/>
              <w:ind w:left="0" w:right="0" w:firstLine="480" w:firstLineChars="200"/>
              <w:jc w:val="left"/>
              <w:rPr>
                <w:rFonts w:hint="default" w:ascii="Times New Roman" w:hAnsi="Times New Roman" w:cs="Times New Roman"/>
                <w:caps w:val="0"/>
                <w:color w:val="auto"/>
                <w:spacing w:val="0"/>
                <w:position w:val="0"/>
                <w:sz w:val="24"/>
                <w:highlight w:val="none"/>
              </w:rPr>
            </w:pPr>
            <w:r>
              <w:rPr>
                <w:rFonts w:hint="default" w:ascii="Times New Roman" w:hAnsi="Times New Roman" w:cs="Times New Roman"/>
                <w:caps w:val="0"/>
                <w:color w:val="auto"/>
                <w:spacing w:val="0"/>
                <w:position w:val="0"/>
                <w:sz w:val="24"/>
                <w:highlight w:val="none"/>
              </w:rPr>
              <w:t>在土地平整及土方施工中，应加强施工场地的路面建设，创造施工场地良好的排水条件，减少雨水冲刷和停留时间，并在排水沟出口没置沉淀池，使雨水澄清后再外排,可有效减少水土流失。</w:t>
            </w:r>
          </w:p>
          <w:p w14:paraId="7F9ADA93">
            <w:pPr>
              <w:keepNext w:val="0"/>
              <w:keepLines w:val="0"/>
              <w:widowControl/>
              <w:suppressLineNumbers w:val="0"/>
              <w:adjustRightInd w:val="0"/>
              <w:snapToGrid w:val="0"/>
              <w:spacing w:before="0" w:beforeAutospacing="0" w:after="0" w:afterAutospacing="0" w:line="336" w:lineRule="auto"/>
              <w:ind w:left="0" w:right="0" w:firstLine="480" w:firstLineChars="200"/>
              <w:jc w:val="left"/>
              <w:rPr>
                <w:rFonts w:hint="default" w:ascii="Times New Roman" w:hAnsi="Times New Roman" w:cs="Times New Roman"/>
                <w:caps w:val="0"/>
                <w:color w:val="auto"/>
                <w:spacing w:val="0"/>
                <w:position w:val="0"/>
                <w:sz w:val="24"/>
                <w:highlight w:val="none"/>
              </w:rPr>
            </w:pPr>
            <w:r>
              <w:rPr>
                <w:rFonts w:hint="default" w:ascii="Times New Roman" w:hAnsi="Times New Roman" w:cs="Times New Roman"/>
                <w:caps w:val="0"/>
                <w:color w:val="auto"/>
                <w:spacing w:val="0"/>
                <w:position w:val="0"/>
                <w:sz w:val="24"/>
                <w:highlight w:val="none"/>
              </w:rPr>
              <w:t>（2）拦挡措施</w:t>
            </w:r>
          </w:p>
          <w:p w14:paraId="081492D1">
            <w:pPr>
              <w:pStyle w:val="76"/>
              <w:keepNext w:val="0"/>
              <w:keepLines w:val="0"/>
              <w:suppressLineNumbers w:val="0"/>
              <w:spacing w:before="0" w:beforeAutospacing="0" w:after="0" w:afterAutospacing="0" w:line="336" w:lineRule="auto"/>
              <w:ind w:left="0" w:right="0" w:firstLine="48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表土临时堆土区形成的坡面容易被雨水冲刷，可采用苫布覆盖，并对临时堆放土方用编织袋进行拦挡，有效阻挡雨水冲刷。施工期间应减少临时堆土的高度和时间，及时将表土进行回填。</w:t>
            </w:r>
          </w:p>
          <w:p w14:paraId="7E632CAA">
            <w:pPr>
              <w:pStyle w:val="74"/>
              <w:keepNext w:val="0"/>
              <w:keepLines w:val="0"/>
              <w:suppressLineNumbers w:val="0"/>
              <w:bidi w:val="0"/>
              <w:spacing w:before="0" w:beforeAutospacing="0" w:after="0" w:afterAutospacing="0"/>
              <w:ind w:left="0" w:right="0"/>
              <w:rPr>
                <w:rFonts w:hint="eastAsia"/>
                <w:b/>
                <w:bCs w:val="0"/>
                <w:caps w:val="0"/>
                <w:color w:val="auto"/>
                <w:spacing w:val="0"/>
                <w:position w:val="0"/>
                <w:highlight w:val="none"/>
                <w:lang w:val="en-US" w:eastAsia="zh-CN"/>
              </w:rPr>
            </w:pPr>
            <w:r>
              <w:rPr>
                <w:rFonts w:hint="eastAsia" w:cs="Times New Roman"/>
                <w:b/>
                <w:bCs w:val="0"/>
                <w:caps w:val="0"/>
                <w:color w:val="auto"/>
                <w:spacing w:val="0"/>
                <w:kern w:val="0"/>
                <w:position w:val="0"/>
                <w:highlight w:val="none"/>
                <w:lang w:val="en-US" w:eastAsia="zh-CN"/>
              </w:rPr>
              <w:t>六、施工期生态</w:t>
            </w:r>
            <w:r>
              <w:rPr>
                <w:rFonts w:hint="eastAsia"/>
                <w:b/>
                <w:bCs w:val="0"/>
                <w:caps w:val="0"/>
                <w:color w:val="auto"/>
                <w:spacing w:val="0"/>
                <w:position w:val="0"/>
                <w:highlight w:val="none"/>
                <w:lang w:val="en-US" w:eastAsia="zh-CN"/>
              </w:rPr>
              <w:t>保护措施</w:t>
            </w:r>
          </w:p>
          <w:p w14:paraId="1414A443">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①施工时应采取尽量少占地、少破坏植被的原则，各施工活动应严格控制在红线范围内进行，以免造成周围植被、土壤的大面积破坏和干扰动物的栖息环境。</w:t>
            </w:r>
          </w:p>
          <w:p w14:paraId="0EAC7226">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②应加强对施工人员生态环境保护意识的教育，严禁在规定的红线范围外随意砍伐树木。对于施工过程中破坏的乔木，要制定补偿措施，损失多少必须补偿多少，进行原地补充或异地补偿。</w:t>
            </w:r>
          </w:p>
          <w:p w14:paraId="001B53B6">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③表土的保护和利用：施工期开挖的土石方全部用于项目施工期地面铺设和进厂道路路基。</w:t>
            </w:r>
          </w:p>
          <w:p w14:paraId="23D0A255">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④项目建设结束后应进行土地复垦和植被恢复。凡受到施工车辆、机械破坏的地方均要进行土地平整、耕翻疏松(要求深翻表土30～40cm)，并在适当季节进行植树、种草工作，保持地表原有的稳定状态。</w:t>
            </w:r>
          </w:p>
          <w:p w14:paraId="20651B2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rPr>
              <w:t>⑤应加强对施工人员生态环境保护意识的教育，严禁在规定的施工范围外随意砍伐树木。对于施工过程中破坏的乔木和灌丛，要制定补偿措施，损失多少必须补偿多少，进行原地补充或异地补偿。</w:t>
            </w:r>
          </w:p>
        </w:tc>
      </w:tr>
    </w:tbl>
    <w:p w14:paraId="51C230C4">
      <w:pPr>
        <w:pStyle w:val="74"/>
        <w:bidi w:val="0"/>
        <w:ind w:left="0" w:leftChars="0" w:firstLine="0" w:firstLineChars="0"/>
        <w:rPr>
          <w:rFonts w:hint="eastAsia"/>
          <w:caps w:val="0"/>
          <w:color w:val="auto"/>
          <w:spacing w:val="0"/>
          <w:position w:val="0"/>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3"/>
        <w:tblW w:w="502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15"/>
        <w:gridCol w:w="13858"/>
      </w:tblGrid>
      <w:tr w14:paraId="6CE4F5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111" w:type="pct"/>
            <w:noWrap w:val="0"/>
            <w:tcMar>
              <w:left w:w="28" w:type="dxa"/>
              <w:right w:w="28" w:type="dxa"/>
            </w:tcMar>
            <w:vAlign w:val="center"/>
          </w:tcPr>
          <w:p w14:paraId="31D3D225">
            <w:pPr>
              <w:pStyle w:val="20"/>
              <w:keepNext w:val="0"/>
              <w:keepLines w:val="0"/>
              <w:suppressLineNumbers w:val="0"/>
              <w:spacing w:before="0" w:beforeAutospacing="0" w:after="0" w:afterAutospacing="0" w:line="240" w:lineRule="auto"/>
              <w:ind w:left="0" w:right="0" w:firstLine="0" w:firstLineChars="0"/>
              <w:jc w:val="center"/>
              <w:rPr>
                <w:rFonts w:hint="eastAsia" w:cs="宋体"/>
                <w:bCs/>
                <w:caps w:val="0"/>
                <w:color w:val="auto"/>
                <w:spacing w:val="0"/>
                <w:position w:val="0"/>
                <w:sz w:val="21"/>
                <w:szCs w:val="21"/>
                <w:highlight w:val="none"/>
              </w:rPr>
            </w:pPr>
            <w:r>
              <w:rPr>
                <w:rFonts w:hint="eastAsia" w:cs="宋体"/>
                <w:caps w:val="0"/>
                <w:color w:val="auto"/>
                <w:spacing w:val="0"/>
                <w:position w:val="0"/>
                <w:szCs w:val="24"/>
                <w:highlight w:val="none"/>
              </w:rPr>
              <w:t>运营期环境保护措施</w:t>
            </w:r>
          </w:p>
        </w:tc>
        <w:tc>
          <w:tcPr>
            <w:tcW w:w="4888" w:type="pct"/>
            <w:noWrap w:val="0"/>
            <w:vAlign w:val="center"/>
          </w:tcPr>
          <w:p w14:paraId="00E22FAD">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eastAsia"/>
                <w:b/>
                <w:bCs w:val="0"/>
                <w:caps w:val="0"/>
                <w:color w:val="auto"/>
                <w:spacing w:val="0"/>
                <w:position w:val="0"/>
                <w:highlight w:val="none"/>
              </w:rPr>
              <w:t>1、废气</w:t>
            </w:r>
          </w:p>
          <w:p w14:paraId="1FCB42BC">
            <w:pPr>
              <w:pStyle w:val="74"/>
              <w:keepNext w:val="0"/>
              <w:keepLines w:val="0"/>
              <w:suppressLineNumbers w:val="0"/>
              <w:bidi w:val="0"/>
              <w:spacing w:before="0" w:beforeAutospacing="0" w:after="0" w:afterAutospacing="0"/>
              <w:ind w:left="0" w:right="0"/>
              <w:rPr>
                <w:rFonts w:hint="eastAsia"/>
                <w:b/>
                <w:bCs w:val="0"/>
                <w:caps w:val="0"/>
                <w:color w:val="auto"/>
                <w:spacing w:val="0"/>
                <w:position w:val="0"/>
                <w:highlight w:val="none"/>
              </w:rPr>
            </w:pPr>
            <w:r>
              <w:rPr>
                <w:rFonts w:hint="eastAsia"/>
                <w:b/>
                <w:bCs w:val="0"/>
                <w:caps w:val="0"/>
                <w:color w:val="auto"/>
                <w:spacing w:val="0"/>
                <w:position w:val="0"/>
                <w:highlight w:val="none"/>
                <w:lang w:val="en-US" w:eastAsia="zh-CN"/>
              </w:rPr>
              <w:t>1.1</w:t>
            </w:r>
            <w:r>
              <w:rPr>
                <w:rFonts w:hint="eastAsia"/>
                <w:b/>
                <w:bCs w:val="0"/>
                <w:caps w:val="0"/>
                <w:color w:val="auto"/>
                <w:spacing w:val="0"/>
                <w:position w:val="0"/>
                <w:highlight w:val="none"/>
              </w:rPr>
              <w:t>废气污染源情况</w:t>
            </w:r>
          </w:p>
          <w:p w14:paraId="65FE09CC">
            <w:pPr>
              <w:pStyle w:val="75"/>
              <w:keepNext w:val="0"/>
              <w:keepLines w:val="0"/>
              <w:numPr>
                <w:ilvl w:val="0"/>
                <w:numId w:val="7"/>
              </w:numPr>
              <w:suppressLineNumbers w:val="0"/>
              <w:bidi w:val="0"/>
              <w:spacing w:before="0" w:beforeAutospacing="0" w:after="0" w:afterAutospacing="0"/>
              <w:ind w:left="425" w:leftChars="0" w:right="0" w:hanging="425" w:firstLineChars="0"/>
              <w:rPr>
                <w:rFonts w:hint="default"/>
                <w:caps w:val="0"/>
                <w:color w:val="auto"/>
                <w:spacing w:val="0"/>
                <w:position w:val="0"/>
                <w:highlight w:val="none"/>
                <w:lang w:val="zh-CN"/>
              </w:rPr>
            </w:pPr>
            <w:r>
              <w:rPr>
                <w:rFonts w:hint="default"/>
                <w:caps w:val="0"/>
                <w:color w:val="auto"/>
                <w:spacing w:val="0"/>
                <w:position w:val="0"/>
                <w:highlight w:val="none"/>
                <w:lang w:val="zh-CN"/>
              </w:rPr>
              <w:t>废气污染源产生、正常排放汇总表</w:t>
            </w:r>
          </w:p>
          <w:tbl>
            <w:tblPr>
              <w:tblStyle w:val="23"/>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686"/>
              <w:gridCol w:w="687"/>
              <w:gridCol w:w="687"/>
              <w:gridCol w:w="687"/>
              <w:gridCol w:w="960"/>
              <w:gridCol w:w="960"/>
              <w:gridCol w:w="960"/>
              <w:gridCol w:w="858"/>
              <w:gridCol w:w="789"/>
              <w:gridCol w:w="687"/>
              <w:gridCol w:w="687"/>
              <w:gridCol w:w="687"/>
              <w:gridCol w:w="960"/>
              <w:gridCol w:w="740"/>
              <w:gridCol w:w="960"/>
              <w:gridCol w:w="960"/>
              <w:gridCol w:w="687"/>
            </w:tblGrid>
            <w:tr w14:paraId="1D3CA55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06" w:hRule="atLeast"/>
                <w:jc w:val="center"/>
              </w:trPr>
              <w:tc>
                <w:tcPr>
                  <w:tcW w:w="1373" w:type="dxa"/>
                  <w:gridSpan w:val="2"/>
                  <w:vMerge w:val="restart"/>
                  <w:tcBorders>
                    <w:tl2br w:val="nil"/>
                    <w:tr2bl w:val="nil"/>
                  </w:tcBorders>
                  <w:shd w:val="clear" w:color="auto" w:fill="auto"/>
                  <w:vAlign w:val="center"/>
                </w:tcPr>
                <w:p w14:paraId="45DC392F">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产排污环节</w:t>
                  </w:r>
                </w:p>
              </w:tc>
              <w:tc>
                <w:tcPr>
                  <w:tcW w:w="687" w:type="dxa"/>
                  <w:vMerge w:val="restart"/>
                  <w:tcBorders>
                    <w:tl2br w:val="nil"/>
                    <w:tr2bl w:val="nil"/>
                  </w:tcBorders>
                  <w:shd w:val="clear" w:color="auto" w:fill="auto"/>
                  <w:vAlign w:val="center"/>
                </w:tcPr>
                <w:p w14:paraId="4E685E5E">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排放形式</w:t>
                  </w:r>
                </w:p>
              </w:tc>
              <w:tc>
                <w:tcPr>
                  <w:tcW w:w="687" w:type="dxa"/>
                  <w:vMerge w:val="restart"/>
                  <w:tcBorders>
                    <w:tl2br w:val="nil"/>
                    <w:tr2bl w:val="nil"/>
                  </w:tcBorders>
                  <w:shd w:val="clear" w:color="auto" w:fill="auto"/>
                  <w:vAlign w:val="center"/>
                </w:tcPr>
                <w:p w14:paraId="61888AA5">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污染物种类</w:t>
                  </w:r>
                </w:p>
              </w:tc>
              <w:tc>
                <w:tcPr>
                  <w:tcW w:w="2880" w:type="dxa"/>
                  <w:gridSpan w:val="3"/>
                  <w:tcBorders>
                    <w:tl2br w:val="nil"/>
                    <w:tr2bl w:val="nil"/>
                  </w:tcBorders>
                  <w:shd w:val="clear" w:color="auto" w:fill="auto"/>
                  <w:vAlign w:val="center"/>
                </w:tcPr>
                <w:p w14:paraId="4DEFA90A">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污染物产生量和浓度</w:t>
                  </w:r>
                </w:p>
              </w:tc>
              <w:tc>
                <w:tcPr>
                  <w:tcW w:w="3708" w:type="dxa"/>
                  <w:gridSpan w:val="5"/>
                  <w:tcBorders>
                    <w:tl2br w:val="nil"/>
                    <w:tr2bl w:val="nil"/>
                  </w:tcBorders>
                  <w:shd w:val="clear" w:color="auto" w:fill="auto"/>
                  <w:vAlign w:val="center"/>
                </w:tcPr>
                <w:p w14:paraId="22C119EA">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污染治理设施</w:t>
                  </w:r>
                </w:p>
              </w:tc>
              <w:tc>
                <w:tcPr>
                  <w:tcW w:w="2660" w:type="dxa"/>
                  <w:gridSpan w:val="3"/>
                  <w:tcBorders>
                    <w:tl2br w:val="nil"/>
                    <w:tr2bl w:val="nil"/>
                  </w:tcBorders>
                  <w:shd w:val="clear" w:color="auto" w:fill="auto"/>
                  <w:vAlign w:val="center"/>
                </w:tcPr>
                <w:p w14:paraId="2F99213F">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污染物排放量和浓度</w:t>
                  </w:r>
                </w:p>
              </w:tc>
              <w:tc>
                <w:tcPr>
                  <w:tcW w:w="960" w:type="dxa"/>
                  <w:tcBorders>
                    <w:tl2br w:val="nil"/>
                    <w:tr2bl w:val="nil"/>
                  </w:tcBorders>
                  <w:shd w:val="clear" w:color="auto" w:fill="auto"/>
                  <w:vAlign w:val="center"/>
                </w:tcPr>
                <w:p w14:paraId="35CC477C">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排气筒</w:t>
                  </w:r>
                </w:p>
              </w:tc>
              <w:tc>
                <w:tcPr>
                  <w:tcW w:w="687" w:type="dxa"/>
                  <w:tcBorders>
                    <w:tl2br w:val="nil"/>
                    <w:tr2bl w:val="nil"/>
                  </w:tcBorders>
                  <w:shd w:val="clear" w:color="auto" w:fill="auto"/>
                  <w:vAlign w:val="center"/>
                </w:tcPr>
                <w:p w14:paraId="1D806F9B">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排放标准</w:t>
                  </w:r>
                </w:p>
              </w:tc>
            </w:tr>
            <w:tr w14:paraId="58A8DCF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06" w:hRule="atLeast"/>
                <w:jc w:val="center"/>
              </w:trPr>
              <w:tc>
                <w:tcPr>
                  <w:tcW w:w="1373" w:type="dxa"/>
                  <w:gridSpan w:val="2"/>
                  <w:vMerge w:val="continue"/>
                  <w:tcBorders>
                    <w:tl2br w:val="nil"/>
                    <w:tr2bl w:val="nil"/>
                  </w:tcBorders>
                  <w:shd w:val="clear" w:color="auto" w:fill="auto"/>
                  <w:vAlign w:val="center"/>
                </w:tcPr>
                <w:p w14:paraId="0CF10BB3">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2AE5E06B">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07DFFFE7">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960" w:type="dxa"/>
                  <w:vMerge w:val="restart"/>
                  <w:tcBorders>
                    <w:tl2br w:val="nil"/>
                    <w:tr2bl w:val="nil"/>
                  </w:tcBorders>
                  <w:shd w:val="clear" w:color="auto" w:fill="auto"/>
                  <w:vAlign w:val="center"/>
                </w:tcPr>
                <w:p w14:paraId="501744AF">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产生浓度</w:t>
                  </w:r>
                  <w:r>
                    <w:rPr>
                      <w:rFonts w:hint="default"/>
                      <w:caps w:val="0"/>
                      <w:color w:val="auto"/>
                      <w:spacing w:val="0"/>
                      <w:position w:val="0"/>
                      <w:highlight w:val="none"/>
                      <w:lang w:val="en-US" w:eastAsia="zh-CN"/>
                    </w:rPr>
                    <w:t>mg/m</w:t>
                  </w:r>
                  <w:r>
                    <w:rPr>
                      <w:caps w:val="0"/>
                      <w:color w:val="auto"/>
                      <w:spacing w:val="0"/>
                      <w:position w:val="0"/>
                      <w:highlight w:val="none"/>
                      <w:vertAlign w:val="superscript"/>
                      <w:lang w:val="en-US" w:eastAsia="zh-CN"/>
                    </w:rPr>
                    <w:t>3</w:t>
                  </w:r>
                </w:p>
              </w:tc>
              <w:tc>
                <w:tcPr>
                  <w:tcW w:w="960" w:type="dxa"/>
                  <w:vMerge w:val="restart"/>
                  <w:tcBorders>
                    <w:tl2br w:val="nil"/>
                    <w:tr2bl w:val="nil"/>
                  </w:tcBorders>
                  <w:shd w:val="clear" w:color="auto" w:fill="auto"/>
                  <w:vAlign w:val="center"/>
                </w:tcPr>
                <w:p w14:paraId="16BE60FD">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产生量</w:t>
                  </w:r>
                  <w:r>
                    <w:rPr>
                      <w:rFonts w:hint="default"/>
                      <w:caps w:val="0"/>
                      <w:color w:val="auto"/>
                      <w:spacing w:val="0"/>
                      <w:position w:val="0"/>
                      <w:highlight w:val="none"/>
                      <w:lang w:val="en-US" w:eastAsia="zh-CN"/>
                    </w:rPr>
                    <w:t>kg/h</w:t>
                  </w:r>
                </w:p>
              </w:tc>
              <w:tc>
                <w:tcPr>
                  <w:tcW w:w="960" w:type="dxa"/>
                  <w:vMerge w:val="restart"/>
                  <w:tcBorders>
                    <w:tl2br w:val="nil"/>
                    <w:tr2bl w:val="nil"/>
                  </w:tcBorders>
                  <w:shd w:val="clear" w:color="auto" w:fill="auto"/>
                  <w:vAlign w:val="center"/>
                </w:tcPr>
                <w:p w14:paraId="758CB4FE">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产生量</w:t>
                  </w:r>
                  <w:r>
                    <w:rPr>
                      <w:rFonts w:hint="default"/>
                      <w:caps w:val="0"/>
                      <w:color w:val="auto"/>
                      <w:spacing w:val="0"/>
                      <w:position w:val="0"/>
                      <w:highlight w:val="none"/>
                      <w:lang w:val="en-US" w:eastAsia="zh-CN"/>
                    </w:rPr>
                    <w:t>t/a</w:t>
                  </w:r>
                </w:p>
              </w:tc>
              <w:tc>
                <w:tcPr>
                  <w:tcW w:w="858" w:type="dxa"/>
                  <w:vMerge w:val="restart"/>
                  <w:tcBorders>
                    <w:tl2br w:val="nil"/>
                    <w:tr2bl w:val="nil"/>
                  </w:tcBorders>
                  <w:shd w:val="clear" w:color="auto" w:fill="auto"/>
                  <w:vAlign w:val="center"/>
                </w:tcPr>
                <w:p w14:paraId="245742FF">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风量</w:t>
                  </w:r>
                  <w:r>
                    <w:rPr>
                      <w:rFonts w:hint="default"/>
                      <w:caps w:val="0"/>
                      <w:color w:val="auto"/>
                      <w:spacing w:val="0"/>
                      <w:position w:val="0"/>
                      <w:highlight w:val="none"/>
                      <w:lang w:val="en-US" w:eastAsia="zh-CN"/>
                    </w:rPr>
                    <w:t>m</w:t>
                  </w:r>
                  <w:r>
                    <w:rPr>
                      <w:caps w:val="0"/>
                      <w:color w:val="auto"/>
                      <w:spacing w:val="0"/>
                      <w:position w:val="0"/>
                      <w:highlight w:val="none"/>
                      <w:vertAlign w:val="superscript"/>
                      <w:lang w:val="en-US" w:eastAsia="zh-CN"/>
                    </w:rPr>
                    <w:t>3</w:t>
                  </w:r>
                  <w:r>
                    <w:rPr>
                      <w:rFonts w:hint="default"/>
                      <w:caps w:val="0"/>
                      <w:color w:val="auto"/>
                      <w:spacing w:val="0"/>
                      <w:position w:val="0"/>
                      <w:highlight w:val="none"/>
                      <w:lang w:val="en-US" w:eastAsia="zh-CN"/>
                    </w:rPr>
                    <w:t>/h</w:t>
                  </w:r>
                </w:p>
              </w:tc>
              <w:tc>
                <w:tcPr>
                  <w:tcW w:w="789" w:type="dxa"/>
                  <w:tcBorders>
                    <w:tl2br w:val="nil"/>
                    <w:tr2bl w:val="nil"/>
                  </w:tcBorders>
                  <w:shd w:val="clear" w:color="auto" w:fill="auto"/>
                  <w:vAlign w:val="center"/>
                </w:tcPr>
                <w:p w14:paraId="25E1E9C8">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收集效率</w:t>
                  </w:r>
                </w:p>
              </w:tc>
              <w:tc>
                <w:tcPr>
                  <w:tcW w:w="687" w:type="dxa"/>
                  <w:tcBorders>
                    <w:tl2br w:val="nil"/>
                    <w:tr2bl w:val="nil"/>
                  </w:tcBorders>
                  <w:shd w:val="clear" w:color="auto" w:fill="auto"/>
                  <w:vAlign w:val="center"/>
                </w:tcPr>
                <w:p w14:paraId="04829584">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去除效率</w:t>
                  </w:r>
                </w:p>
              </w:tc>
              <w:tc>
                <w:tcPr>
                  <w:tcW w:w="687" w:type="dxa"/>
                  <w:vMerge w:val="restart"/>
                  <w:tcBorders>
                    <w:tl2br w:val="nil"/>
                    <w:tr2bl w:val="nil"/>
                  </w:tcBorders>
                  <w:shd w:val="clear" w:color="auto" w:fill="auto"/>
                  <w:vAlign w:val="center"/>
                </w:tcPr>
                <w:p w14:paraId="7D0311AA">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是否可行技术</w:t>
                  </w:r>
                </w:p>
              </w:tc>
              <w:tc>
                <w:tcPr>
                  <w:tcW w:w="687" w:type="dxa"/>
                  <w:vMerge w:val="restart"/>
                  <w:tcBorders>
                    <w:tl2br w:val="nil"/>
                    <w:tr2bl w:val="nil"/>
                  </w:tcBorders>
                  <w:shd w:val="clear" w:color="auto" w:fill="auto"/>
                  <w:vAlign w:val="center"/>
                </w:tcPr>
                <w:p w14:paraId="4C0BDC93">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处理工艺</w:t>
                  </w:r>
                </w:p>
              </w:tc>
              <w:tc>
                <w:tcPr>
                  <w:tcW w:w="960" w:type="dxa"/>
                  <w:tcBorders>
                    <w:tl2br w:val="nil"/>
                    <w:tr2bl w:val="nil"/>
                  </w:tcBorders>
                  <w:shd w:val="clear" w:color="auto" w:fill="auto"/>
                  <w:vAlign w:val="center"/>
                </w:tcPr>
                <w:p w14:paraId="75B2D1DD">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排放浓度</w:t>
                  </w:r>
                </w:p>
              </w:tc>
              <w:tc>
                <w:tcPr>
                  <w:tcW w:w="740" w:type="dxa"/>
                  <w:vMerge w:val="restart"/>
                  <w:tcBorders>
                    <w:tl2br w:val="nil"/>
                    <w:tr2bl w:val="nil"/>
                  </w:tcBorders>
                  <w:shd w:val="clear" w:color="auto" w:fill="auto"/>
                  <w:vAlign w:val="center"/>
                </w:tcPr>
                <w:p w14:paraId="7017E638">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排放量</w:t>
                  </w:r>
                  <w:r>
                    <w:rPr>
                      <w:rFonts w:hint="default"/>
                      <w:caps w:val="0"/>
                      <w:color w:val="auto"/>
                      <w:spacing w:val="0"/>
                      <w:position w:val="0"/>
                      <w:highlight w:val="none"/>
                      <w:lang w:val="en-US" w:eastAsia="zh-CN"/>
                    </w:rPr>
                    <w:t>kg/h</w:t>
                  </w:r>
                </w:p>
              </w:tc>
              <w:tc>
                <w:tcPr>
                  <w:tcW w:w="960" w:type="dxa"/>
                  <w:vMerge w:val="restart"/>
                  <w:tcBorders>
                    <w:tl2br w:val="nil"/>
                    <w:tr2bl w:val="nil"/>
                  </w:tcBorders>
                  <w:shd w:val="clear" w:color="auto" w:fill="auto"/>
                  <w:vAlign w:val="center"/>
                </w:tcPr>
                <w:p w14:paraId="74CD8640">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排放量</w:t>
                  </w:r>
                  <w:r>
                    <w:rPr>
                      <w:rFonts w:hint="default"/>
                      <w:caps w:val="0"/>
                      <w:color w:val="auto"/>
                      <w:spacing w:val="0"/>
                      <w:position w:val="0"/>
                      <w:highlight w:val="none"/>
                      <w:lang w:val="en-US" w:eastAsia="zh-CN"/>
                    </w:rPr>
                    <w:t>t/a</w:t>
                  </w:r>
                </w:p>
              </w:tc>
              <w:tc>
                <w:tcPr>
                  <w:tcW w:w="960" w:type="dxa"/>
                  <w:tcBorders>
                    <w:tl2br w:val="nil"/>
                    <w:tr2bl w:val="nil"/>
                  </w:tcBorders>
                  <w:shd w:val="clear" w:color="auto" w:fill="auto"/>
                  <w:vAlign w:val="center"/>
                </w:tcPr>
                <w:p w14:paraId="33F23128">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编号</w:t>
                  </w:r>
                </w:p>
              </w:tc>
              <w:tc>
                <w:tcPr>
                  <w:tcW w:w="687" w:type="dxa"/>
                  <w:vMerge w:val="restart"/>
                  <w:tcBorders>
                    <w:tl2br w:val="nil"/>
                    <w:tr2bl w:val="nil"/>
                  </w:tcBorders>
                  <w:shd w:val="clear" w:color="auto" w:fill="auto"/>
                  <w:vAlign w:val="center"/>
                </w:tcPr>
                <w:p w14:paraId="622079EF">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排放浓度</w:t>
                  </w:r>
                  <w:r>
                    <w:rPr>
                      <w:rFonts w:hint="default"/>
                      <w:caps w:val="0"/>
                      <w:color w:val="auto"/>
                      <w:spacing w:val="0"/>
                      <w:position w:val="0"/>
                      <w:highlight w:val="none"/>
                      <w:lang w:val="en-US" w:eastAsia="zh-CN"/>
                    </w:rPr>
                    <w:t>mg/m</w:t>
                  </w:r>
                  <w:r>
                    <w:rPr>
                      <w:caps w:val="0"/>
                      <w:color w:val="auto"/>
                      <w:spacing w:val="0"/>
                      <w:position w:val="0"/>
                      <w:highlight w:val="none"/>
                      <w:vertAlign w:val="superscript"/>
                      <w:lang w:val="en-US" w:eastAsia="zh-CN"/>
                    </w:rPr>
                    <w:t>3</w:t>
                  </w:r>
                </w:p>
              </w:tc>
            </w:tr>
            <w:tr w14:paraId="71DCF38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2" w:hRule="atLeast"/>
                <w:jc w:val="center"/>
              </w:trPr>
              <w:tc>
                <w:tcPr>
                  <w:tcW w:w="1373" w:type="dxa"/>
                  <w:gridSpan w:val="2"/>
                  <w:vMerge w:val="continue"/>
                  <w:tcBorders>
                    <w:tl2br w:val="nil"/>
                    <w:tr2bl w:val="nil"/>
                  </w:tcBorders>
                  <w:shd w:val="clear" w:color="auto" w:fill="auto"/>
                  <w:vAlign w:val="center"/>
                </w:tcPr>
                <w:p w14:paraId="623CB499">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7B1B14C5">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4EDE3494">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960" w:type="dxa"/>
                  <w:vMerge w:val="continue"/>
                  <w:tcBorders>
                    <w:tl2br w:val="nil"/>
                    <w:tr2bl w:val="nil"/>
                  </w:tcBorders>
                  <w:shd w:val="clear" w:color="auto" w:fill="auto"/>
                  <w:vAlign w:val="center"/>
                </w:tcPr>
                <w:p w14:paraId="4F878B12">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960" w:type="dxa"/>
                  <w:vMerge w:val="continue"/>
                  <w:tcBorders>
                    <w:tl2br w:val="nil"/>
                    <w:tr2bl w:val="nil"/>
                  </w:tcBorders>
                  <w:shd w:val="clear" w:color="auto" w:fill="auto"/>
                  <w:vAlign w:val="center"/>
                </w:tcPr>
                <w:p w14:paraId="49758248">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960" w:type="dxa"/>
                  <w:vMerge w:val="continue"/>
                  <w:tcBorders>
                    <w:tl2br w:val="nil"/>
                    <w:tr2bl w:val="nil"/>
                  </w:tcBorders>
                  <w:shd w:val="clear" w:color="auto" w:fill="auto"/>
                  <w:vAlign w:val="center"/>
                </w:tcPr>
                <w:p w14:paraId="1D6163B7">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858" w:type="dxa"/>
                  <w:vMerge w:val="continue"/>
                  <w:tcBorders>
                    <w:tl2br w:val="nil"/>
                    <w:tr2bl w:val="nil"/>
                  </w:tcBorders>
                  <w:shd w:val="clear" w:color="auto" w:fill="auto"/>
                  <w:vAlign w:val="center"/>
                </w:tcPr>
                <w:p w14:paraId="6D8992EE">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789" w:type="dxa"/>
                  <w:tcBorders>
                    <w:tl2br w:val="nil"/>
                    <w:tr2bl w:val="nil"/>
                  </w:tcBorders>
                  <w:shd w:val="clear" w:color="auto" w:fill="auto"/>
                  <w:vAlign w:val="center"/>
                </w:tcPr>
                <w:p w14:paraId="4A39D71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687" w:type="dxa"/>
                  <w:tcBorders>
                    <w:tl2br w:val="nil"/>
                    <w:tr2bl w:val="nil"/>
                  </w:tcBorders>
                  <w:shd w:val="clear" w:color="auto" w:fill="auto"/>
                  <w:vAlign w:val="center"/>
                </w:tcPr>
                <w:p w14:paraId="6EC104A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687" w:type="dxa"/>
                  <w:vMerge w:val="continue"/>
                  <w:tcBorders>
                    <w:tl2br w:val="nil"/>
                    <w:tr2bl w:val="nil"/>
                  </w:tcBorders>
                  <w:shd w:val="clear" w:color="auto" w:fill="auto"/>
                  <w:vAlign w:val="center"/>
                </w:tcPr>
                <w:p w14:paraId="12C8956F">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5311B47C">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960" w:type="dxa"/>
                  <w:tcBorders>
                    <w:tl2br w:val="nil"/>
                    <w:tr2bl w:val="nil"/>
                  </w:tcBorders>
                  <w:shd w:val="clear" w:color="auto" w:fill="auto"/>
                  <w:vAlign w:val="center"/>
                </w:tcPr>
                <w:p w14:paraId="77FE55F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mg/m</w:t>
                  </w:r>
                  <w:r>
                    <w:rPr>
                      <w:caps w:val="0"/>
                      <w:color w:val="auto"/>
                      <w:spacing w:val="0"/>
                      <w:position w:val="0"/>
                      <w:highlight w:val="none"/>
                      <w:vertAlign w:val="superscript"/>
                      <w:lang w:val="en-US" w:eastAsia="zh-CN"/>
                    </w:rPr>
                    <w:t>3</w:t>
                  </w:r>
                </w:p>
              </w:tc>
              <w:tc>
                <w:tcPr>
                  <w:tcW w:w="740" w:type="dxa"/>
                  <w:vMerge w:val="continue"/>
                  <w:tcBorders>
                    <w:tl2br w:val="nil"/>
                    <w:tr2bl w:val="nil"/>
                  </w:tcBorders>
                  <w:shd w:val="clear" w:color="auto" w:fill="auto"/>
                  <w:vAlign w:val="center"/>
                </w:tcPr>
                <w:p w14:paraId="62FB6EB2">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960" w:type="dxa"/>
                  <w:vMerge w:val="continue"/>
                  <w:tcBorders>
                    <w:tl2br w:val="nil"/>
                    <w:tr2bl w:val="nil"/>
                  </w:tcBorders>
                  <w:shd w:val="clear" w:color="auto" w:fill="auto"/>
                  <w:vAlign w:val="center"/>
                </w:tcPr>
                <w:p w14:paraId="332022DD">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960" w:type="dxa"/>
                  <w:tcBorders>
                    <w:tl2br w:val="nil"/>
                    <w:tr2bl w:val="nil"/>
                  </w:tcBorders>
                  <w:shd w:val="clear" w:color="auto" w:fill="auto"/>
                  <w:noWrap/>
                  <w:vAlign w:val="center"/>
                </w:tcPr>
                <w:p w14:paraId="75BCC1DD">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0C634F95">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r>
            <w:tr w14:paraId="628759F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8" w:hRule="atLeast"/>
                <w:jc w:val="center"/>
              </w:trPr>
              <w:tc>
                <w:tcPr>
                  <w:tcW w:w="1373" w:type="dxa"/>
                  <w:gridSpan w:val="2"/>
                  <w:vMerge w:val="restart"/>
                  <w:tcBorders>
                    <w:tl2br w:val="nil"/>
                    <w:tr2bl w:val="nil"/>
                  </w:tcBorders>
                  <w:shd w:val="clear" w:color="auto" w:fill="auto"/>
                  <w:vAlign w:val="center"/>
                </w:tcPr>
                <w:p w14:paraId="6CD19624">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投料粉尘、搅拌粉尘</w:t>
                  </w:r>
                </w:p>
              </w:tc>
              <w:tc>
                <w:tcPr>
                  <w:tcW w:w="687" w:type="dxa"/>
                  <w:vMerge w:val="restart"/>
                  <w:tcBorders>
                    <w:tl2br w:val="nil"/>
                    <w:tr2bl w:val="nil"/>
                  </w:tcBorders>
                  <w:shd w:val="clear" w:color="auto" w:fill="auto"/>
                  <w:vAlign w:val="center"/>
                </w:tcPr>
                <w:p w14:paraId="4057244C">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有组织</w:t>
                  </w:r>
                </w:p>
              </w:tc>
              <w:tc>
                <w:tcPr>
                  <w:tcW w:w="687" w:type="dxa"/>
                  <w:tcBorders>
                    <w:tl2br w:val="nil"/>
                    <w:tr2bl w:val="nil"/>
                  </w:tcBorders>
                  <w:shd w:val="clear" w:color="auto" w:fill="auto"/>
                  <w:vAlign w:val="center"/>
                </w:tcPr>
                <w:p w14:paraId="435987F0">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颗粒物</w:t>
                  </w:r>
                </w:p>
              </w:tc>
              <w:tc>
                <w:tcPr>
                  <w:tcW w:w="960" w:type="dxa"/>
                  <w:tcBorders>
                    <w:tl2br w:val="nil"/>
                    <w:tr2bl w:val="nil"/>
                  </w:tcBorders>
                  <w:shd w:val="clear" w:color="auto" w:fill="auto"/>
                  <w:vAlign w:val="center"/>
                </w:tcPr>
                <w:p w14:paraId="798324FE">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1136</w:t>
                  </w:r>
                </w:p>
              </w:tc>
              <w:tc>
                <w:tcPr>
                  <w:tcW w:w="960" w:type="dxa"/>
                  <w:tcBorders>
                    <w:tl2br w:val="nil"/>
                    <w:tr2bl w:val="nil"/>
                  </w:tcBorders>
                  <w:shd w:val="clear" w:color="auto" w:fill="auto"/>
                  <w:vAlign w:val="center"/>
                </w:tcPr>
                <w:p w14:paraId="0D474433">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5.68</w:t>
                  </w:r>
                </w:p>
              </w:tc>
              <w:tc>
                <w:tcPr>
                  <w:tcW w:w="960" w:type="dxa"/>
                  <w:tcBorders>
                    <w:tl2br w:val="nil"/>
                    <w:tr2bl w:val="nil"/>
                  </w:tcBorders>
                  <w:shd w:val="clear" w:color="auto" w:fill="auto"/>
                  <w:vAlign w:val="center"/>
                </w:tcPr>
                <w:p w14:paraId="59A1F2E0">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27.26</w:t>
                  </w:r>
                </w:p>
              </w:tc>
              <w:tc>
                <w:tcPr>
                  <w:tcW w:w="858" w:type="dxa"/>
                  <w:vMerge w:val="restart"/>
                  <w:tcBorders>
                    <w:tl2br w:val="nil"/>
                    <w:tr2bl w:val="nil"/>
                  </w:tcBorders>
                  <w:shd w:val="clear" w:color="auto" w:fill="auto"/>
                  <w:vAlign w:val="center"/>
                </w:tcPr>
                <w:p w14:paraId="1D02757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5000</w:t>
                  </w:r>
                </w:p>
              </w:tc>
              <w:tc>
                <w:tcPr>
                  <w:tcW w:w="789" w:type="dxa"/>
                  <w:vMerge w:val="restart"/>
                  <w:tcBorders>
                    <w:tl2br w:val="nil"/>
                    <w:tr2bl w:val="nil"/>
                  </w:tcBorders>
                  <w:shd w:val="clear" w:color="auto" w:fill="auto"/>
                  <w:vAlign w:val="center"/>
                </w:tcPr>
                <w:p w14:paraId="440858E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90/99</w:t>
                  </w:r>
                </w:p>
              </w:tc>
              <w:tc>
                <w:tcPr>
                  <w:tcW w:w="687" w:type="dxa"/>
                  <w:vMerge w:val="restart"/>
                  <w:tcBorders>
                    <w:tl2br w:val="nil"/>
                    <w:tr2bl w:val="nil"/>
                  </w:tcBorders>
                  <w:shd w:val="clear" w:color="auto" w:fill="auto"/>
                  <w:vAlign w:val="center"/>
                </w:tcPr>
                <w:p w14:paraId="456053A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99</w:t>
                  </w:r>
                </w:p>
              </w:tc>
              <w:tc>
                <w:tcPr>
                  <w:tcW w:w="687" w:type="dxa"/>
                  <w:vMerge w:val="restart"/>
                  <w:tcBorders>
                    <w:tl2br w:val="nil"/>
                    <w:tr2bl w:val="nil"/>
                  </w:tcBorders>
                  <w:shd w:val="clear" w:color="auto" w:fill="auto"/>
                  <w:vAlign w:val="center"/>
                </w:tcPr>
                <w:p w14:paraId="726D61CD">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是</w:t>
                  </w:r>
                </w:p>
              </w:tc>
              <w:tc>
                <w:tcPr>
                  <w:tcW w:w="687" w:type="dxa"/>
                  <w:vMerge w:val="restart"/>
                  <w:tcBorders>
                    <w:tl2br w:val="nil"/>
                    <w:tr2bl w:val="nil"/>
                  </w:tcBorders>
                  <w:shd w:val="clear" w:color="auto" w:fill="auto"/>
                  <w:vAlign w:val="center"/>
                </w:tcPr>
                <w:p w14:paraId="600266CB">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集气罩</w:t>
                  </w:r>
                  <w:r>
                    <w:rPr>
                      <w:rFonts w:hint="default"/>
                      <w:caps w:val="0"/>
                      <w:color w:val="auto"/>
                      <w:spacing w:val="0"/>
                      <w:position w:val="0"/>
                      <w:highlight w:val="none"/>
                      <w:lang w:val="en-US" w:eastAsia="zh-CN"/>
                    </w:rPr>
                    <w:t>/</w:t>
                  </w:r>
                  <w:r>
                    <w:rPr>
                      <w:rFonts w:hint="eastAsia"/>
                      <w:caps w:val="0"/>
                      <w:color w:val="auto"/>
                      <w:spacing w:val="0"/>
                      <w:position w:val="0"/>
                      <w:highlight w:val="none"/>
                      <w:lang w:val="en-US" w:eastAsia="zh-CN"/>
                    </w:rPr>
                    <w:t>密闭管道</w:t>
                  </w:r>
                  <w:r>
                    <w:rPr>
                      <w:rFonts w:hint="default"/>
                      <w:caps w:val="0"/>
                      <w:color w:val="auto"/>
                      <w:spacing w:val="0"/>
                      <w:position w:val="0"/>
                      <w:highlight w:val="none"/>
                      <w:lang w:val="en-US" w:eastAsia="zh-CN"/>
                    </w:rPr>
                    <w:t>+</w:t>
                  </w:r>
                  <w:r>
                    <w:rPr>
                      <w:rFonts w:hint="eastAsia"/>
                      <w:caps w:val="0"/>
                      <w:color w:val="auto"/>
                      <w:spacing w:val="0"/>
                      <w:position w:val="0"/>
                      <w:highlight w:val="none"/>
                      <w:lang w:val="en-US" w:eastAsia="zh-CN"/>
                    </w:rPr>
                    <w:t>布袋除尘</w:t>
                  </w:r>
                </w:p>
              </w:tc>
              <w:tc>
                <w:tcPr>
                  <w:tcW w:w="960" w:type="dxa"/>
                  <w:tcBorders>
                    <w:tl2br w:val="nil"/>
                    <w:tr2bl w:val="nil"/>
                  </w:tcBorders>
                  <w:shd w:val="clear" w:color="auto" w:fill="auto"/>
                  <w:vAlign w:val="center"/>
                </w:tcPr>
                <w:p w14:paraId="381A2E93">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default"/>
                      <w:caps w:val="0"/>
                      <w:color w:val="auto"/>
                      <w:spacing w:val="0"/>
                      <w:position w:val="0"/>
                      <w:highlight w:val="none"/>
                      <w:lang w:val="en-US" w:eastAsia="zh-CN"/>
                    </w:rPr>
                    <w:t>11.</w:t>
                  </w:r>
                  <w:r>
                    <w:rPr>
                      <w:rFonts w:hint="eastAsia"/>
                      <w:caps w:val="0"/>
                      <w:color w:val="auto"/>
                      <w:spacing w:val="0"/>
                      <w:position w:val="0"/>
                      <w:highlight w:val="none"/>
                      <w:lang w:val="en-US" w:eastAsia="zh-CN"/>
                    </w:rPr>
                    <w:t>4</w:t>
                  </w:r>
                </w:p>
              </w:tc>
              <w:tc>
                <w:tcPr>
                  <w:tcW w:w="740" w:type="dxa"/>
                  <w:tcBorders>
                    <w:tl2br w:val="nil"/>
                    <w:tr2bl w:val="nil"/>
                  </w:tcBorders>
                  <w:shd w:val="clear" w:color="auto" w:fill="auto"/>
                  <w:vAlign w:val="center"/>
                </w:tcPr>
                <w:p w14:paraId="5584457D">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default"/>
                      <w:caps w:val="0"/>
                      <w:color w:val="auto"/>
                      <w:spacing w:val="0"/>
                      <w:position w:val="0"/>
                      <w:highlight w:val="none"/>
                      <w:lang w:val="en-US" w:eastAsia="zh-CN"/>
                    </w:rPr>
                    <w:t>0.05</w:t>
                  </w:r>
                  <w:r>
                    <w:rPr>
                      <w:rFonts w:hint="eastAsia"/>
                      <w:caps w:val="0"/>
                      <w:color w:val="auto"/>
                      <w:spacing w:val="0"/>
                      <w:position w:val="0"/>
                      <w:highlight w:val="none"/>
                      <w:lang w:val="en-US" w:eastAsia="zh-CN"/>
                    </w:rPr>
                    <w:t>7</w:t>
                  </w:r>
                </w:p>
              </w:tc>
              <w:tc>
                <w:tcPr>
                  <w:tcW w:w="960" w:type="dxa"/>
                  <w:tcBorders>
                    <w:tl2br w:val="nil"/>
                    <w:tr2bl w:val="nil"/>
                  </w:tcBorders>
                  <w:shd w:val="clear" w:color="auto" w:fill="auto"/>
                  <w:vAlign w:val="center"/>
                </w:tcPr>
                <w:p w14:paraId="2E913518">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default"/>
                      <w:caps w:val="0"/>
                      <w:color w:val="auto"/>
                      <w:spacing w:val="0"/>
                      <w:position w:val="0"/>
                      <w:highlight w:val="none"/>
                      <w:lang w:val="en-US" w:eastAsia="zh-CN"/>
                    </w:rPr>
                    <w:t>0.273</w:t>
                  </w:r>
                </w:p>
              </w:tc>
              <w:tc>
                <w:tcPr>
                  <w:tcW w:w="960" w:type="dxa"/>
                  <w:vMerge w:val="restart"/>
                  <w:tcBorders>
                    <w:tl2br w:val="nil"/>
                    <w:tr2bl w:val="nil"/>
                  </w:tcBorders>
                  <w:shd w:val="clear" w:color="auto" w:fill="auto"/>
                  <w:vAlign w:val="center"/>
                </w:tcPr>
                <w:p w14:paraId="317B45F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DA001</w:t>
                  </w:r>
                </w:p>
              </w:tc>
              <w:tc>
                <w:tcPr>
                  <w:tcW w:w="687" w:type="dxa"/>
                  <w:tcBorders>
                    <w:tl2br w:val="nil"/>
                    <w:tr2bl w:val="nil"/>
                  </w:tcBorders>
                  <w:shd w:val="clear" w:color="auto" w:fill="auto"/>
                  <w:vAlign w:val="center"/>
                </w:tcPr>
                <w:p w14:paraId="75AD6EF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20</w:t>
                  </w:r>
                </w:p>
              </w:tc>
            </w:tr>
            <w:tr w14:paraId="165F1E3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91" w:hRule="atLeast"/>
                <w:jc w:val="center"/>
              </w:trPr>
              <w:tc>
                <w:tcPr>
                  <w:tcW w:w="1373" w:type="dxa"/>
                  <w:gridSpan w:val="2"/>
                  <w:vMerge w:val="continue"/>
                  <w:tcBorders>
                    <w:tl2br w:val="nil"/>
                    <w:tr2bl w:val="nil"/>
                  </w:tcBorders>
                  <w:shd w:val="clear" w:color="auto" w:fill="auto"/>
                  <w:vAlign w:val="center"/>
                </w:tcPr>
                <w:p w14:paraId="500DFEC5">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0B37588D">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tcBorders>
                    <w:tl2br w:val="nil"/>
                    <w:tr2bl w:val="nil"/>
                  </w:tcBorders>
                  <w:shd w:val="clear" w:color="auto" w:fill="auto"/>
                  <w:vAlign w:val="center"/>
                </w:tcPr>
                <w:p w14:paraId="0B8F1281">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铊及其化合物</w:t>
                  </w:r>
                </w:p>
              </w:tc>
              <w:tc>
                <w:tcPr>
                  <w:tcW w:w="960" w:type="dxa"/>
                  <w:tcBorders>
                    <w:tl2br w:val="nil"/>
                    <w:tr2bl w:val="nil"/>
                  </w:tcBorders>
                  <w:shd w:val="clear" w:color="auto" w:fill="auto"/>
                  <w:vAlign w:val="center"/>
                </w:tcPr>
                <w:p w14:paraId="7475CAE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0.0133</w:t>
                  </w:r>
                </w:p>
              </w:tc>
              <w:tc>
                <w:tcPr>
                  <w:tcW w:w="960" w:type="dxa"/>
                  <w:tcBorders>
                    <w:tl2br w:val="nil"/>
                    <w:tr2bl w:val="nil"/>
                  </w:tcBorders>
                  <w:shd w:val="clear" w:color="auto" w:fill="auto"/>
                  <w:vAlign w:val="center"/>
                </w:tcPr>
                <w:p w14:paraId="4F32A3A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0.0000665</w:t>
                  </w:r>
                </w:p>
              </w:tc>
              <w:tc>
                <w:tcPr>
                  <w:tcW w:w="960" w:type="dxa"/>
                  <w:tcBorders>
                    <w:tl2br w:val="nil"/>
                    <w:tr2bl w:val="nil"/>
                  </w:tcBorders>
                  <w:shd w:val="clear" w:color="auto" w:fill="auto"/>
                  <w:vAlign w:val="center"/>
                </w:tcPr>
                <w:p w14:paraId="5A6FF59A">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0.000319</w:t>
                  </w:r>
                </w:p>
              </w:tc>
              <w:tc>
                <w:tcPr>
                  <w:tcW w:w="858" w:type="dxa"/>
                  <w:vMerge w:val="continue"/>
                  <w:tcBorders>
                    <w:tl2br w:val="nil"/>
                    <w:tr2bl w:val="nil"/>
                  </w:tcBorders>
                  <w:shd w:val="clear" w:color="auto" w:fill="auto"/>
                  <w:vAlign w:val="center"/>
                </w:tcPr>
                <w:p w14:paraId="67119CE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789" w:type="dxa"/>
                  <w:vMerge w:val="continue"/>
                  <w:tcBorders>
                    <w:tl2br w:val="nil"/>
                    <w:tr2bl w:val="nil"/>
                  </w:tcBorders>
                  <w:shd w:val="clear" w:color="auto" w:fill="auto"/>
                  <w:vAlign w:val="center"/>
                </w:tcPr>
                <w:p w14:paraId="5A55354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687" w:type="dxa"/>
                  <w:vMerge w:val="continue"/>
                  <w:tcBorders>
                    <w:tl2br w:val="nil"/>
                    <w:tr2bl w:val="nil"/>
                  </w:tcBorders>
                  <w:shd w:val="clear" w:color="auto" w:fill="auto"/>
                  <w:vAlign w:val="center"/>
                </w:tcPr>
                <w:p w14:paraId="549740C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687" w:type="dxa"/>
                  <w:vMerge w:val="continue"/>
                  <w:tcBorders>
                    <w:tl2br w:val="nil"/>
                    <w:tr2bl w:val="nil"/>
                  </w:tcBorders>
                  <w:shd w:val="clear" w:color="auto" w:fill="auto"/>
                  <w:vAlign w:val="center"/>
                </w:tcPr>
                <w:p w14:paraId="2CA01296">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7F1A063D">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960" w:type="dxa"/>
                  <w:tcBorders>
                    <w:tl2br w:val="nil"/>
                    <w:tr2bl w:val="nil"/>
                  </w:tcBorders>
                  <w:shd w:val="clear" w:color="auto" w:fill="auto"/>
                  <w:vAlign w:val="center"/>
                </w:tcPr>
                <w:p w14:paraId="35917505">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default"/>
                      <w:caps w:val="0"/>
                      <w:color w:val="auto"/>
                      <w:spacing w:val="0"/>
                      <w:position w:val="0"/>
                      <w:highlight w:val="none"/>
                      <w:lang w:val="en-US" w:eastAsia="zh-CN"/>
                    </w:rPr>
                    <w:t>0.00013</w:t>
                  </w:r>
                  <w:r>
                    <w:rPr>
                      <w:rFonts w:hint="eastAsia"/>
                      <w:caps w:val="0"/>
                      <w:color w:val="auto"/>
                      <w:spacing w:val="0"/>
                      <w:position w:val="0"/>
                      <w:highlight w:val="none"/>
                      <w:lang w:val="en-US" w:eastAsia="zh-CN"/>
                    </w:rPr>
                    <w:t>3</w:t>
                  </w:r>
                </w:p>
              </w:tc>
              <w:tc>
                <w:tcPr>
                  <w:tcW w:w="740" w:type="dxa"/>
                  <w:tcBorders>
                    <w:tl2br w:val="nil"/>
                    <w:tr2bl w:val="nil"/>
                  </w:tcBorders>
                  <w:shd w:val="clear" w:color="auto" w:fill="auto"/>
                  <w:vAlign w:val="center"/>
                </w:tcPr>
                <w:p w14:paraId="7E26182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6.64583E-07</w:t>
                  </w:r>
                </w:p>
              </w:tc>
              <w:tc>
                <w:tcPr>
                  <w:tcW w:w="960" w:type="dxa"/>
                  <w:tcBorders>
                    <w:tl2br w:val="nil"/>
                    <w:tr2bl w:val="nil"/>
                  </w:tcBorders>
                  <w:shd w:val="clear" w:color="auto" w:fill="auto"/>
                  <w:vAlign w:val="center"/>
                </w:tcPr>
                <w:p w14:paraId="386FCB21">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default"/>
                      <w:caps w:val="0"/>
                      <w:color w:val="auto"/>
                      <w:spacing w:val="0"/>
                      <w:position w:val="0"/>
                      <w:highlight w:val="none"/>
                      <w:lang w:val="en-US" w:eastAsia="zh-CN"/>
                    </w:rPr>
                    <w:t>0.000003</w:t>
                  </w:r>
                  <w:r>
                    <w:rPr>
                      <w:rFonts w:hint="eastAsia"/>
                      <w:caps w:val="0"/>
                      <w:color w:val="auto"/>
                      <w:spacing w:val="0"/>
                      <w:position w:val="0"/>
                      <w:highlight w:val="none"/>
                      <w:lang w:val="en-US" w:eastAsia="zh-CN"/>
                    </w:rPr>
                    <w:t>2</w:t>
                  </w:r>
                </w:p>
              </w:tc>
              <w:tc>
                <w:tcPr>
                  <w:tcW w:w="960" w:type="dxa"/>
                  <w:vMerge w:val="continue"/>
                  <w:tcBorders>
                    <w:tl2br w:val="nil"/>
                    <w:tr2bl w:val="nil"/>
                  </w:tcBorders>
                  <w:shd w:val="clear" w:color="auto" w:fill="auto"/>
                  <w:vAlign w:val="center"/>
                </w:tcPr>
                <w:p w14:paraId="764D70E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687" w:type="dxa"/>
                  <w:tcBorders>
                    <w:tl2br w:val="nil"/>
                    <w:tr2bl w:val="nil"/>
                  </w:tcBorders>
                  <w:shd w:val="clear" w:color="auto" w:fill="auto"/>
                  <w:vAlign w:val="center"/>
                </w:tcPr>
                <w:p w14:paraId="3F2F831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0.05</w:t>
                  </w:r>
                </w:p>
              </w:tc>
            </w:tr>
            <w:tr w14:paraId="2D1A514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91" w:hRule="atLeast"/>
                <w:jc w:val="center"/>
              </w:trPr>
              <w:tc>
                <w:tcPr>
                  <w:tcW w:w="1373" w:type="dxa"/>
                  <w:gridSpan w:val="2"/>
                  <w:vMerge w:val="continue"/>
                  <w:tcBorders>
                    <w:tl2br w:val="nil"/>
                    <w:tr2bl w:val="nil"/>
                  </w:tcBorders>
                  <w:shd w:val="clear" w:color="auto" w:fill="auto"/>
                  <w:vAlign w:val="center"/>
                </w:tcPr>
                <w:p w14:paraId="426DCB69">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5E42F16E">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tcBorders>
                    <w:tl2br w:val="nil"/>
                    <w:tr2bl w:val="nil"/>
                  </w:tcBorders>
                  <w:shd w:val="clear" w:color="auto" w:fill="auto"/>
                  <w:vAlign w:val="center"/>
                </w:tcPr>
                <w:p w14:paraId="22C1DBC6">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铍及其化合物</w:t>
                  </w:r>
                </w:p>
              </w:tc>
              <w:tc>
                <w:tcPr>
                  <w:tcW w:w="960" w:type="dxa"/>
                  <w:tcBorders>
                    <w:tl2br w:val="nil"/>
                    <w:tr2bl w:val="nil"/>
                  </w:tcBorders>
                  <w:shd w:val="clear" w:color="auto" w:fill="auto"/>
                  <w:vAlign w:val="center"/>
                </w:tcPr>
                <w:p w14:paraId="7FB8839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0.0743</w:t>
                  </w:r>
                </w:p>
              </w:tc>
              <w:tc>
                <w:tcPr>
                  <w:tcW w:w="960" w:type="dxa"/>
                  <w:tcBorders>
                    <w:tl2br w:val="nil"/>
                    <w:tr2bl w:val="nil"/>
                  </w:tcBorders>
                  <w:shd w:val="clear" w:color="auto" w:fill="auto"/>
                  <w:vAlign w:val="center"/>
                </w:tcPr>
                <w:p w14:paraId="221A43E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0.00037</w:t>
                  </w:r>
                </w:p>
              </w:tc>
              <w:tc>
                <w:tcPr>
                  <w:tcW w:w="960" w:type="dxa"/>
                  <w:tcBorders>
                    <w:tl2br w:val="nil"/>
                    <w:tr2bl w:val="nil"/>
                  </w:tcBorders>
                  <w:shd w:val="clear" w:color="auto" w:fill="auto"/>
                  <w:vAlign w:val="center"/>
                </w:tcPr>
                <w:p w14:paraId="34F5A81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0.001783</w:t>
                  </w:r>
                </w:p>
              </w:tc>
              <w:tc>
                <w:tcPr>
                  <w:tcW w:w="858" w:type="dxa"/>
                  <w:vMerge w:val="continue"/>
                  <w:tcBorders>
                    <w:tl2br w:val="nil"/>
                    <w:tr2bl w:val="nil"/>
                  </w:tcBorders>
                  <w:shd w:val="clear" w:color="auto" w:fill="auto"/>
                  <w:vAlign w:val="center"/>
                </w:tcPr>
                <w:p w14:paraId="141A319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789" w:type="dxa"/>
                  <w:vMerge w:val="continue"/>
                  <w:tcBorders>
                    <w:tl2br w:val="nil"/>
                    <w:tr2bl w:val="nil"/>
                  </w:tcBorders>
                  <w:shd w:val="clear" w:color="auto" w:fill="auto"/>
                  <w:vAlign w:val="center"/>
                </w:tcPr>
                <w:p w14:paraId="533C087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687" w:type="dxa"/>
                  <w:vMerge w:val="continue"/>
                  <w:tcBorders>
                    <w:tl2br w:val="nil"/>
                    <w:tr2bl w:val="nil"/>
                  </w:tcBorders>
                  <w:shd w:val="clear" w:color="auto" w:fill="auto"/>
                  <w:vAlign w:val="center"/>
                </w:tcPr>
                <w:p w14:paraId="1206A7D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687" w:type="dxa"/>
                  <w:vMerge w:val="continue"/>
                  <w:tcBorders>
                    <w:tl2br w:val="nil"/>
                    <w:tr2bl w:val="nil"/>
                  </w:tcBorders>
                  <w:shd w:val="clear" w:color="auto" w:fill="auto"/>
                  <w:vAlign w:val="center"/>
                </w:tcPr>
                <w:p w14:paraId="02EEE17C">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2259B4FE">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960" w:type="dxa"/>
                  <w:tcBorders>
                    <w:tl2br w:val="nil"/>
                    <w:tr2bl w:val="nil"/>
                  </w:tcBorders>
                  <w:shd w:val="clear" w:color="auto" w:fill="auto"/>
                  <w:vAlign w:val="center"/>
                </w:tcPr>
                <w:p w14:paraId="1051FE0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0.00074</w:t>
                  </w:r>
                  <w:r>
                    <w:rPr>
                      <w:rFonts w:hint="eastAsia"/>
                      <w:caps w:val="0"/>
                      <w:color w:val="auto"/>
                      <w:spacing w:val="0"/>
                      <w:position w:val="0"/>
                      <w:highlight w:val="none"/>
                      <w:lang w:val="en-US" w:eastAsia="zh-CN"/>
                    </w:rPr>
                    <w:t>3</w:t>
                  </w:r>
                </w:p>
              </w:tc>
              <w:tc>
                <w:tcPr>
                  <w:tcW w:w="740" w:type="dxa"/>
                  <w:tcBorders>
                    <w:tl2br w:val="nil"/>
                    <w:tr2bl w:val="nil"/>
                  </w:tcBorders>
                  <w:shd w:val="clear" w:color="auto" w:fill="auto"/>
                  <w:vAlign w:val="center"/>
                </w:tcPr>
                <w:p w14:paraId="7ED85A1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3.71458E-06</w:t>
                  </w:r>
                </w:p>
              </w:tc>
              <w:tc>
                <w:tcPr>
                  <w:tcW w:w="960" w:type="dxa"/>
                  <w:tcBorders>
                    <w:tl2br w:val="nil"/>
                    <w:tr2bl w:val="nil"/>
                  </w:tcBorders>
                  <w:shd w:val="clear" w:color="auto" w:fill="auto"/>
                  <w:vAlign w:val="center"/>
                </w:tcPr>
                <w:p w14:paraId="626C3B1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0.00001</w:t>
                  </w:r>
                  <w:r>
                    <w:rPr>
                      <w:rFonts w:hint="eastAsia"/>
                      <w:caps w:val="0"/>
                      <w:color w:val="auto"/>
                      <w:spacing w:val="0"/>
                      <w:position w:val="0"/>
                      <w:highlight w:val="none"/>
                      <w:lang w:val="en-US" w:eastAsia="zh-CN"/>
                    </w:rPr>
                    <w:t>8</w:t>
                  </w:r>
                </w:p>
              </w:tc>
              <w:tc>
                <w:tcPr>
                  <w:tcW w:w="960" w:type="dxa"/>
                  <w:vMerge w:val="continue"/>
                  <w:tcBorders>
                    <w:tl2br w:val="nil"/>
                    <w:tr2bl w:val="nil"/>
                  </w:tcBorders>
                  <w:shd w:val="clear" w:color="auto" w:fill="auto"/>
                  <w:vAlign w:val="center"/>
                </w:tcPr>
                <w:p w14:paraId="5AB6B06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687" w:type="dxa"/>
                  <w:tcBorders>
                    <w:tl2br w:val="nil"/>
                    <w:tr2bl w:val="nil"/>
                  </w:tcBorders>
                  <w:shd w:val="clear" w:color="auto" w:fill="auto"/>
                  <w:vAlign w:val="center"/>
                </w:tcPr>
                <w:p w14:paraId="7A9EA5C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0.012</w:t>
                  </w:r>
                </w:p>
              </w:tc>
            </w:tr>
            <w:tr w14:paraId="2ABA342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3" w:hRule="atLeast"/>
                <w:jc w:val="center"/>
              </w:trPr>
              <w:tc>
                <w:tcPr>
                  <w:tcW w:w="1373" w:type="dxa"/>
                  <w:gridSpan w:val="2"/>
                  <w:vMerge w:val="continue"/>
                  <w:tcBorders>
                    <w:tl2br w:val="nil"/>
                    <w:tr2bl w:val="nil"/>
                  </w:tcBorders>
                  <w:shd w:val="clear" w:color="auto" w:fill="auto"/>
                  <w:vAlign w:val="center"/>
                </w:tcPr>
                <w:p w14:paraId="292398B8">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05F61F04">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tcBorders>
                    <w:tl2br w:val="nil"/>
                    <w:tr2bl w:val="nil"/>
                  </w:tcBorders>
                  <w:shd w:val="clear" w:color="auto" w:fill="auto"/>
                  <w:vAlign w:val="center"/>
                </w:tcPr>
                <w:p w14:paraId="008E9479">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氟化物</w:t>
                  </w:r>
                </w:p>
              </w:tc>
              <w:tc>
                <w:tcPr>
                  <w:tcW w:w="960" w:type="dxa"/>
                  <w:tcBorders>
                    <w:tl2br w:val="nil"/>
                    <w:tr2bl w:val="nil"/>
                  </w:tcBorders>
                  <w:shd w:val="clear" w:color="auto" w:fill="auto"/>
                  <w:vAlign w:val="center"/>
                </w:tcPr>
                <w:p w14:paraId="3F32518B">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20.445</w:t>
                  </w:r>
                </w:p>
              </w:tc>
              <w:tc>
                <w:tcPr>
                  <w:tcW w:w="960" w:type="dxa"/>
                  <w:tcBorders>
                    <w:tl2br w:val="nil"/>
                    <w:tr2bl w:val="nil"/>
                  </w:tcBorders>
                  <w:shd w:val="clear" w:color="auto" w:fill="auto"/>
                  <w:vAlign w:val="center"/>
                </w:tcPr>
                <w:p w14:paraId="5717915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0.1</w:t>
                  </w:r>
                </w:p>
              </w:tc>
              <w:tc>
                <w:tcPr>
                  <w:tcW w:w="960" w:type="dxa"/>
                  <w:tcBorders>
                    <w:tl2br w:val="nil"/>
                    <w:tr2bl w:val="nil"/>
                  </w:tcBorders>
                  <w:shd w:val="clear" w:color="auto" w:fill="auto"/>
                  <w:vAlign w:val="center"/>
                </w:tcPr>
                <w:p w14:paraId="02C43C5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0.4</w:t>
                  </w:r>
                </w:p>
              </w:tc>
              <w:tc>
                <w:tcPr>
                  <w:tcW w:w="858" w:type="dxa"/>
                  <w:vMerge w:val="continue"/>
                  <w:tcBorders>
                    <w:tl2br w:val="nil"/>
                    <w:tr2bl w:val="nil"/>
                  </w:tcBorders>
                  <w:shd w:val="clear" w:color="auto" w:fill="auto"/>
                  <w:vAlign w:val="center"/>
                </w:tcPr>
                <w:p w14:paraId="18F9761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789" w:type="dxa"/>
                  <w:vMerge w:val="continue"/>
                  <w:tcBorders>
                    <w:tl2br w:val="nil"/>
                    <w:tr2bl w:val="nil"/>
                  </w:tcBorders>
                  <w:shd w:val="clear" w:color="auto" w:fill="auto"/>
                  <w:vAlign w:val="center"/>
                </w:tcPr>
                <w:p w14:paraId="414C1F2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687" w:type="dxa"/>
                  <w:vMerge w:val="continue"/>
                  <w:tcBorders>
                    <w:tl2br w:val="nil"/>
                    <w:tr2bl w:val="nil"/>
                  </w:tcBorders>
                  <w:shd w:val="clear" w:color="auto" w:fill="auto"/>
                  <w:vAlign w:val="center"/>
                </w:tcPr>
                <w:p w14:paraId="75DD5EB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687" w:type="dxa"/>
                  <w:vMerge w:val="continue"/>
                  <w:tcBorders>
                    <w:tl2br w:val="nil"/>
                    <w:tr2bl w:val="nil"/>
                  </w:tcBorders>
                  <w:shd w:val="clear" w:color="auto" w:fill="auto"/>
                  <w:vAlign w:val="center"/>
                </w:tcPr>
                <w:p w14:paraId="02937A24">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20B4237C">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960" w:type="dxa"/>
                  <w:tcBorders>
                    <w:tl2br w:val="nil"/>
                    <w:tr2bl w:val="nil"/>
                  </w:tcBorders>
                  <w:shd w:val="clear" w:color="auto" w:fill="auto"/>
                  <w:vAlign w:val="center"/>
                </w:tcPr>
                <w:p w14:paraId="7A7406D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0.16</w:t>
                  </w:r>
                  <w:r>
                    <w:rPr>
                      <w:rFonts w:hint="eastAsia"/>
                      <w:caps w:val="0"/>
                      <w:color w:val="auto"/>
                      <w:spacing w:val="0"/>
                      <w:position w:val="0"/>
                      <w:highlight w:val="none"/>
                      <w:lang w:val="en-US" w:eastAsia="zh-CN"/>
                    </w:rPr>
                    <w:t>7</w:t>
                  </w:r>
                </w:p>
              </w:tc>
              <w:tc>
                <w:tcPr>
                  <w:tcW w:w="740" w:type="dxa"/>
                  <w:tcBorders>
                    <w:tl2br w:val="nil"/>
                    <w:tr2bl w:val="nil"/>
                  </w:tcBorders>
                  <w:shd w:val="clear" w:color="auto" w:fill="auto"/>
                  <w:vAlign w:val="center"/>
                </w:tcPr>
                <w:p w14:paraId="79B2D43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0.00083</w:t>
                  </w:r>
                </w:p>
              </w:tc>
              <w:tc>
                <w:tcPr>
                  <w:tcW w:w="960" w:type="dxa"/>
                  <w:tcBorders>
                    <w:tl2br w:val="nil"/>
                    <w:tr2bl w:val="nil"/>
                  </w:tcBorders>
                  <w:shd w:val="clear" w:color="auto" w:fill="auto"/>
                  <w:vAlign w:val="center"/>
                </w:tcPr>
                <w:p w14:paraId="0308521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0.004</w:t>
                  </w:r>
                </w:p>
              </w:tc>
              <w:tc>
                <w:tcPr>
                  <w:tcW w:w="960" w:type="dxa"/>
                  <w:vMerge w:val="continue"/>
                  <w:tcBorders>
                    <w:tl2br w:val="nil"/>
                    <w:tr2bl w:val="nil"/>
                  </w:tcBorders>
                  <w:shd w:val="clear" w:color="auto" w:fill="auto"/>
                  <w:vAlign w:val="center"/>
                </w:tcPr>
                <w:p w14:paraId="1D7DB52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687" w:type="dxa"/>
                  <w:tcBorders>
                    <w:tl2br w:val="nil"/>
                    <w:tr2bl w:val="nil"/>
                  </w:tcBorders>
                  <w:shd w:val="clear" w:color="auto" w:fill="auto"/>
                  <w:vAlign w:val="center"/>
                </w:tcPr>
                <w:p w14:paraId="48E0446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6</w:t>
                  </w:r>
                </w:p>
              </w:tc>
            </w:tr>
            <w:tr w14:paraId="209D861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8" w:hRule="atLeast"/>
                <w:jc w:val="center"/>
              </w:trPr>
              <w:tc>
                <w:tcPr>
                  <w:tcW w:w="1373" w:type="dxa"/>
                  <w:gridSpan w:val="2"/>
                  <w:vMerge w:val="continue"/>
                  <w:tcBorders>
                    <w:tl2br w:val="nil"/>
                    <w:tr2bl w:val="nil"/>
                  </w:tcBorders>
                  <w:shd w:val="clear" w:color="auto" w:fill="auto"/>
                  <w:vAlign w:val="center"/>
                </w:tcPr>
                <w:p w14:paraId="1F0DBD7D">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restart"/>
                  <w:tcBorders>
                    <w:tl2br w:val="nil"/>
                    <w:tr2bl w:val="nil"/>
                  </w:tcBorders>
                  <w:shd w:val="clear" w:color="auto" w:fill="auto"/>
                  <w:vAlign w:val="center"/>
                </w:tcPr>
                <w:p w14:paraId="396079BD">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无组织</w:t>
                  </w:r>
                </w:p>
              </w:tc>
              <w:tc>
                <w:tcPr>
                  <w:tcW w:w="687" w:type="dxa"/>
                  <w:tcBorders>
                    <w:tl2br w:val="nil"/>
                    <w:tr2bl w:val="nil"/>
                  </w:tcBorders>
                  <w:shd w:val="clear" w:color="auto" w:fill="auto"/>
                  <w:vAlign w:val="center"/>
                </w:tcPr>
                <w:p w14:paraId="5F68A75C">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颗粒物</w:t>
                  </w:r>
                </w:p>
              </w:tc>
              <w:tc>
                <w:tcPr>
                  <w:tcW w:w="960" w:type="dxa"/>
                  <w:tcBorders>
                    <w:tl2br w:val="nil"/>
                    <w:tr2bl w:val="nil"/>
                  </w:tcBorders>
                  <w:shd w:val="clear" w:color="auto" w:fill="auto"/>
                  <w:vAlign w:val="center"/>
                </w:tcPr>
                <w:p w14:paraId="21480C8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960" w:type="dxa"/>
                  <w:tcBorders>
                    <w:tl2br w:val="nil"/>
                    <w:tr2bl w:val="nil"/>
                  </w:tcBorders>
                  <w:shd w:val="clear" w:color="auto" w:fill="auto"/>
                  <w:vAlign w:val="center"/>
                </w:tcPr>
                <w:p w14:paraId="29ACB743">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0.09</w:t>
                  </w:r>
                </w:p>
              </w:tc>
              <w:tc>
                <w:tcPr>
                  <w:tcW w:w="960" w:type="dxa"/>
                  <w:tcBorders>
                    <w:tl2br w:val="nil"/>
                    <w:tr2bl w:val="nil"/>
                  </w:tcBorders>
                  <w:shd w:val="clear" w:color="auto" w:fill="auto"/>
                  <w:vAlign w:val="center"/>
                </w:tcPr>
                <w:p w14:paraId="0CA5E24D">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0.43</w:t>
                  </w:r>
                </w:p>
              </w:tc>
              <w:tc>
                <w:tcPr>
                  <w:tcW w:w="858" w:type="dxa"/>
                  <w:tcBorders>
                    <w:tl2br w:val="nil"/>
                    <w:tr2bl w:val="nil"/>
                  </w:tcBorders>
                  <w:shd w:val="clear" w:color="auto" w:fill="auto"/>
                  <w:vAlign w:val="center"/>
                </w:tcPr>
                <w:p w14:paraId="1583C35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789" w:type="dxa"/>
                  <w:tcBorders>
                    <w:tl2br w:val="nil"/>
                    <w:tr2bl w:val="nil"/>
                  </w:tcBorders>
                  <w:shd w:val="clear" w:color="auto" w:fill="auto"/>
                  <w:vAlign w:val="center"/>
                </w:tcPr>
                <w:p w14:paraId="25B26B2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687" w:type="dxa"/>
                  <w:vMerge w:val="restart"/>
                  <w:tcBorders>
                    <w:tl2br w:val="nil"/>
                    <w:tr2bl w:val="nil"/>
                  </w:tcBorders>
                  <w:shd w:val="clear" w:color="auto" w:fill="auto"/>
                  <w:vAlign w:val="center"/>
                </w:tcPr>
                <w:p w14:paraId="7F5F0B8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89.6</w:t>
                  </w:r>
                </w:p>
              </w:tc>
              <w:tc>
                <w:tcPr>
                  <w:tcW w:w="687" w:type="dxa"/>
                  <w:vMerge w:val="restart"/>
                  <w:tcBorders>
                    <w:tl2br w:val="nil"/>
                    <w:tr2bl w:val="nil"/>
                  </w:tcBorders>
                  <w:shd w:val="clear" w:color="auto" w:fill="auto"/>
                  <w:vAlign w:val="center"/>
                </w:tcPr>
                <w:p w14:paraId="219FDAA3">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是</w:t>
                  </w:r>
                </w:p>
              </w:tc>
              <w:tc>
                <w:tcPr>
                  <w:tcW w:w="687" w:type="dxa"/>
                  <w:vMerge w:val="restart"/>
                  <w:tcBorders>
                    <w:tl2br w:val="nil"/>
                    <w:tr2bl w:val="nil"/>
                  </w:tcBorders>
                  <w:shd w:val="clear" w:color="auto" w:fill="auto"/>
                  <w:vAlign w:val="center"/>
                </w:tcPr>
                <w:p w14:paraId="2DF2E091">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沉降</w:t>
                  </w:r>
                  <w:r>
                    <w:rPr>
                      <w:rFonts w:hint="default"/>
                      <w:caps w:val="0"/>
                      <w:color w:val="auto"/>
                      <w:spacing w:val="0"/>
                      <w:position w:val="0"/>
                      <w:highlight w:val="none"/>
                      <w:lang w:val="en-US" w:eastAsia="zh-CN"/>
                    </w:rPr>
                    <w:t>+</w:t>
                  </w:r>
                  <w:r>
                    <w:rPr>
                      <w:rFonts w:hint="eastAsia"/>
                      <w:caps w:val="0"/>
                      <w:color w:val="auto"/>
                      <w:spacing w:val="0"/>
                      <w:position w:val="0"/>
                      <w:highlight w:val="none"/>
                      <w:lang w:val="en-US" w:eastAsia="zh-CN"/>
                    </w:rPr>
                    <w:t>洒水</w:t>
                  </w:r>
                </w:p>
              </w:tc>
              <w:tc>
                <w:tcPr>
                  <w:tcW w:w="960" w:type="dxa"/>
                  <w:tcBorders>
                    <w:tl2br w:val="nil"/>
                    <w:tr2bl w:val="nil"/>
                  </w:tcBorders>
                  <w:shd w:val="clear" w:color="auto" w:fill="auto"/>
                  <w:vAlign w:val="center"/>
                </w:tcPr>
                <w:p w14:paraId="08A5C0E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740" w:type="dxa"/>
                  <w:tcBorders>
                    <w:tl2br w:val="nil"/>
                    <w:tr2bl w:val="nil"/>
                  </w:tcBorders>
                  <w:shd w:val="clear" w:color="auto" w:fill="auto"/>
                  <w:vAlign w:val="center"/>
                </w:tcPr>
                <w:p w14:paraId="15BD71C8">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0.009</w:t>
                  </w:r>
                </w:p>
              </w:tc>
              <w:tc>
                <w:tcPr>
                  <w:tcW w:w="960" w:type="dxa"/>
                  <w:tcBorders>
                    <w:tl2br w:val="nil"/>
                    <w:tr2bl w:val="nil"/>
                  </w:tcBorders>
                  <w:shd w:val="clear" w:color="auto" w:fill="auto"/>
                  <w:vAlign w:val="center"/>
                </w:tcPr>
                <w:p w14:paraId="05FE4A6E">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0.045</w:t>
                  </w:r>
                </w:p>
              </w:tc>
              <w:tc>
                <w:tcPr>
                  <w:tcW w:w="960" w:type="dxa"/>
                  <w:tcBorders>
                    <w:tl2br w:val="nil"/>
                    <w:tr2bl w:val="nil"/>
                  </w:tcBorders>
                  <w:shd w:val="clear" w:color="auto" w:fill="auto"/>
                  <w:vAlign w:val="center"/>
                </w:tcPr>
                <w:p w14:paraId="2C85362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687" w:type="dxa"/>
                  <w:tcBorders>
                    <w:tl2br w:val="nil"/>
                    <w:tr2bl w:val="nil"/>
                  </w:tcBorders>
                  <w:shd w:val="clear" w:color="auto" w:fill="auto"/>
                  <w:vAlign w:val="center"/>
                </w:tcPr>
                <w:p w14:paraId="7FAED1E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0.5</w:t>
                  </w:r>
                </w:p>
              </w:tc>
            </w:tr>
            <w:tr w14:paraId="1413A91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91" w:hRule="atLeast"/>
                <w:jc w:val="center"/>
              </w:trPr>
              <w:tc>
                <w:tcPr>
                  <w:tcW w:w="1373" w:type="dxa"/>
                  <w:gridSpan w:val="2"/>
                  <w:vMerge w:val="continue"/>
                  <w:tcBorders>
                    <w:tl2br w:val="nil"/>
                    <w:tr2bl w:val="nil"/>
                  </w:tcBorders>
                  <w:shd w:val="clear" w:color="auto" w:fill="auto"/>
                  <w:vAlign w:val="center"/>
                </w:tcPr>
                <w:p w14:paraId="01D89F09">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72EEF07E">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tcBorders>
                    <w:tl2br w:val="nil"/>
                    <w:tr2bl w:val="nil"/>
                  </w:tcBorders>
                  <w:shd w:val="clear" w:color="auto" w:fill="auto"/>
                  <w:vAlign w:val="center"/>
                </w:tcPr>
                <w:p w14:paraId="4E4D7892">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铊及其化合物</w:t>
                  </w:r>
                </w:p>
              </w:tc>
              <w:tc>
                <w:tcPr>
                  <w:tcW w:w="960" w:type="dxa"/>
                  <w:tcBorders>
                    <w:tl2br w:val="nil"/>
                    <w:tr2bl w:val="nil"/>
                  </w:tcBorders>
                  <w:shd w:val="clear" w:color="auto" w:fill="auto"/>
                  <w:vAlign w:val="center"/>
                </w:tcPr>
                <w:p w14:paraId="61FAAD2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960" w:type="dxa"/>
                  <w:tcBorders>
                    <w:tl2br w:val="nil"/>
                    <w:tr2bl w:val="nil"/>
                  </w:tcBorders>
                  <w:shd w:val="clear" w:color="auto" w:fill="auto"/>
                  <w:vAlign w:val="center"/>
                </w:tcPr>
                <w:p w14:paraId="1EEECBD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0.000001</w:t>
                  </w:r>
                </w:p>
              </w:tc>
              <w:tc>
                <w:tcPr>
                  <w:tcW w:w="960" w:type="dxa"/>
                  <w:tcBorders>
                    <w:tl2br w:val="nil"/>
                    <w:tr2bl w:val="nil"/>
                  </w:tcBorders>
                  <w:shd w:val="clear" w:color="auto" w:fill="auto"/>
                  <w:vAlign w:val="center"/>
                </w:tcPr>
                <w:p w14:paraId="1EB5C6C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0.000005</w:t>
                  </w:r>
                </w:p>
              </w:tc>
              <w:tc>
                <w:tcPr>
                  <w:tcW w:w="858" w:type="dxa"/>
                  <w:tcBorders>
                    <w:tl2br w:val="nil"/>
                    <w:tr2bl w:val="nil"/>
                  </w:tcBorders>
                  <w:shd w:val="clear" w:color="auto" w:fill="auto"/>
                  <w:vAlign w:val="center"/>
                </w:tcPr>
                <w:p w14:paraId="1C6F465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789" w:type="dxa"/>
                  <w:tcBorders>
                    <w:tl2br w:val="nil"/>
                    <w:tr2bl w:val="nil"/>
                  </w:tcBorders>
                  <w:shd w:val="clear" w:color="auto" w:fill="auto"/>
                  <w:vAlign w:val="center"/>
                </w:tcPr>
                <w:p w14:paraId="22C85AB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687" w:type="dxa"/>
                  <w:vMerge w:val="continue"/>
                  <w:tcBorders>
                    <w:tl2br w:val="nil"/>
                    <w:tr2bl w:val="nil"/>
                  </w:tcBorders>
                  <w:shd w:val="clear" w:color="auto" w:fill="auto"/>
                  <w:vAlign w:val="center"/>
                </w:tcPr>
                <w:p w14:paraId="5310C1A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687" w:type="dxa"/>
                  <w:vMerge w:val="continue"/>
                  <w:tcBorders>
                    <w:tl2br w:val="nil"/>
                    <w:tr2bl w:val="nil"/>
                  </w:tcBorders>
                  <w:shd w:val="clear" w:color="auto" w:fill="auto"/>
                  <w:vAlign w:val="center"/>
                </w:tcPr>
                <w:p w14:paraId="78EE3AE7">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5E383535">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960" w:type="dxa"/>
                  <w:tcBorders>
                    <w:tl2br w:val="nil"/>
                    <w:tr2bl w:val="nil"/>
                  </w:tcBorders>
                  <w:shd w:val="clear" w:color="auto" w:fill="auto"/>
                  <w:vAlign w:val="center"/>
                </w:tcPr>
                <w:p w14:paraId="5738C46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740" w:type="dxa"/>
                  <w:tcBorders>
                    <w:tl2br w:val="nil"/>
                    <w:tr2bl w:val="nil"/>
                  </w:tcBorders>
                  <w:shd w:val="clear" w:color="auto" w:fill="auto"/>
                  <w:vAlign w:val="center"/>
                </w:tcPr>
                <w:p w14:paraId="70B18C2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0.00000011</w:t>
                  </w:r>
                </w:p>
              </w:tc>
              <w:tc>
                <w:tcPr>
                  <w:tcW w:w="960" w:type="dxa"/>
                  <w:tcBorders>
                    <w:tl2br w:val="nil"/>
                    <w:tr2bl w:val="nil"/>
                  </w:tcBorders>
                  <w:shd w:val="clear" w:color="auto" w:fill="auto"/>
                  <w:vAlign w:val="center"/>
                </w:tcPr>
                <w:p w14:paraId="3CF5C9B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0.00000053</w:t>
                  </w:r>
                </w:p>
              </w:tc>
              <w:tc>
                <w:tcPr>
                  <w:tcW w:w="960" w:type="dxa"/>
                  <w:tcBorders>
                    <w:tl2br w:val="nil"/>
                    <w:tr2bl w:val="nil"/>
                  </w:tcBorders>
                  <w:shd w:val="clear" w:color="auto" w:fill="auto"/>
                  <w:vAlign w:val="center"/>
                </w:tcPr>
                <w:p w14:paraId="0C63EC4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687" w:type="dxa"/>
                  <w:tcBorders>
                    <w:tl2br w:val="nil"/>
                    <w:tr2bl w:val="nil"/>
                  </w:tcBorders>
                  <w:shd w:val="clear" w:color="auto" w:fill="auto"/>
                  <w:vAlign w:val="center"/>
                </w:tcPr>
                <w:p w14:paraId="5B9AEA7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0.001</w:t>
                  </w:r>
                </w:p>
              </w:tc>
            </w:tr>
            <w:tr w14:paraId="2FB8B1B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91" w:hRule="atLeast"/>
                <w:jc w:val="center"/>
              </w:trPr>
              <w:tc>
                <w:tcPr>
                  <w:tcW w:w="1373" w:type="dxa"/>
                  <w:gridSpan w:val="2"/>
                  <w:vMerge w:val="continue"/>
                  <w:tcBorders>
                    <w:tl2br w:val="nil"/>
                    <w:tr2bl w:val="nil"/>
                  </w:tcBorders>
                  <w:shd w:val="clear" w:color="auto" w:fill="auto"/>
                  <w:vAlign w:val="center"/>
                </w:tcPr>
                <w:p w14:paraId="4010713F">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149FC88A">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tcBorders>
                    <w:tl2br w:val="nil"/>
                    <w:tr2bl w:val="nil"/>
                  </w:tcBorders>
                  <w:shd w:val="clear" w:color="auto" w:fill="auto"/>
                  <w:vAlign w:val="center"/>
                </w:tcPr>
                <w:p w14:paraId="781C1911">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铍及其化合物</w:t>
                  </w:r>
                </w:p>
              </w:tc>
              <w:tc>
                <w:tcPr>
                  <w:tcW w:w="960" w:type="dxa"/>
                  <w:tcBorders>
                    <w:tl2br w:val="nil"/>
                    <w:tr2bl w:val="nil"/>
                  </w:tcBorders>
                  <w:shd w:val="clear" w:color="auto" w:fill="auto"/>
                  <w:vAlign w:val="center"/>
                </w:tcPr>
                <w:p w14:paraId="7DAD7DE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960" w:type="dxa"/>
                  <w:tcBorders>
                    <w:tl2br w:val="nil"/>
                    <w:tr2bl w:val="nil"/>
                  </w:tcBorders>
                  <w:shd w:val="clear" w:color="auto" w:fill="auto"/>
                  <w:vAlign w:val="center"/>
                </w:tcPr>
                <w:p w14:paraId="133E001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0.00000586</w:t>
                  </w:r>
                </w:p>
              </w:tc>
              <w:tc>
                <w:tcPr>
                  <w:tcW w:w="960" w:type="dxa"/>
                  <w:tcBorders>
                    <w:tl2br w:val="nil"/>
                    <w:tr2bl w:val="nil"/>
                  </w:tcBorders>
                  <w:shd w:val="clear" w:color="auto" w:fill="auto"/>
                  <w:vAlign w:val="center"/>
                </w:tcPr>
                <w:p w14:paraId="67F3553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0.000028</w:t>
                  </w:r>
                </w:p>
              </w:tc>
              <w:tc>
                <w:tcPr>
                  <w:tcW w:w="858" w:type="dxa"/>
                  <w:tcBorders>
                    <w:tl2br w:val="nil"/>
                    <w:tr2bl w:val="nil"/>
                  </w:tcBorders>
                  <w:shd w:val="clear" w:color="auto" w:fill="auto"/>
                  <w:vAlign w:val="center"/>
                </w:tcPr>
                <w:p w14:paraId="2C86740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789" w:type="dxa"/>
                  <w:tcBorders>
                    <w:tl2br w:val="nil"/>
                    <w:tr2bl w:val="nil"/>
                  </w:tcBorders>
                  <w:shd w:val="clear" w:color="auto" w:fill="auto"/>
                  <w:vAlign w:val="center"/>
                </w:tcPr>
                <w:p w14:paraId="1A0C669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687" w:type="dxa"/>
                  <w:vMerge w:val="continue"/>
                  <w:tcBorders>
                    <w:tl2br w:val="nil"/>
                    <w:tr2bl w:val="nil"/>
                  </w:tcBorders>
                  <w:shd w:val="clear" w:color="auto" w:fill="auto"/>
                  <w:vAlign w:val="center"/>
                </w:tcPr>
                <w:p w14:paraId="073F153F">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687" w:type="dxa"/>
                  <w:vMerge w:val="continue"/>
                  <w:tcBorders>
                    <w:tl2br w:val="nil"/>
                    <w:tr2bl w:val="nil"/>
                  </w:tcBorders>
                  <w:shd w:val="clear" w:color="auto" w:fill="auto"/>
                  <w:vAlign w:val="center"/>
                </w:tcPr>
                <w:p w14:paraId="747BE00E">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2621ECA7">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960" w:type="dxa"/>
                  <w:tcBorders>
                    <w:tl2br w:val="nil"/>
                    <w:tr2bl w:val="nil"/>
                  </w:tcBorders>
                  <w:shd w:val="clear" w:color="auto" w:fill="auto"/>
                  <w:vAlign w:val="center"/>
                </w:tcPr>
                <w:p w14:paraId="260BC0F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740" w:type="dxa"/>
                  <w:tcBorders>
                    <w:tl2br w:val="nil"/>
                    <w:tr2bl w:val="nil"/>
                  </w:tcBorders>
                  <w:shd w:val="clear" w:color="auto" w:fill="auto"/>
                  <w:vAlign w:val="center"/>
                </w:tcPr>
                <w:p w14:paraId="01F65E8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0.00000061</w:t>
                  </w:r>
                </w:p>
              </w:tc>
              <w:tc>
                <w:tcPr>
                  <w:tcW w:w="960" w:type="dxa"/>
                  <w:tcBorders>
                    <w:tl2br w:val="nil"/>
                    <w:tr2bl w:val="nil"/>
                  </w:tcBorders>
                  <w:shd w:val="clear" w:color="auto" w:fill="auto"/>
                  <w:vAlign w:val="center"/>
                </w:tcPr>
                <w:p w14:paraId="7035BE6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0.000003</w:t>
                  </w:r>
                </w:p>
              </w:tc>
              <w:tc>
                <w:tcPr>
                  <w:tcW w:w="960" w:type="dxa"/>
                  <w:tcBorders>
                    <w:tl2br w:val="nil"/>
                    <w:tr2bl w:val="nil"/>
                  </w:tcBorders>
                  <w:shd w:val="clear" w:color="auto" w:fill="auto"/>
                  <w:vAlign w:val="center"/>
                </w:tcPr>
                <w:p w14:paraId="54CAE2E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687" w:type="dxa"/>
                  <w:tcBorders>
                    <w:tl2br w:val="nil"/>
                    <w:tr2bl w:val="nil"/>
                  </w:tcBorders>
                  <w:shd w:val="clear" w:color="auto" w:fill="auto"/>
                  <w:vAlign w:val="center"/>
                </w:tcPr>
                <w:p w14:paraId="15018F0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0.0008</w:t>
                  </w:r>
                </w:p>
              </w:tc>
            </w:tr>
            <w:tr w14:paraId="3AD3ACD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3" w:hRule="atLeast"/>
                <w:jc w:val="center"/>
              </w:trPr>
              <w:tc>
                <w:tcPr>
                  <w:tcW w:w="1373" w:type="dxa"/>
                  <w:gridSpan w:val="2"/>
                  <w:vMerge w:val="continue"/>
                  <w:tcBorders>
                    <w:tl2br w:val="nil"/>
                    <w:tr2bl w:val="nil"/>
                  </w:tcBorders>
                  <w:shd w:val="clear" w:color="auto" w:fill="auto"/>
                  <w:vAlign w:val="center"/>
                </w:tcPr>
                <w:p w14:paraId="5CA2A956">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1128AD36">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tcBorders>
                    <w:tl2br w:val="nil"/>
                    <w:tr2bl w:val="nil"/>
                  </w:tcBorders>
                  <w:shd w:val="clear" w:color="auto" w:fill="auto"/>
                  <w:vAlign w:val="center"/>
                </w:tcPr>
                <w:p w14:paraId="41B738BA">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氟化物</w:t>
                  </w:r>
                </w:p>
              </w:tc>
              <w:tc>
                <w:tcPr>
                  <w:tcW w:w="960" w:type="dxa"/>
                  <w:tcBorders>
                    <w:tl2br w:val="nil"/>
                    <w:tr2bl w:val="nil"/>
                  </w:tcBorders>
                  <w:shd w:val="clear" w:color="auto" w:fill="auto"/>
                  <w:vAlign w:val="center"/>
                </w:tcPr>
                <w:p w14:paraId="2060A35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960" w:type="dxa"/>
                  <w:tcBorders>
                    <w:tl2br w:val="nil"/>
                    <w:tr2bl w:val="nil"/>
                  </w:tcBorders>
                  <w:shd w:val="clear" w:color="auto" w:fill="auto"/>
                  <w:vAlign w:val="center"/>
                </w:tcPr>
                <w:p w14:paraId="7C312A3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0.0016125</w:t>
                  </w:r>
                </w:p>
              </w:tc>
              <w:tc>
                <w:tcPr>
                  <w:tcW w:w="960" w:type="dxa"/>
                  <w:tcBorders>
                    <w:tl2br w:val="nil"/>
                    <w:tr2bl w:val="nil"/>
                  </w:tcBorders>
                  <w:shd w:val="clear" w:color="auto" w:fill="auto"/>
                  <w:vAlign w:val="center"/>
                </w:tcPr>
                <w:p w14:paraId="49BA4C4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0.00774</w:t>
                  </w:r>
                </w:p>
              </w:tc>
              <w:tc>
                <w:tcPr>
                  <w:tcW w:w="858" w:type="dxa"/>
                  <w:tcBorders>
                    <w:tl2br w:val="nil"/>
                    <w:tr2bl w:val="nil"/>
                  </w:tcBorders>
                  <w:shd w:val="clear" w:color="auto" w:fill="auto"/>
                  <w:vAlign w:val="center"/>
                </w:tcPr>
                <w:p w14:paraId="19A9E90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789" w:type="dxa"/>
                  <w:tcBorders>
                    <w:tl2br w:val="nil"/>
                    <w:tr2bl w:val="nil"/>
                  </w:tcBorders>
                  <w:shd w:val="clear" w:color="auto" w:fill="auto"/>
                  <w:vAlign w:val="center"/>
                </w:tcPr>
                <w:p w14:paraId="781B9E9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687" w:type="dxa"/>
                  <w:vMerge w:val="continue"/>
                  <w:tcBorders>
                    <w:tl2br w:val="nil"/>
                    <w:tr2bl w:val="nil"/>
                  </w:tcBorders>
                  <w:shd w:val="clear" w:color="auto" w:fill="auto"/>
                  <w:vAlign w:val="center"/>
                </w:tcPr>
                <w:p w14:paraId="20EEFA9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687" w:type="dxa"/>
                  <w:vMerge w:val="continue"/>
                  <w:tcBorders>
                    <w:tl2br w:val="nil"/>
                    <w:tr2bl w:val="nil"/>
                  </w:tcBorders>
                  <w:shd w:val="clear" w:color="auto" w:fill="auto"/>
                  <w:vAlign w:val="center"/>
                </w:tcPr>
                <w:p w14:paraId="737561AD">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5ED2D884">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960" w:type="dxa"/>
                  <w:tcBorders>
                    <w:tl2br w:val="nil"/>
                    <w:tr2bl w:val="nil"/>
                  </w:tcBorders>
                  <w:shd w:val="clear" w:color="auto" w:fill="auto"/>
                  <w:vAlign w:val="center"/>
                </w:tcPr>
                <w:p w14:paraId="21FCA30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740" w:type="dxa"/>
                  <w:tcBorders>
                    <w:tl2br w:val="nil"/>
                    <w:tr2bl w:val="nil"/>
                  </w:tcBorders>
                  <w:shd w:val="clear" w:color="auto" w:fill="auto"/>
                  <w:vAlign w:val="center"/>
                </w:tcPr>
                <w:p w14:paraId="0241B88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0.00017</w:t>
                  </w:r>
                </w:p>
              </w:tc>
              <w:tc>
                <w:tcPr>
                  <w:tcW w:w="960" w:type="dxa"/>
                  <w:tcBorders>
                    <w:tl2br w:val="nil"/>
                    <w:tr2bl w:val="nil"/>
                  </w:tcBorders>
                  <w:shd w:val="clear" w:color="auto" w:fill="auto"/>
                  <w:vAlign w:val="center"/>
                </w:tcPr>
                <w:p w14:paraId="6CA347B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0.00081</w:t>
                  </w:r>
                </w:p>
              </w:tc>
              <w:tc>
                <w:tcPr>
                  <w:tcW w:w="960" w:type="dxa"/>
                  <w:tcBorders>
                    <w:tl2br w:val="nil"/>
                    <w:tr2bl w:val="nil"/>
                  </w:tcBorders>
                  <w:shd w:val="clear" w:color="auto" w:fill="auto"/>
                  <w:vAlign w:val="center"/>
                </w:tcPr>
                <w:p w14:paraId="52179C7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687" w:type="dxa"/>
                  <w:tcBorders>
                    <w:tl2br w:val="nil"/>
                    <w:tr2bl w:val="nil"/>
                  </w:tcBorders>
                  <w:shd w:val="clear" w:color="auto" w:fill="auto"/>
                  <w:vAlign w:val="center"/>
                </w:tcPr>
                <w:p w14:paraId="263E229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0.02</w:t>
                  </w:r>
                </w:p>
              </w:tc>
            </w:tr>
            <w:tr w14:paraId="6D28612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3" w:hRule="atLeast"/>
                <w:jc w:val="center"/>
              </w:trPr>
              <w:tc>
                <w:tcPr>
                  <w:tcW w:w="1373" w:type="dxa"/>
                  <w:gridSpan w:val="2"/>
                  <w:tcBorders>
                    <w:tl2br w:val="nil"/>
                    <w:tr2bl w:val="nil"/>
                  </w:tcBorders>
                  <w:shd w:val="clear" w:color="auto" w:fill="auto"/>
                  <w:vAlign w:val="center"/>
                </w:tcPr>
                <w:p w14:paraId="36461B7C">
                  <w:pPr>
                    <w:pStyle w:val="111"/>
                    <w:keepNext w:val="0"/>
                    <w:keepLines w:val="0"/>
                    <w:suppressLineNumbers w:val="0"/>
                    <w:bidi w:val="0"/>
                    <w:spacing w:before="0" w:beforeAutospacing="0" w:after="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筒仓呼吸粉尘</w:t>
                  </w:r>
                </w:p>
              </w:tc>
              <w:tc>
                <w:tcPr>
                  <w:tcW w:w="687" w:type="dxa"/>
                  <w:tcBorders>
                    <w:tl2br w:val="nil"/>
                    <w:tr2bl w:val="nil"/>
                  </w:tcBorders>
                  <w:shd w:val="clear" w:color="auto" w:fill="auto"/>
                  <w:vAlign w:val="center"/>
                </w:tcPr>
                <w:p w14:paraId="14B17A9E">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ascii="Times New Roman" w:eastAsia="宋体"/>
                      <w:caps w:val="0"/>
                      <w:color w:val="auto"/>
                      <w:spacing w:val="0"/>
                      <w:position w:val="0"/>
                      <w:highlight w:val="none"/>
                      <w:lang w:val="en-US" w:eastAsia="zh-CN"/>
                    </w:rPr>
                    <w:t>无组织</w:t>
                  </w:r>
                </w:p>
              </w:tc>
              <w:tc>
                <w:tcPr>
                  <w:tcW w:w="687" w:type="dxa"/>
                  <w:tcBorders>
                    <w:tl2br w:val="nil"/>
                    <w:tr2bl w:val="nil"/>
                  </w:tcBorders>
                  <w:shd w:val="clear" w:color="auto" w:fill="auto"/>
                  <w:vAlign w:val="center"/>
                </w:tcPr>
                <w:p w14:paraId="5287D668">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ascii="Times New Roman" w:eastAsia="宋体"/>
                      <w:caps w:val="0"/>
                      <w:color w:val="auto"/>
                      <w:spacing w:val="0"/>
                      <w:position w:val="0"/>
                      <w:highlight w:val="none"/>
                      <w:lang w:val="en-US" w:eastAsia="zh-CN"/>
                    </w:rPr>
                    <w:t>颗粒物</w:t>
                  </w:r>
                </w:p>
              </w:tc>
              <w:tc>
                <w:tcPr>
                  <w:tcW w:w="960" w:type="dxa"/>
                  <w:tcBorders>
                    <w:tl2br w:val="nil"/>
                    <w:tr2bl w:val="nil"/>
                  </w:tcBorders>
                  <w:shd w:val="clear" w:color="auto" w:fill="auto"/>
                  <w:vAlign w:val="center"/>
                </w:tcPr>
                <w:p w14:paraId="74B0417F">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w:t>
                  </w:r>
                </w:p>
              </w:tc>
              <w:tc>
                <w:tcPr>
                  <w:tcW w:w="960" w:type="dxa"/>
                  <w:tcBorders>
                    <w:tl2br w:val="nil"/>
                    <w:tr2bl w:val="nil"/>
                  </w:tcBorders>
                  <w:shd w:val="clear" w:color="auto" w:fill="auto"/>
                  <w:vAlign w:val="center"/>
                </w:tcPr>
                <w:p w14:paraId="6C15C05B">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0.77</w:t>
                  </w:r>
                </w:p>
              </w:tc>
              <w:tc>
                <w:tcPr>
                  <w:tcW w:w="960" w:type="dxa"/>
                  <w:tcBorders>
                    <w:tl2br w:val="nil"/>
                    <w:tr2bl w:val="nil"/>
                  </w:tcBorders>
                  <w:shd w:val="clear" w:color="auto" w:fill="auto"/>
                  <w:vAlign w:val="center"/>
                </w:tcPr>
                <w:p w14:paraId="71A86509">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3.67</w:t>
                  </w:r>
                </w:p>
              </w:tc>
              <w:tc>
                <w:tcPr>
                  <w:tcW w:w="858" w:type="dxa"/>
                  <w:tcBorders>
                    <w:tl2br w:val="nil"/>
                    <w:tr2bl w:val="nil"/>
                  </w:tcBorders>
                  <w:shd w:val="clear" w:color="auto" w:fill="auto"/>
                  <w:vAlign w:val="center"/>
                </w:tcPr>
                <w:p w14:paraId="07E5592A">
                  <w:pPr>
                    <w:pStyle w:val="11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w:t>
                  </w:r>
                </w:p>
              </w:tc>
              <w:tc>
                <w:tcPr>
                  <w:tcW w:w="789" w:type="dxa"/>
                  <w:tcBorders>
                    <w:tl2br w:val="nil"/>
                    <w:tr2bl w:val="nil"/>
                  </w:tcBorders>
                  <w:shd w:val="clear" w:color="auto" w:fill="auto"/>
                  <w:vAlign w:val="center"/>
                </w:tcPr>
                <w:p w14:paraId="558033E5">
                  <w:pPr>
                    <w:pStyle w:val="11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w:t>
                  </w:r>
                </w:p>
              </w:tc>
              <w:tc>
                <w:tcPr>
                  <w:tcW w:w="687" w:type="dxa"/>
                  <w:tcBorders>
                    <w:tl2br w:val="nil"/>
                    <w:tr2bl w:val="nil"/>
                  </w:tcBorders>
                  <w:shd w:val="clear" w:color="auto" w:fill="auto"/>
                  <w:vAlign w:val="center"/>
                </w:tcPr>
                <w:p w14:paraId="19D067C7">
                  <w:pPr>
                    <w:pStyle w:val="111"/>
                    <w:keepNext w:val="0"/>
                    <w:keepLines w:val="0"/>
                    <w:suppressLineNumbers w:val="0"/>
                    <w:bidi w:val="0"/>
                    <w:spacing w:before="0" w:beforeAutospacing="0" w:after="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99%</w:t>
                  </w:r>
                </w:p>
              </w:tc>
              <w:tc>
                <w:tcPr>
                  <w:tcW w:w="687" w:type="dxa"/>
                  <w:tcBorders>
                    <w:tl2br w:val="nil"/>
                    <w:tr2bl w:val="nil"/>
                  </w:tcBorders>
                  <w:shd w:val="clear" w:color="auto" w:fill="auto"/>
                  <w:vAlign w:val="center"/>
                </w:tcPr>
                <w:p w14:paraId="428A0214">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ascii="Times New Roman" w:eastAsia="宋体"/>
                      <w:caps w:val="0"/>
                      <w:color w:val="auto"/>
                      <w:spacing w:val="0"/>
                      <w:position w:val="0"/>
                      <w:highlight w:val="none"/>
                      <w:lang w:val="en-US" w:eastAsia="zh-CN"/>
                    </w:rPr>
                    <w:t>是</w:t>
                  </w:r>
                </w:p>
              </w:tc>
              <w:tc>
                <w:tcPr>
                  <w:tcW w:w="687" w:type="dxa"/>
                  <w:tcBorders>
                    <w:tl2br w:val="nil"/>
                    <w:tr2bl w:val="nil"/>
                  </w:tcBorders>
                  <w:shd w:val="clear" w:color="auto" w:fill="auto"/>
                  <w:vAlign w:val="center"/>
                </w:tcPr>
                <w:p w14:paraId="504882AC">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ascii="Times New Roman" w:eastAsia="宋体"/>
                      <w:caps w:val="0"/>
                      <w:color w:val="auto"/>
                      <w:spacing w:val="0"/>
                      <w:position w:val="0"/>
                      <w:highlight w:val="none"/>
                      <w:lang w:val="en-US" w:eastAsia="zh-CN"/>
                    </w:rPr>
                    <w:t>布袋除尘</w:t>
                  </w:r>
                </w:p>
              </w:tc>
              <w:tc>
                <w:tcPr>
                  <w:tcW w:w="960" w:type="dxa"/>
                  <w:tcBorders>
                    <w:tl2br w:val="nil"/>
                    <w:tr2bl w:val="nil"/>
                  </w:tcBorders>
                  <w:shd w:val="clear" w:color="auto" w:fill="auto"/>
                  <w:vAlign w:val="center"/>
                </w:tcPr>
                <w:p w14:paraId="61C42E61">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w:t>
                  </w:r>
                </w:p>
              </w:tc>
              <w:tc>
                <w:tcPr>
                  <w:tcW w:w="740" w:type="dxa"/>
                  <w:tcBorders>
                    <w:tl2br w:val="nil"/>
                    <w:tr2bl w:val="nil"/>
                  </w:tcBorders>
                  <w:shd w:val="clear" w:color="auto" w:fill="auto"/>
                  <w:vAlign w:val="center"/>
                </w:tcPr>
                <w:p w14:paraId="6CF081AC">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0.077</w:t>
                  </w:r>
                </w:p>
              </w:tc>
              <w:tc>
                <w:tcPr>
                  <w:tcW w:w="960" w:type="dxa"/>
                  <w:tcBorders>
                    <w:tl2br w:val="nil"/>
                    <w:tr2bl w:val="nil"/>
                  </w:tcBorders>
                  <w:shd w:val="clear" w:color="auto" w:fill="auto"/>
                  <w:vAlign w:val="center"/>
                </w:tcPr>
                <w:p w14:paraId="532BD798">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0.037</w:t>
                  </w:r>
                </w:p>
              </w:tc>
              <w:tc>
                <w:tcPr>
                  <w:tcW w:w="960" w:type="dxa"/>
                  <w:tcBorders>
                    <w:tl2br w:val="nil"/>
                    <w:tr2bl w:val="nil"/>
                  </w:tcBorders>
                  <w:shd w:val="clear" w:color="auto" w:fill="auto"/>
                  <w:vAlign w:val="center"/>
                </w:tcPr>
                <w:p w14:paraId="5E7E944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w:t>
                  </w:r>
                </w:p>
              </w:tc>
              <w:tc>
                <w:tcPr>
                  <w:tcW w:w="687" w:type="dxa"/>
                  <w:tcBorders>
                    <w:tl2br w:val="nil"/>
                    <w:tr2bl w:val="nil"/>
                  </w:tcBorders>
                  <w:shd w:val="clear" w:color="auto" w:fill="auto"/>
                  <w:vAlign w:val="center"/>
                </w:tcPr>
                <w:p w14:paraId="7F23E04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0.5</w:t>
                  </w:r>
                </w:p>
              </w:tc>
            </w:tr>
            <w:tr w14:paraId="7DDFEC2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3" w:hRule="atLeast"/>
                <w:jc w:val="center"/>
              </w:trPr>
              <w:tc>
                <w:tcPr>
                  <w:tcW w:w="686" w:type="dxa"/>
                  <w:vMerge w:val="restart"/>
                  <w:tcBorders>
                    <w:tl2br w:val="nil"/>
                    <w:tr2bl w:val="nil"/>
                  </w:tcBorders>
                  <w:shd w:val="clear" w:color="auto" w:fill="auto"/>
                  <w:vAlign w:val="center"/>
                </w:tcPr>
                <w:p w14:paraId="0AC6097E">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储存粉尘</w:t>
                  </w:r>
                </w:p>
              </w:tc>
              <w:tc>
                <w:tcPr>
                  <w:tcW w:w="687" w:type="dxa"/>
                  <w:tcBorders>
                    <w:tl2br w:val="nil"/>
                    <w:tr2bl w:val="nil"/>
                  </w:tcBorders>
                  <w:shd w:val="clear" w:color="auto" w:fill="auto"/>
                  <w:vAlign w:val="center"/>
                </w:tcPr>
                <w:p w14:paraId="575567F8">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原料仓库卸料粉尘</w:t>
                  </w:r>
                </w:p>
              </w:tc>
              <w:tc>
                <w:tcPr>
                  <w:tcW w:w="687" w:type="dxa"/>
                  <w:tcBorders>
                    <w:tl2br w:val="nil"/>
                    <w:tr2bl w:val="nil"/>
                  </w:tcBorders>
                  <w:shd w:val="clear" w:color="auto" w:fill="auto"/>
                  <w:vAlign w:val="center"/>
                </w:tcPr>
                <w:p w14:paraId="7A38761C">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无组织</w:t>
                  </w:r>
                </w:p>
              </w:tc>
              <w:tc>
                <w:tcPr>
                  <w:tcW w:w="687" w:type="dxa"/>
                  <w:tcBorders>
                    <w:tl2br w:val="nil"/>
                    <w:tr2bl w:val="nil"/>
                  </w:tcBorders>
                  <w:shd w:val="clear" w:color="auto" w:fill="auto"/>
                  <w:vAlign w:val="center"/>
                </w:tcPr>
                <w:p w14:paraId="7A59840C">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颗粒物</w:t>
                  </w:r>
                </w:p>
              </w:tc>
              <w:tc>
                <w:tcPr>
                  <w:tcW w:w="960" w:type="dxa"/>
                  <w:tcBorders>
                    <w:tl2br w:val="nil"/>
                    <w:tr2bl w:val="nil"/>
                  </w:tcBorders>
                  <w:shd w:val="clear" w:color="auto" w:fill="auto"/>
                  <w:vAlign w:val="center"/>
                </w:tcPr>
                <w:p w14:paraId="28E7D6F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960" w:type="dxa"/>
                  <w:tcBorders>
                    <w:tl2br w:val="nil"/>
                    <w:tr2bl w:val="nil"/>
                  </w:tcBorders>
                  <w:shd w:val="clear" w:color="auto" w:fill="auto"/>
                  <w:vAlign w:val="center"/>
                </w:tcPr>
                <w:p w14:paraId="2B52B69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0.04</w:t>
                  </w:r>
                </w:p>
              </w:tc>
              <w:tc>
                <w:tcPr>
                  <w:tcW w:w="960" w:type="dxa"/>
                  <w:tcBorders>
                    <w:tl2br w:val="nil"/>
                    <w:tr2bl w:val="nil"/>
                  </w:tcBorders>
                  <w:shd w:val="clear" w:color="auto" w:fill="auto"/>
                  <w:vAlign w:val="center"/>
                </w:tcPr>
                <w:p w14:paraId="2C6619C0">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0.19</w:t>
                  </w:r>
                </w:p>
              </w:tc>
              <w:tc>
                <w:tcPr>
                  <w:tcW w:w="858" w:type="dxa"/>
                  <w:tcBorders>
                    <w:tl2br w:val="nil"/>
                    <w:tr2bl w:val="nil"/>
                  </w:tcBorders>
                  <w:shd w:val="clear" w:color="auto" w:fill="auto"/>
                  <w:vAlign w:val="center"/>
                </w:tcPr>
                <w:p w14:paraId="677C534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789" w:type="dxa"/>
                  <w:tcBorders>
                    <w:tl2br w:val="nil"/>
                    <w:tr2bl w:val="nil"/>
                  </w:tcBorders>
                  <w:shd w:val="clear" w:color="auto" w:fill="auto"/>
                  <w:vAlign w:val="center"/>
                </w:tcPr>
                <w:p w14:paraId="780B4DB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687" w:type="dxa"/>
                  <w:vMerge w:val="restart"/>
                  <w:tcBorders>
                    <w:tl2br w:val="nil"/>
                    <w:tr2bl w:val="nil"/>
                  </w:tcBorders>
                  <w:shd w:val="clear" w:color="auto" w:fill="auto"/>
                  <w:vAlign w:val="center"/>
                </w:tcPr>
                <w:p w14:paraId="01931C9B">
                  <w:pPr>
                    <w:pStyle w:val="111"/>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89.6</w:t>
                  </w:r>
                </w:p>
              </w:tc>
              <w:tc>
                <w:tcPr>
                  <w:tcW w:w="687" w:type="dxa"/>
                  <w:vMerge w:val="restart"/>
                  <w:tcBorders>
                    <w:tl2br w:val="nil"/>
                    <w:tr2bl w:val="nil"/>
                  </w:tcBorders>
                  <w:shd w:val="clear" w:color="auto" w:fill="auto"/>
                  <w:vAlign w:val="center"/>
                </w:tcPr>
                <w:p w14:paraId="147B4EB8">
                  <w:pPr>
                    <w:pStyle w:val="11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是</w:t>
                  </w:r>
                </w:p>
              </w:tc>
              <w:tc>
                <w:tcPr>
                  <w:tcW w:w="687" w:type="dxa"/>
                  <w:vMerge w:val="restart"/>
                  <w:tcBorders>
                    <w:tl2br w:val="nil"/>
                    <w:tr2bl w:val="nil"/>
                  </w:tcBorders>
                  <w:shd w:val="clear" w:color="auto" w:fill="auto"/>
                  <w:vAlign w:val="center"/>
                </w:tcPr>
                <w:p w14:paraId="26DCAC5C">
                  <w:pPr>
                    <w:pStyle w:val="111"/>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沉降</w:t>
                  </w:r>
                  <w:r>
                    <w:rPr>
                      <w:rFonts w:hint="default"/>
                      <w:caps w:val="0"/>
                      <w:color w:val="auto"/>
                      <w:spacing w:val="0"/>
                      <w:position w:val="0"/>
                      <w:highlight w:val="none"/>
                      <w:lang w:val="en-US" w:eastAsia="zh-CN"/>
                    </w:rPr>
                    <w:t>+</w:t>
                  </w:r>
                  <w:r>
                    <w:rPr>
                      <w:rFonts w:hint="eastAsia"/>
                      <w:caps w:val="0"/>
                      <w:color w:val="auto"/>
                      <w:spacing w:val="0"/>
                      <w:position w:val="0"/>
                      <w:highlight w:val="none"/>
                      <w:lang w:val="en-US" w:eastAsia="zh-CN"/>
                    </w:rPr>
                    <w:t>洒水</w:t>
                  </w:r>
                </w:p>
              </w:tc>
              <w:tc>
                <w:tcPr>
                  <w:tcW w:w="960" w:type="dxa"/>
                  <w:tcBorders>
                    <w:tl2br w:val="nil"/>
                    <w:tr2bl w:val="nil"/>
                  </w:tcBorders>
                  <w:shd w:val="clear" w:color="auto" w:fill="auto"/>
                  <w:vAlign w:val="center"/>
                </w:tcPr>
                <w:p w14:paraId="5917CEF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740" w:type="dxa"/>
                  <w:tcBorders>
                    <w:tl2br w:val="nil"/>
                    <w:tr2bl w:val="nil"/>
                  </w:tcBorders>
                  <w:shd w:val="clear" w:color="auto" w:fill="auto"/>
                  <w:vAlign w:val="center"/>
                </w:tcPr>
                <w:p w14:paraId="0AB854C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0.0042</w:t>
                  </w:r>
                </w:p>
              </w:tc>
              <w:tc>
                <w:tcPr>
                  <w:tcW w:w="960" w:type="dxa"/>
                  <w:tcBorders>
                    <w:tl2br w:val="nil"/>
                    <w:tr2bl w:val="nil"/>
                  </w:tcBorders>
                  <w:shd w:val="clear" w:color="auto" w:fill="auto"/>
                  <w:vAlign w:val="center"/>
                </w:tcPr>
                <w:p w14:paraId="0E6FD11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0.02</w:t>
                  </w:r>
                </w:p>
              </w:tc>
              <w:tc>
                <w:tcPr>
                  <w:tcW w:w="960" w:type="dxa"/>
                  <w:tcBorders>
                    <w:tl2br w:val="nil"/>
                    <w:tr2bl w:val="nil"/>
                  </w:tcBorders>
                  <w:shd w:val="clear" w:color="auto" w:fill="auto"/>
                  <w:vAlign w:val="center"/>
                </w:tcPr>
                <w:p w14:paraId="2401E090">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687" w:type="dxa"/>
                  <w:tcBorders>
                    <w:tl2br w:val="nil"/>
                    <w:tr2bl w:val="nil"/>
                  </w:tcBorders>
                  <w:shd w:val="clear" w:color="auto" w:fill="auto"/>
                  <w:vAlign w:val="center"/>
                </w:tcPr>
                <w:p w14:paraId="67EBA97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0.5</w:t>
                  </w:r>
                </w:p>
              </w:tc>
            </w:tr>
            <w:tr w14:paraId="5ECCFB7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3" w:hRule="atLeast"/>
                <w:jc w:val="center"/>
              </w:trPr>
              <w:tc>
                <w:tcPr>
                  <w:tcW w:w="686" w:type="dxa"/>
                  <w:vMerge w:val="continue"/>
                  <w:tcBorders>
                    <w:tl2br w:val="nil"/>
                    <w:tr2bl w:val="nil"/>
                  </w:tcBorders>
                  <w:shd w:val="clear" w:color="auto" w:fill="auto"/>
                  <w:vAlign w:val="center"/>
                </w:tcPr>
                <w:p w14:paraId="7612B6EB">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restart"/>
                  <w:tcBorders>
                    <w:tl2br w:val="nil"/>
                    <w:tr2bl w:val="nil"/>
                  </w:tcBorders>
                  <w:shd w:val="clear" w:color="auto" w:fill="auto"/>
                  <w:vAlign w:val="center"/>
                </w:tcPr>
                <w:p w14:paraId="2E79482B">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锂渣仓库卸料粉尘</w:t>
                  </w:r>
                </w:p>
              </w:tc>
              <w:tc>
                <w:tcPr>
                  <w:tcW w:w="687" w:type="dxa"/>
                  <w:vMerge w:val="restart"/>
                  <w:tcBorders>
                    <w:tl2br w:val="nil"/>
                    <w:tr2bl w:val="nil"/>
                  </w:tcBorders>
                  <w:shd w:val="clear" w:color="auto" w:fill="auto"/>
                  <w:vAlign w:val="center"/>
                </w:tcPr>
                <w:p w14:paraId="5B9FA2C4">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无组织</w:t>
                  </w:r>
                </w:p>
              </w:tc>
              <w:tc>
                <w:tcPr>
                  <w:tcW w:w="687" w:type="dxa"/>
                  <w:tcBorders>
                    <w:tl2br w:val="nil"/>
                    <w:tr2bl w:val="nil"/>
                  </w:tcBorders>
                  <w:shd w:val="clear" w:color="auto" w:fill="auto"/>
                  <w:vAlign w:val="center"/>
                </w:tcPr>
                <w:p w14:paraId="66A3AA40">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颗粒物</w:t>
                  </w:r>
                </w:p>
              </w:tc>
              <w:tc>
                <w:tcPr>
                  <w:tcW w:w="960" w:type="dxa"/>
                  <w:tcBorders>
                    <w:tl2br w:val="nil"/>
                    <w:tr2bl w:val="nil"/>
                  </w:tcBorders>
                  <w:shd w:val="clear" w:color="auto" w:fill="auto"/>
                  <w:vAlign w:val="center"/>
                </w:tcPr>
                <w:p w14:paraId="11DAAE6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960" w:type="dxa"/>
                  <w:tcBorders>
                    <w:tl2br w:val="nil"/>
                    <w:tr2bl w:val="nil"/>
                  </w:tcBorders>
                  <w:shd w:val="clear" w:color="auto" w:fill="auto"/>
                  <w:vAlign w:val="center"/>
                </w:tcPr>
                <w:p w14:paraId="1DA7F7CE">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0.29</w:t>
                  </w:r>
                </w:p>
              </w:tc>
              <w:tc>
                <w:tcPr>
                  <w:tcW w:w="960" w:type="dxa"/>
                  <w:tcBorders>
                    <w:tl2br w:val="nil"/>
                    <w:tr2bl w:val="nil"/>
                  </w:tcBorders>
                  <w:shd w:val="clear" w:color="auto" w:fill="auto"/>
                  <w:vAlign w:val="center"/>
                </w:tcPr>
                <w:p w14:paraId="74232775">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1.4</w:t>
                  </w:r>
                </w:p>
              </w:tc>
              <w:tc>
                <w:tcPr>
                  <w:tcW w:w="858" w:type="dxa"/>
                  <w:tcBorders>
                    <w:tl2br w:val="nil"/>
                    <w:tr2bl w:val="nil"/>
                  </w:tcBorders>
                  <w:shd w:val="clear" w:color="auto" w:fill="auto"/>
                  <w:vAlign w:val="center"/>
                </w:tcPr>
                <w:p w14:paraId="14E46B91">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789" w:type="dxa"/>
                  <w:tcBorders>
                    <w:tl2br w:val="nil"/>
                    <w:tr2bl w:val="nil"/>
                  </w:tcBorders>
                  <w:shd w:val="clear" w:color="auto" w:fill="auto"/>
                  <w:vAlign w:val="center"/>
                </w:tcPr>
                <w:p w14:paraId="1E31CB8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687" w:type="dxa"/>
                  <w:vMerge w:val="continue"/>
                  <w:tcBorders>
                    <w:tl2br w:val="nil"/>
                    <w:tr2bl w:val="nil"/>
                  </w:tcBorders>
                  <w:shd w:val="clear" w:color="auto" w:fill="auto"/>
                  <w:vAlign w:val="center"/>
                </w:tcPr>
                <w:p w14:paraId="196406D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687" w:type="dxa"/>
                  <w:vMerge w:val="continue"/>
                  <w:tcBorders>
                    <w:tl2br w:val="nil"/>
                    <w:tr2bl w:val="nil"/>
                  </w:tcBorders>
                  <w:shd w:val="clear" w:color="auto" w:fill="auto"/>
                  <w:vAlign w:val="center"/>
                </w:tcPr>
                <w:p w14:paraId="5891B6A4">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5A37BB52">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960" w:type="dxa"/>
                  <w:tcBorders>
                    <w:tl2br w:val="nil"/>
                    <w:tr2bl w:val="nil"/>
                  </w:tcBorders>
                  <w:shd w:val="clear" w:color="auto" w:fill="auto"/>
                  <w:vAlign w:val="center"/>
                </w:tcPr>
                <w:p w14:paraId="2A7AF36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740" w:type="dxa"/>
                  <w:tcBorders>
                    <w:tl2br w:val="nil"/>
                    <w:tr2bl w:val="nil"/>
                  </w:tcBorders>
                  <w:shd w:val="clear" w:color="auto" w:fill="auto"/>
                  <w:vAlign w:val="center"/>
                </w:tcPr>
                <w:p w14:paraId="3BA970E6">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0.031</w:t>
                  </w:r>
                </w:p>
              </w:tc>
              <w:tc>
                <w:tcPr>
                  <w:tcW w:w="960" w:type="dxa"/>
                  <w:tcBorders>
                    <w:tl2br w:val="nil"/>
                    <w:tr2bl w:val="nil"/>
                  </w:tcBorders>
                  <w:shd w:val="clear" w:color="auto" w:fill="auto"/>
                  <w:vAlign w:val="center"/>
                </w:tcPr>
                <w:p w14:paraId="0D7A233E">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0.15</w:t>
                  </w:r>
                </w:p>
              </w:tc>
              <w:tc>
                <w:tcPr>
                  <w:tcW w:w="960" w:type="dxa"/>
                  <w:tcBorders>
                    <w:tl2br w:val="nil"/>
                    <w:tr2bl w:val="nil"/>
                  </w:tcBorders>
                  <w:shd w:val="clear" w:color="auto" w:fill="auto"/>
                  <w:vAlign w:val="center"/>
                </w:tcPr>
                <w:p w14:paraId="7112E4C5">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687" w:type="dxa"/>
                  <w:tcBorders>
                    <w:tl2br w:val="nil"/>
                    <w:tr2bl w:val="nil"/>
                  </w:tcBorders>
                  <w:shd w:val="clear" w:color="auto" w:fill="auto"/>
                  <w:vAlign w:val="center"/>
                </w:tcPr>
                <w:p w14:paraId="399E602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0.5</w:t>
                  </w:r>
                </w:p>
              </w:tc>
            </w:tr>
            <w:tr w14:paraId="7BB404A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91" w:hRule="atLeast"/>
                <w:jc w:val="center"/>
              </w:trPr>
              <w:tc>
                <w:tcPr>
                  <w:tcW w:w="686" w:type="dxa"/>
                  <w:vMerge w:val="continue"/>
                  <w:tcBorders>
                    <w:tl2br w:val="nil"/>
                    <w:tr2bl w:val="nil"/>
                  </w:tcBorders>
                  <w:shd w:val="clear" w:color="auto" w:fill="auto"/>
                  <w:vAlign w:val="center"/>
                </w:tcPr>
                <w:p w14:paraId="132C0A75">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335A5607">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34FDA451">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tcBorders>
                    <w:tl2br w:val="nil"/>
                    <w:tr2bl w:val="nil"/>
                  </w:tcBorders>
                  <w:shd w:val="clear" w:color="auto" w:fill="auto"/>
                  <w:vAlign w:val="center"/>
                </w:tcPr>
                <w:p w14:paraId="78D0200C">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铊及其化合物</w:t>
                  </w:r>
                </w:p>
              </w:tc>
              <w:tc>
                <w:tcPr>
                  <w:tcW w:w="960" w:type="dxa"/>
                  <w:tcBorders>
                    <w:tl2br w:val="nil"/>
                    <w:tr2bl w:val="nil"/>
                  </w:tcBorders>
                  <w:shd w:val="clear" w:color="auto" w:fill="auto"/>
                  <w:vAlign w:val="center"/>
                </w:tcPr>
                <w:p w14:paraId="2A0D179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960" w:type="dxa"/>
                  <w:tcBorders>
                    <w:tl2br w:val="nil"/>
                    <w:tr2bl w:val="nil"/>
                  </w:tcBorders>
                  <w:shd w:val="clear" w:color="auto" w:fill="auto"/>
                  <w:vAlign w:val="center"/>
                </w:tcPr>
                <w:p w14:paraId="23EB269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0.0000034</w:t>
                  </w:r>
                </w:p>
              </w:tc>
              <w:tc>
                <w:tcPr>
                  <w:tcW w:w="960" w:type="dxa"/>
                  <w:tcBorders>
                    <w:tl2br w:val="nil"/>
                    <w:tr2bl w:val="nil"/>
                  </w:tcBorders>
                  <w:shd w:val="clear" w:color="auto" w:fill="auto"/>
                  <w:vAlign w:val="center"/>
                </w:tcPr>
                <w:p w14:paraId="255CBB3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0.0000164</w:t>
                  </w:r>
                </w:p>
              </w:tc>
              <w:tc>
                <w:tcPr>
                  <w:tcW w:w="858" w:type="dxa"/>
                  <w:tcBorders>
                    <w:tl2br w:val="nil"/>
                    <w:tr2bl w:val="nil"/>
                  </w:tcBorders>
                  <w:shd w:val="clear" w:color="auto" w:fill="auto"/>
                  <w:vAlign w:val="center"/>
                </w:tcPr>
                <w:p w14:paraId="0FF600C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789" w:type="dxa"/>
                  <w:tcBorders>
                    <w:tl2br w:val="nil"/>
                    <w:tr2bl w:val="nil"/>
                  </w:tcBorders>
                  <w:shd w:val="clear" w:color="auto" w:fill="auto"/>
                  <w:vAlign w:val="center"/>
                </w:tcPr>
                <w:p w14:paraId="07620CB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687" w:type="dxa"/>
                  <w:vMerge w:val="continue"/>
                  <w:tcBorders>
                    <w:tl2br w:val="nil"/>
                    <w:tr2bl w:val="nil"/>
                  </w:tcBorders>
                  <w:shd w:val="clear" w:color="auto" w:fill="auto"/>
                  <w:vAlign w:val="center"/>
                </w:tcPr>
                <w:p w14:paraId="214B71F9">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687" w:type="dxa"/>
                  <w:vMerge w:val="continue"/>
                  <w:tcBorders>
                    <w:tl2br w:val="nil"/>
                    <w:tr2bl w:val="nil"/>
                  </w:tcBorders>
                  <w:shd w:val="clear" w:color="auto" w:fill="auto"/>
                  <w:vAlign w:val="center"/>
                </w:tcPr>
                <w:p w14:paraId="6980DBB8">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15CB864F">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960" w:type="dxa"/>
                  <w:tcBorders>
                    <w:tl2br w:val="nil"/>
                    <w:tr2bl w:val="nil"/>
                  </w:tcBorders>
                  <w:shd w:val="clear" w:color="auto" w:fill="auto"/>
                  <w:vAlign w:val="center"/>
                </w:tcPr>
                <w:p w14:paraId="070783A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740" w:type="dxa"/>
                  <w:tcBorders>
                    <w:tl2br w:val="nil"/>
                    <w:tr2bl w:val="nil"/>
                  </w:tcBorders>
                  <w:shd w:val="clear" w:color="auto" w:fill="auto"/>
                  <w:vAlign w:val="center"/>
                </w:tcPr>
                <w:p w14:paraId="15C583B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0.000000366</w:t>
                  </w:r>
                </w:p>
              </w:tc>
              <w:tc>
                <w:tcPr>
                  <w:tcW w:w="960" w:type="dxa"/>
                  <w:tcBorders>
                    <w:tl2br w:val="nil"/>
                    <w:tr2bl w:val="nil"/>
                  </w:tcBorders>
                  <w:shd w:val="clear" w:color="auto" w:fill="auto"/>
                  <w:vAlign w:val="center"/>
                </w:tcPr>
                <w:p w14:paraId="66E25EE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0.000001755</w:t>
                  </w:r>
                </w:p>
              </w:tc>
              <w:tc>
                <w:tcPr>
                  <w:tcW w:w="960" w:type="dxa"/>
                  <w:tcBorders>
                    <w:tl2br w:val="nil"/>
                    <w:tr2bl w:val="nil"/>
                  </w:tcBorders>
                  <w:shd w:val="clear" w:color="auto" w:fill="auto"/>
                  <w:vAlign w:val="center"/>
                </w:tcPr>
                <w:p w14:paraId="46EDAD9C">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687" w:type="dxa"/>
                  <w:tcBorders>
                    <w:tl2br w:val="nil"/>
                    <w:tr2bl w:val="nil"/>
                  </w:tcBorders>
                  <w:shd w:val="clear" w:color="auto" w:fill="auto"/>
                  <w:vAlign w:val="center"/>
                </w:tcPr>
                <w:p w14:paraId="50F0D88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0.001</w:t>
                  </w:r>
                </w:p>
              </w:tc>
            </w:tr>
            <w:tr w14:paraId="1059ADF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91" w:hRule="atLeast"/>
                <w:jc w:val="center"/>
              </w:trPr>
              <w:tc>
                <w:tcPr>
                  <w:tcW w:w="686" w:type="dxa"/>
                  <w:vMerge w:val="continue"/>
                  <w:tcBorders>
                    <w:tl2br w:val="nil"/>
                    <w:tr2bl w:val="nil"/>
                  </w:tcBorders>
                  <w:shd w:val="clear" w:color="auto" w:fill="auto"/>
                  <w:vAlign w:val="center"/>
                </w:tcPr>
                <w:p w14:paraId="5EC72F65">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30F35BC2">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02D039A0">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tcBorders>
                    <w:tl2br w:val="nil"/>
                    <w:tr2bl w:val="nil"/>
                  </w:tcBorders>
                  <w:shd w:val="clear" w:color="auto" w:fill="auto"/>
                  <w:vAlign w:val="center"/>
                </w:tcPr>
                <w:p w14:paraId="7988A754">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铍及其化合物</w:t>
                  </w:r>
                </w:p>
              </w:tc>
              <w:tc>
                <w:tcPr>
                  <w:tcW w:w="960" w:type="dxa"/>
                  <w:tcBorders>
                    <w:tl2br w:val="nil"/>
                    <w:tr2bl w:val="nil"/>
                  </w:tcBorders>
                  <w:shd w:val="clear" w:color="auto" w:fill="auto"/>
                  <w:vAlign w:val="center"/>
                </w:tcPr>
                <w:p w14:paraId="5EC3535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960" w:type="dxa"/>
                  <w:tcBorders>
                    <w:tl2br w:val="nil"/>
                    <w:tr2bl w:val="nil"/>
                  </w:tcBorders>
                  <w:shd w:val="clear" w:color="auto" w:fill="auto"/>
                  <w:vAlign w:val="center"/>
                </w:tcPr>
                <w:p w14:paraId="72CB502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0.000019</w:t>
                  </w:r>
                </w:p>
              </w:tc>
              <w:tc>
                <w:tcPr>
                  <w:tcW w:w="960" w:type="dxa"/>
                  <w:tcBorders>
                    <w:tl2br w:val="nil"/>
                    <w:tr2bl w:val="nil"/>
                  </w:tcBorders>
                  <w:shd w:val="clear" w:color="auto" w:fill="auto"/>
                  <w:vAlign w:val="center"/>
                </w:tcPr>
                <w:p w14:paraId="50F0580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0.000092</w:t>
                  </w:r>
                </w:p>
              </w:tc>
              <w:tc>
                <w:tcPr>
                  <w:tcW w:w="858" w:type="dxa"/>
                  <w:tcBorders>
                    <w:tl2br w:val="nil"/>
                    <w:tr2bl w:val="nil"/>
                  </w:tcBorders>
                  <w:shd w:val="clear" w:color="auto" w:fill="auto"/>
                  <w:vAlign w:val="center"/>
                </w:tcPr>
                <w:p w14:paraId="1EFA19A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789" w:type="dxa"/>
                  <w:tcBorders>
                    <w:tl2br w:val="nil"/>
                    <w:tr2bl w:val="nil"/>
                  </w:tcBorders>
                  <w:shd w:val="clear" w:color="auto" w:fill="auto"/>
                  <w:vAlign w:val="center"/>
                </w:tcPr>
                <w:p w14:paraId="6B7488DA">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687" w:type="dxa"/>
                  <w:vMerge w:val="continue"/>
                  <w:tcBorders>
                    <w:tl2br w:val="nil"/>
                    <w:tr2bl w:val="nil"/>
                  </w:tcBorders>
                  <w:shd w:val="clear" w:color="auto" w:fill="auto"/>
                  <w:vAlign w:val="center"/>
                </w:tcPr>
                <w:p w14:paraId="78CF45A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687" w:type="dxa"/>
                  <w:vMerge w:val="continue"/>
                  <w:tcBorders>
                    <w:tl2br w:val="nil"/>
                    <w:tr2bl w:val="nil"/>
                  </w:tcBorders>
                  <w:shd w:val="clear" w:color="auto" w:fill="auto"/>
                  <w:vAlign w:val="center"/>
                </w:tcPr>
                <w:p w14:paraId="0557E845">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457D7617">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960" w:type="dxa"/>
                  <w:tcBorders>
                    <w:tl2br w:val="nil"/>
                    <w:tr2bl w:val="nil"/>
                  </w:tcBorders>
                  <w:shd w:val="clear" w:color="auto" w:fill="auto"/>
                  <w:vAlign w:val="center"/>
                </w:tcPr>
                <w:p w14:paraId="22A993D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740" w:type="dxa"/>
                  <w:tcBorders>
                    <w:tl2br w:val="nil"/>
                    <w:tr2bl w:val="nil"/>
                  </w:tcBorders>
                  <w:shd w:val="clear" w:color="auto" w:fill="auto"/>
                  <w:vAlign w:val="center"/>
                </w:tcPr>
                <w:p w14:paraId="2F58DA9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0.000002</w:t>
                  </w:r>
                </w:p>
              </w:tc>
              <w:tc>
                <w:tcPr>
                  <w:tcW w:w="960" w:type="dxa"/>
                  <w:tcBorders>
                    <w:tl2br w:val="nil"/>
                    <w:tr2bl w:val="nil"/>
                  </w:tcBorders>
                  <w:shd w:val="clear" w:color="auto" w:fill="auto"/>
                  <w:vAlign w:val="center"/>
                </w:tcPr>
                <w:p w14:paraId="0F1515C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0.00000981</w:t>
                  </w:r>
                </w:p>
              </w:tc>
              <w:tc>
                <w:tcPr>
                  <w:tcW w:w="960" w:type="dxa"/>
                  <w:tcBorders>
                    <w:tl2br w:val="nil"/>
                    <w:tr2bl w:val="nil"/>
                  </w:tcBorders>
                  <w:shd w:val="clear" w:color="auto" w:fill="auto"/>
                  <w:vAlign w:val="center"/>
                </w:tcPr>
                <w:p w14:paraId="4A5362E4">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687" w:type="dxa"/>
                  <w:tcBorders>
                    <w:tl2br w:val="nil"/>
                    <w:tr2bl w:val="nil"/>
                  </w:tcBorders>
                  <w:shd w:val="clear" w:color="auto" w:fill="auto"/>
                  <w:vAlign w:val="center"/>
                </w:tcPr>
                <w:p w14:paraId="1F7F3772">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0.0008</w:t>
                  </w:r>
                </w:p>
              </w:tc>
            </w:tr>
            <w:tr w14:paraId="78F83D3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3" w:hRule="atLeast"/>
                <w:jc w:val="center"/>
              </w:trPr>
              <w:tc>
                <w:tcPr>
                  <w:tcW w:w="686" w:type="dxa"/>
                  <w:vMerge w:val="continue"/>
                  <w:tcBorders>
                    <w:tl2br w:val="nil"/>
                    <w:tr2bl w:val="nil"/>
                  </w:tcBorders>
                  <w:shd w:val="clear" w:color="auto" w:fill="auto"/>
                  <w:vAlign w:val="center"/>
                </w:tcPr>
                <w:p w14:paraId="071E709D">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6D57409B">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25444849">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tcBorders>
                    <w:tl2br w:val="nil"/>
                    <w:tr2bl w:val="nil"/>
                  </w:tcBorders>
                  <w:shd w:val="clear" w:color="auto" w:fill="auto"/>
                  <w:vAlign w:val="center"/>
                </w:tcPr>
                <w:p w14:paraId="39DD8E8B">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氟化物</w:t>
                  </w:r>
                </w:p>
              </w:tc>
              <w:tc>
                <w:tcPr>
                  <w:tcW w:w="960" w:type="dxa"/>
                  <w:tcBorders>
                    <w:tl2br w:val="nil"/>
                    <w:tr2bl w:val="nil"/>
                  </w:tcBorders>
                  <w:shd w:val="clear" w:color="auto" w:fill="auto"/>
                  <w:vAlign w:val="center"/>
                </w:tcPr>
                <w:p w14:paraId="5FC85DE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960" w:type="dxa"/>
                  <w:tcBorders>
                    <w:tl2br w:val="nil"/>
                    <w:tr2bl w:val="nil"/>
                  </w:tcBorders>
                  <w:shd w:val="clear" w:color="auto" w:fill="auto"/>
                  <w:vAlign w:val="center"/>
                </w:tcPr>
                <w:p w14:paraId="7A9AFD4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0.00525</w:t>
                  </w:r>
                </w:p>
              </w:tc>
              <w:tc>
                <w:tcPr>
                  <w:tcW w:w="960" w:type="dxa"/>
                  <w:tcBorders>
                    <w:tl2br w:val="nil"/>
                    <w:tr2bl w:val="nil"/>
                  </w:tcBorders>
                  <w:shd w:val="clear" w:color="auto" w:fill="auto"/>
                  <w:vAlign w:val="center"/>
                </w:tcPr>
                <w:p w14:paraId="63A3366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0.0252</w:t>
                  </w:r>
                </w:p>
              </w:tc>
              <w:tc>
                <w:tcPr>
                  <w:tcW w:w="858" w:type="dxa"/>
                  <w:tcBorders>
                    <w:tl2br w:val="nil"/>
                    <w:tr2bl w:val="nil"/>
                  </w:tcBorders>
                  <w:shd w:val="clear" w:color="auto" w:fill="auto"/>
                  <w:vAlign w:val="center"/>
                </w:tcPr>
                <w:p w14:paraId="56B23A0E">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789" w:type="dxa"/>
                  <w:tcBorders>
                    <w:tl2br w:val="nil"/>
                    <w:tr2bl w:val="nil"/>
                  </w:tcBorders>
                  <w:shd w:val="clear" w:color="auto" w:fill="auto"/>
                  <w:vAlign w:val="center"/>
                </w:tcPr>
                <w:p w14:paraId="6A0E7146">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687" w:type="dxa"/>
                  <w:vMerge w:val="continue"/>
                  <w:tcBorders>
                    <w:tl2br w:val="nil"/>
                    <w:tr2bl w:val="nil"/>
                  </w:tcBorders>
                  <w:shd w:val="clear" w:color="auto" w:fill="auto"/>
                  <w:vAlign w:val="center"/>
                </w:tcPr>
                <w:p w14:paraId="5523F07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p>
              </w:tc>
              <w:tc>
                <w:tcPr>
                  <w:tcW w:w="687" w:type="dxa"/>
                  <w:vMerge w:val="continue"/>
                  <w:tcBorders>
                    <w:tl2br w:val="nil"/>
                    <w:tr2bl w:val="nil"/>
                  </w:tcBorders>
                  <w:shd w:val="clear" w:color="auto" w:fill="auto"/>
                  <w:vAlign w:val="center"/>
                </w:tcPr>
                <w:p w14:paraId="25C38B47">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687" w:type="dxa"/>
                  <w:vMerge w:val="continue"/>
                  <w:tcBorders>
                    <w:tl2br w:val="nil"/>
                    <w:tr2bl w:val="nil"/>
                  </w:tcBorders>
                  <w:shd w:val="clear" w:color="auto" w:fill="auto"/>
                  <w:vAlign w:val="center"/>
                </w:tcPr>
                <w:p w14:paraId="48DA23BF">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p>
              </w:tc>
              <w:tc>
                <w:tcPr>
                  <w:tcW w:w="960" w:type="dxa"/>
                  <w:tcBorders>
                    <w:tl2br w:val="nil"/>
                    <w:tr2bl w:val="nil"/>
                  </w:tcBorders>
                  <w:shd w:val="clear" w:color="auto" w:fill="auto"/>
                  <w:vAlign w:val="center"/>
                </w:tcPr>
                <w:p w14:paraId="0DAE6EB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740" w:type="dxa"/>
                  <w:tcBorders>
                    <w:tl2br w:val="nil"/>
                    <w:tr2bl w:val="nil"/>
                  </w:tcBorders>
                  <w:shd w:val="clear" w:color="auto" w:fill="auto"/>
                  <w:vAlign w:val="center"/>
                </w:tcPr>
                <w:p w14:paraId="1FAEB8E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0.00056</w:t>
                  </w:r>
                </w:p>
              </w:tc>
              <w:tc>
                <w:tcPr>
                  <w:tcW w:w="960" w:type="dxa"/>
                  <w:tcBorders>
                    <w:tl2br w:val="nil"/>
                    <w:tr2bl w:val="nil"/>
                  </w:tcBorders>
                  <w:shd w:val="clear" w:color="auto" w:fill="auto"/>
                  <w:vAlign w:val="center"/>
                </w:tcPr>
                <w:p w14:paraId="6E533BE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0.0027</w:t>
                  </w:r>
                </w:p>
              </w:tc>
              <w:tc>
                <w:tcPr>
                  <w:tcW w:w="960" w:type="dxa"/>
                  <w:tcBorders>
                    <w:tl2br w:val="nil"/>
                    <w:tr2bl w:val="nil"/>
                  </w:tcBorders>
                  <w:shd w:val="clear" w:color="auto" w:fill="auto"/>
                  <w:vAlign w:val="center"/>
                </w:tcPr>
                <w:p w14:paraId="1A56E92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687" w:type="dxa"/>
                  <w:tcBorders>
                    <w:tl2br w:val="nil"/>
                    <w:tr2bl w:val="nil"/>
                  </w:tcBorders>
                  <w:shd w:val="clear" w:color="auto" w:fill="auto"/>
                  <w:vAlign w:val="center"/>
                </w:tcPr>
                <w:p w14:paraId="25A2F3FB">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0.02</w:t>
                  </w:r>
                </w:p>
              </w:tc>
            </w:tr>
            <w:tr w14:paraId="382ED26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3" w:hRule="atLeast"/>
                <w:jc w:val="center"/>
              </w:trPr>
              <w:tc>
                <w:tcPr>
                  <w:tcW w:w="1373" w:type="dxa"/>
                  <w:gridSpan w:val="2"/>
                  <w:tcBorders>
                    <w:tl2br w:val="nil"/>
                    <w:tr2bl w:val="nil"/>
                  </w:tcBorders>
                  <w:shd w:val="clear" w:color="auto" w:fill="auto"/>
                  <w:vAlign w:val="center"/>
                </w:tcPr>
                <w:p w14:paraId="1EA7ED0D">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运输扬尘</w:t>
                  </w:r>
                </w:p>
              </w:tc>
              <w:tc>
                <w:tcPr>
                  <w:tcW w:w="687" w:type="dxa"/>
                  <w:tcBorders>
                    <w:tl2br w:val="nil"/>
                    <w:tr2bl w:val="nil"/>
                  </w:tcBorders>
                  <w:shd w:val="clear" w:color="auto" w:fill="auto"/>
                  <w:vAlign w:val="center"/>
                </w:tcPr>
                <w:p w14:paraId="6ED0207D">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无组织</w:t>
                  </w:r>
                </w:p>
              </w:tc>
              <w:tc>
                <w:tcPr>
                  <w:tcW w:w="687" w:type="dxa"/>
                  <w:tcBorders>
                    <w:tl2br w:val="nil"/>
                    <w:tr2bl w:val="nil"/>
                  </w:tcBorders>
                  <w:shd w:val="clear" w:color="auto" w:fill="auto"/>
                  <w:vAlign w:val="center"/>
                </w:tcPr>
                <w:p w14:paraId="194498CE">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颗粒物</w:t>
                  </w:r>
                </w:p>
              </w:tc>
              <w:tc>
                <w:tcPr>
                  <w:tcW w:w="960" w:type="dxa"/>
                  <w:tcBorders>
                    <w:tl2br w:val="nil"/>
                    <w:tr2bl w:val="nil"/>
                  </w:tcBorders>
                  <w:shd w:val="clear" w:color="auto" w:fill="auto"/>
                  <w:vAlign w:val="center"/>
                </w:tcPr>
                <w:p w14:paraId="0ED2A2A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960" w:type="dxa"/>
                  <w:tcBorders>
                    <w:tl2br w:val="nil"/>
                    <w:tr2bl w:val="nil"/>
                  </w:tcBorders>
                  <w:shd w:val="clear" w:color="auto" w:fill="auto"/>
                  <w:vAlign w:val="center"/>
                </w:tcPr>
                <w:p w14:paraId="7816CDE8">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0.45</w:t>
                  </w:r>
                </w:p>
              </w:tc>
              <w:tc>
                <w:tcPr>
                  <w:tcW w:w="960" w:type="dxa"/>
                  <w:tcBorders>
                    <w:tl2br w:val="nil"/>
                    <w:tr2bl w:val="nil"/>
                  </w:tcBorders>
                  <w:shd w:val="clear" w:color="auto" w:fill="auto"/>
                  <w:vAlign w:val="center"/>
                </w:tcPr>
                <w:p w14:paraId="5FB095AD">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2.14</w:t>
                  </w:r>
                </w:p>
              </w:tc>
              <w:tc>
                <w:tcPr>
                  <w:tcW w:w="858" w:type="dxa"/>
                  <w:tcBorders>
                    <w:tl2br w:val="nil"/>
                    <w:tr2bl w:val="nil"/>
                  </w:tcBorders>
                  <w:shd w:val="clear" w:color="auto" w:fill="auto"/>
                  <w:vAlign w:val="center"/>
                </w:tcPr>
                <w:p w14:paraId="1EB20258">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789" w:type="dxa"/>
                  <w:tcBorders>
                    <w:tl2br w:val="nil"/>
                    <w:tr2bl w:val="nil"/>
                  </w:tcBorders>
                  <w:shd w:val="clear" w:color="auto" w:fill="auto"/>
                  <w:vAlign w:val="center"/>
                </w:tcPr>
                <w:p w14:paraId="58455D23">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687" w:type="dxa"/>
                  <w:tcBorders>
                    <w:tl2br w:val="nil"/>
                    <w:tr2bl w:val="nil"/>
                  </w:tcBorders>
                  <w:shd w:val="clear" w:color="auto" w:fill="auto"/>
                  <w:vAlign w:val="center"/>
                </w:tcPr>
                <w:p w14:paraId="12E220B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90</w:t>
                  </w:r>
                </w:p>
              </w:tc>
              <w:tc>
                <w:tcPr>
                  <w:tcW w:w="687" w:type="dxa"/>
                  <w:tcBorders>
                    <w:tl2br w:val="nil"/>
                    <w:tr2bl w:val="nil"/>
                  </w:tcBorders>
                  <w:shd w:val="clear" w:color="auto" w:fill="auto"/>
                  <w:vAlign w:val="center"/>
                </w:tcPr>
                <w:p w14:paraId="3E02BB58">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是</w:t>
                  </w:r>
                </w:p>
              </w:tc>
              <w:tc>
                <w:tcPr>
                  <w:tcW w:w="687" w:type="dxa"/>
                  <w:tcBorders>
                    <w:tl2br w:val="nil"/>
                    <w:tr2bl w:val="nil"/>
                  </w:tcBorders>
                  <w:shd w:val="clear" w:color="auto" w:fill="auto"/>
                  <w:vAlign w:val="center"/>
                </w:tcPr>
                <w:p w14:paraId="050A29B9">
                  <w:pPr>
                    <w:pStyle w:val="111"/>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棚布遮盖+清扫和洒水+控制车速</w:t>
                  </w:r>
                </w:p>
              </w:tc>
              <w:tc>
                <w:tcPr>
                  <w:tcW w:w="960" w:type="dxa"/>
                  <w:tcBorders>
                    <w:tl2br w:val="nil"/>
                    <w:tr2bl w:val="nil"/>
                  </w:tcBorders>
                  <w:shd w:val="clear" w:color="auto" w:fill="auto"/>
                  <w:vAlign w:val="center"/>
                </w:tcPr>
                <w:p w14:paraId="593A04A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740" w:type="dxa"/>
                  <w:tcBorders>
                    <w:tl2br w:val="nil"/>
                    <w:tr2bl w:val="nil"/>
                  </w:tcBorders>
                  <w:shd w:val="clear" w:color="auto" w:fill="auto"/>
                  <w:vAlign w:val="center"/>
                </w:tcPr>
                <w:p w14:paraId="435658C4">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0.045</w:t>
                  </w:r>
                </w:p>
              </w:tc>
              <w:tc>
                <w:tcPr>
                  <w:tcW w:w="960" w:type="dxa"/>
                  <w:tcBorders>
                    <w:tl2br w:val="nil"/>
                    <w:tr2bl w:val="nil"/>
                  </w:tcBorders>
                  <w:shd w:val="clear" w:color="auto" w:fill="auto"/>
                  <w:vAlign w:val="center"/>
                </w:tcPr>
                <w:p w14:paraId="33B075CE">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0.214</w:t>
                  </w:r>
                </w:p>
              </w:tc>
              <w:tc>
                <w:tcPr>
                  <w:tcW w:w="960" w:type="dxa"/>
                  <w:tcBorders>
                    <w:tl2br w:val="nil"/>
                    <w:tr2bl w:val="nil"/>
                  </w:tcBorders>
                  <w:shd w:val="clear" w:color="auto" w:fill="auto"/>
                  <w:vAlign w:val="center"/>
                </w:tcPr>
                <w:p w14:paraId="0FFE68E7">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687" w:type="dxa"/>
                  <w:tcBorders>
                    <w:tl2br w:val="nil"/>
                    <w:tr2bl w:val="nil"/>
                  </w:tcBorders>
                  <w:shd w:val="clear" w:color="auto" w:fill="auto"/>
                  <w:vAlign w:val="center"/>
                </w:tcPr>
                <w:p w14:paraId="4798B7FD">
                  <w:pPr>
                    <w:pStyle w:val="111"/>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0.5</w:t>
                  </w:r>
                </w:p>
              </w:tc>
            </w:tr>
          </w:tbl>
          <w:p w14:paraId="71053E1B">
            <w:pPr>
              <w:pStyle w:val="75"/>
              <w:keepNext w:val="0"/>
              <w:keepLines w:val="0"/>
              <w:numPr>
                <w:ilvl w:val="0"/>
                <w:numId w:val="7"/>
              </w:numPr>
              <w:suppressLineNumbers w:val="0"/>
              <w:bidi w:val="0"/>
              <w:spacing w:before="0" w:beforeAutospacing="0" w:after="0" w:afterAutospacing="0"/>
              <w:ind w:left="425" w:leftChars="0" w:right="0" w:hanging="425" w:firstLineChars="0"/>
              <w:rPr>
                <w:rFonts w:hint="default"/>
                <w:caps w:val="0"/>
                <w:color w:val="auto"/>
                <w:spacing w:val="0"/>
                <w:position w:val="0"/>
                <w:highlight w:val="none"/>
              </w:rPr>
            </w:pPr>
            <w:r>
              <w:rPr>
                <w:rFonts w:hint="eastAsia"/>
                <w:caps w:val="0"/>
                <w:color w:val="auto"/>
                <w:spacing w:val="0"/>
                <w:position w:val="0"/>
                <w:highlight w:val="none"/>
              </w:rPr>
              <w:t>项目各排气筒废气排放信息汇总表</w:t>
            </w:r>
          </w:p>
          <w:tbl>
            <w:tblPr>
              <w:tblStyle w:val="23"/>
              <w:tblW w:w="4999"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872"/>
              <w:gridCol w:w="1200"/>
              <w:gridCol w:w="1180"/>
              <w:gridCol w:w="1115"/>
              <w:gridCol w:w="1172"/>
              <w:gridCol w:w="1268"/>
              <w:gridCol w:w="1141"/>
              <w:gridCol w:w="1137"/>
              <w:gridCol w:w="662"/>
              <w:gridCol w:w="670"/>
              <w:gridCol w:w="1139"/>
              <w:gridCol w:w="816"/>
              <w:gridCol w:w="1269"/>
            </w:tblGrid>
            <w:tr w14:paraId="39EDBE4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872" w:type="dxa"/>
                  <w:vMerge w:val="restart"/>
                  <w:noWrap w:val="0"/>
                  <w:vAlign w:val="center"/>
                </w:tcPr>
                <w:p w14:paraId="3621178A">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排放口编号</w:t>
                  </w:r>
                </w:p>
              </w:tc>
              <w:tc>
                <w:tcPr>
                  <w:tcW w:w="1200" w:type="dxa"/>
                  <w:vMerge w:val="restart"/>
                  <w:noWrap w:val="0"/>
                  <w:vAlign w:val="center"/>
                </w:tcPr>
                <w:p w14:paraId="18E5ED12">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污染物</w:t>
                  </w:r>
                </w:p>
              </w:tc>
              <w:tc>
                <w:tcPr>
                  <w:tcW w:w="3467" w:type="dxa"/>
                  <w:gridSpan w:val="3"/>
                  <w:noWrap w:val="0"/>
                  <w:vAlign w:val="center"/>
                </w:tcPr>
                <w:p w14:paraId="5B994BE1">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污染物产生量和浓度</w:t>
                  </w:r>
                </w:p>
              </w:tc>
              <w:tc>
                <w:tcPr>
                  <w:tcW w:w="3546" w:type="dxa"/>
                  <w:gridSpan w:val="3"/>
                  <w:noWrap w:val="0"/>
                  <w:vAlign w:val="center"/>
                </w:tcPr>
                <w:p w14:paraId="6782F124">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污染物排放量和浓度</w:t>
                  </w:r>
                </w:p>
              </w:tc>
              <w:tc>
                <w:tcPr>
                  <w:tcW w:w="3287" w:type="dxa"/>
                  <w:gridSpan w:val="4"/>
                  <w:noWrap w:val="0"/>
                  <w:vAlign w:val="center"/>
                </w:tcPr>
                <w:p w14:paraId="7352B3B9">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排放口基本情况</w:t>
                  </w:r>
                </w:p>
              </w:tc>
              <w:tc>
                <w:tcPr>
                  <w:tcW w:w="1269" w:type="dxa"/>
                  <w:noWrap w:val="0"/>
                  <w:vAlign w:val="center"/>
                </w:tcPr>
                <w:p w14:paraId="390D20A1">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排放标准</w:t>
                  </w:r>
                </w:p>
              </w:tc>
            </w:tr>
            <w:tr w14:paraId="5ED3106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872" w:type="dxa"/>
                  <w:vMerge w:val="continue"/>
                  <w:noWrap w:val="0"/>
                  <w:vAlign w:val="center"/>
                </w:tcPr>
                <w:p w14:paraId="24E6AC0C">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1200" w:type="dxa"/>
                  <w:vMerge w:val="continue"/>
                  <w:noWrap w:val="0"/>
                  <w:vAlign w:val="center"/>
                </w:tcPr>
                <w:p w14:paraId="67F5F694">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1180" w:type="dxa"/>
                  <w:vMerge w:val="restart"/>
                  <w:noWrap w:val="0"/>
                  <w:vAlign w:val="center"/>
                </w:tcPr>
                <w:p w14:paraId="38A38F32">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浓度</w:t>
                  </w:r>
                  <w:r>
                    <w:rPr>
                      <w:rFonts w:hint="default"/>
                      <w:b/>
                      <w:bCs/>
                      <w:caps w:val="0"/>
                      <w:color w:val="auto"/>
                      <w:spacing w:val="0"/>
                      <w:position w:val="0"/>
                      <w:highlight w:val="none"/>
                    </w:rPr>
                    <w:t>mg/m</w:t>
                  </w:r>
                  <w:r>
                    <w:rPr>
                      <w:rFonts w:hint="default"/>
                      <w:b/>
                      <w:bCs/>
                      <w:caps w:val="0"/>
                      <w:color w:val="auto"/>
                      <w:spacing w:val="0"/>
                      <w:position w:val="0"/>
                      <w:highlight w:val="none"/>
                      <w:vertAlign w:val="superscript"/>
                    </w:rPr>
                    <w:t>3</w:t>
                  </w:r>
                </w:p>
              </w:tc>
              <w:tc>
                <w:tcPr>
                  <w:tcW w:w="1115" w:type="dxa"/>
                  <w:vMerge w:val="restart"/>
                  <w:noWrap w:val="0"/>
                  <w:vAlign w:val="center"/>
                </w:tcPr>
                <w:p w14:paraId="1804805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速率</w:t>
                  </w:r>
                  <w:r>
                    <w:rPr>
                      <w:rFonts w:hint="default"/>
                      <w:b/>
                      <w:bCs/>
                      <w:caps w:val="0"/>
                      <w:color w:val="auto"/>
                      <w:spacing w:val="0"/>
                      <w:position w:val="0"/>
                      <w:highlight w:val="none"/>
                    </w:rPr>
                    <w:t>kg/h</w:t>
                  </w:r>
                </w:p>
              </w:tc>
              <w:tc>
                <w:tcPr>
                  <w:tcW w:w="1172" w:type="dxa"/>
                  <w:vMerge w:val="restart"/>
                  <w:noWrap w:val="0"/>
                  <w:vAlign w:val="center"/>
                </w:tcPr>
                <w:p w14:paraId="1E557ED4">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产生量</w:t>
                  </w:r>
                  <w:r>
                    <w:rPr>
                      <w:rFonts w:hint="default"/>
                      <w:b/>
                      <w:bCs/>
                      <w:caps w:val="0"/>
                      <w:color w:val="auto"/>
                      <w:spacing w:val="0"/>
                      <w:position w:val="0"/>
                      <w:highlight w:val="none"/>
                    </w:rPr>
                    <w:t>t/a</w:t>
                  </w:r>
                </w:p>
              </w:tc>
              <w:tc>
                <w:tcPr>
                  <w:tcW w:w="1268" w:type="dxa"/>
                  <w:vMerge w:val="restart"/>
                  <w:noWrap w:val="0"/>
                  <w:vAlign w:val="center"/>
                </w:tcPr>
                <w:p w14:paraId="7A6BCF29">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浓度</w:t>
                  </w:r>
                  <w:r>
                    <w:rPr>
                      <w:rFonts w:hint="default"/>
                      <w:b/>
                      <w:bCs/>
                      <w:caps w:val="0"/>
                      <w:color w:val="auto"/>
                      <w:spacing w:val="0"/>
                      <w:position w:val="0"/>
                      <w:highlight w:val="none"/>
                    </w:rPr>
                    <w:t>mg/m</w:t>
                  </w:r>
                  <w:r>
                    <w:rPr>
                      <w:rFonts w:hint="default"/>
                      <w:b/>
                      <w:bCs/>
                      <w:caps w:val="0"/>
                      <w:color w:val="auto"/>
                      <w:spacing w:val="0"/>
                      <w:position w:val="0"/>
                      <w:highlight w:val="none"/>
                      <w:vertAlign w:val="superscript"/>
                    </w:rPr>
                    <w:t>3</w:t>
                  </w:r>
                </w:p>
              </w:tc>
              <w:tc>
                <w:tcPr>
                  <w:tcW w:w="1141" w:type="dxa"/>
                  <w:vMerge w:val="restart"/>
                  <w:noWrap w:val="0"/>
                  <w:vAlign w:val="center"/>
                </w:tcPr>
                <w:p w14:paraId="2F815438">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速率kg/h</w:t>
                  </w:r>
                </w:p>
              </w:tc>
              <w:tc>
                <w:tcPr>
                  <w:tcW w:w="1137" w:type="dxa"/>
                  <w:vMerge w:val="restart"/>
                  <w:noWrap w:val="0"/>
                  <w:vAlign w:val="center"/>
                </w:tcPr>
                <w:p w14:paraId="0E8B1712">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排放量</w:t>
                  </w:r>
                  <w:r>
                    <w:rPr>
                      <w:rFonts w:hint="default"/>
                      <w:b/>
                      <w:bCs/>
                      <w:caps w:val="0"/>
                      <w:color w:val="auto"/>
                      <w:spacing w:val="0"/>
                      <w:position w:val="0"/>
                      <w:highlight w:val="none"/>
                    </w:rPr>
                    <w:t>t/a</w:t>
                  </w:r>
                </w:p>
              </w:tc>
              <w:tc>
                <w:tcPr>
                  <w:tcW w:w="662" w:type="dxa"/>
                  <w:vMerge w:val="restart"/>
                  <w:noWrap w:val="0"/>
                  <w:vAlign w:val="center"/>
                </w:tcPr>
                <w:p w14:paraId="75B7B775">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内径m</w:t>
                  </w:r>
                </w:p>
              </w:tc>
              <w:tc>
                <w:tcPr>
                  <w:tcW w:w="670" w:type="dxa"/>
                  <w:vMerge w:val="restart"/>
                  <w:noWrap w:val="0"/>
                  <w:vAlign w:val="center"/>
                </w:tcPr>
                <w:p w14:paraId="3D10D95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高度m</w:t>
                  </w:r>
                </w:p>
              </w:tc>
              <w:tc>
                <w:tcPr>
                  <w:tcW w:w="1139" w:type="dxa"/>
                  <w:vMerge w:val="restart"/>
                  <w:noWrap w:val="0"/>
                  <w:vAlign w:val="center"/>
                </w:tcPr>
                <w:p w14:paraId="3609B57F">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风量m</w:t>
                  </w:r>
                  <w:r>
                    <w:rPr>
                      <w:rFonts w:hint="eastAsia"/>
                      <w:b/>
                      <w:bCs/>
                      <w:caps w:val="0"/>
                      <w:color w:val="auto"/>
                      <w:spacing w:val="0"/>
                      <w:position w:val="0"/>
                      <w:highlight w:val="none"/>
                      <w:vertAlign w:val="superscript"/>
                    </w:rPr>
                    <w:t>3</w:t>
                  </w:r>
                  <w:r>
                    <w:rPr>
                      <w:rFonts w:hint="eastAsia"/>
                      <w:b/>
                      <w:bCs/>
                      <w:caps w:val="0"/>
                      <w:color w:val="auto"/>
                      <w:spacing w:val="0"/>
                      <w:position w:val="0"/>
                      <w:highlight w:val="none"/>
                    </w:rPr>
                    <w:t>/h</w:t>
                  </w:r>
                </w:p>
              </w:tc>
              <w:tc>
                <w:tcPr>
                  <w:tcW w:w="816" w:type="dxa"/>
                  <w:vMerge w:val="restart"/>
                  <w:noWrap w:val="0"/>
                  <w:vAlign w:val="center"/>
                </w:tcPr>
                <w:p w14:paraId="197A28EF">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风速m/s</w:t>
                  </w:r>
                </w:p>
              </w:tc>
              <w:tc>
                <w:tcPr>
                  <w:tcW w:w="1269" w:type="dxa"/>
                  <w:vMerge w:val="restart"/>
                  <w:noWrap w:val="0"/>
                  <w:vAlign w:val="center"/>
                </w:tcPr>
                <w:p w14:paraId="111A2FAC">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浓度</w:t>
                  </w:r>
                  <w:r>
                    <w:rPr>
                      <w:rFonts w:hint="default"/>
                      <w:b/>
                      <w:bCs/>
                      <w:caps w:val="0"/>
                      <w:color w:val="auto"/>
                      <w:spacing w:val="0"/>
                      <w:position w:val="0"/>
                      <w:highlight w:val="none"/>
                    </w:rPr>
                    <w:t>mg/m</w:t>
                  </w:r>
                  <w:r>
                    <w:rPr>
                      <w:rFonts w:hint="default"/>
                      <w:b/>
                      <w:bCs/>
                      <w:caps w:val="0"/>
                      <w:color w:val="auto"/>
                      <w:spacing w:val="0"/>
                      <w:position w:val="0"/>
                      <w:highlight w:val="none"/>
                      <w:vertAlign w:val="superscript"/>
                    </w:rPr>
                    <w:t>3</w:t>
                  </w:r>
                </w:p>
              </w:tc>
            </w:tr>
            <w:tr w14:paraId="4B8B0BD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872" w:type="dxa"/>
                  <w:vMerge w:val="continue"/>
                  <w:noWrap w:val="0"/>
                  <w:vAlign w:val="center"/>
                </w:tcPr>
                <w:p w14:paraId="563CF3C0">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200" w:type="dxa"/>
                  <w:vMerge w:val="continue"/>
                  <w:noWrap w:val="0"/>
                  <w:vAlign w:val="center"/>
                </w:tcPr>
                <w:p w14:paraId="30B6AB3D">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180" w:type="dxa"/>
                  <w:vMerge w:val="continue"/>
                  <w:noWrap w:val="0"/>
                  <w:vAlign w:val="center"/>
                </w:tcPr>
                <w:p w14:paraId="2EE93627">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115" w:type="dxa"/>
                  <w:vMerge w:val="continue"/>
                  <w:noWrap w:val="0"/>
                  <w:vAlign w:val="center"/>
                </w:tcPr>
                <w:p w14:paraId="23AFFAA8">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172" w:type="dxa"/>
                  <w:vMerge w:val="continue"/>
                  <w:noWrap w:val="0"/>
                  <w:vAlign w:val="center"/>
                </w:tcPr>
                <w:p w14:paraId="7987D6AB">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268" w:type="dxa"/>
                  <w:vMerge w:val="continue"/>
                  <w:noWrap w:val="0"/>
                  <w:vAlign w:val="center"/>
                </w:tcPr>
                <w:p w14:paraId="3A68CEBE">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141" w:type="dxa"/>
                  <w:vMerge w:val="continue"/>
                  <w:noWrap w:val="0"/>
                  <w:vAlign w:val="center"/>
                </w:tcPr>
                <w:p w14:paraId="35351169">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137" w:type="dxa"/>
                  <w:vMerge w:val="continue"/>
                  <w:noWrap w:val="0"/>
                  <w:vAlign w:val="center"/>
                </w:tcPr>
                <w:p w14:paraId="4A90219D">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662" w:type="dxa"/>
                  <w:vMerge w:val="continue"/>
                  <w:noWrap w:val="0"/>
                  <w:vAlign w:val="center"/>
                </w:tcPr>
                <w:p w14:paraId="0F502685">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670" w:type="dxa"/>
                  <w:vMerge w:val="continue"/>
                  <w:noWrap w:val="0"/>
                  <w:vAlign w:val="center"/>
                </w:tcPr>
                <w:p w14:paraId="21C20279">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139" w:type="dxa"/>
                  <w:vMerge w:val="continue"/>
                  <w:noWrap w:val="0"/>
                  <w:vAlign w:val="center"/>
                </w:tcPr>
                <w:p w14:paraId="33F3A10A">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816" w:type="dxa"/>
                  <w:vMerge w:val="continue"/>
                  <w:noWrap w:val="0"/>
                  <w:vAlign w:val="center"/>
                </w:tcPr>
                <w:p w14:paraId="30AE0E0D">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269" w:type="dxa"/>
                  <w:vMerge w:val="continue"/>
                  <w:noWrap w:val="0"/>
                  <w:vAlign w:val="center"/>
                </w:tcPr>
                <w:p w14:paraId="4E76485E">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4F7CB0B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73" w:hRule="atLeast"/>
                <w:jc w:val="center"/>
              </w:trPr>
              <w:tc>
                <w:tcPr>
                  <w:tcW w:w="872" w:type="dxa"/>
                  <w:vMerge w:val="restart"/>
                  <w:noWrap/>
                  <w:vAlign w:val="center"/>
                </w:tcPr>
                <w:p w14:paraId="5F45A0E4">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rPr>
                    <w:t>DA0</w:t>
                  </w:r>
                  <w:r>
                    <w:rPr>
                      <w:rFonts w:hint="eastAsia"/>
                      <w:caps w:val="0"/>
                      <w:color w:val="auto"/>
                      <w:spacing w:val="0"/>
                      <w:position w:val="0"/>
                      <w:highlight w:val="none"/>
                      <w:lang w:val="en-US" w:eastAsia="zh-CN"/>
                    </w:rPr>
                    <w:t>01</w:t>
                  </w:r>
                </w:p>
              </w:tc>
              <w:tc>
                <w:tcPr>
                  <w:tcW w:w="1200" w:type="dxa"/>
                  <w:noWrap w:val="0"/>
                  <w:vAlign w:val="center"/>
                </w:tcPr>
                <w:p w14:paraId="4D499BF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颗粒物</w:t>
                  </w:r>
                </w:p>
              </w:tc>
              <w:tc>
                <w:tcPr>
                  <w:tcW w:w="1180" w:type="dxa"/>
                  <w:shd w:val="clear" w:color="auto" w:fill="auto"/>
                  <w:noWrap/>
                  <w:vAlign w:val="center"/>
                </w:tcPr>
                <w:p w14:paraId="11B581EE">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1136</w:t>
                  </w:r>
                </w:p>
              </w:tc>
              <w:tc>
                <w:tcPr>
                  <w:tcW w:w="1115" w:type="dxa"/>
                  <w:shd w:val="clear" w:color="auto" w:fill="auto"/>
                  <w:noWrap/>
                  <w:vAlign w:val="center"/>
                </w:tcPr>
                <w:p w14:paraId="357FADE1">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5.68</w:t>
                  </w:r>
                </w:p>
              </w:tc>
              <w:tc>
                <w:tcPr>
                  <w:tcW w:w="1172" w:type="dxa"/>
                  <w:shd w:val="clear" w:color="auto" w:fill="auto"/>
                  <w:noWrap/>
                  <w:vAlign w:val="center"/>
                </w:tcPr>
                <w:p w14:paraId="44826200">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27.26</w:t>
                  </w:r>
                </w:p>
              </w:tc>
              <w:tc>
                <w:tcPr>
                  <w:tcW w:w="1268" w:type="dxa"/>
                  <w:shd w:val="clear" w:color="auto" w:fill="auto"/>
                  <w:noWrap/>
                  <w:vAlign w:val="center"/>
                </w:tcPr>
                <w:p w14:paraId="38311304">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11.</w:t>
                  </w:r>
                  <w:r>
                    <w:rPr>
                      <w:rFonts w:hint="eastAsia"/>
                      <w:caps w:val="0"/>
                      <w:color w:val="auto"/>
                      <w:spacing w:val="0"/>
                      <w:position w:val="0"/>
                      <w:highlight w:val="none"/>
                      <w:lang w:val="en-US" w:eastAsia="zh-CN"/>
                    </w:rPr>
                    <w:t>4</w:t>
                  </w:r>
                </w:p>
              </w:tc>
              <w:tc>
                <w:tcPr>
                  <w:tcW w:w="1141" w:type="dxa"/>
                  <w:shd w:val="clear" w:color="auto" w:fill="auto"/>
                  <w:noWrap/>
                  <w:vAlign w:val="center"/>
                </w:tcPr>
                <w:p w14:paraId="5D12CD62">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0.05</w:t>
                  </w:r>
                  <w:r>
                    <w:rPr>
                      <w:rFonts w:hint="eastAsia"/>
                      <w:caps w:val="0"/>
                      <w:color w:val="auto"/>
                      <w:spacing w:val="0"/>
                      <w:position w:val="0"/>
                      <w:highlight w:val="none"/>
                      <w:lang w:val="en-US" w:eastAsia="zh-CN"/>
                    </w:rPr>
                    <w:t>7</w:t>
                  </w:r>
                </w:p>
              </w:tc>
              <w:tc>
                <w:tcPr>
                  <w:tcW w:w="1137" w:type="dxa"/>
                  <w:shd w:val="clear" w:color="auto" w:fill="auto"/>
                  <w:noWrap/>
                  <w:vAlign w:val="center"/>
                </w:tcPr>
                <w:p w14:paraId="04929DDB">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0.273</w:t>
                  </w:r>
                </w:p>
              </w:tc>
              <w:tc>
                <w:tcPr>
                  <w:tcW w:w="662" w:type="dxa"/>
                  <w:vMerge w:val="restart"/>
                  <w:noWrap w:val="0"/>
                  <w:vAlign w:val="center"/>
                </w:tcPr>
                <w:p w14:paraId="5A24351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w:t>
                  </w:r>
                  <w:r>
                    <w:rPr>
                      <w:rFonts w:hint="eastAsia"/>
                      <w:caps w:val="0"/>
                      <w:color w:val="auto"/>
                      <w:spacing w:val="0"/>
                      <w:position w:val="0"/>
                      <w:highlight w:val="none"/>
                      <w:lang w:val="en-US" w:eastAsia="zh-CN"/>
                    </w:rPr>
                    <w:t>3</w:t>
                  </w:r>
                </w:p>
              </w:tc>
              <w:tc>
                <w:tcPr>
                  <w:tcW w:w="670" w:type="dxa"/>
                  <w:vMerge w:val="restart"/>
                  <w:noWrap w:val="0"/>
                  <w:vAlign w:val="center"/>
                </w:tcPr>
                <w:p w14:paraId="6440640A">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15</w:t>
                  </w:r>
                </w:p>
              </w:tc>
              <w:tc>
                <w:tcPr>
                  <w:tcW w:w="1139" w:type="dxa"/>
                  <w:vMerge w:val="restart"/>
                  <w:noWrap w:val="0"/>
                  <w:vAlign w:val="center"/>
                </w:tcPr>
                <w:p w14:paraId="68AA832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5</w:t>
                  </w:r>
                  <w:r>
                    <w:rPr>
                      <w:rFonts w:hint="default"/>
                      <w:caps w:val="0"/>
                      <w:color w:val="auto"/>
                      <w:spacing w:val="0"/>
                      <w:position w:val="0"/>
                      <w:highlight w:val="none"/>
                      <w:lang w:val="en-US" w:eastAsia="zh-CN"/>
                    </w:rPr>
                    <w:t>000</w:t>
                  </w:r>
                </w:p>
              </w:tc>
              <w:tc>
                <w:tcPr>
                  <w:tcW w:w="816" w:type="dxa"/>
                  <w:vMerge w:val="restart"/>
                  <w:noWrap w:val="0"/>
                  <w:vAlign w:val="center"/>
                </w:tcPr>
                <w:p w14:paraId="7F5F245D">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19.6</w:t>
                  </w:r>
                </w:p>
              </w:tc>
              <w:tc>
                <w:tcPr>
                  <w:tcW w:w="1269" w:type="dxa"/>
                  <w:noWrap w:val="0"/>
                  <w:vAlign w:val="center"/>
                </w:tcPr>
                <w:p w14:paraId="282A9A11">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20</w:t>
                  </w:r>
                </w:p>
              </w:tc>
            </w:tr>
            <w:tr w14:paraId="687BC6E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73" w:hRule="atLeast"/>
                <w:jc w:val="center"/>
              </w:trPr>
              <w:tc>
                <w:tcPr>
                  <w:tcW w:w="872" w:type="dxa"/>
                  <w:vMerge w:val="continue"/>
                  <w:noWrap/>
                  <w:vAlign w:val="center"/>
                </w:tcPr>
                <w:p w14:paraId="19E2C973">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00" w:type="dxa"/>
                  <w:shd w:val="clear" w:color="auto" w:fill="auto"/>
                  <w:noWrap w:val="0"/>
                  <w:vAlign w:val="center"/>
                </w:tcPr>
                <w:p w14:paraId="02D03693">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rPr>
                    <w:t>铊及其化合物</w:t>
                  </w:r>
                </w:p>
              </w:tc>
              <w:tc>
                <w:tcPr>
                  <w:tcW w:w="1180" w:type="dxa"/>
                  <w:shd w:val="clear" w:color="auto" w:fill="auto"/>
                  <w:noWrap/>
                  <w:vAlign w:val="center"/>
                </w:tcPr>
                <w:p w14:paraId="6D1E232F">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0.0133</w:t>
                  </w:r>
                </w:p>
              </w:tc>
              <w:tc>
                <w:tcPr>
                  <w:tcW w:w="1115" w:type="dxa"/>
                  <w:shd w:val="clear" w:color="auto" w:fill="auto"/>
                  <w:noWrap/>
                  <w:vAlign w:val="center"/>
                </w:tcPr>
                <w:p w14:paraId="4A990B0A">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0.0000665</w:t>
                  </w:r>
                </w:p>
              </w:tc>
              <w:tc>
                <w:tcPr>
                  <w:tcW w:w="1172" w:type="dxa"/>
                  <w:shd w:val="clear" w:color="auto" w:fill="auto"/>
                  <w:noWrap/>
                  <w:vAlign w:val="center"/>
                </w:tcPr>
                <w:p w14:paraId="0E46D896">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0.000319</w:t>
                  </w:r>
                </w:p>
              </w:tc>
              <w:tc>
                <w:tcPr>
                  <w:tcW w:w="1268" w:type="dxa"/>
                  <w:shd w:val="clear" w:color="auto" w:fill="auto"/>
                  <w:noWrap/>
                  <w:vAlign w:val="center"/>
                </w:tcPr>
                <w:p w14:paraId="61779058">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0.00013</w:t>
                  </w:r>
                  <w:r>
                    <w:rPr>
                      <w:rFonts w:hint="eastAsia"/>
                      <w:caps w:val="0"/>
                      <w:color w:val="auto"/>
                      <w:spacing w:val="0"/>
                      <w:position w:val="0"/>
                      <w:highlight w:val="none"/>
                      <w:lang w:val="en-US" w:eastAsia="zh-CN"/>
                    </w:rPr>
                    <w:t>3</w:t>
                  </w:r>
                </w:p>
              </w:tc>
              <w:tc>
                <w:tcPr>
                  <w:tcW w:w="1141" w:type="dxa"/>
                  <w:shd w:val="clear" w:color="auto" w:fill="auto"/>
                  <w:noWrap/>
                  <w:vAlign w:val="center"/>
                </w:tcPr>
                <w:p w14:paraId="671BB496">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6.64583E-07</w:t>
                  </w:r>
                </w:p>
              </w:tc>
              <w:tc>
                <w:tcPr>
                  <w:tcW w:w="1137" w:type="dxa"/>
                  <w:shd w:val="clear" w:color="auto" w:fill="auto"/>
                  <w:noWrap/>
                  <w:vAlign w:val="center"/>
                </w:tcPr>
                <w:p w14:paraId="0D661483">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0.000003</w:t>
                  </w:r>
                  <w:r>
                    <w:rPr>
                      <w:rFonts w:hint="eastAsia"/>
                      <w:caps w:val="0"/>
                      <w:color w:val="auto"/>
                      <w:spacing w:val="0"/>
                      <w:position w:val="0"/>
                      <w:highlight w:val="none"/>
                      <w:lang w:val="en-US" w:eastAsia="zh-CN"/>
                    </w:rPr>
                    <w:t>2</w:t>
                  </w:r>
                </w:p>
              </w:tc>
              <w:tc>
                <w:tcPr>
                  <w:tcW w:w="662" w:type="dxa"/>
                  <w:vMerge w:val="continue"/>
                  <w:noWrap w:val="0"/>
                  <w:vAlign w:val="center"/>
                </w:tcPr>
                <w:p w14:paraId="5FD04BB2">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p>
              </w:tc>
              <w:tc>
                <w:tcPr>
                  <w:tcW w:w="670" w:type="dxa"/>
                  <w:vMerge w:val="continue"/>
                  <w:noWrap w:val="0"/>
                  <w:vAlign w:val="center"/>
                </w:tcPr>
                <w:p w14:paraId="56F26F12">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p>
              </w:tc>
              <w:tc>
                <w:tcPr>
                  <w:tcW w:w="1139" w:type="dxa"/>
                  <w:vMerge w:val="continue"/>
                  <w:noWrap w:val="0"/>
                  <w:vAlign w:val="center"/>
                </w:tcPr>
                <w:p w14:paraId="0D07577C">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p>
              </w:tc>
              <w:tc>
                <w:tcPr>
                  <w:tcW w:w="816" w:type="dxa"/>
                  <w:vMerge w:val="continue"/>
                  <w:noWrap w:val="0"/>
                  <w:vAlign w:val="center"/>
                </w:tcPr>
                <w:p w14:paraId="5E8A5EF3">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p>
              </w:tc>
              <w:tc>
                <w:tcPr>
                  <w:tcW w:w="1269" w:type="dxa"/>
                  <w:shd w:val="clear" w:color="auto" w:fill="auto"/>
                  <w:noWrap w:val="0"/>
                  <w:vAlign w:val="center"/>
                </w:tcPr>
                <w:p w14:paraId="61B03EDD">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0.05</w:t>
                  </w:r>
                </w:p>
              </w:tc>
            </w:tr>
            <w:tr w14:paraId="2404F1E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73" w:hRule="atLeast"/>
                <w:jc w:val="center"/>
              </w:trPr>
              <w:tc>
                <w:tcPr>
                  <w:tcW w:w="872" w:type="dxa"/>
                  <w:vMerge w:val="continue"/>
                  <w:noWrap/>
                  <w:vAlign w:val="center"/>
                </w:tcPr>
                <w:p w14:paraId="7C099972">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00" w:type="dxa"/>
                  <w:shd w:val="clear" w:color="auto" w:fill="auto"/>
                  <w:noWrap w:val="0"/>
                  <w:vAlign w:val="center"/>
                </w:tcPr>
                <w:p w14:paraId="6FAF465A">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rPr>
                    <w:t>铍及其化合物</w:t>
                  </w:r>
                </w:p>
              </w:tc>
              <w:tc>
                <w:tcPr>
                  <w:tcW w:w="1180" w:type="dxa"/>
                  <w:shd w:val="clear" w:color="auto" w:fill="auto"/>
                  <w:noWrap/>
                  <w:vAlign w:val="center"/>
                </w:tcPr>
                <w:p w14:paraId="54A67DF9">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0.0743</w:t>
                  </w:r>
                </w:p>
              </w:tc>
              <w:tc>
                <w:tcPr>
                  <w:tcW w:w="1115" w:type="dxa"/>
                  <w:shd w:val="clear" w:color="auto" w:fill="auto"/>
                  <w:noWrap/>
                  <w:vAlign w:val="center"/>
                </w:tcPr>
                <w:p w14:paraId="6599ED8B">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0.00037</w:t>
                  </w:r>
                </w:p>
              </w:tc>
              <w:tc>
                <w:tcPr>
                  <w:tcW w:w="1172" w:type="dxa"/>
                  <w:shd w:val="clear" w:color="auto" w:fill="auto"/>
                  <w:noWrap/>
                  <w:vAlign w:val="center"/>
                </w:tcPr>
                <w:p w14:paraId="3BB645BD">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0.001783</w:t>
                  </w:r>
                </w:p>
              </w:tc>
              <w:tc>
                <w:tcPr>
                  <w:tcW w:w="1268" w:type="dxa"/>
                  <w:shd w:val="clear" w:color="auto" w:fill="auto"/>
                  <w:noWrap/>
                  <w:vAlign w:val="center"/>
                </w:tcPr>
                <w:p w14:paraId="2F3DAC1F">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0.00074</w:t>
                  </w:r>
                  <w:r>
                    <w:rPr>
                      <w:rFonts w:hint="eastAsia"/>
                      <w:caps w:val="0"/>
                      <w:color w:val="auto"/>
                      <w:spacing w:val="0"/>
                      <w:position w:val="0"/>
                      <w:highlight w:val="none"/>
                      <w:lang w:val="en-US" w:eastAsia="zh-CN"/>
                    </w:rPr>
                    <w:t>3</w:t>
                  </w:r>
                </w:p>
              </w:tc>
              <w:tc>
                <w:tcPr>
                  <w:tcW w:w="1141" w:type="dxa"/>
                  <w:shd w:val="clear" w:color="auto" w:fill="auto"/>
                  <w:noWrap/>
                  <w:vAlign w:val="center"/>
                </w:tcPr>
                <w:p w14:paraId="34D8587C">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3.71458E-06</w:t>
                  </w:r>
                </w:p>
              </w:tc>
              <w:tc>
                <w:tcPr>
                  <w:tcW w:w="1137" w:type="dxa"/>
                  <w:shd w:val="clear" w:color="auto" w:fill="auto"/>
                  <w:noWrap/>
                  <w:vAlign w:val="center"/>
                </w:tcPr>
                <w:p w14:paraId="08B3C549">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0.00001</w:t>
                  </w:r>
                  <w:r>
                    <w:rPr>
                      <w:rFonts w:hint="eastAsia"/>
                      <w:caps w:val="0"/>
                      <w:color w:val="auto"/>
                      <w:spacing w:val="0"/>
                      <w:position w:val="0"/>
                      <w:highlight w:val="none"/>
                      <w:lang w:val="en-US" w:eastAsia="zh-CN"/>
                    </w:rPr>
                    <w:t>8</w:t>
                  </w:r>
                </w:p>
              </w:tc>
              <w:tc>
                <w:tcPr>
                  <w:tcW w:w="662" w:type="dxa"/>
                  <w:vMerge w:val="continue"/>
                  <w:noWrap w:val="0"/>
                  <w:vAlign w:val="center"/>
                </w:tcPr>
                <w:p w14:paraId="2AA2693B">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p>
              </w:tc>
              <w:tc>
                <w:tcPr>
                  <w:tcW w:w="670" w:type="dxa"/>
                  <w:vMerge w:val="continue"/>
                  <w:noWrap w:val="0"/>
                  <w:vAlign w:val="center"/>
                </w:tcPr>
                <w:p w14:paraId="04FD3837">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p>
              </w:tc>
              <w:tc>
                <w:tcPr>
                  <w:tcW w:w="1139" w:type="dxa"/>
                  <w:vMerge w:val="continue"/>
                  <w:noWrap w:val="0"/>
                  <w:vAlign w:val="center"/>
                </w:tcPr>
                <w:p w14:paraId="57C0A267">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p>
              </w:tc>
              <w:tc>
                <w:tcPr>
                  <w:tcW w:w="816" w:type="dxa"/>
                  <w:vMerge w:val="continue"/>
                  <w:noWrap w:val="0"/>
                  <w:vAlign w:val="center"/>
                </w:tcPr>
                <w:p w14:paraId="1DC53E1C">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p>
              </w:tc>
              <w:tc>
                <w:tcPr>
                  <w:tcW w:w="1269" w:type="dxa"/>
                  <w:shd w:val="clear" w:color="auto" w:fill="auto"/>
                  <w:noWrap w:val="0"/>
                  <w:vAlign w:val="center"/>
                </w:tcPr>
                <w:p w14:paraId="4CEC84AB">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0.012</w:t>
                  </w:r>
                </w:p>
              </w:tc>
            </w:tr>
            <w:tr w14:paraId="1CEAE31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73" w:hRule="atLeast"/>
                <w:jc w:val="center"/>
              </w:trPr>
              <w:tc>
                <w:tcPr>
                  <w:tcW w:w="872" w:type="dxa"/>
                  <w:vMerge w:val="continue"/>
                  <w:noWrap/>
                  <w:vAlign w:val="center"/>
                </w:tcPr>
                <w:p w14:paraId="35DC7284">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00" w:type="dxa"/>
                  <w:shd w:val="clear" w:color="auto" w:fill="auto"/>
                  <w:noWrap w:val="0"/>
                  <w:vAlign w:val="center"/>
                </w:tcPr>
                <w:p w14:paraId="6BEC7D7C">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rPr>
                    <w:t>氟化物</w:t>
                  </w:r>
                </w:p>
              </w:tc>
              <w:tc>
                <w:tcPr>
                  <w:tcW w:w="1180" w:type="dxa"/>
                  <w:shd w:val="clear" w:color="auto" w:fill="auto"/>
                  <w:noWrap/>
                  <w:vAlign w:val="center"/>
                </w:tcPr>
                <w:p w14:paraId="5DE23B32">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20.445</w:t>
                  </w:r>
                </w:p>
              </w:tc>
              <w:tc>
                <w:tcPr>
                  <w:tcW w:w="1115" w:type="dxa"/>
                  <w:shd w:val="clear" w:color="auto" w:fill="auto"/>
                  <w:noWrap/>
                  <w:vAlign w:val="center"/>
                </w:tcPr>
                <w:p w14:paraId="4398C953">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0.1</w:t>
                  </w:r>
                </w:p>
              </w:tc>
              <w:tc>
                <w:tcPr>
                  <w:tcW w:w="1172" w:type="dxa"/>
                  <w:shd w:val="clear" w:color="auto" w:fill="auto"/>
                  <w:noWrap/>
                  <w:vAlign w:val="center"/>
                </w:tcPr>
                <w:p w14:paraId="47FEE45A">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0.4</w:t>
                  </w:r>
                </w:p>
              </w:tc>
              <w:tc>
                <w:tcPr>
                  <w:tcW w:w="1268" w:type="dxa"/>
                  <w:shd w:val="clear" w:color="auto" w:fill="auto"/>
                  <w:noWrap/>
                  <w:vAlign w:val="center"/>
                </w:tcPr>
                <w:p w14:paraId="34170222">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0.16</w:t>
                  </w:r>
                  <w:r>
                    <w:rPr>
                      <w:rFonts w:hint="eastAsia"/>
                      <w:caps w:val="0"/>
                      <w:color w:val="auto"/>
                      <w:spacing w:val="0"/>
                      <w:position w:val="0"/>
                      <w:highlight w:val="none"/>
                      <w:lang w:val="en-US" w:eastAsia="zh-CN"/>
                    </w:rPr>
                    <w:t>7</w:t>
                  </w:r>
                </w:p>
              </w:tc>
              <w:tc>
                <w:tcPr>
                  <w:tcW w:w="1141" w:type="dxa"/>
                  <w:shd w:val="clear" w:color="auto" w:fill="auto"/>
                  <w:noWrap/>
                  <w:vAlign w:val="center"/>
                </w:tcPr>
                <w:p w14:paraId="411FA36F">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0.00083</w:t>
                  </w:r>
                </w:p>
              </w:tc>
              <w:tc>
                <w:tcPr>
                  <w:tcW w:w="1137" w:type="dxa"/>
                  <w:shd w:val="clear" w:color="auto" w:fill="auto"/>
                  <w:noWrap/>
                  <w:vAlign w:val="center"/>
                </w:tcPr>
                <w:p w14:paraId="7D7DCF55">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0.004</w:t>
                  </w:r>
                </w:p>
              </w:tc>
              <w:tc>
                <w:tcPr>
                  <w:tcW w:w="662" w:type="dxa"/>
                  <w:vMerge w:val="continue"/>
                  <w:noWrap w:val="0"/>
                  <w:vAlign w:val="center"/>
                </w:tcPr>
                <w:p w14:paraId="57295D1D">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p>
              </w:tc>
              <w:tc>
                <w:tcPr>
                  <w:tcW w:w="670" w:type="dxa"/>
                  <w:vMerge w:val="continue"/>
                  <w:noWrap w:val="0"/>
                  <w:vAlign w:val="center"/>
                </w:tcPr>
                <w:p w14:paraId="349B23E2">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p>
              </w:tc>
              <w:tc>
                <w:tcPr>
                  <w:tcW w:w="1139" w:type="dxa"/>
                  <w:vMerge w:val="continue"/>
                  <w:noWrap w:val="0"/>
                  <w:vAlign w:val="center"/>
                </w:tcPr>
                <w:p w14:paraId="23222A18">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p>
              </w:tc>
              <w:tc>
                <w:tcPr>
                  <w:tcW w:w="816" w:type="dxa"/>
                  <w:vMerge w:val="continue"/>
                  <w:noWrap w:val="0"/>
                  <w:vAlign w:val="center"/>
                </w:tcPr>
                <w:p w14:paraId="3CA41CEB">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p>
              </w:tc>
              <w:tc>
                <w:tcPr>
                  <w:tcW w:w="1269" w:type="dxa"/>
                  <w:shd w:val="clear" w:color="auto" w:fill="auto"/>
                  <w:noWrap w:val="0"/>
                  <w:vAlign w:val="center"/>
                </w:tcPr>
                <w:p w14:paraId="42B9F323">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6</w:t>
                  </w:r>
                </w:p>
              </w:tc>
            </w:tr>
          </w:tbl>
          <w:p w14:paraId="62D77777">
            <w:pPr>
              <w:pStyle w:val="82"/>
              <w:keepLines w:val="0"/>
              <w:numPr>
                <w:ilvl w:val="0"/>
                <w:numId w:val="0"/>
              </w:numPr>
              <w:suppressLineNumbers w:val="0"/>
              <w:spacing w:before="0" w:beforeLines="0" w:beforeAutospacing="0" w:after="0" w:afterAutospacing="0"/>
              <w:ind w:right="0" w:firstLine="420" w:firstLineChars="200"/>
              <w:jc w:val="both"/>
              <w:rPr>
                <w:rFonts w:hint="eastAsia"/>
                <w:caps w:val="0"/>
                <w:color w:val="auto"/>
                <w:spacing w:val="0"/>
                <w:position w:val="0"/>
                <w:sz w:val="21"/>
                <w:highlight w:val="none"/>
              </w:rPr>
            </w:pPr>
          </w:p>
          <w:p w14:paraId="44C6938F">
            <w:pPr>
              <w:pStyle w:val="21"/>
              <w:keepNext w:val="0"/>
              <w:keepLines w:val="0"/>
              <w:suppressLineNumbers w:val="0"/>
              <w:spacing w:before="0" w:beforeAutospacing="0" w:after="0" w:afterAutospacing="0" w:line="360" w:lineRule="auto"/>
              <w:ind w:left="0" w:right="0" w:firstLine="0" w:firstLineChars="0"/>
              <w:rPr>
                <w:rFonts w:hint="default"/>
                <w:b/>
                <w:bCs/>
                <w:caps w:val="0"/>
                <w:color w:val="auto"/>
                <w:spacing w:val="0"/>
                <w:position w:val="0"/>
                <w:sz w:val="24"/>
                <w:szCs w:val="24"/>
                <w:highlight w:val="none"/>
              </w:rPr>
            </w:pPr>
          </w:p>
        </w:tc>
      </w:tr>
    </w:tbl>
    <w:p w14:paraId="5F38CBD0">
      <w:pPr>
        <w:pStyle w:val="74"/>
        <w:bidi w:val="0"/>
        <w:ind w:left="0" w:leftChars="0" w:firstLine="0" w:firstLineChars="0"/>
        <w:rPr>
          <w:rFonts w:hint="eastAsia"/>
          <w:caps w:val="0"/>
          <w:color w:val="auto"/>
          <w:spacing w:val="0"/>
          <w:position w:val="0"/>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3"/>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8453"/>
      </w:tblGrid>
      <w:tr w14:paraId="44E26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5" w:hRule="atLeast"/>
          <w:jc w:val="center"/>
        </w:trPr>
        <w:tc>
          <w:tcPr>
            <w:tcW w:w="675" w:type="dxa"/>
            <w:noWrap w:val="0"/>
            <w:vAlign w:val="center"/>
          </w:tcPr>
          <w:p w14:paraId="6272B321">
            <w:pPr>
              <w:pStyle w:val="75"/>
              <w:keepNext w:val="0"/>
              <w:keepLines w:val="0"/>
              <w:suppressLineNumbers w:val="0"/>
              <w:bidi w:val="0"/>
              <w:spacing w:before="0" w:beforeAutospacing="0" w:after="0" w:afterAutospacing="0"/>
              <w:ind w:left="0" w:right="0"/>
              <w:rPr>
                <w:rFonts w:hint="default"/>
                <w:caps w:val="0"/>
                <w:snapToGrid w:val="0"/>
                <w:color w:val="auto"/>
                <w:spacing w:val="0"/>
                <w:position w:val="0"/>
                <w:highlight w:val="none"/>
              </w:rPr>
            </w:pPr>
            <w:r>
              <w:rPr>
                <w:rFonts w:hint="default"/>
                <w:caps w:val="0"/>
                <w:color w:val="auto"/>
                <w:spacing w:val="0"/>
                <w:position w:val="0"/>
                <w:highlight w:val="none"/>
              </w:rPr>
              <w:t>运营期环境影响和保护措施</w:t>
            </w:r>
          </w:p>
        </w:tc>
        <w:tc>
          <w:tcPr>
            <w:tcW w:w="8391" w:type="dxa"/>
            <w:noWrap w:val="0"/>
            <w:vAlign w:val="top"/>
          </w:tcPr>
          <w:p w14:paraId="71BB979F">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1.2、污染源强核算过程</w:t>
            </w:r>
          </w:p>
          <w:p w14:paraId="31D924B1">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eastAsia"/>
                <w:caps w:val="0"/>
                <w:color w:val="auto"/>
                <w:spacing w:val="0"/>
                <w:position w:val="0"/>
                <w:highlight w:val="none"/>
              </w:rPr>
              <w:t>本项目</w:t>
            </w:r>
            <w:r>
              <w:rPr>
                <w:rFonts w:hint="eastAsia"/>
                <w:caps w:val="0"/>
                <w:color w:val="auto"/>
                <w:spacing w:val="0"/>
                <w:position w:val="0"/>
                <w:highlight w:val="none"/>
                <w:lang w:eastAsia="zh-CN"/>
              </w:rPr>
              <w:t>运营期</w:t>
            </w:r>
            <w:r>
              <w:rPr>
                <w:rFonts w:hint="eastAsia"/>
                <w:caps w:val="0"/>
                <w:color w:val="auto"/>
                <w:spacing w:val="0"/>
                <w:position w:val="0"/>
                <w:highlight w:val="none"/>
                <w:lang w:val="en-US" w:eastAsia="zh-CN"/>
              </w:rPr>
              <w:t>废气</w:t>
            </w:r>
            <w:r>
              <w:rPr>
                <w:rFonts w:hint="eastAsia"/>
                <w:caps w:val="0"/>
                <w:color w:val="auto"/>
                <w:spacing w:val="0"/>
                <w:position w:val="0"/>
                <w:highlight w:val="none"/>
              </w:rPr>
              <w:t>主要</w:t>
            </w:r>
            <w:r>
              <w:rPr>
                <w:rFonts w:hint="eastAsia"/>
                <w:caps w:val="0"/>
                <w:color w:val="auto"/>
                <w:spacing w:val="0"/>
                <w:position w:val="0"/>
                <w:highlight w:val="none"/>
                <w:lang w:val="en-US" w:eastAsia="zh-CN"/>
              </w:rPr>
              <w:t>来源于物料</w:t>
            </w:r>
            <w:r>
              <w:rPr>
                <w:rFonts w:hint="eastAsia"/>
                <w:caps w:val="0"/>
                <w:color w:val="auto"/>
                <w:spacing w:val="0"/>
                <w:position w:val="0"/>
                <w:highlight w:val="none"/>
                <w:lang w:eastAsia="zh-CN"/>
              </w:rPr>
              <w:t>储存粉尘</w:t>
            </w:r>
            <w:r>
              <w:rPr>
                <w:rFonts w:hint="eastAsia"/>
                <w:caps w:val="0"/>
                <w:color w:val="auto"/>
                <w:spacing w:val="0"/>
                <w:position w:val="0"/>
                <w:highlight w:val="none"/>
                <w:lang w:val="en-US" w:eastAsia="zh-CN"/>
              </w:rPr>
              <w:t>、投料粉尘、</w:t>
            </w:r>
            <w:r>
              <w:rPr>
                <w:rFonts w:hint="eastAsia" w:cs="Times New Roman"/>
                <w:caps w:val="0"/>
                <w:color w:val="auto"/>
                <w:spacing w:val="0"/>
                <w:position w:val="0"/>
                <w:highlight w:val="none"/>
                <w:lang w:val="en-US" w:eastAsia="zh-CN"/>
              </w:rPr>
              <w:t>筒</w:t>
            </w:r>
            <w:r>
              <w:rPr>
                <w:rFonts w:hint="default" w:ascii="Times New Roman" w:hAnsi="Times New Roman" w:cs="Times New Roman"/>
                <w:caps w:val="0"/>
                <w:color w:val="auto"/>
                <w:spacing w:val="0"/>
                <w:position w:val="0"/>
                <w:highlight w:val="none"/>
              </w:rPr>
              <w:t>仓</w:t>
            </w:r>
            <w:r>
              <w:rPr>
                <w:rFonts w:hint="eastAsia"/>
                <w:caps w:val="0"/>
                <w:color w:val="auto"/>
                <w:spacing w:val="0"/>
                <w:position w:val="0"/>
                <w:highlight w:val="none"/>
                <w:lang w:val="en-US" w:eastAsia="zh-CN"/>
              </w:rPr>
              <w:t>呼吸粉尘、输送粉尘、搅拌粉尘和运输扬尘等</w:t>
            </w:r>
            <w:r>
              <w:rPr>
                <w:rFonts w:hint="eastAsia"/>
                <w:caps w:val="0"/>
                <w:color w:val="auto"/>
                <w:spacing w:val="0"/>
                <w:position w:val="0"/>
                <w:highlight w:val="none"/>
              </w:rPr>
              <w:t>生产过程</w:t>
            </w:r>
            <w:r>
              <w:rPr>
                <w:rFonts w:hint="eastAsia"/>
                <w:caps w:val="0"/>
                <w:color w:val="auto"/>
                <w:spacing w:val="0"/>
                <w:position w:val="0"/>
                <w:highlight w:val="none"/>
                <w:lang w:val="en-US" w:eastAsia="zh-CN"/>
              </w:rPr>
              <w:t>产生的工艺粉尘</w:t>
            </w:r>
            <w:r>
              <w:rPr>
                <w:rFonts w:hint="eastAsia"/>
                <w:caps w:val="0"/>
                <w:color w:val="auto"/>
                <w:spacing w:val="0"/>
                <w:position w:val="0"/>
                <w:highlight w:val="none"/>
                <w:lang w:eastAsia="zh-CN"/>
              </w:rPr>
              <w:t>。具体分析如下。</w:t>
            </w:r>
          </w:p>
          <w:p w14:paraId="6034E620">
            <w:pPr>
              <w:pStyle w:val="74"/>
              <w:keepNext w:val="0"/>
              <w:keepLines w:val="0"/>
              <w:suppressLineNumbers w:val="0"/>
              <w:bidi w:val="0"/>
              <w:spacing w:before="0" w:beforeAutospacing="0" w:after="0" w:afterAutospacing="0"/>
              <w:ind w:left="0" w:right="0"/>
              <w:rPr>
                <w:rFonts w:hint="eastAsia" w:eastAsia="宋体"/>
                <w:caps w:val="0"/>
                <w:color w:val="auto"/>
                <w:spacing w:val="0"/>
                <w:position w:val="0"/>
                <w:highlight w:val="none"/>
                <w:lang w:eastAsia="zh-CN"/>
              </w:rPr>
            </w:pPr>
            <w:r>
              <w:rPr>
                <w:rFonts w:hint="eastAsia"/>
                <w:caps w:val="0"/>
                <w:color w:val="auto"/>
                <w:spacing w:val="0"/>
                <w:position w:val="0"/>
                <w:highlight w:val="none"/>
              </w:rPr>
              <w:t>（1）原辅材料</w:t>
            </w:r>
            <w:r>
              <w:rPr>
                <w:rFonts w:hint="eastAsia"/>
                <w:caps w:val="0"/>
                <w:color w:val="auto"/>
                <w:spacing w:val="0"/>
                <w:position w:val="0"/>
                <w:highlight w:val="none"/>
                <w:lang w:eastAsia="zh-CN"/>
              </w:rPr>
              <w:t>储存粉尘</w:t>
            </w:r>
          </w:p>
          <w:p w14:paraId="175BBC4F">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本项目原辅材料</w:t>
            </w:r>
            <w:r>
              <w:rPr>
                <w:rFonts w:hint="eastAsia"/>
                <w:caps w:val="0"/>
                <w:color w:val="auto"/>
                <w:spacing w:val="0"/>
                <w:position w:val="0"/>
                <w:highlight w:val="none"/>
                <w:lang w:eastAsia="zh-CN"/>
              </w:rPr>
              <w:t>储存粉尘</w:t>
            </w:r>
            <w:r>
              <w:rPr>
                <w:rFonts w:hint="eastAsia"/>
                <w:caps w:val="0"/>
                <w:color w:val="auto"/>
                <w:spacing w:val="0"/>
                <w:position w:val="0"/>
                <w:highlight w:val="none"/>
              </w:rPr>
              <w:t>包括卸料粉尘和堆料扬尘。</w:t>
            </w:r>
          </w:p>
          <w:p w14:paraId="69C5FC9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①卸料粉尘</w:t>
            </w:r>
          </w:p>
          <w:p w14:paraId="7D6BC427">
            <w:pPr>
              <w:keepNext w:val="0"/>
              <w:keepLines w:val="0"/>
              <w:suppressLineNumbers w:val="0"/>
              <w:spacing w:before="0" w:beforeAutospacing="0" w:after="0" w:afterAutospacing="0"/>
              <w:ind w:left="0" w:right="0" w:firstLine="480" w:firstLineChars="200"/>
              <w:rPr>
                <w:rFonts w:hint="eastAsia"/>
                <w:caps w:val="0"/>
                <w:color w:val="auto"/>
                <w:spacing w:val="0"/>
                <w:position w:val="0"/>
                <w:highlight w:val="none"/>
                <w:lang w:eastAsia="zh-CN"/>
              </w:rPr>
            </w:pPr>
            <w:r>
              <w:rPr>
                <w:rFonts w:hint="eastAsia"/>
                <w:caps w:val="0"/>
                <w:color w:val="auto"/>
                <w:spacing w:val="0"/>
                <w:position w:val="0"/>
                <w:highlight w:val="none"/>
              </w:rPr>
              <w:t>项目营运期各原辅材料均由汽车运输进厂在</w:t>
            </w:r>
            <w:r>
              <w:rPr>
                <w:rFonts w:hint="eastAsia"/>
                <w:caps w:val="0"/>
                <w:color w:val="auto"/>
                <w:spacing w:val="0"/>
                <w:position w:val="0"/>
                <w:highlight w:val="none"/>
                <w:lang w:val="en-US" w:eastAsia="zh-CN"/>
              </w:rPr>
              <w:t>原料仓库和锂渣仓库</w:t>
            </w:r>
            <w:r>
              <w:rPr>
                <w:rFonts w:hint="eastAsia"/>
                <w:caps w:val="0"/>
                <w:color w:val="auto"/>
                <w:spacing w:val="0"/>
                <w:position w:val="0"/>
                <w:highlight w:val="none"/>
              </w:rPr>
              <w:t>内卸料</w:t>
            </w:r>
            <w:r>
              <w:rPr>
                <w:rFonts w:hint="eastAsia"/>
                <w:caps w:val="0"/>
                <w:color w:val="auto"/>
                <w:spacing w:val="0"/>
                <w:position w:val="0"/>
                <w:highlight w:val="none"/>
                <w:lang w:eastAsia="zh-CN"/>
              </w:rPr>
              <w:t>，</w:t>
            </w:r>
            <w:r>
              <w:rPr>
                <w:rFonts w:hint="eastAsia"/>
                <w:caps w:val="0"/>
                <w:color w:val="auto"/>
                <w:spacing w:val="0"/>
                <w:position w:val="0"/>
                <w:highlight w:val="none"/>
              </w:rPr>
              <w:t>过程中产生粉尘</w:t>
            </w:r>
            <w:r>
              <w:rPr>
                <w:rFonts w:hint="eastAsia"/>
                <w:caps w:val="0"/>
                <w:color w:val="auto"/>
                <w:spacing w:val="0"/>
                <w:position w:val="0"/>
                <w:highlight w:val="none"/>
                <w:lang w:eastAsia="zh-CN"/>
              </w:rPr>
              <w:t>，参考《逸散性工业粉尘控制技术》（中国环境出版社），原料装卸时粉尘排放因子为0.01kg/t，</w:t>
            </w:r>
            <w:r>
              <w:rPr>
                <w:rFonts w:hint="default"/>
                <w:caps w:val="0"/>
                <w:color w:val="auto"/>
                <w:spacing w:val="0"/>
                <w:position w:val="0"/>
                <w:highlight w:val="none"/>
              </w:rPr>
              <w:t>水泥</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石粉、硅粉</w:t>
            </w:r>
            <w:r>
              <w:rPr>
                <w:rFonts w:hint="default"/>
                <w:caps w:val="0"/>
                <w:color w:val="auto"/>
                <w:spacing w:val="0"/>
                <w:position w:val="0"/>
                <w:highlight w:val="none"/>
              </w:rPr>
              <w:t>经专用罐车运输进厂后直接卸料至</w:t>
            </w:r>
            <w:r>
              <w:rPr>
                <w:rFonts w:hint="eastAsia"/>
                <w:caps w:val="0"/>
                <w:color w:val="auto"/>
                <w:spacing w:val="0"/>
                <w:position w:val="0"/>
                <w:highlight w:val="none"/>
                <w:lang w:eastAsia="zh-CN"/>
              </w:rPr>
              <w:t>料仓</w:t>
            </w:r>
            <w:r>
              <w:rPr>
                <w:rFonts w:hint="default"/>
                <w:caps w:val="0"/>
                <w:color w:val="auto"/>
                <w:spacing w:val="0"/>
                <w:position w:val="0"/>
                <w:highlight w:val="none"/>
              </w:rPr>
              <w:t>内，卸料时通过管道以负压吸入，</w:t>
            </w:r>
            <w:r>
              <w:rPr>
                <w:rFonts w:hint="eastAsia"/>
                <w:caps w:val="0"/>
                <w:color w:val="auto"/>
                <w:spacing w:val="0"/>
                <w:position w:val="0"/>
                <w:highlight w:val="none"/>
                <w:lang w:val="en-US" w:eastAsia="zh-CN"/>
              </w:rPr>
              <w:t>产生卸料粉尘极少可忽略不计，压榨尾泥为袋装原料，卸料时产生粉尘极小可忽略不计，碎石卸料量为18550ta，在原料仓库产生；锂渣卸料量为140000ta，在锂渣仓库产生，则原料仓库</w:t>
            </w:r>
            <w:r>
              <w:rPr>
                <w:rFonts w:hint="eastAsia"/>
                <w:caps w:val="0"/>
                <w:color w:val="auto"/>
                <w:spacing w:val="0"/>
                <w:position w:val="0"/>
                <w:highlight w:val="none"/>
              </w:rPr>
              <w:t>卸料</w:t>
            </w:r>
            <w:r>
              <w:rPr>
                <w:rFonts w:hint="eastAsia"/>
                <w:caps w:val="0"/>
                <w:color w:val="auto"/>
                <w:spacing w:val="0"/>
                <w:position w:val="0"/>
                <w:highlight w:val="none"/>
                <w:lang w:eastAsia="zh-CN"/>
              </w:rPr>
              <w:t>粉尘产生量为</w:t>
            </w:r>
            <w:r>
              <w:rPr>
                <w:rFonts w:hint="eastAsia"/>
                <w:caps w:val="0"/>
                <w:color w:val="auto"/>
                <w:spacing w:val="0"/>
                <w:position w:val="0"/>
                <w:highlight w:val="none"/>
                <w:lang w:val="en-US" w:eastAsia="zh-CN"/>
              </w:rPr>
              <w:t>0.19</w:t>
            </w:r>
            <w:r>
              <w:rPr>
                <w:rFonts w:hint="eastAsia"/>
                <w:caps w:val="0"/>
                <w:color w:val="auto"/>
                <w:spacing w:val="0"/>
                <w:position w:val="0"/>
                <w:highlight w:val="none"/>
                <w:lang w:eastAsia="zh-CN"/>
              </w:rPr>
              <w:t>t/a，</w:t>
            </w:r>
            <w:r>
              <w:rPr>
                <w:rFonts w:hint="eastAsia"/>
                <w:caps w:val="0"/>
                <w:color w:val="auto"/>
                <w:spacing w:val="0"/>
                <w:position w:val="0"/>
                <w:highlight w:val="none"/>
                <w:lang w:val="en-US" w:eastAsia="zh-CN"/>
              </w:rPr>
              <w:t>产生速率为0.04kg/h</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则锂渣仓库</w:t>
            </w:r>
            <w:r>
              <w:rPr>
                <w:rFonts w:hint="eastAsia"/>
                <w:caps w:val="0"/>
                <w:color w:val="auto"/>
                <w:spacing w:val="0"/>
                <w:position w:val="0"/>
                <w:highlight w:val="none"/>
              </w:rPr>
              <w:t>卸料</w:t>
            </w:r>
            <w:r>
              <w:rPr>
                <w:rFonts w:hint="eastAsia"/>
                <w:caps w:val="0"/>
                <w:color w:val="auto"/>
                <w:spacing w:val="0"/>
                <w:position w:val="0"/>
                <w:highlight w:val="none"/>
                <w:lang w:eastAsia="zh-CN"/>
              </w:rPr>
              <w:t>粉尘产生量为</w:t>
            </w:r>
            <w:r>
              <w:rPr>
                <w:rFonts w:hint="eastAsia"/>
                <w:caps w:val="0"/>
                <w:color w:val="auto"/>
                <w:spacing w:val="0"/>
                <w:position w:val="0"/>
                <w:highlight w:val="none"/>
                <w:lang w:val="en-US" w:eastAsia="zh-CN"/>
              </w:rPr>
              <w:t>1.4</w:t>
            </w:r>
            <w:r>
              <w:rPr>
                <w:rFonts w:hint="eastAsia"/>
                <w:caps w:val="0"/>
                <w:color w:val="auto"/>
                <w:spacing w:val="0"/>
                <w:position w:val="0"/>
                <w:highlight w:val="none"/>
                <w:lang w:eastAsia="zh-CN"/>
              </w:rPr>
              <w:t>t/a，</w:t>
            </w:r>
            <w:r>
              <w:rPr>
                <w:rFonts w:hint="eastAsia"/>
                <w:caps w:val="0"/>
                <w:color w:val="auto"/>
                <w:spacing w:val="0"/>
                <w:position w:val="0"/>
                <w:highlight w:val="none"/>
                <w:lang w:val="en-US" w:eastAsia="zh-CN"/>
              </w:rPr>
              <w:t>产生速率为0.29kg/h</w:t>
            </w:r>
            <w:r>
              <w:rPr>
                <w:rFonts w:hint="eastAsia"/>
                <w:caps w:val="0"/>
                <w:color w:val="auto"/>
                <w:spacing w:val="0"/>
                <w:position w:val="0"/>
                <w:highlight w:val="none"/>
                <w:lang w:eastAsia="zh-CN"/>
              </w:rPr>
              <w:t>。</w:t>
            </w:r>
          </w:p>
          <w:p w14:paraId="6F145601">
            <w:pPr>
              <w:pStyle w:val="8"/>
              <w:keepNext w:val="0"/>
              <w:keepLines w:val="0"/>
              <w:suppressLineNumbers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由于本项目原料仓库和锂渣仓库均为半封闭，且定期进行洒水除尘，</w:t>
            </w:r>
            <w:r>
              <w:rPr>
                <w:rFonts w:hint="eastAsia"/>
                <w:caps w:val="0"/>
                <w:color w:val="auto"/>
                <w:spacing w:val="0"/>
                <w:position w:val="0"/>
                <w:highlight w:val="none"/>
              </w:rPr>
              <w:t>根据《排放源统计调查产排污核算方法和系数手册》附</w:t>
            </w:r>
            <w:r>
              <w:rPr>
                <w:rFonts w:hint="default"/>
                <w:caps w:val="0"/>
                <w:color w:val="auto"/>
                <w:spacing w:val="0"/>
                <w:position w:val="0"/>
                <w:highlight w:val="none"/>
              </w:rPr>
              <w:t>1工业源－附表2固体物料堆存颗粒物产排污核算系数</w:t>
            </w:r>
            <w:r>
              <w:rPr>
                <w:rFonts w:hint="eastAsia"/>
                <w:caps w:val="0"/>
                <w:color w:val="auto"/>
                <w:spacing w:val="0"/>
                <w:position w:val="0"/>
                <w:highlight w:val="none"/>
              </w:rPr>
              <w:t>手册，</w:t>
            </w:r>
            <w:r>
              <w:rPr>
                <w:rFonts w:hint="eastAsia"/>
                <w:caps w:val="0"/>
                <w:color w:val="auto"/>
                <w:spacing w:val="0"/>
                <w:position w:val="0"/>
                <w:highlight w:val="none"/>
                <w:lang w:val="en-US" w:eastAsia="zh-CN"/>
              </w:rPr>
              <w:t>半封闭的沉降效率为60%，洒水抑尘的控制效率为74%，则总控制效率为89.6%，则原料仓库的</w:t>
            </w:r>
            <w:r>
              <w:rPr>
                <w:rFonts w:hint="eastAsia"/>
                <w:caps w:val="0"/>
                <w:color w:val="auto"/>
                <w:spacing w:val="0"/>
                <w:position w:val="0"/>
                <w:highlight w:val="none"/>
              </w:rPr>
              <w:t>卸料</w:t>
            </w:r>
            <w:r>
              <w:rPr>
                <w:rFonts w:hint="eastAsia"/>
                <w:caps w:val="0"/>
                <w:color w:val="auto"/>
                <w:spacing w:val="0"/>
                <w:position w:val="0"/>
                <w:highlight w:val="none"/>
                <w:lang w:eastAsia="zh-CN"/>
              </w:rPr>
              <w:t>粉尘</w:t>
            </w:r>
            <w:r>
              <w:rPr>
                <w:rFonts w:hint="eastAsia"/>
                <w:caps w:val="0"/>
                <w:color w:val="auto"/>
                <w:spacing w:val="0"/>
                <w:position w:val="0"/>
                <w:highlight w:val="none"/>
                <w:lang w:val="en-US" w:eastAsia="zh-CN"/>
              </w:rPr>
              <w:t>排放量为0.02t/a，排放速率为0.0042kg/h；锂渣仓库的</w:t>
            </w:r>
            <w:r>
              <w:rPr>
                <w:rFonts w:hint="eastAsia"/>
                <w:caps w:val="0"/>
                <w:color w:val="auto"/>
                <w:spacing w:val="0"/>
                <w:position w:val="0"/>
                <w:highlight w:val="none"/>
              </w:rPr>
              <w:t>卸料</w:t>
            </w:r>
            <w:r>
              <w:rPr>
                <w:rFonts w:hint="eastAsia"/>
                <w:caps w:val="0"/>
                <w:color w:val="auto"/>
                <w:spacing w:val="0"/>
                <w:position w:val="0"/>
                <w:highlight w:val="none"/>
                <w:lang w:eastAsia="zh-CN"/>
              </w:rPr>
              <w:t>粉尘</w:t>
            </w:r>
            <w:r>
              <w:rPr>
                <w:rFonts w:hint="eastAsia"/>
                <w:caps w:val="0"/>
                <w:color w:val="auto"/>
                <w:spacing w:val="0"/>
                <w:position w:val="0"/>
                <w:highlight w:val="none"/>
                <w:lang w:val="en-US" w:eastAsia="zh-CN"/>
              </w:rPr>
              <w:t>排放量为0.15t/a，排放速率为0.031kg/h。</w:t>
            </w:r>
          </w:p>
          <w:p w14:paraId="7E6E36EC">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本项目卸料</w:t>
            </w:r>
            <w:r>
              <w:rPr>
                <w:rFonts w:hint="eastAsia"/>
                <w:caps w:val="0"/>
                <w:color w:val="auto"/>
                <w:spacing w:val="0"/>
                <w:position w:val="0"/>
                <w:highlight w:val="none"/>
              </w:rPr>
              <w:t>粉尘</w:t>
            </w:r>
            <w:r>
              <w:rPr>
                <w:rFonts w:hint="eastAsia"/>
                <w:caps w:val="0"/>
                <w:color w:val="auto"/>
                <w:spacing w:val="0"/>
                <w:position w:val="0"/>
                <w:highlight w:val="none"/>
                <w:lang w:val="en-US" w:eastAsia="zh-CN"/>
              </w:rPr>
              <w:t>主要以颗粒物的形式排放，根据前文的元素平衡可知，</w:t>
            </w:r>
            <w:r>
              <w:rPr>
                <w:rFonts w:hint="eastAsia" w:ascii="Times New Roman" w:eastAsia="宋体"/>
                <w:caps w:val="0"/>
                <w:color w:val="auto"/>
                <w:spacing w:val="0"/>
                <w:position w:val="0"/>
                <w:highlight w:val="none"/>
                <w:lang w:val="en-US" w:eastAsia="zh-CN"/>
              </w:rPr>
              <w:t>锂冶炼剩余物</w:t>
            </w:r>
            <w:r>
              <w:rPr>
                <w:rFonts w:hint="eastAsia"/>
                <w:caps w:val="0"/>
                <w:color w:val="auto"/>
                <w:spacing w:val="0"/>
                <w:position w:val="0"/>
                <w:highlight w:val="none"/>
                <w:lang w:val="en-US" w:eastAsia="zh-CN"/>
              </w:rPr>
              <w:t>中的</w:t>
            </w:r>
            <w:r>
              <w:rPr>
                <w:rFonts w:hint="eastAsia" w:ascii="Times New Roman" w:eastAsia="宋体"/>
                <w:caps w:val="0"/>
                <w:color w:val="auto"/>
                <w:spacing w:val="0"/>
                <w:position w:val="0"/>
                <w:highlight w:val="none"/>
                <w:lang w:val="en-US" w:eastAsia="zh-CN"/>
              </w:rPr>
              <w:t>铊、铍、氟化物的含量分别</w:t>
            </w:r>
            <w:r>
              <w:rPr>
                <w:rFonts w:hint="eastAsia"/>
                <w:caps w:val="0"/>
                <w:color w:val="auto"/>
                <w:spacing w:val="0"/>
                <w:position w:val="0"/>
                <w:highlight w:val="none"/>
                <w:lang w:val="en-US" w:eastAsia="zh-CN"/>
              </w:rPr>
              <w:t>11.7</w:t>
            </w:r>
            <w:r>
              <w:rPr>
                <w:rFonts w:hint="eastAsia" w:ascii="Times New Roman" w:eastAsia="宋体"/>
                <w:caps w:val="0"/>
                <w:color w:val="auto"/>
                <w:spacing w:val="0"/>
                <w:position w:val="0"/>
                <w:highlight w:val="none"/>
                <w:lang w:val="en-US" w:eastAsia="zh-CN"/>
              </w:rPr>
              <w:t>mg/kg、</w:t>
            </w:r>
            <w:r>
              <w:rPr>
                <w:rFonts w:hint="eastAsia"/>
                <w:caps w:val="0"/>
                <w:color w:val="auto"/>
                <w:spacing w:val="0"/>
                <w:position w:val="0"/>
                <w:highlight w:val="none"/>
                <w:lang w:val="en-US" w:eastAsia="zh-CN"/>
              </w:rPr>
              <w:t>65.4</w:t>
            </w:r>
            <w:r>
              <w:rPr>
                <w:rFonts w:hint="eastAsia" w:ascii="Times New Roman" w:eastAsia="宋体"/>
                <w:caps w:val="0"/>
                <w:color w:val="auto"/>
                <w:spacing w:val="0"/>
                <w:position w:val="0"/>
                <w:highlight w:val="none"/>
                <w:lang w:val="en-US" w:eastAsia="zh-CN"/>
              </w:rPr>
              <w:t>mg/kg、</w:t>
            </w:r>
            <w:r>
              <w:rPr>
                <w:rFonts w:hint="eastAsia"/>
                <w:caps w:val="0"/>
                <w:color w:val="auto"/>
                <w:spacing w:val="0"/>
                <w:position w:val="0"/>
                <w:highlight w:val="none"/>
                <w:lang w:val="en-US" w:eastAsia="zh-CN"/>
              </w:rPr>
              <w:t>1.8</w:t>
            </w:r>
            <w:r>
              <w:rPr>
                <w:rFonts w:hint="eastAsia" w:ascii="Times New Roman" w:eastAsia="宋体"/>
                <w:caps w:val="0"/>
                <w:color w:val="auto"/>
                <w:spacing w:val="0"/>
                <w:position w:val="0"/>
                <w:highlight w:val="none"/>
                <w:lang w:val="en-US" w:eastAsia="zh-CN"/>
              </w:rPr>
              <w:t>%，</w:t>
            </w:r>
            <w:r>
              <w:rPr>
                <w:rFonts w:hint="eastAsia"/>
                <w:caps w:val="0"/>
                <w:color w:val="auto"/>
                <w:spacing w:val="0"/>
                <w:position w:val="0"/>
                <w:highlight w:val="none"/>
                <w:lang w:val="en-US" w:eastAsia="zh-CN"/>
              </w:rPr>
              <w:t>根据该含量核算卸料</w:t>
            </w:r>
            <w:r>
              <w:rPr>
                <w:rFonts w:hint="eastAsia"/>
                <w:caps w:val="0"/>
                <w:color w:val="auto"/>
                <w:spacing w:val="0"/>
                <w:position w:val="0"/>
                <w:highlight w:val="none"/>
              </w:rPr>
              <w:t>粉尘</w:t>
            </w:r>
            <w:r>
              <w:rPr>
                <w:rFonts w:hint="eastAsia"/>
                <w:caps w:val="0"/>
                <w:color w:val="auto"/>
                <w:spacing w:val="0"/>
                <w:position w:val="0"/>
                <w:highlight w:val="none"/>
                <w:lang w:val="en-US" w:eastAsia="zh-CN"/>
              </w:rPr>
              <w:t>中</w:t>
            </w:r>
            <w:r>
              <w:rPr>
                <w:rFonts w:hint="eastAsia" w:ascii="Times New Roman" w:eastAsia="宋体"/>
                <w:caps w:val="0"/>
                <w:color w:val="auto"/>
                <w:spacing w:val="0"/>
                <w:position w:val="0"/>
                <w:highlight w:val="none"/>
                <w:lang w:val="en-US" w:eastAsia="zh-CN"/>
              </w:rPr>
              <w:t>铊、铍、氟化物的量</w:t>
            </w:r>
            <w:r>
              <w:rPr>
                <w:rFonts w:hint="eastAsia"/>
                <w:caps w:val="0"/>
                <w:color w:val="auto"/>
                <w:spacing w:val="0"/>
                <w:position w:val="0"/>
                <w:highlight w:val="none"/>
                <w:lang w:val="en-US" w:eastAsia="zh-CN"/>
              </w:rPr>
              <w:t>，详情见4-1、4-2。</w:t>
            </w:r>
          </w:p>
          <w:p w14:paraId="161E2335">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②堆料扬尘</w:t>
            </w:r>
          </w:p>
          <w:p w14:paraId="51D07185">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default"/>
                <w:caps w:val="0"/>
                <w:color w:val="auto"/>
                <w:spacing w:val="0"/>
                <w:position w:val="0"/>
                <w:highlight w:val="none"/>
              </w:rPr>
              <w:t>项目原料堆放在三面围挡</w:t>
            </w:r>
            <w:r>
              <w:rPr>
                <w:rFonts w:hint="eastAsia"/>
                <w:caps w:val="0"/>
                <w:color w:val="auto"/>
                <w:spacing w:val="0"/>
                <w:position w:val="0"/>
                <w:highlight w:val="none"/>
                <w:lang w:eastAsia="zh-CN"/>
              </w:rPr>
              <w:t>，</w:t>
            </w:r>
            <w:r>
              <w:rPr>
                <w:rFonts w:hint="default"/>
                <w:caps w:val="0"/>
                <w:color w:val="auto"/>
                <w:spacing w:val="0"/>
                <w:position w:val="0"/>
                <w:highlight w:val="none"/>
              </w:rPr>
              <w:t>只留一个进出口的封闭</w:t>
            </w:r>
            <w:r>
              <w:rPr>
                <w:rFonts w:hint="eastAsia"/>
                <w:caps w:val="0"/>
                <w:color w:val="auto"/>
                <w:spacing w:val="0"/>
                <w:position w:val="0"/>
                <w:highlight w:val="none"/>
                <w:lang w:eastAsia="zh-CN"/>
              </w:rPr>
              <w:t>仓库</w:t>
            </w:r>
            <w:r>
              <w:rPr>
                <w:rFonts w:hint="default"/>
                <w:caps w:val="0"/>
                <w:color w:val="auto"/>
                <w:spacing w:val="0"/>
                <w:position w:val="0"/>
                <w:highlight w:val="none"/>
              </w:rPr>
              <w:t>内，因此不考虑原料堆放过程中产生的风蚀扬尘，主要考虑原料装卸粉尘</w:t>
            </w:r>
            <w:r>
              <w:rPr>
                <w:rFonts w:hint="eastAsia"/>
                <w:caps w:val="0"/>
                <w:color w:val="auto"/>
                <w:spacing w:val="0"/>
                <w:position w:val="0"/>
                <w:highlight w:val="none"/>
                <w:lang w:eastAsia="zh-CN"/>
              </w:rPr>
              <w:t>。</w:t>
            </w:r>
          </w:p>
          <w:p w14:paraId="1DFCB97D">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（2）输送粉尘</w:t>
            </w:r>
          </w:p>
          <w:p w14:paraId="5D537504">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w:t>
            </w:r>
            <w:r>
              <w:rPr>
                <w:rFonts w:hint="eastAsia"/>
                <w:caps w:val="0"/>
                <w:color w:val="auto"/>
                <w:spacing w:val="0"/>
                <w:position w:val="0"/>
                <w:highlight w:val="none"/>
                <w:lang w:val="en-US" w:eastAsia="zh-CN"/>
              </w:rPr>
              <w:t>锂冶炼剩余物、压榨尾泥含水率高、碎石粒径较大且通过密闭皮带输送过程中基本不产生粉尘，</w:t>
            </w:r>
            <w:r>
              <w:rPr>
                <w:rFonts w:hint="default"/>
                <w:caps w:val="0"/>
                <w:color w:val="auto"/>
                <w:spacing w:val="0"/>
                <w:position w:val="0"/>
                <w:highlight w:val="none"/>
              </w:rPr>
              <w:t>对大气产生影响较小，水泥</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石粉、硅粉</w:t>
            </w:r>
            <w:r>
              <w:rPr>
                <w:rFonts w:hint="default"/>
                <w:caps w:val="0"/>
                <w:color w:val="auto"/>
                <w:spacing w:val="0"/>
                <w:position w:val="0"/>
                <w:highlight w:val="none"/>
              </w:rPr>
              <w:t>通过密闭管道输送至配料系统，</w:t>
            </w:r>
            <w:r>
              <w:rPr>
                <w:rFonts w:hint="default"/>
                <w:caps w:val="0"/>
                <w:color w:val="auto"/>
                <w:spacing w:val="0"/>
                <w:position w:val="0"/>
              </w:rPr>
              <w:t>配套安装喷雾降尘设施，</w:t>
            </w:r>
            <w:r>
              <w:rPr>
                <w:rFonts w:hint="default"/>
                <w:caps w:val="0"/>
                <w:color w:val="auto"/>
                <w:spacing w:val="0"/>
                <w:position w:val="0"/>
                <w:highlight w:val="none"/>
              </w:rPr>
              <w:t>可以最大限度降低输送扬尘的产生，对大气产生影响较小，因此不定量分析。</w:t>
            </w:r>
          </w:p>
          <w:p w14:paraId="2097C5DE">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（3）投料</w:t>
            </w:r>
            <w:r>
              <w:rPr>
                <w:rFonts w:hint="eastAsia"/>
                <w:caps w:val="0"/>
                <w:color w:val="auto"/>
                <w:spacing w:val="0"/>
                <w:position w:val="0"/>
                <w:highlight w:val="none"/>
              </w:rPr>
              <w:t>粉尘</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搅拌</w:t>
            </w:r>
            <w:r>
              <w:rPr>
                <w:rFonts w:hint="eastAsia"/>
                <w:caps w:val="0"/>
                <w:color w:val="auto"/>
                <w:spacing w:val="0"/>
                <w:position w:val="0"/>
                <w:highlight w:val="none"/>
              </w:rPr>
              <w:t>粉尘</w:t>
            </w:r>
          </w:p>
          <w:p w14:paraId="413EB7EA">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①投料</w:t>
            </w:r>
            <w:r>
              <w:rPr>
                <w:rFonts w:hint="eastAsia"/>
                <w:caps w:val="0"/>
                <w:color w:val="auto"/>
                <w:spacing w:val="0"/>
                <w:position w:val="0"/>
                <w:highlight w:val="none"/>
              </w:rPr>
              <w:t>粉尘</w:t>
            </w:r>
          </w:p>
          <w:p w14:paraId="077BC3B1">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本项目水泥、石粉、硅粉在料仓储存采用密闭管道</w:t>
            </w:r>
            <w:r>
              <w:rPr>
                <w:rFonts w:hint="default"/>
                <w:caps w:val="0"/>
                <w:color w:val="auto"/>
                <w:spacing w:val="0"/>
                <w:position w:val="0"/>
                <w:highlight w:val="none"/>
              </w:rPr>
              <w:t>输送至配料系统，可以最大限度降低</w:t>
            </w:r>
            <w:r>
              <w:rPr>
                <w:rFonts w:hint="eastAsia"/>
                <w:caps w:val="0"/>
                <w:color w:val="auto"/>
                <w:spacing w:val="0"/>
                <w:position w:val="0"/>
                <w:highlight w:val="none"/>
                <w:lang w:val="en-US" w:eastAsia="zh-CN"/>
              </w:rPr>
              <w:t>粉尘</w:t>
            </w:r>
            <w:r>
              <w:rPr>
                <w:rFonts w:hint="default"/>
                <w:caps w:val="0"/>
                <w:color w:val="auto"/>
                <w:spacing w:val="0"/>
                <w:position w:val="0"/>
                <w:highlight w:val="none"/>
              </w:rPr>
              <w:t>的产生，对大气产生影响较小，因此不定量分析</w:t>
            </w:r>
            <w:r>
              <w:rPr>
                <w:rFonts w:hint="eastAsia"/>
                <w:caps w:val="0"/>
                <w:color w:val="auto"/>
                <w:spacing w:val="0"/>
                <w:position w:val="0"/>
                <w:highlight w:val="none"/>
                <w:lang w:val="en-US" w:eastAsia="zh-CN"/>
              </w:rPr>
              <w:t>。锂冶炼剩余物、压榨尾泥、碎石等原料用装载车投料，其过程会产生粉尘（此过程年工作4800h）；参照《逸散性工业粉尘控制技术》中表22-1混凝土分批搅拌站场逸散尘排放因子中装水泥、砂和粒料入称量斗排放系数0.01kg/t，</w:t>
            </w:r>
            <w:r>
              <w:rPr>
                <w:rFonts w:hint="eastAsia"/>
                <w:caps w:val="0"/>
                <w:color w:val="auto"/>
                <w:spacing w:val="0"/>
                <w:position w:val="0"/>
                <w:highlight w:val="none"/>
              </w:rPr>
              <w:t>本项目锂冶炼剩余物、压榨尾泥、碎石的年用量为</w:t>
            </w:r>
            <w:r>
              <w:rPr>
                <w:rFonts w:hint="eastAsia"/>
                <w:caps w:val="0"/>
                <w:color w:val="auto"/>
                <w:spacing w:val="0"/>
                <w:position w:val="0"/>
                <w:highlight w:val="none"/>
                <w:lang w:val="en-US" w:eastAsia="zh-CN"/>
              </w:rPr>
              <w:t>168470</w:t>
            </w:r>
            <w:r>
              <w:rPr>
                <w:rFonts w:hint="default"/>
                <w:caps w:val="0"/>
                <w:color w:val="auto"/>
                <w:spacing w:val="0"/>
                <w:position w:val="0"/>
                <w:highlight w:val="none"/>
              </w:rPr>
              <w:t>t/a</w:t>
            </w:r>
            <w:r>
              <w:rPr>
                <w:rFonts w:hint="eastAsia"/>
                <w:caps w:val="0"/>
                <w:color w:val="auto"/>
                <w:spacing w:val="0"/>
                <w:position w:val="0"/>
                <w:highlight w:val="none"/>
              </w:rPr>
              <w:t>，则</w:t>
            </w:r>
            <w:r>
              <w:rPr>
                <w:rFonts w:hint="eastAsia"/>
                <w:caps w:val="0"/>
                <w:color w:val="auto"/>
                <w:spacing w:val="0"/>
                <w:position w:val="0"/>
                <w:highlight w:val="none"/>
                <w:lang w:val="en-US" w:eastAsia="zh-CN"/>
              </w:rPr>
              <w:t>投料</w:t>
            </w:r>
            <w:r>
              <w:rPr>
                <w:rFonts w:hint="eastAsia"/>
                <w:caps w:val="0"/>
                <w:color w:val="auto"/>
                <w:spacing w:val="0"/>
                <w:position w:val="0"/>
                <w:highlight w:val="none"/>
              </w:rPr>
              <w:t>粉尘的产生量为</w:t>
            </w:r>
            <w:r>
              <w:rPr>
                <w:rFonts w:hint="eastAsia"/>
                <w:caps w:val="0"/>
                <w:color w:val="auto"/>
                <w:spacing w:val="0"/>
                <w:position w:val="0"/>
                <w:highlight w:val="none"/>
                <w:lang w:val="en-US" w:eastAsia="zh-CN"/>
              </w:rPr>
              <w:t>1.69</w:t>
            </w:r>
            <w:r>
              <w:rPr>
                <w:rFonts w:hint="eastAsia"/>
                <w:caps w:val="0"/>
                <w:color w:val="auto"/>
                <w:spacing w:val="0"/>
                <w:position w:val="0"/>
                <w:highlight w:val="none"/>
                <w:lang w:eastAsia="zh-CN"/>
              </w:rPr>
              <w:t>t/a，</w:t>
            </w:r>
            <w:r>
              <w:rPr>
                <w:rFonts w:hint="eastAsia"/>
                <w:caps w:val="0"/>
                <w:color w:val="auto"/>
                <w:spacing w:val="0"/>
                <w:position w:val="0"/>
                <w:highlight w:val="none"/>
                <w:lang w:val="en-US" w:eastAsia="zh-CN"/>
              </w:rPr>
              <w:t>产生速率为0.35kg/h</w:t>
            </w:r>
            <w:r>
              <w:rPr>
                <w:rFonts w:hint="eastAsia"/>
                <w:caps w:val="0"/>
                <w:color w:val="auto"/>
                <w:spacing w:val="0"/>
                <w:position w:val="0"/>
                <w:highlight w:val="none"/>
                <w:lang w:eastAsia="zh-CN"/>
              </w:rPr>
              <w:t>。</w:t>
            </w:r>
            <w:r>
              <w:rPr>
                <w:rFonts w:hint="eastAsia" w:ascii="Times New Roman" w:eastAsia="宋体"/>
                <w:caps w:val="0"/>
                <w:color w:val="auto"/>
                <w:spacing w:val="0"/>
                <w:position w:val="0"/>
                <w:highlight w:val="none"/>
                <w:lang w:val="en-US" w:eastAsia="zh-CN"/>
              </w:rPr>
              <w:t>投料</w:t>
            </w:r>
            <w:r>
              <w:rPr>
                <w:rFonts w:hint="eastAsia"/>
                <w:caps w:val="0"/>
                <w:color w:val="auto"/>
                <w:spacing w:val="0"/>
                <w:position w:val="0"/>
                <w:highlight w:val="none"/>
                <w:lang w:val="en-US" w:eastAsia="zh-CN"/>
              </w:rPr>
              <w:t>粉尘</w:t>
            </w:r>
            <w:r>
              <w:rPr>
                <w:rFonts w:hint="eastAsia"/>
                <w:caps w:val="0"/>
                <w:color w:val="auto"/>
                <w:spacing w:val="0"/>
                <w:position w:val="0"/>
                <w:highlight w:val="none"/>
              </w:rPr>
              <w:t>由</w:t>
            </w:r>
            <w:r>
              <w:rPr>
                <w:rFonts w:hint="eastAsia"/>
                <w:caps w:val="0"/>
                <w:color w:val="auto"/>
                <w:spacing w:val="0"/>
                <w:position w:val="0"/>
                <w:highlight w:val="none"/>
                <w:lang w:val="en-US" w:eastAsia="zh-CN"/>
              </w:rPr>
              <w:t>集气罩收集</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收集效率90%</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w:t>
            </w:r>
            <w:r>
              <w:rPr>
                <w:rFonts w:hint="eastAsia"/>
                <w:caps w:val="0"/>
                <w:color w:val="auto"/>
                <w:spacing w:val="0"/>
                <w:position w:val="0"/>
                <w:highlight w:val="none"/>
              </w:rPr>
              <w:t>袋式除尘器</w:t>
            </w:r>
            <w:r>
              <w:rPr>
                <w:rFonts w:hint="eastAsia"/>
                <w:caps w:val="0"/>
                <w:color w:val="auto"/>
                <w:spacing w:val="0"/>
                <w:position w:val="0"/>
                <w:highlight w:val="none"/>
                <w:lang w:val="en-US" w:eastAsia="zh-CN"/>
              </w:rPr>
              <w:t>处理后通过15m</w:t>
            </w:r>
            <w:r>
              <w:rPr>
                <w:rFonts w:hint="eastAsia"/>
                <w:caps w:val="0"/>
                <w:color w:val="auto"/>
                <w:spacing w:val="0"/>
                <w:position w:val="0"/>
                <w:highlight w:val="none"/>
              </w:rPr>
              <w:t>排气筒（D</w:t>
            </w:r>
            <w:r>
              <w:rPr>
                <w:rFonts w:hint="default"/>
                <w:caps w:val="0"/>
                <w:color w:val="auto"/>
                <w:spacing w:val="0"/>
                <w:position w:val="0"/>
                <w:highlight w:val="none"/>
              </w:rPr>
              <w:t>A</w:t>
            </w:r>
            <w:r>
              <w:rPr>
                <w:rFonts w:hint="eastAsia"/>
                <w:caps w:val="0"/>
                <w:color w:val="auto"/>
                <w:spacing w:val="0"/>
                <w:position w:val="0"/>
                <w:highlight w:val="none"/>
                <w:lang w:val="en-US" w:eastAsia="zh-CN"/>
              </w:rPr>
              <w:t>001</w:t>
            </w:r>
            <w:r>
              <w:rPr>
                <w:rFonts w:hint="eastAsia"/>
                <w:caps w:val="0"/>
                <w:color w:val="auto"/>
                <w:spacing w:val="0"/>
                <w:position w:val="0"/>
                <w:highlight w:val="none"/>
              </w:rPr>
              <w:t>）</w:t>
            </w:r>
            <w:r>
              <w:rPr>
                <w:rFonts w:hint="eastAsia"/>
                <w:caps w:val="0"/>
                <w:color w:val="auto"/>
                <w:spacing w:val="0"/>
                <w:position w:val="0"/>
                <w:highlight w:val="none"/>
                <w:lang w:val="en-US" w:eastAsia="zh-CN"/>
              </w:rPr>
              <w:t>排放，</w:t>
            </w:r>
            <w:r>
              <w:rPr>
                <w:rFonts w:hint="eastAsia"/>
                <w:caps w:val="0"/>
                <w:color w:val="auto"/>
                <w:spacing w:val="0"/>
                <w:position w:val="0"/>
                <w:szCs w:val="21"/>
                <w:highlight w:val="none"/>
                <w:lang w:val="en-US" w:eastAsia="zh-CN"/>
              </w:rPr>
              <w:t>则</w:t>
            </w:r>
            <w:r>
              <w:rPr>
                <w:rFonts w:hint="eastAsia"/>
                <w:caps w:val="0"/>
                <w:color w:val="auto"/>
                <w:spacing w:val="0"/>
                <w:position w:val="0"/>
                <w:highlight w:val="none"/>
                <w:lang w:val="en-US" w:eastAsia="zh-CN"/>
              </w:rPr>
              <w:t>投料</w:t>
            </w:r>
            <w:r>
              <w:rPr>
                <w:rFonts w:hint="eastAsia"/>
                <w:caps w:val="0"/>
                <w:color w:val="auto"/>
                <w:spacing w:val="0"/>
                <w:position w:val="0"/>
                <w:highlight w:val="none"/>
              </w:rPr>
              <w:t>粉尘排放量为</w:t>
            </w:r>
            <w:r>
              <w:rPr>
                <w:rFonts w:hint="eastAsia"/>
                <w:caps w:val="0"/>
                <w:color w:val="auto"/>
                <w:spacing w:val="0"/>
                <w:position w:val="0"/>
                <w:highlight w:val="none"/>
                <w:lang w:val="en-US" w:eastAsia="zh-CN"/>
              </w:rPr>
              <w:t>0.015</w:t>
            </w:r>
            <w:r>
              <w:rPr>
                <w:rFonts w:hint="default"/>
                <w:caps w:val="0"/>
                <w:color w:val="auto"/>
                <w:spacing w:val="0"/>
                <w:position w:val="0"/>
                <w:highlight w:val="none"/>
              </w:rPr>
              <w:t>t/a</w:t>
            </w:r>
            <w:r>
              <w:rPr>
                <w:rFonts w:hint="eastAsia"/>
                <w:caps w:val="0"/>
                <w:color w:val="auto"/>
                <w:spacing w:val="0"/>
                <w:position w:val="0"/>
                <w:highlight w:val="none"/>
              </w:rPr>
              <w:t>，</w:t>
            </w:r>
            <w:r>
              <w:rPr>
                <w:rFonts w:hint="default"/>
                <w:caps w:val="0"/>
                <w:color w:val="auto"/>
                <w:spacing w:val="0"/>
                <w:position w:val="0"/>
                <w:highlight w:val="none"/>
              </w:rPr>
              <w:t>排放</w:t>
            </w:r>
            <w:r>
              <w:rPr>
                <w:rFonts w:hint="eastAsia"/>
                <w:caps w:val="0"/>
                <w:color w:val="auto"/>
                <w:spacing w:val="0"/>
                <w:position w:val="0"/>
                <w:highlight w:val="none"/>
              </w:rPr>
              <w:t>速率为</w:t>
            </w:r>
            <w:r>
              <w:rPr>
                <w:rFonts w:hint="default"/>
                <w:caps w:val="0"/>
                <w:color w:val="auto"/>
                <w:spacing w:val="0"/>
                <w:position w:val="0"/>
                <w:highlight w:val="none"/>
              </w:rPr>
              <w:t>0.</w:t>
            </w:r>
            <w:r>
              <w:rPr>
                <w:rFonts w:hint="eastAsia"/>
                <w:caps w:val="0"/>
                <w:color w:val="auto"/>
                <w:spacing w:val="0"/>
                <w:position w:val="0"/>
                <w:highlight w:val="none"/>
                <w:lang w:val="en-US" w:eastAsia="zh-CN"/>
              </w:rPr>
              <w:t>0032</w:t>
            </w:r>
            <w:r>
              <w:rPr>
                <w:rFonts w:hint="eastAsia"/>
                <w:caps w:val="0"/>
                <w:color w:val="auto"/>
                <w:spacing w:val="0"/>
                <w:position w:val="0"/>
                <w:highlight w:val="none"/>
              </w:rPr>
              <w:t>kg/h</w:t>
            </w:r>
            <w:r>
              <w:rPr>
                <w:rFonts w:hint="eastAsia"/>
                <w:caps w:val="0"/>
                <w:color w:val="auto"/>
                <w:spacing w:val="0"/>
                <w:position w:val="0"/>
                <w:highlight w:val="none"/>
                <w:lang w:eastAsia="zh-CN"/>
              </w:rPr>
              <w:t>。</w:t>
            </w:r>
            <w:r>
              <w:rPr>
                <w:rFonts w:hint="default"/>
                <w:caps w:val="0"/>
                <w:color w:val="auto"/>
                <w:spacing w:val="0"/>
                <w:position w:val="0"/>
                <w:highlight w:val="none"/>
              </w:rPr>
              <w:t>未收集</w:t>
            </w:r>
            <w:r>
              <w:rPr>
                <w:rFonts w:hint="eastAsia"/>
                <w:caps w:val="0"/>
                <w:color w:val="auto"/>
                <w:spacing w:val="0"/>
                <w:position w:val="0"/>
                <w:highlight w:val="none"/>
              </w:rPr>
              <w:t>粉尘</w:t>
            </w:r>
            <w:r>
              <w:rPr>
                <w:rFonts w:hint="eastAsia"/>
                <w:caps w:val="0"/>
                <w:color w:val="auto"/>
                <w:spacing w:val="0"/>
                <w:position w:val="0"/>
                <w:highlight w:val="none"/>
                <w:lang w:val="en-US" w:eastAsia="zh-CN"/>
              </w:rPr>
              <w:t>0.17</w:t>
            </w:r>
            <w:r>
              <w:rPr>
                <w:rFonts w:hint="default"/>
                <w:caps w:val="0"/>
                <w:color w:val="auto"/>
                <w:spacing w:val="0"/>
                <w:position w:val="0"/>
                <w:highlight w:val="none"/>
              </w:rPr>
              <w:t>t/a，</w:t>
            </w:r>
            <w:r>
              <w:rPr>
                <w:rFonts w:hint="eastAsia"/>
                <w:caps w:val="0"/>
                <w:color w:val="auto"/>
                <w:spacing w:val="0"/>
                <w:position w:val="0"/>
                <w:highlight w:val="none"/>
                <w:lang w:val="en-US" w:eastAsia="zh-CN"/>
              </w:rPr>
              <w:t>由于投料过程处于半封闭厂房内</w:t>
            </w:r>
            <w:r>
              <w:rPr>
                <w:rFonts w:hint="eastAsia"/>
                <w:caps w:val="0"/>
                <w:color w:val="auto"/>
                <w:spacing w:val="0"/>
                <w:position w:val="0"/>
                <w:highlight w:val="none"/>
              </w:rPr>
              <w:t>，</w:t>
            </w:r>
            <w:r>
              <w:rPr>
                <w:rFonts w:hint="eastAsia"/>
                <w:caps w:val="0"/>
                <w:color w:val="auto"/>
                <w:spacing w:val="0"/>
                <w:position w:val="0"/>
                <w:highlight w:val="none"/>
                <w:lang w:val="en-US" w:eastAsia="zh-CN"/>
              </w:rPr>
              <w:t>且设置喷淋降尘，</w:t>
            </w:r>
            <w:r>
              <w:rPr>
                <w:rFonts w:hint="eastAsia"/>
                <w:caps w:val="0"/>
                <w:color w:val="auto"/>
                <w:spacing w:val="0"/>
                <w:position w:val="0"/>
                <w:highlight w:val="none"/>
              </w:rPr>
              <w:t>根据《排放源统计调查产排污核算方法和系数手册》附</w:t>
            </w:r>
            <w:r>
              <w:rPr>
                <w:rFonts w:hint="default"/>
                <w:caps w:val="0"/>
                <w:color w:val="auto"/>
                <w:spacing w:val="0"/>
                <w:position w:val="0"/>
                <w:highlight w:val="none"/>
              </w:rPr>
              <w:t>1工业源－附表2固体物料堆存颗粒物产排污核算系数</w:t>
            </w:r>
            <w:r>
              <w:rPr>
                <w:rFonts w:hint="eastAsia"/>
                <w:caps w:val="0"/>
                <w:color w:val="auto"/>
                <w:spacing w:val="0"/>
                <w:position w:val="0"/>
                <w:highlight w:val="none"/>
              </w:rPr>
              <w:t>手册，</w:t>
            </w:r>
            <w:r>
              <w:rPr>
                <w:rFonts w:hint="eastAsia"/>
                <w:caps w:val="0"/>
                <w:color w:val="auto"/>
                <w:spacing w:val="0"/>
                <w:position w:val="0"/>
                <w:highlight w:val="none"/>
                <w:lang w:val="en-US" w:eastAsia="zh-CN"/>
              </w:rPr>
              <w:t>半封闭的沉降效率为60%，洒水抑尘的控制效率为74%，则总控制效率为89.6%，因此无排放量为0.018t/a，排放速率为0.0038kg/h。</w:t>
            </w:r>
          </w:p>
          <w:p w14:paraId="16F76F6A">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②搅拌</w:t>
            </w:r>
            <w:r>
              <w:rPr>
                <w:rFonts w:hint="eastAsia"/>
                <w:caps w:val="0"/>
                <w:color w:val="auto"/>
                <w:spacing w:val="0"/>
                <w:position w:val="0"/>
                <w:highlight w:val="none"/>
              </w:rPr>
              <w:t>粉尘</w:t>
            </w:r>
          </w:p>
          <w:p w14:paraId="5A21D4F1">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rPr>
              <w:t>各类物料经</w:t>
            </w:r>
            <w:r>
              <w:rPr>
                <w:rFonts w:hint="eastAsia"/>
                <w:caps w:val="0"/>
                <w:color w:val="auto"/>
                <w:spacing w:val="0"/>
                <w:position w:val="0"/>
                <w:highlight w:val="none"/>
                <w:lang w:val="en-US" w:eastAsia="zh-CN"/>
              </w:rPr>
              <w:t>密闭皮带输送、密闭管道输送、铲车投料进去搅拌设备</w:t>
            </w:r>
            <w:r>
              <w:rPr>
                <w:rFonts w:hint="eastAsia"/>
                <w:caps w:val="0"/>
                <w:color w:val="auto"/>
                <w:spacing w:val="0"/>
                <w:position w:val="0"/>
                <w:highlight w:val="none"/>
              </w:rPr>
              <w:t>进行搅拌混合，在达到预设的混合时间后搅拌主机自行打开主机卸料门将混合后的成品料卸入到主机卸料斗内。搅拌主机上配置了独立的布袋除尘器用来释放主机搅拌过程中的压力和粉尘，</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经除尘器处理后</w:t>
            </w:r>
            <w:r>
              <w:rPr>
                <w:rFonts w:hint="eastAsia" w:ascii="Times New Roman" w:hAnsi="Times New Roman" w:eastAsia="宋体" w:cs="Times New Roman"/>
                <w:bCs/>
                <w:caps w:val="0"/>
                <w:color w:val="auto"/>
                <w:spacing w:val="0"/>
                <w:kern w:val="2"/>
                <w:position w:val="0"/>
                <w:sz w:val="24"/>
                <w:szCs w:val="24"/>
                <w:highlight w:val="none"/>
                <w:lang w:val="en-US" w:eastAsia="zh-CN" w:bidi="ar-SA"/>
              </w:rPr>
              <w:t>通过</w:t>
            </w:r>
            <w:r>
              <w:rPr>
                <w:rFonts w:hint="eastAsia" w:cs="Times New Roman"/>
                <w:bCs/>
                <w:caps w:val="0"/>
                <w:color w:val="auto"/>
                <w:spacing w:val="0"/>
                <w:kern w:val="2"/>
                <w:position w:val="0"/>
                <w:sz w:val="24"/>
                <w:szCs w:val="24"/>
                <w:highlight w:val="none"/>
                <w:lang w:val="en-US" w:eastAsia="zh-CN" w:bidi="ar-SA"/>
              </w:rPr>
              <w:t>15m</w:t>
            </w:r>
            <w:r>
              <w:rPr>
                <w:rFonts w:hint="eastAsia" w:ascii="Times New Roman" w:hAnsi="Times New Roman" w:eastAsia="宋体" w:cs="Times New Roman"/>
                <w:bCs/>
                <w:caps w:val="0"/>
                <w:color w:val="auto"/>
                <w:spacing w:val="0"/>
                <w:kern w:val="2"/>
                <w:position w:val="0"/>
                <w:sz w:val="24"/>
                <w:szCs w:val="24"/>
                <w:highlight w:val="none"/>
                <w:lang w:val="en-US" w:eastAsia="zh-CN" w:bidi="ar-SA"/>
              </w:rPr>
              <w:t>排气筒（D</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A</w:t>
            </w:r>
            <w:r>
              <w:rPr>
                <w:rFonts w:hint="eastAsia" w:ascii="Times New Roman" w:hAnsi="Times New Roman" w:eastAsia="宋体" w:cs="Times New Roman"/>
                <w:bCs/>
                <w:caps w:val="0"/>
                <w:color w:val="auto"/>
                <w:spacing w:val="0"/>
                <w:kern w:val="2"/>
                <w:position w:val="0"/>
                <w:sz w:val="24"/>
                <w:szCs w:val="24"/>
                <w:highlight w:val="none"/>
                <w:lang w:val="en-US" w:eastAsia="zh-CN" w:bidi="ar-SA"/>
              </w:rPr>
              <w:t>001）排放，</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收集的粉尘回收到仓内用于生产</w:t>
            </w:r>
            <w:r>
              <w:rPr>
                <w:rFonts w:hint="eastAsia" w:cs="Times New Roman"/>
                <w:bCs/>
                <w:caps w:val="0"/>
                <w:color w:val="auto"/>
                <w:spacing w:val="0"/>
                <w:kern w:val="2"/>
                <w:position w:val="0"/>
                <w:sz w:val="24"/>
                <w:szCs w:val="24"/>
                <w:highlight w:val="none"/>
                <w:lang w:val="en-US" w:eastAsia="zh-CN" w:bidi="ar-SA"/>
              </w:rPr>
              <w:t>。</w:t>
            </w:r>
          </w:p>
          <w:p w14:paraId="0C31A3EE">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根据</w:t>
            </w:r>
            <w:r>
              <w:rPr>
                <w:rFonts w:hint="default"/>
                <w:caps w:val="0"/>
                <w:color w:val="auto"/>
                <w:spacing w:val="0"/>
                <w:position w:val="0"/>
                <w:highlight w:val="none"/>
              </w:rPr>
              <w:t>《排放源统计调查产排污核算方法和系数手册》（2021年第24号）</w:t>
            </w:r>
            <w:r>
              <w:rPr>
                <w:rFonts w:hint="eastAsia"/>
                <w:caps w:val="0"/>
                <w:color w:val="auto"/>
                <w:spacing w:val="0"/>
                <w:position w:val="0"/>
                <w:highlight w:val="none"/>
              </w:rPr>
              <w:t>中“3029其他水泥类似制品制造”行业产排污系数</w:t>
            </w:r>
            <w:r>
              <w:rPr>
                <w:rFonts w:hint="eastAsia"/>
                <w:caps w:val="0"/>
                <w:color w:val="auto"/>
                <w:spacing w:val="0"/>
                <w:position w:val="0"/>
                <w:highlight w:val="none"/>
                <w:lang w:val="en-US" w:eastAsia="zh-CN"/>
              </w:rPr>
              <w:t>手册中</w:t>
            </w:r>
            <w:r>
              <w:rPr>
                <w:rFonts w:hint="eastAsia"/>
                <w:caps w:val="0"/>
                <w:color w:val="auto"/>
                <w:spacing w:val="0"/>
                <w:position w:val="0"/>
                <w:highlight w:val="none"/>
              </w:rPr>
              <w:t>物料</w:t>
            </w:r>
            <w:r>
              <w:rPr>
                <w:rFonts w:hint="eastAsia"/>
                <w:caps w:val="0"/>
                <w:color w:val="auto"/>
                <w:spacing w:val="0"/>
                <w:position w:val="0"/>
                <w:highlight w:val="none"/>
                <w:lang w:val="en-US" w:eastAsia="zh-CN"/>
              </w:rPr>
              <w:t>混合搅拌</w:t>
            </w:r>
            <w:r>
              <w:rPr>
                <w:rFonts w:hint="eastAsia"/>
                <w:caps w:val="0"/>
                <w:color w:val="auto"/>
                <w:spacing w:val="0"/>
                <w:position w:val="0"/>
                <w:highlight w:val="none"/>
              </w:rPr>
              <w:t>工序颗粒物产</w:t>
            </w:r>
            <w:r>
              <w:rPr>
                <w:rFonts w:hint="eastAsia"/>
                <w:caps w:val="0"/>
                <w:color w:val="auto"/>
                <w:spacing w:val="0"/>
                <w:position w:val="0"/>
                <w:highlight w:val="none"/>
                <w:lang w:val="en-US" w:eastAsia="zh-CN"/>
              </w:rPr>
              <w:t>污</w:t>
            </w:r>
            <w:r>
              <w:rPr>
                <w:rFonts w:hint="eastAsia"/>
                <w:caps w:val="0"/>
                <w:color w:val="auto"/>
                <w:spacing w:val="0"/>
                <w:position w:val="0"/>
                <w:highlight w:val="none"/>
              </w:rPr>
              <w:t>系数</w:t>
            </w:r>
            <w:r>
              <w:rPr>
                <w:rFonts w:hint="eastAsia"/>
                <w:caps w:val="0"/>
                <w:color w:val="auto"/>
                <w:spacing w:val="0"/>
                <w:position w:val="0"/>
                <w:highlight w:val="none"/>
                <w:lang w:eastAsia="zh-CN"/>
              </w:rPr>
              <w:t>（</w:t>
            </w:r>
            <w:r>
              <w:rPr>
                <w:rFonts w:hint="eastAsia"/>
                <w:caps w:val="0"/>
                <w:color w:val="auto"/>
                <w:spacing w:val="0"/>
                <w:position w:val="0"/>
                <w:highlight w:val="none"/>
              </w:rPr>
              <w:t>0.1</w:t>
            </w:r>
            <w:r>
              <w:rPr>
                <w:rFonts w:hint="eastAsia"/>
                <w:caps w:val="0"/>
                <w:color w:val="auto"/>
                <w:spacing w:val="0"/>
                <w:position w:val="0"/>
                <w:highlight w:val="none"/>
                <w:lang w:val="en-US" w:eastAsia="zh-CN"/>
              </w:rPr>
              <w:t>3</w:t>
            </w:r>
            <w:r>
              <w:rPr>
                <w:rFonts w:hint="eastAsia"/>
                <w:caps w:val="0"/>
                <w:color w:val="auto"/>
                <w:spacing w:val="0"/>
                <w:position w:val="0"/>
                <w:highlight w:val="none"/>
              </w:rPr>
              <w:t>千克/吨-产品</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计算</w:t>
            </w:r>
            <w:r>
              <w:rPr>
                <w:rFonts w:hint="eastAsia"/>
                <w:caps w:val="0"/>
                <w:color w:val="auto"/>
                <w:spacing w:val="0"/>
                <w:position w:val="0"/>
                <w:highlight w:val="none"/>
              </w:rPr>
              <w:t>，</w:t>
            </w:r>
            <w:r>
              <w:rPr>
                <w:rFonts w:hint="eastAsia"/>
                <w:caps w:val="0"/>
                <w:color w:val="auto"/>
                <w:spacing w:val="0"/>
                <w:position w:val="0"/>
                <w:highlight w:val="none"/>
                <w:lang w:val="en-US" w:eastAsia="zh-CN"/>
              </w:rPr>
              <w:t>由于搅拌过程处于全封闭状态</w:t>
            </w:r>
            <w:r>
              <w:rPr>
                <w:rFonts w:hint="eastAsia"/>
                <w:caps w:val="0"/>
                <w:color w:val="auto"/>
                <w:spacing w:val="0"/>
                <w:position w:val="0"/>
                <w:highlight w:val="none"/>
              </w:rPr>
              <w:t>，密闭</w:t>
            </w:r>
            <w:r>
              <w:rPr>
                <w:rFonts w:hint="eastAsia"/>
                <w:caps w:val="0"/>
                <w:color w:val="auto"/>
                <w:spacing w:val="0"/>
                <w:position w:val="0"/>
                <w:highlight w:val="none"/>
                <w:lang w:val="en-US" w:eastAsia="zh-CN"/>
              </w:rPr>
              <w:t>管道</w:t>
            </w:r>
            <w:r>
              <w:rPr>
                <w:rFonts w:hint="eastAsia"/>
                <w:caps w:val="0"/>
                <w:color w:val="auto"/>
                <w:spacing w:val="0"/>
                <w:position w:val="0"/>
                <w:highlight w:val="none"/>
              </w:rPr>
              <w:t>收集效率以</w:t>
            </w:r>
            <w:r>
              <w:rPr>
                <w:rFonts w:hint="default"/>
                <w:caps w:val="0"/>
                <w:color w:val="auto"/>
                <w:spacing w:val="0"/>
                <w:position w:val="0"/>
                <w:highlight w:val="none"/>
              </w:rPr>
              <w:t>9</w:t>
            </w:r>
            <w:r>
              <w:rPr>
                <w:rFonts w:hint="eastAsia"/>
                <w:caps w:val="0"/>
                <w:color w:val="auto"/>
                <w:spacing w:val="0"/>
                <w:position w:val="0"/>
                <w:highlight w:val="none"/>
                <w:lang w:val="en-US" w:eastAsia="zh-CN"/>
              </w:rPr>
              <w:t>9</w:t>
            </w:r>
            <w:r>
              <w:rPr>
                <w:rFonts w:hint="default"/>
                <w:caps w:val="0"/>
                <w:color w:val="auto"/>
                <w:spacing w:val="0"/>
                <w:position w:val="0"/>
                <w:highlight w:val="none"/>
              </w:rPr>
              <w:t>%计，除尘器工作时间（3</w:t>
            </w:r>
            <w:r>
              <w:rPr>
                <w:rFonts w:hint="eastAsia"/>
                <w:caps w:val="0"/>
                <w:color w:val="auto"/>
                <w:spacing w:val="0"/>
                <w:position w:val="0"/>
                <w:highlight w:val="none"/>
                <w:lang w:val="en-US" w:eastAsia="zh-CN"/>
              </w:rPr>
              <w:t>0</w:t>
            </w:r>
            <w:r>
              <w:rPr>
                <w:rFonts w:hint="default"/>
                <w:caps w:val="0"/>
                <w:color w:val="auto"/>
                <w:spacing w:val="0"/>
                <w:position w:val="0"/>
                <w:highlight w:val="none"/>
              </w:rPr>
              <w:t>0天，</w:t>
            </w:r>
            <w:r>
              <w:rPr>
                <w:rFonts w:hint="eastAsia"/>
                <w:caps w:val="0"/>
                <w:color w:val="auto"/>
                <w:spacing w:val="0"/>
                <w:position w:val="0"/>
                <w:highlight w:val="none"/>
                <w:lang w:val="en-US" w:eastAsia="zh-CN"/>
              </w:rPr>
              <w:t>4800</w:t>
            </w:r>
            <w:r>
              <w:rPr>
                <w:rFonts w:hint="default"/>
                <w:caps w:val="0"/>
                <w:color w:val="auto"/>
                <w:spacing w:val="0"/>
                <w:position w:val="0"/>
                <w:highlight w:val="none"/>
              </w:rPr>
              <w:t>小时），</w:t>
            </w:r>
            <w:r>
              <w:rPr>
                <w:rFonts w:hint="eastAsia"/>
                <w:caps w:val="0"/>
                <w:color w:val="auto"/>
                <w:spacing w:val="0"/>
                <w:position w:val="0"/>
                <w:highlight w:val="none"/>
                <w:lang w:val="en-US" w:eastAsia="zh-CN"/>
              </w:rPr>
              <w:t>布袋除尘器去除效率为99%，项目年产量为200000</w:t>
            </w:r>
            <w:r>
              <w:rPr>
                <w:rFonts w:hint="default"/>
                <w:caps w:val="0"/>
                <w:color w:val="auto"/>
                <w:spacing w:val="0"/>
                <w:position w:val="0"/>
                <w:highlight w:val="none"/>
              </w:rPr>
              <w:t>t</w:t>
            </w:r>
            <w:r>
              <w:rPr>
                <w:rFonts w:hint="eastAsia"/>
                <w:caps w:val="0"/>
                <w:color w:val="auto"/>
                <w:spacing w:val="0"/>
                <w:position w:val="0"/>
                <w:highlight w:val="none"/>
              </w:rPr>
              <w:t>，则</w:t>
            </w:r>
            <w:r>
              <w:rPr>
                <w:rFonts w:hint="eastAsia"/>
                <w:caps w:val="0"/>
                <w:color w:val="auto"/>
                <w:spacing w:val="0"/>
                <w:position w:val="0"/>
                <w:highlight w:val="none"/>
                <w:lang w:val="en-US" w:eastAsia="zh-CN"/>
              </w:rPr>
              <w:t>搅拌</w:t>
            </w:r>
            <w:r>
              <w:rPr>
                <w:rFonts w:hint="eastAsia"/>
                <w:caps w:val="0"/>
                <w:color w:val="auto"/>
                <w:spacing w:val="0"/>
                <w:position w:val="0"/>
                <w:highlight w:val="none"/>
              </w:rPr>
              <w:t>粉尘的产生量为</w:t>
            </w:r>
            <w:r>
              <w:rPr>
                <w:rFonts w:hint="eastAsia"/>
                <w:caps w:val="0"/>
                <w:color w:val="auto"/>
                <w:spacing w:val="0"/>
                <w:position w:val="0"/>
                <w:highlight w:val="none"/>
                <w:lang w:val="en-US" w:eastAsia="zh-CN"/>
              </w:rPr>
              <w:t>26</w:t>
            </w:r>
            <w:r>
              <w:rPr>
                <w:rFonts w:hint="default"/>
                <w:caps w:val="0"/>
                <w:color w:val="auto"/>
                <w:spacing w:val="0"/>
                <w:position w:val="0"/>
                <w:highlight w:val="none"/>
              </w:rPr>
              <w:t>t/a</w:t>
            </w:r>
            <w:r>
              <w:rPr>
                <w:rFonts w:hint="eastAsia"/>
                <w:caps w:val="0"/>
                <w:color w:val="auto"/>
                <w:spacing w:val="0"/>
                <w:position w:val="0"/>
                <w:highlight w:val="none"/>
              </w:rPr>
              <w:t>，产生速率为</w:t>
            </w:r>
            <w:r>
              <w:rPr>
                <w:rFonts w:hint="eastAsia"/>
                <w:caps w:val="0"/>
                <w:color w:val="auto"/>
                <w:spacing w:val="0"/>
                <w:position w:val="0"/>
                <w:highlight w:val="none"/>
                <w:lang w:val="en-US" w:eastAsia="zh-CN"/>
              </w:rPr>
              <w:t>5.42</w:t>
            </w:r>
            <w:r>
              <w:rPr>
                <w:rFonts w:hint="eastAsia"/>
                <w:caps w:val="0"/>
                <w:color w:val="auto"/>
                <w:spacing w:val="0"/>
                <w:position w:val="0"/>
                <w:highlight w:val="none"/>
              </w:rPr>
              <w:t>kg/h，</w:t>
            </w:r>
            <w:r>
              <w:rPr>
                <w:rFonts w:hint="eastAsia"/>
                <w:caps w:val="0"/>
                <w:color w:val="auto"/>
                <w:spacing w:val="0"/>
                <w:position w:val="0"/>
                <w:highlight w:val="none"/>
                <w:lang w:val="en-US" w:eastAsia="zh-CN"/>
              </w:rPr>
              <w:t>搅拌粉尘</w:t>
            </w:r>
            <w:r>
              <w:rPr>
                <w:rFonts w:hint="eastAsia"/>
                <w:caps w:val="0"/>
                <w:color w:val="auto"/>
                <w:spacing w:val="0"/>
                <w:position w:val="0"/>
                <w:highlight w:val="none"/>
              </w:rPr>
              <w:t>由</w:t>
            </w:r>
            <w:r>
              <w:rPr>
                <w:rFonts w:hint="eastAsia"/>
                <w:caps w:val="0"/>
                <w:color w:val="auto"/>
                <w:spacing w:val="0"/>
                <w:position w:val="0"/>
                <w:highlight w:val="none"/>
                <w:lang w:val="en-US" w:eastAsia="zh-CN"/>
              </w:rPr>
              <w:t>密闭管道收集</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收集效率99%</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w:t>
            </w:r>
            <w:r>
              <w:rPr>
                <w:rFonts w:hint="eastAsia"/>
                <w:caps w:val="0"/>
                <w:color w:val="auto"/>
                <w:spacing w:val="0"/>
                <w:position w:val="0"/>
                <w:highlight w:val="none"/>
              </w:rPr>
              <w:t>袋式除尘器</w:t>
            </w:r>
            <w:r>
              <w:rPr>
                <w:rFonts w:hint="eastAsia"/>
                <w:caps w:val="0"/>
                <w:color w:val="auto"/>
                <w:spacing w:val="0"/>
                <w:position w:val="0"/>
                <w:highlight w:val="none"/>
                <w:lang w:val="en-US" w:eastAsia="zh-CN"/>
              </w:rPr>
              <w:t>处理后通过15m</w:t>
            </w:r>
            <w:r>
              <w:rPr>
                <w:rFonts w:hint="eastAsia"/>
                <w:caps w:val="0"/>
                <w:color w:val="auto"/>
                <w:spacing w:val="0"/>
                <w:position w:val="0"/>
                <w:highlight w:val="none"/>
              </w:rPr>
              <w:t>排气筒（D</w:t>
            </w:r>
            <w:r>
              <w:rPr>
                <w:rFonts w:hint="default"/>
                <w:caps w:val="0"/>
                <w:color w:val="auto"/>
                <w:spacing w:val="0"/>
                <w:position w:val="0"/>
                <w:highlight w:val="none"/>
              </w:rPr>
              <w:t>A</w:t>
            </w:r>
            <w:r>
              <w:rPr>
                <w:rFonts w:hint="eastAsia"/>
                <w:caps w:val="0"/>
                <w:color w:val="auto"/>
                <w:spacing w:val="0"/>
                <w:position w:val="0"/>
                <w:highlight w:val="none"/>
                <w:lang w:val="en-US" w:eastAsia="zh-CN"/>
              </w:rPr>
              <w:t>001</w:t>
            </w:r>
            <w:r>
              <w:rPr>
                <w:rFonts w:hint="eastAsia"/>
                <w:caps w:val="0"/>
                <w:color w:val="auto"/>
                <w:spacing w:val="0"/>
                <w:position w:val="0"/>
                <w:highlight w:val="none"/>
              </w:rPr>
              <w:t>）</w:t>
            </w:r>
            <w:r>
              <w:rPr>
                <w:rFonts w:hint="eastAsia"/>
                <w:caps w:val="0"/>
                <w:color w:val="auto"/>
                <w:spacing w:val="0"/>
                <w:position w:val="0"/>
                <w:highlight w:val="none"/>
                <w:lang w:val="en-US" w:eastAsia="zh-CN"/>
              </w:rPr>
              <w:t>排放，</w:t>
            </w:r>
            <w:r>
              <w:rPr>
                <w:rFonts w:hint="eastAsia"/>
                <w:caps w:val="0"/>
                <w:color w:val="auto"/>
                <w:spacing w:val="0"/>
                <w:position w:val="0"/>
                <w:highlight w:val="none"/>
              </w:rPr>
              <w:t>排放量为</w:t>
            </w:r>
            <w:r>
              <w:rPr>
                <w:rFonts w:hint="eastAsia"/>
                <w:caps w:val="0"/>
                <w:color w:val="auto"/>
                <w:spacing w:val="0"/>
                <w:position w:val="0"/>
                <w:highlight w:val="none"/>
                <w:lang w:val="en-US" w:eastAsia="zh-CN"/>
              </w:rPr>
              <w:t>0.258</w:t>
            </w:r>
            <w:r>
              <w:rPr>
                <w:rFonts w:hint="default"/>
                <w:caps w:val="0"/>
                <w:color w:val="auto"/>
                <w:spacing w:val="0"/>
                <w:position w:val="0"/>
                <w:highlight w:val="none"/>
              </w:rPr>
              <w:t>t/a</w:t>
            </w:r>
            <w:r>
              <w:rPr>
                <w:rFonts w:hint="eastAsia"/>
                <w:caps w:val="0"/>
                <w:color w:val="auto"/>
                <w:spacing w:val="0"/>
                <w:position w:val="0"/>
                <w:highlight w:val="none"/>
              </w:rPr>
              <w:t>，</w:t>
            </w:r>
            <w:r>
              <w:rPr>
                <w:rFonts w:hint="default"/>
                <w:caps w:val="0"/>
                <w:color w:val="auto"/>
                <w:spacing w:val="0"/>
                <w:position w:val="0"/>
                <w:highlight w:val="none"/>
              </w:rPr>
              <w:t>排放</w:t>
            </w:r>
            <w:r>
              <w:rPr>
                <w:rFonts w:hint="eastAsia"/>
                <w:caps w:val="0"/>
                <w:color w:val="auto"/>
                <w:spacing w:val="0"/>
                <w:position w:val="0"/>
                <w:highlight w:val="none"/>
              </w:rPr>
              <w:t>速率为</w:t>
            </w:r>
            <w:r>
              <w:rPr>
                <w:rFonts w:hint="eastAsia"/>
                <w:caps w:val="0"/>
                <w:color w:val="auto"/>
                <w:spacing w:val="0"/>
                <w:position w:val="0"/>
                <w:highlight w:val="none"/>
                <w:lang w:val="en-US" w:eastAsia="zh-CN"/>
              </w:rPr>
              <w:t>0.054</w:t>
            </w:r>
            <w:r>
              <w:rPr>
                <w:rFonts w:hint="eastAsia"/>
                <w:caps w:val="0"/>
                <w:color w:val="auto"/>
                <w:spacing w:val="0"/>
                <w:position w:val="0"/>
                <w:highlight w:val="none"/>
              </w:rPr>
              <w:t>kg/h，</w:t>
            </w:r>
            <w:r>
              <w:rPr>
                <w:rFonts w:hint="default"/>
                <w:caps w:val="0"/>
                <w:color w:val="auto"/>
                <w:spacing w:val="0"/>
                <w:position w:val="0"/>
                <w:highlight w:val="none"/>
              </w:rPr>
              <w:t>未收集</w:t>
            </w:r>
            <w:r>
              <w:rPr>
                <w:rFonts w:hint="eastAsia"/>
                <w:caps w:val="0"/>
                <w:color w:val="auto"/>
                <w:spacing w:val="0"/>
                <w:position w:val="0"/>
                <w:highlight w:val="none"/>
              </w:rPr>
              <w:t>粉尘</w:t>
            </w:r>
            <w:r>
              <w:rPr>
                <w:rFonts w:hint="eastAsia"/>
                <w:caps w:val="0"/>
                <w:color w:val="auto"/>
                <w:spacing w:val="0"/>
                <w:position w:val="0"/>
                <w:highlight w:val="none"/>
                <w:lang w:val="en-US" w:eastAsia="zh-CN"/>
              </w:rPr>
              <w:t>0.26</w:t>
            </w:r>
            <w:r>
              <w:rPr>
                <w:rFonts w:hint="default"/>
                <w:caps w:val="0"/>
                <w:color w:val="auto"/>
                <w:spacing w:val="0"/>
                <w:position w:val="0"/>
                <w:highlight w:val="none"/>
              </w:rPr>
              <w:t>t/a，</w:t>
            </w:r>
            <w:r>
              <w:rPr>
                <w:rFonts w:hint="eastAsia"/>
                <w:caps w:val="0"/>
                <w:color w:val="auto"/>
                <w:spacing w:val="0"/>
                <w:position w:val="0"/>
                <w:highlight w:val="none"/>
                <w:lang w:val="en-US" w:eastAsia="zh-CN"/>
              </w:rPr>
              <w:t>由于搅拌过程位于半封闭厂房，且定期进行洒水除尘，</w:t>
            </w:r>
            <w:r>
              <w:rPr>
                <w:rFonts w:hint="eastAsia"/>
                <w:caps w:val="0"/>
                <w:color w:val="auto"/>
                <w:spacing w:val="0"/>
                <w:position w:val="0"/>
                <w:highlight w:val="none"/>
              </w:rPr>
              <w:t>根据《排放源统计调查产排污核算方法和系数手册》附</w:t>
            </w:r>
            <w:r>
              <w:rPr>
                <w:rFonts w:hint="default"/>
                <w:caps w:val="0"/>
                <w:color w:val="auto"/>
                <w:spacing w:val="0"/>
                <w:position w:val="0"/>
                <w:highlight w:val="none"/>
              </w:rPr>
              <w:t>1工业源－附表2固体物料堆存颗粒物产排污核算系数</w:t>
            </w:r>
            <w:r>
              <w:rPr>
                <w:rFonts w:hint="eastAsia"/>
                <w:caps w:val="0"/>
                <w:color w:val="auto"/>
                <w:spacing w:val="0"/>
                <w:position w:val="0"/>
                <w:highlight w:val="none"/>
              </w:rPr>
              <w:t>手册，</w:t>
            </w:r>
            <w:r>
              <w:rPr>
                <w:rFonts w:hint="eastAsia"/>
                <w:caps w:val="0"/>
                <w:color w:val="auto"/>
                <w:spacing w:val="0"/>
                <w:position w:val="0"/>
                <w:highlight w:val="none"/>
                <w:lang w:val="en-US" w:eastAsia="zh-CN"/>
              </w:rPr>
              <w:t>半封闭的沉降效率为60%，洒水抑尘的控制效率为74%，则总控制效率为89.6%，因此搅拌粉尘无组织排放量为0.027</w:t>
            </w:r>
            <w:r>
              <w:rPr>
                <w:rFonts w:hint="default"/>
                <w:caps w:val="0"/>
                <w:color w:val="auto"/>
                <w:spacing w:val="0"/>
                <w:position w:val="0"/>
                <w:highlight w:val="none"/>
              </w:rPr>
              <w:t>t/a，排放速率</w:t>
            </w:r>
            <w:r>
              <w:rPr>
                <w:rFonts w:hint="eastAsia"/>
                <w:caps w:val="0"/>
                <w:color w:val="auto"/>
                <w:spacing w:val="0"/>
                <w:position w:val="0"/>
                <w:highlight w:val="none"/>
                <w:lang w:val="en-US" w:eastAsia="zh-CN"/>
              </w:rPr>
              <w:t>0.0056</w:t>
            </w:r>
            <w:r>
              <w:rPr>
                <w:rFonts w:hint="default"/>
                <w:caps w:val="0"/>
                <w:color w:val="auto"/>
                <w:spacing w:val="0"/>
                <w:position w:val="0"/>
                <w:highlight w:val="none"/>
              </w:rPr>
              <w:t>kg/h。</w:t>
            </w:r>
          </w:p>
          <w:p w14:paraId="70C21BFD">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治理措施：项目投料粉尘、搅拌</w:t>
            </w:r>
            <w:r>
              <w:rPr>
                <w:rFonts w:hint="eastAsia"/>
                <w:caps w:val="0"/>
                <w:color w:val="auto"/>
                <w:spacing w:val="0"/>
                <w:position w:val="0"/>
                <w:highlight w:val="none"/>
              </w:rPr>
              <w:t>粉尘</w:t>
            </w:r>
            <w:r>
              <w:rPr>
                <w:rFonts w:hint="eastAsia"/>
                <w:caps w:val="0"/>
                <w:color w:val="auto"/>
                <w:spacing w:val="0"/>
                <w:position w:val="0"/>
                <w:highlight w:val="none"/>
                <w:lang w:val="en-US" w:eastAsia="zh-CN"/>
              </w:rPr>
              <w:t>分别进入布袋除尘器进行处理，处理后通过1根15m高排气筒DA001排放。布袋除尘器处理效率可达99%，布袋除尘器配备风机风量5000m</w:t>
            </w:r>
            <w:r>
              <w:rPr>
                <w:rFonts w:hint="eastAsia"/>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/h，年运行时间4800h，</w:t>
            </w:r>
            <w:r>
              <w:rPr>
                <w:rFonts w:hint="eastAsia" w:ascii="Times New Roman" w:eastAsia="宋体"/>
                <w:caps w:val="0"/>
                <w:color w:val="auto"/>
                <w:spacing w:val="0"/>
                <w:position w:val="0"/>
                <w:highlight w:val="none"/>
                <w:lang w:val="en-US" w:eastAsia="zh-CN"/>
              </w:rPr>
              <w:t>则粉尘有组织产生量为</w:t>
            </w:r>
            <w:r>
              <w:rPr>
                <w:rFonts w:hint="eastAsia"/>
                <w:caps w:val="0"/>
                <w:color w:val="auto"/>
                <w:spacing w:val="0"/>
                <w:position w:val="0"/>
                <w:highlight w:val="none"/>
                <w:lang w:val="en-US" w:eastAsia="zh-CN"/>
              </w:rPr>
              <w:t>27.26</w:t>
            </w:r>
            <w:r>
              <w:rPr>
                <w:rFonts w:hint="eastAsia" w:ascii="Times New Roman" w:eastAsia="宋体"/>
                <w:caps w:val="0"/>
                <w:color w:val="auto"/>
                <w:spacing w:val="0"/>
                <w:position w:val="0"/>
                <w:highlight w:val="none"/>
                <w:lang w:val="en-US" w:eastAsia="zh-CN"/>
              </w:rPr>
              <w:t>t/a，产生速率</w:t>
            </w:r>
            <w:r>
              <w:rPr>
                <w:rFonts w:hint="eastAsia"/>
                <w:caps w:val="0"/>
                <w:color w:val="auto"/>
                <w:spacing w:val="0"/>
                <w:position w:val="0"/>
                <w:highlight w:val="none"/>
                <w:lang w:val="en-US" w:eastAsia="zh-CN"/>
              </w:rPr>
              <w:t>5.68</w:t>
            </w:r>
            <w:r>
              <w:rPr>
                <w:rFonts w:hint="eastAsia" w:ascii="Times New Roman" w:eastAsia="宋体"/>
                <w:caps w:val="0"/>
                <w:color w:val="auto"/>
                <w:spacing w:val="0"/>
                <w:position w:val="0"/>
                <w:highlight w:val="none"/>
                <w:lang w:val="en-US" w:eastAsia="zh-CN"/>
              </w:rPr>
              <w:t>kg/h，产生浓度</w:t>
            </w:r>
            <w:r>
              <w:rPr>
                <w:rFonts w:hint="eastAsia"/>
                <w:caps w:val="0"/>
                <w:color w:val="auto"/>
                <w:spacing w:val="0"/>
                <w:position w:val="0"/>
                <w:highlight w:val="none"/>
                <w:lang w:val="en-US" w:eastAsia="zh-CN"/>
              </w:rPr>
              <w:t>1136</w:t>
            </w:r>
            <w:r>
              <w:rPr>
                <w:rFonts w:hint="eastAsia" w:ascii="Times New Roman" w:eastAsia="宋体"/>
                <w:caps w:val="0"/>
                <w:color w:val="auto"/>
                <w:spacing w:val="0"/>
                <w:position w:val="0"/>
                <w:highlight w:val="none"/>
                <w:lang w:val="en-US" w:eastAsia="zh-CN"/>
              </w:rPr>
              <w:t>mg/m</w:t>
            </w:r>
            <w:r>
              <w:rPr>
                <w:rFonts w:hint="eastAsia" w:ascii="Times New Roman" w:eastAsia="宋体"/>
                <w:caps w:val="0"/>
                <w:color w:val="auto"/>
                <w:spacing w:val="0"/>
                <w:position w:val="0"/>
                <w:highlight w:val="none"/>
                <w:vertAlign w:val="superscript"/>
                <w:lang w:val="en-US" w:eastAsia="zh-CN"/>
              </w:rPr>
              <w:t>3</w:t>
            </w:r>
            <w:r>
              <w:rPr>
                <w:rFonts w:hint="eastAsia" w:ascii="Times New Roman" w:eastAsia="宋体"/>
                <w:caps w:val="0"/>
                <w:color w:val="auto"/>
                <w:spacing w:val="0"/>
                <w:position w:val="0"/>
                <w:highlight w:val="none"/>
                <w:lang w:val="en-US" w:eastAsia="zh-CN"/>
              </w:rPr>
              <w:t>；</w:t>
            </w:r>
            <w:r>
              <w:rPr>
                <w:rFonts w:hint="eastAsia"/>
                <w:caps w:val="0"/>
                <w:color w:val="auto"/>
                <w:spacing w:val="0"/>
                <w:position w:val="0"/>
                <w:highlight w:val="none"/>
                <w:lang w:val="en-US" w:eastAsia="zh-CN"/>
              </w:rPr>
              <w:t>有组织排放量为0.275t/a，排放速率0.057kg/h，排放浓度11.46mg/m</w:t>
            </w:r>
            <w:r>
              <w:rPr>
                <w:rFonts w:hint="eastAsia"/>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；无组织产生量为0.43t/a，由于投料、搅拌过程均位于半封闭厂房，且定期进行洒水除尘，</w:t>
            </w:r>
            <w:r>
              <w:rPr>
                <w:rFonts w:hint="eastAsia"/>
                <w:caps w:val="0"/>
                <w:color w:val="auto"/>
                <w:spacing w:val="0"/>
                <w:position w:val="0"/>
                <w:highlight w:val="none"/>
              </w:rPr>
              <w:t>根据《排放源统计调查产排污核算方法和系数手册》附</w:t>
            </w:r>
            <w:r>
              <w:rPr>
                <w:rFonts w:hint="default"/>
                <w:caps w:val="0"/>
                <w:color w:val="auto"/>
                <w:spacing w:val="0"/>
                <w:position w:val="0"/>
                <w:highlight w:val="none"/>
              </w:rPr>
              <w:t>1工业源－附表2固体物料堆存颗粒物产排污核算系数</w:t>
            </w:r>
            <w:r>
              <w:rPr>
                <w:rFonts w:hint="eastAsia"/>
                <w:caps w:val="0"/>
                <w:color w:val="auto"/>
                <w:spacing w:val="0"/>
                <w:position w:val="0"/>
                <w:highlight w:val="none"/>
              </w:rPr>
              <w:t>手册，</w:t>
            </w:r>
            <w:r>
              <w:rPr>
                <w:rFonts w:hint="eastAsia"/>
                <w:caps w:val="0"/>
                <w:color w:val="auto"/>
                <w:spacing w:val="0"/>
                <w:position w:val="0"/>
                <w:highlight w:val="none"/>
                <w:lang w:val="en-US" w:eastAsia="zh-CN"/>
              </w:rPr>
              <w:t>半封闭的沉降效率为60%，洒水抑尘的控制效率为74%，则总控制效率为89.6%，无组织排放量为0.045t/a，排放速率0.009kg/h。</w:t>
            </w:r>
          </w:p>
          <w:p w14:paraId="485B6974">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eastAsia"/>
                <w:caps w:val="0"/>
                <w:color w:val="auto"/>
                <w:spacing w:val="0"/>
                <w:position w:val="0"/>
                <w:highlight w:val="none"/>
                <w:lang w:val="en-US" w:eastAsia="zh-CN"/>
              </w:rPr>
              <w:t>本项目投料粉尘、搅拌</w:t>
            </w:r>
            <w:r>
              <w:rPr>
                <w:rFonts w:hint="eastAsia"/>
                <w:caps w:val="0"/>
                <w:color w:val="auto"/>
                <w:spacing w:val="0"/>
                <w:position w:val="0"/>
                <w:highlight w:val="none"/>
              </w:rPr>
              <w:t>粉尘</w:t>
            </w:r>
            <w:r>
              <w:rPr>
                <w:rFonts w:hint="eastAsia"/>
                <w:caps w:val="0"/>
                <w:color w:val="auto"/>
                <w:spacing w:val="0"/>
                <w:position w:val="0"/>
                <w:highlight w:val="none"/>
                <w:lang w:val="en-US" w:eastAsia="zh-CN"/>
              </w:rPr>
              <w:t>主要以颗粒物的形式排放，根据前文的元素平衡可知，</w:t>
            </w:r>
            <w:r>
              <w:rPr>
                <w:rFonts w:hint="eastAsia" w:ascii="Times New Roman" w:eastAsia="宋体"/>
                <w:caps w:val="0"/>
                <w:color w:val="auto"/>
                <w:spacing w:val="0"/>
                <w:position w:val="0"/>
                <w:highlight w:val="none"/>
                <w:lang w:val="en-US" w:eastAsia="zh-CN"/>
              </w:rPr>
              <w:t>锂冶炼剩余物</w:t>
            </w:r>
            <w:r>
              <w:rPr>
                <w:rFonts w:hint="eastAsia"/>
                <w:caps w:val="0"/>
                <w:color w:val="auto"/>
                <w:spacing w:val="0"/>
                <w:position w:val="0"/>
                <w:highlight w:val="none"/>
                <w:lang w:val="en-US" w:eastAsia="zh-CN"/>
              </w:rPr>
              <w:t>中的</w:t>
            </w:r>
            <w:r>
              <w:rPr>
                <w:rFonts w:hint="eastAsia" w:ascii="Times New Roman" w:eastAsia="宋体"/>
                <w:caps w:val="0"/>
                <w:color w:val="auto"/>
                <w:spacing w:val="0"/>
                <w:position w:val="0"/>
                <w:highlight w:val="none"/>
                <w:lang w:val="en-US" w:eastAsia="zh-CN"/>
              </w:rPr>
              <w:t>铊、铍、氟化物的含量分别</w:t>
            </w:r>
            <w:r>
              <w:rPr>
                <w:rFonts w:hint="eastAsia"/>
                <w:caps w:val="0"/>
                <w:color w:val="auto"/>
                <w:spacing w:val="0"/>
                <w:position w:val="0"/>
                <w:highlight w:val="none"/>
                <w:lang w:val="en-US" w:eastAsia="zh-CN"/>
              </w:rPr>
              <w:t>11.7</w:t>
            </w:r>
            <w:r>
              <w:rPr>
                <w:rFonts w:hint="eastAsia" w:ascii="Times New Roman" w:eastAsia="宋体"/>
                <w:caps w:val="0"/>
                <w:color w:val="auto"/>
                <w:spacing w:val="0"/>
                <w:position w:val="0"/>
                <w:highlight w:val="none"/>
                <w:lang w:val="en-US" w:eastAsia="zh-CN"/>
              </w:rPr>
              <w:t>mg/kg、</w:t>
            </w:r>
            <w:r>
              <w:rPr>
                <w:rFonts w:hint="eastAsia"/>
                <w:caps w:val="0"/>
                <w:color w:val="auto"/>
                <w:spacing w:val="0"/>
                <w:position w:val="0"/>
                <w:highlight w:val="none"/>
                <w:lang w:val="en-US" w:eastAsia="zh-CN"/>
              </w:rPr>
              <w:t>65.4</w:t>
            </w:r>
            <w:r>
              <w:rPr>
                <w:rFonts w:hint="eastAsia" w:ascii="Times New Roman" w:eastAsia="宋体"/>
                <w:caps w:val="0"/>
                <w:color w:val="auto"/>
                <w:spacing w:val="0"/>
                <w:position w:val="0"/>
                <w:highlight w:val="none"/>
                <w:lang w:val="en-US" w:eastAsia="zh-CN"/>
              </w:rPr>
              <w:t>mg/kg、</w:t>
            </w:r>
            <w:r>
              <w:rPr>
                <w:rFonts w:hint="eastAsia"/>
                <w:caps w:val="0"/>
                <w:color w:val="auto"/>
                <w:spacing w:val="0"/>
                <w:position w:val="0"/>
                <w:highlight w:val="none"/>
                <w:lang w:val="en-US" w:eastAsia="zh-CN"/>
              </w:rPr>
              <w:t>1.8</w:t>
            </w:r>
            <w:r>
              <w:rPr>
                <w:rFonts w:hint="eastAsia" w:ascii="Times New Roman" w:eastAsia="宋体"/>
                <w:caps w:val="0"/>
                <w:color w:val="auto"/>
                <w:spacing w:val="0"/>
                <w:position w:val="0"/>
                <w:highlight w:val="none"/>
                <w:lang w:val="en-US" w:eastAsia="zh-CN"/>
              </w:rPr>
              <w:t>%，</w:t>
            </w:r>
            <w:r>
              <w:rPr>
                <w:rFonts w:hint="eastAsia"/>
                <w:caps w:val="0"/>
                <w:color w:val="auto"/>
                <w:spacing w:val="0"/>
                <w:position w:val="0"/>
                <w:highlight w:val="none"/>
                <w:lang w:val="en-US" w:eastAsia="zh-CN"/>
              </w:rPr>
              <w:t>根据该含量核算</w:t>
            </w:r>
            <w:r>
              <w:rPr>
                <w:rFonts w:hint="eastAsia" w:ascii="Times New Roman" w:eastAsia="宋体"/>
                <w:caps w:val="0"/>
                <w:color w:val="auto"/>
                <w:spacing w:val="0"/>
                <w:position w:val="0"/>
                <w:highlight w:val="none"/>
                <w:lang w:val="en-US" w:eastAsia="zh-CN"/>
              </w:rPr>
              <w:t>投料粉尘、</w:t>
            </w:r>
            <w:r>
              <w:rPr>
                <w:rFonts w:hint="eastAsia"/>
                <w:caps w:val="0"/>
                <w:color w:val="auto"/>
                <w:spacing w:val="0"/>
                <w:position w:val="0"/>
                <w:highlight w:val="none"/>
                <w:lang w:val="en-US" w:eastAsia="zh-CN"/>
              </w:rPr>
              <w:t>搅拌</w:t>
            </w:r>
            <w:r>
              <w:rPr>
                <w:rFonts w:hint="eastAsia"/>
                <w:caps w:val="0"/>
                <w:color w:val="auto"/>
                <w:spacing w:val="0"/>
                <w:position w:val="0"/>
                <w:highlight w:val="none"/>
              </w:rPr>
              <w:t>粉尘</w:t>
            </w:r>
            <w:r>
              <w:rPr>
                <w:rFonts w:hint="eastAsia"/>
                <w:caps w:val="0"/>
                <w:color w:val="auto"/>
                <w:spacing w:val="0"/>
                <w:position w:val="0"/>
                <w:highlight w:val="none"/>
                <w:lang w:val="en-US" w:eastAsia="zh-CN"/>
              </w:rPr>
              <w:t>中</w:t>
            </w:r>
            <w:r>
              <w:rPr>
                <w:rFonts w:hint="eastAsia" w:ascii="Times New Roman" w:eastAsia="宋体"/>
                <w:caps w:val="0"/>
                <w:color w:val="auto"/>
                <w:spacing w:val="0"/>
                <w:position w:val="0"/>
                <w:highlight w:val="none"/>
                <w:lang w:val="en-US" w:eastAsia="zh-CN"/>
              </w:rPr>
              <w:t>铊、铍、氟化物的量</w:t>
            </w:r>
            <w:r>
              <w:rPr>
                <w:rFonts w:hint="eastAsia"/>
                <w:caps w:val="0"/>
                <w:color w:val="auto"/>
                <w:spacing w:val="0"/>
                <w:position w:val="0"/>
                <w:highlight w:val="none"/>
                <w:lang w:val="en-US" w:eastAsia="zh-CN"/>
              </w:rPr>
              <w:t>，详情见4-1、4-2。</w:t>
            </w:r>
          </w:p>
          <w:p w14:paraId="2C80B495">
            <w:pPr>
              <w:pStyle w:val="74"/>
              <w:keepNext w:val="0"/>
              <w:keepLines w:val="0"/>
              <w:numPr>
                <w:ilvl w:val="0"/>
                <w:numId w:val="0"/>
              </w:numPr>
              <w:suppressLineNumbers w:val="0"/>
              <w:bidi w:val="0"/>
              <w:spacing w:before="0" w:beforeAutospacing="0" w:after="0" w:afterAutospacing="0"/>
              <w:ind w:left="0" w:leftChars="0" w:right="0" w:rightChars="0" w:firstLine="480" w:firstLineChars="200"/>
              <w:rPr>
                <w:rFonts w:hint="default"/>
                <w:caps w:val="0"/>
                <w:color w:val="auto"/>
                <w:spacing w:val="0"/>
                <w:position w:val="0"/>
                <w:highlight w:val="none"/>
              </w:rPr>
            </w:pPr>
            <w:r>
              <w:rPr>
                <w:rFonts w:hint="default" w:ascii="Times New Roman" w:hAnsi="Times New Roman" w:eastAsia="宋体" w:cs="Times New Roman"/>
                <w:bCs/>
                <w:caps w:val="0"/>
                <w:color w:val="auto"/>
                <w:spacing w:val="0"/>
                <w:kern w:val="2"/>
                <w:position w:val="0"/>
                <w:sz w:val="24"/>
                <w:szCs w:val="24"/>
                <w:highlight w:val="none"/>
                <w:lang w:val="en-US" w:eastAsia="zh-CN" w:bidi="ar-SA"/>
              </w:rPr>
              <w:t>（</w:t>
            </w:r>
            <w:r>
              <w:rPr>
                <w:rFonts w:hint="eastAsia" w:cs="Times New Roman"/>
                <w:bCs/>
                <w:caps w:val="0"/>
                <w:color w:val="auto"/>
                <w:spacing w:val="0"/>
                <w:kern w:val="2"/>
                <w:position w:val="0"/>
                <w:sz w:val="24"/>
                <w:szCs w:val="24"/>
                <w:highlight w:val="none"/>
                <w:lang w:val="en-US" w:eastAsia="zh-CN" w:bidi="ar-SA"/>
              </w:rPr>
              <w:t>4</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w:t>
            </w:r>
            <w:r>
              <w:rPr>
                <w:rFonts w:hint="eastAsia" w:cs="Times New Roman"/>
                <w:caps w:val="0"/>
                <w:color w:val="auto"/>
                <w:spacing w:val="0"/>
                <w:position w:val="0"/>
                <w:highlight w:val="none"/>
                <w:lang w:val="en-US" w:eastAsia="zh-CN"/>
              </w:rPr>
              <w:t>筒</w:t>
            </w:r>
            <w:r>
              <w:rPr>
                <w:rFonts w:hint="default" w:ascii="Times New Roman" w:hAnsi="Times New Roman" w:cs="Times New Roman"/>
                <w:caps w:val="0"/>
                <w:color w:val="auto"/>
                <w:spacing w:val="0"/>
                <w:position w:val="0"/>
                <w:highlight w:val="none"/>
              </w:rPr>
              <w:t>仓</w:t>
            </w:r>
            <w:r>
              <w:rPr>
                <w:rFonts w:hint="eastAsia" w:ascii="Times New Roman" w:eastAsia="宋体"/>
                <w:caps w:val="0"/>
                <w:color w:val="auto"/>
                <w:spacing w:val="0"/>
                <w:position w:val="0"/>
                <w:highlight w:val="none"/>
                <w:lang w:val="en-US" w:eastAsia="zh-CN"/>
              </w:rPr>
              <w:t>呼吸粉尘</w:t>
            </w:r>
          </w:p>
          <w:p w14:paraId="030363A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项目</w:t>
            </w:r>
            <w:r>
              <w:rPr>
                <w:rFonts w:hint="eastAsia"/>
                <w:caps w:val="0"/>
                <w:color w:val="auto"/>
                <w:spacing w:val="0"/>
                <w:position w:val="0"/>
                <w:highlight w:val="none"/>
                <w:lang w:val="en-US" w:eastAsia="zh-CN"/>
              </w:rPr>
              <w:t>设</w:t>
            </w:r>
            <w:r>
              <w:rPr>
                <w:rFonts w:hint="default"/>
                <w:caps w:val="0"/>
                <w:color w:val="auto"/>
                <w:spacing w:val="0"/>
                <w:position w:val="0"/>
                <w:highlight w:val="none"/>
                <w:lang w:val="en-US" w:eastAsia="zh-CN"/>
              </w:rPr>
              <w:t>有</w:t>
            </w:r>
            <w:r>
              <w:rPr>
                <w:rFonts w:hint="eastAsia"/>
                <w:caps w:val="0"/>
                <w:color w:val="auto"/>
                <w:spacing w:val="0"/>
                <w:position w:val="0"/>
                <w:highlight w:val="none"/>
                <w:lang w:val="en-US" w:eastAsia="zh-CN"/>
              </w:rPr>
              <w:t>石粉</w:t>
            </w:r>
            <w:r>
              <w:rPr>
                <w:rFonts w:hint="eastAsia" w:cs="Times New Roman"/>
                <w:caps w:val="0"/>
                <w:color w:val="auto"/>
                <w:spacing w:val="0"/>
                <w:position w:val="0"/>
                <w:highlight w:val="none"/>
                <w:lang w:val="en-US" w:eastAsia="zh-CN"/>
              </w:rPr>
              <w:t>筒</w:t>
            </w:r>
            <w:r>
              <w:rPr>
                <w:rFonts w:hint="default" w:ascii="Times New Roman" w:hAnsi="Times New Roman" w:cs="Times New Roman"/>
                <w:caps w:val="0"/>
                <w:color w:val="auto"/>
                <w:spacing w:val="0"/>
                <w:position w:val="0"/>
                <w:highlight w:val="none"/>
              </w:rPr>
              <w:t>仓</w:t>
            </w:r>
            <w:r>
              <w:rPr>
                <w:rFonts w:hint="eastAsia"/>
                <w:caps w:val="0"/>
                <w:color w:val="auto"/>
                <w:spacing w:val="0"/>
                <w:position w:val="0"/>
                <w:highlight w:val="none"/>
                <w:lang w:val="en-US" w:eastAsia="zh-CN"/>
              </w:rPr>
              <w:t>、</w:t>
            </w:r>
            <w:r>
              <w:rPr>
                <w:rFonts w:hint="default"/>
                <w:caps w:val="0"/>
                <w:color w:val="auto"/>
                <w:spacing w:val="0"/>
                <w:position w:val="0"/>
                <w:highlight w:val="none"/>
                <w:lang w:val="en-US" w:eastAsia="zh-CN"/>
              </w:rPr>
              <w:t>水泥</w:t>
            </w:r>
            <w:r>
              <w:rPr>
                <w:rFonts w:hint="eastAsia" w:cs="Times New Roman"/>
                <w:caps w:val="0"/>
                <w:color w:val="auto"/>
                <w:spacing w:val="0"/>
                <w:position w:val="0"/>
                <w:highlight w:val="none"/>
                <w:lang w:val="en-US" w:eastAsia="zh-CN"/>
              </w:rPr>
              <w:t>筒</w:t>
            </w:r>
            <w:r>
              <w:rPr>
                <w:rFonts w:hint="default" w:ascii="Times New Roman" w:hAnsi="Times New Roman" w:cs="Times New Roman"/>
                <w:caps w:val="0"/>
                <w:color w:val="auto"/>
                <w:spacing w:val="0"/>
                <w:position w:val="0"/>
                <w:highlight w:val="none"/>
              </w:rPr>
              <w:t>仓</w:t>
            </w:r>
            <w:r>
              <w:rPr>
                <w:rFonts w:hint="eastAsia"/>
                <w:caps w:val="0"/>
                <w:color w:val="auto"/>
                <w:spacing w:val="0"/>
                <w:position w:val="0"/>
                <w:highlight w:val="none"/>
                <w:lang w:val="en-US" w:eastAsia="zh-CN"/>
              </w:rPr>
              <w:t>、硅粉</w:t>
            </w:r>
            <w:r>
              <w:rPr>
                <w:rFonts w:hint="eastAsia" w:cs="Times New Roman"/>
                <w:caps w:val="0"/>
                <w:color w:val="auto"/>
                <w:spacing w:val="0"/>
                <w:position w:val="0"/>
                <w:highlight w:val="none"/>
                <w:lang w:val="en-US" w:eastAsia="zh-CN"/>
              </w:rPr>
              <w:t>筒</w:t>
            </w:r>
            <w:r>
              <w:rPr>
                <w:rFonts w:hint="default" w:ascii="Times New Roman" w:hAnsi="Times New Roman" w:cs="Times New Roman"/>
                <w:caps w:val="0"/>
                <w:color w:val="auto"/>
                <w:spacing w:val="0"/>
                <w:position w:val="0"/>
                <w:highlight w:val="none"/>
              </w:rPr>
              <w:t>仓</w:t>
            </w:r>
            <w:r>
              <w:rPr>
                <w:rFonts w:hint="eastAsia"/>
                <w:caps w:val="0"/>
                <w:color w:val="auto"/>
                <w:spacing w:val="0"/>
                <w:position w:val="0"/>
                <w:highlight w:val="none"/>
                <w:lang w:val="en-US" w:eastAsia="zh-CN"/>
              </w:rPr>
              <w:t>共三个，</w:t>
            </w:r>
            <w:r>
              <w:rPr>
                <w:rFonts w:hint="default"/>
                <w:caps w:val="0"/>
                <w:color w:val="auto"/>
                <w:spacing w:val="0"/>
                <w:position w:val="0"/>
                <w:highlight w:val="none"/>
                <w:lang w:val="en-US" w:eastAsia="zh-CN"/>
              </w:rPr>
              <w:t>项目</w:t>
            </w:r>
            <w:r>
              <w:rPr>
                <w:rFonts w:hint="eastAsia"/>
                <w:caps w:val="0"/>
                <w:color w:val="auto"/>
                <w:spacing w:val="0"/>
                <w:position w:val="0"/>
                <w:highlight w:val="none"/>
                <w:lang w:val="en-US" w:eastAsia="zh-CN"/>
              </w:rPr>
              <w:t>水泥、石粉、硅粉</w:t>
            </w:r>
            <w:r>
              <w:rPr>
                <w:rFonts w:hint="default"/>
                <w:caps w:val="0"/>
                <w:color w:val="auto"/>
                <w:spacing w:val="0"/>
                <w:position w:val="0"/>
                <w:highlight w:val="none"/>
                <w:lang w:val="en-US" w:eastAsia="zh-CN"/>
              </w:rPr>
              <w:t>通过罐车自带的发送泵泵送进入</w:t>
            </w:r>
            <w:r>
              <w:rPr>
                <w:rFonts w:hint="eastAsia" w:cs="Times New Roman"/>
                <w:caps w:val="0"/>
                <w:color w:val="auto"/>
                <w:spacing w:val="0"/>
                <w:position w:val="0"/>
                <w:highlight w:val="none"/>
                <w:lang w:val="en-US" w:eastAsia="zh-CN"/>
              </w:rPr>
              <w:t>筒</w:t>
            </w:r>
            <w:r>
              <w:rPr>
                <w:rFonts w:hint="default" w:ascii="Times New Roman" w:hAnsi="Times New Roman" w:cs="Times New Roman"/>
                <w:caps w:val="0"/>
                <w:color w:val="auto"/>
                <w:spacing w:val="0"/>
                <w:position w:val="0"/>
                <w:highlight w:val="none"/>
              </w:rPr>
              <w:t>仓</w:t>
            </w:r>
            <w:r>
              <w:rPr>
                <w:rFonts w:hint="default"/>
                <w:caps w:val="0"/>
                <w:color w:val="auto"/>
                <w:spacing w:val="0"/>
                <w:position w:val="0"/>
                <w:highlight w:val="none"/>
                <w:lang w:val="en-US" w:eastAsia="zh-CN"/>
              </w:rPr>
              <w:t>储存，</w:t>
            </w:r>
            <w:r>
              <w:rPr>
                <w:rFonts w:hint="eastAsia" w:cs="Times New Roman"/>
                <w:caps w:val="0"/>
                <w:color w:val="auto"/>
                <w:spacing w:val="0"/>
                <w:position w:val="0"/>
                <w:highlight w:val="none"/>
                <w:lang w:val="en-US" w:eastAsia="zh-CN"/>
              </w:rPr>
              <w:t>筒</w:t>
            </w:r>
            <w:r>
              <w:rPr>
                <w:rFonts w:hint="default" w:ascii="Times New Roman" w:hAnsi="Times New Roman" w:cs="Times New Roman"/>
                <w:caps w:val="0"/>
                <w:color w:val="auto"/>
                <w:spacing w:val="0"/>
                <w:position w:val="0"/>
                <w:highlight w:val="none"/>
              </w:rPr>
              <w:t>仓</w:t>
            </w:r>
            <w:r>
              <w:rPr>
                <w:rFonts w:hint="default"/>
                <w:caps w:val="0"/>
                <w:color w:val="auto"/>
                <w:spacing w:val="0"/>
                <w:position w:val="0"/>
                <w:highlight w:val="none"/>
                <w:lang w:val="en-US" w:eastAsia="zh-CN"/>
              </w:rPr>
              <w:t>为封闭式，项目</w:t>
            </w:r>
            <w:r>
              <w:rPr>
                <w:rFonts w:hint="eastAsia"/>
                <w:caps w:val="0"/>
                <w:color w:val="auto"/>
                <w:spacing w:val="0"/>
                <w:position w:val="0"/>
                <w:highlight w:val="none"/>
                <w:lang w:val="en-US" w:eastAsia="zh-CN"/>
              </w:rPr>
              <w:t>水泥、石粉、硅粉</w:t>
            </w:r>
            <w:r>
              <w:rPr>
                <w:rFonts w:hint="default"/>
                <w:caps w:val="0"/>
                <w:color w:val="auto"/>
                <w:spacing w:val="0"/>
                <w:position w:val="0"/>
                <w:highlight w:val="none"/>
                <w:lang w:val="en-US" w:eastAsia="zh-CN"/>
              </w:rPr>
              <w:t>主要通过密闭管道连接泵入料斗内</w:t>
            </w:r>
            <w:r>
              <w:rPr>
                <w:rFonts w:hint="eastAsia"/>
                <w:caps w:val="0"/>
                <w:color w:val="auto"/>
                <w:spacing w:val="0"/>
                <w:position w:val="0"/>
                <w:highlight w:val="none"/>
                <w:lang w:val="en-US" w:eastAsia="zh-CN"/>
              </w:rPr>
              <w:t>，各</w:t>
            </w:r>
            <w:r>
              <w:rPr>
                <w:rFonts w:hint="eastAsia" w:cs="Times New Roman"/>
                <w:caps w:val="0"/>
                <w:color w:val="auto"/>
                <w:spacing w:val="0"/>
                <w:position w:val="0"/>
                <w:highlight w:val="none"/>
                <w:lang w:val="en-US" w:eastAsia="zh-CN"/>
              </w:rPr>
              <w:t>筒</w:t>
            </w:r>
            <w:r>
              <w:rPr>
                <w:rFonts w:hint="default" w:ascii="Times New Roman" w:hAnsi="Times New Roman" w:cs="Times New Roman"/>
                <w:caps w:val="0"/>
                <w:color w:val="auto"/>
                <w:spacing w:val="0"/>
                <w:position w:val="0"/>
                <w:highlight w:val="none"/>
              </w:rPr>
              <w:t>仓</w:t>
            </w:r>
            <w:r>
              <w:rPr>
                <w:rFonts w:hint="default"/>
                <w:caps w:val="0"/>
                <w:color w:val="auto"/>
                <w:spacing w:val="0"/>
                <w:position w:val="0"/>
                <w:highlight w:val="none"/>
                <w:lang w:val="en-US" w:eastAsia="zh-CN"/>
              </w:rPr>
              <w:t>顶</w:t>
            </w:r>
            <w:r>
              <w:rPr>
                <w:rFonts w:hint="eastAsia"/>
                <w:caps w:val="0"/>
                <w:color w:val="auto"/>
                <w:spacing w:val="0"/>
                <w:position w:val="0"/>
                <w:highlight w:val="none"/>
                <w:lang w:val="en-US" w:eastAsia="zh-CN"/>
              </w:rPr>
              <w:t>部</w:t>
            </w:r>
            <w:r>
              <w:rPr>
                <w:rFonts w:hint="default"/>
                <w:caps w:val="0"/>
                <w:color w:val="auto"/>
                <w:spacing w:val="0"/>
                <w:position w:val="0"/>
                <w:highlight w:val="none"/>
                <w:lang w:val="en-US" w:eastAsia="zh-CN"/>
              </w:rPr>
              <w:t>自带一个脉冲布袋仓顶除尘器（</w:t>
            </w:r>
            <w:r>
              <w:rPr>
                <w:rFonts w:hint="eastAsia" w:cs="Times New Roman"/>
                <w:caps w:val="0"/>
                <w:color w:val="auto"/>
                <w:spacing w:val="0"/>
                <w:position w:val="0"/>
                <w:highlight w:val="none"/>
                <w:lang w:val="en-US" w:eastAsia="zh-CN"/>
              </w:rPr>
              <w:t>筒</w:t>
            </w:r>
            <w:r>
              <w:rPr>
                <w:rFonts w:hint="default" w:ascii="Times New Roman" w:hAnsi="Times New Roman" w:cs="Times New Roman"/>
                <w:caps w:val="0"/>
                <w:color w:val="auto"/>
                <w:spacing w:val="0"/>
                <w:position w:val="0"/>
                <w:highlight w:val="none"/>
              </w:rPr>
              <w:t>仓</w:t>
            </w:r>
            <w:r>
              <w:rPr>
                <w:rFonts w:hint="default"/>
                <w:caps w:val="0"/>
                <w:color w:val="auto"/>
                <w:spacing w:val="0"/>
                <w:position w:val="0"/>
                <w:highlight w:val="none"/>
                <w:lang w:val="en-US" w:eastAsia="zh-CN"/>
              </w:rPr>
              <w:t>均为密闭，不考虑未收集量），经除尘器</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处理后</w:t>
            </w:r>
            <w:r>
              <w:rPr>
                <w:rFonts w:hint="eastAsia" w:cs="Times New Roman"/>
                <w:bCs/>
                <w:caps w:val="0"/>
                <w:color w:val="auto"/>
                <w:spacing w:val="0"/>
                <w:kern w:val="2"/>
                <w:position w:val="0"/>
                <w:sz w:val="24"/>
                <w:szCs w:val="24"/>
                <w:highlight w:val="none"/>
                <w:lang w:val="en-US" w:eastAsia="zh-CN" w:bidi="ar-SA"/>
              </w:rPr>
              <w:t>无组织</w:t>
            </w:r>
            <w:r>
              <w:rPr>
                <w:rFonts w:hint="eastAsia" w:ascii="Times New Roman" w:hAnsi="Times New Roman" w:eastAsia="宋体" w:cs="Times New Roman"/>
                <w:bCs/>
                <w:caps w:val="0"/>
                <w:color w:val="auto"/>
                <w:spacing w:val="0"/>
                <w:kern w:val="2"/>
                <w:position w:val="0"/>
                <w:sz w:val="24"/>
                <w:szCs w:val="24"/>
                <w:highlight w:val="none"/>
                <w:lang w:val="en-US" w:eastAsia="zh-CN" w:bidi="ar-SA"/>
              </w:rPr>
              <w:t>排放</w:t>
            </w:r>
            <w:r>
              <w:rPr>
                <w:rFonts w:hint="default"/>
                <w:caps w:val="0"/>
                <w:color w:val="auto"/>
                <w:spacing w:val="0"/>
                <w:position w:val="0"/>
                <w:highlight w:val="none"/>
                <w:lang w:val="en-US" w:eastAsia="zh-CN"/>
              </w:rPr>
              <w:t>。</w:t>
            </w:r>
          </w:p>
          <w:p w14:paraId="661DAF9B">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w:t>
            </w:r>
            <w:r>
              <w:rPr>
                <w:rFonts w:hint="eastAsia"/>
                <w:caps w:val="0"/>
                <w:color w:val="auto"/>
                <w:spacing w:val="0"/>
                <w:position w:val="0"/>
                <w:highlight w:val="none"/>
                <w:lang w:val="en-US" w:eastAsia="zh-CN"/>
              </w:rPr>
              <w:t>水泥、石粉、硅粉的</w:t>
            </w:r>
            <w:r>
              <w:rPr>
                <w:rFonts w:hint="default"/>
                <w:caps w:val="0"/>
                <w:color w:val="auto"/>
                <w:spacing w:val="0"/>
                <w:position w:val="0"/>
                <w:highlight w:val="none"/>
              </w:rPr>
              <w:t>年使用量为约</w:t>
            </w:r>
            <w:r>
              <w:rPr>
                <w:rFonts w:hint="eastAsia"/>
                <w:caps w:val="0"/>
                <w:color w:val="auto"/>
                <w:spacing w:val="0"/>
                <w:position w:val="0"/>
                <w:highlight w:val="none"/>
                <w:lang w:val="en-US" w:eastAsia="zh-CN"/>
              </w:rPr>
              <w:t>30600</w:t>
            </w:r>
            <w:r>
              <w:rPr>
                <w:rFonts w:hint="default"/>
                <w:caps w:val="0"/>
                <w:color w:val="auto"/>
                <w:spacing w:val="0"/>
                <w:position w:val="0"/>
                <w:highlight w:val="none"/>
              </w:rPr>
              <w:t>t/a，上料过程中罐顶压力平衡口处有粉尘溢出，工程设计</w:t>
            </w:r>
            <w:r>
              <w:rPr>
                <w:rFonts w:hint="eastAsia" w:cs="Times New Roman"/>
                <w:caps w:val="0"/>
                <w:color w:val="auto"/>
                <w:spacing w:val="0"/>
                <w:position w:val="0"/>
                <w:highlight w:val="none"/>
                <w:lang w:val="en-US" w:eastAsia="zh-CN"/>
              </w:rPr>
              <w:t>筒</w:t>
            </w:r>
            <w:r>
              <w:rPr>
                <w:rFonts w:hint="default" w:ascii="Times New Roman" w:hAnsi="Times New Roman" w:cs="Times New Roman"/>
                <w:caps w:val="0"/>
                <w:color w:val="auto"/>
                <w:spacing w:val="0"/>
                <w:position w:val="0"/>
                <w:highlight w:val="none"/>
              </w:rPr>
              <w:t>仓</w:t>
            </w:r>
            <w:r>
              <w:rPr>
                <w:rFonts w:hint="default"/>
                <w:caps w:val="0"/>
                <w:color w:val="auto"/>
                <w:spacing w:val="0"/>
                <w:position w:val="0"/>
                <w:highlight w:val="none"/>
              </w:rPr>
              <w:t>采用设备自带的袋式除尘器与罐顶压力平衡口连接。参照《排放源统计调查产排污核算方法和系数手册》（2021年第24号）中“3021水泥制品制造业系数手册”，物料输送储存工艺颗粒物产生系数为0.1</w:t>
            </w:r>
            <w:r>
              <w:rPr>
                <w:rFonts w:hint="default"/>
                <w:caps w:val="0"/>
                <w:color w:val="auto"/>
                <w:spacing w:val="0"/>
                <w:position w:val="0"/>
                <w:highlight w:val="none"/>
                <w:lang w:val="en-US" w:eastAsia="zh-CN"/>
              </w:rPr>
              <w:t>2</w:t>
            </w:r>
            <w:r>
              <w:rPr>
                <w:rFonts w:hint="default"/>
                <w:caps w:val="0"/>
                <w:color w:val="auto"/>
                <w:spacing w:val="0"/>
                <w:position w:val="0"/>
                <w:highlight w:val="none"/>
              </w:rPr>
              <w:t>kg/t-水泥制品，则本项目</w:t>
            </w:r>
            <w:r>
              <w:rPr>
                <w:rFonts w:hint="eastAsia" w:cs="Times New Roman"/>
                <w:caps w:val="0"/>
                <w:color w:val="auto"/>
                <w:spacing w:val="0"/>
                <w:position w:val="0"/>
                <w:highlight w:val="none"/>
                <w:lang w:val="en-US" w:eastAsia="zh-CN"/>
              </w:rPr>
              <w:t>筒</w:t>
            </w:r>
            <w:r>
              <w:rPr>
                <w:rFonts w:hint="default" w:ascii="Times New Roman" w:hAnsi="Times New Roman" w:cs="Times New Roman"/>
                <w:caps w:val="0"/>
                <w:color w:val="auto"/>
                <w:spacing w:val="0"/>
                <w:position w:val="0"/>
                <w:highlight w:val="none"/>
              </w:rPr>
              <w:t>仓</w:t>
            </w:r>
            <w:r>
              <w:rPr>
                <w:rFonts w:hint="eastAsia"/>
                <w:caps w:val="0"/>
                <w:color w:val="auto"/>
                <w:spacing w:val="0"/>
                <w:position w:val="0"/>
                <w:highlight w:val="none"/>
                <w:lang w:val="en-US" w:eastAsia="zh-CN"/>
              </w:rPr>
              <w:t>呼吸粉尘</w:t>
            </w:r>
            <w:r>
              <w:rPr>
                <w:rFonts w:hint="default"/>
                <w:caps w:val="0"/>
                <w:color w:val="auto"/>
                <w:spacing w:val="0"/>
                <w:position w:val="0"/>
                <w:highlight w:val="none"/>
              </w:rPr>
              <w:t>产生量为</w:t>
            </w:r>
            <w:r>
              <w:rPr>
                <w:rFonts w:hint="eastAsia"/>
                <w:caps w:val="0"/>
                <w:color w:val="auto"/>
                <w:spacing w:val="0"/>
                <w:position w:val="0"/>
                <w:highlight w:val="none"/>
                <w:lang w:val="en-US" w:eastAsia="zh-CN"/>
              </w:rPr>
              <w:t>3.67</w:t>
            </w:r>
            <w:r>
              <w:rPr>
                <w:rFonts w:hint="default"/>
                <w:caps w:val="0"/>
                <w:color w:val="auto"/>
                <w:spacing w:val="0"/>
                <w:position w:val="0"/>
                <w:highlight w:val="none"/>
              </w:rPr>
              <w:t>t/a，产生速率为</w:t>
            </w:r>
            <w:r>
              <w:rPr>
                <w:rFonts w:hint="eastAsia"/>
                <w:caps w:val="0"/>
                <w:color w:val="auto"/>
                <w:spacing w:val="0"/>
                <w:position w:val="0"/>
                <w:highlight w:val="none"/>
                <w:lang w:val="en-US" w:eastAsia="zh-CN"/>
              </w:rPr>
              <w:t>0.77</w:t>
            </w:r>
            <w:r>
              <w:rPr>
                <w:rFonts w:hint="default"/>
                <w:caps w:val="0"/>
                <w:color w:val="auto"/>
                <w:spacing w:val="0"/>
                <w:position w:val="0"/>
                <w:highlight w:val="none"/>
              </w:rPr>
              <w:t>kg/h。</w:t>
            </w:r>
          </w:p>
          <w:p w14:paraId="60177970">
            <w:pPr>
              <w:keepNext w:val="0"/>
              <w:keepLines w:val="0"/>
              <w:widowControl w:val="0"/>
              <w:suppressLineNumbers w:val="0"/>
              <w:bidi w:val="0"/>
              <w:spacing w:before="0" w:beforeAutospacing="0" w:after="0" w:afterAutospacing="0" w:line="360" w:lineRule="auto"/>
              <w:ind w:left="0" w:right="0" w:firstLine="480" w:firstLineChars="200"/>
              <w:jc w:val="both"/>
              <w:rPr>
                <w:rFonts w:hint="eastAsia"/>
                <w:caps w:val="0"/>
                <w:color w:val="auto"/>
                <w:spacing w:val="0"/>
                <w:position w:val="0"/>
                <w:highlight w:val="none"/>
                <w:lang w:eastAsia="zh-CN"/>
              </w:rPr>
            </w:pPr>
            <w:r>
              <w:rPr>
                <w:rFonts w:hint="eastAsia" w:cs="Times New Roman"/>
                <w:caps w:val="0"/>
                <w:color w:val="auto"/>
                <w:spacing w:val="0"/>
                <w:position w:val="0"/>
                <w:highlight w:val="none"/>
                <w:lang w:val="en-US" w:eastAsia="zh-CN"/>
              </w:rPr>
              <w:t>筒</w:t>
            </w:r>
            <w:r>
              <w:rPr>
                <w:rFonts w:hint="default" w:ascii="Times New Roman" w:hAnsi="Times New Roman" w:cs="Times New Roman"/>
                <w:caps w:val="0"/>
                <w:color w:val="auto"/>
                <w:spacing w:val="0"/>
                <w:position w:val="0"/>
                <w:highlight w:val="none"/>
              </w:rPr>
              <w:t>仓</w:t>
            </w:r>
            <w:r>
              <w:rPr>
                <w:rFonts w:hint="eastAsia" w:ascii="Times New Roman" w:eastAsia="宋体"/>
                <w:caps w:val="0"/>
                <w:color w:val="auto"/>
                <w:spacing w:val="0"/>
                <w:position w:val="0"/>
                <w:highlight w:val="none"/>
                <w:lang w:val="en-US" w:eastAsia="zh-CN"/>
              </w:rPr>
              <w:t>呼吸粉尘</w:t>
            </w:r>
            <w:r>
              <w:rPr>
                <w:rFonts w:hint="default"/>
                <w:caps w:val="0"/>
                <w:color w:val="auto"/>
                <w:spacing w:val="0"/>
                <w:position w:val="0"/>
                <w:highlight w:val="none"/>
              </w:rPr>
              <w:t>经仓顶配套的袋式除尘器处理后</w:t>
            </w:r>
            <w:r>
              <w:rPr>
                <w:rFonts w:hint="eastAsia" w:cs="Times New Roman"/>
                <w:bCs/>
                <w:caps w:val="0"/>
                <w:color w:val="auto"/>
                <w:spacing w:val="0"/>
                <w:kern w:val="2"/>
                <w:position w:val="0"/>
                <w:sz w:val="24"/>
                <w:szCs w:val="24"/>
                <w:highlight w:val="none"/>
                <w:lang w:val="en-US" w:eastAsia="zh-CN" w:bidi="ar-SA"/>
              </w:rPr>
              <w:t>无组织</w:t>
            </w:r>
            <w:r>
              <w:rPr>
                <w:rFonts w:hint="eastAsia" w:ascii="Times New Roman" w:hAnsi="Times New Roman" w:eastAsia="宋体" w:cs="Times New Roman"/>
                <w:bCs/>
                <w:caps w:val="0"/>
                <w:color w:val="auto"/>
                <w:spacing w:val="0"/>
                <w:kern w:val="2"/>
                <w:position w:val="0"/>
                <w:sz w:val="24"/>
                <w:szCs w:val="24"/>
                <w:highlight w:val="none"/>
                <w:lang w:val="en-US" w:eastAsia="zh-CN" w:bidi="ar-SA"/>
              </w:rPr>
              <w:t>排放，</w:t>
            </w:r>
            <w:r>
              <w:rPr>
                <w:rFonts w:hint="default"/>
                <w:caps w:val="0"/>
                <w:color w:val="auto"/>
                <w:spacing w:val="0"/>
                <w:position w:val="0"/>
                <w:highlight w:val="none"/>
              </w:rPr>
              <w:t>参照《排放源统计调查产排污核算方法和系数手册》（2021年第24号）中“3021水泥制品制造业系数手册”，物料输送废气采用袋式除尘器处理效率为99%，则本项目</w:t>
            </w:r>
            <w:r>
              <w:rPr>
                <w:rFonts w:hint="eastAsia" w:cs="Times New Roman"/>
                <w:caps w:val="0"/>
                <w:color w:val="auto"/>
                <w:spacing w:val="0"/>
                <w:position w:val="0"/>
                <w:highlight w:val="none"/>
                <w:lang w:val="en-US" w:eastAsia="zh-CN"/>
              </w:rPr>
              <w:t>筒</w:t>
            </w:r>
            <w:r>
              <w:rPr>
                <w:rFonts w:hint="default" w:ascii="Times New Roman" w:hAnsi="Times New Roman" w:cs="Times New Roman"/>
                <w:caps w:val="0"/>
                <w:color w:val="auto"/>
                <w:spacing w:val="0"/>
                <w:position w:val="0"/>
                <w:highlight w:val="none"/>
              </w:rPr>
              <w:t>仓</w:t>
            </w:r>
            <w:r>
              <w:rPr>
                <w:rFonts w:hint="eastAsia" w:ascii="Times New Roman" w:eastAsia="宋体"/>
                <w:caps w:val="0"/>
                <w:color w:val="auto"/>
                <w:spacing w:val="0"/>
                <w:position w:val="0"/>
                <w:highlight w:val="none"/>
                <w:lang w:val="en-US" w:eastAsia="zh-CN"/>
              </w:rPr>
              <w:t>呼吸粉尘</w:t>
            </w:r>
            <w:r>
              <w:rPr>
                <w:rFonts w:hint="default"/>
                <w:caps w:val="0"/>
                <w:color w:val="auto"/>
                <w:spacing w:val="0"/>
                <w:position w:val="0"/>
                <w:highlight w:val="none"/>
              </w:rPr>
              <w:t>排放量为</w:t>
            </w:r>
            <w:r>
              <w:rPr>
                <w:rFonts w:hint="eastAsia" w:eastAsia="宋体"/>
                <w:caps w:val="0"/>
                <w:color w:val="auto"/>
                <w:spacing w:val="0"/>
                <w:position w:val="0"/>
                <w:highlight w:val="none"/>
                <w:lang w:eastAsia="zh-CN"/>
              </w:rPr>
              <w:t>0.</w:t>
            </w:r>
            <w:r>
              <w:rPr>
                <w:rFonts w:hint="eastAsia" w:ascii="Times New Roman" w:eastAsia="宋体"/>
                <w:caps w:val="0"/>
                <w:color w:val="auto"/>
                <w:spacing w:val="0"/>
                <w:position w:val="0"/>
                <w:highlight w:val="none"/>
                <w:lang w:val="en-US" w:eastAsia="zh-CN"/>
              </w:rPr>
              <w:t>0</w:t>
            </w:r>
            <w:r>
              <w:rPr>
                <w:rFonts w:hint="eastAsia"/>
                <w:caps w:val="0"/>
                <w:color w:val="auto"/>
                <w:spacing w:val="0"/>
                <w:position w:val="0"/>
                <w:highlight w:val="none"/>
                <w:lang w:val="en-US" w:eastAsia="zh-CN"/>
              </w:rPr>
              <w:t>37</w:t>
            </w:r>
            <w:r>
              <w:rPr>
                <w:rFonts w:hint="default"/>
                <w:caps w:val="0"/>
                <w:color w:val="auto"/>
                <w:spacing w:val="0"/>
                <w:position w:val="0"/>
                <w:highlight w:val="none"/>
              </w:rPr>
              <w:t>t/a，排放速率为</w:t>
            </w:r>
            <w:r>
              <w:rPr>
                <w:rFonts w:hint="eastAsia" w:eastAsia="宋体"/>
                <w:caps w:val="0"/>
                <w:color w:val="auto"/>
                <w:spacing w:val="0"/>
                <w:position w:val="0"/>
                <w:highlight w:val="none"/>
                <w:lang w:eastAsia="zh-CN"/>
              </w:rPr>
              <w:t>0.0</w:t>
            </w:r>
            <w:r>
              <w:rPr>
                <w:rFonts w:hint="eastAsia"/>
                <w:caps w:val="0"/>
                <w:color w:val="auto"/>
                <w:spacing w:val="0"/>
                <w:position w:val="0"/>
                <w:highlight w:val="none"/>
                <w:lang w:val="en-US" w:eastAsia="zh-CN"/>
              </w:rPr>
              <w:t>077</w:t>
            </w:r>
            <w:r>
              <w:rPr>
                <w:rFonts w:hint="default"/>
                <w:caps w:val="0"/>
                <w:color w:val="auto"/>
                <w:spacing w:val="0"/>
                <w:position w:val="0"/>
                <w:highlight w:val="none"/>
              </w:rPr>
              <w:t>kg/h。</w:t>
            </w:r>
          </w:p>
          <w:p w14:paraId="21EAD73D">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5</w:t>
            </w:r>
            <w:r>
              <w:rPr>
                <w:rFonts w:hint="eastAsia"/>
                <w:caps w:val="0"/>
                <w:color w:val="auto"/>
                <w:spacing w:val="0"/>
                <w:position w:val="0"/>
                <w:highlight w:val="none"/>
                <w:lang w:eastAsia="zh-CN"/>
              </w:rPr>
              <w:t>）</w:t>
            </w:r>
            <w:r>
              <w:rPr>
                <w:rFonts w:hint="default"/>
                <w:caps w:val="0"/>
                <w:color w:val="auto"/>
                <w:spacing w:val="0"/>
                <w:position w:val="0"/>
                <w:highlight w:val="none"/>
              </w:rPr>
              <w:t>运输</w:t>
            </w:r>
            <w:r>
              <w:rPr>
                <w:rFonts w:hint="eastAsia"/>
                <w:caps w:val="0"/>
                <w:color w:val="auto"/>
                <w:spacing w:val="0"/>
                <w:position w:val="0"/>
                <w:highlight w:val="none"/>
              </w:rPr>
              <w:t>扬尘</w:t>
            </w:r>
          </w:p>
          <w:p w14:paraId="73E708EB">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厂区外：</w:t>
            </w:r>
            <w:r>
              <w:rPr>
                <w:rFonts w:hint="default" w:ascii="Times New Roman" w:hAnsi="Times New Roman" w:eastAsia="宋体" w:cs="Times New Roman"/>
                <w:caps w:val="0"/>
                <w:color w:val="auto"/>
                <w:spacing w:val="0"/>
                <w:position w:val="0"/>
                <w:sz w:val="24"/>
                <w:szCs w:val="24"/>
                <w:highlight w:val="none"/>
              </w:rPr>
              <w:t>本项目锂冶炼剩余物从原料供应商运输至项目所在地，原料供应商位于工业园区，运输路线主要为省道和国道，省道和国道运输车辆粉尘已在道路环评中进行评价，本项目不作重复评价。</w:t>
            </w:r>
          </w:p>
          <w:p w14:paraId="7B4695AD">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position w:val="0"/>
                <w:sz w:val="24"/>
                <w:szCs w:val="24"/>
                <w:highlight w:val="none"/>
              </w:rPr>
            </w:pPr>
            <w:r>
              <w:rPr>
                <w:rFonts w:hint="default" w:ascii="Times New Roman" w:hAnsi="Times New Roman" w:eastAsia="宋体" w:cs="Times New Roman"/>
                <w:b/>
                <w:bCs/>
                <w:caps w:val="0"/>
                <w:color w:val="auto"/>
                <w:spacing w:val="0"/>
                <w:position w:val="0"/>
                <w:sz w:val="24"/>
                <w:szCs w:val="24"/>
                <w:highlight w:val="none"/>
              </w:rPr>
              <w:t>厂区内：</w:t>
            </w:r>
            <w:r>
              <w:rPr>
                <w:rFonts w:hint="default" w:ascii="Times New Roman" w:hAnsi="Times New Roman" w:eastAsia="宋体" w:cs="Times New Roman"/>
                <w:caps w:val="0"/>
                <w:color w:val="auto"/>
                <w:spacing w:val="0"/>
                <w:position w:val="0"/>
                <w:sz w:val="24"/>
                <w:szCs w:val="24"/>
                <w:highlight w:val="none"/>
              </w:rPr>
              <w:t>项目原料及产品输送次数较多，针对此情况，项目需在厂区出入口设置冲洗车台和冲洗设施，未冲洗干净的车辆不得出厂；所有运输车辆必须安装有效防滴洒装置并确保正常使用，并设置篷布遮盖，本项目运输道路考虑路面洁净、平整因素，对沿途环境空气有一定影响。</w:t>
            </w:r>
          </w:p>
          <w:p w14:paraId="4DA31DCA">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eastAsia="zh-CN"/>
              </w:rPr>
              <w:t>根据建设单位提供的资料，项目采用自卸车进行</w:t>
            </w:r>
            <w:r>
              <w:rPr>
                <w:rFonts w:hint="eastAsia"/>
                <w:caps w:val="0"/>
                <w:color w:val="auto"/>
                <w:spacing w:val="0"/>
                <w:position w:val="0"/>
                <w:highlight w:val="none"/>
                <w:lang w:val="en-US" w:eastAsia="zh-CN"/>
              </w:rPr>
              <w:t>物料</w:t>
            </w:r>
            <w:r>
              <w:rPr>
                <w:rFonts w:hint="eastAsia"/>
                <w:caps w:val="0"/>
                <w:color w:val="auto"/>
                <w:spacing w:val="0"/>
                <w:position w:val="0"/>
                <w:highlight w:val="none"/>
                <w:lang w:eastAsia="zh-CN"/>
              </w:rPr>
              <w:t>装卸运输，平均</w:t>
            </w:r>
            <w:r>
              <w:rPr>
                <w:rFonts w:hint="eastAsia"/>
                <w:caps w:val="0"/>
                <w:color w:val="auto"/>
                <w:spacing w:val="0"/>
                <w:position w:val="0"/>
                <w:highlight w:val="none"/>
              </w:rPr>
              <w:t>单车一次运输量为</w:t>
            </w:r>
            <w:r>
              <w:rPr>
                <w:rFonts w:hint="eastAsia"/>
                <w:caps w:val="0"/>
                <w:color w:val="auto"/>
                <w:spacing w:val="0"/>
                <w:position w:val="0"/>
                <w:highlight w:val="none"/>
                <w:lang w:val="en-US" w:eastAsia="zh-CN"/>
              </w:rPr>
              <w:t>40</w:t>
            </w:r>
            <w:r>
              <w:rPr>
                <w:rFonts w:hint="eastAsia"/>
                <w:caps w:val="0"/>
                <w:color w:val="auto"/>
                <w:spacing w:val="0"/>
                <w:position w:val="0"/>
                <w:highlight w:val="none"/>
              </w:rPr>
              <w:t>t，</w:t>
            </w:r>
            <w:r>
              <w:rPr>
                <w:rFonts w:hint="eastAsia"/>
                <w:caps w:val="0"/>
                <w:color w:val="auto"/>
                <w:spacing w:val="0"/>
                <w:position w:val="0"/>
                <w:highlight w:val="none"/>
                <w:lang w:val="en-US" w:eastAsia="zh-CN"/>
              </w:rPr>
              <w:t>本项目原料和成品运输总量为399070t/a，</w:t>
            </w:r>
            <w:r>
              <w:rPr>
                <w:rFonts w:hint="eastAsia"/>
                <w:caps w:val="0"/>
                <w:color w:val="auto"/>
                <w:spacing w:val="0"/>
                <w:position w:val="0"/>
                <w:highlight w:val="none"/>
                <w:lang w:eastAsia="zh-CN"/>
              </w:rPr>
              <w:t>则</w:t>
            </w:r>
            <w:r>
              <w:rPr>
                <w:rFonts w:hint="eastAsia"/>
                <w:caps w:val="0"/>
                <w:color w:val="auto"/>
                <w:spacing w:val="0"/>
                <w:position w:val="0"/>
                <w:highlight w:val="none"/>
              </w:rPr>
              <w:t>项目年出场车辆</w:t>
            </w:r>
            <w:r>
              <w:rPr>
                <w:rFonts w:hint="eastAsia"/>
                <w:caps w:val="0"/>
                <w:color w:val="auto"/>
                <w:spacing w:val="0"/>
                <w:position w:val="0"/>
                <w:highlight w:val="none"/>
                <w:lang w:val="en-US" w:eastAsia="zh-CN"/>
              </w:rPr>
              <w:t>9977</w:t>
            </w:r>
            <w:r>
              <w:rPr>
                <w:rFonts w:hint="eastAsia"/>
                <w:caps w:val="0"/>
                <w:color w:val="auto"/>
                <w:spacing w:val="0"/>
                <w:position w:val="0"/>
                <w:highlight w:val="none"/>
              </w:rPr>
              <w:t>辆·次，日平均出场车辆</w:t>
            </w:r>
            <w:r>
              <w:rPr>
                <w:rFonts w:hint="eastAsia"/>
                <w:caps w:val="0"/>
                <w:color w:val="auto"/>
                <w:spacing w:val="0"/>
                <w:position w:val="0"/>
                <w:highlight w:val="none"/>
                <w:lang w:val="en-US" w:eastAsia="zh-CN"/>
              </w:rPr>
              <w:t>34</w:t>
            </w:r>
            <w:r>
              <w:rPr>
                <w:rFonts w:hint="eastAsia"/>
                <w:caps w:val="0"/>
                <w:color w:val="auto"/>
                <w:spacing w:val="0"/>
                <w:position w:val="0"/>
                <w:highlight w:val="none"/>
              </w:rPr>
              <w:t>辆·次</w:t>
            </w:r>
            <w:r>
              <w:rPr>
                <w:rFonts w:hint="default"/>
                <w:caps w:val="0"/>
                <w:color w:val="auto"/>
                <w:spacing w:val="0"/>
                <w:position w:val="0"/>
                <w:highlight w:val="none"/>
              </w:rPr>
              <w:t>。由于项目汽车运输量很大，载重车辆频繁地进出，引起周</w:t>
            </w:r>
            <w:r>
              <w:rPr>
                <w:rFonts w:hint="eastAsia"/>
                <w:caps w:val="0"/>
                <w:color w:val="auto"/>
                <w:spacing w:val="0"/>
                <w:position w:val="0"/>
                <w:highlight w:val="none"/>
              </w:rPr>
              <w:t>边道路扬尘量增加，影响到厂区及周边的环境空气质量，参照国外的测定资料，其产尘强度为</w:t>
            </w:r>
            <w:r>
              <w:rPr>
                <w:rFonts w:hint="default"/>
                <w:caps w:val="0"/>
                <w:color w:val="auto"/>
                <w:spacing w:val="0"/>
                <w:position w:val="0"/>
                <w:highlight w:val="none"/>
              </w:rPr>
              <w:t>620～3650mg/s，在未采取措施的情况下，路面空气中粉尘浓度为2.3～15.1mg/m³。</w:t>
            </w:r>
          </w:p>
          <w:p w14:paraId="27E9E04B">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本评价选取上海港环境保护中心和武汉水运工程学院提出的经验公式进行计算，公式如下：</w:t>
            </w:r>
          </w:p>
          <w:p w14:paraId="606A0131">
            <w:pPr>
              <w:keepNext w:val="0"/>
              <w:keepLines w:val="0"/>
              <w:suppressLineNumbers w:val="0"/>
              <w:spacing w:before="0" w:beforeAutospacing="0" w:after="0" w:afterAutospacing="0"/>
              <w:ind w:left="0" w:right="0" w:firstLine="480"/>
              <w:jc w:val="center"/>
              <w:rPr>
                <w:rFonts w:hint="default"/>
                <w:caps w:val="0"/>
                <w:color w:val="auto"/>
                <w:spacing w:val="0"/>
                <w:position w:val="0"/>
                <w:szCs w:val="21"/>
                <w:highlight w:val="none"/>
              </w:rPr>
            </w:pPr>
            <m:oMathPara>
              <m:oMath>
                <m:sSub>
                  <m:sSubPr>
                    <m:ctrlPr>
                      <w:rPr>
                        <w:rFonts w:hint="default" w:ascii="Cambria Math" w:hAnsi="Cambria Math" w:eastAsia="Cambria Math" w:cs="Cambria Math"/>
                        <w:i/>
                        <w:caps w:val="0"/>
                        <w:color w:val="auto"/>
                        <w:spacing w:val="0"/>
                        <w:position w:val="0"/>
                        <w:szCs w:val="21"/>
                        <w:highlight w:val="none"/>
                      </w:rPr>
                    </m:ctrlPr>
                  </m:sSubPr>
                  <m:e>
                    <m:r>
                      <m:rPr/>
                      <w:rPr>
                        <w:rFonts w:hint="default" w:ascii="Cambria Math" w:hAnsi="Cambria Math" w:eastAsia="Cambria Math" w:cs="Cambria Math"/>
                        <w:caps w:val="0"/>
                        <w:color w:val="auto"/>
                        <w:spacing w:val="0"/>
                        <w:position w:val="0"/>
                        <w:szCs w:val="21"/>
                        <w:highlight w:val="none"/>
                      </w:rPr>
                      <m:t>Q</m:t>
                    </m:r>
                    <m:ctrlPr>
                      <w:rPr>
                        <w:rFonts w:hint="default" w:ascii="Cambria Math" w:hAnsi="Cambria Math" w:eastAsia="Cambria Math" w:cs="Cambria Math"/>
                        <w:i/>
                        <w:caps w:val="0"/>
                        <w:color w:val="auto"/>
                        <w:spacing w:val="0"/>
                        <w:position w:val="0"/>
                        <w:szCs w:val="21"/>
                        <w:highlight w:val="none"/>
                      </w:rPr>
                    </m:ctrlPr>
                  </m:e>
                  <m:sub>
                    <m:r>
                      <m:rPr/>
                      <w:rPr>
                        <w:rFonts w:hint="default" w:ascii="Cambria Math" w:hAnsi="Cambria Math" w:eastAsia="Cambria Math" w:cs="Cambria Math"/>
                        <w:caps w:val="0"/>
                        <w:color w:val="auto"/>
                        <w:spacing w:val="0"/>
                        <w:position w:val="0"/>
                        <w:szCs w:val="21"/>
                        <w:highlight w:val="none"/>
                      </w:rPr>
                      <m:t>p</m:t>
                    </m:r>
                    <m:ctrlPr>
                      <w:rPr>
                        <w:rFonts w:hint="default" w:ascii="Cambria Math" w:hAnsi="Cambria Math" w:eastAsia="Cambria Math" w:cs="Cambria Math"/>
                        <w:i/>
                        <w:caps w:val="0"/>
                        <w:color w:val="auto"/>
                        <w:spacing w:val="0"/>
                        <w:position w:val="0"/>
                        <w:szCs w:val="21"/>
                        <w:highlight w:val="none"/>
                      </w:rPr>
                    </m:ctrlPr>
                  </m:sub>
                </m:sSub>
                <m:r>
                  <m:rPr>
                    <m:sty m:val="p"/>
                  </m:rPr>
                  <w:rPr>
                    <w:rFonts w:hint="default" w:ascii="Cambria Math" w:hAnsi="Cambria Math" w:eastAsia="Cambria Math" w:cs="Cambria Math"/>
                    <w:caps w:val="0"/>
                    <w:color w:val="auto"/>
                    <w:spacing w:val="0"/>
                    <w:position w:val="0"/>
                    <w:szCs w:val="21"/>
                    <w:highlight w:val="none"/>
                  </w:rPr>
                  <m:t>=</m:t>
                </m:r>
                <m:r>
                  <m:rPr>
                    <m:sty m:val="p"/>
                  </m:rPr>
                  <w:rPr>
                    <w:rFonts w:hint="default" w:ascii="Cambria Math" w:hAnsi="Cambria Math" w:eastAsia="Cambria Math"/>
                    <w:caps w:val="0"/>
                    <w:color w:val="auto"/>
                    <w:spacing w:val="0"/>
                    <w:position w:val="0"/>
                    <w:szCs w:val="21"/>
                    <w:highlight w:val="none"/>
                  </w:rPr>
                  <m:t>0.123(</m:t>
                </m:r>
                <m:f>
                  <m:fPr>
                    <m:ctrlPr>
                      <w:rPr>
                        <w:rFonts w:hint="default" w:ascii="Cambria Math" w:hAnsi="Cambria Math" w:eastAsia="Cambria Math"/>
                        <w:caps w:val="0"/>
                        <w:color w:val="auto"/>
                        <w:spacing w:val="0"/>
                        <w:position w:val="0"/>
                        <w:szCs w:val="21"/>
                        <w:highlight w:val="none"/>
                      </w:rPr>
                    </m:ctrlPr>
                  </m:fPr>
                  <m:num>
                    <m:r>
                      <m:rPr/>
                      <w:rPr>
                        <w:rFonts w:hint="default" w:ascii="Cambria Math" w:hAnsi="Cambria Math" w:eastAsia="Cambria Math"/>
                        <w:caps w:val="0"/>
                        <w:color w:val="auto"/>
                        <w:spacing w:val="0"/>
                        <w:position w:val="0"/>
                        <w:szCs w:val="21"/>
                        <w:highlight w:val="none"/>
                      </w:rPr>
                      <m:t>V</m:t>
                    </m:r>
                    <m:ctrlPr>
                      <w:rPr>
                        <w:rFonts w:hint="default" w:ascii="Cambria Math" w:hAnsi="Cambria Math" w:eastAsia="Cambria Math"/>
                        <w:caps w:val="0"/>
                        <w:color w:val="auto"/>
                        <w:spacing w:val="0"/>
                        <w:position w:val="0"/>
                        <w:szCs w:val="21"/>
                        <w:highlight w:val="none"/>
                      </w:rPr>
                    </m:ctrlPr>
                  </m:num>
                  <m:den>
                    <m:r>
                      <m:rPr/>
                      <w:rPr>
                        <w:rFonts w:hint="default" w:ascii="Cambria Math" w:hAnsi="Cambria Math" w:eastAsia="Cambria Math"/>
                        <w:caps w:val="0"/>
                        <w:color w:val="auto"/>
                        <w:spacing w:val="0"/>
                        <w:position w:val="0"/>
                        <w:szCs w:val="21"/>
                        <w:highlight w:val="none"/>
                      </w:rPr>
                      <m:t>5</m:t>
                    </m:r>
                    <m:ctrlPr>
                      <w:rPr>
                        <w:rFonts w:hint="default" w:ascii="Cambria Math" w:hAnsi="Cambria Math" w:eastAsia="Cambria Math"/>
                        <w:caps w:val="0"/>
                        <w:color w:val="auto"/>
                        <w:spacing w:val="0"/>
                        <w:position w:val="0"/>
                        <w:szCs w:val="21"/>
                        <w:highlight w:val="none"/>
                      </w:rPr>
                    </m:ctrlPr>
                  </m:den>
                </m:f>
                <m:r>
                  <m:rPr/>
                  <w:rPr>
                    <w:rFonts w:hint="default" w:ascii="Cambria Math" w:hAnsi="Cambria Math" w:eastAsia="Cambria Math"/>
                    <w:caps w:val="0"/>
                    <w:color w:val="auto"/>
                    <w:spacing w:val="0"/>
                    <w:position w:val="0"/>
                    <w:szCs w:val="21"/>
                    <w:highlight w:val="none"/>
                  </w:rPr>
                  <m:t>)(</m:t>
                </m:r>
                <m:sSup>
                  <m:sSupPr>
                    <m:ctrlPr>
                      <w:rPr>
                        <w:rFonts w:hint="default" w:ascii="Cambria Math" w:hAnsi="Cambria Math" w:eastAsia="Cambria Math"/>
                        <w:i/>
                        <w:caps w:val="0"/>
                        <w:color w:val="auto"/>
                        <w:spacing w:val="0"/>
                        <w:position w:val="0"/>
                        <w:szCs w:val="21"/>
                        <w:highlight w:val="none"/>
                      </w:rPr>
                    </m:ctrlPr>
                  </m:sSupPr>
                  <m:e>
                    <m:f>
                      <m:fPr>
                        <m:ctrlPr>
                          <w:rPr>
                            <w:rFonts w:hint="default" w:ascii="Cambria Math" w:hAnsi="Cambria Math" w:eastAsia="Cambria Math"/>
                            <w:i/>
                            <w:caps w:val="0"/>
                            <w:color w:val="auto"/>
                            <w:spacing w:val="0"/>
                            <w:position w:val="0"/>
                            <w:szCs w:val="21"/>
                            <w:highlight w:val="none"/>
                          </w:rPr>
                        </m:ctrlPr>
                      </m:fPr>
                      <m:num>
                        <m:r>
                          <m:rPr/>
                          <w:rPr>
                            <w:rFonts w:hint="default" w:ascii="Cambria Math" w:hAnsi="Cambria Math" w:eastAsia="Cambria Math"/>
                            <w:caps w:val="0"/>
                            <w:color w:val="auto"/>
                            <w:spacing w:val="0"/>
                            <w:position w:val="0"/>
                            <w:szCs w:val="21"/>
                            <w:highlight w:val="none"/>
                          </w:rPr>
                          <m:t>M</m:t>
                        </m:r>
                        <m:ctrlPr>
                          <w:rPr>
                            <w:rFonts w:hint="default" w:ascii="Cambria Math" w:hAnsi="Cambria Math" w:eastAsia="Cambria Math"/>
                            <w:i/>
                            <w:caps w:val="0"/>
                            <w:color w:val="auto"/>
                            <w:spacing w:val="0"/>
                            <w:position w:val="0"/>
                            <w:szCs w:val="21"/>
                            <w:highlight w:val="none"/>
                          </w:rPr>
                        </m:ctrlPr>
                      </m:num>
                      <m:den>
                        <m:r>
                          <m:rPr/>
                          <w:rPr>
                            <w:rFonts w:hint="default" w:ascii="Cambria Math" w:hAnsi="Cambria Math" w:eastAsia="Cambria Math"/>
                            <w:caps w:val="0"/>
                            <w:color w:val="auto"/>
                            <w:spacing w:val="0"/>
                            <w:position w:val="0"/>
                            <w:szCs w:val="21"/>
                            <w:highlight w:val="none"/>
                          </w:rPr>
                          <m:t>6.8</m:t>
                        </m:r>
                        <m:ctrlPr>
                          <w:rPr>
                            <w:rFonts w:hint="default" w:ascii="Cambria Math" w:hAnsi="Cambria Math" w:eastAsia="Cambria Math"/>
                            <w:i/>
                            <w:caps w:val="0"/>
                            <w:color w:val="auto"/>
                            <w:spacing w:val="0"/>
                            <w:position w:val="0"/>
                            <w:szCs w:val="21"/>
                            <w:highlight w:val="none"/>
                          </w:rPr>
                        </m:ctrlPr>
                      </m:den>
                    </m:f>
                    <m:r>
                      <m:rPr/>
                      <w:rPr>
                        <w:rFonts w:hint="default" w:ascii="Cambria Math" w:hAnsi="Cambria Math" w:eastAsia="Cambria Math"/>
                        <w:caps w:val="0"/>
                        <w:color w:val="auto"/>
                        <w:spacing w:val="0"/>
                        <w:position w:val="0"/>
                        <w:szCs w:val="21"/>
                        <w:highlight w:val="none"/>
                      </w:rPr>
                      <m:t>)</m:t>
                    </m:r>
                    <m:ctrlPr>
                      <w:rPr>
                        <w:rFonts w:hint="default" w:ascii="Cambria Math" w:hAnsi="Cambria Math" w:eastAsia="Cambria Math"/>
                        <w:i/>
                        <w:caps w:val="0"/>
                        <w:color w:val="auto"/>
                        <w:spacing w:val="0"/>
                        <w:position w:val="0"/>
                        <w:szCs w:val="21"/>
                        <w:highlight w:val="none"/>
                      </w:rPr>
                    </m:ctrlPr>
                  </m:e>
                  <m:sup>
                    <m:r>
                      <m:rPr/>
                      <w:rPr>
                        <w:rFonts w:hint="default" w:ascii="Cambria Math" w:hAnsi="Cambria Math" w:eastAsia="Cambria Math"/>
                        <w:caps w:val="0"/>
                        <w:color w:val="auto"/>
                        <w:spacing w:val="0"/>
                        <w:position w:val="0"/>
                        <w:szCs w:val="21"/>
                        <w:highlight w:val="none"/>
                      </w:rPr>
                      <m:t>0.85</m:t>
                    </m:r>
                    <m:ctrlPr>
                      <w:rPr>
                        <w:rFonts w:hint="default" w:ascii="Cambria Math" w:hAnsi="Cambria Math" w:eastAsia="Cambria Math"/>
                        <w:i/>
                        <w:caps w:val="0"/>
                        <w:color w:val="auto"/>
                        <w:spacing w:val="0"/>
                        <w:position w:val="0"/>
                        <w:szCs w:val="21"/>
                        <w:highlight w:val="none"/>
                      </w:rPr>
                    </m:ctrlPr>
                  </m:sup>
                </m:sSup>
                <m:sSup>
                  <m:sSupPr>
                    <m:ctrlPr>
                      <w:rPr>
                        <w:rFonts w:hint="default" w:ascii="Cambria Math" w:hAnsi="Cambria Math" w:eastAsia="Cambria Math"/>
                        <w:i/>
                        <w:caps w:val="0"/>
                        <w:color w:val="auto"/>
                        <w:spacing w:val="0"/>
                        <w:position w:val="0"/>
                        <w:szCs w:val="21"/>
                        <w:highlight w:val="none"/>
                      </w:rPr>
                    </m:ctrlPr>
                  </m:sSupPr>
                  <m:e>
                    <m:r>
                      <m:rPr/>
                      <w:rPr>
                        <w:rFonts w:hint="default" w:ascii="Cambria Math" w:hAnsi="Cambria Math" w:eastAsia="Cambria Math"/>
                        <w:caps w:val="0"/>
                        <w:color w:val="auto"/>
                        <w:spacing w:val="0"/>
                        <w:position w:val="0"/>
                        <w:szCs w:val="21"/>
                        <w:highlight w:val="none"/>
                      </w:rPr>
                      <m:t>(</m:t>
                    </m:r>
                    <m:f>
                      <m:fPr>
                        <m:ctrlPr>
                          <w:rPr>
                            <w:rFonts w:hint="default" w:ascii="Cambria Math" w:hAnsi="Cambria Math" w:eastAsia="Cambria Math"/>
                            <w:i/>
                            <w:caps w:val="0"/>
                            <w:color w:val="auto"/>
                            <w:spacing w:val="0"/>
                            <w:position w:val="0"/>
                            <w:szCs w:val="21"/>
                            <w:highlight w:val="none"/>
                          </w:rPr>
                        </m:ctrlPr>
                      </m:fPr>
                      <m:num>
                        <m:r>
                          <m:rPr/>
                          <w:rPr>
                            <w:rFonts w:hint="default" w:ascii="Cambria Math" w:hAnsi="Cambria Math" w:eastAsia="Cambria Math"/>
                            <w:caps w:val="0"/>
                            <w:color w:val="auto"/>
                            <w:spacing w:val="0"/>
                            <w:position w:val="0"/>
                            <w:szCs w:val="21"/>
                            <w:highlight w:val="none"/>
                          </w:rPr>
                          <m:t>P</m:t>
                        </m:r>
                        <m:ctrlPr>
                          <w:rPr>
                            <w:rFonts w:hint="default" w:ascii="Cambria Math" w:hAnsi="Cambria Math" w:eastAsia="Cambria Math"/>
                            <w:i/>
                            <w:caps w:val="0"/>
                            <w:color w:val="auto"/>
                            <w:spacing w:val="0"/>
                            <w:position w:val="0"/>
                            <w:szCs w:val="21"/>
                            <w:highlight w:val="none"/>
                          </w:rPr>
                        </m:ctrlPr>
                      </m:num>
                      <m:den>
                        <m:r>
                          <m:rPr/>
                          <w:rPr>
                            <w:rFonts w:hint="default" w:ascii="Cambria Math" w:hAnsi="Cambria Math" w:eastAsia="Cambria Math"/>
                            <w:caps w:val="0"/>
                            <w:color w:val="auto"/>
                            <w:spacing w:val="0"/>
                            <w:position w:val="0"/>
                            <w:szCs w:val="21"/>
                            <w:highlight w:val="none"/>
                          </w:rPr>
                          <m:t>0.5</m:t>
                        </m:r>
                        <m:ctrlPr>
                          <w:rPr>
                            <w:rFonts w:hint="default" w:ascii="Cambria Math" w:hAnsi="Cambria Math" w:eastAsia="Cambria Math"/>
                            <w:i/>
                            <w:caps w:val="0"/>
                            <w:color w:val="auto"/>
                            <w:spacing w:val="0"/>
                            <w:position w:val="0"/>
                            <w:szCs w:val="21"/>
                            <w:highlight w:val="none"/>
                          </w:rPr>
                        </m:ctrlPr>
                      </m:den>
                    </m:f>
                    <m:r>
                      <m:rPr/>
                      <w:rPr>
                        <w:rFonts w:hint="default" w:ascii="Cambria Math" w:hAnsi="Cambria Math" w:eastAsia="Cambria Math"/>
                        <w:caps w:val="0"/>
                        <w:color w:val="auto"/>
                        <w:spacing w:val="0"/>
                        <w:position w:val="0"/>
                        <w:szCs w:val="21"/>
                        <w:highlight w:val="none"/>
                      </w:rPr>
                      <m:t>)</m:t>
                    </m:r>
                    <m:ctrlPr>
                      <w:rPr>
                        <w:rFonts w:hint="default" w:ascii="Cambria Math" w:hAnsi="Cambria Math" w:eastAsia="Cambria Math"/>
                        <w:i/>
                        <w:caps w:val="0"/>
                        <w:color w:val="auto"/>
                        <w:spacing w:val="0"/>
                        <w:position w:val="0"/>
                        <w:szCs w:val="21"/>
                        <w:highlight w:val="none"/>
                      </w:rPr>
                    </m:ctrlPr>
                  </m:e>
                  <m:sup>
                    <m:r>
                      <m:rPr/>
                      <w:rPr>
                        <w:rFonts w:hint="default" w:ascii="Cambria Math" w:hAnsi="Cambria Math" w:eastAsia="Cambria Math"/>
                        <w:caps w:val="0"/>
                        <w:color w:val="auto"/>
                        <w:spacing w:val="0"/>
                        <w:position w:val="0"/>
                        <w:szCs w:val="21"/>
                        <w:highlight w:val="none"/>
                      </w:rPr>
                      <m:t>0.72</m:t>
                    </m:r>
                    <m:ctrlPr>
                      <w:rPr>
                        <w:rFonts w:hint="default" w:ascii="Cambria Math" w:hAnsi="Cambria Math" w:eastAsia="Cambria Math"/>
                        <w:i/>
                        <w:caps w:val="0"/>
                        <w:color w:val="auto"/>
                        <w:spacing w:val="0"/>
                        <w:position w:val="0"/>
                        <w:szCs w:val="21"/>
                        <w:highlight w:val="none"/>
                      </w:rPr>
                    </m:ctrlPr>
                  </m:sup>
                </m:sSup>
              </m:oMath>
            </m:oMathPara>
          </w:p>
          <w:p w14:paraId="03ECA3FA">
            <w:pPr>
              <w:keepNext w:val="0"/>
              <w:keepLines w:val="0"/>
              <w:suppressLineNumbers w:val="0"/>
              <w:spacing w:before="0" w:beforeAutospacing="0" w:after="0" w:afterAutospacing="0"/>
              <w:ind w:left="0" w:right="0" w:firstLine="480"/>
              <w:jc w:val="center"/>
              <w:rPr>
                <w:rFonts w:hint="default"/>
                <w:caps w:val="0"/>
                <w:color w:val="auto"/>
                <w:spacing w:val="0"/>
                <w:position w:val="0"/>
                <w:szCs w:val="21"/>
                <w:highlight w:val="none"/>
              </w:rPr>
            </w:pPr>
            <m:oMathPara>
              <m:oMath>
                <m:sSubSup>
                  <m:sSubSupPr>
                    <m:ctrlPr>
                      <w:rPr>
                        <w:rFonts w:hint="default" w:ascii="Cambria Math" w:hAnsi="Cambria Math"/>
                        <w:i/>
                        <w:caps w:val="0"/>
                        <w:color w:val="auto"/>
                        <w:spacing w:val="0"/>
                        <w:position w:val="0"/>
                        <w:szCs w:val="21"/>
                        <w:highlight w:val="none"/>
                      </w:rPr>
                    </m:ctrlPr>
                  </m:sSubSupPr>
                  <m:e>
                    <m:r>
                      <m:rPr/>
                      <w:rPr>
                        <w:rFonts w:hint="default" w:ascii="Cambria Math" w:hAnsi="Cambria Math"/>
                        <w:caps w:val="0"/>
                        <w:color w:val="auto"/>
                        <w:spacing w:val="0"/>
                        <w:position w:val="0"/>
                        <w:szCs w:val="21"/>
                        <w:highlight w:val="none"/>
                      </w:rPr>
                      <m:t>Q</m:t>
                    </m:r>
                    <m:ctrlPr>
                      <w:rPr>
                        <w:rFonts w:hint="default" w:ascii="Cambria Math" w:hAnsi="Cambria Math"/>
                        <w:i/>
                        <w:caps w:val="0"/>
                        <w:color w:val="auto"/>
                        <w:spacing w:val="0"/>
                        <w:position w:val="0"/>
                        <w:szCs w:val="21"/>
                        <w:highlight w:val="none"/>
                      </w:rPr>
                    </m:ctrlPr>
                  </m:e>
                  <m:sub>
                    <m:r>
                      <m:rPr/>
                      <w:rPr>
                        <w:rFonts w:hint="default" w:ascii="Cambria Math" w:hAnsi="Cambria Math"/>
                        <w:caps w:val="0"/>
                        <w:color w:val="auto"/>
                        <w:spacing w:val="0"/>
                        <w:position w:val="0"/>
                        <w:szCs w:val="21"/>
                        <w:highlight w:val="none"/>
                      </w:rPr>
                      <m:t>p</m:t>
                    </m:r>
                    <m:ctrlPr>
                      <w:rPr>
                        <w:rFonts w:hint="default" w:ascii="Cambria Math" w:hAnsi="Cambria Math"/>
                        <w:i/>
                        <w:caps w:val="0"/>
                        <w:color w:val="auto"/>
                        <w:spacing w:val="0"/>
                        <w:position w:val="0"/>
                        <w:szCs w:val="21"/>
                        <w:highlight w:val="none"/>
                      </w:rPr>
                    </m:ctrlPr>
                  </m:sub>
                  <m:sup>
                    <m:r>
                      <m:rPr/>
                      <w:rPr>
                        <w:rFonts w:hint="default" w:ascii="Cambria Math" w:hAnsi="Cambria Math"/>
                        <w:caps w:val="0"/>
                        <w:color w:val="auto"/>
                        <w:spacing w:val="0"/>
                        <w:position w:val="0"/>
                        <w:szCs w:val="21"/>
                        <w:highlight w:val="none"/>
                      </w:rPr>
                      <m:t>'</m:t>
                    </m:r>
                    <m:ctrlPr>
                      <w:rPr>
                        <w:rFonts w:hint="default" w:ascii="Cambria Math" w:hAnsi="Cambria Math"/>
                        <w:i/>
                        <w:caps w:val="0"/>
                        <w:color w:val="auto"/>
                        <w:spacing w:val="0"/>
                        <w:position w:val="0"/>
                        <w:szCs w:val="21"/>
                        <w:highlight w:val="none"/>
                      </w:rPr>
                    </m:ctrlPr>
                  </m:sup>
                </m:sSubSup>
                <m:r>
                  <m:rPr/>
                  <w:rPr>
                    <w:rFonts w:hint="default" w:ascii="Cambria Math" w:hAnsi="Cambria Math"/>
                    <w:caps w:val="0"/>
                    <w:color w:val="auto"/>
                    <w:spacing w:val="0"/>
                    <w:position w:val="0"/>
                    <w:szCs w:val="21"/>
                    <w:highlight w:val="none"/>
                  </w:rPr>
                  <m:t>=</m:t>
                </m:r>
                <m:sSub>
                  <m:sSubPr>
                    <m:ctrlPr>
                      <w:rPr>
                        <w:rFonts w:hint="default" w:ascii="Cambria Math" w:hAnsi="Cambria Math"/>
                        <w:i/>
                        <w:caps w:val="0"/>
                        <w:color w:val="auto"/>
                        <w:spacing w:val="0"/>
                        <w:position w:val="0"/>
                        <w:szCs w:val="21"/>
                        <w:highlight w:val="none"/>
                      </w:rPr>
                    </m:ctrlPr>
                  </m:sSubPr>
                  <m:e>
                    <m:r>
                      <m:rPr/>
                      <w:rPr>
                        <w:rFonts w:hint="default" w:ascii="Cambria Math" w:hAnsi="Cambria Math"/>
                        <w:caps w:val="0"/>
                        <w:color w:val="auto"/>
                        <w:spacing w:val="0"/>
                        <w:position w:val="0"/>
                        <w:szCs w:val="21"/>
                        <w:highlight w:val="none"/>
                      </w:rPr>
                      <m:t>Q</m:t>
                    </m:r>
                    <m:ctrlPr>
                      <w:rPr>
                        <w:rFonts w:hint="default" w:ascii="Cambria Math" w:hAnsi="Cambria Math"/>
                        <w:i/>
                        <w:caps w:val="0"/>
                        <w:color w:val="auto"/>
                        <w:spacing w:val="0"/>
                        <w:position w:val="0"/>
                        <w:szCs w:val="21"/>
                        <w:highlight w:val="none"/>
                      </w:rPr>
                    </m:ctrlPr>
                  </m:e>
                  <m:sub>
                    <m:r>
                      <m:rPr/>
                      <w:rPr>
                        <w:rFonts w:hint="default" w:ascii="Cambria Math" w:hAnsi="Cambria Math"/>
                        <w:caps w:val="0"/>
                        <w:color w:val="auto"/>
                        <w:spacing w:val="0"/>
                        <w:position w:val="0"/>
                        <w:szCs w:val="21"/>
                        <w:highlight w:val="none"/>
                      </w:rPr>
                      <m:t>p</m:t>
                    </m:r>
                    <m:ctrlPr>
                      <w:rPr>
                        <w:rFonts w:hint="default" w:ascii="Cambria Math" w:hAnsi="Cambria Math"/>
                        <w:i/>
                        <w:caps w:val="0"/>
                        <w:color w:val="auto"/>
                        <w:spacing w:val="0"/>
                        <w:position w:val="0"/>
                        <w:szCs w:val="21"/>
                        <w:highlight w:val="none"/>
                      </w:rPr>
                    </m:ctrlPr>
                  </m:sub>
                </m:sSub>
                <m:r>
                  <m:rPr/>
                  <w:rPr>
                    <w:rFonts w:hint="default" w:ascii="Cambria Math" w:hAnsi="Cambria Math"/>
                    <w:caps w:val="0"/>
                    <w:color w:val="auto"/>
                    <w:spacing w:val="0"/>
                    <w:position w:val="0"/>
                    <w:szCs w:val="21"/>
                    <w:highlight w:val="none"/>
                  </w:rPr>
                  <m:t>L(</m:t>
                </m:r>
                <m:f>
                  <m:fPr>
                    <m:ctrlPr>
                      <w:rPr>
                        <w:rFonts w:hint="default" w:ascii="Cambria Math" w:hAnsi="Cambria Math"/>
                        <w:i/>
                        <w:caps w:val="0"/>
                        <w:color w:val="auto"/>
                        <w:spacing w:val="0"/>
                        <w:position w:val="0"/>
                        <w:szCs w:val="21"/>
                        <w:highlight w:val="none"/>
                      </w:rPr>
                    </m:ctrlPr>
                  </m:fPr>
                  <m:num>
                    <m:r>
                      <m:rPr/>
                      <w:rPr>
                        <w:rFonts w:hint="default" w:ascii="Cambria Math" w:hAnsi="Cambria Math"/>
                        <w:caps w:val="0"/>
                        <w:color w:val="auto"/>
                        <w:spacing w:val="0"/>
                        <w:position w:val="0"/>
                        <w:szCs w:val="21"/>
                        <w:highlight w:val="none"/>
                      </w:rPr>
                      <m:t>Q</m:t>
                    </m:r>
                    <m:ctrlPr>
                      <w:rPr>
                        <w:rFonts w:hint="default" w:ascii="Cambria Math" w:hAnsi="Cambria Math"/>
                        <w:i/>
                        <w:caps w:val="0"/>
                        <w:color w:val="auto"/>
                        <w:spacing w:val="0"/>
                        <w:position w:val="0"/>
                        <w:szCs w:val="21"/>
                        <w:highlight w:val="none"/>
                      </w:rPr>
                    </m:ctrlPr>
                  </m:num>
                  <m:den>
                    <m:r>
                      <m:rPr/>
                      <w:rPr>
                        <w:rFonts w:hint="default" w:ascii="Cambria Math" w:hAnsi="Cambria Math"/>
                        <w:caps w:val="0"/>
                        <w:color w:val="auto"/>
                        <w:spacing w:val="0"/>
                        <w:position w:val="0"/>
                        <w:szCs w:val="21"/>
                        <w:highlight w:val="none"/>
                      </w:rPr>
                      <m:t>M</m:t>
                    </m:r>
                    <m:ctrlPr>
                      <w:rPr>
                        <w:rFonts w:hint="default" w:ascii="Cambria Math" w:hAnsi="Cambria Math"/>
                        <w:i/>
                        <w:caps w:val="0"/>
                        <w:color w:val="auto"/>
                        <w:spacing w:val="0"/>
                        <w:position w:val="0"/>
                        <w:szCs w:val="21"/>
                        <w:highlight w:val="none"/>
                      </w:rPr>
                    </m:ctrlPr>
                  </m:den>
                </m:f>
                <m:r>
                  <m:rPr/>
                  <w:rPr>
                    <w:rFonts w:hint="default" w:ascii="Cambria Math" w:hAnsi="Cambria Math"/>
                    <w:caps w:val="0"/>
                    <w:color w:val="auto"/>
                    <w:spacing w:val="0"/>
                    <w:position w:val="0"/>
                    <w:szCs w:val="21"/>
                    <w:highlight w:val="none"/>
                  </w:rPr>
                  <m:t>)</m:t>
                </m:r>
              </m:oMath>
            </m:oMathPara>
          </w:p>
          <w:p w14:paraId="0B8CE3B1">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其中：Q</w:t>
            </w:r>
            <w:r>
              <w:rPr>
                <w:rFonts w:hint="default"/>
                <w:caps w:val="0"/>
                <w:color w:val="auto"/>
                <w:spacing w:val="0"/>
                <w:position w:val="0"/>
                <w:highlight w:val="none"/>
              </w:rPr>
              <w:t>p</w:t>
            </w:r>
            <w:r>
              <w:rPr>
                <w:rFonts w:hint="eastAsia"/>
                <w:caps w:val="0"/>
                <w:color w:val="auto"/>
                <w:spacing w:val="0"/>
                <w:position w:val="0"/>
                <w:highlight w:val="none"/>
              </w:rPr>
              <w:t>：道路扬尘量，（</w:t>
            </w:r>
            <w:r>
              <w:rPr>
                <w:rFonts w:hint="default"/>
                <w:caps w:val="0"/>
                <w:color w:val="auto"/>
                <w:spacing w:val="0"/>
                <w:position w:val="0"/>
                <w:highlight w:val="none"/>
              </w:rPr>
              <w:t>kg/km·辆）；</w:t>
            </w:r>
          </w:p>
          <w:p w14:paraId="4A4293CB">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fldChar w:fldCharType="begin"/>
            </w:r>
            <w:r>
              <w:rPr>
                <w:rFonts w:hint="default"/>
                <w:caps w:val="0"/>
                <w:color w:val="auto"/>
                <w:spacing w:val="0"/>
                <w:position w:val="0"/>
                <w:highlight w:val="none"/>
              </w:rPr>
              <w:instrText xml:space="preserve"> QUOTE </w:instrText>
            </w:r>
            <w:r>
              <w:rPr>
                <w:rFonts w:hint="default"/>
                <w:caps w:val="0"/>
                <w:color w:val="auto"/>
                <w:spacing w:val="0"/>
                <w:position w:val="0"/>
                <w:highlight w:val="none"/>
              </w:rPr>
              <w:pict>
                <v:shape id="_x0000_i1025" o:spt="75" type="#_x0000_t75" style="height:22.2pt;width:13.8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90&quot;/&gt;&lt;w:displayBackgroundShape/&gt;&lt;w:doNotEmbedSystemFonts/&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webPageEncoding w:val=&quot;x-cp20936&quot;/&gt;&lt;w:optimizeForBrowser/&gt;&lt;w:allowPNG/&gt;&lt;w:pixelsPerInch w:val=&quot;120&quot;/&gt;&lt;w:validateAgainstSchema w:val=&quot;off&quot;/&gt;&lt;w:saveInvalidXML w:val=&quot;off&quot;/&gt;&lt;w:ignoreMixedContent w:val=&quot;off&quot;/&gt;&lt;w:alwaysShowPlaceholderText w:val=&quot;off&quot;/&gt;&lt;w:doNotUnderlineInvalidXML/&gt;&lt;w:compat&gt;&lt;w:spaceForUL/&gt;&lt;w:balanceSingleByteDoubleByteWidth/&gt;&lt;w:doNotLeaveBackslashAlone/&gt;&lt;w:ulTrailSpace/&gt;&lt;w:doNotExpandShiftReturn/&gt;&lt;w:adjustLineHeightInTable/&gt;&lt;w:breakWrappedTables/&gt;&lt;w:snapToGridInCell/&gt;&lt;w:dontGrowAutofit/&gt;&lt;w:useFELayout/&gt;&lt;/w:compat&gt;&lt;w:docVars&gt;&lt;w:docVar w:name=&quot;commondata&quot; w:val=&quot;eyJoZGlkIjoiNTBkODU1MmE1ODg5NTM1YzE3MGE2MjA1Y2IwMTM3ZjQifQ==&quot;/&gt;&lt;/w:docVars&gt;&lt;wsp:rsids&gt;&lt;wsp:rsidRoot wsp:val=&quot;00172A27&quot;/&gt;&lt;wsp:rsid wsp:val=&quot;000030E6&quot;/&gt;&lt;wsp:rsid wsp:val=&quot;000060B3&quot;/&gt;&lt;wsp:rsid wsp:val=&quot;00007440&quot;/&gt;&lt;wsp:rsid wsp:val=&quot;0001147F&quot;/&gt;&lt;wsp:rsid wsp:val=&quot;0001333D&quot;/&gt;&lt;wsp:rsid wsp:val=&quot;00015825&quot;/&gt;&lt;wsp:rsid wsp:val=&quot;000172E8&quot;/&gt;&lt;wsp:rsid wsp:val=&quot;00020CF2&quot;/&gt;&lt;wsp:rsid wsp:val=&quot;0002561E&quot;/&gt;&lt;wsp:rsid wsp:val=&quot;00041942&quot;/&gt;&lt;wsp:rsid wsp:val=&quot;00042137&quot;/&gt;&lt;wsp:rsid wsp:val=&quot;0004364B&quot;/&gt;&lt;wsp:rsid wsp:val=&quot;00044EF2&quot;/&gt;&lt;wsp:rsid wsp:val=&quot;00054764&quot;/&gt;&lt;wsp:rsid wsp:val=&quot;00055109&quot;/&gt;&lt;wsp:rsid wsp:val=&quot;000552F8&quot;/&gt;&lt;wsp:rsid wsp:val=&quot;000575B9&quot;/&gt;&lt;wsp:rsid wsp:val=&quot;00061B1F&quot;/&gt;&lt;wsp:rsid wsp:val=&quot;000733C4&quot;/&gt;&lt;wsp:rsid wsp:val=&quot;00074783&quot;/&gt;&lt;wsp:rsid wsp:val=&quot;000765B9&quot;/&gt;&lt;wsp:rsid wsp:val=&quot;000771E8&quot;/&gt;&lt;wsp:rsid wsp:val=&quot;0008070B&quot;/&gt;&lt;wsp:rsid wsp:val=&quot;000810AC&quot;/&gt;&lt;wsp:rsid wsp:val=&quot;00081914&quot;/&gt;&lt;wsp:rsid wsp:val=&quot;00081A02&quot;/&gt;&lt;wsp:rsid wsp:val=&quot;0008205D&quot;/&gt;&lt;wsp:rsid wsp:val=&quot;00082231&quot;/&gt;&lt;wsp:rsid wsp:val=&quot;00092638&quot;/&gt;&lt;wsp:rsid wsp:val=&quot;00092D38&quot;/&gt;&lt;wsp:rsid wsp:val=&quot;0009377B&quot;/&gt;&lt;wsp:rsid wsp:val=&quot;00096560&quot;/&gt;&lt;wsp:rsid wsp:val=&quot;000A002F&quot;/&gt;&lt;wsp:rsid wsp:val=&quot;000A1BD1&quot;/&gt;&lt;wsp:rsid wsp:val=&quot;000A20C9&quot;/&gt;&lt;wsp:rsid wsp:val=&quot;000B058F&quot;/&gt;&lt;wsp:rsid wsp:val=&quot;000B3A41&quot;/&gt;&lt;wsp:rsid wsp:val=&quot;000B4467&quot;/&gt;&lt;wsp:rsid wsp:val=&quot;000B4DB9&quot;/&gt;&lt;wsp:rsid wsp:val=&quot;000B5404&quot;/&gt;&lt;wsp:rsid wsp:val=&quot;000B6281&quot;/&gt;&lt;wsp:rsid wsp:val=&quot;000B70D0&quot;/&gt;&lt;wsp:rsid wsp:val=&quot;000B74A6&quot;/&gt;&lt;wsp:rsid wsp:val=&quot;000C038D&quot;/&gt;&lt;wsp:rsid wsp:val=&quot;000C09AC&quot;/&gt;&lt;wsp:rsid wsp:val=&quot;000C0AE0&quot;/&gt;&lt;wsp:rsid wsp:val=&quot;000C0F10&quot;/&gt;&lt;wsp:rsid wsp:val=&quot;000C1FF9&quot;/&gt;&lt;wsp:rsid wsp:val=&quot;000C6CB9&quot;/&gt;&lt;wsp:rsid wsp:val=&quot;000C7560&quot;/&gt;&lt;wsp:rsid wsp:val=&quot;000C767F&quot;/&gt;&lt;wsp:rsid wsp:val=&quot;000D4715&quot;/&gt;&lt;wsp:rsid wsp:val=&quot;000D5A44&quot;/&gt;&lt;wsp:rsid wsp:val=&quot;000E3D36&quot;/&gt;&lt;wsp:rsid wsp:val=&quot;000E3ED2&quot;/&gt;&lt;wsp:rsid wsp:val=&quot;000E3FC3&quot;/&gt;&lt;wsp:rsid wsp:val=&quot;000E6A66&quot;/&gt;&lt;wsp:rsid wsp:val=&quot;000E7B1F&quot;/&gt;&lt;wsp:rsid wsp:val=&quot;000F2724&quot;/&gt;&lt;wsp:rsid wsp:val=&quot;000F48DE&quot;/&gt;&lt;wsp:rsid wsp:val=&quot;00113289&quot;/&gt;&lt;wsp:rsid wsp:val=&quot;00114B16&quot;/&gt;&lt;wsp:rsid wsp:val=&quot;001171F4&quot;/&gt;&lt;wsp:rsid wsp:val=&quot;00121EA8&quot;/&gt;&lt;wsp:rsid wsp:val=&quot;00121FAE&quot;/&gt;&lt;wsp:rsid wsp:val=&quot;00125861&quot;/&gt;&lt;wsp:rsid wsp:val=&quot;001302F0&quot;/&gt;&lt;wsp:rsid wsp:val=&quot;0013111E&quot;/&gt;&lt;wsp:rsid wsp:val=&quot;00131F42&quot;/&gt;&lt;wsp:rsid wsp:val=&quot;00135135&quot;/&gt;&lt;wsp:rsid wsp:val=&quot;001357F1&quot;/&gt;&lt;wsp:rsid wsp:val=&quot;00137F5F&quot;/&gt;&lt;wsp:rsid wsp:val=&quot;00140FA8&quot;/&gt;&lt;wsp:rsid wsp:val=&quot;00142FEB&quot;/&gt;&lt;wsp:rsid wsp:val=&quot;0014309E&quot;/&gt;&lt;wsp:rsid wsp:val=&quot;00143A2D&quot;/&gt;&lt;wsp:rsid wsp:val=&quot;00144837&quot;/&gt;&lt;wsp:rsid wsp:val=&quot;00145A41&quot;/&gt;&lt;wsp:rsid wsp:val=&quot;00151675&quot;/&gt;&lt;wsp:rsid wsp:val=&quot;00155EE4&quot;/&gt;&lt;wsp:rsid wsp:val=&quot;001570FF&quot;/&gt;&lt;wsp:rsid wsp:val=&quot;00157435&quot;/&gt;&lt;wsp:rsid wsp:val=&quot;0016008A&quot;/&gt;&lt;wsp:rsid wsp:val=&quot;00172E78&quot;/&gt;&lt;wsp:rsid wsp:val=&quot;001745C3&quot;/&gt;&lt;wsp:rsid wsp:val=&quot;0017504D&quot;/&gt;&lt;wsp:rsid wsp:val=&quot;00175502&quot;/&gt;&lt;wsp:rsid wsp:val=&quot;0017671A&quot;/&gt;&lt;wsp:rsid wsp:val=&quot;00177422&quot;/&gt;&lt;wsp:rsid wsp:val=&quot;00184590&quot;/&gt;&lt;wsp:rsid wsp:val=&quot;001870D1&quot;/&gt;&lt;wsp:rsid wsp:val=&quot;0018781E&quot;/&gt;&lt;wsp:rsid wsp:val=&quot;0019262D&quot;/&gt;&lt;wsp:rsid wsp:val=&quot;0019443D&quot;/&gt;&lt;wsp:rsid wsp:val=&quot;001A1B35&quot;/&gt;&lt;wsp:rsid wsp:val=&quot;001A48A2&quot;/&gt;&lt;wsp:rsid wsp:val=&quot;001A64C4&quot;/&gt;&lt;wsp:rsid wsp:val=&quot;001A6F61&quot;/&gt;&lt;wsp:rsid wsp:val=&quot;001B223C&quot;/&gt;&lt;wsp:rsid wsp:val=&quot;001B719A&quot;/&gt;&lt;wsp:rsid wsp:val=&quot;001B72B8&quot;/&gt;&lt;wsp:rsid wsp:val=&quot;001C3130&quot;/&gt;&lt;wsp:rsid wsp:val=&quot;001C66E0&quot;/&gt;&lt;wsp:rsid wsp:val=&quot;001C688B&quot;/&gt;&lt;wsp:rsid wsp:val=&quot;001C69B3&quot;/&gt;&lt;wsp:rsid wsp:val=&quot;001D03B5&quot;/&gt;&lt;wsp:rsid wsp:val=&quot;001D3722&quot;/&gt;&lt;wsp:rsid wsp:val=&quot;001D3E81&quot;/&gt;&lt;wsp:rsid wsp:val=&quot;001D5036&quot;/&gt;&lt;wsp:rsid wsp:val=&quot;001D5595&quot;/&gt;&lt;wsp:rsid wsp:val=&quot;001D5C99&quot;/&gt;&lt;wsp:rsid wsp:val=&quot;001D6A02&quot;/&gt;&lt;wsp:rsid wsp:val=&quot;001D7874&quot;/&gt;&lt;wsp:rsid wsp:val=&quot;001D7F22&quot;/&gt;&lt;wsp:rsid wsp:val=&quot;001E1318&quot;/&gt;&lt;wsp:rsid wsp:val=&quot;001E20B9&quot;/&gt;&lt;wsp:rsid wsp:val=&quot;001E21B6&quot;/&gt;&lt;wsp:rsid wsp:val=&quot;001E29A9&quot;/&gt;&lt;wsp:rsid wsp:val=&quot;001F0F17&quot;/&gt;&lt;wsp:rsid wsp:val=&quot;001F3347&quot;/&gt;&lt;wsp:rsid wsp:val=&quot;001F3ADA&quot;/&gt;&lt;wsp:rsid wsp:val=&quot;001F4063&quot;/&gt;&lt;wsp:rsid wsp:val=&quot;001F64F6&quot;/&gt;&lt;wsp:rsid wsp:val=&quot;001F69E4&quot;/&gt;&lt;wsp:rsid wsp:val=&quot;00201632&quot;/&gt;&lt;wsp:rsid wsp:val=&quot;00206B4F&quot;/&gt;&lt;wsp:rsid wsp:val=&quot;00207852&quot;/&gt;&lt;wsp:rsid wsp:val=&quot;0021252D&quot;/&gt;&lt;wsp:rsid wsp:val=&quot;002125B4&quot;/&gt;&lt;wsp:rsid wsp:val=&quot;00213694&quot;/&gt;&lt;wsp:rsid wsp:val=&quot;002155B8&quot;/&gt;&lt;wsp:rsid wsp:val=&quot;00215AA4&quot;/&gt;&lt;wsp:rsid wsp:val=&quot;002163B1&quot;/&gt;&lt;wsp:rsid wsp:val=&quot;0022181C&quot;/&gt;&lt;wsp:rsid wsp:val=&quot;002233E5&quot;/&gt;&lt;wsp:rsid wsp:val=&quot;002235CA&quot;/&gt;&lt;wsp:rsid wsp:val=&quot;00224839&quot;/&gt;&lt;wsp:rsid wsp:val=&quot;002249B2&quot;/&gt;&lt;wsp:rsid wsp:val=&quot;00225378&quot;/&gt;&lt;wsp:rsid wsp:val=&quot;00225B36&quot;/&gt;&lt;wsp:rsid wsp:val=&quot;0022608A&quot;/&gt;&lt;wsp:rsid wsp:val=&quot;00226574&quot;/&gt;&lt;wsp:rsid wsp:val=&quot;002278EC&quot;/&gt;&lt;wsp:rsid wsp:val=&quot;0023280E&quot;/&gt;&lt;wsp:rsid wsp:val=&quot;00232E9D&quot;/&gt;&lt;wsp:rsid wsp:val=&quot;00232F24&quot;/&gt;&lt;wsp:rsid wsp:val=&quot;002366A6&quot;/&gt;&lt;wsp:rsid wsp:val=&quot;002377D1&quot;/&gt;&lt;wsp:rsid wsp:val=&quot;00237DF4&quot;/&gt;&lt;wsp:rsid wsp:val=&quot;002412D4&quot;/&gt;&lt;wsp:rsid wsp:val=&quot;002444D9&quot;/&gt;&lt;wsp:rsid wsp:val=&quot;0024517A&quot;/&gt;&lt;wsp:rsid wsp:val=&quot;00247343&quot;/&gt;&lt;wsp:rsid wsp:val=&quot;002506BC&quot;/&gt;&lt;wsp:rsid wsp:val=&quot;00252F19&quot;/&gt;&lt;wsp:rsid wsp:val=&quot;00254345&quot;/&gt;&lt;wsp:rsid wsp:val=&quot;00254504&quot;/&gt;&lt;wsp:rsid wsp:val=&quot;00260E93&quot;/&gt;&lt;wsp:rsid wsp:val=&quot;00261E19&quot;/&gt;&lt;wsp:rsid wsp:val=&quot;0026257F&quot;/&gt;&lt;wsp:rsid wsp:val=&quot;002630BB&quot;/&gt;&lt;wsp:rsid wsp:val=&quot;002636CC&quot;/&gt;&lt;wsp:rsid wsp:val=&quot;00264557&quot;/&gt;&lt;wsp:rsid wsp:val=&quot;00264E69&quot;/&gt;&lt;wsp:rsid wsp:val=&quot;00265FAE&quot;/&gt;&lt;wsp:rsid wsp:val=&quot;00270A79&quot;/&gt;&lt;wsp:rsid wsp:val=&quot;00276E33&quot;/&gt;&lt;wsp:rsid wsp:val=&quot;002805AB&quot;/&gt;&lt;wsp:rsid wsp:val=&quot;00284204&quot;/&gt;&lt;wsp:rsid wsp:val=&quot;00284B4A&quot;/&gt;&lt;wsp:rsid wsp:val=&quot;00290BE0&quot;/&gt;&lt;wsp:rsid wsp:val=&quot;00291773&quot;/&gt;&lt;wsp:rsid wsp:val=&quot;00294613&quot;/&gt;&lt;wsp:rsid wsp:val=&quot;00295963&quot;/&gt;&lt;wsp:rsid wsp:val=&quot;002A098D&quot;/&gt;&lt;wsp:rsid wsp:val=&quot;002A168C&quot;/&gt;&lt;wsp:rsid wsp:val=&quot;002A3D00&quot;/&gt;&lt;wsp:rsid wsp:val=&quot;002A3DC7&quot;/&gt;&lt;wsp:rsid wsp:val=&quot;002A6522&quot;/&gt;&lt;wsp:rsid wsp:val=&quot;002A6926&quot;/&gt;&lt;wsp:rsid wsp:val=&quot;002B06D1&quot;/&gt;&lt;wsp:rsid wsp:val=&quot;002B247F&quot;/&gt;&lt;wsp:rsid wsp:val=&quot;002B3B82&quot;/&gt;&lt;wsp:rsid wsp:val=&quot;002B4926&quot;/&gt;&lt;wsp:rsid wsp:val=&quot;002B49E2&quot;/&gt;&lt;wsp:rsid wsp:val=&quot;002B536E&quot;/&gt;&lt;wsp:rsid wsp:val=&quot;002B74B5&quot;/&gt;&lt;wsp:rsid wsp:val=&quot;002B7B00&quot;/&gt;&lt;wsp:rsid wsp:val=&quot;002B7C44&quot;/&gt;&lt;wsp:rsid wsp:val=&quot;002C2B17&quot;/&gt;&lt;wsp:rsid wsp:val=&quot;002C4449&quot;/&gt;&lt;wsp:rsid wsp:val=&quot;002D215E&quot;/&gt;&lt;wsp:rsid wsp:val=&quot;002D3DD0&quot;/&gt;&lt;wsp:rsid wsp:val=&quot;002D4BA8&quot;/&gt;&lt;wsp:rsid wsp:val=&quot;002D4C90&quot;/&gt;&lt;wsp:rsid wsp:val=&quot;002D7AB9&quot;/&gt;&lt;wsp:rsid wsp:val=&quot;002E1F3A&quot;/&gt;&lt;wsp:rsid wsp:val=&quot;002E298A&quot;/&gt;&lt;wsp:rsid wsp:val=&quot;002F2D1E&quot;/&gt;&lt;wsp:rsid wsp:val=&quot;00300DF6&quot;/&gt;&lt;wsp:rsid wsp:val=&quot;00301978&quot;/&gt;&lt;wsp:rsid wsp:val=&quot;00302555&quot;/&gt;&lt;wsp:rsid wsp:val=&quot;0030332C&quot;/&gt;&lt;wsp:rsid wsp:val=&quot;00303F39&quot;/&gt;&lt;wsp:rsid wsp:val=&quot;003051C2&quot;/&gt;&lt;wsp:rsid wsp:val=&quot;00305CFD&quot;/&gt;&lt;wsp:rsid wsp:val=&quot;00306C23&quot;/&gt;&lt;wsp:rsid wsp:val=&quot;003071AB&quot;/&gt;&lt;wsp:rsid wsp:val=&quot;00307A95&quot;/&gt;&lt;wsp:rsid wsp:val=&quot;00310154&quot;/&gt;&lt;wsp:rsid wsp:val=&quot;00312296&quot;/&gt;&lt;wsp:rsid wsp:val=&quot;00314F0E&quot;/&gt;&lt;wsp:rsid wsp:val=&quot;00316633&quot;/&gt;&lt;wsp:rsid wsp:val=&quot;00321D8E&quot;/&gt;&lt;wsp:rsid wsp:val=&quot;003222D7&quot;/&gt;&lt;wsp:rsid wsp:val=&quot;00322DCE&quot;/&gt;&lt;wsp:rsid wsp:val=&quot;00323C98&quot;/&gt;&lt;wsp:rsid wsp:val=&quot;00323F36&quot;/&gt;&lt;wsp:rsid wsp:val=&quot;00325928&quot;/&gt;&lt;wsp:rsid wsp:val=&quot;00327CB1&quot;/&gt;&lt;wsp:rsid wsp:val=&quot;00332863&quot;/&gt;&lt;wsp:rsid wsp:val=&quot;00334AFE&quot;/&gt;&lt;wsp:rsid wsp:val=&quot;00336280&quot;/&gt;&lt;wsp:rsid wsp:val=&quot;0033684D&quot;/&gt;&lt;wsp:rsid wsp:val=&quot;00337B42&quot;/&gt;&lt;wsp:rsid wsp:val=&quot;00337F95&quot;/&gt;&lt;wsp:rsid wsp:val=&quot;00341B42&quot;/&gt;&lt;wsp:rsid wsp:val=&quot;0034348F&quot;/&gt;&lt;wsp:rsid wsp:val=&quot;003471E1&quot;/&gt;&lt;wsp:rsid wsp:val=&quot;003550AC&quot;/&gt;&lt;wsp:rsid wsp:val=&quot;0035547D&quot;/&gt;&lt;wsp:rsid wsp:val=&quot;00356653&quot;/&gt;&lt;wsp:rsid wsp:val=&quot;0035743F&quot;/&gt;&lt;wsp:rsid wsp:val=&quot;00357BE2&quot;/&gt;&lt;wsp:rsid wsp:val=&quot;0036170C&quot;/&gt;&lt;wsp:rsid wsp:val=&quot;00366E0F&quot;/&gt;&lt;wsp:rsid wsp:val=&quot;003752C8&quot;/&gt;&lt;wsp:rsid wsp:val=&quot;00381A72&quot;/&gt;&lt;wsp:rsid wsp:val=&quot;00382DEE&quot;/&gt;&lt;wsp:rsid wsp:val=&quot;00384676&quot;/&gt;&lt;wsp:rsid wsp:val=&quot;003847F9&quot;/&gt;&lt;wsp:rsid wsp:val=&quot;00390857&quot;/&gt;&lt;wsp:rsid wsp:val=&quot;0039109A&quot;/&gt;&lt;wsp:rsid wsp:val=&quot;00391E93&quot;/&gt;&lt;wsp:rsid wsp:val=&quot;003A0631&quot;/&gt;&lt;wsp:rsid wsp:val=&quot;003A3053&quot;/&gt;&lt;wsp:rsid wsp:val=&quot;003A4BF3&quot;/&gt;&lt;wsp:rsid wsp:val=&quot;003A4DB8&quot;/&gt;&lt;wsp:rsid wsp:val=&quot;003A6D8B&quot;/&gt;&lt;wsp:rsid wsp:val=&quot;003B2D66&quot;/&gt;&lt;wsp:rsid wsp:val=&quot;003B420D&quot;/&gt;&lt;wsp:rsid wsp:val=&quot;003B488E&quot;/&gt;&lt;wsp:rsid wsp:val=&quot;003C1876&quot;/&gt;&lt;wsp:rsid wsp:val=&quot;003C468C&quot;/&gt;&lt;wsp:rsid wsp:val=&quot;003C63BE&quot;/&gt;&lt;wsp:rsid wsp:val=&quot;003C6C16&quot;/&gt;&lt;wsp:rsid wsp:val=&quot;003C7C00&quot;/&gt;&lt;wsp:rsid wsp:val=&quot;003D0B69&quot;/&gt;&lt;wsp:rsid wsp:val=&quot;003D21B2&quot;/&gt;&lt;wsp:rsid wsp:val=&quot;003D794D&quot;/&gt;&lt;wsp:rsid wsp:val=&quot;003E3058&quot;/&gt;&lt;wsp:rsid wsp:val=&quot;003E3BB8&quot;/&gt;&lt;wsp:rsid wsp:val=&quot;003E46E3&quot;/&gt;&lt;wsp:rsid wsp:val=&quot;003E7244&quot;/&gt;&lt;wsp:rsid wsp:val=&quot;003E76A9&quot;/&gt;&lt;wsp:rsid wsp:val=&quot;003F0809&quot;/&gt;&lt;wsp:rsid wsp:val=&quot;003F2E14&quot;/&gt;&lt;wsp:rsid wsp:val=&quot;003F5F2A&quot;/&gt;&lt;wsp:rsid wsp:val=&quot;003F6927&quot;/&gt;&lt;wsp:rsid wsp:val=&quot;003F6A8C&quot;/&gt;&lt;wsp:rsid wsp:val=&quot;003F755C&quot;/&gt;&lt;wsp:rsid wsp:val=&quot;00406BAB&quot;/&gt;&lt;wsp:rsid wsp:val=&quot;00406F01&quot;/&gt;&lt;wsp:rsid wsp:val=&quot;0041439F&quot;/&gt;&lt;wsp:rsid wsp:val=&quot;00415118&quot;/&gt;&lt;wsp:rsid wsp:val=&quot;00416D50&quot;/&gt;&lt;wsp:rsid wsp:val=&quot;00416FD5&quot;/&gt;&lt;wsp:rsid wsp:val=&quot;00417772&quot;/&gt;&lt;wsp:rsid wsp:val=&quot;00420E6A&quot;/&gt;&lt;wsp:rsid wsp:val=&quot;00423AEC&quot;/&gt;&lt;wsp:rsid wsp:val=&quot;00425A9E&quot;/&gt;&lt;wsp:rsid wsp:val=&quot;00426D6B&quot;/&gt;&lt;wsp:rsid wsp:val=&quot;00427644&quot;/&gt;&lt;wsp:rsid wsp:val=&quot;0043008C&quot;/&gt;&lt;wsp:rsid wsp:val=&quot;00431E6C&quot;/&gt;&lt;wsp:rsid wsp:val=&quot;00433CE7&quot;/&gt;&lt;wsp:rsid wsp:val=&quot;00442B87&quot;/&gt;&lt;wsp:rsid wsp:val=&quot;00443541&quot;/&gt;&lt;wsp:rsid wsp:val=&quot;0044386F&quot;/&gt;&lt;wsp:rsid wsp:val=&quot;00445D95&quot;/&gt;&lt;wsp:rsid wsp:val=&quot;004513A3&quot;/&gt;&lt;wsp:rsid wsp:val=&quot;00451F76&quot;/&gt;&lt;wsp:rsid wsp:val=&quot;00452738&quot;/&gt;&lt;wsp:rsid wsp:val=&quot;00452B84&quot;/&gt;&lt;wsp:rsid wsp:val=&quot;00456091&quot;/&gt;&lt;wsp:rsid wsp:val=&quot;00456126&quot;/&gt;&lt;wsp:rsid wsp:val=&quot;00456B28&quot;/&gt;&lt;wsp:rsid wsp:val=&quot;00460C15&quot;/&gt;&lt;wsp:rsid wsp:val=&quot;00464CC6&quot;/&gt;&lt;wsp:rsid wsp:val=&quot;0046550B&quot;/&gt;&lt;wsp:rsid wsp:val=&quot;00466012&quot;/&gt;&lt;wsp:rsid wsp:val=&quot;00466321&quot;/&gt;&lt;wsp:rsid wsp:val=&quot;004672B9&quot;/&gt;&lt;wsp:rsid wsp:val=&quot;00467D8F&quot;/&gt;&lt;wsp:rsid wsp:val=&quot;00476A91&quot;/&gt;&lt;wsp:rsid wsp:val=&quot;00484B9B&quot;/&gt;&lt;wsp:rsid wsp:val=&quot;004855F6&quot;/&gt;&lt;wsp:rsid wsp:val=&quot;004856E9&quot;/&gt;&lt;wsp:rsid wsp:val=&quot;0048661E&quot;/&gt;&lt;wsp:rsid wsp:val=&quot;004913B4&quot;/&gt;&lt;wsp:rsid wsp:val=&quot;004916C3&quot;/&gt;&lt;wsp:rsid wsp:val=&quot;0049198A&quot;/&gt;&lt;wsp:rsid wsp:val=&quot;00494670&quot;/&gt;&lt;wsp:rsid wsp:val=&quot;00494FFB&quot;/&gt;&lt;wsp:rsid wsp:val=&quot;004A3823&quot;/&gt;&lt;wsp:rsid wsp:val=&quot;004B0D73&quot;/&gt;&lt;wsp:rsid wsp:val=&quot;004B205F&quot;/&gt;&lt;wsp:rsid wsp:val=&quot;004B2B21&quot;/&gt;&lt;wsp:rsid wsp:val=&quot;004B7B9A&quot;/&gt;&lt;wsp:rsid wsp:val=&quot;004B7EF4&quot;/&gt;&lt;wsp:rsid wsp:val=&quot;004C2FCF&quot;/&gt;&lt;wsp:rsid wsp:val=&quot;004C35B6&quot;/&gt;&lt;wsp:rsid wsp:val=&quot;004C56B3&quot;/&gt;&lt;wsp:rsid wsp:val=&quot;004C623F&quot;/&gt;&lt;wsp:rsid wsp:val=&quot;004D6899&quot;/&gt;&lt;wsp:rsid wsp:val=&quot;004E0863&quot;/&gt;&lt;wsp:rsid wsp:val=&quot;004E2959&quot;/&gt;&lt;wsp:rsid wsp:val=&quot;004E5C9B&quot;/&gt;&lt;wsp:rsid wsp:val=&quot;004E6946&quot;/&gt;&lt;wsp:rsid wsp:val=&quot;004E7838&quot;/&gt;&lt;wsp:rsid wsp:val=&quot;004F1417&quot;/&gt;&lt;wsp:rsid wsp:val=&quot;004F1AD8&quot;/&gt;&lt;wsp:rsid wsp:val=&quot;004F46C4&quot;/&gt;&lt;wsp:rsid wsp:val=&quot;00500138&quot;/&gt;&lt;wsp:rsid wsp:val=&quot;00501EE6&quot;/&gt;&lt;wsp:rsid wsp:val=&quot;00502069&quot;/&gt;&lt;wsp:rsid wsp:val=&quot;005039CB&quot;/&gt;&lt;wsp:rsid wsp:val=&quot;00505138&quot;/&gt;&lt;wsp:rsid wsp:val=&quot;00505279&quot;/&gt;&lt;wsp:rsid wsp:val=&quot;0050558F&quot;/&gt;&lt;wsp:rsid wsp:val=&quot;00506286&quot;/&gt;&lt;wsp:rsid wsp:val=&quot;0050638A&quot;/&gt;&lt;wsp:rsid wsp:val=&quot;0050640C&quot;/&gt;&lt;wsp:rsid wsp:val=&quot;00510813&quot;/&gt;&lt;wsp:rsid wsp:val=&quot;00511990&quot;/&gt;&lt;wsp:rsid wsp:val=&quot;00511DE0&quot;/&gt;&lt;wsp:rsid wsp:val=&quot;00514870&quot;/&gt;&lt;wsp:rsid wsp:val=&quot;00514B9B&quot;/&gt;&lt;wsp:rsid wsp:val=&quot;00515C5E&quot;/&gt;&lt;wsp:rsid wsp:val=&quot;00517F02&quot;/&gt;&lt;wsp:rsid wsp:val=&quot;0052089D&quot;/&gt;&lt;wsp:rsid wsp:val=&quot;00522102&quot;/&gt;&lt;wsp:rsid wsp:val=&quot;00523F11&quot;/&gt;&lt;wsp:rsid wsp:val=&quot;00524303&quot;/&gt;&lt;wsp:rsid wsp:val=&quot;005258A2&quot;/&gt;&lt;wsp:rsid wsp:val=&quot;005301B0&quot;/&gt;&lt;wsp:rsid wsp:val=&quot;005358FA&quot;/&gt;&lt;wsp:rsid wsp:val=&quot;00535E7A&quot;/&gt;&lt;wsp:rsid wsp:val=&quot;005401AE&quot;/&gt;&lt;wsp:rsid wsp:val=&quot;00542E07&quot;/&gt;&lt;wsp:rsid wsp:val=&quot;00544ABF&quot;/&gt;&lt;wsp:rsid wsp:val=&quot;00545424&quot;/&gt;&lt;wsp:rsid wsp:val=&quot;005509CF&quot;/&gt;&lt;wsp:rsid wsp:val=&quot;00554A7B&quot;/&gt;&lt;wsp:rsid wsp:val=&quot;005555F5&quot;/&gt;&lt;wsp:rsid wsp:val=&quot;0055572C&quot;/&gt;&lt;wsp:rsid wsp:val=&quot;0055615C&quot;/&gt;&lt;wsp:rsid wsp:val=&quot;0056106A&quot;/&gt;&lt;wsp:rsid wsp:val=&quot;0056152C&quot;/&gt;&lt;wsp:rsid wsp:val=&quot;00563821&quot;/&gt;&lt;wsp:rsid wsp:val=&quot;005720AE&quot;/&gt;&lt;wsp:rsid wsp:val=&quot;005748C0&quot;/&gt;&lt;wsp:rsid wsp:val=&quot;00577718&quot;/&gt;&lt;wsp:rsid wsp:val=&quot;0058073D&quot;/&gt;&lt;wsp:rsid wsp:val=&quot;0058523E&quot;/&gt;&lt;wsp:rsid wsp:val=&quot;00592129&quot;/&gt;&lt;wsp:rsid wsp:val=&quot;00594D77&quot;/&gt;&lt;wsp:rsid wsp:val=&quot;00595668&quot;/&gt;&lt;wsp:rsid wsp:val=&quot;005962BF&quot;/&gt;&lt;wsp:rsid wsp:val=&quot;005966E4&quot;/&gt;&lt;wsp:rsid wsp:val=&quot;005969E4&quot;/&gt;&lt;wsp:rsid wsp:val=&quot;00596ABC&quot;/&gt;&lt;wsp:rsid wsp:val=&quot;005A06B7&quot;/&gt;&lt;wsp:rsid wsp:val=&quot;005A1759&quot;/&gt;&lt;wsp:rsid wsp:val=&quot;005A2D64&quot;/&gt;&lt;wsp:rsid wsp:val=&quot;005A2EB1&quot;/&gt;&lt;wsp:rsid wsp:val=&quot;005A51EE&quot;/&gt;&lt;wsp:rsid wsp:val=&quot;005A5320&quot;/&gt;&lt;wsp:rsid wsp:val=&quot;005A68A7&quot;/&gt;&lt;wsp:rsid wsp:val=&quot;005A6B1E&quot;/&gt;&lt;wsp:rsid wsp:val=&quot;005B5550&quot;/&gt;&lt;wsp:rsid wsp:val=&quot;005B5D4A&quot;/&gt;&lt;wsp:rsid wsp:val=&quot;005B7BC2&quot;/&gt;&lt;wsp:rsid wsp:val=&quot;005C1D4D&quot;/&gt;&lt;wsp:rsid wsp:val=&quot;005C1F7F&quot;/&gt;&lt;wsp:rsid wsp:val=&quot;005C6CF4&quot;/&gt;&lt;wsp:rsid wsp:val=&quot;005D0A1A&quot;/&gt;&lt;wsp:rsid wsp:val=&quot;005D2B43&quot;/&gt;&lt;wsp:rsid wsp:val=&quot;005D36AB&quot;/&gt;&lt;wsp:rsid wsp:val=&quot;005D63ED&quot;/&gt;&lt;wsp:rsid wsp:val=&quot;005D745C&quot;/&gt;&lt;wsp:rsid wsp:val=&quot;005E787D&quot;/&gt;&lt;wsp:rsid wsp:val=&quot;005F037B&quot;/&gt;&lt;wsp:rsid wsp:val=&quot;006140F3&quot;/&gt;&lt;wsp:rsid wsp:val=&quot;00616552&quot;/&gt;&lt;wsp:rsid wsp:val=&quot;0061655A&quot;/&gt;&lt;wsp:rsid wsp:val=&quot;00616AB7&quot;/&gt;&lt;wsp:rsid wsp:val=&quot;00617301&quot;/&gt;&lt;wsp:rsid wsp:val=&quot;00617CC3&quot;/&gt;&lt;wsp:rsid wsp:val=&quot;006201BE&quot;/&gt;&lt;wsp:rsid wsp:val=&quot;0062260B&quot;/&gt;&lt;wsp:rsid wsp:val=&quot;00624E0A&quot;/&gt;&lt;wsp:rsid wsp:val=&quot;00636BF8&quot;/&gt;&lt;wsp:rsid wsp:val=&quot;006377A6&quot;/&gt;&lt;wsp:rsid wsp:val=&quot;00637A3D&quot;/&gt;&lt;wsp:rsid wsp:val=&quot;006411EF&quot;/&gt;&lt;wsp:rsid wsp:val=&quot;00641FAE&quot;/&gt;&lt;wsp:rsid wsp:val=&quot;00647B0A&quot;/&gt;&lt;wsp:rsid wsp:val=&quot;00647F8D&quot;/&gt;&lt;wsp:rsid wsp:val=&quot;0065499D&quot;/&gt;&lt;wsp:rsid wsp:val=&quot;006601A1&quot;/&gt;&lt;wsp:rsid wsp:val=&quot;00667315&quot;/&gt;&lt;wsp:rsid wsp:val=&quot;0066795B&quot;/&gt;&lt;wsp:rsid wsp:val=&quot;0067166B&quot;/&gt;&lt;wsp:rsid wsp:val=&quot;006748B8&quot;/&gt;&lt;wsp:rsid wsp:val=&quot;00675481&quot;/&gt;&lt;wsp:rsid wsp:val=&quot;00676A18&quot;/&gt;&lt;wsp:rsid wsp:val=&quot;0067722F&quot;/&gt;&lt;wsp:rsid wsp:val=&quot;006775C3&quot;/&gt;&lt;wsp:rsid wsp:val=&quot;00680358&quot;/&gt;&lt;wsp:rsid wsp:val=&quot;00680D2C&quot;/&gt;&lt;wsp:rsid wsp:val=&quot;00683408&quot;/&gt;&lt;wsp:rsid wsp:val=&quot;0068421A&quot;/&gt;&lt;wsp:rsid wsp:val=&quot;00685D9B&quot;/&gt;&lt;wsp:rsid wsp:val=&quot;0069290A&quot;/&gt;&lt;wsp:rsid wsp:val=&quot;00692FA7&quot;/&gt;&lt;wsp:rsid wsp:val=&quot;0069744B&quot;/&gt;&lt;wsp:rsid wsp:val=&quot;0069775A&quot;/&gt;&lt;wsp:rsid wsp:val=&quot;00697813&quot;/&gt;&lt;wsp:rsid wsp:val=&quot;006A26EE&quot;/&gt;&lt;wsp:rsid wsp:val=&quot;006A2DB4&quot;/&gt;&lt;wsp:rsid wsp:val=&quot;006A3EE8&quot;/&gt;&lt;wsp:rsid wsp:val=&quot;006A72B0&quot;/&gt;&lt;wsp:rsid wsp:val=&quot;006A72BF&quot;/&gt;&lt;wsp:rsid wsp:val=&quot;006B03F2&quot;/&gt;&lt;wsp:rsid wsp:val=&quot;006B31C3&quot;/&gt;&lt;wsp:rsid wsp:val=&quot;006B37DC&quot;/&gt;&lt;wsp:rsid wsp:val=&quot;006B3AC1&quot;/&gt;&lt;wsp:rsid wsp:val=&quot;006B4F68&quot;/&gt;&lt;wsp:rsid wsp:val=&quot;006B4F71&quot;/&gt;&lt;wsp:rsid wsp:val=&quot;006B747D&quot;/&gt;&lt;wsp:rsid wsp:val=&quot;006C00AE&quot;/&gt;&lt;wsp:rsid wsp:val=&quot;006C0592&quot;/&gt;&lt;wsp:rsid wsp:val=&quot;006C14C6&quot;/&gt;&lt;wsp:rsid wsp:val=&quot;006C272E&quot;/&gt;&lt;wsp:rsid wsp:val=&quot;006C5479&quot;/&gt;&lt;wsp:rsid wsp:val=&quot;006D07F9&quot;/&gt;&lt;wsp:rsid wsp:val=&quot;006D13B5&quot;/&gt;&lt;wsp:rsid wsp:val=&quot;006E0919&quot;/&gt;&lt;wsp:rsid wsp:val=&quot;006E1248&quot;/&gt;&lt;wsp:rsid wsp:val=&quot;006E12FF&quot;/&gt;&lt;wsp:rsid wsp:val=&quot;006E4A62&quot;/&gt;&lt;wsp:rsid wsp:val=&quot;006E607E&quot;/&gt;&lt;wsp:rsid wsp:val=&quot;006E6810&quot;/&gt;&lt;wsp:rsid wsp:val=&quot;006F5236&quot;/&gt;&lt;wsp:rsid wsp:val=&quot;00700148&quot;/&gt;&lt;wsp:rsid wsp:val=&quot;007024A0&quot;/&gt;&lt;wsp:rsid wsp:val=&quot;00704336&quot;/&gt;&lt;wsp:rsid wsp:val=&quot;00706C5D&quot;/&gt;&lt;wsp:rsid wsp:val=&quot;00713930&quot;/&gt;&lt;wsp:rsid wsp:val=&quot;00721B5C&quot;/&gt;&lt;wsp:rsid wsp:val=&quot;00732922&quot;/&gt;&lt;wsp:rsid wsp:val=&quot;00733155&quot;/&gt;&lt;wsp:rsid wsp:val=&quot;007353D3&quot;/&gt;&lt;wsp:rsid wsp:val=&quot;007408CB&quot;/&gt;&lt;wsp:rsid wsp:val=&quot;00741E3C&quot;/&gt;&lt;wsp:rsid wsp:val=&quot;00743E43&quot;/&gt;&lt;wsp:rsid wsp:val=&quot;00744674&quot;/&gt;&lt;wsp:rsid wsp:val=&quot;00747FB3&quot;/&gt;&lt;wsp:rsid wsp:val=&quot;0075162E&quot;/&gt;&lt;wsp:rsid wsp:val=&quot;00753484&quot;/&gt;&lt;wsp:rsid wsp:val=&quot;00754034&quot;/&gt;&lt;wsp:rsid wsp:val=&quot;007544C4&quot;/&gt;&lt;wsp:rsid wsp:val=&quot;00756556&quot;/&gt;&lt;wsp:rsid wsp:val=&quot;00757108&quot;/&gt;&lt;wsp:rsid wsp:val=&quot;00757B9E&quot;/&gt;&lt;wsp:rsid wsp:val=&quot;00757E2F&quot;/&gt;&lt;wsp:rsid wsp:val=&quot;007618C4&quot;/&gt;&lt;wsp:rsid wsp:val=&quot;00763C81&quot;/&gt;&lt;wsp:rsid wsp:val=&quot;00765535&quot;/&gt;&lt;wsp:rsid wsp:val=&quot;00766F94&quot;/&gt;&lt;wsp:rsid wsp:val=&quot;00767980&quot;/&gt;&lt;wsp:rsid wsp:val=&quot;00770B19&quot;/&gt;&lt;wsp:rsid wsp:val=&quot;0077463F&quot;/&gt;&lt;wsp:rsid wsp:val=&quot;00775479&quot;/&gt;&lt;wsp:rsid wsp:val=&quot;0077569B&quot;/&gt;&lt;wsp:rsid wsp:val=&quot;00777753&quot;/&gt;&lt;wsp:rsid wsp:val=&quot;00777B9D&quot;/&gt;&lt;wsp:rsid wsp:val=&quot;00777D75&quot;/&gt;&lt;wsp:rsid wsp:val=&quot;007825EA&quot;/&gt;&lt;wsp:rsid wsp:val=&quot;0078306E&quot;/&gt;&lt;wsp:rsid wsp:val=&quot;007836EA&quot;/&gt;&lt;wsp:rsid wsp:val=&quot;00783CAC&quot;/&gt;&lt;wsp:rsid wsp:val=&quot;00784CDA&quot;/&gt;&lt;wsp:rsid wsp:val=&quot;007868DF&quot;/&gt;&lt;wsp:rsid wsp:val=&quot;007906C4&quot;/&gt;&lt;wsp:rsid wsp:val=&quot;007940EA&quot;/&gt;&lt;wsp:rsid wsp:val=&quot;0079539A&quot;/&gt;&lt;wsp:rsid wsp:val=&quot;007958E0&quot;/&gt;&lt;wsp:rsid wsp:val=&quot;007967E8&quot;/&gt;&lt;wsp:rsid wsp:val=&quot;007A09ED&quot;/&gt;&lt;wsp:rsid wsp:val=&quot;007A2170&quot;/&gt;&lt;wsp:rsid wsp:val=&quot;007A22BF&quot;/&gt;&lt;wsp:rsid wsp:val=&quot;007A3323&quot;/&gt;&lt;wsp:rsid wsp:val=&quot;007A4023&quot;/&gt;&lt;wsp:rsid wsp:val=&quot;007A660E&quot;/&gt;&lt;wsp:rsid wsp:val=&quot;007B4027&quot;/&gt;&lt;wsp:rsid wsp:val=&quot;007B72B8&quot;/&gt;&lt;wsp:rsid wsp:val=&quot;007B7A58&quot;/&gt;&lt;wsp:rsid wsp:val=&quot;007C1B2E&quot;/&gt;&lt;wsp:rsid wsp:val=&quot;007C21B5&quot;/&gt;&lt;wsp:rsid wsp:val=&quot;007C296B&quot;/&gt;&lt;wsp:rsid wsp:val=&quot;007C6EB9&quot;/&gt;&lt;wsp:rsid wsp:val=&quot;007D4CAA&quot;/&gt;&lt;wsp:rsid wsp:val=&quot;007D6CAE&quot;/&gt;&lt;wsp:rsid wsp:val=&quot;007D6E62&quot;/&gt;&lt;wsp:rsid wsp:val=&quot;007E4BD2&quot;/&gt;&lt;wsp:rsid wsp:val=&quot;007E6B27&quot;/&gt;&lt;wsp:rsid wsp:val=&quot;007F023D&quot;/&gt;&lt;wsp:rsid wsp:val=&quot;007F2767&quot;/&gt;&lt;wsp:rsid wsp:val=&quot;007F6C6F&quot;/&gt;&lt;wsp:rsid wsp:val=&quot;00801393&quot;/&gt;&lt;wsp:rsid wsp:val=&quot;00802F88&quot;/&gt;&lt;wsp:rsid wsp:val=&quot;00803FE3&quot;/&gt;&lt;wsp:rsid wsp:val=&quot;008102F1&quot;/&gt;&lt;wsp:rsid wsp:val=&quot;00811C7B&quot;/&gt;&lt;wsp:rsid wsp:val=&quot;0081293E&quot;/&gt;&lt;wsp:rsid wsp:val=&quot;00814795&quot;/&gt;&lt;wsp:rsid wsp:val=&quot;00815465&quot;/&gt;&lt;wsp:rsid wsp:val=&quot;00815CDE&quot;/&gt;&lt;wsp:rsid wsp:val=&quot;00817E9A&quot;/&gt;&lt;wsp:rsid wsp:val=&quot;008230B2&quot;/&gt;&lt;wsp:rsid wsp:val=&quot;00824069&quot;/&gt;&lt;wsp:rsid wsp:val=&quot;008306BD&quot;/&gt;&lt;wsp:rsid wsp:val=&quot;00831A80&quot;/&gt;&lt;wsp:rsid wsp:val=&quot;00832DDB&quot;/&gt;&lt;wsp:rsid wsp:val=&quot;00833743&quot;/&gt;&lt;wsp:rsid wsp:val=&quot;008340A4&quot;/&gt;&lt;wsp:rsid wsp:val=&quot;00835316&quot;/&gt;&lt;wsp:rsid wsp:val=&quot;008421FB&quot;/&gt;&lt;wsp:rsid wsp:val=&quot;0084319E&quot;/&gt;&lt;wsp:rsid wsp:val=&quot;00846033&quot;/&gt;&lt;wsp:rsid wsp:val=&quot;008501BD&quot;/&gt;&lt;wsp:rsid wsp:val=&quot;0085040B&quot;/&gt;&lt;wsp:rsid wsp:val=&quot;00852F35&quot;/&gt;&lt;wsp:rsid wsp:val=&quot;00856784&quot;/&gt;&lt;wsp:rsid wsp:val=&quot;00863B59&quot;/&gt;&lt;wsp:rsid wsp:val=&quot;00866C70&quot;/&gt;&lt;wsp:rsid wsp:val=&quot;00867FFD&quot;/&gt;&lt;wsp:rsid wsp:val=&quot;0087135F&quot;/&gt;&lt;wsp:rsid wsp:val=&quot;0087167F&quot;/&gt;&lt;wsp:rsid wsp:val=&quot;0087279F&quot;/&gt;&lt;wsp:rsid wsp:val=&quot;00872D94&quot;/&gt;&lt;wsp:rsid wsp:val=&quot;008761E7&quot;/&gt;&lt;wsp:rsid wsp:val=&quot;00880364&quot;/&gt;&lt;wsp:rsid wsp:val=&quot;00880B80&quot;/&gt;&lt;wsp:rsid wsp:val=&quot;0088464D&quot;/&gt;&lt;wsp:rsid wsp:val=&quot;00887E9B&quot;/&gt;&lt;wsp:rsid wsp:val=&quot;00891592&quot;/&gt;&lt;wsp:rsid wsp:val=&quot;0089189B&quot;/&gt;&lt;wsp:rsid wsp:val=&quot;00891E9E&quot;/&gt;&lt;wsp:rsid wsp:val=&quot;00893649&quot;/&gt;&lt;wsp:rsid wsp:val=&quot;008953F8&quot;/&gt;&lt;wsp:rsid wsp:val=&quot;008A2F68&quot;/&gt;&lt;wsp:rsid wsp:val=&quot;008B146B&quot;/&gt;&lt;wsp:rsid wsp:val=&quot;008B4FA6&quot;/&gt;&lt;wsp:rsid wsp:val=&quot;008B5282&quot;/&gt;&lt;wsp:rsid wsp:val=&quot;008B7C17&quot;/&gt;&lt;wsp:rsid wsp:val=&quot;008C2021&quot;/&gt;&lt;wsp:rsid wsp:val=&quot;008C2D01&quot;/&gt;&lt;wsp:rsid wsp:val=&quot;008C40E6&quot;/&gt;&lt;wsp:rsid wsp:val=&quot;008C551E&quot;/&gt;&lt;wsp:rsid wsp:val=&quot;008C5A84&quot;/&gt;&lt;wsp:rsid wsp:val=&quot;008C6F31&quot;/&gt;&lt;wsp:rsid wsp:val=&quot;008D0F7A&quot;/&gt;&lt;wsp:rsid wsp:val=&quot;008D1F7D&quot;/&gt;&lt;wsp:rsid wsp:val=&quot;008D68E4&quot;/&gt;&lt;wsp:rsid wsp:val=&quot;008E0506&quot;/&gt;&lt;wsp:rsid wsp:val=&quot;008E0C60&quot;/&gt;&lt;wsp:rsid wsp:val=&quot;008E0CFF&quot;/&gt;&lt;wsp:rsid wsp:val=&quot;008E2D99&quot;/&gt;&lt;wsp:rsid wsp:val=&quot;008E4BC5&quot;/&gt;&lt;wsp:rsid wsp:val=&quot;008E5D6B&quot;/&gt;&lt;wsp:rsid wsp:val=&quot;008E76F0&quot;/&gt;&lt;wsp:rsid wsp:val=&quot;008F15FE&quot;/&gt;&lt;wsp:rsid wsp:val=&quot;008F25AA&quot;/&gt;&lt;wsp:rsid wsp:val=&quot;008F2D29&quot;/&gt;&lt;wsp:rsid wsp:val=&quot;008F30F3&quot;/&gt;&lt;wsp:rsid wsp:val=&quot;008F5187&quot;/&gt;&lt;wsp:rsid wsp:val=&quot;008F60D8&quot;/&gt;&lt;wsp:rsid wsp:val=&quot;008F73B9&quot;/&gt;&lt;wsp:rsid wsp:val=&quot;009021E7&quot;/&gt;&lt;wsp:rsid wsp:val=&quot;00902727&quot;/&gt;&lt;wsp:rsid wsp:val=&quot;0090312B&quot;/&gt;&lt;wsp:rsid wsp:val=&quot;00910162&quot;/&gt;&lt;wsp:rsid wsp:val=&quot;00913F01&quot;/&gt;&lt;wsp:rsid wsp:val=&quot;009148A4&quot;/&gt;&lt;wsp:rsid wsp:val=&quot;0091736D&quot;/&gt;&lt;wsp:rsid wsp:val=&quot;00924D69&quot;/&gt;&lt;wsp:rsid wsp:val=&quot;00925278&quot;/&gt;&lt;wsp:rsid wsp:val=&quot;00927B61&quot;/&gt;&lt;wsp:rsid wsp:val=&quot;0093037A&quot;/&gt;&lt;wsp:rsid wsp:val=&quot;00935118&quot;/&gt;&lt;wsp:rsid wsp:val=&quot;00936276&quot;/&gt;&lt;wsp:rsid wsp:val=&quot;0094154D&quot;/&gt;&lt;wsp:rsid wsp:val=&quot;00942D5A&quot;/&gt;&lt;wsp:rsid wsp:val=&quot;00950240&quot;/&gt;&lt;wsp:rsid wsp:val=&quot;009511CE&quot;/&gt;&lt;wsp:rsid wsp:val=&quot;0095155F&quot;/&gt;&lt;wsp:rsid wsp:val=&quot;00954429&quot;/&gt;&lt;wsp:rsid wsp:val=&quot;009563CE&quot;/&gt;&lt;wsp:rsid wsp:val=&quot;00957E9E&quot;/&gt;&lt;wsp:rsid wsp:val=&quot;009657D5&quot;/&gt;&lt;wsp:rsid wsp:val=&quot;0096657E&quot;/&gt;&lt;wsp:rsid wsp:val=&quot;00975D66&quot;/&gt;&lt;wsp:rsid wsp:val=&quot;00976328&quot;/&gt;&lt;wsp:rsid wsp:val=&quot;00976381&quot;/&gt;&lt;wsp:rsid wsp:val=&quot;0097680D&quot;/&gt;&lt;wsp:rsid wsp:val=&quot;00977B14&quot;/&gt;&lt;wsp:rsid wsp:val=&quot;00980E9E&quot;/&gt;&lt;wsp:rsid wsp:val=&quot;00982438&quot;/&gt;&lt;wsp:rsid wsp:val=&quot;0098245F&quot;/&gt;&lt;wsp:rsid wsp:val=&quot;0098388D&quot;/&gt;&lt;wsp:rsid wsp:val=&quot;0098404C&quot;/&gt;&lt;wsp:rsid wsp:val=&quot;00985283&quot;/&gt;&lt;wsp:rsid wsp:val=&quot;00986659&quot;/&gt;&lt;wsp:rsid wsp:val=&quot;00987413&quot;/&gt;&lt;wsp:rsid wsp:val=&quot;009910E5&quot;/&gt;&lt;wsp:rsid wsp:val=&quot;0099261C&quot;/&gt;&lt;wsp:rsid wsp:val=&quot;00995992&quot;/&gt;&lt;wsp:rsid wsp:val=&quot;009975AA&quot;/&gt;&lt;wsp:rsid wsp:val=&quot;009A03E5&quot;/&gt;&lt;wsp:rsid wsp:val=&quot;009A0F3B&quot;/&gt;&lt;wsp:rsid wsp:val=&quot;009A13B3&quot;/&gt;&lt;wsp:rsid wsp:val=&quot;009A168D&quot;/&gt;&lt;wsp:rsid wsp:val=&quot;009A1BB4&quot;/&gt;&lt;wsp:rsid wsp:val=&quot;009A1E4B&quot;/&gt;&lt;wsp:rsid wsp:val=&quot;009A2628&quot;/&gt;&lt;wsp:rsid wsp:val=&quot;009A2BED&quot;/&gt;&lt;wsp:rsid wsp:val=&quot;009A3200&quot;/&gt;&lt;wsp:rsid wsp:val=&quot;009B0897&quot;/&gt;&lt;wsp:rsid wsp:val=&quot;009B7BD9&quot;/&gt;&lt;wsp:rsid wsp:val=&quot;009C7DD5&quot;/&gt;&lt;wsp:rsid wsp:val=&quot;009D04B7&quot;/&gt;&lt;wsp:rsid wsp:val=&quot;009D4B99&quot;/&gt;&lt;wsp:rsid wsp:val=&quot;009D540F&quot;/&gt;&lt;wsp:rsid wsp:val=&quot;009E227D&quot;/&gt;&lt;wsp:rsid wsp:val=&quot;009E5019&quot;/&gt;&lt;wsp:rsid wsp:val=&quot;009F0C0B&quot;/&gt;&lt;wsp:rsid wsp:val=&quot;009F16F1&quot;/&gt;&lt;wsp:rsid wsp:val=&quot;009F40BA&quot;/&gt;&lt;wsp:rsid wsp:val=&quot;009F55E7&quot;/&gt;&lt;wsp:rsid wsp:val=&quot;009F6963&quot;/&gt;&lt;wsp:rsid wsp:val=&quot;00A00E1A&quot;/&gt;&lt;wsp:rsid wsp:val=&quot;00A013E6&quot;/&gt;&lt;wsp:rsid wsp:val=&quot;00A041F6&quot;/&gt;&lt;wsp:rsid wsp:val=&quot;00A04F1B&quot;/&gt;&lt;wsp:rsid wsp:val=&quot;00A0501B&quot;/&gt;&lt;wsp:rsid wsp:val=&quot;00A05A1D&quot;/&gt;&lt;wsp:rsid wsp:val=&quot;00A073D5&quot;/&gt;&lt;wsp:rsid wsp:val=&quot;00A14947&quot;/&gt;&lt;wsp:rsid wsp:val=&quot;00A1658C&quot;/&gt;&lt;wsp:rsid wsp:val=&quot;00A17C10&quot;/&gt;&lt;wsp:rsid wsp:val=&quot;00A24389&quot;/&gt;&lt;wsp:rsid wsp:val=&quot;00A32418&quot;/&gt;&lt;wsp:rsid wsp:val=&quot;00A3295D&quot;/&gt;&lt;wsp:rsid wsp:val=&quot;00A32A83&quot;/&gt;&lt;wsp:rsid wsp:val=&quot;00A364B9&quot;/&gt;&lt;wsp:rsid wsp:val=&quot;00A368DB&quot;/&gt;&lt;wsp:rsid wsp:val=&quot;00A40483&quot;/&gt;&lt;wsp:rsid wsp:val=&quot;00A423AA&quot;/&gt;&lt;wsp:rsid wsp:val=&quot;00A5373B&quot;/&gt;&lt;wsp:rsid wsp:val=&quot;00A53EC6&quot;/&gt;&lt;wsp:rsid wsp:val=&quot;00A54547&quot;/&gt;&lt;wsp:rsid wsp:val=&quot;00A55B18&quot;/&gt;&lt;wsp:rsid wsp:val=&quot;00A55C0F&quot;/&gt;&lt;wsp:rsid wsp:val=&quot;00A57FCD&quot;/&gt;&lt;wsp:rsid wsp:val=&quot;00A60657&quot;/&gt;&lt;wsp:rsid wsp:val=&quot;00A65FA9&quot;/&gt;&lt;wsp:rsid wsp:val=&quot;00A735A0&quot;/&gt;&lt;wsp:rsid wsp:val=&quot;00A738A9&quot;/&gt;&lt;wsp:rsid wsp:val=&quot;00A73910&quot;/&gt;&lt;wsp:rsid wsp:val=&quot;00A815A2&quot;/&gt;&lt;wsp:rsid wsp:val=&quot;00A82D89&quot;/&gt;&lt;wsp:rsid wsp:val=&quot;00A8713F&quot;/&gt;&lt;wsp:rsid wsp:val=&quot;00A8786B&quot;/&gt;&lt;wsp:rsid wsp:val=&quot;00A90BA1&quot;/&gt;&lt;wsp:rsid wsp:val=&quot;00A91086&quot;/&gt;&lt;wsp:rsid wsp:val=&quot;00A91530&quot;/&gt;&lt;wsp:rsid wsp:val=&quot;00A92DDC&quot;/&gt;&lt;wsp:rsid wsp:val=&quot;00A93D9E&quot;/&gt;&lt;wsp:rsid wsp:val=&quot;00A97315&quot;/&gt;&lt;wsp:rsid wsp:val=&quot;00A97A9A&quot;/&gt;&lt;wsp:rsid wsp:val=&quot;00AA0671&quot;/&gt;&lt;wsp:rsid wsp:val=&quot;00AA1B9A&quot;/&gt;&lt;wsp:rsid wsp:val=&quot;00AA1FFF&quot;/&gt;&lt;wsp:rsid wsp:val=&quot;00AA2531&quot;/&gt;&lt;wsp:rsid wsp:val=&quot;00AA3CEC&quot;/&gt;&lt;wsp:rsid wsp:val=&quot;00AA4733&quot;/&gt;&lt;wsp:rsid wsp:val=&quot;00AA5519&quot;/&gt;&lt;wsp:rsid wsp:val=&quot;00AB1E09&quot;/&gt;&lt;wsp:rsid wsp:val=&quot;00AB35C0&quot;/&gt;&lt;wsp:rsid wsp:val=&quot;00AB3DAD&quot;/&gt;&lt;wsp:rsid wsp:val=&quot;00AB5330&quot;/&gt;&lt;wsp:rsid wsp:val=&quot;00AB6EE2&quot;/&gt;&lt;wsp:rsid wsp:val=&quot;00AB7747&quot;/&gt;&lt;wsp:rsid wsp:val=&quot;00AC14CE&quot;/&gt;&lt;wsp:rsid wsp:val=&quot;00AC1889&quot;/&gt;&lt;wsp:rsid wsp:val=&quot;00AC2A56&quot;/&gt;&lt;wsp:rsid wsp:val=&quot;00AC2DEF&quot;/&gt;&lt;wsp:rsid wsp:val=&quot;00AC5C90&quot;/&gt;&lt;wsp:rsid wsp:val=&quot;00AC72B9&quot;/&gt;&lt;wsp:rsid wsp:val=&quot;00AD055E&quot;/&gt;&lt;wsp:rsid wsp:val=&quot;00AD22BE&quot;/&gt;&lt;wsp:rsid wsp:val=&quot;00AD47A7&quot;/&gt;&lt;wsp:rsid wsp:val=&quot;00AD4F86&quot;/&gt;&lt;wsp:rsid wsp:val=&quot;00AD7338&quot;/&gt;&lt;wsp:rsid wsp:val=&quot;00AE2918&quot;/&gt;&lt;wsp:rsid wsp:val=&quot;00AE4805&quot;/&gt;&lt;wsp:rsid wsp:val=&quot;00AF0CBF&quot;/&gt;&lt;wsp:rsid wsp:val=&quot;00AF1F5E&quot;/&gt;&lt;wsp:rsid wsp:val=&quot;00AF257F&quot;/&gt;&lt;wsp:rsid wsp:val=&quot;00AF33CF&quot;/&gt;&lt;wsp:rsid wsp:val=&quot;00AF4D50&quot;/&gt;&lt;wsp:rsid wsp:val=&quot;00AF6179&quot;/&gt;&lt;wsp:rsid wsp:val=&quot;00B00061&quot;/&gt;&lt;wsp:rsid wsp:val=&quot;00B0419F&quot;/&gt;&lt;wsp:rsid wsp:val=&quot;00B066FD&quot;/&gt;&lt;wsp:rsid wsp:val=&quot;00B07FD9&quot;/&gt;&lt;wsp:rsid wsp:val=&quot;00B1295A&quot;/&gt;&lt;wsp:rsid wsp:val=&quot;00B1314A&quot;/&gt;&lt;wsp:rsid wsp:val=&quot;00B1650A&quot;/&gt;&lt;wsp:rsid wsp:val=&quot;00B20A45&quot;/&gt;&lt;wsp:rsid wsp:val=&quot;00B22C5C&quot;/&gt;&lt;wsp:rsid wsp:val=&quot;00B24F30&quot;/&gt;&lt;wsp:rsid wsp:val=&quot;00B256FD&quot;/&gt;&lt;wsp:rsid wsp:val=&quot;00B31647&quot;/&gt;&lt;wsp:rsid wsp:val=&quot;00B31ABF&quot;/&gt;&lt;wsp:rsid wsp:val=&quot;00B333DE&quot;/&gt;&lt;wsp:rsid wsp:val=&quot;00B33BE3&quot;/&gt;&lt;wsp:rsid wsp:val=&quot;00B3548A&quot;/&gt;&lt;wsp:rsid wsp:val=&quot;00B3632D&quot;/&gt;&lt;wsp:rsid wsp:val=&quot;00B36DD2&quot;/&gt;&lt;wsp:rsid wsp:val=&quot;00B406C6&quot;/&gt;&lt;wsp:rsid wsp:val=&quot;00B43A9B&quot;/&gt;&lt;wsp:rsid wsp:val=&quot;00B457CC&quot;/&gt;&lt;wsp:rsid wsp:val=&quot;00B53B5D&quot;/&gt;&lt;wsp:rsid wsp:val=&quot;00B5443F&quot;/&gt;&lt;wsp:rsid wsp:val=&quot;00B5621D&quot;/&gt;&lt;wsp:rsid wsp:val=&quot;00B6055E&quot;/&gt;&lt;wsp:rsid wsp:val=&quot;00B6317D&quot;/&gt;&lt;wsp:rsid wsp:val=&quot;00B64019&quot;/&gt;&lt;wsp:rsid wsp:val=&quot;00B65C81&quot;/&gt;&lt;wsp:rsid wsp:val=&quot;00B6623C&quot;/&gt;&lt;wsp:rsid wsp:val=&quot;00B715E4&quot;/&gt;&lt;wsp:rsid wsp:val=&quot;00B731ED&quot;/&gt;&lt;wsp:rsid wsp:val=&quot;00B74C55&quot;/&gt;&lt;wsp:rsid wsp:val=&quot;00B75F72&quot;/&gt;&lt;wsp:rsid wsp:val=&quot;00B7723F&quot;/&gt;&lt;wsp:rsid wsp:val=&quot;00B777AE&quot;/&gt;&lt;wsp:rsid wsp:val=&quot;00B80534&quot;/&gt;&lt;wsp:rsid wsp:val=&quot;00B8433C&quot;/&gt;&lt;wsp:rsid wsp:val=&quot;00B853C4&quot;/&gt;&lt;wsp:rsid wsp:val=&quot;00B86A09&quot;/&gt;&lt;wsp:rsid wsp:val=&quot;00B86D47&quot;/&gt;&lt;wsp:rsid wsp:val=&quot;00B87491&quot;/&gt;&lt;wsp:rsid wsp:val=&quot;00B96D8D&quot;/&gt;&lt;wsp:rsid wsp:val=&quot;00BA039D&quot;/&gt;&lt;wsp:rsid wsp:val=&quot;00BA1659&quot;/&gt;&lt;wsp:rsid wsp:val=&quot;00BA29E9&quot;/&gt;&lt;wsp:rsid wsp:val=&quot;00BA3803&quot;/&gt;&lt;wsp:rsid wsp:val=&quot;00BA625B&quot;/&gt;&lt;wsp:rsid wsp:val=&quot;00BA7142&quot;/&gt;&lt;wsp:rsid wsp:val=&quot;00BB13AD&quot;/&gt;&lt;wsp:rsid wsp:val=&quot;00BB237C&quot;/&gt;&lt;wsp:rsid wsp:val=&quot;00BB257A&quot;/&gt;&lt;wsp:rsid wsp:val=&quot;00BB27D6&quot;/&gt;&lt;wsp:rsid wsp:val=&quot;00BB3585&quot;/&gt;&lt;wsp:rsid wsp:val=&quot;00BB41A3&quot;/&gt;&lt;wsp:rsid wsp:val=&quot;00BB612F&quot;/&gt;&lt;wsp:rsid wsp:val=&quot;00BB695F&quot;/&gt;&lt;wsp:rsid wsp:val=&quot;00BB6BB5&quot;/&gt;&lt;wsp:rsid wsp:val=&quot;00BC24AF&quot;/&gt;&lt;wsp:rsid wsp:val=&quot;00BC32DC&quot;/&gt;&lt;wsp:rsid wsp:val=&quot;00BC35B6&quot;/&gt;&lt;wsp:rsid wsp:val=&quot;00BD126B&quot;/&gt;&lt;wsp:rsid wsp:val=&quot;00BD1B51&quot;/&gt;&lt;wsp:rsid wsp:val=&quot;00BD4596&quot;/&gt;&lt;wsp:rsid wsp:val=&quot;00BE1405&quot;/&gt;&lt;wsp:rsid wsp:val=&quot;00BE1545&quot;/&gt;&lt;wsp:rsid wsp:val=&quot;00BE312D&quot;/&gt;&lt;wsp:rsid wsp:val=&quot;00BE573D&quot;/&gt;&lt;wsp:rsid wsp:val=&quot;00BE7183&quot;/&gt;&lt;wsp:rsid wsp:val=&quot;00BF0E19&quot;/&gt;&lt;wsp:rsid wsp:val=&quot;00BF1C20&quot;/&gt;&lt;wsp:rsid wsp:val=&quot;00BF3E3B&quot;/&gt;&lt;wsp:rsid wsp:val=&quot;00C03875&quot;/&gt;&lt;wsp:rsid wsp:val=&quot;00C062F0&quot;/&gt;&lt;wsp:rsid wsp:val=&quot;00C10578&quot;/&gt;&lt;wsp:rsid wsp:val=&quot;00C11035&quot;/&gt;&lt;wsp:rsid wsp:val=&quot;00C12DE3&quot;/&gt;&lt;wsp:rsid wsp:val=&quot;00C135BC&quot;/&gt;&lt;wsp:rsid wsp:val=&quot;00C14B91&quot;/&gt;&lt;wsp:rsid wsp:val=&quot;00C1515C&quot;/&gt;&lt;wsp:rsid wsp:val=&quot;00C15C95&quot;/&gt;&lt;wsp:rsid wsp:val=&quot;00C22910&quot;/&gt;&lt;wsp:rsid wsp:val=&quot;00C2596A&quot;/&gt;&lt;wsp:rsid wsp:val=&quot;00C25F3F&quot;/&gt;&lt;wsp:rsid wsp:val=&quot;00C27537&quot;/&gt;&lt;wsp:rsid wsp:val=&quot;00C30909&quot;/&gt;&lt;wsp:rsid wsp:val=&quot;00C328FE&quot;/&gt;&lt;wsp:rsid wsp:val=&quot;00C33507&quot;/&gt;&lt;wsp:rsid wsp:val=&quot;00C4409D&quot;/&gt;&lt;wsp:rsid wsp:val=&quot;00C444DF&quot;/&gt;&lt;wsp:rsid wsp:val=&quot;00C44A20&quot;/&gt;&lt;wsp:rsid wsp:val=&quot;00C44E72&quot;/&gt;&lt;wsp:rsid wsp:val=&quot;00C45A06&quot;/&gt;&lt;wsp:rsid wsp:val=&quot;00C47E5B&quot;/&gt;&lt;wsp:rsid wsp:val=&quot;00C50241&quot;/&gt;&lt;wsp:rsid wsp:val=&quot;00C50CA9&quot;/&gt;&lt;wsp:rsid wsp:val=&quot;00C5134B&quot;/&gt;&lt;wsp:rsid wsp:val=&quot;00C51FE0&quot;/&gt;&lt;wsp:rsid wsp:val=&quot;00C5593B&quot;/&gt;&lt;wsp:rsid wsp:val=&quot;00C61E4B&quot;/&gt;&lt;wsp:rsid wsp:val=&quot;00C64BFF&quot;/&gt;&lt;wsp:rsid wsp:val=&quot;00C65933&quot;/&gt;&lt;wsp:rsid wsp:val=&quot;00C704E9&quot;/&gt;&lt;wsp:rsid wsp:val=&quot;00C70CA4&quot;/&gt;&lt;wsp:rsid wsp:val=&quot;00C763C9&quot;/&gt;&lt;wsp:rsid wsp:val=&quot;00C80057&quot;/&gt;&lt;wsp:rsid wsp:val=&quot;00C80D58&quot;/&gt;&lt;wsp:rsid wsp:val=&quot;00C82232&quot;/&gt;&lt;wsp:rsid wsp:val=&quot;00C82913&quot;/&gt;&lt;wsp:rsid wsp:val=&quot;00C84172&quot;/&gt;&lt;wsp:rsid wsp:val=&quot;00C86196&quot;/&gt;&lt;wsp:rsid wsp:val=&quot;00C86BE2&quot;/&gt;&lt;wsp:rsid wsp:val=&quot;00C86ECE&quot;/&gt;&lt;wsp:rsid wsp:val=&quot;00C9012E&quot;/&gt;&lt;wsp:rsid wsp:val=&quot;00C9169D&quot;/&gt;&lt;wsp:rsid wsp:val=&quot;00C91D93&quot;/&gt;&lt;wsp:rsid wsp:val=&quot;00C9611B&quot;/&gt;&lt;wsp:rsid wsp:val=&quot;00C967CF&quot;/&gt;&lt;wsp:rsid wsp:val=&quot;00C972B1&quot;/&gt;&lt;wsp:rsid wsp:val=&quot;00CA0A03&quot;/&gt;&lt;wsp:rsid wsp:val=&quot;00CA115C&quot;/&gt;&lt;wsp:rsid wsp:val=&quot;00CA2CCE&quot;/&gt;&lt;wsp:rsid wsp:val=&quot;00CA43FD&quot;/&gt;&lt;wsp:rsid wsp:val=&quot;00CA5242&quot;/&gt;&lt;wsp:rsid wsp:val=&quot;00CA7B6F&quot;/&gt;&lt;wsp:rsid wsp:val=&quot;00CA7EEA&quot;/&gt;&lt;wsp:rsid wsp:val=&quot;00CA7EF8&quot;/&gt;&lt;wsp:rsid wsp:val=&quot;00CB1A5A&quot;/&gt;&lt;wsp:rsid wsp:val=&quot;00CB1EB4&quot;/&gt;&lt;wsp:rsid wsp:val=&quot;00CB4678&quot;/&gt;&lt;wsp:rsid wsp:val=&quot;00CB5A73&quot;/&gt;&lt;wsp:rsid wsp:val=&quot;00CB746B&quot;/&gt;&lt;wsp:rsid wsp:val=&quot;00CB77BE&quot;/&gt;&lt;wsp:rsid wsp:val=&quot;00CC489B&quot;/&gt;&lt;wsp:rsid wsp:val=&quot;00CD0212&quot;/&gt;&lt;wsp:rsid wsp:val=&quot;00CD28C9&quot;/&gt;&lt;wsp:rsid wsp:val=&quot;00CD2BCD&quot;/&gt;&lt;wsp:rsid wsp:val=&quot;00CD3A4C&quot;/&gt;&lt;wsp:rsid wsp:val=&quot;00CD7A40&quot;/&gt;&lt;wsp:rsid wsp:val=&quot;00CE10E9&quot;/&gt;&lt;wsp:rsid wsp:val=&quot;00CE2910&quot;/&gt;&lt;wsp:rsid wsp:val=&quot;00CE5393&quot;/&gt;&lt;wsp:rsid wsp:val=&quot;00CF20B6&quot;/&gt;&lt;wsp:rsid wsp:val=&quot;00CF36BE&quot;/&gt;&lt;wsp:rsid wsp:val=&quot;00CF6000&quot;/&gt;&lt;wsp:rsid wsp:val=&quot;00D003F3&quot;/&gt;&lt;wsp:rsid wsp:val=&quot;00D004AD&quot;/&gt;&lt;wsp:rsid wsp:val=&quot;00D03026&quot;/&gt;&lt;wsp:rsid wsp:val=&quot;00D0364F&quot;/&gt;&lt;wsp:rsid wsp:val=&quot;00D06834&quot;/&gt;&lt;wsp:rsid wsp:val=&quot;00D07005&quot;/&gt;&lt;wsp:rsid wsp:val=&quot;00D07B9F&quot;/&gt;&lt;wsp:rsid wsp:val=&quot;00D07F0D&quot;/&gt;&lt;wsp:rsid wsp:val=&quot;00D127C9&quot;/&gt;&lt;wsp:rsid wsp:val=&quot;00D22781&quot;/&gt;&lt;wsp:rsid wsp:val=&quot;00D2435B&quot;/&gt;&lt;wsp:rsid wsp:val=&quot;00D24E50&quot;/&gt;&lt;wsp:rsid wsp:val=&quot;00D308ED&quot;/&gt;&lt;wsp:rsid wsp:val=&quot;00D337D8&quot;/&gt;&lt;wsp:rsid wsp:val=&quot;00D36D86&quot;/&gt;&lt;wsp:rsid wsp:val=&quot;00D428AA&quot;/&gt;&lt;wsp:rsid wsp:val=&quot;00D50A34&quot;/&gt;&lt;wsp:rsid wsp:val=&quot;00D53EFA&quot;/&gt;&lt;wsp:rsid wsp:val=&quot;00D54F24&quot;/&gt;&lt;wsp:rsid wsp:val=&quot;00D6134A&quot;/&gt;&lt;wsp:rsid wsp:val=&quot;00D62385&quot;/&gt;&lt;wsp:rsid wsp:val=&quot;00D74C8E&quot;/&gt;&lt;wsp:rsid wsp:val=&quot;00D74EA1&quot;/&gt;&lt;wsp:rsid wsp:val=&quot;00D859F7&quot;/&gt;&lt;wsp:rsid wsp:val=&quot;00D9012D&quot;/&gt;&lt;wsp:rsid wsp:val=&quot;00D93289&quot;/&gt;&lt;wsp:rsid wsp:val=&quot;00D94A7C&quot;/&gt;&lt;wsp:rsid wsp:val=&quot;00D95896&quot;/&gt;&lt;wsp:rsid wsp:val=&quot;00DA1667&quot;/&gt;&lt;wsp:rsid wsp:val=&quot;00DA516B&quot;/&gt;&lt;wsp:rsid wsp:val=&quot;00DB0D62&quot;/&gt;&lt;wsp:rsid wsp:val=&quot;00DB2983&quot;/&gt;&lt;wsp:rsid wsp:val=&quot;00DB2D5D&quot;/&gt;&lt;wsp:rsid wsp:val=&quot;00DB3413&quot;/&gt;&lt;wsp:rsid wsp:val=&quot;00DB48CA&quot;/&gt;&lt;wsp:rsid wsp:val=&quot;00DB52CC&quot;/&gt;&lt;wsp:rsid wsp:val=&quot;00DB6628&quot;/&gt;&lt;wsp:rsid wsp:val=&quot;00DC1257&quot;/&gt;&lt;wsp:rsid wsp:val=&quot;00DC1734&quot;/&gt;&lt;wsp:rsid wsp:val=&quot;00DC250E&quot;/&gt;&lt;wsp:rsid wsp:val=&quot;00DC3DC0&quot;/&gt;&lt;wsp:rsid wsp:val=&quot;00DC5B2B&quot;/&gt;&lt;wsp:rsid wsp:val=&quot;00DC5E6F&quot;/&gt;&lt;wsp:rsid wsp:val=&quot;00DD318D&quot;/&gt;&lt;wsp:rsid wsp:val=&quot;00DE0CF6&quot;/&gt;&lt;wsp:rsid wsp:val=&quot;00DE1458&quot;/&gt;&lt;wsp:rsid wsp:val=&quot;00DE2FB0&quot;/&gt;&lt;wsp:rsid wsp:val=&quot;00DE3995&quot;/&gt;&lt;wsp:rsid wsp:val=&quot;00DF2E12&quot;/&gt;&lt;wsp:rsid wsp:val=&quot;00DF514A&quot;/&gt;&lt;wsp:rsid wsp:val=&quot;00DF6690&quot;/&gt;&lt;wsp:rsid wsp:val=&quot;00DF6804&quot;/&gt;&lt;wsp:rsid wsp:val=&quot;00DF7251&quot;/&gt;&lt;wsp:rsid wsp:val=&quot;00E0358D&quot;/&gt;&lt;wsp:rsid wsp:val=&quot;00E04323&quot;/&gt;&lt;wsp:rsid wsp:val=&quot;00E070A2&quot;/&gt;&lt;wsp:rsid wsp:val=&quot;00E106F3&quot;/&gt;&lt;wsp:rsid wsp:val=&quot;00E13486&quot;/&gt;&lt;wsp:rsid wsp:val=&quot;00E200F4&quot;/&gt;&lt;wsp:rsid wsp:val=&quot;00E2454E&quot;/&gt;&lt;wsp:rsid wsp:val=&quot;00E2656A&quot;/&gt;&lt;wsp:rsid wsp:val=&quot;00E265D8&quot;/&gt;&lt;wsp:rsid wsp:val=&quot;00E306EB&quot;/&gt;&lt;wsp:rsid wsp:val=&quot;00E30FAC&quot;/&gt;&lt;wsp:rsid wsp:val=&quot;00E31687&quot;/&gt;&lt;wsp:rsid wsp:val=&quot;00E33CD4&quot;/&gt;&lt;wsp:rsid wsp:val=&quot;00E34FD7&quot;/&gt;&lt;wsp:rsid wsp:val=&quot;00E40880&quot;/&gt;&lt;wsp:rsid wsp:val=&quot;00E412D0&quot;/&gt;&lt;wsp:rsid wsp:val=&quot;00E4135D&quot;/&gt;&lt;wsp:rsid wsp:val=&quot;00E41A76&quot;/&gt;&lt;wsp:rsid wsp:val=&quot;00E44657&quot;/&gt;&lt;wsp:rsid wsp:val=&quot;00E526A2&quot;/&gt;&lt;wsp:rsid wsp:val=&quot;00E52F76&quot;/&gt;&lt;wsp:rsid wsp:val=&quot;00E56322&quot;/&gt;&lt;wsp:rsid wsp:val=&quot;00E57012&quot;/&gt;&lt;wsp:rsid wsp:val=&quot;00E60982&quot;/&gt;&lt;wsp:rsid wsp:val=&quot;00E62C62&quot;/&gt;&lt;wsp:rsid wsp:val=&quot;00E654C1&quot;/&gt;&lt;wsp:rsid wsp:val=&quot;00E658DB&quot;/&gt;&lt;wsp:rsid wsp:val=&quot;00E65D97&quot;/&gt;&lt;wsp:rsid wsp:val=&quot;00E72A5A&quot;/&gt;&lt;wsp:rsid wsp:val=&quot;00E73354&quot;/&gt;&lt;wsp:rsid wsp:val=&quot;00E80642&quot;/&gt;&lt;wsp:rsid wsp:val=&quot;00E80A88&quot;/&gt;&lt;wsp:rsid wsp:val=&quot;00E90A6A&quot;/&gt;&lt;wsp:rsid wsp:val=&quot;00E9242D&quot;/&gt;&lt;wsp:rsid wsp:val=&quot;00E9288D&quot;/&gt;&lt;wsp:rsid wsp:val=&quot;00E939F8&quot;/&gt;&lt;wsp:rsid wsp:val=&quot;00E93F34&quot;/&gt;&lt;wsp:rsid wsp:val=&quot;00E957A0&quot;/&gt;&lt;wsp:rsid wsp:val=&quot;00EA058C&quot;/&gt;&lt;wsp:rsid wsp:val=&quot;00EA0D83&quot;/&gt;&lt;wsp:rsid wsp:val=&quot;00EA1A34&quot;/&gt;&lt;wsp:rsid wsp:val=&quot;00EA40E8&quot;/&gt;&lt;wsp:rsid wsp:val=&quot;00EA6457&quot;/&gt;&lt;wsp:rsid wsp:val=&quot;00EB45D6&quot;/&gt;&lt;wsp:rsid wsp:val=&quot;00EB5255&quot;/&gt;&lt;wsp:rsid wsp:val=&quot;00EB5C47&quot;/&gt;&lt;wsp:rsid wsp:val=&quot;00EC04CC&quot;/&gt;&lt;wsp:rsid wsp:val=&quot;00EC2B9A&quot;/&gt;&lt;wsp:rsid wsp:val=&quot;00ED0639&quot;/&gt;&lt;wsp:rsid wsp:val=&quot;00ED234F&quot;/&gt;&lt;wsp:rsid wsp:val=&quot;00ED3E0E&quot;/&gt;&lt;wsp:rsid wsp:val=&quot;00EF4755&quot;/&gt;&lt;wsp:rsid wsp:val=&quot;00EF5BA2&quot;/&gt;&lt;wsp:rsid wsp:val=&quot;00EF7135&quot;/&gt;&lt;wsp:rsid wsp:val=&quot;00F0218F&quot;/&gt;&lt;wsp:rsid wsp:val=&quot;00F027DB&quot;/&gt;&lt;wsp:rsid wsp:val=&quot;00F036C9&quot;/&gt;&lt;wsp:rsid wsp:val=&quot;00F05477&quot;/&gt;&lt;wsp:rsid wsp:val=&quot;00F124AA&quot;/&gt;&lt;wsp:rsid wsp:val=&quot;00F13F69&quot;/&gt;&lt;wsp:rsid wsp:val=&quot;00F14A7A&quot;/&gt;&lt;wsp:rsid wsp:val=&quot;00F175F7&quot;/&gt;&lt;wsp:rsid wsp:val=&quot;00F20962&quot;/&gt;&lt;wsp:rsid wsp:val=&quot;00F211EF&quot;/&gt;&lt;wsp:rsid wsp:val=&quot;00F22985&quot;/&gt;&lt;wsp:rsid wsp:val=&quot;00F22F9D&quot;/&gt;&lt;wsp:rsid wsp:val=&quot;00F25C11&quot;/&gt;&lt;wsp:rsid wsp:val=&quot;00F30AC1&quot;/&gt;&lt;wsp:rsid wsp:val=&quot;00F3383E&quot;/&gt;&lt;wsp:rsid wsp:val=&quot;00F354E7&quot;/&gt;&lt;wsp:rsid wsp:val=&quot;00F363B3&quot;/&gt;&lt;wsp:rsid wsp:val=&quot;00F465A7&quot;/&gt;&lt;wsp:rsid wsp:val=&quot;00F50A8E&quot;/&gt;&lt;wsp:rsid wsp:val=&quot;00F50B7C&quot;/&gt;&lt;wsp:rsid wsp:val=&quot;00F54B35&quot;/&gt;&lt;wsp:rsid wsp:val=&quot;00F550E6&quot;/&gt;&lt;wsp:rsid wsp:val=&quot;00F63C38&quot;/&gt;&lt;wsp:rsid wsp:val=&quot;00F64F0F&quot;/&gt;&lt;wsp:rsid wsp:val=&quot;00F705B3&quot;/&gt;&lt;wsp:rsid wsp:val=&quot;00F73D8A&quot;/&gt;&lt;wsp:rsid wsp:val=&quot;00F74345&quot;/&gt;&lt;wsp:rsid wsp:val=&quot;00F76805&quot;/&gt;&lt;wsp:rsid wsp:val=&quot;00F80A0A&quot;/&gt;&lt;wsp:rsid wsp:val=&quot;00F80BD5&quot;/&gt;&lt;wsp:rsid wsp:val=&quot;00F82835&quot;/&gt;&lt;wsp:rsid wsp:val=&quot;00F82B19&quot;/&gt;&lt;wsp:rsid wsp:val=&quot;00F83568&quot;/&gt;&lt;wsp:rsid wsp:val=&quot;00F906B5&quot;/&gt;&lt;wsp:rsid wsp:val=&quot;00F9212D&quot;/&gt;&lt;wsp:rsid wsp:val=&quot;00F95851&quot;/&gt;&lt;wsp:rsid wsp:val=&quot;00F965DA&quot;/&gt;&lt;wsp:rsid wsp:val=&quot;00FA20D0&quot;/&gt;&lt;wsp:rsid wsp:val=&quot;00FA406A&quot;/&gt;&lt;wsp:rsid wsp:val=&quot;00FB503A&quot;/&gt;&lt;wsp:rsid wsp:val=&quot;00FB516C&quot;/&gt;&lt;wsp:rsid wsp:val=&quot;00FB5550&quot;/&gt;&lt;wsp:rsid wsp:val=&quot;00FB659B&quot;/&gt;&lt;wsp:rsid wsp:val=&quot;00FB6DC2&quot;/&gt;&lt;wsp:rsid wsp:val=&quot;00FB6F37&quot;/&gt;&lt;wsp:rsid wsp:val=&quot;00FC02BF&quot;/&gt;&lt;wsp:rsid wsp:val=&quot;00FC206D&quot;/&gt;&lt;wsp:rsid wsp:val=&quot;00FC32CC&quot;/&gt;&lt;wsp:rsid wsp:val=&quot;00FC7849&quot;/&gt;&lt;wsp:rsid wsp:val=&quot;00FD0236&quot;/&gt;&lt;wsp:rsid wsp:val=&quot;00FD18F4&quot;/&gt;&lt;wsp:rsid wsp:val=&quot;00FD54DB&quot;/&gt;&lt;wsp:rsid wsp:val=&quot;00FD59BF&quot;/&gt;&lt;wsp:rsid wsp:val=&quot;00FD5F35&quot;/&gt;&lt;wsp:rsid wsp:val=&quot;00FD619F&quot;/&gt;&lt;wsp:rsid wsp:val=&quot;00FD643F&quot;/&gt;&lt;wsp:rsid wsp:val=&quot;00FE1942&quot;/&gt;&lt;wsp:rsid wsp:val=&quot;00FF0212&quot;/&gt;&lt;wsp:rsid wsp:val=&quot;00FF1DF6&quot;/&gt;&lt;wsp:rsid wsp:val=&quot;00FF4C64&quot;/&gt;&lt;wsp:rsid wsp:val=&quot;00FF795D&quot;/&gt;&lt;wsp:rsid wsp:val=&quot;01001546&quot;/&gt;&lt;wsp:rsid wsp:val=&quot;01001B5E&quot;/&gt;&lt;wsp:rsid wsp:val=&quot;01011432&quot;/&gt;&lt;wsp:rsid wsp:val=&quot;010158D6&quot;/&gt;&lt;wsp:rsid wsp:val=&quot;01026E45&quot;/&gt;&lt;wsp:rsid wsp:val=&quot;01031592&quot;/&gt;&lt;wsp:rsid wsp:val=&quot;010333FC&quot;/&gt;&lt;wsp:rsid wsp:val=&quot;010351AA&quot;/&gt;&lt;wsp:rsid wsp:val=&quot;01067C6D&quot;/&gt;&lt;wsp:rsid wsp:val=&quot;01080A12&quot;/&gt;&lt;wsp:rsid wsp:val=&quot;010827C0&quot;/&gt;&lt;wsp:rsid wsp:val=&quot;0109515E&quot;/&gt;&lt;wsp:rsid wsp:val=&quot;0109689F&quot;/&gt;&lt;wsp:rsid wsp:val=&quot;01097DCB&quot;/&gt;&lt;wsp:rsid wsp:val=&quot;010A0977&quot;/&gt;&lt;wsp:rsid wsp:val=&quot;010A6538&quot;/&gt;&lt;wsp:rsid wsp:val=&quot;010B22B0&quot;/&gt;&lt;wsp:rsid wsp:val=&quot;010C0502&quot;/&gt;&lt;wsp:rsid wsp:val=&quot;010D4F6F&quot;/&gt;&lt;wsp:rsid wsp:val=&quot;010D7DD7&quot;/&gt;&lt;wsp:rsid wsp:val=&quot;010F15F0&quot;/&gt;&lt;wsp:rsid wsp:val=&quot;010F1DA1&quot;/&gt;&lt;wsp:rsid wsp:val=&quot;01101675&quot;/&gt;&lt;wsp:rsid wsp:val=&quot;011078C7&quot;/&gt;&lt;wsp:rsid wsp:val=&quot;01115B19&quot;/&gt;&lt;wsp:rsid wsp:val=&quot;0112004D&quot;/&gt;&lt;wsp:rsid wsp:val=&quot;0112363F&quot;/&gt;&lt;wsp:rsid wsp:val=&quot;01141165&quot;/&gt;&lt;wsp:rsid wsp:val=&quot;01142271&quot;/&gt;&lt;wsp:rsid wsp:val=&quot;01154EDD&quot;/&gt;&lt;wsp:rsid wsp:val=&quot;011562D2&quot;/&gt;&lt;wsp:rsid wsp:val=&quot;011570DC&quot;/&gt;&lt;wsp:rsid wsp:val=&quot;01161381&quot;/&gt;&lt;wsp:rsid wsp:val=&quot;0116312F&quot;/&gt;&lt;wsp:rsid wsp:val=&quot;011679E5&quot;/&gt;&lt;wsp:rsid wsp:val=&quot;01170C55&quot;/&gt;&lt;wsp:rsid wsp:val=&quot;01172333&quot;/&gt;&lt;wsp:rsid wsp:val=&quot;01192C1F&quot;/&gt;&lt;wsp:rsid wsp:val=&quot;0119334B&quot;/&gt;&lt;wsp:rsid wsp:val=&quot;01193755&quot;/&gt;&lt;wsp:rsid wsp:val=&quot;011A24F4&quot;/&gt;&lt;wsp:rsid wsp:val=&quot;011B57BD&quot;/&gt;&lt;wsp:rsid wsp:val=&quot;011B6516&quot;/&gt;&lt;wsp:rsid wsp:val=&quot;011D2710&quot;/&gt;&lt;wsp:rsid wsp:val=&quot;011E0004&quot;/&gt;&lt;wsp:rsid wsp:val=&quot;01203FAE&quot;/&gt;&lt;wsp:rsid wsp:val=&quot;01205D5C&quot;/&gt;&lt;wsp:rsid wsp:val=&quot;01207B0A&quot;/&gt;&lt;wsp:rsid wsp:val=&quot;01213882&quot;/&gt;&lt;wsp:rsid wsp:val=&quot;01264686&quot;/&gt;&lt;wsp:rsid wsp:val=&quot;01270291&quot;/&gt;&lt;wsp:rsid wsp:val=&quot;0127533C&quot;/&gt;&lt;wsp:rsid wsp:val=&quot;01287F18&quot;/&gt;&lt;wsp:rsid wsp:val=&quot;01290F7E&quot;/&gt;&lt;wsp:rsid wsp:val=&quot;012A4E2C&quot;/&gt;&lt;wsp:rsid wsp:val=&quot;012B64AF&quot;/&gt;&lt;wsp:rsid wsp:val=&quot;012C2953&quot;/&gt;&lt;wsp:rsid wsp:val=&quot;012D4559&quot;/&gt;&lt;wsp:rsid wsp:val=&quot;012D66CB&quot;/&gt;&lt;wsp:rsid wsp:val=&quot;012E74A2&quot;/&gt;&lt;wsp:rsid wsp:val=&quot;012F2443&quot;/&gt;&lt;wsp:rsid wsp:val=&quot;012F5F9F&quot;/&gt;&lt;wsp:rsid wsp:val=&quot;01323CE1&quot;/&gt;&lt;wsp:rsid wsp:val=&quot;013435B5&quot;/&gt;&lt;wsp:rsid wsp:val=&quot;013637D1&quot;/&gt;&lt;wsp:rsid wsp:val=&quot;013712F7&quot;/&gt;&lt;wsp:rsid wsp:val=&quot;0137560B&quot;/&gt;&lt;wsp:rsid wsp:val=&quot;01390BCC&quot;/&gt;&lt;wsp:rsid wsp:val=&quot;013B4530&quot;/&gt;&lt;wsp:rsid wsp:val=&quot;013D4B60&quot;/&gt;&lt;wsp:rsid wsp:val=&quot;013E61E2&quot;/&gt;&lt;wsp:rsid wsp:val=&quot;014001AC&quot;/&gt;&lt;wsp:rsid wsp:val=&quot;01402DC2&quot;/&gt;&lt;wsp:rsid wsp:val=&quot;01413E5F&quot;/&gt;&lt;wsp:rsid wsp:val=&quot;0141499A&quot;/&gt;&lt;wsp:rsid wsp:val=&quot;01415CD2&quot;/&gt;&lt;wsp:rsid wsp:val=&quot;01422DB3&quot;/&gt;&lt;wsp:rsid wsp:val=&quot;01437C9C&quot;/&gt;&lt;wsp:rsid wsp:val=&quot;01453A52&quot;/&gt;&lt;wsp:rsid wsp:val=&quot;014557C2&quot;/&gt;&lt;wsp:rsid wsp:val=&quot;01457570&quot;/&gt;&lt;wsp:rsid wsp:val=&quot;014632E9&quot;/&gt;&lt;wsp:rsid wsp:val=&quot;0147778C&quot;/&gt;&lt;wsp:rsid wsp:val=&quot;01487061&quot;/&gt;&lt;wsp:rsid wsp:val=&quot;014A2DD9&quot;/&gt;&lt;wsp:rsid wsp:val=&quot;014C0F72&quot;/&gt;&lt;wsp:rsid wsp:val=&quot;014C637D&quot;/&gt;&lt;wsp:rsid wsp:val=&quot;014D28C9&quot;/&gt;&lt;wsp:rsid wsp:val=&quot;014D4997&quot;/&gt;&lt;wsp:rsid wsp:val=&quot;014E2D2F&quot;/&gt;&lt;wsp:rsid wsp:val=&quot;014F219D&quot;/&gt;&lt;wsp:rsid wsp:val=&quot;014F6641&quot;/&gt;&lt;wsp:rsid wsp:val=&quot;01505F15&quot;/&gt;&lt;wsp:rsid wsp:val=&quot;015123B9&quot;/&gt;&lt;wsp:rsid wsp:val=&quot;01527EDF&quot;/&gt;&lt;wsp:rsid wsp:val=&quot;01541EA9&quot;/&gt;&lt;wsp:rsid wsp:val=&quot;01543C57&quot;/&gt;&lt;wsp:rsid wsp:val=&quot;0156177E&quot;/&gt;&lt;wsp:rsid wsp:val=&quot;01565C22&quot;/&gt;&lt;wsp:rsid wsp:val=&quot;015726F9&quot;/&gt;&lt;wsp:rsid wsp:val=&quot;015B6D94&quot;/&gt;&lt;wsp:rsid wsp:val=&quot;015C48BA&quot;/&gt;&lt;wsp:rsid wsp:val=&quot;015D1E09&quot;/&gt;&lt;wsp:rsid wsp:val=&quot;015E4AD6&quot;/&gt;&lt;wsp:rsid wsp:val=&quot;0160084E&quot;/&gt;&lt;wsp:rsid wsp:val=&quot;016073E8&quot;/&gt;&lt;wsp:rsid wsp:val=&quot;0161427F&quot;/&gt;&lt;wsp:rsid wsp:val=&quot;016245C6&quot;/&gt;&lt;wsp:rsid wsp:val=&quot;01633E9B&quot;/&gt;&lt;wsp:rsid wsp:val=&quot;016519C1&quot;/&gt;&lt;wsp:rsid wsp:val=&quot;0165325A&quot;/&gt;&lt;wsp:rsid wsp:val=&quot;01671BDD&quot;/&gt;&lt;wsp:rsid wsp:val=&quot;0167398B&quot;/&gt;&lt;wsp:rsid wsp:val=&quot;01675739&quot;/&gt;&lt;wsp:rsid wsp:val=&quot;016814B1&quot;/&gt;&lt;wsp:rsid wsp:val=&quot;016874B2&quot;/&gt;&lt;wsp:rsid wsp:val=&quot;016A5229&quot;/&gt;&lt;wsp:rsid wsp:val=&quot;016C055C&quot;/&gt;&lt;wsp:rsid wsp:val=&quot;016E2F6B&quot;/&gt;&lt;wsp:rsid wsp:val=&quot;016F0A91&quot;/&gt;&lt;wsp:rsid wsp:val=&quot;016F1C45&quot;/&gt;&lt;wsp:rsid wsp:val=&quot;016F283F&quot;/&gt;&lt;wsp:rsid wsp:val=&quot;0170236A&quot;/&gt;&lt;wsp:rsid wsp:val=&quot;017302B7&quot;/&gt;&lt;wsp:rsid wsp:val=&quot;01730582&quot;/&gt;&lt;wsp:rsid wsp:val=&quot;01731C66&quot;/&gt;&lt;wsp:rsid wsp:val=&quot;0173585E&quot;/&gt;&lt;wsp:rsid wsp:val=&quot;017460A8&quot;/&gt;&lt;wsp:rsid wsp:val=&quot;01747E56&quot;/&gt;&lt;wsp:rsid wsp:val=&quot;0175017E&quot;/&gt;&lt;wsp:rsid wsp:val=&quot;0179546C&quot;/&gt;&lt;wsp:rsid wsp:val=&quot;017B11E4&quot;/&gt;&lt;wsp:rsid wsp:val=&quot;017B2F92&quot;/&gt;&lt;wsp:rsid wsp:val=&quot;017B3FF0&quot;/&gt;&lt;wsp:rsid wsp:val=&quot;017D4F5C&quot;/&gt;&lt;wsp:rsid wsp:val=&quot;017E2A82&quot;/&gt;&lt;wsp:rsid wsp:val=&quot;017F5F3B&quot;/&gt;&lt;wsp:rsid wsp:val=&quot;01852063&quot;/&gt;&lt;wsp:rsid wsp:val=&quot;01854AA0&quot;/&gt;&lt;wsp:rsid wsp:val=&quot;01875164&quot;/&gt;&lt;wsp:rsid wsp:val=&quot;018A1427&quot;/&gt;&lt;wsp:rsid wsp:val=&quot;018A58CB&quot;/&gt;&lt;wsp:rsid wsp:val=&quot;018F04BB&quot;/&gt;&lt;wsp:rsid wsp:val=&quot;018F4C90&quot;/&gt;&lt;wsp:rsid wsp:val=&quot;01916C5A&quot;/&gt;&lt;wsp:rsid wsp:val=&quot;019276A6&quot;/&gt;&lt;wsp:rsid wsp:val=&quot;01930B36&quot;/&gt;&lt;wsp:rsid wsp:val=&quot;01944054&quot;/&gt;&lt;wsp:rsid wsp:val=&quot;01967DCC&quot;/&gt;&lt;wsp:rsid wsp:val=&quot;01981D96&quot;/&gt;&lt;wsp:rsid wsp:val=&quot;01995B0E&quot;/&gt;&lt;wsp:rsid wsp:val=&quot;019978BC&quot;/&gt;&lt;wsp:rsid wsp:val=&quot;019A20D0&quot;/&gt;&lt;wsp:rsid wsp:val=&quot;019E18C1&quot;/&gt;&lt;wsp:rsid wsp:val=&quot;019E3125&quot;/&gt;&lt;wsp:rsid wsp:val=&quot;01A06E9D&quot;/&gt;&lt;wsp:rsid wsp:val=&quot;01A253C9&quot;/&gt;&lt;wsp:rsid wsp:val=&quot;01A4698D&quot;/&gt;&lt;wsp:rsid wsp:val=&quot;01A52705&quot;/&gt;&lt;wsp:rsid wsp:val=&quot;01A544B3&quot;/&gt;&lt;wsp:rsid wsp:val=&quot;01A73D87&quot;/&gt;&lt;wsp:rsid wsp:val=&quot;01A7647D&quot;/&gt;&lt;wsp:rsid wsp:val=&quot;01A8508C&quot;/&gt;&lt;wsp:rsid wsp:val=&quot;01A85D51&quot;/&gt;&lt;wsp:rsid wsp:val=&quot;01A87AFF&quot;/&gt;&lt;wsp:rsid wsp:val=&quot;01A9592D&quot;/&gt;&lt;wsp:rsid wsp:val=&quot;01AA04FE&quot;/&gt;&lt;wsp:rsid wsp:val=&quot;01AA3877&quot;/&gt;&lt;wsp:rsid wsp:val=&quot;01AB7BDE&quot;/&gt;&lt;wsp:rsid wsp:val=&quot;01AC3A93&quot;/&gt;&lt;wsp:rsid wsp:val=&quot;01AC5842&quot;/&gt;&lt;wsp:rsid wsp:val=&quot;01AD5116&quot;/&gt;&lt;wsp:rsid wsp:val=&quot;01AE15BA&quot;/&gt;&lt;wsp:rsid wsp:val=&quot;01AE3368&quot;/&gt;&lt;wsp:rsid wsp:val=&quot;01B110AA&quot;/&gt;&lt;wsp:rsid wsp:val=&quot;01B14C06&quot;/&gt;&lt;wsp:rsid wsp:val=&quot;01B36BD0&quot;/&gt;&lt;wsp:rsid wsp:val=&quot;01B446F6&quot;/&gt;&lt;wsp:rsid wsp:val=&quot;01B53BF3&quot;/&gt;&lt;wsp:rsid wsp:val=&quot;01B6046E&quot;/&gt;&lt;wsp:rsid wsp:val=&quot;01B81547&quot;/&gt;&lt;wsp:rsid wsp:val=&quot;01B85F94&quot;/&gt;&lt;wsp:rsid wsp:val=&quot;01BA61B0&quot;/&gt;&lt;wsp:rsid wsp:val=&quot;01BB00AF&quot;/&gt;&lt;wsp:rsid wsp:val=&quot;01BD7A4F&quot;/&gt;&lt;wsp:rsid wsp:val=&quot;01BF5575&quot;/&gt;&lt;wsp:rsid wsp:val=&quot;01C0309B&quot;/&gt;&lt;wsp:rsid wsp:val=&quot;01C16785&quot;/&gt;&lt;wsp:rsid wsp:val=&quot;01C20BC1&quot;/&gt;&lt;wsp:rsid wsp:val=&quot;01C25065&quot;/&gt;&lt;wsp:rsid wsp:val=&quot;01C26E13&quot;/&gt;&lt;wsp:rsid wsp:val=&quot;01C42B8B&quot;/&gt;&lt;wsp:rsid wsp:val=&quot;01C563DE&quot;/&gt;&lt;wsp:rsid wsp:val=&quot;01C62732&quot;/&gt;&lt;wsp:rsid wsp:val=&quot;01C963F3&quot;/&gt;&lt;wsp:rsid wsp:val=&quot;01CB0F78&quot;/&gt;&lt;wsp:rsid wsp:val=&quot;01CC1A40&quot;/&gt;&lt;wsp:rsid wsp:val=&quot;01CD722E&quot;/&gt;&lt;wsp:rsid wsp:val=&quot;01CD7566&quot;/&gt;&lt;wsp:rsid wsp:val=&quot;01CE78F9&quot;/&gt;&lt;wsp:rsid wsp:val=&quot;01CF1530&quot;/&gt;&lt;wsp:rsid wsp:val=&quot;01CF32DE&quot;/&gt;&lt;wsp:rsid wsp:val=&quot;01CF7782&quot;/&gt;&lt;wsp:rsid wsp:val=&quot;01D13C8A&quot;/&gt;&lt;wsp:rsid wsp:val=&quot;01D31020&quot;/&gt;&lt;wsp:rsid wsp:val=&quot;01D37272&quot;/&gt;&lt;wsp:rsid wsp:val=&quot;01D408F4&quot;/&gt;&lt;wsp:rsid wsp:val=&quot;01D43F24&quot;/&gt;&lt;wsp:rsid wsp:val=&quot;01D46B46&quot;/&gt;&lt;wsp:rsid wsp:val=&quot;01D628BE&quot;/&gt;&lt;wsp:rsid wsp:val=&quot;01D8357C&quot;/&gt;&lt;wsp:rsid wsp:val=&quot;01D84888&quot;/&gt;&lt;wsp:rsid wsp:val=&quot;01D866AD&quot;/&gt;&lt;wsp:rsid wsp:val=&quot;01D95F0B&quot;/&gt;&lt;wsp:rsid wsp:val=&quot;01DA23AF&quot;/&gt;&lt;wsp:rsid wsp:val=&quot;01DA596D&quot;/&gt;&lt;wsp:rsid wsp:val=&quot;01DD59FB&quot;/&gt;&lt;wsp:rsid wsp:val=&quot;01DF79C5&quot;/&gt;&lt;wsp:rsid wsp:val=&quot;01E0373D&quot;/&gt;&lt;wsp:rsid wsp:val=&quot;01E0730D&quot;/&gt;&lt;wsp:rsid wsp:val=&quot;01E10B2C&quot;/&gt;&lt;wsp:rsid wsp:val=&quot;01E1319E&quot;/&gt;&lt;wsp:rsid wsp:val=&quot;01E44FDB&quot;/&gt;&lt;wsp:rsid wsp:val=&quot;01E50D53&quot;/&gt;&lt;wsp:rsid wsp:val=&quot;01E7687A&quot;/&gt;&lt;wsp:rsid wsp:val=&quot;01E925F2&quot;/&gt;&lt;wsp:rsid wsp:val=&quot;01EA0118&quot;/&gt;&lt;wsp:rsid wsp:val=&quot;01EC0334&quot;/&gt;&lt;wsp:rsid wsp:val=&quot;01F01BD2&quot;/&gt;&lt;wsp:rsid wsp:val=&quot;01F14123&quot;/&gt;&lt;wsp:rsid wsp:val=&quot;01F36FCC&quot;/&gt;&lt;wsp:rsid wsp:val=&quot;01F40F97&quot;/&gt;&lt;wsp:rsid wsp:val=&quot;01F42D45&quot;/&gt;&lt;wsp:rsid wsp:val=&quot;01F66ABD&quot;/&gt;&lt;wsp:rsid wsp:val=&quot;01F8223F&quot;/&gt;&lt;wsp:rsid wsp:val=&quot;01F86CD9&quot;/&gt;&lt;wsp:rsid wsp:val=&quot;01FB0577&quot;/&gt;&lt;wsp:rsid wsp:val=&quot;01FC7DA6&quot;/&gt;&lt;wsp:rsid wsp:val=&quot;01FD609D&quot;/&gt;&lt;wsp:rsid wsp:val=&quot;01FF1E15&quot;/&gt;&lt;wsp:rsid wsp:val=&quot;02002788&quot;/&gt;&lt;wsp:rsid wsp:val=&quot;020236B3&quot;/&gt;&lt;wsp:rsid wsp:val=&quot;0204742C&quot;/&gt;&lt;wsp:rsid wsp:val=&quot;020531A4&quot;/&gt;&lt;wsp:rsid wsp:val=&quot;02054F52&quot;/&gt;&lt;wsp:rsid wsp:val=&quot;02070CCA&quot;/&gt;&lt;wsp:rsid wsp:val=&quot;02076F1C&quot;/&gt;&lt;wsp:rsid wsp:val=&quot;020B07BA&quot;/&gt;&lt;wsp:rsid wsp:val=&quot;020C008E&quot;/&gt;&lt;wsp:rsid wsp:val=&quot;020C554D&quot;/&gt;&lt;wsp:rsid wsp:val=&quot;020C62E0&quot;/&gt;&lt;wsp:rsid wsp:val=&quot;020E3E06&quot;/&gt;&lt;wsp:rsid wsp:val=&quot;02104022&quot;/&gt;&lt;wsp:rsid wsp:val=&quot;02117D9A&quot;/&gt;&lt;wsp:rsid wsp:val=&quot;0213141D&quot;/&gt;&lt;wsp:rsid wsp:val=&quot;021358C1&quot;/&gt;&lt;wsp:rsid wsp:val=&quot;02160F0D&quot;/&gt;&lt;wsp:rsid wsp:val=&quot;021653B1&quot;/&gt;&lt;wsp:rsid wsp:val=&quot;02186A33&quot;/&gt;&lt;wsp:rsid wsp:val=&quot;021872CE&quot;/&gt;&lt;wsp:rsid wsp:val=&quot;021D04ED&quot;/&gt;&lt;wsp:rsid wsp:val=&quot;021D673F&quot;/&gt;&lt;wsp:rsid wsp:val=&quot;021F4265&quot;/&gt;&lt;wsp:rsid wsp:val=&quot;02203B3A&quot;/&gt;&lt;wsp:rsid wsp:val=&quot;02205A33&quot;/&gt;&lt;wsp:rsid wsp:val=&quot;02223D56&quot;/&gt;&lt;wsp:rsid wsp:val=&quot;022415AB&quot;/&gt;&lt;wsp:rsid wsp:val=&quot;0224187C&quot;/&gt;&lt;wsp:rsid wsp:val=&quot;02290C40&quot;/&gt;&lt;wsp:rsid wsp:val=&quot;02292750&quot;/&gt;&lt;wsp:rsid wsp:val=&quot;022C0730&quot;/&gt;&lt;wsp:rsid wsp:val=&quot;022C5D05&quot;/&gt;&lt;wsp:rsid wsp:val=&quot;022D740A&quot;/&gt;&lt;wsp:rsid wsp:val=&quot;022E26FA&quot;/&gt;&lt;wsp:rsid wsp:val=&quot;02301FCF&quot;/&gt;&lt;wsp:rsid wsp:val=&quot;02322A46&quot;/&gt;&lt;wsp:rsid wsp:val=&quot;02337D11&quot;/&gt;&lt;wsp:rsid wsp:val=&quot;02345366&quot;/&gt;&lt;wsp:rsid wsp:val=&quot;02365B70&quot;/&gt;&lt;wsp:rsid wsp:val=&quot;02376C53&quot;/&gt;&lt;wsp:rsid wsp:val=&quot;02377801&quot;/&gt;&lt;wsp:rsid wsp:val=&quot;023868B8&quot;/&gt;&lt;wsp:rsid wsp:val=&quot;02397D48&quot;/&gt;&lt;wsp:rsid wsp:val=&quot;023B0973&quot;/&gt;&lt;wsp:rsid wsp:val=&quot;023D293E&quot;/&gt;&lt;wsp:rsid wsp:val=&quot;0240504A&quot;/&gt;&lt;wsp:rsid wsp:val=&quot;02405F8A&quot;/&gt;&lt;wsp:rsid wsp:val=&quot;024164DA&quot;/&gt;&lt;wsp:rsid wsp:val=&quot;02457A2C&quot;/&gt;&lt;wsp:rsid wsp:val=&quot;024617F2&quot;/&gt;&lt;wsp:rsid wsp:val=&quot;024737BC&quot;/&gt;&lt;wsp:rsid wsp:val=&quot;0247556A&quot;/&gt;&lt;wsp:rsid wsp:val=&quot;02477318&quot;/&gt;&lt;wsp:rsid wsp:val=&quot;02493090&quot;/&gt;&lt;wsp:rsid wsp:val=&quot;02497D5F&quot;/&gt;&lt;wsp:rsid wsp:val=&quot;024A6C81&quot;/&gt;&lt;wsp:rsid wsp:val=&quot;024C492F&quot;/&gt;&lt;wsp:rsid wsp:val=&quot;024D4EDE&quot;/&gt;&lt;wsp:rsid wsp:val=&quot;024D764E&quot;/&gt;&lt;wsp:rsid wsp:val=&quot;02527FB8&quot;/&gt;&lt;wsp:rsid wsp:val=&quot;02557C87&quot;/&gt;&lt;wsp:rsid wsp:val=&quot;025657AD&quot;/&gt;&lt;wsp:rsid wsp:val=&quot;02570700&quot;/&gt;&lt;wsp:rsid wsp:val=&quot;02572162&quot;/&gt;&lt;wsp:rsid wsp:val=&quot;025C7268&quot;/&gt;&lt;wsp:rsid wsp:val=&quot;025D08EA&quot;/&gt;&lt;wsp:rsid wsp:val=&quot;025F0B06&quot;/&gt;&lt;wsp:rsid wsp:val=&quot;025F4662&quot;/&gt;&lt;wsp:rsid wsp:val=&quot;02624152&quot;/&gt;&lt;wsp:rsid wsp:val=&quot;026305F6&quot;/&gt;&lt;wsp:rsid wsp:val=&quot;02647ECA&quot;/&gt;&lt;wsp:rsid wsp:val=&quot;02651518&quot;/&gt;&lt;wsp:rsid wsp:val=&quot;02671768&quot;/&gt;&lt;wsp:rsid wsp:val=&quot;02681684&quot;/&gt;&lt;wsp:rsid wsp:val=&quot;02693733&quot;/&gt;&lt;wsp:rsid wsp:val=&quot;02697903&quot;/&gt;&lt;wsp:rsid wsp:val=&quot;026A6B75&quot;/&gt;&lt;wsp:rsid wsp:val=&quot;026B74AB&quot;/&gt;&lt;wsp:rsid wsp:val=&quot;026E6F9B&quot;/&gt;&lt;wsp:rsid wsp:val=&quot;0270061D&quot;/&gt;&lt;wsp:rsid wsp:val=&quot;027125E7&quot;/&gt;&lt;wsp:rsid wsp:val=&quot;02714395&quot;/&gt;&lt;wsp:rsid wsp:val=&quot;02720839&quot;/&gt;&lt;wsp:rsid wsp:val=&quot;02746F16&quot;/&gt;&lt;wsp:rsid wsp:val=&quot;02750329&quot;/&gt;&lt;wsp:rsid wsp:val=&quot;027520D7&quot;/&gt;&lt;wsp:rsid wsp:val=&quot;0275544D&quot;/&gt;&lt;wsp:rsid wsp:val=&quot;02785724&quot;/&gt;&lt;wsp:rsid wsp:val=&quot;027A76EE&quot;/&gt;&lt;wsp:rsid wsp:val=&quot;027B5D8E&quot;/&gt;&lt;wsp:rsid wsp:val=&quot;027D0F8C&quot;/&gt;&lt;wsp:rsid wsp:val=&quot;027D71DE&quot;/&gt;&lt;wsp:rsid wsp:val=&quot;0281282A&quot;/&gt;&lt;wsp:rsid wsp:val=&quot;02820350&quot;/&gt;&lt;wsp:rsid wsp:val=&quot;02832A46&quot;/&gt;&lt;wsp:rsid wsp:val=&quot;0284056C&quot;/&gt;&lt;wsp:rsid wsp:val=&quot;028422ED&quot;/&gt;&lt;wsp:rsid wsp:val=&quot;02854EBE&quot;/&gt;&lt;wsp:rsid wsp:val=&quot;028714FA&quot;/&gt;&lt;wsp:rsid wsp:val=&quot;0287551F&quot;/&gt;&lt;wsp:rsid wsp:val=&quot;02881420&quot;/&gt;&lt;wsp:rsid wsp:val=&quot;02881E0B&quot;/&gt;&lt;wsp:rsid wsp:val=&quot;0288383F&quot;/&gt;&lt;wsp:rsid wsp:val=&quot;02883974&quot;/&gt;&lt;wsp:rsid wsp:val=&quot;028B36A9&quot;/&gt;&lt;wsp:rsid wsp:val=&quot;028C11CF&quot;/&gt;&lt;wsp:rsid wsp:val=&quot;028C3EBB&quot;/&gt;&lt;wsp:rsid wsp:val=&quot;028C4D7E&quot;/&gt;&lt;wsp:rsid wsp:val=&quot;028D5673&quot;/&gt;&lt;wsp:rsid wsp:val=&quot;028E4F47&quot;/&gt;&lt;wsp:rsid wsp:val=&quot;028F3AEF&quot;/&gt;&lt;wsp:rsid wsp:val=&quot;02906F11&quot;/&gt;&lt;wsp:rsid wsp:val=&quot;029201DD&quot;/&gt;&lt;wsp:rsid wsp:val=&quot;02954528&quot;/&gt;&lt;wsp:rsid wsp:val=&quot;02961A83&quot;/&gt;&lt;wsp:rsid wsp:val=&quot;02964D69&quot;/&gt;&lt;wsp:rsid wsp:val=&quot;0297204E&quot;/&gt;&lt;wsp:rsid wsp:val=&quot;029772D3&quot;/&gt;&lt;wsp:rsid wsp:val=&quot;02987B74&quot;/&gt;&lt;wsp:rsid wsp:val=&quot;02994018&quot;/&gt;&lt;wsp:rsid wsp:val=&quot;029A38EC&quot;/&gt;&lt;wsp:rsid wsp:val=&quot;029C1412&quot;/&gt;&lt;wsp:rsid wsp:val=&quot;029C7664&quot;/&gt;&lt;wsp:rsid wsp:val=&quot;029D518A&quot;/&gt;&lt;wsp:rsid wsp:val=&quot;029F1DE1&quot;/&gt;&lt;wsp:rsid wsp:val=&quot;02A12ECC&quot;/&gt;&lt;wsp:rsid wsp:val=&quot;02A14C7A&quot;/&gt;&lt;wsp:rsid wsp:val=&quot;02A227A1&quot;/&gt;&lt;wsp:rsid wsp:val=&quot;02A357AF&quot;/&gt;&lt;wsp:rsid wsp:val=&quot;02A4476B&quot;/&gt;&lt;wsp:rsid wsp:val=&quot;02A47E10&quot;/&gt;&lt;wsp:rsid wsp:val=&quot;02A604E3&quot;/&gt;&lt;wsp:rsid wsp:val=&quot;02A75687&quot;/&gt;&lt;wsp:rsid wsp:val=&quot;02A8425B&quot;/&gt;&lt;wsp:rsid wsp:val=&quot;02A97830&quot;/&gt;&lt;wsp:rsid wsp:val=&quot;02AB16C1&quot;/&gt;&lt;wsp:rsid wsp:val=&quot;02AC5426&quot;/&gt;&lt;wsp:rsid wsp:val=&quot;02AD1871&quot;/&gt;&lt;wsp:rsid wsp:val=&quot;02AF363D&quot;/&gt;&lt;wsp:rsid wsp:val=&quot;02B01361&quot;/&gt;&lt;wsp:rsid wsp:val=&quot;02B052A9&quot;/&gt;&lt;wsp:rsid wsp:val=&quot;02B07E7A&quot;/&gt;&lt;wsp:rsid wsp:val=&quot;02B20C36&quot;/&gt;&lt;wsp:rsid wsp:val=&quot;02B2285A&quot;/&gt;&lt;wsp:rsid wsp:val=&quot;02B250DA&quot;/&gt;&lt;wsp:rsid wsp:val=&quot;02B40466&quot;/&gt;&lt;wsp:rsid wsp:val=&quot;02B50726&quot;/&gt;&lt;wsp:rsid wsp:val=&quot;02B726F0&quot;/&gt;&lt;wsp:rsid wsp:val=&quot;02B96468&quot;/&gt;&lt;wsp:rsid wsp:val=&quot;02BC4B03&quot;/&gt;&lt;wsp:rsid wsp:val=&quot;02BC6564&quot;/&gt;&lt;wsp:rsid wsp:val=&quot;02BC7D06&quot;/&gt;&lt;wsp:rsid wsp:val=&quot;02BE582C&quot;/&gt;&lt;wsp:rsid wsp:val=&quot;02BF77F6&quot;/&gt;&lt;wsp:rsid wsp:val=&quot;02C10E79&quot;/&gt;&lt;wsp:rsid wsp:val=&quot;02C55120&quot;/&gt;&lt;wsp:rsid wsp:val=&quot;02C646E1&quot;/&gt;&lt;wsp:rsid wsp:val=&quot;02C941D1&quot;/&gt;&lt;wsp:rsid wsp:val=&quot;02C95F7F&quot;/&gt;&lt;wsp:rsid wsp:val=&quot;02CB1CF7&quot;/&gt;&lt;wsp:rsid wsp:val=&quot;02CB7F49&quot;/&gt;&lt;wsp:rsid wsp:val=&quot;02CD5A6F&quot;/&gt;&lt;wsp:rsid wsp:val=&quot;02D037B2&quot;/&gt;&lt;wsp:rsid wsp:val=&quot;02D50DC8&quot;/&gt;&lt;wsp:rsid wsp:val=&quot;02D52B76&quot;/&gt;&lt;wsp:rsid wsp:val=&quot;02D54924&quot;/&gt;&lt;wsp:rsid wsp:val=&quot;02D71101&quot;/&gt;&lt;wsp:rsid wsp:val=&quot;02D74B40&quot;/&gt;&lt;wsp:rsid wsp:val=&quot;02D84414&quot;/&gt;&lt;wsp:rsid wsp:val=&quot;02DA018C&quot;/&gt;&lt;wsp:rsid wsp:val=&quot;02DA1F3A&quot;/&gt;&lt;wsp:rsid wsp:val=&quot;02DC3F04&quot;/&gt;&lt;wsp:rsid wsp:val=&quot;02DC5CB3&quot;/&gt;&lt;wsp:rsid wsp:val=&quot;02DE5ECF&quot;/&gt;&lt;wsp:rsid wsp:val=&quot;02DE6EAF&quot;/&gt;&lt;wsp:rsid wsp:val=&quot;02DE7C7D&quot;/&gt;&lt;wsp:rsid wsp:val=&quot;02E1151B&quot;/&gt;&lt;wsp:rsid wsp:val=&quot;02E334E5&quot;/&gt;&lt;wsp:rsid wsp:val=&quot;02E35293&quot;/&gt;&lt;wsp:rsid wsp:val=&quot;02E41BD9&quot;/&gt;&lt;wsp:rsid wsp:val=&quot;02E5725D&quot;/&gt;&lt;wsp:rsid wsp:val=&quot;02E64D83&quot;/&gt;&lt;wsp:rsid wsp:val=&quot;02E84657&quot;/&gt;&lt;wsp:rsid wsp:val=&quot;02ED6E19&quot;/&gt;&lt;wsp:rsid wsp:val=&quot;02ED7EC0&quot;/&gt;&lt;wsp:rsid wsp:val=&quot;02EE67F5&quot;/&gt;&lt;wsp:rsid wsp:val=&quot;02EF12AC&quot;/&gt;&lt;wsp:rsid wsp:val=&quot;02EF3E7D&quot;/&gt;&lt;wsp:rsid wsp:val=&quot;02F05C02&quot;/&gt;&lt;wsp:rsid wsp:val=&quot;02F079B0&quot;/&gt;&lt;wsp:rsid wsp:val=&quot;02F32FFC&quot;/&gt;&lt;wsp:rsid wsp:val=&quot;02F474A0&quot;/&gt;&lt;wsp:rsid wsp:val=&quot;02F500EE&quot;/&gt;&lt;wsp:rsid wsp:val=&quot;02F54FC6&quot;/&gt;&lt;wsp:rsid wsp:val=&quot;02F70D3E&quot;/&gt;&lt;wsp:rsid wsp:val=&quot;02F76F90&quot;/&gt;&lt;wsp:rsid wsp:val=&quot;02F92D08&quot;/&gt;&lt;wsp:rsid wsp:val=&quot;02F94AB6&quot;/&gt;&lt;wsp:rsid wsp:val=&quot;02F96569&quot;/&gt;&lt;wsp:rsid wsp:val=&quot;02FA25DD&quot;/&gt;&lt;wsp:rsid wsp:val=&quot;02FC0103&quot;/&gt;&lt;wsp:rsid wsp:val=&quot;02FF2231&quot;/&gt;&lt;wsp:rsid wsp:val=&quot;03062D2F&quot;/&gt;&lt;wsp:rsid wsp:val=&quot;030A0A72&quot;/&gt;&lt;wsp:rsid wsp:val=&quot;030A1E29&quot;/&gt;&lt;wsp:rsid wsp:val=&quot;030B2A3C&quot;/&gt;&lt;wsp:rsid wsp:val=&quot;030E0896&quot;/&gt;&lt;wsp:rsid wsp:val=&quot;030E5A07&quot;/&gt;&lt;wsp:rsid wsp:val=&quot;03101E00&quot;/&gt;&lt;wsp:rsid wsp:val=&quot;03103BAE&quot;/&gt;&lt;wsp:rsid wsp:val=&quot;03125B78&quot;/&gt;&lt;wsp:rsid wsp:val=&quot;031511C4&quot;/&gt;&lt;wsp:rsid wsp:val=&quot;03165668&quot;/&gt;&lt;wsp:rsid wsp:val=&quot;03192A63&quot;/&gt;&lt;wsp:rsid wsp:val=&quot;03195159&quot;/&gt;&lt;wsp:rsid wsp:val=&quot;03196F07&quot;/&gt;&lt;wsp:rsid wsp:val=&quot;031A67DB&quot;/&gt;&lt;wsp:rsid wsp:val=&quot;031B2C7F&quot;/&gt;&lt;wsp:rsid wsp:val=&quot;031D1CF9&quot;/&gt;&lt;wsp:rsid wsp:val=&quot;031E276F&quot;/&gt;&lt;wsp:rsid wsp:val=&quot;03200295&quot;/&gt;&lt;wsp:rsid wsp:val=&quot;03231B33&quot;/&gt;&lt;wsp:rsid wsp:val=&quot;032338E1&quot;/&gt;&lt;wsp:rsid wsp:val=&quot;03242405&quot;/&gt;&lt;wsp:rsid wsp:val=&quot;032558AB&quot;/&gt;&lt;wsp:rsid wsp:val=&quot;03274B78&quot;/&gt;&lt;wsp:rsid wsp:val=&quot;03280EF8&quot;/&gt;&lt;wsp:rsid wsp:val=&quot;0328400E&quot;/&gt;&lt;wsp:rsid wsp:val=&quot;032869F6&quot;/&gt;&lt;wsp:rsid wsp:val=&quot;032A1114&quot;/&gt;&lt;wsp:rsid wsp:val=&quot;032A2EC2&quot;/&gt;&lt;wsp:rsid wsp:val=&quot;032B6C3A&quot;/&gt;&lt;wsp:rsid wsp:val=&quot;032D4760&quot;/&gt;&lt;wsp:rsid wsp:val=&quot;032D650E&quot;/&gt;&lt;wsp:rsid wsp:val=&quot;032D7ACD&quot;/&gt;&lt;wsp:rsid wsp:val=&quot;03304250&quot;/&gt;&lt;wsp:rsid wsp:val=&quot;03305FFE&quot;/&gt;&lt;wsp:rsid wsp:val=&quot;03307091&quot;/&gt;&lt;wsp:rsid wsp:val=&quot;03311865&quot;/&gt;&lt;wsp:rsid wsp:val=&quot;033124A2&quot;/&gt;&lt;wsp:rsid wsp:val=&quot;03323B24&quot;/&gt;&lt;wsp:rsid wsp:val=&quot;03327FC8&quot;/&gt;&lt;wsp:rsid wsp:val=&quot;03337221&quot;/&gt;&lt;wsp:rsid wsp:val=&quot;0334789D&quot;/&gt;&lt;wsp:rsid wsp:val=&quot;033B50CF&quot;/&gt;&lt;wsp:rsid wsp:val=&quot;033C0D43&quot;/&gt;&lt;wsp:rsid wsp:val=&quot;033D00D6&quot;/&gt;&lt;wsp:rsid wsp:val=&quot;03402295&quot;/&gt;&lt;wsp:rsid wsp:val=&quot;034026E5&quot;/&gt;&lt;wsp:rsid wsp:val=&quot;03411FB9&quot;/&gt;&lt;wsp:rsid wsp:val=&quot;034128F9&quot;/&gt;&lt;wsp:rsid wsp:val=&quot;03413725&quot;/&gt;&lt;wsp:rsid wsp:val=&quot;0342096A&quot;/&gt;&lt;wsp:rsid wsp:val=&quot;03454CDB&quot;/&gt;&lt;wsp:rsid wsp:val=&quot;03463A74&quot;/&gt;&lt;wsp:rsid wsp:val=&quot;034675D0&quot;/&gt;&lt;wsp:rsid wsp:val=&quot;03475B40&quot;/&gt;&lt;wsp:rsid wsp:val=&quot;03480A27&quot;/&gt;&lt;wsp:rsid wsp:val=&quot;0348159A&quot;/&gt;&lt;wsp:rsid wsp:val=&quot;034877EC&quot;/&gt;&lt;wsp:rsid wsp:val=&quot;0349016D&quot;/&gt;&lt;wsp:rsid wsp:val=&quot;034A18C4&quot;/&gt;&lt;wsp:rsid wsp:val=&quot;034A3564&quot;/&gt;&lt;wsp:rsid wsp:val=&quot;034A5312&quot;/&gt;&lt;wsp:rsid wsp:val=&quot;034B4BE6&quot;/&gt;&lt;wsp:rsid wsp:val=&quot;034C108A&quot;/&gt;&lt;wsp:rsid wsp:val=&quot;035241C7&quot;/&gt;&lt;wsp:rsid wsp:val=&quot;03561F09&quot;/&gt;&lt;wsp:rsid wsp:val=&quot;03563CB7&quot;/&gt;&lt;wsp:rsid wsp:val=&quot;035919AC&quot;/&gt;&lt;wsp:rsid wsp:val=&quot;0359239C&quot;/&gt;&lt;wsp:rsid wsp:val=&quot;035A60F3&quot;/&gt;&lt;wsp:rsid wsp:val=&quot;035B4B68&quot;/&gt;&lt;wsp:rsid wsp:val=&quot;035B751F&quot;/&gt;&lt;wsp:rsid wsp:val=&quot;035C5045&quot;/&gt;&lt;wsp:rsid wsp:val=&quot;035C6DF3&quot;/&gt;&lt;wsp:rsid wsp:val=&quot;035E700F&quot;/&gt;&lt;wsp:rsid wsp:val=&quot;03604B36&quot;/&gt;&lt;wsp:rsid wsp:val=&quot;03633EEE&quot;/&gt;&lt;wsp:rsid wsp:val=&quot;036363D4&quot;/&gt;&lt;wsp:rsid wsp:val=&quot;03653EFA&quot;/&gt;&lt;wsp:rsid wsp:val=&quot;03664663&quot;/&gt;&lt;wsp:rsid wsp:val=&quot;036A1510&quot;/&gt;&lt;wsp:rsid wsp:val=&quot;036A7762&quot;/&gt;&lt;wsp:rsid wsp:val=&quot;036C66E1&quot;/&gt;&lt;wsp:rsid wsp:val=&quot;036D2C68&quot;/&gt;&lt;wsp:rsid wsp:val=&quot;036D7252&quot;/&gt;&lt;wsp:rsid wsp:val=&quot;03716D43&quot;/&gt;&lt;wsp:rsid wsp:val=&quot;03726617&quot;/&gt;&lt;wsp:rsid wsp:val=&quot;03726C53&quot;/&gt;&lt;wsp:rsid wsp:val=&quot;03744E73&quot;/&gt;&lt;wsp:rsid wsp:val=&quot;03764359&quot;/&gt;&lt;wsp:rsid wsp:val=&quot;03767EB5&quot;/&gt;&lt;wsp:rsid wsp:val=&quot;03771E7F&quot;/&gt;&lt;wsp:rsid wsp:val=&quot;03773C2D&quot;/&gt;&lt;wsp:rsid wsp:val=&quot;037759DB&quot;/&gt;&lt;wsp:rsid wsp:val=&quot;03777697&quot;/&gt;&lt;wsp:rsid wsp:val=&quot;03795BF7&quot;/&gt;&lt;wsp:rsid wsp:val=&quot;037B371D&quot;/&gt;&lt;wsp:rsid wsp:val=&quot;037E1AD1&quot;/&gt;&lt;wsp:rsid wsp:val=&quot;037F41D8&quot;/&gt;&lt;wsp:rsid wsp:val=&quot;03806094&quot;/&gt;&lt;wsp:rsid wsp:val=&quot;03815ED1&quot;/&gt;&lt;wsp:rsid wsp:val=&quot;0381685A&quot;/&gt;&lt;wsp:rsid wsp:val=&quot;03824AAC&quot;/&gt;&lt;wsp:rsid wsp:val=&quot;03830824&quot;/&gt;&lt;wsp:rsid wsp:val=&quot;03836A76&quot;/&gt;&lt;wsp:rsid wsp:val=&quot;03860CAF&quot;/&gt;&lt;wsp:rsid wsp:val=&quot;03863E70&quot;/&gt;&lt;wsp:rsid wsp:val=&quot;03870314&quot;/&gt;&lt;wsp:rsid wsp:val=&quot;03887307&quot;/&gt;&lt;wsp:rsid wsp:val=&quot;03896FE7&quot;/&gt;&lt;wsp:rsid wsp:val=&quot;038D1478&quot;/&gt;&lt;wsp:rsid wsp:val=&quot;038D16A3&quot;/&gt;&lt;wsp:rsid wsp:val=&quot;038D3451&quot;/&gt;&lt;wsp:rsid wsp:val=&quot;038F265D&quot;/&gt;&lt;wsp:rsid wsp:val=&quot;03912F41&quot;/&gt;&lt;wsp:rsid wsp:val=&quot;03920A67&quot;/&gt;&lt;wsp:rsid wsp:val=&quot;03920A7C&quot;/&gt;&lt;wsp:rsid wsp:val=&quot;0394702E&quot;/&gt;&lt;wsp:rsid wsp:val=&quot;0397607D&quot;/&gt;&lt;wsp:rsid wsp:val=&quot;039842CF&quot;/&gt;&lt;wsp:rsid wsp:val=&quot;039A7DB6&quot;/&gt;&lt;wsp:rsid wsp:val=&quot;039B0BCA&quot;/&gt;&lt;wsp:rsid wsp:val=&quot;039B3DC0&quot;/&gt;&lt;wsp:rsid wsp:val=&quot;039C57C0&quot;/&gt;&lt;wsp:rsid wsp:val=&quot;039E565E&quot;/&gt;&lt;wsp:rsid wsp:val=&quot;039F4B0C&quot;/&gt;&lt;wsp:rsid wsp:val=&quot;03A013D6&quot;/&gt;&lt;wsp:rsid wsp:val=&quot;03A038B1&quot;/&gt;&lt;wsp:rsid wsp:val=&quot;03A223FB&quot;/&gt;&lt;wsp:rsid wsp:val=&quot;03A2514E&quot;/&gt;&lt;wsp:rsid wsp:val=&quot;03A32C74&quot;/&gt;&lt;wsp:rsid wsp:val=&quot;03A367D0&quot;/&gt;&lt;wsp:rsid wsp:val=&quot;03A52548&quot;/&gt;&lt;wsp:rsid wsp:val=&quot;03A56CF2&quot;/&gt;&lt;wsp:rsid wsp:val=&quot;03A64B7B&quot;/&gt;&lt;wsp:rsid wsp:val=&quot;03A66872&quot;/&gt;&lt;wsp:rsid wsp:val=&quot;03A72764&quot;/&gt;&lt;wsp:rsid wsp:val=&quot;03A74512&quot;/&gt;&lt;wsp:rsid wsp:val=&quot;03A964DC&quot;/&gt;&lt;wsp:rsid wsp:val=&quot;03AA5DB1&quot;/&gt;&lt;wsp:rsid wsp:val=&quot;03AC1B29&quot;/&gt;&lt;wsp:rsid wsp:val=&quot;03AE3AF3&quot;/&gt;&lt;wsp:rsid wsp:val=&quot;03B00259&quot;/&gt;&lt;wsp:rsid wsp:val=&quot;03B10EED&quot;/&gt;&lt;wsp:rsid wsp:val=&quot;03B24C65&quot;/&gt;&lt;wsp:rsid wsp:val=&quot;03B60333&quot;/&gt;&lt;wsp:rsid wsp:val=&quot;03B629A7&quot;/&gt;&lt;wsp:rsid wsp:val=&quot;03B92498&quot;/&gt;&lt;wsp:rsid wsp:val=&quot;03B946F4&quot;/&gt;&lt;wsp:rsid wsp:val=&quot;03BB7FBE&quot;/&gt;&lt;wsp:rsid wsp:val=&quot;03BC7892&quot;/&gt;&lt;wsp:rsid wsp:val=&quot;03BD5AE4&quot;/&gt;&lt;wsp:rsid wsp:val=&quot;03BD623A&quot;/&gt;&lt;wsp:rsid wsp:val=&quot;03BE185C&quot;/&gt;&lt;wsp:rsid wsp:val=&quot;03BE360A&quot;/&gt;&lt;wsp:rsid wsp:val=&quot;03BE7AAE&quot;/&gt;&lt;wsp:rsid wsp:val=&quot;03C2134C&quot;/&gt;&lt;wsp:rsid wsp:val=&quot;03C350C4&quot;/&gt;&lt;wsp:rsid wsp:val=&quot;03C52BEB&quot;/&gt;&lt;wsp:rsid wsp:val=&quot;03C74BB5&quot;/&gt;&lt;wsp:rsid wsp:val=&quot;03C84489&quot;/&gt;&lt;wsp:rsid wsp:val=&quot;03C926DB&quot;/&gt;&lt;wsp:rsid wsp:val=&quot;03CA0201&quot;/&gt;&lt;wsp:rsid wsp:val=&quot;03CA6453&quot;/&gt;&lt;wsp:rsid wsp:val=&quot;03CC5D27&quot;/&gt;&lt;wsp:rsid wsp:val=&quot;03CD1A9F&quot;/&gt;&lt;wsp:rsid wsp:val=&quot;03CD57E0&quot;/&gt;&lt;wsp:rsid wsp:val=&quot;03CE5A7E&quot;/&gt;&lt;wsp:rsid wsp:val=&quot;03CF5817&quot;/&gt;&lt;wsp:rsid wsp:val=&quot;03D1333D&quot;/&gt;&lt;wsp:rsid wsp:val=&quot;03D26A21&quot;/&gt;&lt;wsp:rsid wsp:val=&quot;03D270B5&quot;/&gt;&lt;wsp:rsid wsp:val=&quot;03D41080&quot;/&gt;&lt;wsp:rsid wsp:val=&quot;03D66BA6&quot;/&gt;&lt;wsp:rsid wsp:val=&quot;03D8291E&quot;/&gt;&lt;wsp:rsid wsp:val=&quot;03D90444&quot;/&gt;&lt;wsp:rsid wsp:val=&quot;03DB240E&quot;/&gt;&lt;wsp:rsid wsp:val=&quot;03DE5A5A&quot;/&gt;&lt;wsp:rsid wsp:val=&quot;03DF158C&quot;/&gt;&lt;wsp:rsid wsp:val=&quot;03E11322&quot;/&gt;&lt;wsp:rsid wsp:val=&quot;03E270E6&quot;/&gt;&lt;wsp:rsid wsp:val=&quot;03E272F9&quot;/&gt;&lt;wsp:rsid wsp:val=&quot;03E33071&quot;/&gt;&lt;wsp:rsid wsp:val=&quot;03E47515&quot;/&gt;&lt;wsp:rsid wsp:val=&quot;03E5328D&quot;/&gt;&lt;wsp:rsid wsp:val=&quot;03E868D9&quot;/&gt;&lt;wsp:rsid wsp:val=&quot;03E94B2B&quot;/&gt;&lt;wsp:rsid wsp:val=&quot;03EA2651&quot;/&gt;&lt;wsp:rsid wsp:val=&quot;03EA7B21&quot;/&gt;&lt;wsp:rsid wsp:val=&quot;03EB521C&quot;/&gt;&lt;wsp:rsid wsp:val=&quot;03EC461B&quot;/&gt;&lt;wsp:rsid wsp:val=&quot;03EE2141&quot;/&gt;&lt;wsp:rsid wsp:val=&quot;03EF5EB9&quot;/&gt;&lt;wsp:rsid wsp:val=&quot;03EF7C67&quot;/&gt;&lt;wsp:rsid wsp:val=&quot;03F10E17&quot;/&gt;&lt;wsp:rsid wsp:val=&quot;03F112DB&quot;/&gt;&lt;wsp:rsid wsp:val=&quot;03F222A7&quot;/&gt;&lt;wsp:rsid wsp:val=&quot;03F359AA&quot;/&gt;&lt;wsp:rsid wsp:val=&quot;03F40ED9&quot;/&gt;&lt;wsp:rsid wsp:val=&quot;03F60FF6&quot;/&gt;&lt;wsp:rsid wsp:val=&quot;03F82FC0&quot;/&gt;&lt;wsp:rsid wsp:val=&quot;03F86B1C&quot;/&gt;&lt;wsp:rsid wsp:val=&quot;03FC7842&quot;/&gt;&lt;wsp:rsid wsp:val=&quot;03FF3CD8&quot;/&gt;&lt;wsp:rsid wsp:val=&quot;040000C7&quot;/&gt;&lt;wsp:rsid wsp:val=&quot;04001E75&quot;/&gt;&lt;wsp:rsid wsp:val=&quot;040451F1&quot;/&gt;&lt;wsp:rsid wsp:val=&quot;04047518&quot;/&gt;&lt;wsp:rsid wsp:val=&quot;04051239&quot;/&gt;&lt;wsp:rsid wsp:val=&quot;040532EE&quot;/&gt;&lt;wsp:rsid wsp:val=&quot;040556DD&quot;/&gt;&lt;wsp:rsid wsp:val=&quot;040700BF&quot;/&gt;&lt;wsp:rsid wsp:val=&quot;04073203&quot;/&gt;&lt;wsp:rsid wsp:val=&quot;04074FB1&quot;/&gt;&lt;wsp:rsid wsp:val=&quot;04082329&quot;/&gt;&lt;wsp:rsid wsp:val=&quot;04082AD7&quot;/&gt;&lt;wsp:rsid wsp:val=&quot;04096F7B&quot;/&gt;&lt;wsp:rsid wsp:val=&quot;040A4AA1&quot;/&gt;&lt;wsp:rsid wsp:val=&quot;040A684F&quot;/&gt;&lt;wsp:rsid wsp:val=&quot;040A7970&quot;/&gt;&lt;wsp:rsid wsp:val=&quot;040C49EA&quot;/&gt;&lt;wsp:rsid wsp:val=&quot;040C6A6B&quot;/&gt;&lt;wsp:rsid wsp:val=&quot;040D00EE&quot;/&gt;&lt;wsp:rsid wsp:val=&quot;040D4E97&quot;/&gt;&lt;wsp:rsid wsp:val=&quot;040E2F10&quot;/&gt;&lt;wsp:rsid wsp:val=&quot;040E6340&quot;/&gt;&lt;wsp:rsid wsp:val=&quot;040F20B8&quot;/&gt;&lt;wsp:rsid wsp:val=&quot;04106F71&quot;/&gt;&lt;wsp:rsid wsp:val=&quot;041476CE&quot;/&gt;&lt;wsp:rsid wsp:val=&quot;041845DB&quot;/&gt;&lt;wsp:rsid wsp:val=&quot;04186B93&quot;/&gt;&lt;wsp:rsid wsp:val=&quot;04194CE4&quot;/&gt;&lt;wsp:rsid wsp:val=&quot;041A2F36&quot;/&gt;&lt;wsp:rsid wsp:val=&quot;041D1579&quot;/&gt;&lt;wsp:rsid wsp:val=&quot;041F679F&quot;/&gt;&lt;wsp:rsid wsp:val=&quot;042042C5&quot;/&gt;&lt;wsp:rsid wsp:val=&quot;04233CA6&quot;/&gt;&lt;wsp:rsid wsp:val=&quot;04242D62&quot;/&gt;&lt;wsp:rsid wsp:val=&quot;042434D3&quot;/&gt;&lt;wsp:rsid wsp:val=&quot;04245B63&quot;/&gt;&lt;wsp:rsid wsp:val=&quot;04247911&quot;/&gt;&lt;wsp:rsid wsp:val=&quot;04267B2D&quot;/&gt;&lt;wsp:rsid wsp:val=&quot;042711AF&quot;/&gt;&lt;wsp:rsid wsp:val=&quot;04272627&quot;/&gt;&lt;wsp:rsid wsp:val=&quot;04277401&quot;/&gt;&lt;wsp:rsid wsp:val=&quot;042913CB&quot;/&gt;&lt;wsp:rsid wsp:val=&quot;04292471&quot;/&gt;&lt;wsp:rsid wsp:val=&quot;042A0CA0&quot;/&gt;&lt;wsp:rsid wsp:val=&quot;042C4A18&quot;/&gt;&lt;wsp:rsid wsp:val=&quot;042C6499&quot;/&gt;&lt;wsp:rsid wsp:val=&quot;042E0790&quot;/&gt;&lt;wsp:rsid wsp:val=&quot;042E24FA&quot;/&gt;&lt;wsp:rsid wsp:val=&quot;042E69E2&quot;/&gt;&lt;wsp:rsid wsp:val=&quot;0430275A&quot;/&gt;&lt;wsp:rsid wsp:val=&quot;04310280&quot;/&gt;&lt;wsp:rsid wsp:val=&quot;04312C14&quot;/&gt;&lt;wsp:rsid wsp:val=&quot;04314F03&quot;/&gt;&lt;wsp:rsid wsp:val=&quot;043162AA&quot;/&gt;&lt;wsp:rsid wsp:val=&quot;04351B1E&quot;/&gt;&lt;wsp:rsid wsp:val=&quot;04352BE0&quot;/&gt;&lt;wsp:rsid wsp:val=&quot;043537B8&quot;/&gt;&lt;wsp:rsid wsp:val=&quot;043579D8&quot;/&gt;&lt;wsp:rsid wsp:val=&quot;04363AE8&quot;/&gt;&lt;wsp:rsid wsp:val=&quot;04365896&quot;/&gt;&lt;wsp:rsid wsp:val=&quot;043867EE&quot;/&gt;&lt;wsp:rsid wsp:val=&quot;043D484D&quot;/&gt;&lt;wsp:rsid wsp:val=&quot;043D6C25&quot;/&gt;&lt;wsp:rsid wsp:val=&quot;043F299D&quot;/&gt;&lt;wsp:rsid wsp:val=&quot;044004C3&quot;/&gt;&lt;wsp:rsid wsp:val=&quot;04402271&quot;/&gt;&lt;wsp:rsid wsp:val=&quot;0440490F&quot;/&gt;&lt;wsp:rsid wsp:val=&quot;04421C84&quot;/&gt;&lt;wsp:rsid wsp:val=&quot;04422150&quot;/&gt;&lt;wsp:rsid wsp:val=&quot;0442423B&quot;/&gt;&lt;wsp:rsid wsp:val=&quot;04441D61&quot;/&gt;&lt;wsp:rsid wsp:val=&quot;044628F3&quot;/&gt;&lt;wsp:rsid wsp:val=&quot;04471852&quot;/&gt;&lt;wsp:rsid wsp:val=&quot;044730A1&quot;/&gt;&lt;wsp:rsid wsp:val=&quot;04477AA3&quot;/&gt;&lt;wsp:rsid wsp:val=&quot;04497378&quot;/&gt;&lt;wsp:rsid wsp:val=&quot;044A0592&quot;/&gt;&lt;wsp:rsid wsp:val=&quot;044B7594&quot;/&gt;&lt;wsp:rsid wsp:val=&quot;044C6E68&quot;/&gt;&lt;wsp:rsid wsp:val=&quot;04502B0E&quot;/&gt;&lt;wsp:rsid wsp:val=&quot;045301F6&quot;/&gt;&lt;wsp:rsid wsp:val=&quot;04531FA4&quot;/&gt;&lt;wsp:rsid wsp:val=&quot;04536448&quot;/&gt;&lt;wsp:rsid wsp:val=&quot;04545D1C&quot;/&gt;&lt;wsp:rsid wsp:val=&quot;04553F6E&quot;/&gt;&lt;wsp:rsid wsp:val=&quot;045556A5&quot;/&gt;&lt;wsp:rsid wsp:val=&quot;04567CE7&quot;/&gt;&lt;wsp:rsid wsp:val=&quot;04581455&quot;/&gt;&lt;wsp:rsid wsp:val=&quot;04594577&quot;/&gt;&lt;wsp:rsid wsp:val=&quot;045A22A5&quot;/&gt;&lt;wsp:rsid wsp:val=&quot;045A6946&quot;/&gt;&lt;wsp:rsid wsp:val=&quot;045F303F&quot;/&gt;&lt;wsp:rsid wsp:val=&quot;045F4DED&quot;/&gt;&lt;wsp:rsid wsp:val=&quot;045F58FA&quot;/&gt;&lt;wsp:rsid wsp:val=&quot;04603ACA&quot;/&gt;&lt;wsp:rsid wsp:val=&quot;046046C1&quot;/&gt;&lt;wsp:rsid wsp:val=&quot;046250D8&quot;/&gt;&lt;wsp:rsid wsp:val=&quot;04644636&quot;/&gt;&lt;wsp:rsid wsp:val=&quot;04662722&quot;/&gt;&lt;wsp:rsid wsp:val=&quot;0466617C&quot;/&gt;&lt;wsp:rsid wsp:val=&quot;04671EF4&quot;/&gt;&lt;wsp:rsid wsp:val=&quot;04673E53&quot;/&gt;&lt;wsp:rsid wsp:val=&quot;04675A50&quot;/&gt;&lt;wsp:rsid wsp:val=&quot;04695C6C&quot;/&gt;&lt;wsp:rsid wsp:val=&quot;046B5355&quot;/&gt;&lt;wsp:rsid wsp:val=&quot;046C3066&quot;/&gt;&lt;wsp:rsid wsp:val=&quot;046E5030&quot;/&gt;&lt;wsp:rsid wsp:val=&quot;046E6DDE&quot;/&gt;&lt;wsp:rsid wsp:val=&quot;04700DA8&quot;/&gt;&lt;wsp:rsid wsp:val=&quot;04702B56&quot;/&gt;&lt;wsp:rsid wsp:val=&quot;04705B1D&quot;/&gt;&lt;wsp:rsid wsp:val=&quot;04706FFA&quot;/&gt;&lt;wsp:rsid wsp:val=&quot;04714B20&quot;/&gt;&lt;wsp:rsid wsp:val=&quot;0472733C&quot;/&gt;&lt;wsp:rsid wsp:val=&quot;04730898&quot;/&gt;&lt;wsp:rsid wsp:val=&quot;047420BE&quot;/&gt;&lt;wsp:rsid wsp:val=&quot;0474497E&quot;/&gt;&lt;wsp:rsid wsp:val=&quot;04785FF9&quot;/&gt;&lt;wsp:rsid wsp:val=&quot;04793F05&quot;/&gt;&lt;wsp:rsid wsp:val=&quot;047955F4&quot;/&gt;&lt;wsp:rsid wsp:val=&quot;047A1C27&quot;/&gt;&lt;wsp:rsid wsp:val=&quot;047A39D5&quot;/&gt;&lt;wsp:rsid wsp:val=&quot;047B1417&quot;/&gt;&lt;wsp:rsid wsp:val=&quot;047E26A8&quot;/&gt;&lt;wsp:rsid wsp:val=&quot;047F2D99&quot;/&gt;&lt;wsp:rsid wsp:val=&quot;047F723D&quot;/&gt;&lt;wsp:rsid wsp:val=&quot;048031B8&quot;/&gt;&lt;wsp:rsid wsp:val=&quot;04806B11&quot;/&gt;&lt;wsp:rsid wsp:val=&quot;04812FB5&quot;/&gt;&lt;wsp:rsid wsp:val=&quot;04814D63&quot;/&gt;&lt;wsp:rsid wsp:val=&quot;04842AA6&quot;/&gt;&lt;wsp:rsid wsp:val=&quot;04854128&quot;/&gt;&lt;wsp:rsid wsp:val=&quot;048605CC&quot;/&gt;&lt;wsp:rsid wsp:val=&quot;04877EA0&quot;/&gt;&lt;wsp:rsid wsp:val=&quot;048900BC&quot;/&gt;&lt;wsp:rsid wsp:val=&quot;04891E6A&quot;/&gt;&lt;wsp:rsid wsp:val=&quot;04892E54&quot;/&gt;&lt;wsp:rsid wsp:val=&quot;048B3E34&quot;/&gt;&lt;wsp:rsid wsp:val=&quot;048B7990&quot;/&gt;&lt;wsp:rsid wsp:val=&quot;048E122E&quot;/&gt;&lt;wsp:rsid wsp:val=&quot;04904FA7&quot;/&gt;&lt;wsp:rsid wsp:val=&quot;04947F67&quot;/&gt;&lt;wsp:rsid wsp:val=&quot;0495080F&quot;/&gt;&lt;wsp:rsid wsp:val=&quot;049525BD&quot;/&gt;&lt;wsp:rsid wsp:val=&quot;04956A61&quot;/&gt;&lt;wsp:rsid wsp:val=&quot;04974587&quot;/&gt;&lt;wsp:rsid wsp:val=&quot;049802FF&quot;/&gt;&lt;wsp:rsid wsp:val=&quot;049A7BD3&quot;/&gt;&lt;wsp:rsid wsp:val=&quot;049C1B9D&quot;/&gt;&lt;wsp:rsid wsp:val=&quot;049F168E&quot;/&gt;&lt;wsp:rsid wsp:val=&quot;049F343C&quot;/&gt;&lt;wsp:rsid wsp:val=&quot;049F37E8&quot;/&gt;&lt;wsp:rsid wsp:val=&quot;04A10F62&quot;/&gt;&lt;wsp:rsid wsp:val=&quot;04A15406&quot;/&gt;&lt;wsp:rsid wsp:val=&quot;04A2256B&quot;/&gt;&lt;wsp:rsid wsp:val=&quot;04A3117E&quot;/&gt;&lt;wsp:rsid wsp:val=&quot;04A86794&quot;/&gt;&lt;wsp:rsid wsp:val=&quot;04A937D5&quot;/&gt;&lt;wsp:rsid wsp:val=&quot;04A96068&quot;/&gt;&lt;wsp:rsid wsp:val=&quot;04A9786D&quot;/&gt;&lt;wsp:rsid wsp:val=&quot;04AB1DE0&quot;/&gt;&lt;wsp:rsid wsp:val=&quot;04AB3B8E&quot;/&gt;&lt;wsp:rsid wsp:val=&quot;04AC0C48&quot;/&gt;&lt;wsp:rsid wsp:val=&quot;04AD3DAA&quot;/&gt;&lt;wsp:rsid wsp:val=&quot;04AE18D1&quot;/&gt;&lt;wsp:rsid wsp:val=&quot;04AE367F&quot;/&gt;&lt;wsp:rsid wsp:val=&quot;04AE7B23&quot;/&gt;&lt;wsp:rsid wsp:val=&quot;04B073F7&quot;/&gt;&lt;wsp:rsid wsp:val=&quot;04B213C1&quot;/&gt;&lt;wsp:rsid wsp:val=&quot;04B22060&quot;/&gt;&lt;wsp:rsid wsp:val=&quot;04B2316F&quot;/&gt;&lt;wsp:rsid wsp:val=&quot;04B25DED&quot;/&gt;&lt;wsp:rsid wsp:val=&quot;04B47551&quot;/&gt;&lt;wsp:rsid wsp:val=&quot;04B50EB1&quot;/&gt;&lt;wsp:rsid wsp:val=&quot;04B70785&quot;/&gt;&lt;wsp:rsid wsp:val=&quot;04B74C29&quot;/&gt;&lt;wsp:rsid wsp:val=&quot;04B8274F&quot;/&gt;&lt;wsp:rsid wsp:val=&quot;04B82D60&quot;/&gt;&lt;wsp:rsid wsp:val=&quot;04B844FD&quot;/&gt;&lt;wsp:rsid wsp:val=&quot;04BD1B14&quot;/&gt;&lt;wsp:rsid wsp:val=&quot;04BE31D4&quot;/&gt;&lt;wsp:rsid wsp:val=&quot;04C063C5&quot;/&gt;&lt;wsp:rsid wsp:val=&quot;04C11604&quot;/&gt;&lt;wsp:rsid wsp:val=&quot;04C46318&quot;/&gt;&lt;wsp:rsid wsp:val=&quot;04C74F24&quot;/&gt;&lt;wsp:rsid wsp:val=&quot;04C80BE4&quot;/&gt;&lt;wsp:rsid wsp:val=&quot;04C95D42&quot;/&gt;&lt;wsp:rsid wsp:val=&quot;04CB2483&quot;/&gt;&lt;wsp:rsid wsp:val=&quot;04CE5ACF&quot;/&gt;&lt;wsp:rsid wsp:val=&quot;04D035F5&quot;/&gt;&lt;wsp:rsid wsp:val=&quot;04D04690&quot;/&gt;&lt;wsp:rsid wsp:val=&quot;04D06D2A&quot;/&gt;&lt;wsp:rsid wsp:val=&quot;04D23811&quot;/&gt;&lt;wsp:rsid wsp:val=&quot;04D255BF&quot;/&gt;&lt;wsp:rsid wsp:val=&quot;04D27F09&quot;/&gt;&lt;wsp:rsid wsp:val=&quot;04D31337&quot;/&gt;&lt;wsp:rsid wsp:val=&quot;04D33D38&quot;/&gt;&lt;wsp:rsid wsp:val=&quot;04D70E27&quot;/&gt;&lt;wsp:rsid wsp:val=&quot;04D87ADD&quot;/&gt;&lt;wsp:rsid wsp:val=&quot;04D921AC&quot;/&gt;&lt;wsp:rsid wsp:val=&quot;04DA26C6&quot;/&gt;&lt;wsp:rsid wsp:val=&quot;04DC643E&quot;/&gt;&lt;wsp:rsid wsp:val=&quot;04E11CA6&quot;/&gt;&lt;wsp:rsid wsp:val=&quot;04E13A54&quot;/&gt;&lt;wsp:rsid wsp:val=&quot;04E15802&quot;/&gt;&lt;wsp:rsid wsp:val=&quot;04E23328&quot;/&gt;&lt;wsp:rsid wsp:val=&quot;04E470A0&quot;/&gt;&lt;wsp:rsid wsp:val=&quot;04E569E0&quot;/&gt;&lt;wsp:rsid wsp:val=&quot;04E807D8&quot;/&gt;&lt;wsp:rsid wsp:val=&quot;04E86B91&quot;/&gt;&lt;wsp:rsid wsp:val=&quot;04ED014B&quot;/&gt;&lt;wsp:rsid wsp:val=&quot;04ED064B&quot;/&gt;&lt;wsp:rsid wsp:val=&quot;04ED23F9&quot;/&gt;&lt;wsp:rsid wsp:val=&quot;04ED41A7&quot;/&gt;&lt;wsp:rsid wsp:val=&quot;04EE6171&quot;/&gt;&lt;wsp:rsid wsp:val=&quot;04F03A34&quot;/&gt;&lt;wsp:rsid wsp:val=&quot;04F217BD&quot;/&gt;&lt;wsp:rsid wsp:val=&quot;04F25C61&quot;/&gt;&lt;wsp:rsid wsp:val=&quot;04F27A0F&quot;/&gt;&lt;wsp:rsid wsp:val=&quot;04F33787&quot;/&gt;&lt;wsp:rsid wsp:val=&quot;04F5472C&quot;/&gt;&lt;wsp:rsid wsp:val=&quot;04F55751&quot;/&gt;&lt;wsp:rsid wsp:val=&quot;04F95C85&quot;/&gt;&lt;wsp:rsid wsp:val=&quot;04FC088E&quot;/&gt;&lt;wsp:rsid wsp:val=&quot;04FC263C&quot;/&gt;&lt;wsp:rsid wsp:val=&quot;04FC359C&quot;/&gt;&lt;wsp:rsid wsp:val=&quot;04FF037E&quot;/&gt;&lt;wsp:rsid wsp:val=&quot;04FF7EFB&quot;/&gt;&lt;wsp:rsid wsp:val=&quot;05025778&quot;/&gt;&lt;wsp:rsid wsp:val=&quot;05033049&quot;/&gt;&lt;wsp:rsid wsp:val=&quot;0504615D&quot;/&gt;&lt;wsp:rsid wsp:val=&quot;05087233&quot;/&gt;&lt;wsp:rsid wsp:val=&quot;050938AE&quot;/&gt;&lt;wsp:rsid wsp:val=&quot;0509577A&quot;/&gt;&lt;wsp:rsid wsp:val=&quot;05096B07&quot;/&gt;&lt;wsp:rsid wsp:val=&quot;050977E4&quot;/&gt;&lt;wsp:rsid wsp:val=&quot;050B6D23&quot;/&gt;&lt;wsp:rsid wsp:val=&quot;050D4849&quot;/&gt;&lt;wsp:rsid wsp:val=&quot;050F15EC&quot;/&gt;&lt;wsp:rsid wsp:val=&quot;0510425D&quot;/&gt;&lt;wsp:rsid wsp:val=&quot;05113F0C&quot;/&gt;&lt;wsp:rsid wsp:val=&quot;05114226&quot;/&gt;&lt;wsp:rsid wsp:val=&quot;05127B50&quot;/&gt;&lt;wsp:rsid wsp:val=&quot;051339FC&quot;/&gt;&lt;wsp:rsid wsp:val=&quot;05143E2A&quot;/&gt;&lt;wsp:rsid wsp:val=&quot;05143FCE&quot;/&gt;&lt;wsp:rsid wsp:val=&quot;05145BD8&quot;/&gt;&lt;wsp:rsid wsp:val=&quot;051536FE&quot;/&gt;&lt;wsp:rsid wsp:val=&quot;05157BA2&quot;/&gt;&lt;wsp:rsid wsp:val=&quot;0518120E&quot;/&gt;&lt;wsp:rsid wsp:val=&quot;0519526F&quot;/&gt;&lt;wsp:rsid wsp:val=&quot;051A6F66&quot;/&gt;&lt;wsp:rsid wsp:val=&quot;051B5485&quot;/&gt;&lt;wsp:rsid wsp:val=&quot;051E5080&quot;/&gt;&lt;wsp:rsid wsp:val=&quot;052027CE&quot;/&gt;&lt;wsp:rsid wsp:val=&quot;052102F4&quot;/&gt;&lt;wsp:rsid wsp:val=&quot;052136C5&quot;/&gt;&lt;wsp:rsid wsp:val=&quot;0523012E&quot;/&gt;&lt;wsp:rsid wsp:val=&quot;0523406D&quot;/&gt;&lt;wsp:rsid wsp:val=&quot;05237BC9&quot;/&gt;&lt;wsp:rsid wsp:val=&quot;052A1D5E&quot;/&gt;&lt;wsp:rsid wsp:val=&quot;052D0A47&quot;/&gt;&lt;wsp:rsid wsp:val=&quot;052E656D&quot;/&gt;&lt;wsp:rsid wsp:val=&quot;053022E6&quot;/&gt;&lt;wsp:rsid wsp:val=&quot;0530678A&quot;/&gt;&lt;wsp:rsid wsp:val=&quot;05340028&quot;/&gt;&lt;wsp:rsid wsp:val=&quot;05341DD6&quot;/&gt;&lt;wsp:rsid wsp:val=&quot;053425C2&quot;/&gt;&lt;wsp:rsid wsp:val=&quot;0534627A&quot;/&gt;&lt;wsp:rsid wsp:val=&quot;05353DA0&quot;/&gt;&lt;wsp:rsid wsp:val=&quot;05355B4E&quot;/&gt;&lt;wsp:rsid wsp:val=&quot;053578FC&quot;/&gt;&lt;wsp:rsid wsp:val=&quot;05364797&quot;/&gt;&lt;wsp:rsid wsp:val=&quot;05377B18&quot;/&gt;&lt;wsp:rsid wsp:val=&quot;053973EC&quot;/&gt;&lt;wsp:rsid wsp:val=&quot;053A3164&quot;/&gt;&lt;wsp:rsid wsp:val=&quot;053B422B&quot;/&gt;&lt;wsp:rsid wsp:val=&quot;053C512E&quot;/&gt;&lt;wsp:rsid wsp:val=&quot;053E0EA6&quot;/&gt;&lt;wsp:rsid wsp:val=&quot;054335EC&quot;/&gt;&lt;wsp:rsid wsp:val=&quot;05445D91&quot;/&gt;&lt;wsp:rsid wsp:val=&quot;0546428C&quot;/&gt;&lt;wsp:rsid wsp:val=&quot;05465CDE&quot;/&gt;&lt;wsp:rsid wsp:val=&quot;05483AD3&quot;/&gt;&lt;wsp:rsid wsp:val=&quot;05485881&quot;/&gt;&lt;wsp:rsid wsp:val=&quot;05492C0D&quot;/&gt;&lt;wsp:rsid wsp:val=&quot;054B6C6E&quot;/&gt;&lt;wsp:rsid wsp:val=&quot;054D2E98&quot;/&gt;&lt;wsp:rsid wsp:val=&quot;054D733B&quot;/&gt;&lt;wsp:rsid wsp:val=&quot;054E6641&quot;/&gt;&lt;wsp:rsid wsp:val=&quot;054F6C10&quot;/&gt;&lt;wsp:rsid wsp:val=&quot;05500BDA&quot;/&gt;&lt;wsp:rsid wsp:val=&quot;055224BF&quot;/&gt;&lt;wsp:rsid wsp:val=&quot;05557F9E&quot;/&gt;&lt;wsp:rsid wsp:val=&quot;05573D16&quot;/&gt;&lt;wsp:rsid wsp:val=&quot;05575AC4&quot;/&gt;&lt;wsp:rsid wsp:val=&quot;055A55B4&quot;/&gt;&lt;wsp:rsid wsp:val=&quot;055F2BCB&quot;/&gt;&lt;wsp:rsid wsp:val=&quot;05616943&quot;/&gt;&lt;wsp:rsid wsp:val=&quot;05626134&quot;/&gt;&lt;wsp:rsid wsp:val=&quot;056273E3&quot;/&gt;&lt;wsp:rsid wsp:val=&quot;0563090D&quot;/&gt;&lt;wsp:rsid wsp:val=&quot;056326BB&quot;/&gt;&lt;wsp:rsid wsp:val=&quot;05654DFE&quot;/&gt;&lt;wsp:rsid wsp:val=&quot;056621AB&quot;/&gt;&lt;wsp:rsid wsp:val=&quot;05665D07&quot;/&gt;&lt;wsp:rsid wsp:val=&quot;05681A7F&quot;/&gt;&lt;wsp:rsid wsp:val=&quot;05687CD1&quot;/&gt;&lt;wsp:rsid wsp:val=&quot;056A6836&quot;/&gt;&lt;wsp:rsid wsp:val=&quot;056B1570&quot;/&gt;&lt;wsp:rsid wsp:val=&quot;056D353A&quot;/&gt;&lt;wsp:rsid wsp:val=&quot;056F1060&quot;/&gt;&lt;wsp:rsid wsp:val=&quot;05704DD8&quot;/&gt;&lt;wsp:rsid wsp:val=&quot;05706B86&quot;/&gt;&lt;wsp:rsid wsp:val=&quot;0571302A&quot;/&gt;&lt;wsp:rsid wsp:val=&quot;05720B50&quot;/&gt;&lt;wsp:rsid wsp:val=&quot;05726DA2&quot;/&gt;&lt;wsp:rsid wsp:val=&quot;057448C8&quot;/&gt;&lt;wsp:rsid wsp:val=&quot;05777F14&quot;/&gt;&lt;wsp:rsid wsp:val=&quot;05785C8A&quot;/&gt;&lt;wsp:rsid wsp:val=&quot;057905AA&quot;/&gt;&lt;wsp:rsid wsp:val=&quot;057A317B&quot;/&gt;&lt;wsp:rsid wsp:val=&quot;057C552B&quot;/&gt;&lt;wsp:rsid wsp:val=&quot;057D1AFC&quot;/&gt;&lt;wsp:rsid wsp:val=&quot;057E12A3&quot;/&gt;&lt;wsp:rsid wsp:val=&quot;058058AC&quot;/&gt;&lt;wsp:rsid wsp:val=&quot;05816D3C&quot;/&gt;&lt;wsp:rsid wsp:val=&quot;05816FE5&quot;/&gt;&lt;wsp:rsid wsp:val=&quot;05827C69&quot;/&gt;&lt;wsp:rsid wsp:val=&quot;05834B0B&quot;/&gt;&lt;wsp:rsid wsp:val=&quot;05850883&quot;/&gt;&lt;wsp:rsid wsp:val=&quot;05856AD5&quot;/&gt;&lt;wsp:rsid wsp:val=&quot;0586171E&quot;/&gt;&lt;wsp:rsid wsp:val=&quot;058755A7&quot;/&gt;&lt;wsp:rsid wsp:val=&quot;05882122&quot;/&gt;&lt;wsp:rsid wsp:val=&quot;05883ED0&quot;/&gt;&lt;wsp:rsid wsp:val=&quot;058A7C48&quot;/&gt;&lt;wsp:rsid wsp:val=&quot;058D7738&quot;/&gt;&lt;wsp:rsid wsp:val=&quot;058F1340&quot;/&gt;&lt;wsp:rsid wsp:val=&quot;058F34B0&quot;/&gt;&lt;wsp:rsid wsp:val=&quot;059053A1&quot;/&gt;&lt;wsp:rsid wsp:val=&quot;05921402&quot;/&gt;&lt;wsp:rsid wsp:val=&quot;05924D4E&quot;/&gt;&lt;wsp:rsid wsp:val=&quot;0592789B&quot;/&gt;&lt;wsp:rsid wsp:val=&quot;05946D18&quot;/&gt;&lt;wsp:rsid wsp:val=&quot;059565ED&quot;/&gt;&lt;wsp:rsid wsp:val=&quot;05960810&quot;/&gt;&lt;wsp:rsid wsp:val=&quot;0596483F&quot;/&gt;&lt;wsp:rsid wsp:val=&quot;0596560E&quot;/&gt;&lt;wsp:rsid wsp:val=&quot;059705B7&quot;/&gt;&lt;wsp:rsid wsp:val=&quot;05972365&quot;/&gt;&lt;wsp:rsid wsp:val=&quot;059B00A7&quot;/&gt;&lt;wsp:rsid wsp:val=&quot;059B275E&quot;/&gt;&lt;wsp:rsid wsp:val=&quot;059C797B&quot;/&gt;&lt;wsp:rsid wsp:val=&quot;059D002F&quot;/&gt;&lt;wsp:rsid wsp:val=&quot;059D1DD7&quot;/&gt;&lt;wsp:rsid wsp:val=&quot;059E36F3&quot;/&gt;&lt;wsp:rsid wsp:val=&quot;059E3A51&quot;/&gt;&lt;wsp:rsid wsp:val=&quot;059F689E&quot;/&gt;&lt;wsp:rsid wsp:val=&quot;05A14F91&quot;/&gt;&lt;wsp:rsid wsp:val=&quot;05A30C46&quot;/&gt;&lt;wsp:rsid wsp:val=&quot;05A36F5B&quot;/&gt;&lt;wsp:rsid wsp:val=&quot;05A47C83&quot;/&gt;&lt;wsp:rsid wsp:val=&quot;05A607FA&quot;/&gt;&lt;wsp:rsid wsp:val=&quot;05A84572&quot;/&gt;&lt;wsp:rsid wsp:val=&quot;05A86320&quot;/&gt;&lt;wsp:rsid wsp:val=&quot;05AA653C&quot;/&gt;&lt;wsp:rsid wsp:val=&quot;05AC22B4&quot;/&gt;&lt;wsp:rsid wsp:val=&quot;05AD1B88&quot;/&gt;&lt;wsp:rsid wsp:val=&quot;05B05EAE&quot;/&gt;&lt;wsp:rsid wsp:val=&quot;05B11678&quot;/&gt;&lt;wsp:rsid wsp:val=&quot;05B11BB0&quot;/&gt;&lt;wsp:rsid wsp:val=&quot;05B13426&quot;/&gt;&lt;wsp:rsid wsp:val=&quot;05B44CC5&quot;/&gt;&lt;wsp:rsid wsp:val=&quot;05B515C4&quot;/&gt;&lt;wsp:rsid wsp:val=&quot;05B72A07&quot;/&gt;&lt;wsp:rsid wsp:val=&quot;05B747B5&quot;/&gt;&lt;wsp:rsid wsp:val=&quot;05B80C59&quot;/&gt;&lt;wsp:rsid wsp:val=&quot;05BB42A5&quot;/&gt;&lt;wsp:rsid wsp:val=&quot;05BC1DCB&quot;/&gt;&lt;wsp:rsid wsp:val=&quot;05BE0308&quot;/&gt;&lt;wsp:rsid wsp:val=&quot;05BE5B43&quot;/&gt;&lt;wsp:rsid wsp:val=&quot;05C0366A&quot;/&gt;&lt;wsp:rsid wsp:val=&quot;05C05142&quot;/&gt;&lt;wsp:rsid wsp:val=&quot;05C173E2&quot;/&gt;&lt;wsp:rsid wsp:val=&quot;05C375FE&quot;/&gt;&lt;wsp:rsid wsp:val=&quot;05C50C80&quot;/&gt;&lt;wsp:rsid wsp:val=&quot;05C56ED2&quot;/&gt;&lt;wsp:rsid wsp:val=&quot;05C649F8&quot;/&gt;&lt;wsp:rsid wsp:val=&quot;05C84C14&quot;/&gt;&lt;wsp:rsid wsp:val=&quot;05CA273A&quot;/&gt;&lt;wsp:rsid wsp:val=&quot;05CB200E&quot;/&gt;&lt;wsp:rsid wsp:val=&quot;05CD3FD8&quot;/&gt;&lt;wsp:rsid wsp:val=&quot;05CD426B&quot;/&gt;&lt;wsp:rsid wsp:val=&quot;05CF7D50&quot;/&gt;&lt;wsp:rsid wsp:val=&quot;05D25154&quot;/&gt;&lt;wsp:rsid wsp:val=&quot;05D435B9&quot;/&gt;&lt;wsp:rsid wsp:val=&quot;05D610DF&quot;/&gt;&lt;wsp:rsid wsp:val=&quot;05D709B3&quot;/&gt;&lt;wsp:rsid wsp:val=&quot;05D76C05&quot;/&gt;&lt;wsp:rsid wsp:val=&quot;05D77B36&quot;/&gt;&lt;wsp:rsid wsp:val=&quot;05D830A9&quot;/&gt;&lt;wsp:rsid wsp:val=&quot;05D9297D&quot;/&gt;&lt;wsp:rsid wsp:val=&quot;05D95027&quot;/&gt;&lt;wsp:rsid wsp:val=&quot;05D97CE4&quot;/&gt;&lt;wsp:rsid wsp:val=&quot;05DA498B&quot;/&gt;&lt;wsp:rsid wsp:val=&quot;05DB4947&quot;/&gt;&lt;wsp:rsid wsp:val=&quot;05DC034A&quot;/&gt;&lt;wsp:rsid wsp:val=&quot;05DC421B&quot;/&gt;&lt;wsp:rsid wsp:val=&quot;05DE1D42&quot;/&gt;&lt;wsp:rsid wsp:val=&quot;05E02329&quot;/&gt;&lt;wsp:rsid wsp:val=&quot;05E03D0C&quot;/&gt;&lt;wsp:rsid wsp:val=&quot;05E25CD6&quot;/&gt;&lt;wsp:rsid wsp:val=&quot;05E27A84&quot;/&gt;&lt;wsp:rsid wsp:val=&quot;05E41A4E&quot;/&gt;&lt;wsp:rsid wsp:val=&quot;05E66D48&quot;/&gt;&lt;wsp:rsid wsp:val=&quot;05E7509A&quot;/&gt;&lt;wsp:rsid wsp:val=&quot;05E76E48&quot;/&gt;&lt;wsp:rsid wsp:val=&quot;05E82BC0&quot;/&gt;&lt;wsp:rsid wsp:val=&quot;05E8737A&quot;/&gt;&lt;wsp:rsid wsp:val=&quot;05EA2DDC&quot;/&gt;&lt;wsp:rsid wsp:val=&quot;05EB743C&quot;/&gt;&lt;wsp:rsid wsp:val=&quot;05EC0902&quot;/&gt;&lt;wsp:rsid wsp:val=&quot;05EC26B0&quot;/&gt;&lt;wsp:rsid wsp:val=&quot;05EC445F&quot;/&gt;&lt;wsp:rsid wsp:val=&quot;05EE467B&quot;/&gt;&lt;wsp:rsid wsp:val=&quot;05EF03F3&quot;/&gt;&lt;wsp:rsid wsp:val=&quot;05F05CF2&quot;/&gt;&lt;wsp:rsid wsp:val=&quot;05F11A75&quot;/&gt;&lt;wsp:rsid wsp:val=&quot;05F31C91&quot;/&gt;&lt;wsp:rsid wsp:val=&quot;05F477B7&quot;/&gt;&lt;wsp:rsid wsp:val=&quot;05F504EE&quot;/&gt;&lt;wsp:rsid wsp:val=&quot;05F607BC&quot;/&gt;&lt;wsp:rsid wsp:val=&quot;05F81055&quot;/&gt;&lt;wsp:rsid wsp:val=&quot;05F83EAE&quot;/&gt;&lt;wsp:rsid wsp:val=&quot;05F872A7&quot;/&gt;&lt;wsp:rsid wsp:val=&quot;05F96B7B&quot;/&gt;&lt;wsp:rsid wsp:val=&quot;05FA2ED0&quot;/&gt;&lt;wsp:rsid wsp:val=&quot;05FB0B46&quot;/&gt;&lt;wsp:rsid wsp:val=&quot;05FB6F31&quot;/&gt;&lt;wsp:rsid wsp:val=&quot;05FC6E82&quot;/&gt;&lt;wsp:rsid wsp:val=&quot;05FD3676&quot;/&gt;&lt;wsp:rsid wsp:val=&quot;05FE4192&quot;/&gt;&lt;wsp:rsid wsp:val=&quot;0600615C&quot;/&gt;&lt;wsp:rsid wsp:val=&quot;06007521&quot;/&gt;&lt;wsp:rsid wsp:val=&quot;06020126&quot;/&gt;&lt;wsp:rsid wsp:val=&quot;06027304&quot;/&gt;&lt;wsp:rsid wsp:val=&quot;060379FA&quot;/&gt;&lt;wsp:rsid wsp:val=&quot;06043E9E&quot;/&gt;&lt;wsp:rsid wsp:val=&quot;0605140F&quot;/&gt;&lt;wsp:rsid wsp:val=&quot;06055745&quot;/&gt;&lt;wsp:rsid wsp:val=&quot;060754D4&quot;/&gt;&lt;wsp:rsid wsp:val=&quot;060774EA&quot;/&gt;&lt;wsp:rsid wsp:val=&quot;060B3732&quot;/&gt;&lt;wsp:rsid wsp:val=&quot;060C4B01&quot;/&gt;&lt;wsp:rsid wsp:val=&quot;060D2627&quot;/&gt;&lt;wsp:rsid wsp:val=&quot;060E6ACB&quot;/&gt;&lt;wsp:rsid wsp:val=&quot;06103988&quot;/&gt;&lt;wsp:rsid wsp:val=&quot;06112117&quot;/&gt;&lt;wsp:rsid wsp:val=&quot;061619C4&quot;/&gt;&lt;wsp:rsid wsp:val=&quot;061922C9&quot;/&gt;&lt;wsp:rsid wsp:val=&quot;0619721E&quot;/&gt;&lt;wsp:rsid wsp:val=&quot;061B2F96&quot;/&gt;&lt;wsp:rsid wsp:val=&quot;061C6A69&quot;/&gt;&lt;wsp:rsid wsp:val=&quot;061E65E2&quot;/&gt;&lt;wsp:rsid wsp:val=&quot;0620235A&quot;/&gt;&lt;wsp:rsid wsp:val=&quot;06222576&quot;/&gt;&lt;wsp:rsid wsp:val=&quot;06225E41&quot;/&gt;&lt;wsp:rsid wsp:val=&quot;062260D2&quot;/&gt;&lt;wsp:rsid wsp:val=&quot;06242FF1&quot;/&gt;&lt;wsp:rsid wsp:val=&quot;06247AF7&quot;/&gt;&lt;wsp:rsid wsp:val=&quot;06250A5D&quot;/&gt;&lt;wsp:rsid wsp:val=&quot;06255BC2&quot;/&gt;&lt;wsp:rsid wsp:val=&quot;062655AD&quot;/&gt;&lt;wsp:rsid wsp:val=&quot;0627193B&quot;/&gt;&lt;wsp:rsid wsp:val=&quot;06277B8D&quot;/&gt;&lt;wsp:rsid wsp:val=&quot;062A142B&quot;/&gt;&lt;wsp:rsid wsp:val=&quot;062B48CF&quot;/&gt;&lt;wsp:rsid wsp:val=&quot;062C1FDF&quot;/&gt;&lt;wsp:rsid wsp:val=&quot;062C5DC4&quot;/&gt;&lt;wsp:rsid wsp:val=&quot;062E2CC9&quot;/&gt;&lt;wsp:rsid wsp:val=&quot;062F6A41&quot;/&gt;&lt;wsp:rsid wsp:val=&quot;063063B7&quot;/&gt;&lt;wsp:rsid wsp:val=&quot;06314567&quot;/&gt;&lt;wsp:rsid wsp:val=&quot;06336531&quot;/&gt;&lt;wsp:rsid wsp:val=&quot;06345E06&quot;/&gt;&lt;wsp:rsid wsp:val=&quot;0636392C&quot;/&gt;&lt;wsp:rsid wsp:val=&quot;06383B48&quot;/&gt;&lt;wsp:rsid wsp:val=&quot;0639166E&quot;/&gt;&lt;wsp:rsid wsp:val=&quot;0639341C&quot;/&gt;&lt;wsp:rsid wsp:val=&quot;063A2055&quot;/&gt;&lt;wsp:rsid wsp:val=&quot;063B3638&quot;/&gt;&lt;wsp:rsid wsp:val=&quot;063D2F0C&quot;/&gt;&lt;wsp:rsid wsp:val=&quot;063D4ADF&quot;/&gt;&lt;wsp:rsid wsp:val=&quot;063E7D85&quot;/&gt;&lt;wsp:rsid wsp:val=&quot;06420522&quot;/&gt;&lt;wsp:rsid wsp:val=&quot;064249C6&quot;/&gt;&lt;wsp:rsid wsp:val=&quot;06436049&quot;/&gt;&lt;wsp:rsid wsp:val=&quot;064424ED&quot;/&gt;&lt;wsp:rsid wsp:val=&quot;06466906&quot;/&gt;&lt;wsp:rsid wsp:val=&quot;0648365F&quot;/&gt;&lt;wsp:rsid wsp:val=&quot;064A5629&quot;/&gt;&lt;wsp:rsid wsp:val=&quot;064A72F9&quot;/&gt;&lt;wsp:rsid wsp:val=&quot;064A73D7&quot;/&gt;&lt;wsp:rsid wsp:val=&quot;064C13A1&quot;/&gt;&lt;wsp:rsid wsp:val=&quot;065026A6&quot;/&gt;&lt;wsp:rsid wsp:val=&quot;0650515A&quot;/&gt;&lt;wsp:rsid wsp:val=&quot;065344DE&quot;/&gt;&lt;wsp:rsid wsp:val=&quot;06565D7C&quot;/&gt;&lt;wsp:rsid wsp:val=&quot;0657245C&quot;/&gt;&lt;wsp:rsid wsp:val=&quot;06581AF4&quot;/&gt;&lt;wsp:rsid wsp:val=&quot;065B15E4&quot;/&gt;&lt;wsp:rsid wsp:val=&quot;065B7800&quot;/&gt;&lt;wsp:rsid wsp:val=&quot;065B7836&quot;/&gt;&lt;wsp:rsid wsp:val=&quot;065E2E82&quot;/&gt;&lt;wsp:rsid wsp:val=&quot;06604E4C&quot;/&gt;&lt;wsp:rsid wsp:val=&quot;06622973&quot;/&gt;&lt;wsp:rsid wsp:val=&quot;06624721&quot;/&gt;&lt;wsp:rsid wsp:val=&quot;066A1827&quot;/&gt;&lt;wsp:rsid wsp:val=&quot;066C559F&quot;/&gt;&lt;wsp:rsid wsp:val=&quot;066E30C6&quot;/&gt;&lt;wsp:rsid wsp:val=&quot;066E57BB&quot;/&gt;&lt;wsp:rsid wsp:val=&quot;066F6FA2&quot;/&gt;&lt;wsp:rsid wsp:val=&quot;06717BF5&quot;/&gt;&lt;wsp:rsid wsp:val=&quot;06743E9A&quot;/&gt;&lt;wsp:rsid wsp:val=&quot;067601CC&quot;/&gt;&lt;wsp:rsid wsp:val=&quot;067642A4&quot;/&gt;&lt;wsp:rsid wsp:val=&quot;06764670&quot;/&gt;&lt;wsp:rsid wsp:val=&quot;067716B0&quot;/&gt;&lt;wsp:rsid wsp:val=&quot;067803E8&quot;/&gt;&lt;wsp:rsid wsp:val=&quot;067A4160&quot;/&gt;&lt;wsp:rsid wsp:val=&quot;067A7CBC&quot;/&gt;&lt;wsp:rsid wsp:val=&quot;067B3A34&quot;/&gt;&lt;wsp:rsid wsp:val=&quot;067C0116&quot;/&gt;&lt;wsp:rsid wsp:val=&quot;067C1376&quot;/&gt;&lt;wsp:rsid wsp:val=&quot;067C3F20&quot;/&gt;&lt;wsp:rsid wsp:val=&quot;067D59FE&quot;/&gt;&lt;wsp:rsid wsp:val=&quot;067D77AC&quot;/&gt;&lt;wsp:rsid wsp:val=&quot;067E2910&quot;/&gt;&lt;wsp:rsid wsp:val=&quot;067F3525&quot;/&gt;&lt;wsp:rsid wsp:val=&quot;067F6A97&quot;/&gt;&lt;wsp:rsid wsp:val=&quot;06807F27&quot;/&gt;&lt;wsp:rsid wsp:val=&quot;068414E6&quot;/&gt;&lt;wsp:rsid wsp:val=&quot;06846D8D&quot;/&gt;&lt;wsp:rsid wsp:val=&quot;06856661&quot;/&gt;&lt;wsp:rsid wsp:val=&quot;06860D59&quot;/&gt;&lt;wsp:rsid wsp:val=&quot;06863D99&quot;/&gt;&lt;wsp:rsid wsp:val=&quot;068648B3&quot;/&gt;&lt;wsp:rsid wsp:val=&quot;0687062B&quot;/&gt;&lt;wsp:rsid wsp:val=&quot;068723D9&quot;/&gt;&lt;wsp:rsid wsp:val=&quot;06874187&quot;/&gt;&lt;wsp:rsid wsp:val=&quot;068943A3&quot;/&gt;&lt;wsp:rsid wsp:val=&quot;068A3169&quot;/&gt;&lt;wsp:rsid wsp:val=&quot;068A3C77&quot;/&gt;&lt;wsp:rsid wsp:val=&quot;068B011B&quot;/&gt;&lt;wsp:rsid wsp:val=&quot;068C109B&quot;/&gt;&lt;wsp:rsid wsp:val=&quot;068C5C42&quot;/&gt;&lt;wsp:rsid wsp:val=&quot;068C6DA8&quot;/&gt;&lt;wsp:rsid wsp:val=&quot;068E19BA&quot;/&gt;&lt;wsp:rsid wsp:val=&quot;068E3768&quot;/&gt;&lt;wsp:rsid wsp:val=&quot;068E5516&quot;/&gt;&lt;wsp:rsid wsp:val=&quot;068F29C4&quot;/&gt;&lt;wsp:rsid wsp:val=&quot;069006E6&quot;/&gt;&lt;wsp:rsid wsp:val=&quot;06905732&quot;/&gt;&lt;wsp:rsid wsp:val=&quot;06913258&quot;/&gt;&lt;wsp:rsid wsp:val=&quot;06913A7D&quot;/&gt;&lt;wsp:rsid wsp:val=&quot;06915006&quot;/&gt;&lt;wsp:rsid wsp:val=&quot;06921D2E&quot;/&gt;&lt;wsp:rsid wsp:val=&quot;0693207B&quot;/&gt;&lt;wsp:rsid wsp:val=&quot;069468A4&quot;/&gt;&lt;wsp:rsid wsp:val=&quot;06972968&quot;/&gt;&lt;wsp:rsid wsp:val=&quot;06976AC0&quot;/&gt;&lt;wsp:rsid wsp:val=&quot;06982838&quot;/&gt;&lt;wsp:rsid wsp:val=&quot;0699791D&quot;/&gt;&lt;wsp:rsid wsp:val=&quot;069A1511&quot;/&gt;&lt;wsp:rsid wsp:val=&quot;069A3EBB&quot;/&gt;&lt;wsp:rsid wsp:val=&quot;069B290D&quot;/&gt;&lt;wsp:rsid wsp:val=&quot;069B5E85&quot;/&gt;&lt;wsp:rsid wsp:val=&quot;069B7C33&quot;/&gt;&lt;wsp:rsid wsp:val=&quot;069C40D7&quot;/&gt;&lt;wsp:rsid wsp:val=&quot;069D39AB&quot;/&gt;&lt;wsp:rsid wsp:val=&quot;069D6E76&quot;/&gt;&lt;wsp:rsid wsp:val=&quot;069E34B0&quot;/&gt;&lt;wsp:rsid wsp:val=&quot;06A07511&quot;/&gt;&lt;wsp:rsid wsp:val=&quot;06A27213&quot;/&gt;&lt;wsp:rsid wsp:val=&quot;06A37C3B&quot;/&gt;&lt;wsp:rsid wsp:val=&quot;06A42F8B&quot;/&gt;&lt;wsp:rsid wsp:val=&quot;06A47322&quot;/&gt;&lt;wsp:rsid wsp:val=&quot;06A604B4&quot;/&gt;&lt;wsp:rsid wsp:val=&quot;06A64F55&quot;/&gt;&lt;wsp:rsid wsp:val=&quot;06A75CA3&quot;/&gt;&lt;wsp:rsid wsp:val=&quot;06A95C2E&quot;/&gt;&lt;wsp:rsid wsp:val=&quot;06AB256C&quot;/&gt;&lt;wsp:rsid wsp:val=&quot;06AB60C8&quot;/&gt;&lt;wsp:rsid wsp:val=&quot;06B153D4&quot;/&gt;&lt;wsp:rsid wsp:val=&quot;06B34246&quot;/&gt;&lt;wsp:rsid wsp:val=&quot;06B44301&quot;/&gt;&lt;wsp:rsid wsp:val=&quot;06B46E17&quot;/&gt;&lt;wsp:rsid wsp:val=&quot;06B676F4&quot;/&gt;&lt;wsp:rsid wsp:val=&quot;06B807E5&quot;/&gt;&lt;wsp:rsid wsp:val=&quot;06B86C6A&quot;/&gt;&lt;wsp:rsid wsp:val=&quot;06BA630B&quot;/&gt;&lt;wsp:rsid wsp:val=&quot;06BF1B73&quot;/&gt;&lt;wsp:rsid wsp:val=&quot;06BF7DC5&quot;/&gt;&lt;wsp:rsid wsp:val=&quot;06C13B3D&quot;/&gt;&lt;wsp:rsid wsp:val=&quot;06C17D49&quot;/&gt;&lt;wsp:rsid wsp:val=&quot;06C21162&quot;/&gt;&lt;wsp:rsid wsp:val=&quot;06C21663&quot;/&gt;&lt;wsp:rsid wsp:val=&quot;06C4362D&quot;/&gt;&lt;wsp:rsid wsp:val=&quot;06C61153&quot;/&gt;&lt;wsp:rsid wsp:val=&quot;06C90C44&quot;/&gt;&lt;wsp:rsid wsp:val=&quot;06C929F2&quot;/&gt;&lt;wsp:rsid wsp:val=&quot;06C947A0&quot;/&gt;&lt;wsp:rsid wsp:val=&quot;06CA3201&quot;/&gt;&lt;wsp:rsid wsp:val=&quot;06CB49BC&quot;/&gt;&lt;wsp:rsid wsp:val=&quot;06CC4290&quot;/&gt;&lt;wsp:rsid wsp:val=&quot;06CE625A&quot;/&gt;&lt;wsp:rsid wsp:val=&quot;06D05B2E&quot;/&gt;&lt;wsp:rsid wsp:val=&quot;06D21D6E&quot;/&gt;&lt;wsp:rsid wsp:val=&quot;06D44CBF&quot;/&gt;&lt;wsp:rsid wsp:val=&quot;06D46400&quot;/&gt;&lt;wsp:rsid wsp:val=&quot;06D80E87&quot;/&gt;&lt;wsp:rsid wsp:val=&quot;06D870D9&quot;/&gt;&lt;wsp:rsid wsp:val=&quot;06DC0977&quot;/&gt;&lt;wsp:rsid wsp:val=&quot;06DD024B&quot;/&gt;&lt;wsp:rsid wsp:val=&quot;06DE46EF&quot;/&gt;&lt;wsp:rsid wsp:val=&quot;06DF0467&quot;/&gt;&lt;wsp:rsid wsp:val=&quot;06DF3FC3&quot;/&gt;&lt;wsp:rsid wsp:val=&quot;06E17D3B&quot;/&gt;&lt;wsp:rsid wsp:val=&quot;06E23AB3&quot;/&gt;&lt;wsp:rsid wsp:val=&quot;06E31BE3&quot;/&gt;&lt;wsp:rsid wsp:val=&quot;06E31D05&quot;/&gt;&lt;wsp:rsid wsp:val=&quot;06E67100&quot;/&gt;&lt;wsp:rsid wsp:val=&quot;06E710CA&quot;/&gt;&lt;wsp:rsid wsp:val=&quot;06E845C5&quot;/&gt;&lt;wsp:rsid wsp:val=&quot;06EB0BBA&quot;/&gt;&lt;wsp:rsid wsp:val=&quot;06EB2968&quot;/&gt;&lt;wsp:rsid wsp:val=&quot;06EE2458&quot;/&gt;&lt;wsp:rsid wsp:val=&quot;06F02BDD&quot;/&gt;&lt;wsp:rsid wsp:val=&quot;06F35CC1&quot;/&gt;&lt;wsp:rsid wsp:val=&quot;06F85085&quot;/&gt;&lt;wsp:rsid wsp:val=&quot;06FA0DFD&quot;/&gt;&lt;wsp:rsid wsp:val=&quot;06FA2BAB&quot;/&gt;&lt;wsp:rsid wsp:val=&quot;06FB7310&quot;/&gt;&lt;wsp:rsid wsp:val=&quot;06FC4B75&quot;/&gt;&lt;wsp:rsid wsp:val=&quot;06FC6923&quot;/&gt;&lt;wsp:rsid wsp:val=&quot;06FD269B&quot;/&gt;&lt;wsp:rsid wsp:val=&quot;070103DE&quot;/&gt;&lt;wsp:rsid wsp:val=&quot;07043D9E&quot;/&gt;&lt;wsp:rsid wsp:val=&quot;0704692D&quot;/&gt;&lt;wsp:rsid wsp:val=&quot;07061550&quot;/&gt;&lt;wsp:rsid wsp:val=&quot;070659F4&quot;/&gt;&lt;wsp:rsid wsp:val=&quot;07091040&quot;/&gt;&lt;wsp:rsid wsp:val=&quot;070B300A&quot;/&gt;&lt;wsp:rsid wsp:val=&quot;070C28DE&quot;/&gt;&lt;wsp:rsid wsp:val=&quot;070C4C2F&quot;/&gt;&lt;wsp:rsid wsp:val=&quot;070E394A&quot;/&gt;&lt;wsp:rsid wsp:val=&quot;070E48A8&quot;/&gt;&lt;wsp:rsid wsp:val=&quot;070F58BA&quot;/&gt;&lt;wsp:rsid wsp:val=&quot;07155C37&quot;/&gt;&lt;wsp:rsid wsp:val=&quot;07177C01&quot;/&gt;&lt;wsp:rsid wsp:val=&quot;071874D5&quot;/&gt;&lt;wsp:rsid wsp:val=&quot;071A4FFB&quot;/&gt;&lt;wsp:rsid wsp:val=&quot;071C34B5&quot;/&gt;&lt;wsp:rsid wsp:val=&quot;071E0F8F&quot;/&gt;&lt;wsp:rsid wsp:val=&quot;071F6AB6&quot;/&gt;&lt;wsp:rsid wsp:val=&quot;0721282E&quot;/&gt;&lt;wsp:rsid wsp:val=&quot;07222102&quot;/&gt;&lt;wsp:rsid wsp:val=&quot;0728596A&quot;/&gt;&lt;wsp:rsid wsp:val=&quot;07293586&quot;/&gt;&lt;wsp:rsid wsp:val=&quot;07295285&quot;/&gt;&lt;wsp:rsid wsp:val=&quot;072C31D4&quot;/&gt;&lt;wsp:rsid wsp:val=&quot;072D2F81&quot;/&gt;&lt;wsp:rsid wsp:val=&quot;072F4F4B&quot;/&gt;&lt;wsp:rsid wsp:val=&quot;072F5DBC&quot;/&gt;&lt;wsp:rsid wsp:val=&quot;072F799E&quot;/&gt;&lt;wsp:rsid wsp:val=&quot;07305894&quot;/&gt;&lt;wsp:rsid wsp:val=&quot;07305FB4&quot;/&gt;&lt;wsp:rsid wsp:val=&quot;073065CD&quot;/&gt;&lt;wsp:rsid wsp:val=&quot;07320597&quot;/&gt;&lt;wsp:rsid wsp:val=&quot;073267E9&quot;/&gt;&lt;wsp:rsid wsp:val=&quot;073360BD&quot;/&gt;&lt;wsp:rsid wsp:val=&quot;07342561&quot;/&gt;&lt;wsp:rsid wsp:val=&quot;07350087&quot;/&gt;&lt;wsp:rsid wsp:val=&quot;07351E35&quot;/&gt;&lt;wsp:rsid wsp:val=&quot;07352BCC&quot;/&gt;&lt;wsp:rsid wsp:val=&quot;07373DFF&quot;/&gt;&lt;wsp:rsid wsp:val=&quot;0737795B&quot;/&gt;&lt;wsp:rsid wsp:val=&quot;07391925&quot;/&gt;&lt;wsp:rsid wsp:val=&quot;07397B77&quot;/&gt;&lt;wsp:rsid wsp:val=&quot;073A569E&quot;/&gt;&lt;wsp:rsid wsp:val=&quot;073C1416&quot;/&gt;&lt;wsp:rsid wsp:val=&quot;073C31C4&quot;/&gt;&lt;wsp:rsid wsp:val=&quot;073C5AF2&quot;/&gt;&lt;wsp:rsid wsp:val=&quot;073E3C7E&quot;/&gt;&lt;wsp:rsid wsp:val=&quot;073E5294&quot;/&gt;&lt;wsp:rsid wsp:val=&quot;073E6F3C&quot;/&gt;&lt;wsp:rsid wsp:val=&quot;073F2CB4&quot;/&gt;&lt;wsp:rsid wsp:val=&quot;07416A2C&quot;/&gt;&lt;wsp:rsid wsp:val=&quot;074309F6&quot;/&gt;&lt;wsp:rsid wsp:val=&quot;074327A4&quot;/&gt;&lt;wsp:rsid wsp:val=&quot;07436660&quot;/&gt;&lt;wsp:rsid wsp:val=&quot;07447AF0&quot;/&gt;&lt;wsp:rsid wsp:val=&quot;07464042&quot;/&gt;&lt;wsp:rsid wsp:val=&quot;07477BB2&quot;/&gt;&lt;wsp:rsid wsp:val=&quot;07481B68&quot;/&gt;&lt;wsp:rsid wsp:val=&quot;0748600C&quot;/&gt;&lt;wsp:rsid wsp:val=&quot;07486471&quot;/&gt;&lt;wsp:rsid wsp:val=&quot;0749768F&quot;/&gt;&lt;wsp:rsid wsp:val=&quot;074A1D85&quot;/&gt;&lt;wsp:rsid wsp:val=&quot;074A3B33&quot;/&gt;&lt;wsp:rsid wsp:val=&quot;074B3407&quot;/&gt;&lt;wsp:rsid wsp:val=&quot;074B78AB&quot;/&gt;&lt;wsp:rsid wsp:val=&quot;074D28B2&quot;/&gt;&lt;wsp:rsid wsp:val=&quot;074D53D1&quot;/&gt;&lt;wsp:rsid wsp:val=&quot;074D717F&quot;/&gt;&lt;wsp:rsid wsp:val=&quot;074F1149&quot;/&gt;&lt;wsp:rsid wsp:val=&quot;074F4623&quot;/&gt;&lt;wsp:rsid wsp:val=&quot;074F739B&quot;/&gt;&lt;wsp:rsid wsp:val=&quot;07500A1D&quot;/&gt;&lt;wsp:rsid wsp:val=&quot;07510F1E&quot;/&gt;&lt;wsp:rsid wsp:val=&quot;07524795&quot;/&gt;&lt;wsp:rsid wsp:val=&quot;0753050D&quot;/&gt;&lt;wsp:rsid wsp:val=&quot;07536155&quot;/&gt;&lt;wsp:rsid wsp:val=&quot;075449B1&quot;/&gt;&lt;wsp:rsid wsp:val=&quot;0754675F&quot;/&gt;&lt;wsp:rsid wsp:val=&quot;075475E5&quot;/&gt;&lt;wsp:rsid wsp:val=&quot;07550729&quot;/&gt;&lt;wsp:rsid wsp:val=&quot;07577FFE&quot;/&gt;&lt;wsp:rsid wsp:val=&quot;075C34FB&quot;/&gt;&lt;wsp:rsid wsp:val=&quot;075C73C2&quot;/&gt;&lt;wsp:rsid wsp:val=&quot;075E138C&quot;/&gt;&lt;wsp:rsid wsp:val=&quot;075F5104&quot;/&gt;&lt;wsp:rsid wsp:val=&quot;07604BD4&quot;/&gt;&lt;wsp:rsid wsp:val=&quot;07636392&quot;/&gt;&lt;wsp:rsid wsp:val=&quot;07660241&quot;/&gt;&lt;wsp:rsid wsp:val=&quot;076646E5&quot;/&gt;&lt;wsp:rsid wsp:val=&quot;07666493&quot;/&gt;&lt;wsp:rsid wsp:val=&quot;0768045D&quot;/&gt;&lt;wsp:rsid wsp:val=&quot;076845A8&quot;/&gt;&lt;wsp:rsid wsp:val=&quot;07685977&quot;/&gt;&lt;wsp:rsid wsp:val=&quot;07691ABC&quot;/&gt;&lt;wsp:rsid wsp:val=&quot;07691ADF&quot;/&gt;&lt;wsp:rsid wsp:val=&quot;076A6D07&quot;/&gt;&lt;wsp:rsid wsp:val=&quot;07702E6D&quot;/&gt;&lt;wsp:rsid wsp:val=&quot;07706FB0&quot;/&gt;&lt;wsp:rsid wsp:val=&quot;07754928&quot;/&gt;&lt;wsp:rsid wsp:val=&quot;07762B7A&quot;/&gt;&lt;wsp:rsid wsp:val=&quot;07770C56&quot;/&gt;&lt;wsp:rsid wsp:val=&quot;0777297F&quot;/&gt;&lt;wsp:rsid wsp:val=&quot;077811A5&quot;/&gt;&lt;wsp:rsid wsp:val=&quot;077961C6&quot;/&gt;&lt;wsp:rsid wsp:val=&quot;077A1F3E&quot;/&gt;&lt;wsp:rsid wsp:val=&quot;077B0190&quot;/&gt;&lt;wsp:rsid wsp:val=&quot;077E1A2E&quot;/&gt;&lt;wsp:rsid wsp:val=&quot;077E558A&quot;/&gt;&lt;wsp:rsid wsp:val=&quot;077F1302&quot;/&gt;&lt;wsp:rsid wsp:val=&quot;07801ECC&quot;/&gt;&lt;wsp:rsid wsp:val=&quot;07805172&quot;/&gt;&lt;wsp:rsid wsp:val=&quot;0781507A&quot;/&gt;&lt;wsp:rsid wsp:val=&quot;07827A92&quot;/&gt;&lt;wsp:rsid wsp:val=&quot;07832BA1&quot;/&gt;&lt;wsp:rsid wsp:val=&quot;07846626&quot;/&gt;&lt;wsp:rsid wsp:val=&quot;07854B6B&quot;/&gt;&lt;wsp:rsid wsp:val=&quot;07857B54&quot;/&gt;&lt;wsp:rsid wsp:val=&quot;07893136&quot;/&gt;&lt;wsp:rsid wsp:val=&quot;07893F2F&quot;/&gt;&lt;wsp:rsid wsp:val=&quot;078B414B&quot;/&gt;&lt;wsp:rsid wsp:val=&quot;078B5CF1&quot;/&gt;&lt;wsp:rsid wsp:val=&quot;078C2285&quot;/&gt;&lt;wsp:rsid wsp:val=&quot;078D0392&quot;/&gt;&lt;wsp:rsid wsp:val=&quot;078E1545&quot;/&gt;&lt;wsp:rsid wsp:val=&quot;078F7F52&quot;/&gt;&lt;wsp:rsid wsp:val=&quot;07910380&quot;/&gt;&lt;wsp:rsid wsp:val=&quot;07911761&quot;/&gt;&lt;wsp:rsid wsp:val=&quot;07917C6B&quot;/&gt;&lt;wsp:rsid wsp:val=&quot;079254DA&quot;/&gt;&lt;wsp:rsid wsp:val=&quot;07941252&quot;/&gt;&lt;wsp:rsid wsp:val=&quot;07944DAE&quot;/&gt;&lt;wsp:rsid wsp:val=&quot;07950B26&quot;/&gt;&lt;wsp:rsid wsp:val=&quot;0797489E&quot;/&gt;&lt;wsp:rsid wsp:val=&quot;0797664C&quot;/&gt;&lt;wsp:rsid wsp:val=&quot;079923C4&quot;/&gt;&lt;wsp:rsid wsp:val=&quot;07996868&quot;/&gt;&lt;wsp:rsid wsp:val=&quot;079A16F4&quot;/&gt;&lt;wsp:rsid wsp:val=&quot;079B25E0&quot;/&gt;&lt;wsp:rsid wsp:val=&quot;079B438E&quot;/&gt;&lt;wsp:rsid wsp:val=&quot;079C3C62&quot;/&gt;&lt;wsp:rsid wsp:val=&quot;079E06FB&quot;/&gt;&lt;wsp:rsid wsp:val=&quot;079E5C2C&quot;/&gt;&lt;wsp:rsid wsp:val=&quot;07A05C0E&quot;/&gt;&lt;wsp:rsid wsp:val=&quot;07A07BF6&quot;/&gt;&lt;wsp:rsid wsp:val=&quot;07A11279&quot;/&gt;&lt;wsp:rsid wsp:val=&quot;07A14383&quot;/&gt;&lt;wsp:rsid wsp:val=&quot;07A174CB&quot;/&gt;&lt;wsp:rsid wsp:val=&quot;07A2707C&quot;/&gt;&lt;wsp:rsid wsp:val=&quot;07A33243&quot;/&gt;&lt;wsp:rsid wsp:val=&quot;07A42E2C&quot;/&gt;&lt;wsp:rsid wsp:val=&quot;07A50D69&quot;/&gt;&lt;wsp:rsid wsp:val=&quot;07A559FD&quot;/&gt;&lt;wsp:rsid wsp:val=&quot;07A56FBB&quot;/&gt;&lt;wsp:rsid wsp:val=&quot;07A92310&quot;/&gt;&lt;wsp:rsid wsp:val=&quot;07AC1A3E&quot;/&gt;&lt;wsp:rsid wsp:val=&quot;07B205E1&quot;/&gt;&lt;wsp:rsid wsp:val=&quot;07B23486&quot;/&gt;&lt;wsp:rsid wsp:val=&quot;07B436A2&quot;/&gt;&lt;wsp:rsid wsp:val=&quot;07B812A2&quot;/&gt;&lt;wsp:rsid wsp:val=&quot;07BA6D2A&quot;/&gt;&lt;wsp:rsid wsp:val=&quot;07BB058C&quot;/&gt;&lt;wsp:rsid wsp:val=&quot;07BC2556&quot;/&gt;&lt;wsp:rsid wsp:val=&quot;07BE7AF8&quot;/&gt;&lt;wsp:rsid wsp:val=&quot;07BF1A61&quot;/&gt;&lt;wsp:rsid wsp:val=&quot;07C05BA3&quot;/&gt;&lt;wsp:rsid wsp:val=&quot;07C27AF6&quot;/&gt;&lt;wsp:rsid wsp:val=&quot;07C363B5&quot;/&gt;&lt;wsp:rsid wsp:val=&quot;07C37441&quot;/&gt;&lt;wsp:rsid wsp:val=&quot;07C531B9&quot;/&gt;&lt;wsp:rsid wsp:val=&quot;07C5765D&quot;/&gt;&lt;wsp:rsid wsp:val=&quot;07C91A81&quot;/&gt;&lt;wsp:rsid wsp:val=&quot;07CA07CF&quot;/&gt;&lt;wsp:rsid wsp:val=&quot;07CA4AA7&quot;/&gt;&lt;wsp:rsid wsp:val=&quot;07CA6A21&quot;/&gt;&lt;wsp:rsid wsp:val=&quot;07CE4C09&quot;/&gt;&lt;wsp:rsid wsp:val=&quot;07CF1338&quot;/&gt;&lt;wsp:rsid wsp:val=&quot;07CF4038&quot;/&gt;&lt;wsp:rsid wsp:val=&quot;07D21D7A&quot;/&gt;&lt;wsp:rsid wsp:val=&quot;07D23B28&quot;/&gt;&lt;wsp:rsid wsp:val=&quot;07D433FC&quot;/&gt;&lt;wsp:rsid wsp:val=&quot;07D478A0&quot;/&gt;&lt;wsp:rsid wsp:val=&quot;07D653C6&quot;/&gt;&lt;wsp:rsid wsp:val=&quot;07D7113E&quot;/&gt;&lt;wsp:rsid wsp:val=&quot;07D72EEC&quot;/&gt;&lt;wsp:rsid wsp:val=&quot;07D92D31&quot;/&gt;&lt;wsp:rsid wsp:val=&quot;07D948ED&quot;/&gt;&lt;wsp:rsid wsp:val=&quot;07DB0C2F&quot;/&gt;&lt;wsp:rsid wsp:val=&quot;07DB478B&quot;/&gt;&lt;wsp:rsid wsp:val=&quot;07DB63FB&quot;/&gt;&lt;wsp:rsid wsp:val=&quot;07DD49A7&quot;/&gt;&lt;wsp:rsid wsp:val=&quot;07DE427B&quot;/&gt;&lt;wsp:rsid wsp:val=&quot;07DE470A&quot;/&gt;&lt;wsp:rsid wsp:val=&quot;07E04497&quot;/&gt;&lt;wsp:rsid wsp:val=&quot;07E31891&quot;/&gt;&lt;wsp:rsid wsp:val=&quot;07E33A79&quot;/&gt;&lt;wsp:rsid wsp:val=&quot;07E35D35&quot;/&gt;&lt;wsp:rsid wsp:val=&quot;07E41A00&quot;/&gt;&lt;wsp:rsid wsp:val=&quot;07E51AAD&quot;/&gt;&lt;wsp:rsid wsp:val=&quot;07E5527B&quot;/&gt;&lt;wsp:rsid wsp:val=&quot;07E569E5&quot;/&gt;&lt;wsp:rsid wsp:val=&quot;07E61381&quot;/&gt;&lt;wsp:rsid wsp:val=&quot;07E6312F&quot;/&gt;&lt;wsp:rsid wsp:val=&quot;07E8334B&quot;/&gt;&lt;wsp:rsid wsp:val=&quot;07E850FA&quot;/&gt;&lt;wsp:rsid wsp:val=&quot;07EA42D2&quot;/&gt;&lt;wsp:rsid wsp:val=&quot;07ED0962&quot;/&gt;&lt;wsp:rsid wsp:val=&quot;07EE66EF&quot;/&gt;&lt;wsp:rsid wsp:val=&quot;07EF0236&quot;/&gt;&lt;wsp:rsid wsp:val=&quot;07EF6488&quot;/&gt;&lt;wsp:rsid wsp:val=&quot;07F25F78&quot;/&gt;&lt;wsp:rsid wsp:val=&quot;07F27D26&quot;/&gt;&lt;wsp:rsid wsp:val=&quot;07F341CA&quot;/&gt;&lt;wsp:rsid wsp:val=&quot;07F615C4&quot;/&gt;&lt;wsp:rsid wsp:val=&quot;07F7358F&quot;/&gt;&lt;wsp:rsid wsp:val=&quot;07F92E63&quot;/&gt;&lt;wsp:rsid wsp:val=&quot;07FA1055&quot;/&gt;&lt;wsp:rsid wsp:val=&quot;07FB4E2D&quot;/&gt;&lt;wsp:rsid wsp:val=&quot;07FC0BA5&quot;/&gt;&lt;wsp:rsid wsp:val=&quot;07FE66CB&quot;/&gt;&lt;wsp:rsid wsp:val=&quot;08010F28&quot;/&gt;&lt;wsp:rsid wsp:val=&quot;0802440D&quot;/&gt;&lt;wsp:rsid wsp:val=&quot;08035739&quot;/&gt;&lt;wsp:rsid wsp:val=&quot;0806421B&quot;/&gt;&lt;wsp:rsid wsp:val=&quot;080662FF&quot;/&gt;&lt;wsp:rsid wsp:val=&quot;080715F7&quot;/&gt;&lt;wsp:rsid wsp:val=&quot;08071A24&quot;/&gt;&lt;wsp:rsid wsp:val=&quot;080A32C2&quot;/&gt;&lt;wsp:rsid wsp:val=&quot;080A5070&quot;/&gt;&lt;wsp:rsid wsp:val=&quot;080C703A&quot;/&gt;&lt;wsp:rsid wsp:val=&quot;080D34CF&quot;/&gt;&lt;wsp:rsid wsp:val=&quot;080D690E&quot;/&gt;&lt;wsp:rsid wsp:val=&quot;080F08D8&quot;/&gt;&lt;wsp:rsid wsp:val=&quot;080F6B2A&quot;/&gt;&lt;wsp:rsid wsp:val=&quot;081128A2&quot;/&gt;&lt;wsp:rsid wsp:val=&quot;08123F24&quot;/&gt;&lt;wsp:rsid wsp:val=&quot;08140F75&quot;/&gt;&lt;wsp:rsid wsp:val=&quot;08147C9D&quot;/&gt;&lt;wsp:rsid wsp:val=&quot;081571C7&quot;/&gt;&lt;wsp:rsid wsp:val=&quot;08167EB9&quot;/&gt;&lt;wsp:rsid wsp:val=&quot;0817778D&quot;/&gt;&lt;wsp:rsid wsp:val=&quot;0818229C&quot;/&gt;&lt;wsp:rsid wsp:val=&quot;081845DE&quot;/&gt;&lt;wsp:rsid wsp:val=&quot;081B102B&quot;/&gt;&lt;wsp:rsid wsp:val=&quot;081C57E7&quot;/&gt;&lt;wsp:rsid wsp:val=&quot;081D79E5&quot;/&gt;&lt;wsp:rsid wsp:val=&quot;081E0B1B&quot;/&gt;&lt;wsp:rsid wsp:val=&quot;0822060B&quot;/&gt;&lt;wsp:rsid wsp:val=&quot;08232813&quot;/&gt;&lt;wsp:rsid wsp:val=&quot;082500FC&quot;/&gt;&lt;wsp:rsid wsp:val=&quot;08251EAA&quot;/&gt;&lt;wsp:rsid wsp:val=&quot;082617B3&quot;/&gt;&lt;wsp:rsid wsp:val=&quot;08272E75&quot;/&gt;&lt;wsp:rsid wsp:val=&quot;08273E74&quot;/&gt;&lt;wsp:rsid wsp:val=&quot;082779D0&quot;/&gt;&lt;wsp:rsid wsp:val=&quot;0828199A&quot;/&gt;&lt;wsp:rsid wsp:val=&quot;082827E7&quot;/&gt;&lt;wsp:rsid wsp:val=&quot;08283748&quot;/&gt;&lt;wsp:rsid wsp:val=&quot;082B3EF7&quot;/&gt;&lt;wsp:rsid wsp:val=&quot;082D6FB0&quot;/&gt;&lt;wsp:rsid wsp:val=&quot;082E1370&quot;/&gt;&lt;wsp:rsid wsp:val=&quot;082F13D5&quot;/&gt;&lt;wsp:rsid wsp:val=&quot;082F4AD6&quot;/&gt;&lt;wsp:rsid wsp:val=&quot;08311C34&quot;/&gt;&lt;wsp:rsid wsp:val=&quot;08332819&quot;/&gt;&lt;wsp:rsid wsp:val=&quot;08345F36&quot;/&gt;&lt;wsp:rsid wsp:val=&quot;08365E65&quot;/&gt;&lt;wsp:rsid wsp:val=&quot;0837398B&quot;/&gt;&lt;wsp:rsid wsp:val=&quot;08381BDD&quot;/&gt;&lt;wsp:rsid wsp:val=&quot;08395955&quot;/&gt;&lt;wsp:rsid wsp:val=&quot;083A10B9&quot;/&gt;&lt;wsp:rsid wsp:val=&quot;083C05DD&quot;/&gt;&lt;wsp:rsid wsp:val=&quot;083D3697&quot;/&gt;&lt;wsp:rsid wsp:val=&quot;084037EA&quot;/&gt;&lt;wsp:rsid wsp:val=&quot;08406CE4&quot;/&gt;&lt;wsp:rsid wsp:val=&quot;08417F6A&quot;/&gt;&lt;wsp:rsid wsp:val=&quot;084270BC&quot;/&gt;&lt;wsp:rsid wsp:val=&quot;08444A26&quot;/&gt;&lt;wsp:rsid wsp:val=&quot;08452613&quot;/&gt;&lt;wsp:rsid wsp:val=&quot;08464A84&quot;/&gt;&lt;wsp:rsid wsp:val=&quot;08470AEB&quot;/&gt;&lt;wsp:rsid wsp:val=&quot;084762C4&quot;/&gt;&lt;wsp:rsid wsp:val=&quot;08485B98&quot;/&gt;&lt;wsp:rsid wsp:val=&quot;084939FF&quot;/&gt;&lt;wsp:rsid wsp:val=&quot;0849771D&quot;/&gt;&lt;wsp:rsid wsp:val=&quot;084C7436&quot;/&gt;&lt;wsp:rsid wsp:val=&quot;084E7652&quot;/&gt;&lt;wsp:rsid wsp:val=&quot;084F5179&quot;/&gt;&lt;wsp:rsid wsp:val=&quot;08512CB2&quot;/&gt;&lt;wsp:rsid wsp:val=&quot;085207C5&quot;/&gt;&lt;wsp:rsid wsp:val=&quot;085539AF&quot;/&gt;&lt;wsp:rsid wsp:val=&quot;0858402D&quot;/&gt;&lt;wsp:rsid wsp:val=&quot;0858732C&quot;/&gt;&lt;wsp:rsid wsp:val=&quot;08591B53&quot;/&gt;&lt;wsp:rsid wsp:val=&quot;085A5AD1&quot;/&gt;&lt;wsp:rsid wsp:val=&quot;085B58CB&quot;/&gt;&lt;wsp:rsid wsp:val=&quot;085D4452&quot;/&gt;&lt;wsp:rsid wsp:val=&quot;085D7896&quot;/&gt;&lt;wsp:rsid wsp:val=&quot;085E716A&quot;/&gt;&lt;wsp:rsid wsp:val=&quot;08602EE2&quot;/&gt;&lt;wsp:rsid wsp:val=&quot;086230FE&quot;/&gt;&lt;wsp:rsid wsp:val=&quot;08624EAC&quot;/&gt;&lt;wsp:rsid wsp:val=&quot;08634780&quot;/&gt;&lt;wsp:rsid wsp:val=&quot;08646E76&quot;/&gt;&lt;wsp:rsid wsp:val=&quot;086557B5&quot;/&gt;&lt;wsp:rsid wsp:val=&quot;0865674A&quot;/&gt;&lt;wsp:rsid wsp:val=&quot;08664074&quot;/&gt;&lt;wsp:rsid wsp:val=&quot;08670714&quot;/&gt;&lt;wsp:rsid wsp:val=&quot;08674270&quot;/&gt;&lt;wsp:rsid wsp:val=&quot;0869448C&quot;/&gt;&lt;wsp:rsid wsp:val=&quot;0869623A&quot;/&gt;&lt;wsp:rsid wsp:val=&quot;086A1FB2&quot;/&gt;&lt;wsp:rsid wsp:val=&quot;086A3D60&quot;/&gt;&lt;wsp:rsid wsp:val=&quot;086A6A56&quot;/&gt;&lt;wsp:rsid wsp:val=&quot;086C1887&quot;/&gt;&lt;wsp:rsid wsp:val=&quot;086C5D2B&quot;/&gt;&lt;wsp:rsid wsp:val=&quot;086F75C9&quot;/&gt;&lt;wsp:rsid wsp:val=&quot;08713341&quot;/&gt;&lt;wsp:rsid wsp:val=&quot;087150EF&quot;/&gt;&lt;wsp:rsid wsp:val=&quot;08744BDF&quot;/&gt;&lt;wsp:rsid wsp:val=&quot;08760957&quot;/&gt;&lt;wsp:rsid wsp:val=&quot;087921F6&quot;/&gt;&lt;wsp:rsid wsp:val=&quot;087937D2&quot;/&gt;&lt;wsp:rsid wsp:val=&quot;087B3986&quot;/&gt;&lt;wsp:rsid wsp:val=&quot;087B41C0&quot;/&gt;&lt;wsp:rsid wsp:val=&quot;087B7D1C&quot;/&gt;&lt;wsp:rsid wsp:val=&quot;088352BB&quot;/&gt;&lt;wsp:rsid wsp:val=&quot;088618A1&quot;/&gt;&lt;wsp:rsid wsp:val=&quot;088766C0&quot;/&gt;&lt;wsp:rsid wsp:val=&quot;0889068B&quot;/&gt;&lt;wsp:rsid wsp:val=&quot;088A61B1&quot;/&gt;&lt;wsp:rsid wsp:val=&quot;088B080D&quot;/&gt;&lt;wsp:rsid wsp:val=&quot;088B74D0&quot;/&gt;&lt;wsp:rsid wsp:val=&quot;088C1F29&quot;/&gt;&lt;wsp:rsid wsp:val=&quot;088E3EF3&quot;/&gt;&lt;wsp:rsid wsp:val=&quot;088E5CA1&quot;/&gt;&lt;wsp:rsid wsp:val=&quot;088E7A4F&quot;/&gt;&lt;wsp:rsid wsp:val=&quot;089112ED&quot;/&gt;&lt;wsp:rsid wsp:val=&quot;08931509&quot;/&gt;&lt;wsp:rsid wsp:val=&quot;08961B37&quot;/&gt;&lt;wsp:rsid wsp:val=&quot;08964B56&quot;/&gt;&lt;wsp:rsid wsp:val=&quot;08980644&quot;/&gt;&lt;wsp:rsid wsp:val=&quot;089808CE&quot;/&gt;&lt;wsp:rsid wsp:val=&quot;089C787D&quot;/&gt;&lt;wsp:rsid wsp:val=&quot;089D4136&quot;/&gt;&lt;wsp:rsid wsp:val=&quot;08A059D4&quot;/&gt;&lt;wsp:rsid wsp:val=&quot;08A07D80&quot;/&gt;&lt;wsp:rsid wsp:val=&quot;08A13C26&quot;/&gt;&lt;wsp:rsid wsp:val=&quot;08A2174C&quot;/&gt;&lt;wsp:rsid wsp:val=&quot;08A31374&quot;/&gt;&lt;wsp:rsid wsp:val=&quot;08A41020&quot;/&gt;&lt;wsp:rsid wsp:val=&quot;08A46BE7&quot;/&gt;&lt;wsp:rsid wsp:val=&quot;08A52FEB&quot;/&gt;&lt;wsp:rsid wsp:val=&quot;08A54D99&quot;/&gt;&lt;wsp:rsid wsp:val=&quot;08A551D4&quot;/&gt;&lt;wsp:rsid wsp:val=&quot;08A6123D&quot;/&gt;&lt;wsp:rsid wsp:val=&quot;08A67A0E&quot;/&gt;&lt;wsp:rsid wsp:val=&quot;08A76D63&quot;/&gt;&lt;wsp:rsid wsp:val=&quot;08A90D2D&quot;/&gt;&lt;wsp:rsid wsp:val=&quot;08A92ADB&quot;/&gt;&lt;wsp:rsid wsp:val=&quot;08AB69AB&quot;/&gt;&lt;wsp:rsid wsp:val=&quot;08AC0DB1&quot;/&gt;&lt;wsp:rsid wsp:val=&quot;08AC25CB&quot;/&gt;&lt;wsp:rsid wsp:val=&quot;08AC35B4&quot;/&gt;&lt;wsp:rsid wsp:val=&quot;08AC4379&quot;/&gt;&lt;wsp:rsid wsp:val=&quot;08AC6127&quot;/&gt;&lt;wsp:rsid wsp:val=&quot;08B135FF&quot;/&gt;&lt;wsp:rsid wsp:val=&quot;08B1373D&quot;/&gt;&lt;wsp:rsid wsp:val=&quot;08B17BE1&quot;/&gt;&lt;wsp:rsid wsp:val=&quot;08B374B6&quot;/&gt;&lt;wsp:rsid wsp:val=&quot;08B4685D&quot;/&gt;&lt;wsp:rsid wsp:val=&quot;08B50FFC&quot;/&gt;&lt;wsp:rsid wsp:val=&quot;08B5322E&quot;/&gt;&lt;wsp:rsid wsp:val=&quot;08B53DF1&quot;/&gt;&lt;wsp:rsid wsp:val=&quot;08B576D2&quot;/&gt;&lt;wsp:rsid wsp:val=&quot;08B65A08&quot;/&gt;&lt;wsp:rsid wsp:val=&quot;08B66FA6&quot;/&gt;&lt;wsp:rsid wsp:val=&quot;08B8779C&quot;/&gt;&lt;wsp:rsid wsp:val=&quot;08B916C3&quot;/&gt;&lt;wsp:rsid wsp:val=&quot;08BA6A96&quot;/&gt;&lt;wsp:rsid wsp:val=&quot;08BB45BC&quot;/&gt;&lt;wsp:rsid wsp:val=&quot;08BB636A&quot;/&gt;&lt;wsp:rsid wsp:val=&quot;08BB7A19&quot;/&gt;&lt;wsp:rsid wsp:val=&quot;08BC0A60&quot;/&gt;&lt;wsp:rsid wsp:val=&quot;08BD6586&quot;/&gt;&lt;wsp:rsid wsp:val=&quot;08C04C7F&quot;/&gt;&lt;wsp:rsid wsp:val=&quot;08C07E24&quot;/&gt;&lt;wsp:rsid wsp:val=&quot;08C16076&quot;/&gt;&lt;wsp:rsid wsp:val=&quot;08C1610F&quot;/&gt;&lt;wsp:rsid wsp:val=&quot;08C3507A&quot;/&gt;&lt;wsp:rsid wsp:val=&quot;08C43471&quot;/&gt;&lt;wsp:rsid wsp:val=&quot;08C55F20&quot;/&gt;&lt;wsp:rsid wsp:val=&quot;08C61F81&quot;/&gt;&lt;wsp:rsid wsp:val=&quot;08C6368D&quot;/&gt;&lt;wsp:rsid wsp:val=&quot;08C77405&quot;/&gt;&lt;wsp:rsid wsp:val=&quot;08C82909&quot;/&gt;&lt;wsp:rsid wsp:val=&quot;08C848A1&quot;/&gt;&lt;wsp:rsid wsp:val=&quot;08C96CD9&quot;/&gt;&lt;wsp:rsid wsp:val=&quot;08CC0577&quot;/&gt;&lt;wsp:rsid wsp:val=&quot;08CF1E16&quot;/&gt;&lt;wsp:rsid wsp:val=&quot;08CF39D9&quot;/&gt;&lt;wsp:rsid wsp:val=&quot;08D00067&quot;/&gt;&lt;wsp:rsid wsp:val=&quot;08D04774&quot;/&gt;&lt;wsp:rsid wsp:val=&quot;08D12032&quot;/&gt;&lt;wsp:rsid wsp:val=&quot;08D31906&quot;/&gt;&lt;wsp:rsid wsp:val=&quot;08D35DAA&quot;/&gt;&lt;wsp:rsid wsp:val=&quot;08D51B22&quot;/&gt;&lt;wsp:rsid wsp:val=&quot;08D538D0&quot;/&gt;&lt;wsp:rsid wsp:val=&quot;08D631A4&quot;/&gt;&lt;wsp:rsid wsp:val=&quot;08D833C0&quot;/&gt;&lt;wsp:rsid wsp:val=&quot;08D8516E&quot;/&gt;&lt;wsp:rsid wsp:val=&quot;08DA0EE6&quot;/&gt;&lt;wsp:rsid wsp:val=&quot;08DA2C94&quot;/&gt;&lt;wsp:rsid wsp:val=&quot;08DB6A0C&quot;/&gt;&lt;wsp:rsid wsp:val=&quot;08DD4532&quot;/&gt;&lt;wsp:rsid wsp:val=&quot;08DF64FD&quot;/&gt;&lt;wsp:rsid wsp:val=&quot;08E104C7&quot;/&gt;&lt;wsp:rsid wsp:val=&quot;08E12275&quot;/&gt;&lt;wsp:rsid wsp:val=&quot;08E17D6D&quot;/&gt;&lt;wsp:rsid wsp:val=&quot;08E42E33&quot;/&gt;&lt;wsp:rsid wsp:val=&quot;08E458C1&quot;/&gt;&lt;wsp:rsid wsp:val=&quot;08E51639&quot;/&gt;&lt;wsp:rsid wsp:val=&quot;08E528FC&quot;/&gt;&lt;wsp:rsid wsp:val=&quot;08E6766C&quot;/&gt;&lt;wsp:rsid wsp:val=&quot;08E6788B&quot;/&gt;&lt;wsp:rsid wsp:val=&quot;08E76FAB&quot;/&gt;&lt;wsp:rsid wsp:val=&quot;08E828A9&quot;/&gt;&lt;wsp:rsid wsp:val=&quot;08E91129&quot;/&gt;&lt;wsp:rsid wsp:val=&quot;08E92ED7&quot;/&gt;&lt;wsp:rsid wsp:val=&quot;08EB30F3&quot;/&gt;&lt;wsp:rsid wsp:val=&quot;08EB4EA1&quot;/&gt;&lt;wsp:rsid wsp:val=&quot;08EB6C4F&quot;/&gt;&lt;wsp:rsid wsp:val=&quot;08EC0C19&quot;/&gt;&lt;wsp:rsid wsp:val=&quot;08EC29C7&quot;/&gt;&lt;wsp:rsid wsp:val=&quot;08EC3C9C&quot;/&gt;&lt;wsp:rsid wsp:val=&quot;08EE6740&quot;/&gt;&lt;wsp:rsid wsp:val=&quot;08EF6592&quot;/&gt;&lt;wsp:rsid wsp:val=&quot;08F024B8&quot;/&gt;&lt;wsp:rsid wsp:val=&quot;08F04266&quot;/&gt;&lt;wsp:rsid wsp:val=&quot;08F24482&quot;/&gt;&lt;wsp:rsid wsp:val=&quot;08F31FA8&quot;/&gt;&lt;wsp:rsid wsp:val=&quot;08F5187C&quot;/&gt;&lt;wsp:rsid wsp:val=&quot;08F63846&quot;/&gt;&lt;wsp:rsid wsp:val=&quot;08F951DD&quot;/&gt;&lt;wsp:rsid wsp:val=&quot;08FA3336&quot;/&gt;&lt;wsp:rsid wsp:val=&quot;08FA50E4&quot;/&gt;&lt;wsp:rsid wsp:val=&quot;08FA6E92&quot;/&gt;&lt;wsp:rsid wsp:val=&quot;08FB2771&quot;/&gt;&lt;wsp:rsid wsp:val=&quot;08FC3626&quot;/&gt;&lt;wsp:rsid wsp:val=&quot;08FF0C82&quot;/&gt;&lt;wsp:rsid wsp:val=&quot;08FF26FB&quot;/&gt;&lt;wsp:rsid wsp:val=&quot;09000221&quot;/&gt;&lt;wsp:rsid wsp:val=&quot;090137FA&quot;/&gt;&lt;wsp:rsid wsp:val=&quot;09016473&quot;/&gt;&lt;wsp:rsid wsp:val=&quot;0902043D&quot;/&gt;&lt;wsp:rsid wsp:val=&quot;090221EB&quot;/&gt;&lt;wsp:rsid wsp:val=&quot;09027603&quot;/&gt;&lt;wsp:rsid wsp:val=&quot;090441B5&quot;/&gt;&lt;wsp:rsid wsp:val=&quot;09044B9E&quot;/&gt;&lt;wsp:rsid wsp:val=&quot;09045F63&quot;/&gt;&lt;wsp:rsid wsp:val=&quot;09047D11&quot;/&gt;&lt;wsp:rsid wsp:val=&quot;09063A89&quot;/&gt;&lt;wsp:rsid wsp:val=&quot;09083475&quot;/&gt;&lt;wsp:rsid wsp:val=&quot;09093579&quot;/&gt;&lt;wsp:rsid wsp:val=&quot;090D12BC&quot;/&gt;&lt;wsp:rsid wsp:val=&quot;090D1B45&quot;/&gt;&lt;wsp:rsid wsp:val=&quot;09102B5A&quot;/&gt;&lt;wsp:rsid wsp:val=&quot;0911242E&quot;/&gt;&lt;wsp:rsid wsp:val=&quot;09120680&quot;/&gt;&lt;wsp:rsid wsp:val=&quot;0913264A&quot;/&gt;&lt;wsp:rsid wsp:val=&quot;09150170&quot;/&gt;&lt;wsp:rsid wsp:val=&quot;09151F1E&quot;/&gt;&lt;wsp:rsid wsp:val=&quot;09175C96&quot;/&gt;&lt;wsp:rsid wsp:val=&quot;091A12E3&quot;/&gt;&lt;wsp:rsid wsp:val=&quot;091F2D9D&quot;/&gt;&lt;wsp:rsid wsp:val=&quot;092108C3&quot;/&gt;&lt;wsp:rsid wsp:val=&quot;09212671&quot;/&gt;&lt;wsp:rsid wsp:val=&quot;092217DD&quot;/&gt;&lt;wsp:rsid wsp:val=&quot;0923288D&quot;/&gt;&lt;wsp:rsid wsp:val=&quot;092403B3&quot;/&gt;&lt;wsp:rsid wsp:val=&quot;09242161&quot;/&gt;&lt;wsp:rsid wsp:val=&quot;09245AAA&quot;/&gt;&lt;wsp:rsid wsp:val=&quot;0926237D&quot;/&gt;&lt;wsp:rsid wsp:val=&quot;09287EA3&quot;/&gt;&lt;wsp:rsid wsp:val=&quot;092927AE&quot;/&gt;&lt;wsp:rsid wsp:val=&quot;09292D87&quot;/&gt;&lt;wsp:rsid wsp:val=&quot;092959CA&quot;/&gt;&lt;wsp:rsid wsp:val=&quot;092E1232&quot;/&gt;&lt;wsp:rsid wsp:val=&quot;09300DA6&quot;/&gt;&lt;wsp:rsid wsp:val=&quot;09304FAA&quot;/&gt;&lt;wsp:rsid wsp:val=&quot;09306D58&quot;/&gt;&lt;wsp:rsid wsp:val=&quot;09336848&quot;/&gt;&lt;wsp:rsid wsp:val=&quot;09364DC9&quot;/&gt;&lt;wsp:rsid wsp:val=&quot;09382988&quot;/&gt;&lt;wsp:rsid wsp:val=&quot;093A3733&quot;/&gt;&lt;wsp:rsid wsp:val=&quot;093A7294&quot;/&gt;&lt;wsp:rsid wsp:val=&quot;093D1475&quot;/&gt;&lt;wsp:rsid wsp:val=&quot;093E76C7&quot;/&gt;&lt;wsp:rsid wsp:val=&quot;093F29B1&quot;/&gt;&lt;wsp:rsid wsp:val=&quot;093F29C2&quot;/&gt;&lt;wsp:rsid wsp:val=&quot;09410A35&quot;/&gt;&lt;wsp:rsid wsp:val=&quot;09414AC1&quot;/&gt;&lt;wsp:rsid wsp:val=&quot;09420839&quot;/&gt;&lt;wsp:rsid wsp:val=&quot;09436A8B&quot;/&gt;&lt;wsp:rsid wsp:val=&quot;09475E50&quot;/&gt;&lt;wsp:rsid wsp:val=&quot;09491BC8&quot;/&gt;&lt;wsp:rsid wsp:val=&quot;094B3B92&quot;/&gt;&lt;wsp:rsid wsp:val=&quot;094B59B5&quot;/&gt;&lt;wsp:rsid wsp:val=&quot;094B782F&quot;/&gt;&lt;wsp:rsid wsp:val=&quot;094C3466&quot;/&gt;&lt;wsp:rsid wsp:val=&quot;094E3682&quot;/&gt;&lt;wsp:rsid wsp:val=&quot;094F1627&quot;/&gt;&lt;wsp:rsid wsp:val=&quot;095073FA&quot;/&gt;&lt;wsp:rsid wsp:val=&quot;0951429E&quot;/&gt;&lt;wsp:rsid wsp:val=&quot;09532A47&quot;/&gt;&lt;wsp:rsid wsp:val=&quot;09542264&quot;/&gt;&lt;wsp:rsid wsp:val=&quot;09562B22&quot;/&gt;&lt;wsp:rsid wsp:val=&quot;09570789&quot;/&gt;&lt;wsp:rsid wsp:val=&quot;095742E5&quot;/&gt;&lt;wsp:rsid wsp:val=&quot;0958005D&quot;/&gt;&lt;wsp:rsid wsp:val=&quot;09585107&quot;/&gt;&lt;wsp:rsid wsp:val=&quot;095962AF&quot;/&gt;&lt;wsp:rsid wsp:val=&quot;095A2027&quot;/&gt;&lt;wsp:rsid wsp:val=&quot;095A3DD5&quot;/&gt;&lt;wsp:rsid wsp:val=&quot;095A5B83&quot;/&gt;&lt;wsp:rsid wsp:val=&quot;095C0F1D&quot;/&gt;&lt;wsp:rsid wsp:val=&quot;096124E4&quot;/&gt;&lt;wsp:rsid wsp:val=&quot;096133B5&quot;/&gt;&lt;wsp:rsid wsp:val=&quot;096236A8&quot;/&gt;&lt;wsp:rsid wsp:val=&quot;096609CC&quot;/&gt;&lt;wsp:rsid wsp:val=&quot;09664528&quot;/&gt;&lt;wsp:rsid wsp:val=&quot;09694018&quot;/&gt;&lt;wsp:rsid wsp:val=&quot;096A04BC&quot;/&gt;&lt;wsp:rsid wsp:val=&quot;096A533F&quot;/&gt;&lt;wsp:rsid wsp:val=&quot;096B7D90&quot;/&gt;&lt;wsp:rsid wsp:val=&quot;096C65C2&quot;/&gt;&lt;wsp:rsid wsp:val=&quot;096D3B08&quot;/&gt;&lt;wsp:rsid wsp:val=&quot;096E162B&quot;/&gt;&lt;wsp:rsid wsp:val=&quot;096E7880&quot;/&gt;&lt;wsp:rsid wsp:val=&quot;09711DE5&quot;/&gt;&lt;wsp:rsid wsp:val=&quot;0972111F&quot;/&gt;&lt;wsp:rsid wsp:val=&quot;09722ECD&quot;/&gt;&lt;wsp:rsid wsp:val=&quot;09727371&quot;/&gt;&lt;wsp:rsid wsp:val=&quot;097338C4&quot;/&gt;&lt;wsp:rsid wsp:val=&quot;09744D54&quot;/&gt;&lt;wsp:rsid wsp:val=&quot;09750C0F&quot;/&gt;&lt;wsp:rsid wsp:val=&quot;09756E61&quot;/&gt;&lt;wsp:rsid wsp:val=&quot;09761AF5&quot;/&gt;&lt;wsp:rsid wsp:val=&quot;09766816&quot;/&gt;&lt;wsp:rsid wsp:val=&quot;09772245&quot;/&gt;&lt;wsp:rsid wsp:val=&quot;097736D5&quot;/&gt;&lt;wsp:rsid wsp:val=&quot;0978425B&quot;/&gt;&lt;wsp:rsid wsp:val=&quot;097906FF&quot;/&gt;&lt;wsp:rsid wsp:val=&quot;097924AD&quot;/&gt;&lt;wsp:rsid wsp:val=&quot;097C2B40&quot;/&gt;&lt;wsp:rsid wsp:val=&quot;097C3D4B&quot;/&gt;&lt;wsp:rsid wsp:val=&quot;097D1872&quot;/&gt;&lt;wsp:rsid wsp:val=&quot;097E3F67&quot;/&gt;&lt;wsp:rsid wsp:val=&quot;097F5989&quot;/&gt;&lt;wsp:rsid wsp:val=&quot;098032F7&quot;/&gt;&lt;wsp:rsid wsp:val=&quot;098175B4&quot;/&gt;&lt;wsp:rsid wsp:val=&quot;0983332C&quot;/&gt;&lt;wsp:rsid wsp:val=&quot;098378B0&quot;/&gt;&lt;wsp:rsid wsp:val=&quot;09842C00&quot;/&gt;&lt;wsp:rsid wsp:val=&quot;098470A4&quot;/&gt;&lt;wsp:rsid wsp:val=&quot;09862E1C&quot;/&gt;&lt;wsp:rsid wsp:val=&quot;098B3F8E&quot;/&gt;&lt;wsp:rsid wsp:val=&quot;098D79C2&quot;/&gt;&lt;wsp:rsid wsp:val=&quot;098E3A7F&quot;/&gt;&lt;wsp:rsid wsp:val=&quot;098E58FB&quot;/&gt;&lt;wsp:rsid wsp:val=&quot;098E6D32&quot;/&gt;&lt;wsp:rsid wsp:val=&quot;098F7F23&quot;/&gt;&lt;wsp:rsid wsp:val=&quot;09903C9B&quot;/&gt;&lt;wsp:rsid wsp:val=&quot;099077F7&quot;/&gt;&lt;wsp:rsid wsp:val=&quot;09930631&quot;/&gt;&lt;wsp:rsid wsp:val=&quot;099472E7&quot;/&gt;&lt;wsp:rsid wsp:val=&quot;099512B1&quot;/&gt;&lt;wsp:rsid wsp:val=&quot;09954E0D&quot;/&gt;&lt;wsp:rsid wsp:val=&quot;0996182F&quot;/&gt;&lt;wsp:rsid wsp:val=&quot;0997182D&quot;/&gt;&lt;wsp:rsid wsp:val=&quot;09992BB0&quot;/&gt;&lt;wsp:rsid wsp:val=&quot;099948FD&quot;/&gt;&lt;wsp:rsid wsp:val=&quot;099A01B0&quot;/&gt;&lt;wsp:rsid wsp:val=&quot;099B68C7&quot;/&gt;&lt;wsp:rsid wsp:val=&quot;099F5C8C&quot;/&gt;&lt;wsp:rsid wsp:val=&quot;09A339CE&quot;/&gt;&lt;wsp:rsid wsp:val=&quot;09A3577C&quot;/&gt;&lt;wsp:rsid wsp:val=&quot;09A514F4&quot;/&gt;&lt;wsp:rsid wsp:val=&quot;09A552C3&quot;/&gt;&lt;wsp:rsid wsp:val=&quot;09A63E5B&quot;/&gt;&lt;wsp:rsid wsp:val=&quot;09A6701A&quot;/&gt;&lt;wsp:rsid wsp:val=&quot;09A80FE4&quot;/&gt;&lt;wsp:rsid wsp:val=&quot;09A83091&quot;/&gt;&lt;wsp:rsid wsp:val=&quot;09A911B7&quot;/&gt;&lt;wsp:rsid wsp:val=&quot;09AD480B&quot;/&gt;&lt;wsp:rsid wsp:val=&quot;09AD4EE5&quot;/&gt;&lt;wsp:rsid wsp:val=&quot;09AF2373&quot;/&gt;&lt;wsp:rsid wsp:val=&quot;09B2776D&quot;/&gt;&lt;wsp:rsid wsp:val=&quot;09B278C7&quot;/&gt;&lt;wsp:rsid wsp:val=&quot;09B36291&quot;/&gt;&lt;wsp:rsid wsp:val=&quot;09B554AF&quot;/&gt;&lt;wsp:rsid wsp:val=&quot;09B711FF&quot;/&gt;&lt;wsp:rsid wsp:val=&quot;09B71227&quot;/&gt;&lt;wsp:rsid wsp:val=&quot;09B72FD5&quot;/&gt;&lt;wsp:rsid wsp:val=&quot;09B74D83&quot;/&gt;&lt;wsp:rsid wsp:val=&quot;09B94F9F&quot;/&gt;&lt;wsp:rsid wsp:val=&quot;09B96D4E&quot;/&gt;&lt;wsp:rsid wsp:val=&quot;09BA2AC6&quot;/&gt;&lt;wsp:rsid wsp:val=&quot;09BA6059&quot;/&gt;&lt;wsp:rsid wsp:val=&quot;09BC683E&quot;/&gt;&lt;wsp:rsid wsp:val=&quot;09BD1661&quot;/&gt;&lt;wsp:rsid wsp:val=&quot;09BD3CE3&quot;/&gt;&lt;wsp:rsid wsp:val=&quot;09BE4364&quot;/&gt;&lt;wsp:rsid wsp:val=&quot;09C15C02&quot;/&gt;&lt;wsp:rsid wsp:val=&quot;09C33728&quot;/&gt;&lt;wsp:rsid wsp:val=&quot;09C37BCC&quot;/&gt;&lt;wsp:rsid wsp:val=&quot;09C4534A&quot;/&gt;&lt;wsp:rsid wsp:val=&quot;09C851E3&quot;/&gt;&lt;wsp:rsid wsp:val=&quot;09CB082F&quot;/&gt;&lt;wsp:rsid wsp:val=&quot;09CB4CD3&quot;/&gt;&lt;wsp:rsid wsp:val=&quot;09CC3D82&quot;/&gt;&lt;wsp:rsid wsp:val=&quot;09CD27F9&quot;/&gt;&lt;wsp:rsid wsp:val=&quot;09CE595E&quot;/&gt;&lt;wsp:rsid wsp:val=&quot;09CF031F&quot;/&gt;&lt;wsp:rsid wsp:val=&quot;09D04097&quot;/&gt;&lt;wsp:rsid wsp:val=&quot;09D26061&quot;/&gt;&lt;wsp:rsid wsp:val=&quot;09D35323&quot;/&gt;&lt;wsp:rsid wsp:val=&quot;09D516AE&quot;/&gt;&lt;wsp:rsid wsp:val=&quot;09D5345C&quot;/&gt;&lt;wsp:rsid wsp:val=&quot;09D57E5C&quot;/&gt;&lt;wsp:rsid wsp:val=&quot;09D65B51&quot;/&gt;&lt;wsp:rsid wsp:val=&quot;09D73678&quot;/&gt;&lt;wsp:rsid wsp:val=&quot;09D973F0&quot;/&gt;&lt;wsp:rsid wsp:val=&quot;09DA6CC4&quot;/&gt;&lt;wsp:rsid wsp:val=&quot;09DC2A3C&quot;/&gt;&lt;wsp:rsid wsp:val=&quot;09DC47EA&quot;/&gt;&lt;wsp:rsid wsp:val=&quot;09DE4A06&quot;/&gt;&lt;wsp:rsid wsp:val=&quot;09DE78F8&quot;/&gt;&lt;wsp:rsid wsp:val=&quot;09DF42DA&quot;/&gt;&lt;wsp:rsid wsp:val=&quot;09E0252C&quot;/&gt;&lt;wsp:rsid wsp:val=&quot;09E10931&quot;/&gt;&lt;wsp:rsid wsp:val=&quot;09E162A4&quot;/&gt;&lt;wsp:rsid wsp:val=&quot;09E22693&quot;/&gt;&lt;wsp:rsid wsp:val=&quot;09E32279&quot;/&gt;&lt;wsp:rsid wsp:val=&quot;09E33DCA&quot;/&gt;&lt;wsp:rsid wsp:val=&quot;09E813E1&quot;/&gt;&lt;wsp:rsid wsp:val=&quot;09ED2377&quot;/&gt;&lt;wsp:rsid wsp:val=&quot;09F064E7&quot;/&gt;&lt;wsp:rsid wsp:val=&quot;09F16263&quot;/&gt;&lt;wsp:rsid wsp:val=&quot;09F20866&quot;/&gt;&lt;wsp:rsid wsp:val=&quot;09F5224A&quot;/&gt;&lt;wsp:rsid wsp:val=&quot;09F63AFE&quot;/&gt;&lt;wsp:rsid wsp:val=&quot;09F63FDE&quot;/&gt;&lt;wsp:rsid wsp:val=&quot;09F71624&quot;/&gt;&lt;wsp:rsid wsp:val=&quot;09F77876&quot;/&gt;&lt;wsp:rsid wsp:val=&quot;09FB1114&quot;/&gt;&lt;wsp:rsid wsp:val=&quot;09FB7366&quot;/&gt;&lt;wsp:rsid wsp:val=&quot;09FC30DE&quot;/&gt;&lt;wsp:rsid wsp:val=&quot;09FE29B2&quot;/&gt;&lt;wsp:rsid wsp:val=&quot;09FE6E56&quot;/&gt;&lt;wsp:rsid wsp:val=&quot;0A002BCE&quot;/&gt;&lt;wsp:rsid wsp:val=&quot;0A00672A&quot;/&gt;&lt;wsp:rsid wsp:val=&quot;0A0124A3&quot;/&gt;&lt;wsp:rsid wsp:val=&quot;0A014251&quot;/&gt;&lt;wsp:rsid wsp:val=&quot;0A021C7D&quot;/&gt;&lt;wsp:rsid wsp:val=&quot;0A037FC9&quot;/&gt;&lt;wsp:rsid wsp:val=&quot;0A042DB5&quot;/&gt;&lt;wsp:rsid wsp:val=&quot;0A043EC0&quot;/&gt;&lt;wsp:rsid wsp:val=&quot;0A065F23&quot;/&gt;&lt;wsp:rsid wsp:val=&quot;0A081A83&quot;/&gt;&lt;wsp:rsid wsp:val=&quot;0A083831&quot;/&gt;&lt;wsp:rsid wsp:val=&quot;0A0855DF&quot;/&gt;&lt;wsp:rsid wsp:val=&quot;0A0A73CC&quot;/&gt;&lt;wsp:rsid wsp:val=&quot;0A0A75A9&quot;/&gt;&lt;wsp:rsid wsp:val=&quot;0A0B52DE&quot;/&gt;&lt;wsp:rsid wsp:val=&quot;0A0C3321&quot;/&gt;&lt;wsp:rsid wsp:val=&quot;0A0F4BBF&quot;/&gt;&lt;wsp:rsid wsp:val=&quot;0A1120C2&quot;/&gt;&lt;wsp:rsid wsp:val=&quot;0A1254C0&quot;/&gt;&lt;wsp:rsid wsp:val=&quot;0A125989&quot;/&gt;&lt;wsp:rsid wsp:val=&quot;0A157CFC&quot;/&gt;&lt;wsp:rsid wsp:val=&quot;0A1641A0&quot;/&gt;&lt;wsp:rsid wsp:val=&quot;0A171CC6&quot;/&gt;&lt;wsp:rsid wsp:val=&quot;0A1977EC&quot;/&gt;&lt;wsp:rsid wsp:val=&quot;0A1C6343&quot;/&gt;&lt;wsp:rsid wsp:val=&quot;0A1C72DC&quot;/&gt;&lt;wsp:rsid wsp:val=&quot;0A1D552E&quot;/&gt;&lt;wsp:rsid wsp:val=&quot;0A1E12A6&quot;/&gt;&lt;wsp:rsid wsp:val=&quot;0A1E3055&quot;/&gt;&lt;wsp:rsid wsp:val=&quot;0A1E4E03&quot;/&gt;&lt;wsp:rsid wsp:val=&quot;0A200B7B&quot;/&gt;&lt;wsp:rsid wsp:val=&quot;0A2166A1&quot;/&gt;&lt;wsp:rsid wsp:val=&quot;0A232C32&quot;/&gt;&lt;wsp:rsid wsp:val=&quot;0A233B87&quot;/&gt;&lt;wsp:rsid wsp:val=&quot;0A2368BD&quot;/&gt;&lt;wsp:rsid wsp:val=&quot;0A252635&quot;/&gt;&lt;wsp:rsid wsp:val=&quot;0A256191&quot;/&gt;&lt;wsp:rsid wsp:val=&quot;0A2564A7&quot;/&gt;&lt;wsp:rsid wsp:val=&quot;0A261F09&quot;/&gt;&lt;wsp:rsid wsp:val=&quot;0A263993&quot;/&gt;&lt;wsp:rsid wsp:val=&quot;0A27773E&quot;/&gt;&lt;wsp:rsid wsp:val=&quot;0A283ED3&quot;/&gt;&lt;wsp:rsid wsp:val=&quot;0A285C81&quot;/&gt;&lt;wsp:rsid wsp:val=&quot;0A2B3004&quot;/&gt;&lt;wsp:rsid wsp:val=&quot;0A2C5771&quot;/&gt;&lt;wsp:rsid wsp:val=&quot;0A2D14EA&quot;/&gt;&lt;wsp:rsid wsp:val=&quot;0A2D3298&quot;/&gt;&lt;wsp:rsid wsp:val=&quot;0A2D3AC2&quot;/&gt;&lt;wsp:rsid wsp:val=&quot;0A335ED5&quot;/&gt;&lt;wsp:rsid wsp:val=&quot;0A344626&quot;/&gt;&lt;wsp:rsid wsp:val=&quot;0A344DEA&quot;/&gt;&lt;wsp:rsid wsp:val=&quot;0A36039E&quot;/&gt;&lt;wsp:rsid wsp:val=&quot;0A365384&quot;/&gt;&lt;wsp:rsid wsp:val=&quot;0A374116&quot;/&gt;&lt;wsp:rsid wsp:val=&quot;0A375EC4&quot;/&gt;&lt;wsp:rsid wsp:val=&quot;0A382368&quot;/&gt;&lt;wsp:rsid wsp:val=&quot;0A395DAD&quot;/&gt;&lt;wsp:rsid wsp:val=&quot;0A3B1E0E&quot;/&gt;&lt;wsp:rsid wsp:val=&quot;0A3B3C06&quot;/&gt;&lt;wsp:rsid wsp:val=&quot;0A3B59B5&quot;/&gt;&lt;wsp:rsid wsp:val=&quot;0A3B7763&quot;/&gt;&lt;wsp:rsid wsp:val=&quot;0A3D5C96&quot;/&gt;&lt;wsp:rsid wsp:val=&quot;0A3D797F&quot;/&gt;&lt;wsp:rsid wsp:val=&quot;0A3E36F7&quot;/&gt;&lt;wsp:rsid wsp:val=&quot;0A3E54A5&quot;/&gt;&lt;wsp:rsid wsp:val=&quot;0A40746F&quot;/&gt;&lt;wsp:rsid wsp:val=&quot;0A410AF1&quot;/&gt;&lt;wsp:rsid wsp:val=&quot;0A426D43&quot;/&gt;&lt;wsp:rsid wsp:val=&quot;0A434869&quot;/&gt;&lt;wsp:rsid wsp:val=&quot;0A445900&quot;/&gt;&lt;wsp:rsid wsp:val=&quot;0A4505E1&quot;/&gt;&lt;wsp:rsid wsp:val=&quot;0A466F21&quot;/&gt;&lt;wsp:rsid wsp:val=&quot;0A4703B1&quot;/&gt;&lt;wsp:rsid wsp:val=&quot;0A4725AB&quot;/&gt;&lt;wsp:rsid wsp:val=&quot;0A4C7BC2&quot;/&gt;&lt;wsp:rsid wsp:val=&quot;0A4E0284&quot;/&gt;&lt;wsp:rsid wsp:val=&quot;0A4E393A&quot;/&gt;&lt;wsp:rsid wsp:val=&quot;0A522CFE&quot;/&gt;&lt;wsp:rsid wsp:val=&quot;0A5254C4&quot;/&gt;&lt;wsp:rsid wsp:val=&quot;0A530F50&quot;/&gt;&lt;wsp:rsid wsp:val=&quot;0A540824&quot;/&gt;&lt;wsp:rsid wsp:val=&quot;0A5440F6&quot;/&gt;&lt;wsp:rsid wsp:val=&quot;0A572A77&quot;/&gt;&lt;wsp:rsid wsp:val=&quot;0A5871AD&quot;/&gt;&lt;wsp:rsid wsp:val=&quot;0A590531&quot;/&gt;&lt;wsp:rsid wsp:val=&quot;0A59408D&quot;/&gt;&lt;wsp:rsid wsp:val=&quot;0A5A77C7&quot;/&gt;&lt;wsp:rsid wsp:val=&quot;0A5D3B7D&quot;/&gt;&lt;wsp:rsid wsp:val=&quot;0A5E7D79&quot;/&gt;&lt;wsp:rsid wsp:val=&quot;0A60541B&quot;/&gt;&lt;wsp:rsid wsp:val=&quot;0A6070FA&quot;/&gt;&lt;wsp:rsid wsp:val=&quot;0A634F0B&quot;/&gt;&lt;wsp:rsid wsp:val=&quot;0A670558&quot;/&gt;&lt;wsp:rsid wsp:val=&quot;0A6749FB&quot;/&gt;&lt;wsp:rsid wsp:val=&quot;0A67799B&quot;/&gt;&lt;wsp:rsid wsp:val=&quot;0A6937F7&quot;/&gt;&lt;wsp:rsid wsp:val=&quot;0A6A0048&quot;/&gt;&lt;wsp:rsid wsp:val=&quot;0A6C0264&quot;/&gt;&lt;wsp:rsid wsp:val=&quot;0A6D7B38&quot;/&gt;&lt;wsp:rsid wsp:val=&quot;0A6E1BE3&quot;/&gt;&lt;wsp:rsid wsp:val=&quot;0A6E2DC3&quot;/&gt;&lt;wsp:rsid wsp:val=&quot;0A7143CA&quot;/&gt;&lt;wsp:rsid wsp:val=&quot;0A71587A&quot;/&gt;&lt;wsp:rsid wsp:val=&quot;0A726EFC&quot;/&gt;&lt;wsp:rsid wsp:val=&quot;0A7315F2&quot;/&gt;&lt;wsp:rsid wsp:val=&quot;0A742C74&quot;/&gt;&lt;wsp:rsid wsp:val=&quot;0A75342F&quot;/&gt;&lt;wsp:rsid wsp:val=&quot;0A780920&quot;/&gt;&lt;wsp:rsid wsp:val=&quot;0A782765&quot;/&gt;&lt;wsp:rsid wsp:val=&quot;0A79028B&quot;/&gt;&lt;wsp:rsid wsp:val=&quot;0A793240&quot;/&gt;&lt;wsp:rsid wsp:val=&quot;0A79472F&quot;/&gt;&lt;wsp:rsid wsp:val=&quot;0A7B2255&quot;/&gt;&lt;wsp:rsid wsp:val=&quot;0A7D5FCD&quot;/&gt;&lt;wsp:rsid wsp:val=&quot;0A7F4ED7&quot;/&gt;&lt;wsp:rsid wsp:val=&quot;0A7F7F97&quot;/&gt;&lt;wsp:rsid wsp:val=&quot;0A801619&quot;/&gt;&lt;wsp:rsid wsp:val=&quot;0A805ABD&quot;/&gt;&lt;wsp:rsid wsp:val=&quot;0A851326&quot;/&gt;&lt;wsp:rsid wsp:val=&quot;0A8530D4&quot;/&gt;&lt;wsp:rsid wsp:val=&quot;0A856C30&quot;/&gt;&lt;wsp:rsid wsp:val=&quot;0A872AF4&quot;/&gt;&lt;wsp:rsid wsp:val=&quot;0A886CD4&quot;/&gt;&lt;wsp:rsid wsp:val=&quot;0A88778E&quot;/&gt;&lt;wsp:rsid wsp:val=&quot;0A8A06EA&quot;/&gt;&lt;wsp:rsid wsp:val=&quot;0A8A41C5&quot;/&gt;&lt;wsp:rsid wsp:val=&quot;0A8C0226&quot;/&gt;&lt;wsp:rsid wsp:val=&quot;0A8C4462&quot;/&gt;&lt;wsp:rsid wsp:val=&quot;0A8C6210&quot;/&gt;&lt;wsp:rsid wsp:val=&quot;0A8E5717&quot;/&gt;&lt;wsp:rsid wsp:val=&quot;0A8F7AAE&quot;/&gt;&lt;wsp:rsid wsp:val=&quot;0A905466&quot;/&gt;&lt;wsp:rsid wsp:val=&quot;0A913826&quot;/&gt;&lt;wsp:rsid wsp:val=&quot;0A934F20&quot;/&gt;&lt;wsp:rsid wsp:val=&quot;0A93759F&quot;/&gt;&lt;wsp:rsid wsp:val=&quot;0A9450C5&quot;/&gt;&lt;wsp:rsid wsp:val=&quot;0A975339&quot;/&gt;&lt;wsp:rsid wsp:val=&quot;0A9926DB&quot;/&gt;&lt;wsp:rsid wsp:val=&quot;0A9B61E0&quot;/&gt;&lt;wsp:rsid wsp:val=&quot;0A9F4BAA&quot;/&gt;&lt;wsp:rsid wsp:val=&quot;0AA03A6A&quot;/&gt;&lt;wsp:rsid wsp:val=&quot;0AA07F0D&quot;/&gt;&lt;wsp:rsid wsp:val=&quot;0AA277E2&quot;/&gt;&lt;wsp:rsid wsp:val=&quot;0AA30322&quot;/&gt;&lt;wsp:rsid wsp:val=&quot;0AA417AC&quot;/&gt;&lt;wsp:rsid wsp:val=&quot;0AA572D2&quot;/&gt;&lt;wsp:rsid wsp:val=&quot;0AA64BFD&quot;/&gt;&lt;wsp:rsid wsp:val=&quot;0AA7304A&quot;/&gt;&lt;wsp:rsid wsp:val=&quot;0AA7305B&quot;/&gt;&lt;wsp:rsid wsp:val=&quot;0AA755DF&quot;/&gt;&lt;wsp:rsid wsp:val=&quot;0AA95014&quot;/&gt;&lt;wsp:rsid wsp:val=&quot;0AA96DC2&quot;/&gt;&lt;wsp:rsid wsp:val=&quot;0AAA48E8&quot;/&gt;&lt;wsp:rsid wsp:val=&quot;0AAA76AD&quot;/&gt;&lt;wsp:rsid wsp:val=&quot;0AAE262A&quot;/&gt;&lt;wsp:rsid wsp:val=&quot;0AAE6186&quot;/&gt;&lt;wsp:rsid wsp:val=&quot;0AAF0151&quot;/&gt;&lt;wsp:rsid wsp:val=&quot;0AAF1EFF&quot;/&gt;&lt;wsp:rsid wsp:val=&quot;0AB13EC9&quot;/&gt;&lt;wsp:rsid wsp:val=&quot;0AB15C77&quot;/&gt;&lt;wsp:rsid wsp:val=&quot;0AB1607D&quot;/&gt;&lt;wsp:rsid wsp:val=&quot;0AB319EF&quot;/&gt;&lt;wsp:rsid wsp:val=&quot;0AB32A98&quot;/&gt;&lt;wsp:rsid wsp:val=&quot;0AB3379D&quot;/&gt;&lt;wsp:rsid wsp:val=&quot;0AB47515&quot;/&gt;&lt;wsp:rsid wsp:val=&quot;0AB539B9&quot;/&gt;&lt;wsp:rsid wsp:val=&quot;0AB6328D&quot;/&gt;&lt;wsp:rsid wsp:val=&quot;0AB67731&quot;/&gt;&lt;wsp:rsid wsp:val=&quot;0AB76A72&quot;/&gt;&lt;wsp:rsid wsp:val=&quot;0AB87005&quot;/&gt;&lt;wsp:rsid wsp:val=&quot;0AB9243E&quot;/&gt;&lt;wsp:rsid wsp:val=&quot;0ABA0FCF&quot;/&gt;&lt;wsp:rsid wsp:val=&quot;0ABA2D7D&quot;/&gt;&lt;wsp:rsid wsp:val=&quot;0ABB157D&quot;/&gt;&lt;wsp:rsid wsp:val=&quot;0ABB4D47&quot;/&gt;&lt;wsp:rsid wsp:val=&quot;0ABB6AF5&quot;/&gt;&lt;wsp:rsid wsp:val=&quot;0ABD461B&quot;/&gt;&lt;wsp:rsid wsp:val=&quot;0ABF4757&quot;/&gt;&lt;wsp:rsid wsp:val=&quot;0AC260D6&quot;/&gt;&lt;wsp:rsid wsp:val=&quot;0AC27E84&quot;/&gt;&lt;wsp:rsid wsp:val=&quot;0AC503B7&quot;/&gt;&lt;wsp:rsid wsp:val=&quot;0AC51722&quot;/&gt;&lt;wsp:rsid wsp:val=&quot;0AC56739&quot;/&gt;&lt;wsp:rsid wsp:val=&quot;0AC57974&quot;/&gt;&lt;wsp:rsid wsp:val=&quot;0AC7549A&quot;/&gt;&lt;wsp:rsid wsp:val=&quot;0AC96233&quot;/&gt;&lt;wsp:rsid wsp:val=&quot;0ACA1658&quot;/&gt;&lt;wsp:rsid wsp:val=&quot;0ACC5D22&quot;/&gt;&lt;wsp:rsid wsp:val=&quot;0ACE4A7B&quot;/&gt;&lt;wsp:rsid wsp:val=&quot;0AD100C7&quot;/&gt;&lt;wsp:rsid wsp:val=&quot;0AD16319&quot;/&gt;&lt;wsp:rsid wsp:val=&quot;0AD32091&quot;/&gt;&lt;wsp:rsid wsp:val=&quot;0AD6133C&quot;/&gt;&lt;wsp:rsid wsp:val=&quot;0AD61B81&quot;/&gt;&lt;wsp:rsid wsp:val=&quot;0AD876A7&quot;/&gt;&lt;wsp:rsid wsp:val=&quot;0ADA114D&quot;/&gt;&lt;wsp:rsid wsp:val=&quot;0ADD6A6C&quot;/&gt;&lt;wsp:rsid wsp:val=&quot;0ADF0F5E&quot;/&gt;&lt;wsp:rsid wsp:val=&quot;0AE20526&quot;/&gt;&lt;wsp:rsid wsp:val=&quot;0AE47DFA&quot;/&gt;&lt;wsp:rsid wsp:val=&quot;0AE55920&quot;/&gt;&lt;wsp:rsid wsp:val=&quot;0AE61DC4&quot;/&gt;&lt;wsp:rsid wsp:val=&quot;0AE676F0&quot;/&gt;&lt;wsp:rsid wsp:val=&quot;0AED76B8&quot;/&gt;&lt;wsp:rsid wsp:val=&quot;0AF02C43&quot;/&gt;&lt;wsp:rsid wsp:val=&quot;0AF049F1&quot;/&gt;&lt;wsp:rsid wsp:val=&quot;0AF0679F&quot;/&gt;&lt;wsp:rsid wsp:val=&quot;0AF10769&quot;/&gt;&lt;wsp:rsid wsp:val=&quot;0AF12517&quot;/&gt;&lt;wsp:rsid wsp:val=&quot;0AF13E1F&quot;/&gt;&lt;wsp:rsid wsp:val=&quot;0AF344E1&quot;/&gt;&lt;wsp:rsid wsp:val=&quot;0AF40A48&quot;/&gt;&lt;wsp:rsid wsp:val=&quot;0AF46B43&quot;/&gt;&lt;wsp:rsid wsp:val=&quot;0AF50230&quot;/&gt;&lt;wsp:rsid wsp:val=&quot;0AF83246&quot;/&gt;&lt;wsp:rsid wsp:val=&quot;0AF85654&quot;/&gt;&lt;wsp:rsid wsp:val=&quot;0AF97978&quot;/&gt;&lt;wsp:rsid wsp:val=&quot;0AFA5870&quot;/&gt;&lt;wsp:rsid wsp:val=&quot;0AFB2838&quot;/&gt;&lt;wsp:rsid wsp:val=&quot;0AFB3396&quot;/&gt;&lt;wsp:rsid wsp:val=&quot;0AFD0EBC&quot;/&gt;&lt;wsp:rsid wsp:val=&quot;0AFD2C6A&quot;/&gt;&lt;wsp:rsid wsp:val=&quot;0AFF4C34&quot;/&gt;&lt;wsp:rsid wsp:val=&quot;0AFF69E2&quot;/&gt;&lt;wsp:rsid wsp:val=&quot;0B022976&quot;/&gt;&lt;wsp:rsid wsp:val=&quot;0B024724&quot;/&gt;&lt;wsp:rsid wsp:val=&quot;0B026C14&quot;/&gt;&lt;wsp:rsid wsp:val=&quot;0B043FF8&quot;/&gt;&lt;wsp:rsid wsp:val=&quot;0B064214&quot;/&gt;&lt;wsp:rsid wsp:val=&quot;0B093D05&quot;/&gt;&lt;wsp:rsid wsp:val=&quot;0B0B182B&quot;/&gt;&lt;wsp:rsid wsp:val=&quot;0B0B35D9&quot;/&gt;&lt;wsp:rsid wsp:val=&quot;0B0C36F5&quot;/&gt;&lt;wsp:rsid wsp:val=&quot;0B0C55A3&quot;/&gt;&lt;wsp:rsid wsp:val=&quot;0B0E131B&quot;/&gt;&lt;wsp:rsid wsp:val=&quot;0B0E4E77&quot;/&gt;&lt;wsp:rsid wsp:val=&quot;0B0F4442&quot;/&gt;&lt;wsp:rsid wsp:val=&quot;0B0F4475&quot;/&gt;&lt;wsp:rsid wsp:val=&quot;0B106E41&quot;/&gt;&lt;wsp:rsid wsp:val=&quot;0B112BB9&quot;/&gt;&lt;wsp:rsid wsp:val=&quot;0B116715&quot;/&gt;&lt;wsp:rsid wsp:val=&quot;0B120D44&quot;/&gt;&lt;wsp:rsid wsp:val=&quot;0B1306DF&quot;/&gt;&lt;wsp:rsid wsp:val=&quot;0B1526A9&quot;/&gt;&lt;wsp:rsid wsp:val=&quot;0B1609CB&quot;/&gt;&lt;wsp:rsid wsp:val=&quot;0B1701D0&quot;/&gt;&lt;wsp:rsid wsp:val=&quot;0B187AA4&quot;/&gt;&lt;wsp:rsid wsp:val=&quot;0B1A59F6&quot;/&gt;&lt;wsp:rsid wsp:val=&quot;0B1B1342&quot;/&gt;&lt;wsp:rsid wsp:val=&quot;0B1B7594&quot;/&gt;&lt;wsp:rsid wsp:val=&quot;0B1C57E6&quot;/&gt;&lt;wsp:rsid wsp:val=&quot;0B1D155E&quot;/&gt;&lt;wsp:rsid wsp:val=&quot;0B1F0E32&quot;/&gt;&lt;wsp:rsid wsp:val=&quot;0B21104E&quot;/&gt;&lt;wsp:rsid wsp:val=&quot;0B212DFC&quot;/&gt;&lt;wsp:rsid wsp:val=&quot;0B226B74&quot;/&gt;&lt;wsp:rsid wsp:val=&quot;0B260413&quot;/&gt;&lt;wsp:rsid wsp:val=&quot;0B2621C1&quot;/&gt;&lt;wsp:rsid wsp:val=&quot;0B2823DD&quot;/&gt;&lt;wsp:rsid wsp:val=&quot;0B2B3533&quot;/&gt;&lt;wsp:rsid wsp:val=&quot;0B2B3C7B&quot;/&gt;&lt;wsp:rsid wsp:val=&quot;0B2B4994&quot;/&gt;&lt;wsp:rsid wsp:val=&quot;0B2B77D7&quot;/&gt;&lt;wsp:rsid wsp:val=&quot;0B2E376B&quot;/&gt;&lt;wsp:rsid wsp:val=&quot;0B2F0419&quot;/&gt;&lt;wsp:rsid wsp:val=&quot;0B30303F&quot;/&gt;&lt;wsp:rsid wsp:val=&quot;0B315442&quot;/&gt;&lt;wsp:rsid wsp:val=&quot;0B325009&quot;/&gt;&lt;wsp:rsid wsp:val=&quot;0B330D82&quot;/&gt;&lt;wsp:rsid wsp:val=&quot;0B332B30&quot;/&gt;&lt;wsp:rsid wsp:val=&quot;0B350656&quot;/&gt;&lt;wsp:rsid wsp:val=&quot;0B352404&quot;/&gt;&lt;wsp:rsid wsp:val=&quot;0B3568A8&quot;/&gt;&lt;wsp:rsid wsp:val=&quot;0B36617C&quot;/&gt;&lt;wsp:rsid wsp:val=&quot;0B3A7735&quot;/&gt;&lt;wsp:rsid wsp:val=&quot;0B3D39AE&quot;/&gt;&lt;wsp:rsid wsp:val=&quot;0B41349E&quot;/&gt;&lt;wsp:rsid wsp:val=&quot;0B424B21&quot;/&gt;&lt;wsp:rsid wsp:val=&quot;0B425A17&quot;/&gt;&lt;wsp:rsid wsp:val=&quot;0B460AB5&quot;/&gt;&lt;wsp:rsid wsp:val=&quot;0B464611&quot;/&gt;&lt;wsp:rsid wsp:val=&quot;0B494101&quot;/&gt;&lt;wsp:rsid wsp:val=&quot;0B495713&quot;/&gt;&lt;wsp:rsid wsp:val=&quot;0B4D3BF1&quot;/&gt;&lt;wsp:rsid wsp:val=&quot;0B4E1717&quot;/&gt;&lt;wsp:rsid wsp:val=&quot;0B4E7969&quot;/&gt;&lt;wsp:rsid wsp:val=&quot;0B52745A&quot;/&gt;&lt;wsp:rsid wsp:val=&quot;0B5330E0&quot;/&gt;&lt;wsp:rsid wsp:val=&quot;0B534F80&quot;/&gt;&lt;wsp:rsid wsp:val=&quot;0B554854&quot;/&gt;&lt;wsp:rsid wsp:val=&quot;0B57681E&quot;/&gt;&lt;wsp:rsid wsp:val=&quot;0B584344&quot;/&gt;&lt;wsp:rsid wsp:val=&quot;0B5A67F7&quot;/&gt;&lt;wsp:rsid wsp:val=&quot;0B5B2331&quot;/&gt;&lt;wsp:rsid wsp:val=&quot;0B5C3E34&quot;/&gt;&lt;wsp:rsid wsp:val=&quot;0B5D195B&quot;/&gt;&lt;wsp:rsid wsp:val=&quot;0B5F3925&quot;/&gt;&lt;wsp:rsid wsp:val=&quot;0B610D74&quot;/&gt;&lt;wsp:rsid wsp:val=&quot;0B61144B&quot;/&gt;&lt;wsp:rsid wsp:val=&quot;0B612DC8&quot;/&gt;&lt;wsp:rsid wsp:val=&quot;0B635EFF&quot;/&gt;&lt;wsp:rsid wsp:val=&quot;0B6363AB&quot;/&gt;&lt;wsp:rsid wsp:val=&quot;0B640F3B&quot;/&gt;&lt;wsp:rsid wsp:val=&quot;0B653E82&quot;/&gt;&lt;wsp:rsid wsp:val=&quot;0B664CB3&quot;/&gt;&lt;wsp:rsid wsp:val=&quot;0B6727D9&quot;/&gt;&lt;wsp:rsid wsp:val=&quot;0B674587&quot;/&gt;&lt;wsp:rsid wsp:val=&quot;0B680A2B&quot;/&gt;&lt;wsp:rsid wsp:val=&quot;0B6C5BA6&quot;/&gt;&lt;wsp:rsid wsp:val=&quot;0B6D61E9&quot;/&gt;&lt;wsp:rsid wsp:val=&quot;0B6E5916&quot;/&gt;&lt;wsp:rsid wsp:val=&quot;0B6E7BBE&quot;/&gt;&lt;wsp:rsid wsp:val=&quot;0B723658&quot;/&gt;&lt;wsp:rsid wsp:val=&quot;0B725F18&quot;/&gt;&lt;wsp:rsid wsp:val=&quot;0B732F2C&quot;/&gt;&lt;wsp:rsid wsp:val=&quot;0B7373D0&quot;/&gt;&lt;wsp:rsid wsp:val=&quot;0B7471EA&quot;/&gt;&lt;wsp:rsid wsp:val=&quot;0B756CA4&quot;/&gt;&lt;wsp:rsid wsp:val=&quot;0B776EC0&quot;/&gt;&lt;wsp:rsid wsp:val=&quot;0B7849E6&quot;/&gt;&lt;wsp:rsid wsp:val=&quot;0B786794&quot;/&gt;&lt;wsp:rsid wsp:val=&quot;0B792C38&quot;/&gt;&lt;wsp:rsid wsp:val=&quot;0B7A1CF4&quot;/&gt;&lt;wsp:rsid wsp:val=&quot;0B7A250D&quot;/&gt;&lt;wsp:rsid wsp:val=&quot;0B7B191B&quot;/&gt;&lt;wsp:rsid wsp:val=&quot;0B7B255E&quot;/&gt;&lt;wsp:rsid wsp:val=&quot;0B7B44EC&quot;/&gt;&lt;wsp:rsid wsp:val=&quot;0B7B708E&quot;/&gt;&lt;wsp:rsid wsp:val=&quot;0B7C0033&quot;/&gt;&lt;wsp:rsid wsp:val=&quot;0B7D3DAB&quot;/&gt;&lt;wsp:rsid wsp:val=&quot;0B7F3C9A&quot;/&gt;&lt;wsp:rsid wsp:val=&quot;0B7F3FC7&quot;/&gt;&lt;wsp:rsid wsp:val=&quot;0B811AED&quot;/&gt;&lt;wsp:rsid wsp:val=&quot;0B81389B&quot;/&gt;&lt;wsp:rsid wsp:val=&quot;0B815649&quot;/&gt;&lt;wsp:rsid wsp:val=&quot;0B8213C1&quot;/&gt;&lt;wsp:rsid wsp:val=&quot;0B8217EE&quot;/&gt;&lt;wsp:rsid wsp:val=&quot;0B837613&quot;/&gt;&lt;wsp:rsid wsp:val=&quot;0B8415DD&quot;/&gt;&lt;wsp:rsid wsp:val=&quot;0B845C08&quot;/&gt;&lt;wsp:rsid wsp:val=&quot;0B855DBF&quot;/&gt;&lt;wsp:rsid wsp:val=&quot;0B8769D7&quot;/&gt;&lt;wsp:rsid wsp:val=&quot;0B883F1F&quot;/&gt;&lt;wsp:rsid wsp:val=&quot;0B884C29&quot;/&gt;&lt;wsp:rsid wsp:val=&quot;0B896BF3&quot;/&gt;&lt;wsp:rsid wsp:val=&quot;0B8C1CD4&quot;/&gt;&lt;wsp:rsid wsp:val=&quot;0B8C5773&quot;/&gt;&lt;wsp:rsid wsp:val=&quot;0B8E5FB8&quot;/&gt;&lt;wsp:rsid wsp:val=&quot;0B931032&quot;/&gt;&lt;wsp:rsid wsp:val=&quot;0B932773&quot;/&gt;&lt;wsp:rsid wsp:val=&quot;0B9412A5&quot;/&gt;&lt;wsp:rsid wsp:val=&quot;0B941820&quot;/&gt;&lt;wsp:rsid wsp:val=&quot;0B955598&quot;/&gt;&lt;wsp:rsid wsp:val=&quot;0B995695&quot;/&gt;&lt;wsp:rsid wsp:val=&quot;0B996E37&quot;/&gt;&lt;wsp:rsid wsp:val=&quot;0B9A2BAF&quot;/&gt;&lt;wsp:rsid wsp:val=&quot;0B9B34E3&quot;/&gt;&lt;wsp:rsid wsp:val=&quot;0B9C2483&quot;/&gt;&lt;wsp:rsid wsp:val=&quot;0B9D61FB&quot;/&gt;&lt;wsp:rsid wsp:val=&quot;0BA17A99&quot;/&gt;&lt;wsp:rsid wsp:val=&quot;0BA37CB5&quot;/&gt;&lt;wsp:rsid wsp:val=&quot;0BA40E03&quot;/&gt;&lt;wsp:rsid wsp:val=&quot;0BA457DB&quot;/&gt;&lt;wsp:rsid wsp:val=&quot;0BA47589&quot;/&gt;&lt;wsp:rsid wsp:val=&quot;0BA80E28&quot;/&gt;&lt;wsp:rsid wsp:val=&quot;0BA83509&quot;/&gt;&lt;wsp:rsid wsp:val=&quot;0BA852CC&quot;/&gt;&lt;wsp:rsid wsp:val=&quot;0BA92DA1&quot;/&gt;&lt;wsp:rsid wsp:val=&quot;0BA93258&quot;/&gt;&lt;wsp:rsid wsp:val=&quot;0BA95DFE&quot;/&gt;&lt;wsp:rsid wsp:val=&quot;0BAA5E29&quot;/&gt;&lt;wsp:rsid wsp:val=&quot;0BAC0749&quot;/&gt;&lt;wsp:rsid wsp:val=&quot;0BAD643E&quot;/&gt;&lt;wsp:rsid wsp:val=&quot;0BAE0408&quot;/&gt;&lt;wsp:rsid wsp:val=&quot;0BB05F2E&quot;/&gt;&lt;wsp:rsid wsp:val=&quot;0BB21CA6&quot;/&gt;&lt;wsp:rsid wsp:val=&quot;0BB2509F&quot;/&gt;&lt;wsp:rsid wsp:val=&quot;0BB53545&quot;/&gt;&lt;wsp:rsid wsp:val=&quot;0BB7042D&quot;/&gt;&lt;wsp:rsid wsp:val=&quot;0BB772BD&quot;/&gt;&lt;wsp:rsid wsp:val=&quot;0BB84DE3&quot;/&gt;&lt;wsp:rsid wsp:val=&quot;0BB92D4D&quot;/&gt;&lt;wsp:rsid wsp:val=&quot;0BBA2E99&quot;/&gt;&lt;wsp:rsid wsp:val=&quot;0BBC023E&quot;/&gt;&lt;wsp:rsid wsp:val=&quot;0BBF2615&quot;/&gt;&lt;wsp:rsid wsp:val=&quot;0BBF7D67&quot;/&gt;&lt;wsp:rsid wsp:val=&quot;0BC15EF9&quot;/&gt;&lt;wsp:rsid wsp:val=&quot;0BC30917&quot;/&gt;&lt;wsp:rsid wsp:val=&quot;0BC32105&quot;/&gt;&lt;wsp:rsid wsp:val=&quot;0BC55E7E&quot;/&gt;&lt;wsp:rsid wsp:val=&quot;0BC63786&quot;/&gt;&lt;wsp:rsid wsp:val=&quot;0BC639A4&quot;/&gt;&lt;wsp:rsid wsp:val=&quot;0BC65752&quot;/&gt;&lt;wsp:rsid wsp:val=&quot;0BC7676E&quot;/&gt;&lt;wsp:rsid wsp:val=&quot;0BC814CA&quot;/&gt;&lt;wsp:rsid wsp:val=&quot;0BC83278&quot;/&gt;&lt;wsp:rsid wsp:val=&quot;0BC83EB9&quot;/&gt;&lt;wsp:rsid wsp:val=&quot;0BCD6AE0&quot;/&gt;&lt;wsp:rsid wsp:val=&quot;0BD065D0&quot;/&gt;&lt;wsp:rsid wsp:val=&quot;0BD25EA5&quot;/&gt;&lt;wsp:rsid wsp:val=&quot;0BD27BF6&quot;/&gt;&lt;wsp:rsid wsp:val=&quot;0BD31C1D&quot;/&gt;&lt;wsp:rsid wsp:val=&quot;0BD75BB1&quot;/&gt;&lt;wsp:rsid wsp:val=&quot;0BD87233&quot;/&gt;&lt;wsp:rsid wsp:val=&quot;0BDB744F&quot;/&gt;&lt;wsp:rsid wsp:val=&quot;0BDC4F75&quot;/&gt;&lt;wsp:rsid wsp:val=&quot;0BDC6D23&quot;/&gt;&lt;wsp:rsid wsp:val=&quot;0BDE2A9B&quot;/&gt;&lt;wsp:rsid wsp:val=&quot;0BDE6F3F&quot;/&gt;&lt;wsp:rsid wsp:val=&quot;0BDF05C2&quot;/&gt;&lt;wsp:rsid wsp:val=&quot;0BE107DE&quot;/&gt;&lt;wsp:rsid wsp:val=&quot;0BE2000F&quot;/&gt;&lt;wsp:rsid wsp:val=&quot;0BE300B2&quot;/&gt;&lt;wsp:rsid wsp:val=&quot;0BE34556&quot;/&gt;&lt;wsp:rsid wsp:val=&quot;0BE370B5&quot;/&gt;&lt;wsp:rsid wsp:val=&quot;0BE43E2A&quot;/&gt;&lt;wsp:rsid wsp:val=&quot;0BE45BD8&quot;/&gt;&lt;wsp:rsid wsp:val=&quot;0BE5207C&quot;/&gt;&lt;wsp:rsid wsp:val=&quot;0BE65DF4&quot;/&gt;&lt;wsp:rsid wsp:val=&quot;0BE91440&quot;/&gt;&lt;wsp:rsid wsp:val=&quot;0BEA58E4&quot;/&gt;&lt;wsp:rsid wsp:val=&quot;0BEA7692&quot;/&gt;&lt;wsp:rsid wsp:val=&quot;0BEB340A&quot;/&gt;&lt;wsp:rsid wsp:val=&quot;0BEB474C&quot;/&gt;&lt;wsp:rsid wsp:val=&quot;0BEB51B8&quot;/&gt;&lt;wsp:rsid wsp:val=&quot;0BED2CDE&quot;/&gt;&lt;wsp:rsid wsp:val=&quot;0BED7182&quot;/&gt;&lt;wsp:rsid wsp:val=&quot;0BEE469A&quot;/&gt;&lt;wsp:rsid wsp:val=&quot;0BEF4CA9&quot;/&gt;&lt;wsp:rsid wsp:val=&quot;0BF00A21&quot;/&gt;&lt;wsp:rsid wsp:val=&quot;0BF0712E&quot;/&gt;&lt;wsp:rsid wsp:val=&quot;0BF4406D&quot;/&gt;&lt;wsp:rsid wsp:val=&quot;0BF73321&quot;/&gt;&lt;wsp:rsid wsp:val=&quot;0BF7590B&quot;/&gt;&lt;wsp:rsid wsp:val=&quot;0BF91921&quot;/&gt;&lt;wsp:rsid wsp:val=&quot;0BF978D5&quot;/&gt;&lt;wsp:rsid wsp:val=&quot;0BFA5A3B&quot;/&gt;&lt;wsp:rsid wsp:val=&quot;0BFC1173&quot;/&gt;&lt;wsp:rsid wsp:val=&quot;0BFC73C5&quot;/&gt;&lt;wsp:rsid wsp:val=&quot;0BFE4EEC&quot;/&gt;&lt;wsp:rsid wsp:val=&quot;0BFE54F1&quot;/&gt;&lt;wsp:rsid wsp:val=&quot;0BFF2A12&quot;/&gt;&lt;wsp:rsid wsp:val=&quot;0C006C23&quot;/&gt;&lt;wsp:rsid wsp:val=&quot;0C006EB6&quot;/&gt;&lt;wsp:rsid wsp:val=&quot;0C01678A&quot;/&gt;&lt;wsp:rsid wsp:val=&quot;0C030754&quot;/&gt;&lt;wsp:rsid wsp:val=&quot;0C032502&quot;/&gt;&lt;wsp:rsid wsp:val=&quot;0C0471A1&quot;/&gt;&lt;wsp:rsid wsp:val=&quot;0C060244&quot;/&gt;&lt;wsp:rsid wsp:val=&quot;0C0727E4&quot;/&gt;&lt;wsp:rsid wsp:val=&quot;0C0859DB&quot;/&gt;&lt;wsp:rsid wsp:val=&quot;0C0B585A&quot;/&gt;&lt;wsp:rsid wsp:val=&quot;0C0B7609&quot;/&gt;&lt;wsp:rsid wsp:val=&quot;0C0D3381&quot;/&gt;&lt;wsp:rsid wsp:val=&quot;0C0D3BE5&quot;/&gt;&lt;wsp:rsid wsp:val=&quot;0C0E1D54&quot;/&gt;&lt;wsp:rsid wsp:val=&quot;0C0E2D11&quot;/&gt;&lt;wsp:rsid wsp:val=&quot;0C0F70F9&quot;/&gt;&lt;wsp:rsid wsp:val=&quot;0C104FD7&quot;/&gt;&lt;wsp:rsid wsp:val=&quot;0C107BA8&quot;/&gt;&lt;wsp:rsid wsp:val=&quot;0C112E71&quot;/&gt;&lt;wsp:rsid wsp:val=&quot;0C116467&quot;/&gt;&lt;wsp:rsid wsp:val=&quot;0C1174B2&quot;/&gt;&lt;wsp:rsid wsp:val=&quot;0C120997&quot;/&gt;&lt;wsp:rsid wsp:val=&quot;0C1464BD&quot;/&gt;&lt;wsp:rsid wsp:val=&quot;0C152235&quot;/&gt;&lt;wsp:rsid wsp:val=&quot;0C160487&quot;/&gt;&lt;wsp:rsid wsp:val=&quot;0C175FAD&quot;/&gt;&lt;wsp:rsid wsp:val=&quot;0C177D5B&quot;/&gt;&lt;wsp:rsid wsp:val=&quot;0C191D25&quot;/&gt;&lt;wsp:rsid wsp:val=&quot;0C1B46F8&quot;/&gt;&lt;wsp:rsid wsp:val=&quot;0C1C7A68&quot;/&gt;&lt;wsp:rsid wsp:val=&quot;0C215F5C&quot;/&gt;&lt;wsp:rsid wsp:val=&quot;0C230DF6&quot;/&gt;&lt;wsp:rsid wsp:val=&quot;0C234952&quot;/&gt;&lt;wsp:rsid wsp:val=&quot;0C2514B7&quot;/&gt;&lt;wsp:rsid wsp:val=&quot;0C254BBB&quot;/&gt;&lt;wsp:rsid wsp:val=&quot;0C25691C&quot;/&gt;&lt;wsp:rsid wsp:val=&quot;0C2801BA&quot;/&gt;&lt;wsp:rsid wsp:val=&quot;0C2846EE&quot;/&gt;&lt;wsp:rsid wsp:val=&quot;0C2A3F33&quot;/&gt;&lt;wsp:rsid wsp:val=&quot;0C2B1A59&quot;/&gt;&lt;wsp:rsid wsp:val=&quot;0C2B3807&quot;/&gt;&lt;wsp:rsid wsp:val=&quot;0C2C7CAB&quot;/&gt;&lt;wsp:rsid wsp:val=&quot;0C322DE7&quot;/&gt;&lt;wsp:rsid wsp:val=&quot;0C324B95&quot;/&gt;&lt;wsp:rsid wsp:val=&quot;0C3374A6&quot;/&gt;&lt;wsp:rsid wsp:val=&quot;0C346B5F&quot;/&gt;&lt;wsp:rsid wsp:val=&quot;0C364685&quot;/&gt;&lt;wsp:rsid wsp:val=&quot;0C3703FE&quot;/&gt;&lt;wsp:rsid wsp:val=&quot;0C394176&quot;/&gt;&lt;wsp:rsid wsp:val=&quot;0C395F3C&quot;/&gt;&lt;wsp:rsid wsp:val=&quot;0C3A0244&quot;/&gt;&lt;wsp:rsid wsp:val=&quot;0C3B1C9C&quot;/&gt;&lt;wsp:rsid wsp:val=&quot;0C3B3C7D&quot;/&gt;&lt;wsp:rsid wsp:val=&quot;0C3B6140&quot;/&gt;&lt;wsp:rsid wsp:val=&quot;0C3B7EEE&quot;/&gt;&lt;wsp:rsid wsp:val=&quot;0C3C77C2&quot;/&gt;&lt;wsp:rsid wsp:val=&quot;0C3D1EB8&quot;/&gt;&lt;wsp:rsid wsp:val=&quot;0C3D3FF4&quot;/&gt;&lt;wsp:rsid wsp:val=&quot;0C3D45A5&quot;/&gt;&lt;wsp:rsid wsp:val=&quot;0C3E178C&quot;/&gt;&lt;wsp:rsid wsp:val=&quot;0C3E4981&quot;/&gt;&lt;wsp:rsid wsp:val=&quot;0C3E5484&quot;/&gt;&lt;wsp:rsid wsp:val=&quot;0C3F14E5&quot;/&gt;&lt;wsp:rsid wsp:val=&quot;0C403756&quot;/&gt;&lt;wsp:rsid wsp:val=&quot;0C41127C&quot;/&gt;&lt;wsp:rsid wsp:val=&quot;0C41302A&quot;/&gt;&lt;wsp:rsid wsp:val=&quot;0C4148FE&quot;/&gt;&lt;wsp:rsid wsp:val=&quot;0C430B50&quot;/&gt;&lt;wsp:rsid wsp:val=&quot;0C436DA2&quot;/&gt;&lt;wsp:rsid wsp:val=&quot;0C45205D&quot;/&gt;&lt;wsp:rsid wsp:val=&quot;0C452C96&quot;/&gt;&lt;wsp:rsid wsp:val=&quot;0C460641&quot;/&gt;&lt;wsp:rsid wsp:val=&quot;0C47614F&quot;/&gt;&lt;wsp:rsid wsp:val=&quot;0C476893&quot;/&gt;&lt;wsp:rsid wsp:val=&quot;0C48085D&quot;/&gt;&lt;wsp:rsid wsp:val=&quot;0C482675&quot;/&gt;&lt;wsp:rsid wsp:val=&quot;0C492597&quot;/&gt;&lt;wsp:rsid wsp:val=&quot;0C4A3397&quot;/&gt;&lt;wsp:rsid wsp:val=&quot;0C4B11C9&quot;/&gt;&lt;wsp:rsid wsp:val=&quot;0C4D19CF&quot;/&gt;&lt;wsp:rsid wsp:val=&quot;0C4D7C21&quot;/&gt;&lt;wsp:rsid wsp:val=&quot;0C4E201F&quot;/&gt;&lt;wsp:rsid wsp:val=&quot;0C4E75A8&quot;/&gt;&lt;wsp:rsid wsp:val=&quot;0C4F5747&quot;/&gt;&lt;wsp:rsid wsp:val=&quot;0C510BAA&quot;/&gt;&lt;wsp:rsid wsp:val=&quot;0C517711&quot;/&gt;&lt;wsp:rsid wsp:val=&quot;0C550358&quot;/&gt;&lt;wsp:rsid wsp:val=&quot;0C5614BF&quot;/&gt;&lt;wsp:rsid wsp:val=&quot;0C564D28&quot;/&gt;&lt;wsp:rsid wsp:val=&quot;0C5745FC&quot;/&gt;&lt;wsp:rsid wsp:val=&quot;0C5C1C12&quot;/&gt;&lt;wsp:rsid wsp:val=&quot;0C5E3BDC&quot;/&gt;&lt;wsp:rsid wsp:val=&quot;0C62191E&quot;/&gt;&lt;wsp:rsid wsp:val=&quot;0C623BFC&quot;/&gt;&lt;wsp:rsid wsp:val=&quot;0C6250DD&quot;/&gt;&lt;wsp:rsid wsp:val=&quot;0C654F6B&quot;/&gt;&lt;wsp:rsid wsp:val=&quot;0C68140E&quot;/&gt;&lt;wsp:rsid wsp:val=&quot;0C686809&quot;/&gt;&lt;wsp:rsid wsp:val=&quot;0C690D99&quot;/&gt;&lt;wsp:rsid wsp:val=&quot;0C692CAD&quot;/&gt;&lt;wsp:rsid wsp:val=&quot;0C6A4098&quot;/&gt;&lt;wsp:rsid wsp:val=&quot;0C6D2071&quot;/&gt;&lt;wsp:rsid wsp:val=&quot;0C711B61&quot;/&gt;&lt;wsp:rsid wsp:val=&quot;0C71390F&quot;/&gt;&lt;wsp:rsid wsp:val=&quot;0C71711F&quot;/&gt;&lt;wsp:rsid wsp:val=&quot;0C730031&quot;/&gt;&lt;wsp:rsid wsp:val=&quot;0C735804&quot;/&gt;&lt;wsp:rsid wsp:val=&quot;0C7358DA&quot;/&gt;&lt;wsp:rsid wsp:val=&quot;0C741652&quot;/&gt;&lt;wsp:rsid wsp:val=&quot;0C762CD4&quot;/&gt;&lt;wsp:rsid wsp:val=&quot;0C774C9E&quot;/&gt;&lt;wsp:rsid wsp:val=&quot;0C782EF0&quot;/&gt;&lt;wsp:rsid wsp:val=&quot;0C792EAC&quot;/&gt;&lt;wsp:rsid wsp:val=&quot;0C7B29E0&quot;/&gt;&lt;wsp:rsid wsp:val=&quot;0C7D22B4&quot;/&gt;&lt;wsp:rsid wsp:val=&quot;0C7E7DDA&quot;/&gt;&lt;wsp:rsid wsp:val=&quot;0C825B1D&quot;/&gt;&lt;wsp:rsid wsp:val=&quot;0C831895&quot;/&gt;&lt;wsp:rsid wsp:val=&quot;0C833643&quot;/&gt;&lt;wsp:rsid wsp:val=&quot;0C84135A&quot;/&gt;&lt;wsp:rsid wsp:val=&quot;0C8437E4&quot;/&gt;&lt;wsp:rsid wsp:val=&quot;0C873133&quot;/&gt;&lt;wsp:rsid wsp:val=&quot;0C874EE1&quot;/&gt;&lt;wsp:rsid wsp:val=&quot;0C877CDB&quot;/&gt;&lt;wsp:rsid wsp:val=&quot;0C882A07&quot;/&gt;&lt;wsp:rsid wsp:val=&quot;0C8A2C23&quot;/&gt;&lt;wsp:rsid wsp:val=&quot;0C8B64E7&quot;/&gt;&lt;wsp:rsid wsp:val=&quot;0C8C5158&quot;/&gt;&lt;wsp:rsid wsp:val=&quot;0C8D626F&quot;/&gt;&lt;wsp:rsid wsp:val=&quot;0C8E44C1&quot;/&gt;&lt;wsp:rsid wsp:val=&quot;0C8F023A&quot;/&gt;&lt;wsp:rsid wsp:val=&quot;0C8F1FE8&quot;/&gt;&lt;wsp:rsid wsp:val=&quot;0C8F3D96&quot;/&gt;&lt;wsp:rsid wsp:val=&quot;0C913FB2&quot;/&gt;&lt;wsp:rsid wsp:val=&quot;0C923886&quot;/&gt;&lt;wsp:rsid wsp:val=&quot;0C937D2A&quot;/&gt;&lt;wsp:rsid wsp:val=&quot;0C970E9C&quot;/&gt;&lt;wsp:rsid wsp:val=&quot;0C975D4D&quot;/&gt;&lt;wsp:rsid wsp:val=&quot;0C9801C7&quot;/&gt;&lt;wsp:rsid wsp:val=&quot;0C985AEC&quot;/&gt;&lt;wsp:rsid wsp:val=&quot;0C9870EE&quot;/&gt;&lt;wsp:rsid wsp:val=&quot;0C9910B8&quot;/&gt;&lt;wsp:rsid wsp:val=&quot;0C9B098C&quot;/&gt;&lt;wsp:rsid wsp:val=&quot;0C9B273A&quot;/&gt;&lt;wsp:rsid wsp:val=&quot;0C9B4A10&quot;/&gt;&lt;wsp:rsid wsp:val=&quot;0C9B6BDE&quot;/&gt;&lt;wsp:rsid wsp:val=&quot;0CA02408&quot;/&gt;&lt;wsp:rsid wsp:val=&quot;0CA02447&quot;/&gt;&lt;wsp:rsid wsp:val=&quot;0CA04363&quot;/&gt;&lt;wsp:rsid wsp:val=&quot;0CA5180B&quot;/&gt;&lt;wsp:rsid wsp:val=&quot;0CA6111A&quot;/&gt;&lt;wsp:rsid wsp:val=&quot;0CA737D5&quot;/&gt;&lt;wsp:rsid wsp:val=&quot;0CA75583&quot;/&gt;&lt;wsp:rsid wsp:val=&quot;0CA830A9&quot;/&gt;&lt;wsp:rsid wsp:val=&quot;0CA92DE9&quot;/&gt;&lt;wsp:rsid wsp:val=&quot;0CAB2DC4&quot;/&gt;&lt;wsp:rsid wsp:val=&quot;0CAB2EAE&quot;/&gt;&lt;wsp:rsid wsp:val=&quot;0CAC5995&quot;/&gt;&lt;wsp:rsid wsp:val=&quot;0CAE02B5&quot;/&gt;&lt;wsp:rsid wsp:val=&quot;0CAF4438&quot;/&gt;&lt;wsp:rsid wsp:val=&quot;0CAF61E6&quot;/&gt;&lt;wsp:rsid wsp:val=&quot;0CB16C35&quot;/&gt;&lt;wsp:rsid wsp:val=&quot;0CB3217A&quot;/&gt;&lt;wsp:rsid wsp:val=&quot;0CB34126&quot;/&gt;&lt;wsp:rsid wsp:val=&quot;0CB437FC&quot;/&gt;&lt;wsp:rsid wsp:val=&quot;0CB47CA0&quot;/&gt;&lt;wsp:rsid wsp:val=&quot;0CB87790&quot;/&gt;&lt;wsp:rsid wsp:val=&quot;0CBB2DDD&quot;/&gt;&lt;wsp:rsid wsp:val=&quot;0CBE467B&quot;/&gt;&lt;wsp:rsid wsp:val=&quot;0CC04897&quot;/&gt;&lt;wsp:rsid wsp:val=&quot;0CC1672A&quot;/&gt;&lt;wsp:rsid wsp:val=&quot;0CC228C9&quot;/&gt;&lt;wsp:rsid wsp:val=&quot;0CC2416B&quot;/&gt;&lt;wsp:rsid wsp:val=&quot;0CC42114&quot;/&gt;&lt;wsp:rsid wsp:val=&quot;0CC77D57&quot;/&gt;&lt;wsp:rsid wsp:val=&quot;0CC954FA&quot;/&gt;&lt;wsp:rsid wsp:val=&quot;0CCB0E5F&quot;/&gt;&lt;wsp:rsid wsp:val=&quot;0CCC4FEA&quot;/&gt;&lt;wsp:rsid wsp:val=&quot;0CCD3CE8&quot;/&gt;&lt;wsp:rsid wsp:val=&quot;0CCE2B10&quot;/&gt;&lt;wsp:rsid wsp:val=&quot;0CCF0636&quot;/&gt;&lt;wsp:rsid wsp:val=&quot;0CCF4ADA&quot;/&gt;&lt;wsp:rsid wsp:val=&quot;0CCF6888&quot;/&gt;&lt;wsp:rsid wsp:val=&quot;0CD12600&quot;/&gt;&lt;wsp:rsid wsp:val=&quot;0CD143AE&quot;/&gt;&lt;wsp:rsid wsp:val=&quot;0CD345CA&quot;/&gt;&lt;wsp:rsid wsp:val=&quot;0CD44BA0&quot;/&gt;&lt;wsp:rsid wsp:val=&quot;0CD50CAA&quot;/&gt;&lt;wsp:rsid wsp:val=&quot;0CD67C16&quot;/&gt;&lt;wsp:rsid wsp:val=&quot;0CDB2CD5&quot;/&gt;&lt;wsp:rsid wsp:val=&quot;0CDB7241&quot;/&gt;&lt;wsp:rsid wsp:val=&quot;0CDD2D53&quot;/&gt;&lt;wsp:rsid wsp:val=&quot;0CDE6ACB&quot;/&gt;&lt;wsp:rsid wsp:val=&quot;0CE045F1&quot;/&gt;&lt;wsp:rsid wsp:val=&quot;0CE340E1&quot;/&gt;&lt;wsp:rsid wsp:val=&quot;0CE42990&quot;/&gt;&lt;wsp:rsid wsp:val=&quot;0CE52F54&quot;/&gt;&lt;wsp:rsid wsp:val=&quot;0CE57E5A&quot;/&gt;&lt;wsp:rsid wsp:val=&quot;0CE71E24&quot;/&gt;&lt;wsp:rsid wsp:val=&quot;0CE73BD2&quot;/&gt;&lt;wsp:rsid wsp:val=&quot;0CE95B9C&quot;/&gt;&lt;wsp:rsid wsp:val=&quot;0CE9794A&quot;/&gt;&lt;wsp:rsid wsp:val=&quot;0CEA2936&quot;/&gt;&lt;wsp:rsid wsp:val=&quot;0CEB7EF6&quot;/&gt;&lt;wsp:rsid wsp:val=&quot;0CED040D&quot;/&gt;&lt;wsp:rsid wsp:val=&quot;0CEE4F60&quot;/&gt;&lt;wsp:rsid wsp:val=&quot;0CF06F2A&quot;/&gt;&lt;wsp:rsid wsp:val=&quot;0CF123C7&quot;/&gt;&lt;wsp:rsid wsp:val=&quot;0CF12CA2&quot;/&gt;&lt;wsp:rsid wsp:val=&quot;0CF307C8&quot;/&gt;&lt;wsp:rsid wsp:val=&quot;0CF415B9&quot;/&gt;&lt;wsp:rsid wsp:val=&quot;0CF42A49&quot;/&gt;&lt;wsp:rsid wsp:val=&quot;0CF462EF&quot;/&gt;&lt;wsp:rsid wsp:val=&quot;0CF61493&quot;/&gt;&lt;wsp:rsid wsp:val=&quot;0CF63E15&quot;/&gt;&lt;wsp:rsid wsp:val=&quot;0CF743E2&quot;/&gt;&lt;wsp:rsid wsp:val=&quot;0CF84031&quot;/&gt;&lt;wsp:rsid wsp:val=&quot;0CF85DDF&quot;/&gt;&lt;wsp:rsid wsp:val=&quot;0CFC11DB&quot;/&gt;&lt;wsp:rsid wsp:val=&quot;0CFD3DAC&quot;/&gt;&lt;wsp:rsid wsp:val=&quot;0CFE2CC9&quot;/&gt;&lt;wsp:rsid wsp:val=&quot;0CFE6607&quot;/&gt;&lt;wsp:rsid wsp:val=&quot;0CFF53BF&quot;/&gt;&lt;wsp:rsid wsp:val=&quot;0CFF716D&quot;/&gt;&lt;wsp:rsid wsp:val=&quot;0D002EE5&quot;/&gt;&lt;wsp:rsid wsp:val=&quot;0D004C93&quot;/&gt;&lt;wsp:rsid wsp:val=&quot;0D024B6A&quot;/&gt;&lt;wsp:rsid wsp:val=&quot;0D026C5D&quot;/&gt;&lt;wsp:rsid wsp:val=&quot;0D0463C4&quot;/&gt;&lt;wsp:rsid wsp:val=&quot;0D0546D5&quot;/&gt;&lt;wsp:rsid wsp:val=&quot;0D0728C9&quot;/&gt;&lt;wsp:rsid wsp:val=&quot;0D074274&quot;/&gt;&lt;wsp:rsid wsp:val=&quot;0D091D9A&quot;/&gt;&lt;wsp:rsid wsp:val=&quot;0D096AD2&quot;/&gt;&lt;wsp:rsid wsp:val=&quot;0D0A37DF&quot;/&gt;&lt;wsp:rsid wsp:val=&quot;0D0C3638&quot;/&gt;&lt;wsp:rsid wsp:val=&quot;0D0E73B0&quot;/&gt;&lt;wsp:rsid wsp:val=&quot;0D0F5086&quot;/&gt;&lt;wsp:rsid wsp:val=&quot;0D10137A&quot;/&gt;&lt;wsp:rsid wsp:val=&quot;0D103128&quot;/&gt;&lt;wsp:rsid wsp:val=&quot;0D116EA1&quot;/&gt;&lt;wsp:rsid wsp:val=&quot;0D136775&quot;/&gt;&lt;wsp:rsid wsp:val=&quot;0D15073F&quot;/&gt;&lt;wsp:rsid wsp:val=&quot;0D16463E&quot;/&gt;&lt;wsp:rsid wsp:val=&quot;0D181FDD&quot;/&gt;&lt;wsp:rsid wsp:val=&quot;0D186481&quot;/&gt;&lt;wsp:rsid wsp:val=&quot;0D187EE2&quot;/&gt;&lt;wsp:rsid wsp:val=&quot;0D1A5D55&quot;/&gt;&lt;wsp:rsid wsp:val=&quot;0D2070E4&quot;/&gt;&lt;wsp:rsid wsp:val=&quot;0D230698&quot;/&gt;&lt;wsp:rsid wsp:val=&quot;0D240982&quot;/&gt;&lt;wsp:rsid wsp:val=&quot;0D241E6A&quot;/&gt;&lt;wsp:rsid wsp:val=&quot;0D244E26&quot;/&gt;&lt;wsp:rsid wsp:val=&quot;0D29243C&quot;/&gt;&lt;wsp:rsid wsp:val=&quot;0D2A3ABE&quot;/&gt;&lt;wsp:rsid wsp:val=&quot;0D2C7836&quot;/&gt;&lt;wsp:rsid wsp:val=&quot;0D2E1801&quot;/&gt;&lt;wsp:rsid wsp:val=&quot;0D2E35AF&quot;/&gt;&lt;wsp:rsid wsp:val=&quot;0D307327&quot;/&gt;&lt;wsp:rsid wsp:val=&quot;0D3112F1&quot;/&gt;&lt;wsp:rsid wsp:val=&quot;0D31309F&quot;/&gt;&lt;wsp:rsid wsp:val=&quot;0D3155AA&quot;/&gt;&lt;wsp:rsid wsp:val=&quot;0D324C7F&quot;/&gt;&lt;wsp:rsid wsp:val=&quot;0D325B40&quot;/&gt;&lt;wsp:rsid wsp:val=&quot;0D335069&quot;/&gt;&lt;wsp:rsid wsp:val=&quot;0D34161D&quot;/&gt;&lt;wsp:rsid wsp:val=&quot;0D352AAD&quot;/&gt;&lt;wsp:rsid wsp:val=&quot;0D352B8F&quot;/&gt;&lt;wsp:rsid wsp:val=&quot;0D366907&quot;/&gt;&lt;wsp:rsid wsp:val=&quot;0D3861DB&quot;/&gt;&lt;wsp:rsid wsp:val=&quot;0D3A3D4E&quot;/&gt;&lt;wsp:rsid wsp:val=&quot;0D3A63F7&quot;/&gt;&lt;wsp:rsid wsp:val=&quot;0D3B3F1D&quot;/&gt;&lt;wsp:rsid wsp:val=&quot;0D3C1D73&quot;/&gt;&lt;wsp:rsid wsp:val=&quot;0D3C216F&quot;/&gt;&lt;wsp:rsid wsp:val=&quot;0D3D37F2&quot;/&gt;&lt;wsp:rsid wsp:val=&quot;0D3D5EE8&quot;/&gt;&lt;wsp:rsid wsp:val=&quot;0D3D7C96&quot;/&gt;&lt;wsp:rsid wsp:val=&quot;0D3F756A&quot;/&gt;&lt;wsp:rsid wsp:val=&quot;0D4032E2&quot;/&gt;&lt;wsp:rsid wsp:val=&quot;0D42705A&quot;/&gt;&lt;wsp:rsid wsp:val=&quot;0D433970&quot;/&gt;&lt;wsp:rsid wsp:val=&quot;0D436541&quot;/&gt;&lt;wsp:rsid wsp:val=&quot;0D441024&quot;/&gt;&lt;wsp:rsid wsp:val=&quot;0D447276&quot;/&gt;&lt;wsp:rsid wsp:val=&quot;0D4728C2&quot;/&gt;&lt;wsp:rsid wsp:val=&quot;0D4B4161&quot;/&gt;&lt;wsp:rsid wsp:val=&quot;0D4C7ED9&quot;/&gt;&lt;wsp:rsid wsp:val=&quot;0D4E59FF&quot;/&gt;&lt;wsp:rsid wsp:val=&quot;0D503504&quot;/&gt;&lt;wsp:rsid wsp:val=&quot;0D5154EF&quot;/&gt;&lt;wsp:rsid wsp:val=&quot;0D523741&quot;/&gt;&lt;wsp:rsid wsp:val=&quot;0D527254&quot;/&gt;&lt;wsp:rsid wsp:val=&quot;0D536036&quot;/&gt;&lt;wsp:rsid wsp:val=&quot;0D553231&quot;/&gt;&lt;wsp:rsid wsp:val=&quot;0D561DE6&quot;/&gt;&lt;wsp:rsid wsp:val=&quot;0D5648B3&quot;/&gt;&lt;wsp:rsid wsp:val=&quot;0D58422A&quot;/&gt;&lt;wsp:rsid wsp:val=&quot;0D586D8E&quot;/&gt;&lt;wsp:rsid wsp:val=&quot;0D591BDD&quot;/&gt;&lt;wsp:rsid wsp:val=&quot;0D5A09D3&quot;/&gt;&lt;wsp:rsid wsp:val=&quot;0D5B7EAB&quot;/&gt;&lt;wsp:rsid wsp:val=&quot;0D5D3E94&quot;/&gt;&lt;wsp:rsid wsp:val=&quot;0D5D5C42&quot;/&gt;&lt;wsp:rsid wsp:val=&quot;0D5F19BA&quot;/&gt;&lt;wsp:rsid wsp:val=&quot;0D5F5E5E&quot;/&gt;&lt;wsp:rsid wsp:val=&quot;0D605561&quot;/&gt;&lt;wsp:rsid wsp:val=&quot;0D6214AA&quot;/&gt;&lt;wsp:rsid wsp:val=&quot;0D621C7D&quot;/&gt;&lt;wsp:rsid wsp:val=&quot;0D65587A&quot;/&gt;&lt;wsp:rsid wsp:val=&quot;0D660F9A&quot;/&gt;&lt;wsp:rsid wsp:val=&quot;0D662D48&quot;/&gt;&lt;wsp:rsid wsp:val=&quot;0D682F64&quot;/&gt;&lt;wsp:rsid wsp:val=&quot;0D687F36&quot;/&gt;&lt;wsp:rsid wsp:val=&quot;0D69025C&quot;/&gt;&lt;wsp:rsid wsp:val=&quot;0D696CDD&quot;/&gt;&lt;wsp:rsid wsp:val=&quot;0D6C2329&quot;/&gt;&lt;wsp:rsid wsp:val=&quot;0D6C3183&quot;/&gt;&lt;wsp:rsid wsp:val=&quot;0D6F14FD&quot;/&gt;&lt;wsp:rsid wsp:val=&quot;0D6F35B4&quot;/&gt;&lt;wsp:rsid wsp:val=&quot;0D706E21&quot;/&gt;&lt;wsp:rsid wsp:val=&quot;0D7116ED&quot;/&gt;&lt;wsp:rsid wsp:val=&quot;0D71793F&quot;/&gt;&lt;wsp:rsid wsp:val=&quot;0D727E7E&quot;/&gt;&lt;wsp:rsid wsp:val=&quot;0D7511DD&quot;/&gt;&lt;wsp:rsid wsp:val=&quot;0D755681&quot;/&gt;&lt;wsp:rsid wsp:val=&quot;0D75742F&quot;/&gt;&lt;wsp:rsid wsp:val=&quot;0D77129A&quot;/&gt;&lt;wsp:rsid wsp:val=&quot;0D774F56&quot;/&gt;&lt;wsp:rsid wsp:val=&quot;0D780CCE&quot;/&gt;&lt;wsp:rsid wsp:val=&quot;0D7A2C98&quot;/&gt;&lt;wsp:rsid wsp:val=&quot;0D7B1AFD&quot;/&gt;&lt;wsp:rsid wsp:val=&quot;0D7C6A10&quot;/&gt;&lt;wsp:rsid wsp:val=&quot;0D814026&quot;/&gt;&lt;wsp:rsid wsp:val=&quot;0D815DD4&quot;/&gt;&lt;wsp:rsid wsp:val=&quot;0D817B82&quot;/&gt;&lt;wsp:rsid wsp:val=&quot;0D8256A8&quot;/&gt;&lt;wsp:rsid wsp:val=&quot;0D841515&quot;/&gt;&lt;wsp:rsid wsp:val=&quot;0D8566F9&quot;/&gt;&lt;wsp:rsid wsp:val=&quot;0D8853B5&quot;/&gt;&lt;wsp:rsid wsp:val=&quot;0D886A29&quot;/&gt;&lt;wsp:rsid wsp:val=&quot;0D8A622C&quot;/&gt;&lt;wsp:rsid wsp:val=&quot;0D8B6C53&quot;/&gt;&lt;wsp:rsid wsp:val=&quot;0D8C6527&quot;/&gt;&lt;wsp:rsid wsp:val=&quot;0D8D4779&quot;/&gt;&lt;wsp:rsid wsp:val=&quot;0D8E229F&quot;/&gt;&lt;wsp:rsid wsp:val=&quot;0D8E6743&quot;/&gt;&lt;wsp:rsid wsp:val=&quot;0D907DC5&quot;/&gt;&lt;wsp:rsid wsp:val=&quot;0D92024A&quot;/&gt;&lt;wsp:rsid wsp:val=&quot;0D927FE1&quot;/&gt;&lt;wsp:rsid wsp:val=&quot;0D935B07&quot;/&gt;&lt;wsp:rsid wsp:val=&quot;0D957AD2&quot;/&gt;&lt;wsp:rsid wsp:val=&quot;0D9755F8&quot;/&gt;&lt;wsp:rsid wsp:val=&quot;0D98311E&quot;/&gt;&lt;wsp:rsid wsp:val=&quot;0D984ECC&quot;/&gt;&lt;wsp:rsid wsp:val=&quot;0D991370&quot;/&gt;&lt;wsp:rsid wsp:val=&quot;0D9D24E2&quot;/&gt;&lt;wsp:rsid wsp:val=&quot;0D9F26FE&quot;/&gt;&lt;wsp:rsid wsp:val=&quot;0D9F31AB&quot;/&gt;&lt;wsp:rsid wsp:val=&quot;0D9F44AC&quot;/&gt;&lt;wsp:rsid wsp:val=&quot;0D9F625A&quot;/&gt;&lt;wsp:rsid wsp:val=&quot;0DA10592&quot;/&gt;&lt;wsp:rsid wsp:val=&quot;0DA26F5D&quot;/&gt;&lt;wsp:rsid wsp:val=&quot;0DA41D58&quot;/&gt;&lt;wsp:rsid wsp:val=&quot;0DA43871&quot;/&gt;&lt;wsp:rsid wsp:val=&quot;0DA4444E&quot;/&gt;&lt;wsp:rsid wsp:val=&quot;0DA970D9&quot;/&gt;&lt;wsp:rsid wsp:val=&quot;0DAB10A3&quot;/&gt;&lt;wsp:rsid wsp:val=&quot;0DAB4BFF&quot;/&gt;&lt;wsp:rsid wsp:val=&quot;0DAD6BC9&quot;/&gt;&lt;wsp:rsid wsp:val=&quot;0DAE46EF&quot;/&gt;&lt;wsp:rsid wsp:val=&quot;0DB00467&quot;/&gt;&lt;wsp:rsid wsp:val=&quot;0DB164B2&quot;/&gt;&lt;wsp:rsid wsp:val=&quot;0DB22432&quot;/&gt;&lt;wsp:rsid wsp:val=&quot;0DB241E0&quot;/&gt;&lt;wsp:rsid wsp:val=&quot;0DB31D06&quot;/&gt;&lt;wsp:rsid wsp:val=&quot;0DB735A4&quot;/&gt;&lt;wsp:rsid wsp:val=&quot;0DB77A48&quot;/&gt;&lt;wsp:rsid wsp:val=&quot;0DB8556E&quot;/&gt;&lt;wsp:rsid wsp:val=&quot;0DB93BD7&quot;/&gt;&lt;wsp:rsid wsp:val=&quot;0DBA7538&quot;/&gt;&lt;wsp:rsid wsp:val=&quot;0DBC0BBA&quot;/&gt;&lt;wsp:rsid wsp:val=&quot;0DBC505E&quot;/&gt;&lt;wsp:rsid wsp:val=&quot;0DBE0DD6&quot;/&gt;&lt;wsp:rsid wsp:val=&quot;0DBE2B84&quot;/&gt;&lt;wsp:rsid wsp:val=&quot;0DBF06AB&quot;/&gt;&lt;wsp:rsid wsp:val=&quot;0DBF4B4E&quot;/&gt;&lt;wsp:rsid wsp:val=&quot;0DBF7D8B&quot;/&gt;&lt;wsp:rsid wsp:val=&quot;0DC01E84&quot;/&gt;&lt;wsp:rsid wsp:val=&quot;0DC108C7&quot;/&gt;&lt;wsp:rsid wsp:val=&quot;0DC3019B&quot;/&gt;&lt;wsp:rsid wsp:val=&quot;0DC53787&quot;/&gt;&lt;wsp:rsid wsp:val=&quot;0DC61A39&quot;/&gt;&lt;wsp:rsid wsp:val=&quot;0DC65EDD&quot;/&gt;&lt;wsp:rsid wsp:val=&quot;0DC9777B&quot;/&gt;&lt;wsp:rsid wsp:val=&quot;0DCB704F&quot;/&gt;&lt;wsp:rsid wsp:val=&quot;0DCD726B&quot;/&gt;&lt;wsp:rsid wsp:val=&quot;0DCE6B40&quot;/&gt;&lt;wsp:rsid wsp:val=&quot;0DCF6B28&quot;/&gt;&lt;wsp:rsid wsp:val=&quot;0DD04666&quot;/&gt;&lt;wsp:rsid wsp:val=&quot;0DD56120&quot;/&gt;&lt;wsp:rsid wsp:val=&quot;0DD57ECE&quot;/&gt;&lt;wsp:rsid wsp:val=&quot;0DD66B39&quot;/&gt;&lt;wsp:rsid wsp:val=&quot;0DD7645F&quot;/&gt;&lt;wsp:rsid wsp:val=&quot;0DD979BE&quot;/&gt;&lt;wsp:rsid wsp:val=&quot;0DDA3736&quot;/&gt;&lt;wsp:rsid wsp:val=&quot;0DDC74AE&quot;/&gt;&lt;wsp:rsid wsp:val=&quot;0DDE4FD5&quot;/&gt;&lt;wsp:rsid wsp:val=&quot;0DE0109D&quot;/&gt;&lt;wsp:rsid wsp:val=&quot;0DE16873&quot;/&gt;&lt;wsp:rsid wsp:val=&quot;0DE27E25&quot;/&gt;&lt;wsp:rsid wsp:val=&quot;0DE40111&quot;/&gt;&lt;wsp:rsid wsp:val=&quot;0DE46363&quot;/&gt;&lt;wsp:rsid wsp:val=&quot;0DE63E89&quot;/&gt;&lt;wsp:rsid wsp:val=&quot;0DE85E53&quot;/&gt;&lt;wsp:rsid wsp:val=&quot;0DE86B21&quot;/&gt;&lt;wsp:rsid wsp:val=&quot;0DE87C01&quot;/&gt;&lt;wsp:rsid wsp:val=&quot;0DE93979&quot;/&gt;&lt;wsp:rsid wsp:val=&quot;0DEB14A0&quot;/&gt;&lt;wsp:rsid wsp:val=&quot;0DEB670A&quot;/&gt;&lt;wsp:rsid wsp:val=&quot;0DEB74D9&quot;/&gt;&lt;wsp:rsid wsp:val=&quot;0DED15C6&quot;/&gt;&lt;wsp:rsid wsp:val=&quot;0DED16BC&quot;/&gt;&lt;wsp:rsid wsp:val=&quot;0DED346A&quot;/&gt;&lt;wsp:rsid wsp:val=&quot;0DED5218&quot;/&gt;&lt;wsp:rsid wsp:val=&quot;0DF2282E&quot;/&gt;&lt;wsp:rsid wsp:val=&quot;0DF26CD2&quot;/&gt;&lt;wsp:rsid wsp:val=&quot;0DF46805&quot;/&gt;&lt;wsp:rsid wsp:val=&quot;0DF63C10&quot;/&gt;&lt;wsp:rsid wsp:val=&quot;0DF65076&quot;/&gt;&lt;wsp:rsid wsp:val=&quot;0DF6524C&quot;/&gt;&lt;wsp:rsid wsp:val=&quot;0DF75186&quot;/&gt;&lt;wsp:rsid wsp:val=&quot;0DF76096&quot;/&gt;&lt;wsp:rsid wsp:val=&quot;0DF90060&quot;/&gt;&lt;wsp:rsid wsp:val=&quot;0DF92677&quot;/&gt;&lt;wsp:rsid wsp:val=&quot;0DF93BBD&quot;/&gt;&lt;wsp:rsid wsp:val=&quot;0DFC1FFF&quot;/&gt;&lt;wsp:rsid wsp:val=&quot;0DFC36AD&quot;/&gt;&lt;wsp:rsid wsp:val=&quot;0DFE11D3&quot;/&gt;&lt;wsp:rsid wsp:val=&quot;0DFE5392&quot;/&gt;&lt;wsp:rsid wsp:val=&quot;0DFE5677&quot;/&gt;&lt;wsp:rsid wsp:val=&quot;0DFE7425&quot;/&gt;&lt;wsp:rsid wsp:val=&quot;0E001D83&quot;/&gt;&lt;wsp:rsid wsp:val=&quot;0E010CC3&quot;/&gt;&lt;wsp:rsid wsp:val=&quot;0E056D34&quot;/&gt;&lt;wsp:rsid wsp:val=&quot;0E06277D&quot;/&gt;&lt;wsp:rsid wsp:val=&quot;0E07353A&quot;/&gt;&lt;wsp:rsid wsp:val=&quot;0E083E00&quot;/&gt;&lt;wsp:rsid wsp:val=&quot;0E0A336E&quot;/&gt;&lt;wsp:rsid wsp:val=&quot;0E0A401C&quot;/&gt;&lt;wsp:rsid wsp:val=&quot;0E0B7916&quot;/&gt;&lt;wsp:rsid wsp:val=&quot;0E0B7D94&quot;/&gt;&lt;wsp:rsid wsp:val=&quot;0E0E518E&quot;/&gt;&lt;wsp:rsid wsp:val=&quot;0E1171BD&quot;/&gt;&lt;wsp:rsid wsp:val=&quot;0E146C48&quot;/&gt;&lt;wsp:rsid wsp:val=&quot;0E1529C0&quot;/&gt;&lt;wsp:rsid wsp:val=&quot;0E15476E&quot;/&gt;&lt;wsp:rsid wsp:val=&quot;0E172295&quot;/&gt;&lt;wsp:rsid wsp:val=&quot;0E17302F&quot;/&gt;&lt;wsp:rsid wsp:val=&quot;0E176739&quot;/&gt;&lt;wsp:rsid wsp:val=&quot;0E1A3B33&quot;/&gt;&lt;wsp:rsid wsp:val=&quot;0E1B7FD7&quot;/&gt;&lt;wsp:rsid wsp:val=&quot;0E1C3D4F&quot;/&gt;&lt;wsp:rsid wsp:val=&quot;0E1C78AB&quot;/&gt;&lt;wsp:rsid wsp:val=&quot;0E1E33F4&quot;/&gt;&lt;wsp:rsid wsp:val=&quot;0E1F1149&quot;/&gt;&lt;wsp:rsid wsp:val=&quot;0E205822&quot;/&gt;&lt;wsp:rsid wsp:val=&quot;0E214EC1&quot;/&gt;&lt;wsp:rsid wsp:val=&quot;0E2350DD&quot;/&gt;&lt;wsp:rsid wsp:val=&quot;0E2449B2&quot;/&gt;&lt;wsp:rsid wsp:val=&quot;0E247D60&quot;/&gt;&lt;wsp:rsid wsp:val=&quot;0E252C04&quot;/&gt;&lt;wsp:rsid wsp:val=&quot;0E255A34&quot;/&gt;&lt;wsp:rsid wsp:val=&quot;0E256D9A&quot;/&gt;&lt;wsp:rsid wsp:val=&quot;0E2624D8&quot;/&gt;&lt;wsp:rsid wsp:val=&quot;0E2826F4&quot;/&gt;&lt;wsp:rsid wsp:val=&quot;0E283FB3&quot;/&gt;&lt;wsp:rsid wsp:val=&quot;0E2A646C&quot;/&gt;&lt;wsp:rsid wsp:val=&quot;0E2B5D40&quot;/&gt;&lt;wsp:rsid wsp:val=&quot;0E2C21E4&quot;/&gt;&lt;wsp:rsid wsp:val=&quot;0E2D1AB8&quot;/&gt;&lt;wsp:rsid wsp:val=&quot;0E2D3866&quot;/&gt;&lt;wsp:rsid wsp:val=&quot;0E2F12B5&quot;/&gt;&lt;wsp:rsid wsp:val=&quot;0E2F3A82&quot;/&gt;&lt;wsp:rsid wsp:val=&quot;0E2F75DE&quot;/&gt;&lt;wsp:rsid wsp:val=&quot;0E323572&quot;/&gt;&lt;wsp:rsid wsp:val=&quot;0E342E47&quot;/&gt;&lt;wsp:rsid wsp:val=&quot;0E35096D&quot;/&gt;&lt;wsp:rsid wsp:val=&quot;0E355127&quot;/&gt;&lt;wsp:rsid wsp:val=&quot;0E356BBF&quot;/&gt;&lt;wsp:rsid wsp:val=&quot;0E36265D&quot;/&gt;&lt;wsp:rsid wsp:val=&quot;0E370C1E&quot;/&gt;&lt;wsp:rsid wsp:val=&quot;0E3746E5&quot;/&gt;&lt;wsp:rsid wsp:val=&quot;0E39220B&quot;/&gt;&lt;wsp:rsid wsp:val=&quot;0E3A5F83&quot;/&gt;&lt;wsp:rsid wsp:val=&quot;0E3B3F9E&quot;/&gt;&lt;wsp:rsid wsp:val=&quot;0E3E3CC5&quot;/&gt;&lt;wsp:rsid wsp:val=&quot;0E400A29&quot;/&gt;&lt;wsp:rsid wsp:val=&quot;0E407A3D&quot;/&gt;&lt;wsp:rsid wsp:val=&quot;0E4137B5&quot;/&gt;&lt;wsp:rsid wsp:val=&quot;0E455054&quot;/&gt;&lt;wsp:rsid wsp:val=&quot;0E456E02&quot;/&gt;&lt;wsp:rsid wsp:val=&quot;0E460DCC&quot;/&gt;&lt;wsp:rsid wsp:val=&quot;0E464928&quot;/&gt;&lt;wsp:rsid wsp:val=&quot;0E4709CC&quot;/&gt;&lt;wsp:rsid wsp:val=&quot;0E4868F2&quot;/&gt;&lt;wsp:rsid wsp:val=&quot;0E4A4418&quot;/&gt;&lt;wsp:rsid wsp:val=&quot;0E4A7F2A&quot;/&gt;&lt;wsp:rsid wsp:val=&quot;0E4B0190&quot;/&gt;&lt;wsp:rsid wsp:val=&quot;0E4B1F3E&quot;/&gt;&lt;wsp:rsid wsp:val=&quot;0E4D3F08&quot;/&gt;&lt;wsp:rsid wsp:val=&quot;0E4D48AC&quot;/&gt;&lt;wsp:rsid wsp:val=&quot;0E4F7062&quot;/&gt;&lt;wsp:rsid wsp:val=&quot;0E5232CD&quot;/&gt;&lt;wsp:rsid wsp:val=&quot;0E527771&quot;/&gt;&lt;wsp:rsid wsp:val=&quot;0E5434E9&quot;/&gt;&lt;wsp:rsid wsp:val=&quot;0E545297&quot;/&gt;&lt;wsp:rsid wsp:val=&quot;0E547045&quot;/&gt;&lt;wsp:rsid wsp:val=&quot;0E5758F0&quot;/&gt;&lt;wsp:rsid wsp:val=&quot;0E5B4877&quot;/&gt;&lt;wsp:rsid wsp:val=&quot;0E5D24C7&quot;/&gt;&lt;wsp:rsid wsp:val=&quot;0E5D6F32&quot;/&gt;&lt;wsp:rsid wsp:val=&quot;0E5E6115&quot;/&gt;&lt;wsp:rsid wsp:val=&quot;0E5E7EC3&quot;/&gt;&lt;wsp:rsid wsp:val=&quot;0E5F3F5A&quot;/&gt;&lt;wsp:rsid wsp:val=&quot;0E5F4EF3&quot;/&gt;&lt;wsp:rsid wsp:val=&quot;0E6258BE&quot;/&gt;&lt;wsp:rsid wsp:val=&quot;0E63197E&quot;/&gt;&lt;wsp:rsid wsp:val=&quot;0E651091&quot;/&gt;&lt;wsp:rsid wsp:val=&quot;0E653000&quot;/&gt;&lt;wsp:rsid wsp:val=&quot;0E67321C&quot;/&gt;&lt;wsp:rsid wsp:val=&quot;0E686F94&quot;/&gt;&lt;wsp:rsid wsp:val=&quot;0E6A4ABA&quot;/&gt;&lt;wsp:rsid wsp:val=&quot;0E6B438E&quot;/&gt;&lt;wsp:rsid wsp:val=&quot;0E6C0832&quot;/&gt;&lt;wsp:rsid wsp:val=&quot;0E6C4698&quot;/&gt;&lt;wsp:rsid wsp:val=&quot;0E6D45AA&quot;/&gt;&lt;wsp:rsid wsp:val=&quot;0E6F0323&quot;/&gt;&lt;wsp:rsid wsp:val=&quot;0E6F3E7F&quot;/&gt;&lt;wsp:rsid wsp:val=&quot;0E7019A5&quot;/&gt;&lt;wsp:rsid wsp:val=&quot;0E707BF7&quot;/&gt;&lt;wsp:rsid wsp:val=&quot;0E711068&quot;/&gt;&lt;wsp:rsid wsp:val=&quot;0E7143CA&quot;/&gt;&lt;wsp:rsid wsp:val=&quot;0E715E49&quot;/&gt;&lt;wsp:rsid wsp:val=&quot;0E72571D&quot;/&gt;&lt;wsp:rsid wsp:val=&quot;0E73034D&quot;/&gt;&lt;wsp:rsid wsp:val=&quot;0E741495&quot;/&gt;&lt;wsp:rsid wsp:val=&quot;0E7476E7&quot;/&gt;&lt;wsp:rsid wsp:val=&quot;0E750E79&quot;/&gt;&lt;wsp:rsid wsp:val=&quot;0E7525BA&quot;/&gt;&lt;wsp:rsid wsp:val=&quot;0E7616B1&quot;/&gt;&lt;wsp:rsid wsp:val=&quot;0E7771D7&quot;/&gt;&lt;wsp:rsid wsp:val=&quot;0E782394&quot;/&gt;&lt;wsp:rsid wsp:val=&quot;0E7B6233&quot;/&gt;&lt;wsp:rsid wsp:val=&quot;0E7C0454&quot;/&gt;&lt;wsp:rsid wsp:val=&quot;0E7D51EB&quot;/&gt;&lt;wsp:rsid wsp:val=&quot;0E8042DE&quot;/&gt;&lt;wsp:rsid wsp:val=&quot;0E80615A&quot;/&gt;&lt;wsp:rsid wsp:val=&quot;0E8106B8&quot;/&gt;&lt;wsp:rsid wsp:val=&quot;0E813BB2&quot;/&gt;&lt;wsp:rsid wsp:val=&quot;0E820056&quot;/&gt;&lt;wsp:rsid wsp:val=&quot;0E83792A&quot;/&gt;&lt;wsp:rsid wsp:val=&quot;0E855450&quot;/&gt;&lt;wsp:rsid wsp:val=&quot;0E8611C8&quot;/&gt;&lt;wsp:rsid wsp:val=&quot;0E861DFE&quot;/&gt;&lt;wsp:rsid wsp:val=&quot;0E87566C&quot;/&gt;&lt;wsp:rsid wsp:val=&quot;0E880A30&quot;/&gt;&lt;wsp:rsid wsp:val=&quot;0E894879&quot;/&gt;&lt;wsp:rsid wsp:val=&quot;0E8A0CB9&quot;/&gt;&lt;wsp:rsid wsp:val=&quot;0E8C4A31&quot;/&gt;&lt;wsp:rsid wsp:val=&quot;0E8D07A9&quot;/&gt;&lt;wsp:rsid wsp:val=&quot;0E8D69FB&quot;/&gt;&lt;wsp:rsid wsp:val=&quot;0E903DF5&quot;/&gt;&lt;wsp:rsid wsp:val=&quot;0E925DBF&quot;/&gt;&lt;wsp:rsid wsp:val=&quot;0E941B37&quot;/&gt;&lt;wsp:rsid wsp:val=&quot;0E9438E5&quot;/&gt;&lt;wsp:rsid wsp:val=&quot;0E96765D&quot;/&gt;&lt;wsp:rsid wsp:val=&quot;0E9733D5&quot;/&gt;&lt;wsp:rsid wsp:val=&quot;0E975183&quot;/&gt;&lt;wsp:rsid wsp:val=&quot;0E9919B5&quot;/&gt;&lt;wsp:rsid wsp:val=&quot;0E9C09EC&quot;/&gt;&lt;wsp:rsid wsp:val=&quot;0E9C279A&quot;/&gt;&lt;wsp:rsid wsp:val=&quot;0E9D4E90&quot;/&gt;&lt;wsp:rsid wsp:val=&quot;0EA0228A&quot;/&gt;&lt;wsp:rsid wsp:val=&quot;0EA10147&quot;/&gt;&lt;wsp:rsid wsp:val=&quot;0EA24254&quot;/&gt;&lt;wsp:rsid wsp:val=&quot;0EA31D7A&quot;/&gt;&lt;wsp:rsid wsp:val=&quot;0EA93835&quot;/&gt;&lt;wsp:rsid wsp:val=&quot;0EAA3109&quot;/&gt;&lt;wsp:rsid wsp:val=&quot;0EAC446D&quot;/&gt;&lt;wsp:rsid wsp:val=&quot;0EAD12BB&quot;/&gt;&lt;wsp:rsid wsp:val=&quot;0EAD49A7&quot;/&gt;&lt;wsp:rsid wsp:val=&quot;0EAE1581&quot;/&gt;&lt;wsp:rsid wsp:val=&quot;0EAF4BC3&quot;/&gt;&lt;wsp:rsid wsp:val=&quot;0EAF6971&quot;/&gt;&lt;wsp:rsid wsp:val=&quot;0EB030EA&quot;/&gt;&lt;wsp:rsid wsp:val=&quot;0EB16245&quot;/&gt;&lt;wsp:rsid wsp:val=&quot;0EB178EC&quot;/&gt;&lt;wsp:rsid wsp:val=&quot;0EB2020F&quot;/&gt;&lt;wsp:rsid wsp:val=&quot;0EB26482&quot;/&gt;&lt;wsp:rsid wsp:val=&quot;0EB43F87&quot;/&gt;&lt;wsp:rsid wsp:val=&quot;0EB67D00&quot;/&gt;&lt;wsp:rsid wsp:val=&quot;0EB7236D&quot;/&gt;&lt;wsp:rsid wsp:val=&quot;0EB75826&quot;/&gt;&lt;wsp:rsid wsp:val=&quot;0EB9334C&quot;/&gt;&lt;wsp:rsid wsp:val=&quot;0EBB5316&quot;/&gt;&lt;wsp:rsid wsp:val=&quot;0EBC360E&quot;/&gt;&lt;wsp:rsid wsp:val=&quot;0EBD108E&quot;/&gt;&lt;wsp:rsid wsp:val=&quot;0EBE2240&quot;/&gt;&lt;wsp:rsid wsp:val=&quot;0EBE4E06&quot;/&gt;&lt;wsp:rsid wsp:val=&quot;0EC00B7E&quot;/&gt;&lt;wsp:rsid wsp:val=&quot;0EC248F6&quot;/&gt;&lt;wsp:rsid wsp:val=&quot;0EC51CF1&quot;/&gt;&lt;wsp:rsid wsp:val=&quot;0EC87A33&quot;/&gt;&lt;wsp:rsid wsp:val=&quot;0EC95C85&quot;/&gt;&lt;wsp:rsid wsp:val=&quot;0ECA37AB&quot;/&gt;&lt;wsp:rsid wsp:val=&quot;0ECD0E2A&quot;/&gt;&lt;wsp:rsid wsp:val=&quot;0ECD6DF7&quot;/&gt;&lt;wsp:rsid wsp:val=&quot;0ECE5049&quot;/&gt;&lt;wsp:rsid wsp:val=&quot;0ECF491D&quot;/&gt;&lt;wsp:rsid wsp:val=&quot;0ED308B1&quot;/&gt;&lt;wsp:rsid wsp:val=&quot;0ED463D8&quot;/&gt;&lt;wsp:rsid wsp:val=&quot;0ED62150&quot;/&gt;&lt;wsp:rsid wsp:val=&quot;0ED74921&quot;/&gt;&lt;wsp:rsid wsp:val=&quot;0ED86425&quot;/&gt;&lt;wsp:rsid wsp:val=&quot;0ED87C76&quot;/&gt;&lt;wsp:rsid wsp:val=&quot;0ED9579C&quot;/&gt;&lt;wsp:rsid wsp:val=&quot;0EDB2AB0&quot;/&gt;&lt;wsp:rsid wsp:val=&quot;0EDB32C2&quot;/&gt;&lt;wsp:rsid wsp:val=&quot;0EDE1958&quot;/&gt;&lt;wsp:rsid wsp:val=&quot;0EE02FCE&quot;/&gt;&lt;wsp:rsid wsp:val=&quot;0EE04D7C&quot;/&gt;&lt;wsp:rsid wsp:val=&quot;0EE228A3&quot;/&gt;&lt;wsp:rsid wsp:val=&quot;0EE26069&quot;/&gt;&lt;wsp:rsid wsp:val=&quot;0EE303C9&quot;/&gt;&lt;wsp:rsid wsp:val=&quot;0EE37B25&quot;/&gt;&lt;wsp:rsid wsp:val=&quot;0EE4486D&quot;/&gt;&lt;wsp:rsid wsp:val=&quot;0EE7435D&quot;/&gt;&lt;wsp:rsid wsp:val=&quot;0EE859DF&quot;/&gt;&lt;wsp:rsid wsp:val=&quot;0EEA5BFB&quot;/&gt;&lt;wsp:rsid wsp:val=&quot;0EEC183C&quot;/&gt;&lt;wsp:rsid wsp:val=&quot;0EEC54CF&quot;/&gt;&lt;wsp:rsid wsp:val=&quot;0EEE56EB&quot;/&gt;&lt;wsp:rsid wsp:val=&quot;0EEF4FBF&quot;/&gt;&lt;wsp:rsid wsp:val=&quot;0EEF6D6E&quot;/&gt;&lt;wsp:rsid wsp:val=&quot;0EF024FE&quot;/&gt;&lt;wsp:rsid wsp:val=&quot;0EF02BFC&quot;/&gt;&lt;wsp:rsid wsp:val=&quot;0EF12AE6&quot;/&gt;&lt;wsp:rsid wsp:val=&quot;0EF32D02&quot;/&gt;&lt;wsp:rsid wsp:val=&quot;0EF425D6&quot;/&gt;&lt;wsp:rsid wsp:val=&quot;0EF600FC&quot;/&gt;&lt;wsp:rsid wsp:val=&quot;0EF6634E&quot;/&gt;&lt;wsp:rsid wsp:val=&quot;0EF820C6&quot;/&gt;&lt;wsp:rsid wsp:val=&quot;0EF92D65&quot;/&gt;&lt;wsp:rsid wsp:val=&quot;0EFB3964&quot;/&gt;&lt;wsp:rsid wsp:val=&quot;0EFB7611&quot;/&gt;&lt;wsp:rsid wsp:val=&quot;0EFC21E2&quot;/&gt;&lt;wsp:rsid wsp:val=&quot;0EFD592E&quot;/&gt;&lt;wsp:rsid wsp:val=&quot;0EFE195A&quot;/&gt;&lt;wsp:rsid wsp:val=&quot;0F00541F&quot;/&gt;&lt;wsp:rsid wsp:val=&quot;0F024CF3&quot;/&gt;&lt;wsp:rsid wsp:val=&quot;0F026AA1&quot;/&gt;&lt;wsp:rsid wsp:val=&quot;0F0274E4&quot;/&gt;&lt;wsp:rsid wsp:val=&quot;0F042CED&quot;/&gt;&lt;wsp:rsid wsp:val=&quot;0F046CBD&quot;/&gt;&lt;wsp:rsid wsp:val=&quot;0F052A35&quot;/&gt;&lt;wsp:rsid wsp:val=&quot;0F072309&quot;/&gt;&lt;wsp:rsid wsp:val=&quot;0F0767AD&quot;/&gt;&lt;wsp:rsid wsp:val=&quot;0F087E2F&quot;/&gt;&lt;wsp:rsid wsp:val=&quot;0F0A1DF9&quot;/&gt;&lt;wsp:rsid wsp:val=&quot;0F0B75D6&quot;/&gt;&lt;wsp:rsid wsp:val=&quot;0F0C2B61&quot;/&gt;&lt;wsp:rsid wsp:val=&quot;0F0E4B55&quot;/&gt;&lt;wsp:rsid wsp:val=&quot;0F0E7B3C&quot;/&gt;&lt;wsp:rsid wsp:val=&quot;0F0F11BE&quot;/&gt;&lt;wsp:rsid wsp:val=&quot;0F113188&quot;/&gt;&lt;wsp:rsid wsp:val=&quot;0F135152&quot;/&gt;&lt;wsp:rsid wsp:val=&quot;0F13775A&quot;/&gt;&lt;wsp:rsid wsp:val=&quot;0F144A26&quot;/&gt;&lt;wsp:rsid wsp:val=&quot;0F1455F1&quot;/&gt;&lt;wsp:rsid wsp:val=&quot;0F16254C&quot;/&gt;&lt;wsp:rsid wsp:val=&quot;0F163D3F&quot;/&gt;&lt;wsp:rsid wsp:val=&quot;0F1669F0&quot;/&gt;&lt;wsp:rsid wsp:val=&quot;0F1961E8&quot;/&gt;&lt;wsp:rsid wsp:val=&quot;0F1A64E0&quot;/&gt;&lt;wsp:rsid wsp:val=&quot;0F1B7B63&quot;/&gt;&lt;wsp:rsid wsp:val=&quot;0F1D1B2D&quot;/&gt;&lt;wsp:rsid wsp:val=&quot;0F1F3E3B&quot;/&gt;&lt;wsp:rsid wsp:val=&quot;0F2033CB&quot;/&gt;&lt;wsp:rsid wsp:val=&quot;0F205179&quot;/&gt;&lt;wsp:rsid wsp:val=&quot;0F210A79&quot;/&gt;&lt;wsp:rsid wsp:val=&quot;0F24110D&quot;/&gt;&lt;wsp:rsid wsp:val=&quot;0F256C33&quot;/&gt;&lt;wsp:rsid wsp:val=&quot;0F2729AB&quot;/&gt;&lt;wsp:rsid wsp:val=&quot;0F274759&quot;/&gt;&lt;wsp:rsid wsp:val=&quot;0F2761EA&quot;/&gt;&lt;wsp:rsid wsp:val=&quot;0F276507&quot;/&gt;&lt;wsp:rsid wsp:val=&quot;0F2904D1&quot;/&gt;&lt;wsp:rsid wsp:val=&quot;0F2C6214&quot;/&gt;&lt;wsp:rsid wsp:val=&quot;0F2D7925&quot;/&gt;&lt;wsp:rsid wsp:val=&quot;0F2E5AE8&quot;/&gt;&lt;wsp:rsid wsp:val=&quot;0F2F33AB&quot;/&gt;&lt;wsp:rsid wsp:val=&quot;0F3109A6&quot;/&gt;&lt;wsp:rsid wsp:val=&quot;0F343320&quot;/&gt;&lt;wsp:rsid wsp:val=&quot;0F360E40&quot;/&gt;&lt;wsp:rsid wsp:val=&quot;0F3744EB&quot;/&gt;&lt;wsp:rsid wsp:val=&quot;0F384BB8&quot;/&gt;&lt;wsp:rsid wsp:val=&quot;0F3A0931&quot;/&gt;&lt;wsp:rsid wsp:val=&quot;0F3B1FB3&quot;/&gt;&lt;wsp:rsid wsp:val=&quot;0F3B2FEA&quot;/&gt;&lt;wsp:rsid wsp:val=&quot;0F3F1AA3&quot;/&gt;&lt;wsp:rsid wsp:val=&quot;0F3F5F47&quot;/&gt;&lt;wsp:rsid wsp:val=&quot;0F3F7CF5&quot;/&gt;&lt;wsp:rsid wsp:val=&quot;0F4052B3&quot;/&gt;&lt;wsp:rsid wsp:val=&quot;0F410916&quot;/&gt;&lt;wsp:rsid wsp:val=&quot;0F421593&quot;/&gt;&lt;wsp:rsid wsp:val=&quot;0F423341&quot;/&gt;&lt;wsp:rsid wsp:val=&quot;0F4278E9&quot;/&gt;&lt;wsp:rsid wsp:val=&quot;0F450727&quot;/&gt;&lt;wsp:rsid wsp:val=&quot;0F451083&quot;/&gt;&lt;wsp:rsid wsp:val=&quot;0F4672D5&quot;/&gt;&lt;wsp:rsid wsp:val=&quot;0F476BAA&quot;/&gt;&lt;wsp:rsid wsp:val=&quot;0F4800B8&quot;/&gt;&lt;wsp:rsid wsp:val=&quot;0F490B74&quot;/&gt;&lt;wsp:rsid wsp:val=&quot;0F4948EC&quot;/&gt;&lt;wsp:rsid wsp:val=&quot;0F4A19C8&quot;/&gt;&lt;wsp:rsid wsp:val=&quot;0F4C0664&quot;/&gt;&lt;wsp:rsid wsp:val=&quot;0F4C2412&quot;/&gt;&lt;wsp:rsid wsp:val=&quot;0F4C41C0&quot;/&gt;&lt;wsp:rsid wsp:val=&quot;0F4E618A&quot;/&gt;&lt;wsp:rsid wsp:val=&quot;0F4E7F38&quot;/&gt;&lt;wsp:rsid wsp:val=&quot;0F503CB0&quot;/&gt;&lt;wsp:rsid wsp:val=&quot;0F515C7A&quot;/&gt;&lt;wsp:rsid wsp:val=&quot;0F53554E&quot;/&gt;&lt;wsp:rsid wsp:val=&quot;0F5512C6&quot;/&gt;&lt;wsp:rsid wsp:val=&quot;0F56503F&quot;/&gt;&lt;wsp:rsid wsp:val=&quot;0F582B65&quot;/&gt;&lt;wsp:rsid wsp:val=&quot;0F5C08A7&quot;/&gt;&lt;wsp:rsid wsp:val=&quot;0F5C3DDD&quot;/&gt;&lt;wsp:rsid wsp:val=&quot;0F5C6A3C&quot;/&gt;&lt;wsp:rsid wsp:val=&quot;0F5D69AE&quot;/&gt;&lt;wsp:rsid wsp:val=&quot;0F5E2A0F&quot;/&gt;&lt;wsp:rsid wsp:val=&quot;0F5F45FE&quot;/&gt;&lt;wsp:rsid wsp:val=&quot;0F601A19&quot;/&gt;&lt;wsp:rsid wsp:val=&quot;0F607DCE&quot;/&gt;&lt;wsp:rsid wsp:val=&quot;0F632BEB&quot;/&gt;&lt;wsp:rsid wsp:val=&quot;0F6459AD&quot;/&gt;&lt;wsp:rsid wsp:val=&quot;0F661726&quot;/&gt;&lt;wsp:rsid wsp:val=&quot;0F67724C&quot;/&gt;&lt;wsp:rsid wsp:val=&quot;0F694F51&quot;/&gt;&lt;wsp:rsid wsp:val=&quot;0F6A2898&quot;/&gt;&lt;wsp:rsid wsp:val=&quot;0F6C1977&quot;/&gt;&lt;wsp:rsid wsp:val=&quot;0F722315&quot;/&gt;&lt;wsp:rsid wsp:val=&quot;0F73174D&quot;/&gt;&lt;wsp:rsid wsp:val=&quot;0F745423&quot;/&gt;&lt;wsp:rsid wsp:val=&quot;0F7554C5&quot;/&gt;&lt;wsp:rsid wsp:val=&quot;0F76748F&quot;/&gt;&lt;wsp:rsid wsp:val=&quot;0F777E12&quot;/&gt;&lt;wsp:rsid wsp:val=&quot;0F7A0AA7&quot;/&gt;&lt;wsp:rsid wsp:val=&quot;0F7A0D2D&quot;/&gt;&lt;wsp:rsid wsp:val=&quot;0F7B0B9F&quot;/&gt;&lt;wsp:rsid wsp:val=&quot;0F7B4AA5&quot;/&gt;&lt;wsp:rsid wsp:val=&quot;0F7C1A16&quot;/&gt;&lt;wsp:rsid wsp:val=&quot;0F7C24AA&quot;/&gt;&lt;wsp:rsid wsp:val=&quot;0F7D25CB&quot;/&gt;&lt;wsp:rsid wsp:val=&quot;0F7D718B&quot;/&gt;&lt;wsp:rsid wsp:val=&quot;0F804919&quot;/&gt;&lt;wsp:rsid wsp:val=&quot;0F840147&quot;/&gt;&lt;wsp:rsid wsp:val=&quot;0F84395A&quot;/&gt;&lt;wsp:rsid wsp:val=&quot;0F844F29&quot;/&gt;&lt;wsp:rsid wsp:val=&quot;0F847DFE&quot;/&gt;&lt;wsp:rsid wsp:val=&quot;0F865924&quot;/&gt;&lt;wsp:rsid wsp:val=&quot;0F8676D2&quot;/&gt;&lt;wsp:rsid wsp:val=&quot;0F87169C&quot;/&gt;&lt;wsp:rsid wsp:val=&quot;0F880B6C&quot;/&gt;&lt;wsp:rsid wsp:val=&quot;0F8875D5&quot;/&gt;&lt;wsp:rsid wsp:val=&quot;0F895414&quot;/&gt;&lt;wsp:rsid wsp:val=&quot;0F8B1A2C&quot;/&gt;&lt;wsp:rsid wsp:val=&quot;0F8B4CE8&quot;/&gt;&lt;wsp:rsid wsp:val=&quot;0F8E2BD1&quot;/&gt;&lt;wsp:rsid wsp:val=&quot;0F8E47D8&quot;/&gt;&lt;wsp:rsid wsp:val=&quot;0F8E6586&quot;/&gt;&lt;wsp:rsid wsp:val=&quot;0F9022FF&quot;/&gt;&lt;wsp:rsid wsp:val=&quot;0F931DEF&quot;/&gt;&lt;wsp:rsid wsp:val=&quot;0F957915&quot;/&gt;&lt;wsp:rsid wsp:val=&quot;0F9718DF&quot;/&gt;&lt;wsp:rsid wsp:val=&quot;0F977FCF&quot;/&gt;&lt;wsp:rsid wsp:val=&quot;0F9954A7&quot;/&gt;&lt;wsp:rsid wsp:val=&quot;0F9A112B&quot;/&gt;&lt;wsp:rsid wsp:val=&quot;0F9A13CF&quot;/&gt;&lt;wsp:rsid wsp:val=&quot;0F9A6950&quot;/&gt;&lt;wsp:rsid wsp:val=&quot;0F9B386C&quot;/&gt;&lt;wsp:rsid wsp:val=&quot;0F9C1DFF&quot;/&gt;&lt;wsp:rsid wsp:val=&quot;0F9D2C6D&quot;/&gt;&lt;wsp:rsid wsp:val=&quot;0F9F0794&quot;/&gt;&lt;wsp:rsid wsp:val=&quot;0FA1275E&quot;/&gt;&lt;wsp:rsid wsp:val=&quot;0FA1450C&quot;/&gt;&lt;wsp:rsid wsp:val=&quot;0FA22032&quot;/&gt;&lt;wsp:rsid wsp:val=&quot;0FA364D6&quot;/&gt;&lt;wsp:rsid wsp:val=&quot;0FA43FFC&quot;/&gt;&lt;wsp:rsid wsp:val=&quot;0FA45DAA&quot;/&gt;&lt;wsp:rsid wsp:val=&quot;0FA638D0&quot;/&gt;&lt;wsp:rsid wsp:val=&quot;0FA80F53&quot;/&gt;&lt;wsp:rsid wsp:val=&quot;0FA91612&quot;/&gt;&lt;wsp:rsid wsp:val=&quot;0FA94FB4&quot;/&gt;&lt;wsp:rsid wsp:val=&quot;0FAB538A&quot;/&gt;&lt;wsp:rsid wsp:val=&quot;0FAC48E1&quot;/&gt;&lt;wsp:rsid wsp:val=&quot;0FAD1008&quot;/&gt;&lt;wsp:rsid wsp:val=&quot;0FAD21F4&quot;/&gt;&lt;wsp:rsid wsp:val=&quot;0FAE09D7&quot;/&gt;&lt;wsp:rsid wsp:val=&quot;0FAE6C29&quot;/&gt;&lt;wsp:rsid wsp:val=&quot;0FB00BF3&quot;/&gt;&lt;wsp:rsid wsp:val=&quot;0FB277A7&quot;/&gt;&lt;wsp:rsid wsp:val=&quot;0FB3423F&quot;/&gt;&lt;wsp:rsid wsp:val=&quot;0FB51D65&quot;/&gt;&lt;wsp:rsid wsp:val=&quot;0FB56209&quot;/&gt;&lt;wsp:rsid wsp:val=&quot;0FB57FB7&quot;/&gt;&lt;wsp:rsid wsp:val=&quot;0FB6788B&quot;/&gt;&lt;wsp:rsid wsp:val=&quot;0FB73D2F&quot;/&gt;&lt;wsp:rsid wsp:val=&quot;0FB775B8&quot;/&gt;&lt;wsp:rsid wsp:val=&quot;0FB8131F&quot;/&gt;&lt;wsp:rsid wsp:val=&quot;0FB83603&quot;/&gt;&lt;wsp:rsid wsp:val=&quot;0FBF2BE4&quot;/&gt;&lt;wsp:rsid wsp:val=&quot;0FC121A0&quot;/&gt;&lt;wsp:rsid wsp:val=&quot;0FC14BAE&quot;/&gt;&lt;wsp:rsid wsp:val=&quot;0FC319D1&quot;/&gt;&lt;wsp:rsid wsp:val=&quot;0FC36648&quot;/&gt;&lt;wsp:rsid wsp:val=&quot;0FC41FA8&quot;/&gt;&lt;wsp:rsid wsp:val=&quot;0FC50362&quot;/&gt;&lt;wsp:rsid wsp:val=&quot;0FC5047B&quot;/&gt;&lt;wsp:rsid wsp:val=&quot;0FC63F72&quot;/&gt;&lt;wsp:rsid wsp:val=&quot;0FC919CD&quot;/&gt;&lt;wsp:rsid wsp:val=&quot;0FC91CB4&quot;/&gt;&lt;wsp:rsid wsp:val=&quot;0FC9305D&quot;/&gt;&lt;wsp:rsid wsp:val=&quot;0FCB1589&quot;/&gt;&lt;wsp:rsid wsp:val=&quot;0FCD3553&quot;/&gt;&lt;wsp:rsid wsp:val=&quot;0FCE2E27&quot;/&gt;&lt;wsp:rsid wsp:val=&quot;0FD0094D&quot;/&gt;&lt;wsp:rsid wsp:val=&quot;0FD03043&quot;/&gt;&lt;wsp:rsid wsp:val=&quot;0FD0395D&quot;/&gt;&lt;wsp:rsid wsp:val=&quot;0FD04DF1&quot;/&gt;&lt;wsp:rsid wsp:val=&quot;0FD06E18&quot;/&gt;&lt;wsp:rsid wsp:val=&quot;0FD2073E&quot;/&gt;&lt;wsp:rsid wsp:val=&quot;0FD20B69&quot;/&gt;&lt;wsp:rsid wsp:val=&quot;0FD3043D&quot;/&gt;&lt;wsp:rsid wsp:val=&quot;0FD416B1&quot;/&gt;&lt;wsp:rsid wsp:val=&quot;0FD50659&quot;/&gt;&lt;wsp:rsid wsp:val=&quot;0FD61CDB&quot;/&gt;&lt;wsp:rsid wsp:val=&quot;0FD7617F&quot;/&gt;&lt;wsp:rsid wsp:val=&quot;0FD77F2D&quot;/&gt;&lt;wsp:rsid wsp:val=&quot;0FD83CA6&quot;/&gt;&lt;wsp:rsid wsp:val=&quot;0FD903EC&quot;/&gt;&lt;wsp:rsid wsp:val=&quot;0FDA3DE2&quot;/&gt;&lt;wsp:rsid wsp:val=&quot;0FDA42E8&quot;/&gt;&lt;wsp:rsid wsp:val=&quot;0FDB5272&quot;/&gt;&lt;wsp:rsid wsp:val=&quot;0FDD306A&quot;/&gt;&lt;wsp:rsid wsp:val=&quot;0FDE5334&quot;/&gt;&lt;wsp:rsid wsp:val=&quot;0FE32D76&quot;/&gt;&lt;wsp:rsid wsp:val=&quot;0FE37166&quot;/&gt;&lt;wsp:rsid wsp:val=&quot;0FE45294&quot;/&gt;&lt;wsp:rsid wsp:val=&quot;0FE47A65&quot;/&gt;&lt;wsp:rsid wsp:val=&quot;0FE52636&quot;/&gt;&lt;wsp:rsid wsp:val=&quot;0FE60171&quot;/&gt;&lt;wsp:rsid wsp:val=&quot;0FE640E9&quot;/&gt;&lt;wsp:rsid wsp:val=&quot;0FEB1C2B&quot;/&gt;&lt;wsp:rsid wsp:val=&quot;0FEB4D67&quot;/&gt;&lt;wsp:rsid wsp:val=&quot;0FEE34C9&quot;/&gt;&lt;wsp:rsid wsp:val=&quot;0FEE463C&quot;/&gt;&lt;wsp:rsid wsp:val=&quot;0FF22FB9&quot;/&gt;&lt;wsp:rsid wsp:val=&quot;0FF3288D&quot;/&gt;&lt;wsp:rsid wsp:val=&quot;0FF56606&quot;/&gt;&lt;wsp:rsid wsp:val=&quot;0FF7412C&quot;/&gt;&lt;wsp:rsid wsp:val=&quot;0FF74A4B&quot;/&gt;&lt;wsp:rsid wsp:val=&quot;0FF8033B&quot;/&gt;&lt;wsp:rsid wsp:val=&quot;0FF860F6&quot;/&gt;&lt;wsp:rsid wsp:val=&quot;0FFA00C0&quot;/&gt;&lt;wsp:rsid wsp:val=&quot;0FFA1E6E&quot;/&gt;&lt;wsp:rsid wsp:val=&quot;0FFB02D4&quot;/&gt;&lt;wsp:rsid wsp:val=&quot;0FFB2582&quot;/&gt;&lt;wsp:rsid wsp:val=&quot;0FFC1742&quot;/&gt;&lt;wsp:rsid wsp:val=&quot;0FFC5BE6&quot;/&gt;&lt;wsp:rsid wsp:val=&quot;0FFD0285&quot;/&gt;&lt;wsp:rsid wsp:val=&quot;0FFD3F89&quot;/&gt;&lt;wsp:rsid wsp:val=&quot;0FFF1232&quot;/&gt;&lt;wsp:rsid wsp:val=&quot;0FFF7484&quot;/&gt;&lt;wsp:rsid wsp:val=&quot;1001144E&quot;/&gt;&lt;wsp:rsid wsp:val=&quot;10024BF4&quot;/&gt;&lt;wsp:rsid wsp:val=&quot;10037AF5&quot;/&gt;&lt;wsp:rsid wsp:val=&quot;10066A65&quot;/&gt;&lt;wsp:rsid wsp:val=&quot;10086339&quot;/&gt;&lt;wsp:rsid wsp:val=&quot;100D0EE2&quot;/&gt;&lt;wsp:rsid wsp:val=&quot;100E0101&quot;/&gt;&lt;wsp:rsid wsp:val=&quot;100E1475&quot;/&gt;&lt;wsp:rsid wsp:val=&quot;10101691&quot;/&gt;&lt;wsp:rsid wsp:val=&quot;1010343F&quot;/&gt;&lt;wsp:rsid wsp:val=&quot;101051ED&quot;/&gt;&lt;wsp:rsid wsp:val=&quot;10120F66&quot;/&gt;&lt;wsp:rsid wsp:val=&quot;101364B1&quot;/&gt;&lt;wsp:rsid wsp:val=&quot;10140982&quot;/&gt;&lt;wsp:rsid wsp:val=&quot;10141182&quot;/&gt;&lt;wsp:rsid wsp:val=&quot;10153BF2&quot;/&gt;&lt;wsp:rsid wsp:val=&quot;10156CA8&quot;/&gt;&lt;wsp:rsid wsp:val=&quot;10167D23&quot;/&gt;&lt;wsp:rsid wsp:val=&quot;101728F4&quot;/&gt;&lt;wsp:rsid wsp:val=&quot;101822F4&quot;/&gt;&lt;wsp:rsid wsp:val=&quot;10196798&quot;/&gt;&lt;wsp:rsid wsp:val=&quot;101A4127&quot;/&gt;&lt;wsp:rsid wsp:val=&quot;101C044F&quot;/&gt;&lt;wsp:rsid wsp:val=&quot;101C1DE4&quot;/&gt;&lt;wsp:rsid wsp:val=&quot;1021389E&quot;/&gt;&lt;wsp:rsid wsp:val=&quot;10216577&quot;/&gt;&lt;wsp:rsid wsp:val=&quot;10226507&quot;/&gt;&lt;wsp:rsid wsp:val=&quot;10233173&quot;/&gt;&lt;wsp:rsid wsp:val=&quot;10234F21&quot;/&gt;&lt;wsp:rsid wsp:val=&quot;10246EEB&quot;/&gt;&lt;wsp:rsid wsp:val=&quot;10261B26&quot;/&gt;&lt;wsp:rsid wsp:val=&quot;1026326B&quot;/&gt;&lt;wsp:rsid wsp:val=&quot;10264A11&quot;/&gt;&lt;wsp:rsid wsp:val=&quot;10282537&quot;/&gt;&lt;wsp:rsid wsp:val=&quot;10294597&quot;/&gt;&lt;wsp:rsid wsp:val=&quot;102962AF&quot;/&gt;&lt;wsp:rsid wsp:val=&quot;102D1D5B&quot;/&gt;&lt;wsp:rsid wsp:val=&quot;102D3FF1&quot;/&gt;&lt;wsp:rsid wsp:val=&quot;102D5D9F&quot;/&gt;&lt;wsp:rsid wsp:val=&quot;102D7545&quot;/&gt;&lt;wsp:rsid wsp:val=&quot;102E38C6&quot;/&gt;&lt;wsp:rsid wsp:val=&quot;1030763E&quot;/&gt;&lt;wsp:rsid wsp:val=&quot;1031060E&quot;/&gt;&lt;wsp:rsid wsp:val=&quot;10321608&quot;/&gt;&lt;wsp:rsid wsp:val=&quot;103233B6&quot;/&gt;&lt;wsp:rsid wsp:val=&quot;10352EA6&quot;/&gt;&lt;wsp:rsid wsp:val=&quot;10376C1E&quot;/&gt;&lt;wsp:rsid wsp:val=&quot;10394744&quot;/&gt;&lt;wsp:rsid wsp:val=&quot;103A226A&quot;/&gt;&lt;wsp:rsid wsp:val=&quot;103C2486&quot;/&gt;&lt;wsp:rsid wsp:val=&quot;103E7FAD&quot;/&gt;&lt;wsp:rsid wsp:val=&quot;103F3D25&quot;/&gt;&lt;wsp:rsid wsp:val=&quot;10417A9D&quot;/&gt;&lt;wsp:rsid wsp:val=&quot;10433815&quot;/&gt;&lt;wsp:rsid wsp:val=&quot;104650B3&quot;/&gt;&lt;wsp:rsid wsp:val=&quot;1047263F&quot;/&gt;&lt;wsp:rsid wsp:val=&quot;10484987&quot;/&gt;&lt;wsp:rsid wsp:val=&quot;104906FF&quot;/&gt;&lt;wsp:rsid wsp:val=&quot;1049191B&quot;/&gt;&lt;wsp:rsid wsp:val=&quot;104A15C9&quot;/&gt;&lt;wsp:rsid wsp:val=&quot;104A4BA3&quot;/&gt;&lt;wsp:rsid wsp:val=&quot;104C22DA&quot;/&gt;&lt;wsp:rsid wsp:val=&quot;104C2C74&quot;/&gt;&lt;wsp:rsid wsp:val=&quot;10501E40&quot;/&gt;&lt;wsp:rsid wsp:val=&quot;10505F32&quot;/&gt;&lt;wsp:rsid wsp:val=&quot;10507CE0&quot;/&gt;&lt;wsp:rsid wsp:val=&quot;1053332C&quot;/&gt;&lt;wsp:rsid wsp:val=&quot;10537B58&quot;/&gt;&lt;wsp:rsid wsp:val=&quot;10537F76&quot;/&gt;&lt;wsp:rsid wsp:val=&quot;1054157E&quot;/&gt;&lt;wsp:rsid wsp:val=&quot;10552336&quot;/&gt;&lt;wsp:rsid wsp:val=&quot;10563548&quot;/&gt;&lt;wsp:rsid wsp:val=&quot;105843AF&quot;/&gt;&lt;wsp:rsid wsp:val=&quot;10593038&quot;/&gt;&lt;wsp:rsid wsp:val=&quot;105A0963&quot;/&gt;&lt;wsp:rsid wsp:val=&quot;105B4B5F&quot;/&gt;&lt;wsp:rsid wsp:val=&quot;105D79F9&quot;/&gt;&lt;wsp:rsid wsp:val=&quot;106043C7&quot;/&gt;&lt;wsp:rsid wsp:val=&quot;10606175&quot;/&gt;&lt;wsp:rsid wsp:val=&quot;10641201&quot;/&gt;&lt;wsp:rsid wsp:val=&quot;106477BA&quot;/&gt;&lt;wsp:rsid wsp:val=&quot;106519DD&quot;/&gt;&lt;wsp:rsid wsp:val=&quot;106612B1&quot;/&gt;&lt;wsp:rsid wsp:val=&quot;1068077F&quot;/&gt;&lt;wsp:rsid wsp:val=&quot;10686DD7&quot;/&gt;&lt;wsp:rsid wsp:val=&quot;106A0DA2&quot;/&gt;&lt;wsp:rsid wsp:val=&quot;106C5F4C&quot;/&gt;&lt;wsp:rsid wsp:val=&quot;106D0892&quot;/&gt;&lt;wsp:rsid wsp:val=&quot;106D2640&quot;/&gt;&lt;wsp:rsid wsp:val=&quot;106D2F64&quot;/&gt;&lt;wsp:rsid wsp:val=&quot;106E343D&quot;/&gt;&lt;wsp:rsid wsp:val=&quot;106F63B8&quot;/&gt;&lt;wsp:rsid wsp:val=&quot;10760072&quot;/&gt;&lt;wsp:rsid wsp:val=&quot;10797237&quot;/&gt;&lt;wsp:rsid wsp:val=&quot;107A6B0B&quot;/&gt;&lt;wsp:rsid wsp:val=&quot;107F6D0B&quot;/&gt;&lt;wsp:rsid wsp:val=&quot;108005C5&quot;/&gt;&lt;wsp:rsid wsp:val=&quot;10805852&quot;/&gt;&lt;wsp:rsid wsp:val=&quot;108160EB&quot;/&gt;&lt;wsp:rsid wsp:val=&quot;10833C11&quot;/&gt;&lt;wsp:rsid wsp:val=&quot;108445BC&quot;/&gt;&lt;wsp:rsid wsp:val=&quot;10861954&quot;/&gt;&lt;wsp:rsid wsp:val=&quot;108654B0&quot;/&gt;&lt;wsp:rsid wsp:val=&quot;1088747A&quot;/&gt;&lt;wsp:rsid wsp:val=&quot;108A0980&quot;/&gt;&lt;wsp:rsid wsp:val=&quot;108A1444&quot;/&gt;&lt;wsp:rsid wsp:val=&quot;108A2C16&quot;/&gt;&lt;wsp:rsid wsp:val=&quot;108C51BC&quot;/&gt;&lt;wsp:rsid wsp:val=&quot;108F6A5A&quot;/&gt;&lt;wsp:rsid wsp:val=&quot;10904FB2&quot;/&gt;&lt;wsp:rsid wsp:val=&quot;1090632E&quot;/&gt;&lt;wsp:rsid wsp:val=&quot;10914580&quot;/&gt;&lt;wsp:rsid wsp:val=&quot;109220A6&quot;/&gt;&lt;wsp:rsid wsp:val=&quot;1092654A&quot;/&gt;&lt;wsp:rsid wsp:val=&quot;109479C2&quot;/&gt;&lt;wsp:rsid wsp:val=&quot;10953945&quot;/&gt;&lt;wsp:rsid wsp:val=&quot;10967DE9&quot;/&gt;&lt;wsp:rsid wsp:val=&quot;10972E54&quot;/&gt;&lt;wsp:rsid wsp:val=&quot;10973B61&quot;/&gt;&lt;wsp:rsid wsp:val=&quot;109776BD&quot;/&gt;&lt;wsp:rsid wsp:val=&quot;109B53FF&quot;/&gt;&lt;wsp:rsid wsp:val=&quot;109C64BB&quot;/&gt;&lt;wsp:rsid wsp:val=&quot;109C6FBD&quot;/&gt;&lt;wsp:rsid wsp:val=&quot;10A02A15&quot;/&gt;&lt;wsp:rsid wsp:val=&quot;10A1053B&quot;/&gt;&lt;wsp:rsid wsp:val=&quot;10A36062&quot;/&gt;&lt;wsp:rsid wsp:val=&quot;10A50CAE&quot;/&gt;&lt;wsp:rsid wsp:val=&quot;10A51DDA&quot;/&gt;&lt;wsp:rsid wsp:val=&quot;10A5627E&quot;/&gt;&lt;wsp:rsid wsp:val=&quot;10A64101&quot;/&gt;&lt;wsp:rsid wsp:val=&quot;10A65B52&quot;/&gt;&lt;wsp:rsid wsp:val=&quot;10A73DA4&quot;/&gt;&lt;wsp:rsid wsp:val=&quot;10A87B1C&quot;/&gt;&lt;wsp:rsid wsp:val=&quot;10AA3894&quot;/&gt;&lt;wsp:rsid wsp:val=&quot;10AB3168&quot;/&gt;&lt;wsp:rsid wsp:val=&quot;10AD0C8E&quot;/&gt;&lt;wsp:rsid wsp:val=&quot;10AD6EE0&quot;/&gt;&lt;wsp:rsid wsp:val=&quot;10AE42B7&quot;/&gt;&lt;wsp:rsid wsp:val=&quot;10AF4A06&quot;/&gt;&lt;wsp:rsid wsp:val=&quot;10B1077E&quot;/&gt;&lt;wsp:rsid wsp:val=&quot;10B4201D&quot;/&gt;&lt;wsp:rsid wsp:val=&quot;10B62239&quot;/&gt;&lt;wsp:rsid wsp:val=&quot;10B63710&quot;/&gt;&lt;wsp:rsid wsp:val=&quot;10B95885&quot;/&gt;&lt;wsp:rsid wsp:val=&quot;10BB33AB&quot;/&gt;&lt;wsp:rsid wsp:val=&quot;10BC5375&quot;/&gt;&lt;wsp:rsid wsp:val=&quot;10BE733F&quot;/&gt;&lt;wsp:rsid wsp:val=&quot;10C009C2&quot;/&gt;&lt;wsp:rsid wsp:val=&quot;10C06C14&quot;/&gt;&lt;wsp:rsid wsp:val=&quot;10C1473A&quot;/&gt;&lt;wsp:rsid wsp:val=&quot;10C5422A&quot;/&gt;&lt;wsp:rsid wsp:val=&quot;10C55FD8&quot;/&gt;&lt;wsp:rsid wsp:val=&quot;10C77FA2&quot;/&gt;&lt;wsp:rsid wsp:val=&quot;10CA0C07&quot;/&gt;&lt;wsp:rsid wsp:val=&quot;10CA1840&quot;/&gt;&lt;wsp:rsid wsp:val=&quot;10CA7A92&quot;/&gt;&lt;wsp:rsid wsp:val=&quot;10CD4DEF&quot;/&gt;&lt;wsp:rsid wsp:val=&quot;10CE7EBA&quot;/&gt;&lt;wsp:rsid wsp:val=&quot;10CF50A9&quot;/&gt;&lt;wsp:rsid wsp:val=&quot;10D0497D&quot;/&gt;&lt;wsp:rsid wsp:val=&quot;10D27CCB&quot;/&gt;&lt;wsp:rsid wsp:val=&quot;10D601E5&quot;/&gt;&lt;wsp:rsid wsp:val=&quot;10D60472&quot;/&gt;&lt;wsp:rsid wsp:val=&quot;10D64689&quot;/&gt;&lt;wsp:rsid wsp:val=&quot;10D75D0B&quot;/&gt;&lt;wsp:rsid wsp:val=&quot;10D80401&quot;/&gt;&lt;wsp:rsid wsp:val=&quot;10D8660A&quot;/&gt;&lt;wsp:rsid wsp:val=&quot;10D97CD5&quot;/&gt;&lt;wsp:rsid wsp:val=&quot;10DA0EB1&quot;/&gt;&lt;wsp:rsid wsp:val=&quot;10DA645D&quot;/&gt;&lt;wsp:rsid wsp:val=&quot;10DB24BE&quot;/&gt;&lt;wsp:rsid wsp:val=&quot;10DC1574&quot;/&gt;&lt;wsp:rsid wsp:val=&quot;10DC2325&quot;/&gt;&lt;wsp:rsid wsp:val=&quot;10E01064&quot;/&gt;&lt;wsp:rsid wsp:val=&quot;10E2669D&quot;/&gt;&lt;wsp:rsid wsp:val=&quot;10E32902&quot;/&gt;&lt;wsp:rsid wsp:val=&quot;10E36DA6&quot;/&gt;&lt;wsp:rsid wsp:val=&quot;10E675D1&quot;/&gt;&lt;wsp:rsid wsp:val=&quot;10E723F2&quot;/&gt;&lt;wsp:rsid wsp:val=&quot;10E741A0&quot;/&gt;&lt;wsp:rsid wsp:val=&quot;10E8616A&quot;/&gt;&lt;wsp:rsid wsp:val=&quot;10EA6658&quot;/&gt;&lt;wsp:rsid wsp:val=&quot;10EB4340&quot;/&gt;&lt;wsp:rsid wsp:val=&quot;10EC7A09&quot;/&gt;&lt;wsp:rsid wsp:val=&quot;10ED552F&quot;/&gt;&lt;wsp:rsid wsp:val=&quot;10EF74F9&quot;/&gt;&lt;wsp:rsid wsp:val=&quot;10F10820&quot;/&gt;&lt;wsp:rsid wsp:val=&quot;10F16DCD&quot;/&gt;&lt;wsp:rsid wsp:val=&quot;10F20D97&quot;/&gt;&lt;wsp:rsid wsp:val=&quot;10F22B45&quot;/&gt;&lt;wsp:rsid wsp:val=&quot;10F26517&quot;/&gt;&lt;wsp:rsid wsp:val=&quot;10F42D61&quot;/&gt;&lt;wsp:rsid wsp:val=&quot;10F468BD&quot;/&gt;&lt;wsp:rsid wsp:val=&quot;10F84004&quot;/&gt;&lt;wsp:rsid wsp:val=&quot;10F945B7&quot;/&gt;&lt;wsp:rsid wsp:val=&quot;10FB40F0&quot;/&gt;&lt;wsp:rsid wsp:val=&quot;10FD1C16&quot;/&gt;&lt;wsp:rsid wsp:val=&quot;10FD2C30&quot;/&gt;&lt;wsp:rsid wsp:val=&quot;10FD39C4&quot;/&gt;&lt;wsp:rsid wsp:val=&quot;10FE14EA&quot;/&gt;&lt;wsp:rsid wsp:val=&quot;110151D4&quot;/&gt;&lt;wsp:rsid wsp:val=&quot;110223B7&quot;/&gt;&lt;wsp:rsid wsp:val=&quot;11024D92&quot;/&gt;&lt;wsp:rsid wsp:val=&quot;11025669&quot;/&gt;&lt;wsp:rsid wsp:val=&quot;1102722C&quot;/&gt;&lt;wsp:rsid wsp:val=&quot;11032FA4&quot;/&gt;&lt;wsp:rsid wsp:val=&quot;11052878&quot;/&gt;&lt;wsp:rsid wsp:val=&quot;11070191&quot;/&gt;&lt;wsp:rsid wsp:val=&quot;11070D24&quot;/&gt;&lt;wsp:rsid wsp:val=&quot;110805BA&quot;/&gt;&lt;wsp:rsid wsp:val=&quot;110D797F&quot;/&gt;&lt;wsp:rsid wsp:val=&quot;110E3E23&quot;/&gt;&lt;wsp:rsid wsp:val=&quot;110E5BD1&quot;/&gt;&lt;wsp:rsid wsp:val=&quot;1111746F&quot;/&gt;&lt;wsp:rsid wsp:val=&quot;111331E7&quot;/&gt;&lt;wsp:rsid wsp:val=&quot;11146F5F&quot;/&gt;&lt;wsp:rsid wsp:val=&quot;11186A50&quot;/&gt;&lt;wsp:rsid wsp:val=&quot;111910C7&quot;/&gt;&lt;wsp:rsid wsp:val=&quot;11191962&quot;/&gt;&lt;wsp:rsid wsp:val=&quot;111927C8&quot;/&gt;&lt;wsp:rsid wsp:val=&quot;11194576&quot;/&gt;&lt;wsp:rsid wsp:val=&quot;11196324&quot;/&gt;&lt;wsp:rsid wsp:val=&quot;111A4481&quot;/&gt;&lt;wsp:rsid wsp:val=&quot;111B6540&quot;/&gt;&lt;wsp:rsid wsp:val=&quot;111C2F7A&quot;/&gt;&lt;wsp:rsid wsp:val=&quot;111D4066&quot;/&gt;&lt;wsp:rsid wsp:val=&quot;111D5E14&quot;/&gt;&lt;wsp:rsid wsp:val=&quot;111D7BC2&quot;/&gt;&lt;wsp:rsid wsp:val=&quot;111E1B8C&quot;/&gt;&lt;wsp:rsid wsp:val=&quot;111E393A&quot;/&gt;&lt;wsp:rsid wsp:val=&quot;111F4B90&quot;/&gt;&lt;wsp:rsid wsp:val=&quot;11227E23&quot;/&gt;&lt;wsp:rsid wsp:val=&quot;1123010F&quot;/&gt;&lt;wsp:rsid wsp:val=&quot;1125116C&quot;/&gt;&lt;wsp:rsid wsp:val=&quot;11252F1A&quot;/&gt;&lt;wsp:rsid wsp:val=&quot;11270A41&quot;/&gt;&lt;wsp:rsid wsp:val=&quot;11274EE5&quot;/&gt;&lt;wsp:rsid wsp:val=&quot;11290C5D&quot;/&gt;&lt;wsp:rsid wsp:val=&quot;112A0531&quot;/&gt;&lt;wsp:rsid wsp:val=&quot;112B0A57&quot;/&gt;&lt;wsp:rsid wsp:val=&quot;112E0021&quot;/&gt;&lt;wsp:rsid wsp:val=&quot;112F78F5&quot;/&gt;&lt;wsp:rsid wsp:val=&quot;11311021&quot;/&gt;&lt;wsp:rsid wsp:val=&quot;113118BF&quot;/&gt;&lt;wsp:rsid wsp:val=&quot;11311EBB&quot;/&gt;&lt;wsp:rsid wsp:val=&quot;11333889&quot;/&gt;&lt;wsp:rsid wsp:val=&quot;113373E5&quot;/&gt;&lt;wsp:rsid wsp:val=&quot;11380EA0&quot;/&gt;&lt;wsp:rsid wsp:val=&quot;113849FC&quot;/&gt;&lt;wsp:rsid wsp:val=&quot;11386E78&quot;/&gt;&lt;wsp:rsid wsp:val=&quot;11391A49&quot;/&gt;&lt;wsp:rsid wsp:val=&quot;113A1798&quot;/&gt;&lt;wsp:rsid wsp:val=&quot;113B0990&quot;/&gt;&lt;wsp:rsid wsp:val=&quot;113C03CA&quot;/&gt;&lt;wsp:rsid wsp:val=&quot;113E3FDC&quot;/&gt;&lt;wsp:rsid wsp:val=&quot;113F37C6&quot;/&gt;&lt;wsp:rsid wsp:val=&quot;11401B02&quot;/&gt;&lt;wsp:rsid wsp:val=&quot;11417AEF&quot;/&gt;&lt;wsp:rsid wsp:val=&quot;114415F3&quot;/&gt;&lt;wsp:rsid wsp:val=&quot;11447845&quot;/&gt;&lt;wsp:rsid wsp:val=&quot;11447B82&quot;/&gt;&lt;wsp:rsid wsp:val=&quot;114710E3&quot;/&gt;&lt;wsp:rsid wsp:val=&quot;11472E91&quot;/&gt;&lt;wsp:rsid wsp:val=&quot;114754DD&quot;/&gt;&lt;wsp:rsid wsp:val=&quot;114809B7&quot;/&gt;&lt;wsp:rsid wsp:val=&quot;11494E5B&quot;/&gt;&lt;wsp:rsid wsp:val=&quot;11497DFD&quot;/&gt;&lt;wsp:rsid wsp:val=&quot;114A2981&quot;/&gt;&lt;wsp:rsid wsp:val=&quot;114A29CE&quot;/&gt;&lt;wsp:rsid wsp:val=&quot;114B3E5E&quot;/&gt;&lt;wsp:rsid wsp:val=&quot;114C04A7&quot;/&gt;&lt;wsp:rsid wsp:val=&quot;114C494B&quot;/&gt;&lt;wsp:rsid wsp:val=&quot;114C66F9&quot;/&gt;&lt;wsp:rsid wsp:val=&quot;114E421F&quot;/&gt;&lt;wsp:rsid wsp:val=&quot;114F61E9&quot;/&gt;&lt;wsp:rsid wsp:val=&quot;11511F61&quot;/&gt;&lt;wsp:rsid wsp:val=&quot;11513D10&quot;/&gt;&lt;wsp:rsid wsp:val=&quot;1151658F&quot;/&gt;&lt;wsp:rsid wsp:val=&quot;115215AF&quot;/&gt;&lt;wsp:rsid wsp:val=&quot;11535CDA&quot;/&gt;&lt;wsp:rsid wsp:val=&quot;115832F0&quot;/&gt;&lt;wsp:rsid wsp:val=&quot;1158509E&quot;/&gt;&lt;wsp:rsid wsp:val=&quot;11586E4C&quot;/&gt;&lt;wsp:rsid wsp:val=&quot;115A17CB&quot;/&gt;&lt;wsp:rsid wsp:val=&quot;115B2212&quot;/&gt;&lt;wsp:rsid wsp:val=&quot;115B4DE3&quot;/&gt;&lt;wsp:rsid wsp:val=&quot;115D4462&quot;/&gt;&lt;wsp:rsid wsp:val=&quot;115E3460&quot;/&gt;&lt;wsp:rsid wsp:val=&quot;115F467E&quot;/&gt;&lt;wsp:rsid wsp:val=&quot;115F59AD&quot;/&gt;&lt;wsp:rsid wsp:val=&quot;11641C95&quot;/&gt;&lt;wsp:rsid wsp:val=&quot;11643A43&quot;/&gt;&lt;wsp:rsid wsp:val=&quot;11665A0D&quot;/&gt;&lt;wsp:rsid wsp:val=&quot;11665CA1&quot;/&gt;&lt;wsp:rsid wsp:val=&quot;116752E1&quot;/&gt;&lt;wsp:rsid wsp:val=&quot;11691059&quot;/&gt;&lt;wsp:rsid wsp:val=&quot;116A6B7F&quot;/&gt;&lt;wsp:rsid wsp:val=&quot;116B3023&quot;/&gt;&lt;wsp:rsid wsp:val=&quot;116C0B49&quot;/&gt;&lt;wsp:rsid wsp:val=&quot;116D6053&quot;/&gt;&lt;wsp:rsid wsp:val=&quot;116E041E&quot;/&gt;&lt;wsp:rsid wsp:val=&quot;116E2B13&quot;/&gt;&lt;wsp:rsid wsp:val=&quot;116E48C1&quot;/&gt;&lt;wsp:rsid wsp:val=&quot;116F561C&quot;/&gt;&lt;wsp:rsid wsp:val=&quot;11715B79&quot;/&gt;&lt;wsp:rsid wsp:val=&quot;1173012A&quot;/&gt;&lt;wsp:rsid wsp:val=&quot;11740952&quot;/&gt;&lt;wsp:rsid wsp:val=&quot;117417AC&quot;/&gt;&lt;wsp:rsid wsp:val=&quot;11772E7B&quot;/&gt;&lt;wsp:rsid wsp:val=&quot;11782153&quot;/&gt;&lt;wsp:rsid wsp:val=&quot;11783499&quot;/&gt;&lt;wsp:rsid wsp:val=&quot;117C31CF&quot;/&gt;&lt;wsp:rsid wsp:val=&quot;117D68B3&quot;/&gt;&lt;wsp:rsid wsp:val=&quot;117F7D58&quot;/&gt;&lt;wsp:rsid wsp:val=&quot;11800151&quot;/&gt;&lt;wsp:rsid wsp:val=&quot;118045F5&quot;/&gt;&lt;wsp:rsid wsp:val=&quot;1182036D&quot;/&gt;&lt;wsp:rsid wsp:val=&quot;11823EC9&quot;/&gt;&lt;wsp:rsid wsp:val=&quot;11851C0B&quot;/&gt;&lt;wsp:rsid wsp:val=&quot;118539B9&quot;/&gt;&lt;wsp:rsid wsp:val=&quot;118714DF&quot;/&gt;&lt;wsp:rsid wsp:val=&quot;11877731&quot;/&gt;&lt;wsp:rsid wsp:val=&quot;1188040D&quot;/&gt;&lt;wsp:rsid wsp:val=&quot;118A4C64&quot;/&gt;&lt;wsp:rsid wsp:val=&quot;118B5F3C&quot;/&gt;&lt;wsp:rsid wsp:val=&quot;118C11EC&quot;/&gt;&lt;wsp:rsid wsp:val=&quot;118E2406&quot;/&gt;&lt;wsp:rsid wsp:val=&quot;118F65E6&quot;/&gt;&lt;wsp:rsid wsp:val=&quot;11902592&quot;/&gt;&lt;wsp:rsid wsp:val=&quot;1191013B&quot;/&gt;&lt;wsp:rsid wsp:val=&quot;1191235E&quot;/&gt;&lt;wsp:rsid wsp:val=&quot;11965906&quot;/&gt;&lt;wsp:rsid wsp:val=&quot;11965BC6&quot;/&gt;&lt;wsp:rsid wsp:val=&quot;11967974&quot;/&gt;&lt;wsp:rsid wsp:val=&quot;119753C5&quot;/&gt;&lt;wsp:rsid wsp:val=&quot;11991213&quot;/&gt;&lt;wsp:rsid wsp:val=&quot;119B31DD&quot;/&gt;&lt;wsp:rsid wsp:val=&quot;119C142F&quot;/&gt;&lt;wsp:rsid wsp:val=&quot;119D0D03&quot;/&gt;&lt;wsp:rsid wsp:val=&quot;119F2CCD&quot;/&gt;&lt;wsp:rsid wsp:val=&quot;119F4A7B&quot;/&gt;&lt;wsp:rsid wsp:val=&quot;11A227BD&quot;/&gt;&lt;wsp:rsid wsp:val=&quot;11A53328&quot;/&gt;&lt;wsp:rsid wsp:val=&quot;11A55700&quot;/&gt;&lt;wsp:rsid wsp:val=&quot;11A55E09&quot;/&gt;&lt;wsp:rsid wsp:val=&quot;11A56F50&quot;/&gt;&lt;wsp:rsid wsp:val=&quot;11A622AD&quot;/&gt;&lt;wsp:rsid wsp:val=&quot;11A7392F&quot;/&gt;&lt;wsp:rsid wsp:val=&quot;11AB1672&quot;/&gt;&lt;wsp:rsid wsp:val=&quot;11AB78C4&quot;/&gt;&lt;wsp:rsid wsp:val=&quot;11AC0F46&quot;/&gt;&lt;wsp:rsid wsp:val=&quot;11AC53EA&quot;/&gt;&lt;wsp:rsid wsp:val=&quot;11AC7198&quot;/&gt;&lt;wsp:rsid wsp:val=&quot;11AE2F10&quot;/&gt;&lt;wsp:rsid wsp:val=&quot;11B04EDA&quot;/&gt;&lt;wsp:rsid wsp:val=&quot;11B147AE&quot;/&gt;&lt;wsp:rsid wsp:val=&quot;11B36043&quot;/&gt;&lt;wsp:rsid wsp:val=&quot;11B5429E&quot;/&gt;&lt;wsp:rsid wsp:val=&quot;11B5604C&quot;/&gt;&lt;wsp:rsid wsp:val=&quot;11B81FE1&quot;/&gt;&lt;wsp:rsid wsp:val=&quot;11B83D8F&quot;/&gt;&lt;wsp:rsid wsp:val=&quot;11BA3663&quot;/&gt;&lt;wsp:rsid wsp:val=&quot;11BA7B07&quot;/&gt;&lt;wsp:rsid wsp:val=&quot;11BB554E&quot;/&gt;&lt;wsp:rsid wsp:val=&quot;11BC11C1&quot;/&gt;&lt;wsp:rsid wsp:val=&quot;11BC6E1B&quot;/&gt;&lt;wsp:rsid wsp:val=&quot;11BF336F&quot;/&gt;&lt;wsp:rsid wsp:val=&quot;11BF6ECB&quot;/&gt;&lt;wsp:rsid wsp:val=&quot;11C004B0&quot;/&gt;&lt;wsp:rsid wsp:val=&quot;11C07F30&quot;/&gt;&lt;wsp:rsid wsp:val=&quot;11C24C0D&quot;/&gt;&lt;wsp:rsid wsp:val=&quot;11C42733&quot;/&gt;&lt;wsp:rsid wsp:val=&quot;11C75232&quot;/&gt;&lt;wsp:rsid wsp:val=&quot;11C81293&quot;/&gt;&lt;wsp:rsid wsp:val=&quot;11C91AF8&quot;/&gt;&lt;wsp:rsid wsp:val=&quot;11CB5870&quot;/&gt;&lt;wsp:rsid wsp:val=&quot;11CB6784&quot;/&gt;&lt;wsp:rsid wsp:val=&quot;11CD40A6&quot;/&gt;&lt;wsp:rsid wsp:val=&quot;11CE35B2&quot;/&gt;&lt;wsp:rsid wsp:val=&quot;11CE5360&quot;/&gt;&lt;wsp:rsid wsp:val=&quot;11D0732A&quot;/&gt;&lt;wsp:rsid wsp:val=&quot;11D24F16&quot;/&gt;&lt;wsp:rsid wsp:val=&quot;11D30BC8&quot;/&gt;&lt;wsp:rsid wsp:val=&quot;11D324F2&quot;/&gt;&lt;wsp:rsid wsp:val=&quot;11D443BB&quot;/&gt;&lt;wsp:rsid wsp:val=&quot;11D54941&quot;/&gt;&lt;wsp:rsid wsp:val=&quot;11D81D3B&quot;/&gt;&lt;wsp:rsid wsp:val=&quot;11D861DF&quot;/&gt;&lt;wsp:rsid wsp:val=&quot;11DA1F57&quot;/&gt;&lt;wsp:rsid wsp:val=&quot;11DA3D05&quot;/&gt;&lt;wsp:rsid wsp:val=&quot;11DC365B&quot;/&gt;&lt;wsp:rsid wsp:val=&quot;11DC7709&quot;/&gt;&lt;wsp:rsid wsp:val=&quot;11DF131B&quot;/&gt;&lt;wsp:rsid wsp:val=&quot;11E15093&quot;/&gt;&lt;wsp:rsid wsp:val=&quot;11E42DD6&quot;/&gt;&lt;wsp:rsid wsp:val=&quot;11E44B84&quot;/&gt;&lt;wsp:rsid wsp:val=&quot;11E46932&quot;/&gt;&lt;wsp:rsid wsp:val=&quot;11E46AD9&quot;/&gt;&lt;wsp:rsid wsp:val=&quot;11E608FC&quot;/&gt;&lt;wsp:rsid wsp:val=&quot;11E61C4B&quot;/&gt;&lt;wsp:rsid wsp:val=&quot;11E626AA&quot;/&gt;&lt;wsp:rsid wsp:val=&quot;11E76422&quot;/&gt;&lt;wsp:rsid wsp:val=&quot;11E865D6&quot;/&gt;&lt;wsp:rsid wsp:val=&quot;11E86AC6&quot;/&gt;&lt;wsp:rsid wsp:val=&quot;11E9219A&quot;/&gt;&lt;wsp:rsid wsp:val=&quot;11E92AE7&quot;/&gt;&lt;wsp:rsid wsp:val=&quot;11E93F48&quot;/&gt;&lt;wsp:rsid wsp:val=&quot;11EE5A02&quot;/&gt;&lt;wsp:rsid wsp:val=&quot;11F052D6&quot;/&gt;&lt;wsp:rsid wsp:val=&quot;11F36B75&quot;/&gt;&lt;wsp:rsid wsp:val=&quot;11F50B3F&quot;/&gt;&lt;wsp:rsid wsp:val=&quot;11F63B39&quot;/&gt;&lt;wsp:rsid wsp:val=&quot;11F6684A&quot;/&gt;&lt;wsp:rsid wsp:val=&quot;11F748B7&quot;/&gt;&lt;wsp:rsid wsp:val=&quot;11F757A1&quot;/&gt;&lt;wsp:rsid wsp:val=&quot;11F8062F&quot;/&gt;&lt;wsp:rsid wsp:val=&quot;11FA7F03&quot;/&gt;&lt;wsp:rsid wsp:val=&quot;11FC1ECD&quot;/&gt;&lt;wsp:rsid wsp:val=&quot;11FC3C7B&quot;/&gt;&lt;wsp:rsid wsp:val=&quot;11FD6A42&quot;/&gt;&lt;wsp:rsid wsp:val=&quot;1202325C&quot;/&gt;&lt;wsp:rsid wsp:val=&quot;1202500A&quot;/&gt;&lt;wsp:rsid wsp:val=&quot;12042B30&quot;/&gt;&lt;wsp:rsid wsp:val=&quot;12050509&quot;/&gt;&lt;wsp:rsid wsp:val=&quot;12056664&quot;/&gt;&lt;wsp:rsid wsp:val=&quot;12062D4C&quot;/&gt;&lt;wsp:rsid wsp:val=&quot;12086AC4&quot;/&gt;&lt;wsp:rsid wsp:val=&quot;120B0362&quot;/&gt;&lt;wsp:rsid wsp:val=&quot;120B4C2C&quot;/&gt;&lt;wsp:rsid wsp:val=&quot;120D40DA&quot;/&gt;&lt;wsp:rsid wsp:val=&quot;120D4DF6&quot;/&gt;&lt;wsp:rsid wsp:val=&quot;120D5E88&quot;/&gt;&lt;wsp:rsid wsp:val=&quot;120E39AF&quot;/&gt;&lt;wsp:rsid wsp:val=&quot;12102604&quot;/&gt;&lt;wsp:rsid wsp:val=&quot;12104757&quot;/&gt;&lt;wsp:rsid wsp:val=&quot;12104CF4&quot;/&gt;&lt;wsp:rsid wsp:val=&quot;121060CD&quot;/&gt;&lt;wsp:rsid wsp:val=&quot;1212349F&quot;/&gt;&lt;wsp:rsid wsp:val=&quot;12135469&quot;/&gt;&lt;wsp:rsid wsp:val=&quot;12144FC0&quot;/&gt;&lt;wsp:rsid wsp:val=&quot;12154D3D&quot;/&gt;&lt;wsp:rsid wsp:val=&quot;12176D07&quot;/&gt;&lt;wsp:rsid wsp:val=&quot;121A73FA&quot;/&gt;&lt;wsp:rsid wsp:val=&quot;121C431D&quot;/&gt;&lt;wsp:rsid wsp:val=&quot;121C60CC&quot;/&gt;&lt;wsp:rsid wsp:val=&quot;121E0096&quot;/&gt;&lt;wsp:rsid wsp:val=&quot;121E2BB0&quot;/&gt;&lt;wsp:rsid wsp:val=&quot;121E5D7B&quot;/&gt;&lt;wsp:rsid wsp:val=&quot;121E62E8&quot;/&gt;&lt;wsp:rsid wsp:val=&quot;121F5BBC&quot;/&gt;&lt;wsp:rsid wsp:val=&quot;121F796A&quot;/&gt;&lt;wsp:rsid wsp:val=&quot;1222054A&quot;/&gt;&lt;wsp:rsid wsp:val=&quot;12221368&quot;/&gt;&lt;wsp:rsid wsp:val=&quot;1223075D&quot;/&gt;&lt;wsp:rsid wsp:val=&quot;12241424&quot;/&gt;&lt;wsp:rsid wsp:val=&quot;12260CF8&quot;/&gt;&lt;wsp:rsid wsp:val=&quot;12282CC2&quot;/&gt;&lt;wsp:rsid wsp:val=&quot;122B27B2&quot;/&gt;&lt;wsp:rsid wsp:val=&quot;122B4561&quot;/&gt;&lt;wsp:rsid wsp:val=&quot;122C2897&quot;/&gt;&lt;wsp:rsid wsp:val=&quot;122D652B&quot;/&gt;&lt;wsp:rsid wsp:val=&quot;12301B77&quot;/&gt;&lt;wsp:rsid wsp:val=&quot;12302D61&quot;/&gt;&lt;wsp:rsid wsp:val=&quot;12303925&quot;/&gt;&lt;wsp:rsid wsp:val=&quot;1230601B&quot;/&gt;&lt;wsp:rsid wsp:val=&quot;12307DC9&quot;/&gt;&lt;wsp:rsid wsp:val=&quot;12325900&quot;/&gt;&lt;wsp:rsid wsp:val=&quot;123553DF&quot;/&gt;&lt;wsp:rsid wsp:val=&quot;12371157&quot;/&gt;&lt;wsp:rsid wsp:val=&quot;123A0C48&quot;/&gt;&lt;wsp:rsid wsp:val=&quot;123C0392&quot;/&gt;&lt;wsp:rsid wsp:val=&quot;123C051C&quot;/&gt;&lt;wsp:rsid wsp:val=&quot;123D5564&quot;/&gt;&lt;wsp:rsid wsp:val=&quot;123E24E6&quot;/&gt;&lt;wsp:rsid wsp:val=&quot;123E4294&quot;/&gt;&lt;wsp:rsid wsp:val=&quot;123F1DBA&quot;/&gt;&lt;wsp:rsid wsp:val=&quot;12407C85&quot;/&gt;&lt;wsp:rsid wsp:val=&quot;12415B32&quot;/&gt;&lt;wsp:rsid wsp:val=&quot;124473D0&quot;/&gt;&lt;wsp:rsid wsp:val=&quot;12463148&quot;/&gt;&lt;wsp:rsid wsp:val=&quot;12474DCB&quot;/&gt;&lt;wsp:rsid wsp:val=&quot;12492478&quot;/&gt;&lt;wsp:rsid wsp:val=&quot;124A70DD&quot;/&gt;&lt;wsp:rsid wsp:val=&quot;124B4C03&quot;/&gt;&lt;wsp:rsid wsp:val=&quot;124B5F39&quot;/&gt;&lt;wsp:rsid wsp:val=&quot;124B69B1&quot;/&gt;&lt;wsp:rsid wsp:val=&quot;124D097B&quot;/&gt;&lt;wsp:rsid wsp:val=&quot;124E024F&quot;/&gt;&lt;wsp:rsid wsp:val=&quot;124E4E5A&quot;/&gt;&lt;wsp:rsid wsp:val=&quot;124F64A1&quot;/&gt;&lt;wsp:rsid wsp:val=&quot;12503FC7&quot;/&gt;&lt;wsp:rsid wsp:val=&quot;12505D75&quot;/&gt;&lt;wsp:rsid wsp:val=&quot;12541D09&quot;/&gt;&lt;wsp:rsid wsp:val=&quot;125515DD&quot;/&gt;&lt;wsp:rsid wsp:val=&quot;12575356&quot;/&gt;&lt;wsp:rsid wsp:val=&quot;12582E7C&quot;/&gt;&lt;wsp:rsid wsp:val=&quot;125910CE&quot;/&gt;&lt;wsp:rsid wsp:val=&quot;125A4496&quot;/&gt;&lt;wsp:rsid wsp:val=&quot;125A4E46&quot;/&gt;&lt;wsp:rsid wsp:val=&quot;125A6BF4&quot;/&gt;&lt;wsp:rsid wsp:val=&quot;125C0BBE&quot;/&gt;&lt;wsp:rsid wsp:val=&quot;125C296C&quot;/&gt;&lt;wsp:rsid wsp:val=&quot;125C471A&quot;/&gt;&lt;wsp:rsid wsp:val=&quot;125C7CA3&quot;/&gt;&lt;wsp:rsid wsp:val=&quot;125F420A&quot;/&gt;&lt;wsp:rsid wsp:val=&quot;12614426&quot;/&gt;&lt;wsp:rsid wsp:val=&quot;12617F82&quot;/&gt;&lt;wsp:rsid wsp:val=&quot;12631AF2&quot;/&gt;&lt;wsp:rsid wsp:val=&quot;12633CFA&quot;/&gt;&lt;wsp:rsid wsp:val=&quot;12635BF0&quot;/&gt;&lt;wsp:rsid wsp:val=&quot;12647A72&quot;/&gt;&lt;wsp:rsid wsp:val=&quot;126530E1&quot;/&gt;&lt;wsp:rsid wsp:val=&quot;12655CC4&quot;/&gt;&lt;wsp:rsid wsp:val=&quot;126621FC&quot;/&gt;&lt;wsp:rsid wsp:val=&quot;12662D98&quot;/&gt;&lt;wsp:rsid wsp:val=&quot;126637EB&quot;/&gt;&lt;wsp:rsid wsp:val=&quot;12665599&quot;/&gt;&lt;wsp:rsid wsp:val=&quot;12681311&quot;/&gt;&lt;wsp:rsid wsp:val=&quot;12695089&quot;/&gt;&lt;wsp:rsid wsp:val=&quot;12696E37&quot;/&gt;&lt;wsp:rsid wsp:val=&quot;126B0E01&quot;/&gt;&lt;wsp:rsid wsp:val=&quot;126C4404&quot;/&gt;&lt;wsp:rsid wsp:val=&quot;126D6927&quot;/&gt;&lt;wsp:rsid wsp:val=&quot;127001C5&quot;/&gt;&lt;wsp:rsid wsp:val=&quot;127001F4&quot;/&gt;&lt;wsp:rsid wsp:val=&quot;12712867&quot;/&gt;&lt;wsp:rsid wsp:val=&quot;12722B14&quot;/&gt;&lt;wsp:rsid wsp:val=&quot;12732A65&quot;/&gt;&lt;wsp:rsid wsp:val=&quot;12740CB0&quot;/&gt;&lt;wsp:rsid wsp:val=&quot;12744159&quot;/&gt;&lt;wsp:rsid wsp:val=&quot;12746B75&quot;/&gt;&lt;wsp:rsid wsp:val=&quot;12753A2E&quot;/&gt;&lt;wsp:rsid wsp:val=&quot;127557DC&quot;/&gt;&lt;wsp:rsid wsp:val=&quot;12764066&quot;/&gt;&lt;wsp:rsid wsp:val=&quot;12771554&quot;/&gt;&lt;wsp:rsid wsp:val=&quot;127A1044&quot;/&gt;&lt;wsp:rsid wsp:val=&quot;127B54E8&quot;/&gt;&lt;wsp:rsid wsp:val=&quot;127E6D86&quot;/&gt;&lt;wsp:rsid wsp:val=&quot;127F3C88&quot;/&gt;&lt;wsp:rsid wsp:val=&quot;127F48AC&quot;/&gt;&lt;wsp:rsid wsp:val=&quot;12810624&quot;/&gt;&lt;wsp:rsid wsp:val=&quot;12823D4A&quot;/&gt;&lt;wsp:rsid wsp:val=&quot;12832108&quot;/&gt;&lt;wsp:rsid wsp:val=&quot;12840CBF&quot;/&gt;&lt;wsp:rsid wsp:val=&quot;12850115&quot;/&gt;&lt;wsp:rsid wsp:val=&quot;12863E8D&quot;/&gt;&lt;wsp:rsid wsp:val=&quot;128819B3&quot;/&gt;&lt;wsp:rsid wsp:val=&quot;128A74D9&quot;/&gt;&lt;wsp:rsid wsp:val=&quot;128B14A3&quot;/&gt;&lt;wsp:rsid wsp:val=&quot;128D0D77&quot;/&gt;&lt;wsp:rsid wsp:val=&quot;128D521B&quot;/&gt;&lt;wsp:rsid wsp:val=&quot;128D6FC9&quot;/&gt;&lt;wsp:rsid wsp:val=&quot;128E4CD4&quot;/&gt;&lt;wsp:rsid wsp:val=&quot;128E689D&quot;/&gt;&lt;wsp:rsid wsp:val=&quot;12902616&quot;/&gt;&lt;wsp:rsid wsp:val=&quot;12906AB9&quot;/&gt;&lt;wsp:rsid wsp:val=&quot;1293358D&quot;/&gt;&lt;wsp:rsid wsp:val=&quot;12934CCE&quot;/&gt;&lt;wsp:rsid wsp:val=&quot;12971BF6&quot;/&gt;&lt;wsp:rsid wsp:val=&quot;12976FDC&quot;/&gt;&lt;wsp:rsid wsp:val=&quot;129A3460&quot;/&gt;&lt;wsp:rsid wsp:val=&quot;129D7963&quot;/&gt;&lt;wsp:rsid wsp:val=&quot;12A06CFD&quot;/&gt;&lt;wsp:rsid wsp:val=&quot;12A14823&quot;/&gt;&lt;wsp:rsid wsp:val=&quot;12A367ED&quot;/&gt;&lt;wsp:rsid wsp:val=&quot;12A52565&quot;/&gt;&lt;wsp:rsid wsp:val=&quot;12A61E39&quot;/&gt;&lt;wsp:rsid wsp:val=&quot;12A71528&quot;/&gt;&lt;wsp:rsid wsp:val=&quot;12A83E03&quot;/&gt;&lt;wsp:rsid wsp:val=&quot;12A85BB1&quot;/&gt;&lt;wsp:rsid wsp:val=&quot;12AA1929&quot;/&gt;&lt;wsp:rsid wsp:val=&quot;12AA7B7B&quot;/&gt;&lt;wsp:rsid wsp:val=&quot;12AB1C90&quot;/&gt;&lt;wsp:rsid wsp:val=&quot;12AB744F&quot;/&gt;&lt;wsp:rsid wsp:val=&quot;12AC38F3&quot;/&gt;&lt;wsp:rsid wsp:val=&quot;12AD31C8&quot;/&gt;&lt;wsp:rsid wsp:val=&quot;12AD766B&quot;/&gt;&lt;wsp:rsid wsp:val=&quot;12AF0CEE&quot;/&gt;&lt;wsp:rsid wsp:val=&quot;12AF345C&quot;/&gt;&lt;wsp:rsid wsp:val=&quot;12B02CB8&quot;/&gt;&lt;wsp:rsid wsp:val=&quot;12B10F0A&quot;/&gt;&lt;wsp:rsid wsp:val=&quot;12B21DF5&quot;/&gt;&lt;wsp:rsid wsp:val=&quot;12B44070&quot;/&gt;&lt;wsp:rsid wsp:val=&quot;12B502CE&quot;/&gt;&lt;wsp:rsid wsp:val=&quot;12B5207C&quot;/&gt;&lt;wsp:rsid wsp:val=&quot;12B97DBE&quot;/&gt;&lt;wsp:rsid wsp:val=&quot;12BB52B9&quot;/&gt;&lt;wsp:rsid wsp:val=&quot;12BB58E4&quot;/&gt;&lt;wsp:rsid wsp:val=&quot;12BC78AF&quot;/&gt;&lt;wsp:rsid wsp:val=&quot;12BE53D5&quot;/&gt;&lt;wsp:rsid wsp:val=&quot;12BE7183&quot;/&gt;&lt;wsp:rsid wsp:val=&quot;12C02EFB&quot;/&gt;&lt;wsp:rsid wsp:val=&quot;12C102BD&quot;/&gt;&lt;wsp:rsid wsp:val=&quot;12C329EB&quot;/&gt;&lt;wsp:rsid wsp:val=&quot;12C34799&quot;/&gt;&lt;wsp:rsid wsp:val=&quot;12C4776A&quot;/&gt;&lt;wsp:rsid wsp:val=&quot;12C50CAE&quot;/&gt;&lt;wsp:rsid wsp:val=&quot;12C624DB&quot;/&gt;&lt;wsp:rsid wsp:val=&quot;12C66037&quot;/&gt;&lt;wsp:rsid wsp:val=&quot;12C86253&quot;/&gt;&lt;wsp:rsid wsp:val=&quot;12C86D36&quot;/&gt;&lt;wsp:rsid wsp:val=&quot;12C94D9D&quot;/&gt;&lt;wsp:rsid wsp:val=&quot;12CA3D79&quot;/&gt;&lt;wsp:rsid wsp:val=&quot;12CB18A0&quot;/&gt;&lt;wsp:rsid wsp:val=&quot;12CC5D44&quot;/&gt;&lt;wsp:rsid wsp:val=&quot;12CC7AF2&quot;/&gt;&lt;wsp:rsid wsp:val=&quot;12CD4BAE&quot;/&gt;&lt;wsp:rsid wsp:val=&quot;12CD62EF&quot;/&gt;&lt;wsp:rsid wsp:val=&quot;12CF507A&quot;/&gt;&lt;wsp:rsid wsp:val=&quot;12D20E80&quot;/&gt;&lt;wsp:rsid wsp:val=&quot;12D270D2&quot;/&gt;&lt;wsp:rsid wsp:val=&quot;12D27590&quot;/&gt;&lt;wsp:rsid wsp:val=&quot;12D3308B&quot;/&gt;&lt;wsp:rsid wsp:val=&quot;12D53340&quot;/&gt;&lt;wsp:rsid wsp:val=&quot;12D544CC&quot;/&gt;&lt;wsp:rsid wsp:val=&quot;12D553E2&quot;/&gt;&lt;wsp:rsid wsp:val=&quot;12D60970&quot;/&gt;&lt;wsp:rsid wsp:val=&quot;12D746E8&quot;/&gt;&lt;wsp:rsid wsp:val=&quot;12D93FBD&quot;/&gt;&lt;wsp:rsid wsp:val=&quot;12DA1AE3&quot;/&gt;&lt;wsp:rsid wsp:val=&quot;12DB5F87&quot;/&gt;&lt;wsp:rsid wsp:val=&quot;12DB7D35&quot;/&gt;&lt;wsp:rsid wsp:val=&quot;12DD7CF9&quot;/&gt;&lt;wsp:rsid wsp:val=&quot;12E110C3&quot;/&gt;&lt;wsp:rsid wsp:val=&quot;12E12E71&quot;/&gt;&lt;wsp:rsid wsp:val=&quot;12E15BF5&quot;/&gt;&lt;wsp:rsid wsp:val=&quot;12E21A9C&quot;/&gt;&lt;wsp:rsid wsp:val=&quot;12E2361D&quot;/&gt;&lt;wsp:rsid wsp:val=&quot;12E27315&quot;/&gt;&lt;wsp:rsid wsp:val=&quot;12E3308D&quot;/&gt;&lt;wsp:rsid wsp:val=&quot;12E41216&quot;/&gt;&lt;wsp:rsid wsp:val=&quot;12E52961&quot;/&gt;&lt;wsp:rsid wsp:val=&quot;12E60488&quot;/&gt;&lt;wsp:rsid wsp:val=&quot;12E666D9&quot;/&gt;&lt;wsp:rsid wsp:val=&quot;12E67D42&quot;/&gt;&lt;wsp:rsid wsp:val=&quot;12E806A4&quot;/&gt;&lt;wsp:rsid wsp:val=&quot;12E82452&quot;/&gt;&lt;wsp:rsid wsp:val=&quot;12E84200&quot;/&gt;&lt;wsp:rsid wsp:val=&quot;12EA1D66&quot;/&gt;&lt;wsp:rsid wsp:val=&quot;12EA61CA&quot;/&gt;&lt;wsp:rsid wsp:val=&quot;12EC0194&quot;/&gt;&lt;wsp:rsid wsp:val=&quot;12EC15C7&quot;/&gt;&lt;wsp:rsid wsp:val=&quot;12EC1F42&quot;/&gt;&lt;wsp:rsid wsp:val=&quot;12ED7A68&quot;/&gt;&lt;wsp:rsid wsp:val=&quot;12EF1A32&quot;/&gt;&lt;wsp:rsid wsp:val=&quot;12EF37E0&quot;/&gt;&lt;wsp:rsid wsp:val=&quot;12EF558E&quot;/&gt;&lt;wsp:rsid wsp:val=&quot;12F42BA4&quot;/&gt;&lt;wsp:rsid wsp:val=&quot;12F86B39&quot;/&gt;&lt;wsp:rsid wsp:val=&quot;12F901BB&quot;/&gt;&lt;wsp:rsid wsp:val=&quot;12F9241F&quot;/&gt;&lt;wsp:rsid wsp:val=&quot;12F928B1&quot;/&gt;&lt;wsp:rsid wsp:val=&quot;12FE1C75&quot;/&gt;&lt;wsp:rsid wsp:val=&quot;12FE3FC7&quot;/&gt;&lt;wsp:rsid wsp:val=&quot;130059ED&quot;/&gt;&lt;wsp:rsid wsp:val=&quot;130152C1&quot;/&gt;&lt;wsp:rsid wsp:val=&quot;13023513&quot;/&gt;&lt;wsp:rsid wsp:val=&quot;13035B40&quot;/&gt;&lt;wsp:rsid wsp:val=&quot;1303728B&quot;/&gt;&lt;wsp:rsid wsp:val=&quot;13042B2E&quot;/&gt;&lt;wsp:rsid wsp:val=&quot;13054DB2&quot;/&gt;&lt;wsp:rsid wsp:val=&quot;13076D7C&quot;/&gt;&lt;wsp:rsid wsp:val=&quot;130829CB&quot;/&gt;&lt;wsp:rsid wsp:val=&quot;13082AF4&quot;/&gt;&lt;wsp:rsid wsp:val=&quot;130848A2&quot;/&gt;&lt;wsp:rsid wsp:val=&quot;130A36C0&quot;/&gt;&lt;wsp:rsid wsp:val=&quot;130A686C&quot;/&gt;&lt;wsp:rsid wsp:val=&quot;130C25E4&quot;/&gt;&lt;wsp:rsid wsp:val=&quot;130D1EB8&quot;/&gt;&lt;wsp:rsid wsp:val=&quot;130E5F3B&quot;/&gt;&lt;wsp:rsid wsp:val=&quot;130F60A2&quot;/&gt;&lt;wsp:rsid wsp:val=&quot;1311095B&quot;/&gt;&lt;wsp:rsid wsp:val=&quot;131119A8&quot;/&gt;&lt;wsp:rsid wsp:val=&quot;13111E52&quot;/&gt;&lt;wsp:rsid wsp:val=&quot;1312127D&quot;/&gt;&lt;wsp:rsid wsp:val=&quot;13141499&quot;/&gt;&lt;wsp:rsid wsp:val=&quot;13144FF5&quot;/&gt;&lt;wsp:rsid wsp:val=&quot;13164834&quot;/&gt;&lt;wsp:rsid wsp:val=&quot;13166FBF&quot;/&gt;&lt;wsp:rsid wsp:val=&quot;1319260B&quot;/&gt;&lt;wsp:rsid wsp:val=&quot;131B7848&quot;/&gt;&lt;wsp:rsid wsp:val=&quot;131C6F65&quot;/&gt;&lt;wsp:rsid wsp:val=&quot;131D2DE9&quot;/&gt;&lt;wsp:rsid wsp:val=&quot;131D659F&quot;/&gt;&lt;wsp:rsid wsp:val=&quot;131E2317&quot;/&gt;&lt;wsp:rsid wsp:val=&quot;131E4A44&quot;/&gt;&lt;wsp:rsid wsp:val=&quot;131F6CD8&quot;/&gt;&lt;wsp:rsid wsp:val=&quot;13201BEB&quot;/&gt;&lt;wsp:rsid wsp:val=&quot;13203999&quot;/&gt;&lt;wsp:rsid wsp:val=&quot;13207E3D&quot;/&gt;&lt;wsp:rsid wsp:val=&quot;13217712&quot;/&gt;&lt;wsp:rsid wsp:val=&quot;13225964&quot;/&gt;&lt;wsp:rsid wsp:val=&quot;1324792E&quot;/&gt;&lt;wsp:rsid wsp:val=&quot;13250FB0&quot;/&gt;&lt;wsp:rsid wsp:val=&quot;132536A6&quot;/&gt;&lt;wsp:rsid wsp:val=&quot;13255454&quot;/&gt;&lt;wsp:rsid wsp:val=&quot;132720B5&quot;/&gt;&lt;wsp:rsid wsp:val=&quot;13274D28&quot;/&gt;&lt;wsp:rsid wsp:val=&quot;13280AA0&quot;/&gt;&lt;wsp:rsid wsp:val=&quot;132A4818&quot;/&gt;&lt;wsp:rsid wsp:val=&quot;132B413A&quot;/&gt;&lt;wsp:rsid wsp:val=&quot;132F1E2E&quot;/&gt;&lt;wsp:rsid wsp:val=&quot;132F3F4B&quot;/&gt;&lt;wsp:rsid wsp:val=&quot;13312722&quot;/&gt;&lt;wsp:rsid wsp:val=&quot;13324823&quot;/&gt;&lt;wsp:rsid wsp:val=&quot;13333D5C&quot;/&gt;&lt;wsp:rsid wsp:val=&quot;13390EFF&quot;/&gt;&lt;wsp:rsid wsp:val=&quot;13394A5B&quot;/&gt;&lt;wsp:rsid wsp:val=&quot;133B07D3&quot;/&gt;&lt;wsp:rsid wsp:val=&quot;133B3026&quot;/&gt;&lt;wsp:rsid wsp:val=&quot;133B6A25&quot;/&gt;&lt;wsp:rsid wsp:val=&quot;133D454B&quot;/&gt;&lt;wsp:rsid wsp:val=&quot;133F1504&quot;/&gt;&lt;wsp:rsid wsp:val=&quot;133F3C5E&quot;/&gt;&lt;wsp:rsid wsp:val=&quot;133F73E1&quot;/&gt;&lt;wsp:rsid wsp:val=&quot;13421B62&quot;/&gt;&lt;wsp:rsid wsp:val=&quot;134277F0&quot;/&gt;&lt;wsp:rsid wsp:val=&quot;13427DB4&quot;/&gt;&lt;wsp:rsid wsp:val=&quot;13433B00&quot;/&gt;&lt;wsp:rsid wsp:val=&quot;13441D7E&quot;/&gt;&lt;wsp:rsid wsp:val=&quot;13453164&quot;/&gt;&lt;wsp:rsid wsp:val=&quot;13455F77&quot;/&gt;&lt;wsp:rsid wsp:val=&quot;134578A4&quot;/&gt;&lt;wsp:rsid wsp:val=&quot;13482EF0&quot;/&gt;&lt;wsp:rsid wsp:val=&quot;1349372A&quot;/&gt;&lt;wsp:rsid wsp:val=&quot;13494F1B&quot;/&gt;&lt;wsp:rsid wsp:val=&quot;134A7D3F&quot;/&gt;&lt;wsp:rsid wsp:val=&quot;134C478E&quot;/&gt;&lt;wsp:rsid wsp:val=&quot;134E49AB&quot;/&gt;&lt;wsp:rsid wsp:val=&quot;134E6759&quot;/&gt;&lt;wsp:rsid wsp:val=&quot;134F0723&quot;/&gt;&lt;wsp:rsid wsp:val=&quot;134F58A4&quot;/&gt;&lt;wsp:rsid wsp:val=&quot;13510A26&quot;/&gt;&lt;wsp:rsid wsp:val=&quot;13515E55&quot;/&gt;&lt;wsp:rsid wsp:val=&quot;13525B1D&quot;/&gt;&lt;wsp:rsid wsp:val=&quot;13531FC1&quot;/&gt;&lt;wsp:rsid wsp:val=&quot;13541402&quot;/&gt;&lt;wsp:rsid wsp:val=&quot;13541895&quot;/&gt;&lt;wsp:rsid wsp:val=&quot;13542DC7&quot;/&gt;&lt;wsp:rsid wsp:val=&quot;13545D39&quot;/&gt;&lt;wsp:rsid wsp:val=&quot;135573A7&quot;/&gt;&lt;wsp:rsid wsp:val=&quot;13573133&quot;/&gt;&lt;wsp:rsid wsp:val=&quot;13581385&quot;/&gt;&lt;wsp:rsid wsp:val=&quot;13593FE0&quot;/&gt;&lt;wsp:rsid wsp:val=&quot;135D4BEE&quot;/&gt;&lt;wsp:rsid wsp:val=&quot;135E44C2&quot;/&gt;&lt;wsp:rsid wsp:val=&quot;13617BEA&quot;/&gt;&lt;wsp:rsid wsp:val=&quot;13620456&quot;/&gt;&lt;wsp:rsid wsp:val=&quot;13622204&quot;/&gt;&lt;wsp:rsid wsp:val=&quot;136441CE&quot;/&gt;&lt;wsp:rsid wsp:val=&quot;136617BC&quot;/&gt;&lt;wsp:rsid wsp:val=&quot;1366491A&quot;/&gt;&lt;wsp:rsid wsp:val=&quot;136733E5&quot;/&gt;&lt;wsp:rsid wsp:val=&quot;136917E4&quot;/&gt;&lt;wsp:rsid wsp:val=&quot;136A10B9&quot;/&gt;&lt;wsp:rsid wsp:val=&quot;136C6BDF&quot;/&gt;&lt;wsp:rsid wsp:val=&quot;136E19CD&quot;/&gt;&lt;wsp:rsid wsp:val=&quot;13702B73&quot;/&gt;&lt;wsp:rsid wsp:val=&quot;13712D00&quot;/&gt;&lt;wsp:rsid wsp:val=&quot;137361BF&quot;/&gt;&lt;wsp:rsid wsp:val=&quot;13782889&quot;/&gt;&lt;wsp:rsid wsp:val=&quot;137B190B&quot;/&gt;&lt;wsp:rsid wsp:val=&quot;137D0DEC&quot;/&gt;&lt;wsp:rsid wsp:val=&quot;137D4216&quot;/&gt;&lt;wsp:rsid wsp:val=&quot;137E28CC&quot;/&gt;&lt;wsp:rsid wsp:val=&quot;137F2DB6&quot;/&gt;&lt;wsp:rsid wsp:val=&quot;137F4B64&quot;/&gt;&lt;wsp:rsid wsp:val=&quot;137F5677&quot;/&gt;&lt;wsp:rsid wsp:val=&quot;137F64CE&quot;/&gt;&lt;wsp:rsid wsp:val=&quot;138008DC&quot;/&gt;&lt;wsp:rsid wsp:val=&quot;13804F34&quot;/&gt;&lt;wsp:rsid wsp:val=&quot;138137F3&quot;/&gt;&lt;wsp:rsid wsp:val=&quot;138228A6&quot;/&gt;&lt;wsp:rsid wsp:val=&quot;13826402&quot;/&gt;&lt;wsp:rsid wsp:val=&quot;138275B2&quot;/&gt;&lt;wsp:rsid wsp:val=&quot;13855EF2&quot;/&gt;&lt;wsp:rsid wsp:val=&quot;13871D70&quot;/&gt;&lt;wsp:rsid wsp:val=&quot;13897791&quot;/&gt;&lt;wsp:rsid wsp:val=&quot;138A3509&quot;/&gt;&lt;wsp:rsid wsp:val=&quot;138B2047&quot;/&gt;&lt;wsp:rsid wsp:val=&quot;138E124B&quot;/&gt;&lt;wsp:rsid wsp:val=&quot;138F28CD&quot;/&gt;&lt;wsp:rsid wsp:val=&quot;13904FC3&quot;/&gt;&lt;wsp:rsid wsp:val=&quot;13912AE9&quot;/&gt;&lt;wsp:rsid wsp:val=&quot;13914897&quot;/&gt;&lt;wsp:rsid wsp:val=&quot;13951726&quot;/&gt;&lt;wsp:rsid wsp:val=&quot;139530F9&quot;/&gt;&lt;wsp:rsid wsp:val=&quot;1395483A&quot;/&gt;&lt;wsp:rsid wsp:val=&quot;13985C26&quot;/&gt;&lt;wsp:rsid wsp:val=&quot;139A0200&quot;/&gt;&lt;wsp:rsid wsp:val=&quot;139E0753&quot;/&gt;&lt;wsp:rsid wsp:val=&quot;139F5206&quot;/&gt;&lt;wsp:rsid wsp:val=&quot;139F6FB4&quot;/&gt;&lt;wsp:rsid wsp:val=&quot;13A20852&quot;/&gt;&lt;wsp:rsid wsp:val=&quot;13A4281C&quot;/&gt;&lt;wsp:rsid wsp:val=&quot;13A46379&quot;/&gt;&lt;wsp:rsid wsp:val=&quot;13A50343&quot;/&gt;&lt;wsp:rsid wsp:val=&quot;13A66595&quot;/&gt;&lt;wsp:rsid wsp:val=&quot;13A77A4F&quot;/&gt;&lt;wsp:rsid wsp:val=&quot;13A8699E&quot;/&gt;&lt;wsp:rsid wsp:val=&quot;13AA5959&quot;/&gt;&lt;wsp:rsid wsp:val=&quot;13AB3BAB&quot;/&gt;&lt;wsp:rsid wsp:val=&quot;13AB5044&quot;/&gt;&lt;wsp:rsid wsp:val=&quot;13AC347F&quot;/&gt;&lt;wsp:rsid wsp:val=&quot;13AC7923&quot;/&gt;&lt;wsp:rsid wsp:val=&quot;13AE5449&quot;/&gt;&lt;wsp:rsid wsp:val=&quot;13AE71F7&quot;/&gt;&lt;wsp:rsid wsp:val=&quot;13AF2F6F&quot;/&gt;&lt;wsp:rsid wsp:val=&quot;13B011C1&quot;/&gt;&lt;wsp:rsid wsp:val=&quot;13B04D27&quot;/&gt;&lt;wsp:rsid wsp:val=&quot;13B16CE7&quot;/&gt;&lt;wsp:rsid wsp:val=&quot;13B23A34&quot;/&gt;&lt;wsp:rsid wsp:val=&quot;13B32A60&quot;/&gt;&lt;wsp:rsid wsp:val=&quot;13B50FA2&quot;/&gt;&lt;wsp:rsid wsp:val=&quot;13B62550&quot;/&gt;&lt;wsp:rsid wsp:val=&quot;13B660AC&quot;/&gt;&lt;wsp:rsid wsp:val=&quot;13B81064&quot;/&gt;&lt;wsp:rsid wsp:val=&quot;13B81E24&quot;/&gt;&lt;wsp:rsid wsp:val=&quot;13BA3984&quot;/&gt;&lt;wsp:rsid wsp:val=&quot;13BA5B9C&quot;/&gt;&lt;wsp:rsid wsp:val=&quot;13BB36C2&quot;/&gt;&lt;wsp:rsid wsp:val=&quot;13BB4E14&quot;/&gt;&lt;wsp:rsid wsp:val=&quot;13BD5EC7&quot;/&gt;&lt;wsp:rsid wsp:val=&quot;13BF1404&quot;/&gt;&lt;wsp:rsid wsp:val=&quot;13BF31B2&quot;/&gt;&lt;wsp:rsid wsp:val=&quot;13C0517C&quot;/&gt;&lt;wsp:rsid wsp:val=&quot;13C20EF5&quot;/&gt;&lt;wsp:rsid wsp:val=&quot;13C44C6D&quot;/&gt;&lt;wsp:rsid wsp:val=&quot;13C46A1B&quot;/&gt;&lt;wsp:rsid wsp:val=&quot;13C50729&quot;/&gt;&lt;wsp:rsid wsp:val=&quot;13C62745&quot;/&gt;&lt;wsp:rsid wsp:val=&quot;13C702B9&quot;/&gt;&lt;wsp:rsid wsp:val=&quot;13C73778&quot;/&gt;&lt;wsp:rsid wsp:val=&quot;13C7650B&quot;/&gt;&lt;wsp:rsid wsp:val=&quot;13C92283&quot;/&gt;&lt;wsp:rsid wsp:val=&quot;13C94031&quot;/&gt;&lt;wsp:rsid wsp:val=&quot;13C95DDF&quot;/&gt;&lt;wsp:rsid wsp:val=&quot;13CA1B57&quot;/&gt;&lt;wsp:rsid wsp:val=&quot;13CB5BCC&quot;/&gt;&lt;wsp:rsid wsp:val=&quot;13CB74DA&quot;/&gt;&lt;wsp:rsid wsp:val=&quot;13CC3B21&quot;/&gt;&lt;wsp:rsid wsp:val=&quot;13CE522D&quot;/&gt;&lt;wsp:rsid wsp:val=&quot;13CE5AEB&quot;/&gt;&lt;wsp:rsid wsp:val=&quot;13D053C0&quot;/&gt;&lt;wsp:rsid wsp:val=&quot;13D21051&quot;/&gt;&lt;wsp:rsid wsp:val=&quot;13D50C28&quot;/&gt;&lt;wsp:rsid wsp:val=&quot;13D6674E&quot;/&gt;&lt;wsp:rsid wsp:val=&quot;13D67852&quot;/&gt;&lt;wsp:rsid wsp:val=&quot;13D80718&quot;/&gt;&lt;wsp:rsid wsp:val=&quot;13D824C6&quot;/&gt;&lt;wsp:rsid wsp:val=&quot;13D84274&quot;/&gt;&lt;wsp:rsid wsp:val=&quot;13D97F0D&quot;/&gt;&lt;wsp:rsid wsp:val=&quot;13DA2F6E&quot;/&gt;&lt;wsp:rsid wsp:val=&quot;13DA7FEC&quot;/&gt;&lt;wsp:rsid wsp:val=&quot;13DB3D64&quot;/&gt;&lt;wsp:rsid wsp:val=&quot;13DB48C9&quot;/&gt;&lt;wsp:rsid wsp:val=&quot;13DB5B12&quot;/&gt;&lt;wsp:rsid wsp:val=&quot;13DD188A&quot;/&gt;&lt;wsp:rsid wsp:val=&quot;13DD4AE0&quot;/&gt;&lt;wsp:rsid wsp:val=&quot;13DD7ADC&quot;/&gt;&lt;wsp:rsid wsp:val=&quot;13E40E6B&quot;/&gt;&lt;wsp:rsid wsp:val=&quot;13E54139&quot;/&gt;&lt;wsp:rsid wsp:val=&quot;13E70C89&quot;/&gt;&lt;wsp:rsid wsp:val=&quot;13E7436A&quot;/&gt;&lt;wsp:rsid wsp:val=&quot;13E75572&quot;/&gt;&lt;wsp:rsid wsp:val=&quot;13E908A4&quot;/&gt;&lt;wsp:rsid wsp:val=&quot;13EB044B&quot;/&gt;&lt;wsp:rsid wsp:val=&quot;13EB21F9&quot;/&gt;&lt;wsp:rsid wsp:val=&quot;13EB331F&quot;/&gt;&lt;wsp:rsid wsp:val=&quot;13EC47F1&quot;/&gt;&lt;wsp:rsid wsp:val=&quot;13EE3A98&quot;/&gt;&lt;wsp:rsid wsp:val=&quot;13EE5846&quot;/&gt;&lt;wsp:rsid wsp:val=&quot;13F05A62&quot;/&gt;&lt;wsp:rsid wsp:val=&quot;13F13588&quot;/&gt;&lt;wsp:rsid wsp:val=&quot;13F217DA&quot;/&gt;&lt;wsp:rsid wsp:val=&quot;13F310AE&quot;/&gt;&lt;wsp:rsid wsp:val=&quot;13F56BD4&quot;/&gt;&lt;wsp:rsid wsp:val=&quot;13F56CD2&quot;/&gt;&lt;wsp:rsid wsp:val=&quot;13FA68E0&quot;/&gt;&lt;wsp:rsid wsp:val=&quot;13FB22A7&quot;/&gt;&lt;wsp:rsid wsp:val=&quot;13FC4AB2&quot;/&gt;&lt;wsp:rsid wsp:val=&quot;13FD017F&quot;/&gt;&lt;wsp:rsid wsp:val=&quot;13FF3EF7&quot;/&gt;&lt;wsp:rsid wsp:val=&quot;13FF7A53&quot;/&gt;&lt;wsp:rsid wsp:val=&quot;1400284C&quot;/&gt;&lt;wsp:rsid wsp:val=&quot;14005579&quot;/&gt;&lt;wsp:rsid wsp:val=&quot;14011A1D&quot;/&gt;&lt;wsp:rsid wsp:val=&quot;140137CB&quot;/&gt;&lt;wsp:rsid wsp:val=&quot;14027543&quot;/&gt;&lt;wsp:rsid wsp:val=&quot;140275A9&quot;/&gt;&lt;wsp:rsid wsp:val=&quot;140654BE&quot;/&gt;&lt;wsp:rsid wsp:val=&quot;140673BA&quot;/&gt;&lt;wsp:rsid wsp:val=&quot;140809BA&quot;/&gt;&lt;wsp:rsid wsp:val=&quot;140908D1&quot;/&gt;&lt;wsp:rsid wsp:val=&quot;14092680&quot;/&gt;&lt;wsp:rsid wsp:val=&quot;140B289C&quot;/&gt;&lt;wsp:rsid wsp:val=&quot;140C03C2&quot;/&gt;&lt;wsp:rsid wsp:val=&quot;140E413A&quot;/&gt;&lt;wsp:rsid wsp:val=&quot;140F7135&quot;/&gt;&lt;wsp:rsid wsp:val=&quot;14103A0E&quot;/&gt;&lt;wsp:rsid wsp:val=&quot;141330FE&quot;/&gt;&lt;wsp:rsid wsp:val=&quot;14157276&quot;/&gt;&lt;wsp:rsid wsp:val=&quot;141573DC&quot;/&gt;&lt;wsp:rsid wsp:val=&quot;141605EF&quot;/&gt;&lt;wsp:rsid wsp:val=&quot;141A6CBF&quot;/&gt;&lt;wsp:rsid wsp:val=&quot;141B23B3&quot;/&gt;&lt;wsp:rsid wsp:val=&quot;141B4416&quot;/&gt;&lt;wsp:rsid wsp:val=&quot;141F00F5&quot;/&gt;&lt;wsp:rsid wsp:val=&quot;141F1EA3&quot;/&gt;&lt;wsp:rsid wsp:val=&quot;1421125A&quot;/&gt;&lt;wsp:rsid wsp:val=&quot;142179C9&quot;/&gt;&lt;wsp:rsid wsp:val=&quot;14236796&quot;/&gt;&lt;wsp:rsid wsp:val=&quot;14237BE5&quot;/&gt;&lt;wsp:rsid wsp:val=&quot;142474B9&quot;/&gt;&lt;wsp:rsid wsp:val=&quot;14263231&quot;/&gt;&lt;wsp:rsid wsp:val=&quot;14264FE0&quot;/&gt;&lt;wsp:rsid wsp:val=&quot;142676D5&quot;/&gt;&lt;wsp:rsid wsp:val=&quot;14290F74&quot;/&gt;&lt;wsp:rsid wsp:val=&quot;142B0848&quot;/&gt;&lt;wsp:rsid wsp:val=&quot;142B6A9A&quot;/&gt;&lt;wsp:rsid wsp:val=&quot;142E20E6&quot;/&gt;&lt;wsp:rsid wsp:val=&quot;14302626&quot;/&gt;&lt;wsp:rsid wsp:val=&quot;143040B0&quot;/&gt;&lt;wsp:rsid wsp:val=&quot;14305E5E&quot;/&gt;&lt;wsp:rsid wsp:val=&quot;14321BD6&quot;/&gt;&lt;wsp:rsid wsp:val=&quot;14325A97&quot;/&gt;&lt;wsp:rsid wsp:val=&quot;1432607A&quot;/&gt;&lt;wsp:rsid wsp:val=&quot;14327E28&quot;/&gt;&lt;wsp:rsid wsp:val=&quot;14353475&quot;/&gt;&lt;wsp:rsid wsp:val=&quot;143538C7&quot;/&gt;&lt;wsp:rsid wsp:val=&quot;14356BA6&quot;/&gt;&lt;wsp:rsid wsp:val=&quot;14373691&quot;/&gt;&lt;wsp:rsid wsp:val=&quot;14376734&quot;/&gt;&lt;wsp:rsid wsp:val=&quot;14396509&quot;/&gt;&lt;wsp:rsid wsp:val=&quot;143A0A8B&quot;/&gt;&lt;wsp:rsid wsp:val=&quot;143A4F2F&quot;/&gt;&lt;wsp:rsid wsp:val=&quot;143A6CDD&quot;/&gt;&lt;wsp:rsid wsp:val=&quot;143D057B&quot;/&gt;&lt;wsp:rsid wsp:val=&quot;14411E19&quot;/&gt;&lt;wsp:rsid wsp:val=&quot;14412BB5&quot;/&gt;&lt;wsp:rsid wsp:val=&quot;144162BD&quot;/&gt;&lt;wsp:rsid wsp:val=&quot;14430A9C&quot;/&gt;&lt;wsp:rsid wsp:val=&quot;1444190A&quot;/&gt;&lt;wsp:rsid wsp:val=&quot;14445DAD&quot;/&gt;&lt;wsp:rsid wsp:val=&quot;144638D4&quot;/&gt;&lt;wsp:rsid wsp:val=&quot;144731A8&quot;/&gt;&lt;wsp:rsid wsp:val=&quot;14483410&quot;/&gt;&lt;wsp:rsid wsp:val=&quot;1448764C&quot;/&gt;&lt;wsp:rsid wsp:val=&quot;14495172&quot;/&gt;&lt;wsp:rsid wsp:val=&quot;144B0EEA&quot;/&gt;&lt;wsp:rsid wsp:val=&quot;144C4685&quot;/&gt;&lt;wsp:rsid wsp:val=&quot;144D6A10&quot;/&gt;&lt;wsp:rsid wsp:val=&quot;144E2788&quot;/&gt;&lt;wsp:rsid wsp:val=&quot;14504752&quot;/&gt;&lt;wsp:rsid wsp:val=&quot;14506500&quot;/&gt;&lt;wsp:rsid wsp:val=&quot;14515DD5&quot;/&gt;&lt;wsp:rsid wsp:val=&quot;14517689&quot;/&gt;&lt;wsp:rsid wsp:val=&quot;14531B4D&quot;/&gt;&lt;wsp:rsid wsp:val=&quot;145417A7&quot;/&gt;&lt;wsp:rsid wsp:val=&quot;145558C5&quot;/&gt;&lt;wsp:rsid wsp:val=&quot;14555D8E&quot;/&gt;&lt;wsp:rsid wsp:val=&quot;145675CB&quot;/&gt;&lt;wsp:rsid wsp:val=&quot;1457163D&quot;/&gt;&lt;wsp:rsid wsp:val=&quot;14586859&quot;/&gt;&lt;wsp:rsid wsp:val=&quot;14593607&quot;/&gt;&lt;wsp:rsid wsp:val=&quot;145B6D23&quot;/&gt;&lt;wsp:rsid wsp:val=&quot;145C30F7&quot;/&gt;&lt;wsp:rsid wsp:val=&quot;145F4995&quot;/&gt;&lt;wsp:rsid wsp:val=&quot;145F6743&quot;/&gt;&lt;wsp:rsid wsp:val=&quot;145F6B34&quot;/&gt;&lt;wsp:rsid wsp:val=&quot;14634486&quot;/&gt;&lt;wsp:rsid wsp:val=&quot;14681A9C&quot;/&gt;&lt;wsp:rsid wsp:val=&quot;1468384A&quot;/&gt;&lt;wsp:rsid wsp:val=&quot;14691370&quot;/&gt;&lt;wsp:rsid wsp:val=&quot;146975C2&quot;/&gt;&lt;wsp:rsid wsp:val=&quot;146B6E96&quot;/&gt;&lt;wsp:rsid wsp:val=&quot;146D3A96&quot;/&gt;&lt;wsp:rsid wsp:val=&quot;146D70B2&quot;/&gt;&lt;wsp:rsid wsp:val=&quot;146E3A58&quot;/&gt;&lt;wsp:rsid wsp:val=&quot;14706BA3&quot;/&gt;&lt;wsp:rsid wsp:val=&quot;14733869&quot;/&gt;&lt;wsp:rsid wsp:val=&quot;14733F9D&quot;/&gt;&lt;wsp:rsid wsp:val=&quot;14777F31&quot;/&gt;&lt;wsp:rsid wsp:val=&quot;14784EEC&quot;/&gt;&lt;wsp:rsid wsp:val=&quot;1478581C&quot;/&gt;&lt;wsp:rsid wsp:val=&quot;147C5547&quot;/&gt;&lt;wsp:rsid wsp:val=&quot;147C72F5&quot;/&gt;&lt;wsp:rsid wsp:val=&quot;147D20BD&quot;/&gt;&lt;wsp:rsid wsp:val=&quot;147E12BF&quot;/&gt;&lt;wsp:rsid wsp:val=&quot;147E4E1C&quot;/&gt;&lt;wsp:rsid wsp:val=&quot;147F2942&quot;/&gt;&lt;wsp:rsid wsp:val=&quot;148271F9&quot;/&gt;&lt;wsp:rsid wsp:val=&quot;148368D6&quot;/&gt;&lt;wsp:rsid wsp:val=&quot;14843EA4&quot;/&gt;&lt;wsp:rsid wsp:val=&quot;148461AA&quot;/&gt;&lt;wsp:rsid wsp:val=&quot;1485084F&quot;/&gt;&lt;wsp:rsid wsp:val=&quot;148615D9&quot;/&gt;&lt;wsp:rsid wsp:val=&quot;14885C9A&quot;/&gt;&lt;wsp:rsid wsp:val=&quot;14890660&quot;/&gt;&lt;wsp:rsid wsp:val=&quot;14891574&quot;/&gt;&lt;wsp:rsid wsp:val=&quot;148937C0&quot;/&gt;&lt;wsp:rsid wsp:val=&quot;148B62DC&quot;/&gt;&lt;wsp:rsid wsp:val=&quot;148C5044&quot;/&gt;&lt;wsp:rsid wsp:val=&quot;148D505F&quot;/&gt;&lt;wsp:rsid wsp:val=&quot;148E0DD7&quot;/&gt;&lt;wsp:rsid wsp:val=&quot;148F7029&quot;/&gt;&lt;wsp:rsid wsp:val=&quot;14904B4F&quot;/&gt;&lt;wsp:rsid wsp:val=&quot;149208C7&quot;/&gt;&lt;wsp:rsid wsp:val=&quot;14926B19&quot;/&gt;&lt;wsp:rsid wsp:val=&quot;14942B30&quot;/&gt;&lt;wsp:rsid wsp:val=&quot;149438EE&quot;/&gt;&lt;wsp:rsid wsp:val=&quot;14990155&quot;/&gt;&lt;wsp:rsid wsp:val=&quot;14991C55&quot;/&gt;&lt;wsp:rsid wsp:val=&quot;149A2D26&quot;/&gt;&lt;wsp:rsid wsp:val=&quot;149C34F4&quot;/&gt;&lt;wsp:rsid wsp:val=&quot;149D101A&quot;/&gt;&lt;wsp:rsid wsp:val=&quot;149D7EE0&quot;/&gt;&lt;wsp:rsid wsp:val=&quot;149E3A0A&quot;/&gt;&lt;wsp:rsid wsp:val=&quot;149F22DB&quot;/&gt;&lt;wsp:rsid wsp:val=&quot;149F4D92&quot;/&gt;&lt;wsp:rsid wsp:val=&quot;14A04FCC&quot;/&gt;&lt;wsp:rsid wsp:val=&quot;14A16D5C&quot;/&gt;&lt;wsp:rsid wsp:val=&quot;14A27D77&quot;/&gt;&lt;wsp:rsid wsp:val=&quot;14A405FA&quot;/&gt;&lt;wsp:rsid wsp:val=&quot;14A46636&quot;/&gt;&lt;wsp:rsid wsp:val=&quot;14A800EA&quot;/&gt;&lt;wsp:rsid wsp:val=&quot;14A95C11&quot;/&gt;&lt;wsp:rsid wsp:val=&quot;14AA20B4&quot;/&gt;&lt;wsp:rsid wsp:val=&quot;14AA6509&quot;/&gt;&lt;wsp:rsid wsp:val=&quot;14AB1989&quot;/&gt;&lt;wsp:rsid wsp:val=&quot;14AD5701&quot;/&gt;&lt;wsp:rsid wsp:val=&quot;14AE3227&quot;/&gt;&lt;wsp:rsid wsp:val=&quot;14B00D4D&quot;/&gt;&lt;wsp:rsid wsp:val=&quot;14B0461A&quot;/&gt;&lt;wsp:rsid wsp:val=&quot;14B051F1&quot;/&gt;&lt;wsp:rsid wsp:val=&quot;14B233E2&quot;/&gt;&lt;wsp:rsid wsp:val=&quot;14B36F50&quot;/&gt;&lt;wsp:rsid wsp:val=&quot;14B545B5&quot;/&gt;&lt;wsp:rsid wsp:val=&quot;14B720DC&quot;/&gt;&lt;wsp:rsid wsp:val=&quot;14B95E54&quot;/&gt;&lt;wsp:rsid wsp:val=&quot;14BC1DE8&quot;/&gt;&lt;wsp:rsid wsp:val=&quot;14BC3B96&quot;/&gt;&lt;wsp:rsid wsp:val=&quot;14BC5944&quot;/&gt;&lt;wsp:rsid wsp:val=&quot;14BE16BC&quot;/&gt;&lt;wsp:rsid wsp:val=&quot;14C12F5A&quot;/&gt;&lt;wsp:rsid wsp:val=&quot;14C30A80&quot;/&gt;&lt;wsp:rsid wsp:val=&quot;14C34F24&quot;/&gt;&lt;wsp:rsid wsp:val=&quot;14C36CD2&quot;/&gt;&lt;wsp:rsid wsp:val=&quot;14C468A8&quot;/&gt;&lt;wsp:rsid wsp:val=&quot;14C52A4A&quot;/&gt;&lt;wsp:rsid wsp:val=&quot;14C60571&quot;/&gt;&lt;wsp:rsid wsp:val=&quot;14C835C4&quot;/&gt;&lt;wsp:rsid wsp:val=&quot;14CA3957&quot;/&gt;&lt;wsp:rsid wsp:val=&quot;14CA62B3&quot;/&gt;&lt;wsp:rsid wsp:val=&quot;14CC1098&quot;/&gt;&lt;wsp:rsid wsp:val=&quot;14CC26C2&quot;/&gt;&lt;wsp:rsid wsp:val=&quot;14CD5DA3&quot;/&gt;&lt;wsp:rsid wsp:val=&quot;14CF6D94&quot;/&gt;&lt;wsp:rsid wsp:val=&quot;14D01061&quot;/&gt;&lt;wsp:rsid wsp:val=&quot;14D07641&quot;/&gt;&lt;wsp:rsid wsp:val=&quot;14D507B4&quot;/&gt;&lt;wsp:rsid wsp:val=&quot;14D54096&quot;/&gt;&lt;wsp:rsid wsp:val=&quot;14D709D0&quot;/&gt;&lt;wsp:rsid wsp:val=&quot;14D7277E&quot;/&gt;&lt;wsp:rsid wsp:val=&quot;14D829B4&quot;/&gt;&lt;wsp:rsid wsp:val=&quot;14D902A4&quot;/&gt;&lt;wsp:rsid wsp:val=&quot;14DC5FE6&quot;/&gt;&lt;wsp:rsid wsp:val=&quot;14DD2C3C&quot;/&gt;&lt;wsp:rsid wsp:val=&quot;14DE58BA&quot;/&gt;&lt;wsp:rsid wsp:val=&quot;14DF145A&quot;/&gt;&lt;wsp:rsid wsp:val=&quot;14DF1632&quot;/&gt;&lt;wsp:rsid wsp:val=&quot;14DF6889&quot;/&gt;&lt;wsp:rsid wsp:val=&quot;14E05AD6&quot;/&gt;&lt;wsp:rsid wsp:val=&quot;14E135FC&quot;/&gt;&lt;wsp:rsid wsp:val=&quot;14E224D0&quot;/&gt;&lt;wsp:rsid wsp:val=&quot;14E2520A&quot;/&gt;&lt;wsp:rsid wsp:val=&quot;14E31122&quot;/&gt;&lt;wsp:rsid wsp:val=&quot;14E32ED1&quot;/&gt;&lt;wsp:rsid wsp:val=&quot;14E37374&quot;/&gt;&lt;wsp:rsid wsp:val=&quot;14E629C1&quot;/&gt;&lt;wsp:rsid wsp:val=&quot;14E66169&quot;/&gt;&lt;wsp:rsid wsp:val=&quot;14E82BDD&quot;/&gt;&lt;wsp:rsid wsp:val=&quot;14E86739&quot;/&gt;&lt;wsp:rsid wsp:val=&quot;14E95FDD&quot;/&gt;&lt;wsp:rsid wsp:val=&quot;14EA0703&quot;/&gt;&lt;wsp:rsid wsp:val=&quot;14EA24B1&quot;/&gt;&lt;wsp:rsid wsp:val=&quot;14EC447B&quot;/&gt;&lt;wsp:rsid wsp:val=&quot;14EF3F6B&quot;/&gt;&lt;wsp:rsid wsp:val=&quot;14EF5D19&quot;/&gt;&lt;wsp:rsid wsp:val=&quot;14EF7AC7&quot;/&gt;&lt;wsp:rsid wsp:val=&quot;14F11A91&quot;/&gt;&lt;wsp:rsid wsp:val=&quot;14F21366&quot;/&gt;&lt;wsp:rsid wsp:val=&quot;14F237D5&quot;/&gt;&lt;wsp:rsid wsp:val=&quot;14F275B8&quot;/&gt;&lt;wsp:rsid wsp:val=&quot;14F450DE&quot;/&gt;&lt;wsp:rsid wsp:val=&quot;14F74BCE&quot;/&gt;&lt;wsp:rsid wsp:val=&quot;14F852D9&quot;/&gt;&lt;wsp:rsid wsp:val=&quot;14F90946&quot;/&gt;&lt;wsp:rsid wsp:val=&quot;14F926F4&quot;/&gt;&lt;wsp:rsid wsp:val=&quot;14FB46BE&quot;/&gt;&lt;wsp:rsid wsp:val=&quot;14FB646C&quot;/&gt;&lt;wsp:rsid wsp:val=&quot;14FC21E4&quot;/&gt;&lt;wsp:rsid wsp:val=&quot;15007F26&quot;/&gt;&lt;wsp:rsid wsp:val=&quot;15030855&quot;/&gt;&lt;wsp:rsid wsp:val=&quot;15051099&quot;/&gt;&lt;wsp:rsid wsp:val=&quot;15067B9F&quot;/&gt;&lt;wsp:rsid wsp:val=&quot;1508123C&quot;/&gt;&lt;wsp:rsid wsp:val=&quot;15082937&quot;/&gt;&lt;wsp:rsid wsp:val=&quot;15091831&quot;/&gt;&lt;wsp:rsid wsp:val=&quot;150920A6&quot;/&gt;&lt;wsp:rsid wsp:val=&quot;150B2427&quot;/&gt;&lt;wsp:rsid wsp:val=&quot;150C0679&quot;/&gt;&lt;wsp:rsid wsp:val=&quot;150C68CB&quot;/&gt;&lt;wsp:rsid wsp:val=&quot;15112E59&quot;/&gt;&lt;wsp:rsid wsp:val=&quot;151414FB&quot;/&gt;&lt;wsp:rsid wsp:val=&quot;15155054&quot;/&gt;&lt;wsp:rsid wsp:val=&quot;151658B5&quot;/&gt;&lt;wsp:rsid wsp:val=&quot;1517558A&quot;/&gt;&lt;wsp:rsid wsp:val=&quot;15184133&quot;/&gt;&lt;wsp:rsid wsp:val=&quot;15186A1A&quot;/&gt;&lt;wsp:rsid wsp:val=&quot;15193270&quot;/&gt;&lt;wsp:rsid wsp:val=&quot;15194B44&quot;/&gt;&lt;wsp:rsid wsp:val=&quot;151C4634&quot;/&gt;&lt;wsp:rsid wsp:val=&quot;151C63E2&quot;/&gt;&lt;wsp:rsid wsp:val=&quot;151D2886&quot;/&gt;&lt;wsp:rsid wsp:val=&quot;151E03AD&quot;/&gt;&lt;wsp:rsid wsp:val=&quot;151E65FF&quot;/&gt;&lt;wsp:rsid wsp:val=&quot;151F213F&quot;/&gt;&lt;wsp:rsid wsp:val=&quot;151F49C4&quot;/&gt;&lt;wsp:rsid wsp:val=&quot;152139F9&quot;/&gt;&lt;wsp:rsid wsp:val=&quot;1522269D&quot;/&gt;&lt;wsp:rsid wsp:val=&quot;15233C15&quot;/&gt;&lt;wsp:rsid wsp:val=&quot;15237771&quot;/&gt;&lt;wsp:rsid wsp:val=&quot;152534E9&quot;/&gt;&lt;wsp:rsid wsp:val=&quot;1525798D&quot;/&gt;&lt;wsp:rsid wsp:val=&quot;1526699F&quot;/&gt;&lt;wsp:rsid wsp:val=&quot;15273705&quot;/&gt;&lt;wsp:rsid wsp:val=&quot;152A6D51&quot;/&gt;&lt;wsp:rsid wsp:val=&quot;152B2882&quot;/&gt;&lt;wsp:rsid wsp:val=&quot;152D7CF3&quot;/&gt;&lt;wsp:rsid wsp:val=&quot;152E2381&quot;/&gt;&lt;wsp:rsid wsp:val=&quot;152E4A94&quot;/&gt;&lt;wsp:rsid wsp:val=&quot;152F25BA&quot;/&gt;&lt;wsp:rsid wsp:val=&quot;152F3F76&quot;/&gt;&lt;wsp:rsid wsp:val=&quot;152F6116&quot;/&gt;&lt;wsp:rsid wsp:val=&quot;15325EAF&quot;/&gt;&lt;wsp:rsid wsp:val=&quot;1534372C&quot;/&gt;&lt;wsp:rsid wsp:val=&quot;153656F6&quot;/&gt;&lt;wsp:rsid wsp:val=&quot;1537321C&quot;/&gt;&lt;wsp:rsid wsp:val=&quot;15386004&quot;/&gt;&lt;wsp:rsid wsp:val=&quot;153876C0&quot;/&gt;&lt;wsp:rsid wsp:val=&quot;15393438&quot;/&gt;&lt;wsp:rsid wsp:val=&quot;15396F94&quot;/&gt;&lt;wsp:rsid wsp:val=&quot;153B5B31&quot;/&gt;&lt;wsp:rsid wsp:val=&quot;153C0833&quot;/&gt;&lt;wsp:rsid wsp:val=&quot;153C5E15&quot;/&gt;&lt;wsp:rsid wsp:val=&quot;154126C8&quot;/&gt;&lt;wsp:rsid wsp:val=&quot;15431BC1&quot;/&gt;&lt;wsp:rsid wsp:val=&quot;15450CF1&quot;/&gt;&lt;wsp:rsid wsp:val=&quot;15453B8B&quot;/&gt;&lt;wsp:rsid wsp:val=&quot;1548367B&quot;/&gt;&lt;wsp:rsid wsp:val=&quot;15485429&quot;/&gt;&lt;wsp:rsid wsp:val=&quot;154C41C9&quot;/&gt;&lt;wsp:rsid wsp:val=&quot;154D0B52&quot;/&gt;&lt;wsp:rsid wsp:val=&quot;154D2A40&quot;/&gt;&lt;wsp:rsid wsp:val=&quot;154D47EE&quot;/&gt;&lt;wsp:rsid wsp:val=&quot;154F0566&quot;/&gt;&lt;wsp:rsid wsp:val=&quot;154F67B8&quot;/&gt;&lt;wsp:rsid wsp:val=&quot;15500501&quot;/&gt;&lt;wsp:rsid wsp:val=&quot;155142DE&quot;/&gt;&lt;wsp:rsid wsp:val=&quot;15520056&quot;/&gt;&lt;wsp:rsid wsp:val=&quot;15521099&quot;/&gt;&lt;wsp:rsid wsp:val=&quot;155314CB&quot;/&gt;&lt;wsp:rsid wsp:val=&quot;15543DCE&quot;/&gt;&lt;wsp:rsid wsp:val=&quot;15553547&quot;/&gt;&lt;wsp:rsid wsp:val=&quot;155618F4&quot;/&gt;&lt;wsp:rsid wsp:val=&quot;15565D98&quot;/&gt;&lt;wsp:rsid wsp:val=&quot;155838BF&quot;/&gt;&lt;wsp:rsid wsp:val=&quot;155913E5&quot;/&gt;&lt;wsp:rsid wsp:val=&quot;155B2BCB&quot;/&gt;&lt;wsp:rsid wsp:val=&quot;155B6EEB&quot;/&gt;&lt;wsp:rsid wsp:val=&quot;155C30D0&quot;/&gt;&lt;wsp:rsid wsp:val=&quot;155D0ED5&quot;/&gt;&lt;wsp:rsid wsp:val=&quot;155E69FB&quot;/&gt;&lt;wsp:rsid wsp:val=&quot;15604521&quot;/&gt;&lt;wsp:rsid wsp:val=&quot;15610299&quot;/&gt;&lt;wsp:rsid wsp:val=&quot;1565422D&quot;/&gt;&lt;wsp:rsid wsp:val=&quot;15655FDB&quot;/&gt;&lt;wsp:rsid wsp:val=&quot;15660793&quot;/&gt;&lt;wsp:rsid wsp:val=&quot;15670DD1&quot;/&gt;&lt;wsp:rsid wsp:val=&quot;15671D54&quot;/&gt;&lt;wsp:rsid wsp:val=&quot;156A1844&quot;/&gt;&lt;wsp:rsid wsp:val=&quot;156A1C40&quot;/&gt;&lt;wsp:rsid wsp:val=&quot;156A53A0&quot;/&gt;&lt;wsp:rsid wsp:val=&quot;156B18BA&quot;/&gt;&lt;wsp:rsid wsp:val=&quot;156D6C3E&quot;/&gt;&lt;wsp:rsid wsp:val=&quot;156F09AD&quot;/&gt;&lt;wsp:rsid wsp:val=&quot;157224A6&quot;/&gt;&lt;wsp:rsid wsp:val=&quot;157306F8&quot;/&gt;&lt;wsp:rsid wsp:val=&quot;15732BFE&quot;/&gt;&lt;wsp:rsid wsp:val=&quot;1573694A&quot;/&gt;&lt;wsp:rsid wsp:val=&quot;15741C3B&quot;/&gt;&lt;wsp:rsid wsp:val=&quot;15751F61&quot;/&gt;&lt;wsp:rsid wsp:val=&quot;15752EC5&quot;/&gt;&lt;wsp:rsid wsp:val=&quot;157601E9&quot;/&gt;&lt;wsp:rsid wsp:val=&quot;1576751D&quot;/&gt;&lt;wsp:rsid wsp:val=&quot;15783497&quot;/&gt;&lt;wsp:rsid wsp:val=&quot;15785D0F&quot;/&gt;&lt;wsp:rsid wsp:val=&quot;15793835&quot;/&gt;&lt;wsp:rsid wsp:val=&quot;157B135B&quot;/&gt;&lt;wsp:rsid wsp:val=&quot;157B423F&quot;/&gt;&lt;wsp:rsid wsp:val=&quot;157D1577&quot;/&gt;&lt;wsp:rsid wsp:val=&quot;157D3116&quot;/&gt;&lt;wsp:rsid wsp:val=&quot;157E709D&quot;/&gt;&lt;wsp:rsid wsp:val=&quot;157F7058&quot;/&gt;&lt;wsp:rsid wsp:val=&quot;15826B8D&quot;/&gt;&lt;wsp:rsid wsp:val=&quot;158337AE&quot;/&gt;&lt;wsp:rsid wsp:val=&quot;15842905&quot;/&gt;&lt;wsp:rsid wsp:val=&quot;1585042C&quot;/&gt;&lt;wsp:rsid wsp:val=&quot;15853F88&quot;/&gt;&lt;wsp:rsid wsp:val=&quot;15875F52&quot;/&gt;&lt;wsp:rsid wsp:val=&quot;15891CCA&quot;/&gt;&lt;wsp:rsid wsp:val=&quot;158973A5&quot;/&gt;&lt;wsp:rsid wsp:val=&quot;158A3C94&quot;/&gt;&lt;wsp:rsid wsp:val=&quot;158A5A42&quot;/&gt;&lt;wsp:rsid wsp:val=&quot;158C5316&quot;/&gt;&lt;wsp:rsid wsp:val=&quot;158E5532&quot;/&gt;&lt;wsp:rsid wsp:val=&quot;158E72E0&quot;/&gt;&lt;wsp:rsid wsp:val=&quot;158F12AA&quot;/&gt;&lt;wsp:rsid wsp:val=&quot;158F3058&quot;/&gt;&lt;wsp:rsid wsp:val=&quot;15910B7E&quot;/&gt;&lt;wsp:rsid wsp:val=&quot;15916DD0&quot;/&gt;&lt;wsp:rsid wsp:val=&quot;159170B4&quot;/&gt;&lt;wsp:rsid wsp:val=&quot;159266A5&quot;/&gt;&lt;wsp:rsid wsp:val=&quot;15932B49&quot;/&gt;&lt;wsp:rsid wsp:val=&quot;1594066F&quot;/&gt;&lt;wsp:rsid wsp:val=&quot;15966195&quot;/&gt;&lt;wsp:rsid wsp:val=&quot;15977EAF&quot;/&gt;&lt;wsp:rsid wsp:val=&quot;15995BBE&quot;/&gt;&lt;wsp:rsid wsp:val=&quot;15995C85&quot;/&gt;&lt;wsp:rsid wsp:val=&quot;15997A33&quot;/&gt;&lt;wsp:rsid wsp:val=&quot;159C44A3&quot;/&gt;&lt;wsp:rsid wsp:val=&quot;159D7523&quot;/&gt;&lt;wsp:rsid wsp:val=&quot;159E5049&quot;/&gt;&lt;wsp:rsid wsp:val=&quot;159F5DA8&quot;/&gt;&lt;wsp:rsid wsp:val=&quot;15A00DC2&quot;/&gt;&lt;wsp:rsid wsp:val=&quot;15A20FDE&quot;/&gt;&lt;wsp:rsid wsp:val=&quot;15A24B3A&quot;/&gt;&lt;wsp:rsid wsp:val=&quot;15A449C5&quot;/&gt;&lt;wsp:rsid wsp:val=&quot;15A44D56&quot;/&gt;&lt;wsp:rsid wsp:val=&quot;15A478E2&quot;/&gt;&lt;wsp:rsid wsp:val=&quot;15A537A7&quot;/&gt;&lt;wsp:rsid wsp:val=&quot;15A64DD3&quot;/&gt;&lt;wsp:rsid wsp:val=&quot;15A8096A&quot;/&gt;&lt;wsp:rsid wsp:val=&quot;15A85EC8&quot;/&gt;&lt;wsp:rsid wsp:val=&quot;15AA7E92&quot;/&gt;&lt;wsp:rsid wsp:val=&quot;15AC1DEC&quot;/&gt;&lt;wsp:rsid wsp:val=&quot;15AC3C0A&quot;/&gt;&lt;wsp:rsid wsp:val=&quot;15AE1730&quot;/&gt;&lt;wsp:rsid wsp:val=&quot;15B14D7D&quot;/&gt;&lt;wsp:rsid wsp:val=&quot;15B17473&quot;/&gt;&lt;wsp:rsid wsp:val=&quot;15B30AF5&quot;/&gt;&lt;wsp:rsid wsp:val=&quot;15B41FA8&quot;/&gt;&lt;wsp:rsid wsp:val=&quot;15B42ABF&quot;/&gt;&lt;wsp:rsid wsp:val=&quot;15B63148&quot;/&gt;&lt;wsp:rsid wsp:val=&quot;15B825AF&quot;/&gt;&lt;wsp:rsid wsp:val=&quot;15B8610B&quot;/&gt;&lt;wsp:rsid wsp:val=&quot;15B91E83&quot;/&gt;&lt;wsp:rsid wsp:val=&quot;15BA6327&quot;/&gt;&lt;wsp:rsid wsp:val=&quot;15BA714B&quot;/&gt;&lt;wsp:rsid wsp:val=&quot;15BB3E4D&quot;/&gt;&lt;wsp:rsid wsp:val=&quot;15BB5BFB&quot;/&gt;&lt;wsp:rsid wsp:val=&quot;15BE479B&quot;/&gt;&lt;wsp:rsid wsp:val=&quot;15BE6E7A&quot;/&gt;&lt;wsp:rsid wsp:val=&quot;15BE749A&quot;/&gt;&lt;wsp:rsid wsp:val=&quot;15BF56EC&quot;/&gt;&lt;wsp:rsid wsp:val=&quot;15C03212&quot;/&gt;&lt;wsp:rsid wsp:val=&quot;15C471A6&quot;/&gt;&lt;wsp:rsid wsp:val=&quot;15C73FDB&quot;/&gt;&lt;wsp:rsid wsp:val=&quot;15C90318&quot;/&gt;&lt;wsp:rsid wsp:val=&quot;15CC1BB7&quot;/&gt;&lt;wsp:rsid wsp:val=&quot;15CF1144&quot;/&gt;&lt;wsp:rsid wsp:val=&quot;15CF16A7&quot;/&gt;&lt;wsp:rsid wsp:val=&quot;15D13671&quot;/&gt;&lt;wsp:rsid wsp:val=&quot;15D45280&quot;/&gt;&lt;wsp:rsid wsp:val=&quot;15D477DE&quot;/&gt;&lt;wsp:rsid wsp:val=&quot;15D57B4A&quot;/&gt;&lt;wsp:rsid wsp:val=&quot;15D62A35&quot;/&gt;&lt;wsp:rsid wsp:val=&quot;15D70496&quot;/&gt;&lt;wsp:rsid wsp:val=&quot;15DA0777&quot;/&gt;&lt;wsp:rsid wsp:val=&quot;15DA407A&quot;/&gt;&lt;wsp:rsid wsp:val=&quot;15DB004C&quot;/&gt;&lt;wsp:rsid wsp:val=&quot;15DB54D6&quot;/&gt;&lt;wsp:rsid wsp:val=&quot;15DD5B72&quot;/&gt;&lt;wsp:rsid wsp:val=&quot;15DF5D8E&quot;/&gt;&lt;wsp:rsid wsp:val=&quot;15DF7B3C&quot;/&gt;&lt;wsp:rsid wsp:val=&quot;15E163F4&quot;/&gt;&lt;wsp:rsid wsp:val=&quot;15E2762C&quot;/&gt;&lt;wsp:rsid wsp:val=&quot;15E300E0&quot;/&gt;&lt;wsp:rsid wsp:val=&quot;15E43AB8&quot;/&gt;&lt;wsp:rsid wsp:val=&quot;15E45152&quot;/&gt;&lt;wsp:rsid wsp:val=&quot;15E50ECA&quot;/&gt;&lt;wsp:rsid wsp:val=&quot;15E52C78&quot;/&gt;&lt;wsp:rsid wsp:val=&quot;15E6711C&quot;/&gt;&lt;wsp:rsid wsp:val=&quot;15E76CEE&quot;/&gt;&lt;wsp:rsid wsp:val=&quot;15E92769&quot;/&gt;&lt;wsp:rsid wsp:val=&quot;15EA64E1&quot;/&gt;&lt;wsp:rsid wsp:val=&quot;15EF3AF7&quot;/&gt;&lt;wsp:rsid wsp:val=&quot;15F01D49&quot;/&gt;&lt;wsp:rsid wsp:val=&quot;15F24C8A&quot;/&gt;&lt;wsp:rsid wsp:val=&quot;15F30929&quot;/&gt;&lt;wsp:rsid wsp:val=&quot;15F31FF9&quot;/&gt;&lt;wsp:rsid wsp:val=&quot;15F35395&quot;/&gt;&lt;wsp:rsid wsp:val=&quot;15F468C1&quot;/&gt;&lt;wsp:rsid wsp:val=&quot;15F506F5&quot;/&gt;&lt;wsp:rsid wsp:val=&quot;15F51747&quot;/&gt;&lt;wsp:rsid wsp:val=&quot;15F630D7&quot;/&gt;&lt;wsp:rsid wsp:val=&quot;15F64E85&quot;/&gt;&lt;wsp:rsid wsp:val=&quot;15F66C34&quot;/&gt;&lt;wsp:rsid wsp:val=&quot;15F9724C&quot;/&gt;&lt;wsp:rsid wsp:val=&quot;15FA6724&quot;/&gt;&lt;wsp:rsid wsp:val=&quot;15FB06EE&quot;/&gt;&lt;wsp:rsid wsp:val=&quot;15FD6214&quot;/&gt;&lt;wsp:rsid wsp:val=&quot;15FF197D&quot;/&gt;&lt;wsp:rsid wsp:val=&quot;15FF3D3A&quot;/&gt;&lt;wsp:rsid wsp:val=&quot;16017613&quot;/&gt;&lt;wsp:rsid wsp:val=&quot;16020D50&quot;/&gt;&lt;wsp:rsid wsp:val=&quot;160475A2&quot;/&gt;&lt;wsp:rsid wsp:val=&quot;1606156C&quot;/&gt;&lt;wsp:rsid wsp:val=&quot;16061850&quot;/&gt;&lt;wsp:rsid wsp:val=&quot;16084693&quot;/&gt;&lt;wsp:rsid wsp:val=&quot;160862F7&quot;/&gt;&lt;wsp:rsid wsp:val=&quot;16087E1D&quot;/&gt;&lt;wsp:rsid wsp:val=&quot;16095600&quot;/&gt;&lt;wsp:rsid wsp:val=&quot;16096967&quot;/&gt;&lt;wsp:rsid wsp:val=&quot;160B0931&quot;/&gt;&lt;wsp:rsid wsp:val=&quot;160C46A9&quot;/&gt;&lt;wsp:rsid wsp:val=&quot;16105F47&quot;/&gt;&lt;wsp:rsid wsp:val=&quot;161128D2&quot;/&gt;&lt;wsp:rsid wsp:val=&quot;16133C89&quot;/&gt;&lt;wsp:rsid wsp:val=&quot;161517B0&quot;/&gt;&lt;wsp:rsid wsp:val=&quot;1615355E&quot;/&gt;&lt;wsp:rsid wsp:val=&quot;16163BFD&quot;/&gt;&lt;wsp:rsid wsp:val=&quot;161672D6&quot;/&gt;&lt;wsp:rsid wsp:val=&quot;16176607&quot;/&gt;&lt;wsp:rsid wsp:val=&quot;1618304E&quot;/&gt;&lt;wsp:rsid wsp:val=&quot;161B1156&quot;/&gt;&lt;wsp:rsid wsp:val=&quot;161B48EC&quot;/&gt;&lt;wsp:rsid wsp:val=&quot;161B69E3&quot;/&gt;&lt;wsp:rsid wsp:val=&quot;161D2412&quot;/&gt;&lt;wsp:rsid wsp:val=&quot;161D40F7&quot;/&gt;&lt;wsp:rsid wsp:val=&quot;16221DCB&quot;/&gt;&lt;wsp:rsid wsp:val=&quot;16223ECC&quot;/&gt;&lt;wsp:rsid wsp:val=&quot;16225C7A&quot;/&gt;&lt;wsp:rsid wsp:val=&quot;162615CB&quot;/&gt;&lt;wsp:rsid wsp:val=&quot;162639BD&quot;/&gt;&lt;wsp:rsid wsp:val=&quot;16272E7D&quot;/&gt;&lt;wsp:rsid wsp:val=&quot;16290DB7&quot;/&gt;&lt;wsp:rsid wsp:val=&quot;1629525B&quot;/&gt;&lt;wsp:rsid wsp:val=&quot;162A68EF&quot;/&gt;&lt;wsp:rsid wsp:val=&quot;162B0FD3&quot;/&gt;&lt;wsp:rsid wsp:val=&quot;162D5332&quot;/&gt;&lt;wsp:rsid wsp:val=&quot;162E461F&quot;/&gt;&lt;wsp:rsid wsp:val=&quot;16300397&quot;/&gt;&lt;wsp:rsid wsp:val=&quot;163065E9&quot;/&gt;&lt;wsp:rsid wsp:val=&quot;16314110&quot;/&gt;&lt;wsp:rsid wsp:val=&quot;16316C71&quot;/&gt;&lt;wsp:rsid wsp:val=&quot;16322361&quot;/&gt;&lt;wsp:rsid wsp:val=&quot;163360DA&quot;/&gt;&lt;wsp:rsid wsp:val=&quot;16337E88&quot;/&gt;&lt;wsp:rsid wsp:val=&quot;16375AAD&quot;/&gt;&lt;wsp:rsid wsp:val=&quot;16377978&quot;/&gt;&lt;wsp:rsid wsp:val=&quot;163A1216&quot;/&gt;&lt;wsp:rsid wsp:val=&quot;163D4862&quot;/&gt;&lt;wsp:rsid wsp:val=&quot;163D633F&quot;/&gt;&lt;wsp:rsid wsp:val=&quot;163F682C&quot;/&gt;&lt;wsp:rsid wsp:val=&quot;16405589&quot;/&gt;&lt;wsp:rsid wsp:val=&quot;164125A5&quot;/&gt;&lt;wsp:rsid wsp:val=&quot;16455955&quot;/&gt;&lt;wsp:rsid wsp:val=&quot;16467BBB&quot;/&gt;&lt;wsp:rsid wsp:val=&quot;16481B85&quot;/&gt;&lt;wsp:rsid wsp:val=&quot;164B51D1&quot;/&gt;&lt;wsp:rsid wsp:val=&quot;164E081E&quot;/&gt;&lt;wsp:rsid wsp:val=&quot;1651410A&quot;/&gt;&lt;wsp:rsid wsp:val=&quot;165247B2&quot;/&gt;&lt;wsp:rsid wsp:val=&quot;16551036&quot;/&gt;&lt;wsp:rsid wsp:val=&quot;165637A0&quot;/&gt;&lt;wsp:rsid wsp:val=&quot;16565924&quot;/&gt;&lt;wsp:rsid wsp:val=&quot;1656750B&quot;/&gt;&lt;wsp:rsid wsp:val=&quot;16573B76&quot;/&gt;&lt;wsp:rsid wsp:val=&quot;1658169C&quot;/&gt;&lt;wsp:rsid wsp:val=&quot;165C6338&quot;/&gt;&lt;wsp:rsid wsp:val=&quot;165D4F05&quot;/&gt;&lt;wsp:rsid wsp:val=&quot;165E3157&quot;/&gt;&lt;wsp:rsid wsp:val=&quot;165F003B&quot;/&gt;&lt;wsp:rsid wsp:val=&quot;165F2A2B&quot;/&gt;&lt;wsp:rsid wsp:val=&quot;16610551&quot;/&gt;&lt;wsp:rsid wsp:val=&quot;16612C47&quot;/&gt;&lt;wsp:rsid wsp:val=&quot;1662251B&quot;/&gt;&lt;wsp:rsid wsp:val=&quot;1663620B&quot;/&gt;&lt;wsp:rsid wsp:val=&quot;16640041&quot;/&gt;&lt;wsp:rsid wsp:val=&quot;1664555F&quot;/&gt;&lt;wsp:rsid wsp:val=&quot;1664769B&quot;/&gt;&lt;wsp:rsid wsp:val=&quot;1665226C&quot;/&gt;&lt;wsp:rsid wsp:val=&quot;16695657&quot;/&gt;&lt;wsp:rsid wsp:val=&quot;166C5148&quot;/&gt;&lt;wsp:rsid wsp:val=&quot;166D7266&quot;/&gt;&lt;wsp:rsid wsp:val=&quot;166E2C6E&quot;/&gt;&lt;wsp:rsid wsp:val=&quot;167069E6&quot;/&gt;&lt;wsp:rsid wsp:val=&quot;167209B0&quot;/&gt;&lt;wsp:rsid wsp:val=&quot;167320FE&quot;/&gt;&lt;wsp:rsid wsp:val=&quot;16740910&quot;/&gt;&lt;wsp:rsid wsp:val=&quot;16753FFC&quot;/&gt;&lt;wsp:rsid wsp:val=&quot;16754698&quot;/&gt;&lt;wsp:rsid wsp:val=&quot;16770114&quot;/&gt;&lt;wsp:rsid wsp:val=&quot;16775FC6&quot;/&gt;&lt;wsp:rsid wsp:val=&quot;16781D3E&quot;/&gt;&lt;wsp:rsid wsp:val=&quot;167A1613&quot;/&gt;&lt;wsp:rsid wsp:val=&quot;167A5AB7&quot;/&gt;&lt;wsp:rsid wsp:val=&quot;167A7865&quot;/&gt;&lt;wsp:rsid wsp:val=&quot;167C182F&quot;/&gt;&lt;wsp:rsid wsp:val=&quot;167D1103&quot;/&gt;&lt;wsp:rsid wsp:val=&quot;167F131F&quot;/&gt;&lt;wsp:rsid wsp:val=&quot;16805733&quot;/&gt;&lt;wsp:rsid wsp:val=&quot;16810BF3&quot;/&gt;&lt;wsp:rsid wsp:val=&quot;16816227&quot;/&gt;&lt;wsp:rsid wsp:val=&quot;16816E45&quot;/&gt;&lt;wsp:rsid wsp:val=&quot;168310E2&quot;/&gt;&lt;wsp:rsid wsp:val=&quot;16831C06&quot;/&gt;&lt;wsp:rsid wsp:val=&quot;168357F5&quot;/&gt;&lt;wsp:rsid wsp:val=&quot;16851FA8&quot;/&gt;&lt;wsp:rsid wsp:val=&quot;16856CC7&quot;/&gt;&lt;wsp:rsid wsp:val=&quot;168615A5&quot;/&gt;&lt;wsp:rsid wsp:val=&quot;168626AD&quot;/&gt;&lt;wsp:rsid wsp:val=&quot;16866209&quot;/&gt;&lt;wsp:rsid wsp:val=&quot;16867DD4&quot;/&gt;&lt;wsp:rsid wsp:val=&quot;16870C40&quot;/&gt;&lt;wsp:rsid wsp:val=&quot;16873D30&quot;/&gt;&lt;wsp:rsid wsp:val=&quot;168767C3&quot;/&gt;&lt;wsp:rsid wsp:val=&quot;168B1A72&quot;/&gt;&lt;wsp:rsid wsp:val=&quot;168C5417&quot;/&gt;&lt;wsp:rsid wsp:val=&quot;168D57EA&quot;/&gt;&lt;wsp:rsid wsp:val=&quot;168E1562&quot;/&gt;&lt;wsp:rsid wsp:val=&quot;168E50BE&quot;/&gt;&lt;wsp:rsid wsp:val=&quot;16900E36&quot;/&gt;&lt;wsp:rsid wsp:val=&quot;16907088&quot;/&gt;&lt;wsp:rsid wsp:val=&quot;16937BEA&quot;/&gt;&lt;wsp:rsid wsp:val=&quot;169528F0&quot;/&gt;&lt;wsp:rsid wsp:val=&quot;1695469E&quot;/&gt;&lt;wsp:rsid wsp:val=&quot;169721C5&quot;/&gt;&lt;wsp:rsid wsp:val=&quot;169831BA&quot;/&gt;&lt;wsp:rsid wsp:val=&quot;169923E1&quot;/&gt;&lt;wsp:rsid wsp:val=&quot;169A3A63&quot;/&gt;&lt;wsp:rsid wsp:val=&quot;169B33E5&quot;/&gt;&lt;wsp:rsid wsp:val=&quot;169C2C8F&quot;/&gt;&lt;wsp:rsid wsp:val=&quot;169C3C7F&quot;/&gt;&lt;wsp:rsid wsp:val=&quot;169C5A2D&quot;/&gt;&lt;wsp:rsid wsp:val=&quot;169C6A84&quot;/&gt;&lt;wsp:rsid wsp:val=&quot;169C77DB&quot;/&gt;&lt;wsp:rsid wsp:val=&quot;169D3553&quot;/&gt;&lt;wsp:rsid wsp:val=&quot;169E0CBC&quot;/&gt;&lt;wsp:rsid wsp:val=&quot;169E79F7&quot;/&gt;&lt;wsp:rsid wsp:val=&quot;169F376F&quot;/&gt;&lt;wsp:rsid wsp:val=&quot;169F551D&quot;/&gt;&lt;wsp:rsid wsp:val=&quot;16A10D7E&quot;/&gt;&lt;wsp:rsid wsp:val=&quot;16A13043&quot;/&gt;&lt;wsp:rsid wsp:val=&quot;16A23360&quot;/&gt;&lt;wsp:rsid wsp:val=&quot;16A6065A&quot;/&gt;&lt;wsp:rsid wsp:val=&quot;16A843D2&quot;/&gt;&lt;wsp:rsid wsp:val=&quot;16AA5E76&quot;/&gt;&lt;wsp:rsid wsp:val=&quot;16AA639C&quot;/&gt;&lt;wsp:rsid wsp:val=&quot;16AD19E8&quot;/&gt;&lt;wsp:rsid wsp:val=&quot;16AD2D27&quot;/&gt;&lt;wsp:rsid wsp:val=&quot;16AD7C3A&quot;/&gt;&lt;wsp:rsid wsp:val=&quot;16B234A2&quot;/&gt;&lt;wsp:rsid wsp:val=&quot;16B26FFE&quot;/&gt;&lt;wsp:rsid wsp:val=&quot;16B5089D&quot;/&gt;&lt;wsp:rsid wsp:val=&quot;16B55461&quot;/&gt;&lt;wsp:rsid wsp:val=&quot;16B56AEF&quot;/&gt;&lt;wsp:rsid wsp:val=&quot;16B72867&quot;/&gt;&lt;wsp:rsid wsp:val=&quot;16B75DCA&quot;/&gt;&lt;wsp:rsid wsp:val=&quot;16B8213B&quot;/&gt;&lt;wsp:rsid wsp:val=&quot;16B965DF&quot;/&gt;&lt;wsp:rsid wsp:val=&quot;16BA2357&quot;/&gt;&lt;wsp:rsid wsp:val=&quot;16BA5EB3&quot;/&gt;&lt;wsp:rsid wsp:val=&quot;16BC1C2B&quot;/&gt;&lt;wsp:rsid wsp:val=&quot;16BC7E7D&quot;/&gt;&lt;wsp:rsid wsp:val=&quot;16BE1E47&quot;/&gt;&lt;wsp:rsid wsp:val=&quot;16BF171B&quot;/&gt;&lt;wsp:rsid wsp:val=&quot;16BF2289&quot;/&gt;&lt;wsp:rsid wsp:val=&quot;16C02A68&quot;/&gt;&lt;wsp:rsid wsp:val=&quot;16C16AEE&quot;/&gt;&lt;wsp:rsid wsp:val=&quot;16C17241&quot;/&gt;&lt;wsp:rsid wsp:val=&quot;16C3120C&quot;/&gt;&lt;wsp:rsid wsp:val=&quot;16C32FBA&quot;/&gt;&lt;wsp:rsid wsp:val=&quot;16CA07EC&quot;/&gt;&lt;wsp:rsid wsp:val=&quot;16CB00C0&quot;/&gt;&lt;wsp:rsid wsp:val=&quot;16CB66C2&quot;/&gt;&lt;wsp:rsid wsp:val=&quot;16CF5E02&quot;/&gt;&lt;wsp:rsid wsp:val=&quot;16D03928&quot;/&gt;&lt;wsp:rsid wsp:val=&quot;16D0459E&quot;/&gt;&lt;wsp:rsid wsp:val=&quot;16D231FD&quot;/&gt;&lt;wsp:rsid wsp:val=&quot;16D3646B&quot;/&gt;&lt;wsp:rsid wsp:val=&quot;16D36F75&quot;/&gt;&lt;wsp:rsid wsp:val=&quot;16D43419&quot;/&gt;&lt;wsp:rsid wsp:val=&quot;16D52CED&quot;/&gt;&lt;wsp:rsid wsp:val=&quot;16D55464&quot;/&gt;&lt;wsp:rsid wsp:val=&quot;16D72F09&quot;/&gt;&lt;wsp:rsid wsp:val=&quot;16D84CC1&quot;/&gt;&lt;wsp:rsid wsp:val=&quot;16D927DD&quot;/&gt;&lt;wsp:rsid wsp:val=&quot;16DA0303&quot;/&gt;&lt;wsp:rsid wsp:val=&quot;16DB47A7&quot;/&gt;&lt;wsp:rsid wsp:val=&quot;16DC407B&quot;/&gt;&lt;wsp:rsid wsp:val=&quot;16DE1BA1&quot;/&gt;&lt;wsp:rsid wsp:val=&quot;16E15D3E&quot;/&gt;&lt;wsp:rsid wsp:val=&quot;16E3365C&quot;/&gt;&lt;wsp:rsid wsp:val=&quot;16E3540A&quot;/&gt;&lt;wsp:rsid wsp:val=&quot;16E41FC1&quot;/&gt;&lt;wsp:rsid wsp:val=&quot;16E42F30&quot;/&gt;&lt;wsp:rsid wsp:val=&quot;16E66CA8&quot;/&gt;&lt;wsp:rsid wsp:val=&quot;16E86EC4&quot;/&gt;&lt;wsp:rsid wsp:val=&quot;16ED44DA&quot;/&gt;&lt;wsp:rsid wsp:val=&quot;16EE0D4D&quot;/&gt;&lt;wsp:rsid wsp:val=&quot;16EF2001&quot;/&gt;&lt;wsp:rsid wsp:val=&quot;16EF70D4&quot;/&gt;&lt;wsp:rsid wsp:val=&quot;16F13FCB&quot;/&gt;&lt;wsp:rsid wsp:val=&quot;16F21AF1&quot;/&gt;&lt;wsp:rsid wsp:val=&quot;16F2389F&quot;/&gt;&lt;wsp:rsid wsp:val=&quot;16F2564D&quot;/&gt;&lt;wsp:rsid wsp:val=&quot;16F413C5&quot;/&gt;&lt;wsp:rsid wsp:val=&quot;16F615E1&quot;/&gt;&lt;wsp:rsid wsp:val=&quot;16FC296F&quot;/&gt;&lt;wsp:rsid wsp:val=&quot;16FC64CC&quot;/&gt;&lt;wsp:rsid wsp:val=&quot;16FC7806&quot;/&gt;&lt;wsp:rsid wsp:val=&quot;16FE2B67&quot;/&gt;&lt;wsp:rsid wsp:val=&quot;17016FE1&quot;/&gt;&lt;wsp:rsid wsp:val=&quot;17017F86&quot;/&gt;&lt;wsp:rsid wsp:val=&quot;1702620D&quot;/&gt;&lt;wsp:rsid wsp:val=&quot;17033CFE&quot;/&gt;&lt;wsp:rsid wsp:val=&quot;170610F8&quot;/&gt;&lt;wsp:rsid wsp:val=&quot;17061A54&quot;/&gt;&lt;wsp:rsid wsp:val=&quot;1706734A&quot;/&gt;&lt;wsp:rsid wsp:val=&quot;170717A3&quot;/&gt;&lt;wsp:rsid wsp:val=&quot;17081314&quot;/&gt;&lt;wsp:rsid wsp:val=&quot;170A4011&quot;/&gt;&lt;wsp:rsid wsp:val=&quot;170A6E3A&quot;/&gt;&lt;wsp:rsid wsp:val=&quot;170B03AB&quot;/&gt;&lt;wsp:rsid wsp:val=&quot;170F26A3&quot;/&gt;&lt;wsp:rsid wsp:val=&quot;171001C9&quot;/&gt;&lt;wsp:rsid wsp:val=&quot;1712246D&quot;/&gt;&lt;wsp:rsid wsp:val=&quot;17122B75&quot;/&gt;&lt;wsp:rsid wsp:val=&quot;17127A9D&quot;/&gt;&lt;wsp:rsid wsp:val=&quot;17134774&quot;/&gt;&lt;wsp:rsid wsp:val=&quot;17141A67&quot;/&gt;&lt;wsp:rsid wsp:val=&quot;17147CB9&quot;/&gt;&lt;wsp:rsid wsp:val=&quot;17163A31&quot;/&gt;&lt;wsp:rsid wsp:val=&quot;171750B3&quot;/&gt;&lt;wsp:rsid wsp:val=&quot;17190E2C&quot;/&gt;&lt;wsp:rsid wsp:val=&quot;171B1048&quot;/&gt;&lt;wsp:rsid wsp:val=&quot;171B30EB&quot;/&gt;&lt;wsp:rsid wsp:val=&quot;171C091C&quot;/&gt;&lt;wsp:rsid wsp:val=&quot;171D4444&quot;/&gt;&lt;wsp:rsid wsp:val=&quot;17204276&quot;/&gt;&lt;wsp:rsid wsp:val=&quot;17205F01&quot;/&gt;&lt;wsp:rsid wsp:val=&quot;172123D6&quot;/&gt;&lt;wsp:rsid wsp:val=&quot;17215F32&quot;/&gt;&lt;wsp:rsid wsp:val=&quot;17231CAA&quot;/&gt;&lt;wsp:rsid wsp:val=&quot;17234384&quot;/&gt;&lt;wsp:rsid wsp:val=&quot;1723614E&quot;/&gt;&lt;wsp:rsid wsp:val=&quot;17245FBE&quot;/&gt;&lt;wsp:rsid wsp:val=&quot;17253C74&quot;/&gt;&lt;wsp:rsid wsp:val=&quot;172577D0&quot;/&gt;&lt;wsp:rsid wsp:val=&quot;172634B4&quot;/&gt;&lt;wsp:rsid wsp:val=&quot;17263548&quot;/&gt;&lt;wsp:rsid wsp:val=&quot;17283764&quot;/&gt;&lt;wsp:rsid wsp:val=&quot;172872C1&quot;/&gt;&lt;wsp:rsid wsp:val=&quot;17292EA9&quot;/&gt;&lt;wsp:rsid wsp:val=&quot;17297BD5&quot;/&gt;&lt;wsp:rsid wsp:val=&quot;172A4DE7&quot;/&gt;&lt;wsp:rsid wsp:val=&quot;172B0B5F&quot;/&gt;&lt;wsp:rsid wsp:val=&quot;172B6DB1&quot;/&gt;&lt;wsp:rsid wsp:val=&quot;172C5003&quot;/&gt;&lt;wsp:rsid wsp:val=&quot;172C5BE5&quot;/&gt;&lt;wsp:rsid wsp:val=&quot;17312619&quot;/&gt;&lt;wsp:rsid wsp:val=&quot;17316E86&quot;/&gt;&lt;wsp:rsid wsp:val=&quot;17340790&quot;/&gt;&lt;wsp:rsid wsp:val=&quot;17343EB7&quot;/&gt;&lt;wsp:rsid wsp:val=&quot;17345C65&quot;/&gt;&lt;wsp:rsid wsp:val=&quot;173619DD&quot;/&gt;&lt;wsp:rsid wsp:val=&quot;17367C2F&quot;/&gt;&lt;wsp:rsid wsp:val=&quot;173739A8&quot;/&gt;&lt;wsp:rsid wsp:val=&quot;173B3498&quot;/&gt;&lt;wsp:rsid wsp:val=&quot;173C0FBE&quot;/&gt;&lt;wsp:rsid wsp:val=&quot;173C2D6C&quot;/&gt;&lt;wsp:rsid wsp:val=&quot;173E4D36&quot;/&gt;&lt;wsp:rsid wsp:val=&quot;17400AAE&quot;/&gt;&lt;wsp:rsid wsp:val=&quot;1740460A&quot;/&gt;&lt;wsp:rsid wsp:val=&quot;17424826&quot;/&gt;&lt;wsp:rsid wsp:val=&quot;1743234C&quot;/&gt;&lt;wsp:rsid wsp:val=&quot;17446A3D&quot;/&gt;&lt;wsp:rsid wsp:val=&quot;174546C0&quot;/&gt;&lt;wsp:rsid wsp:val=&quot;1746135D&quot;/&gt;&lt;wsp:rsid wsp:val=&quot;17463BEB&quot;/&gt;&lt;wsp:rsid wsp:val=&quot;17487963&quot;/&gt;&lt;wsp:rsid wsp:val=&quot;174C1201&quot;/&gt;&lt;wsp:rsid wsp:val=&quot;174C4868&quot;/&gt;&lt;wsp:rsid wsp:val=&quot;174D4F79&quot;/&gt;&lt;wsp:rsid wsp:val=&quot;174D6D27&quot;/&gt;&lt;wsp:rsid wsp:val=&quot;174F14AB&quot;/&gt;&lt;wsp:rsid wsp:val=&quot;174F484D&quot;/&gt;&lt;wsp:rsid wsp:val=&quot;175005C5&quot;/&gt;&lt;wsp:rsid wsp:val=&quot;17516817&quot;/&gt;&lt;wsp:rsid wsp:val=&quot;175252F4&quot;/&gt;&lt;wsp:rsid wsp:val=&quot;17544559&quot;/&gt;&lt;wsp:rsid wsp:val=&quot;17546308&quot;/&gt;&lt;wsp:rsid wsp:val=&quot;17577BA6&quot;/&gt;&lt;wsp:rsid wsp:val=&quot;17583772&quot;/&gt;&lt;wsp:rsid wsp:val=&quot;175956CC&quot;/&gt;&lt;wsp:rsid wsp:val=&quot;175C51BC&quot;/&gt;&lt;wsp:rsid wsp:val=&quot;175D2B53&quot;/&gt;&lt;wsp:rsid wsp:val=&quot;175F1F04&quot;/&gt;&lt;wsp:rsid wsp:val=&quot;176302F9&quot;/&gt;&lt;wsp:rsid wsp:val=&quot;1763654B&quot;/&gt;&lt;wsp:rsid wsp:val=&quot;17654071&quot;/&gt;&lt;wsp:rsid wsp:val=&quot;17675B53&quot;/&gt;&lt;wsp:rsid wsp:val=&quot;1767603B&quot;/&gt;&lt;wsp:rsid wsp:val=&quot;17680005&quot;/&gt;&lt;wsp:rsid wsp:val=&quot;17681DB3&quot;/&gt;&lt;wsp:rsid wsp:val=&quot;17683B61&quot;/&gt;&lt;wsp:rsid wsp:val=&quot;17694647&quot;/&gt;&lt;wsp:rsid wsp:val=&quot;176C18A3&quot;/&gt;&lt;wsp:rsid wsp:val=&quot;176D1177&quot;/&gt;&lt;wsp:rsid wsp:val=&quot;176D70D9&quot;/&gt;&lt;wsp:rsid wsp:val=&quot;176F4EEF&quot;/&gt;&lt;wsp:rsid wsp:val=&quot;17701D14&quot;/&gt;&lt;wsp:rsid wsp:val=&quot;17712A16&quot;/&gt;&lt;wsp:rsid wsp:val=&quot;177249E0&quot;/&gt;&lt;wsp:rsid wsp:val=&quot;17735226&quot;/&gt;&lt;wsp:rsid wsp:val=&quot;177469AA&quot;/&gt;&lt;wsp:rsid wsp:val=&quot;177644D0&quot;/&gt;&lt;wsp:rsid wsp:val=&quot;1776627E&quot;/&gt;&lt;wsp:rsid wsp:val=&quot;17771FF6&quot;/&gt;&lt;wsp:rsid wsp:val=&quot;17780248&quot;/&gt;&lt;wsp:rsid wsp:val=&quot;17782D5C&quot;/&gt;&lt;wsp:rsid wsp:val=&quot;177B1AE6&quot;/&gt;&lt;wsp:rsid wsp:val=&quot;177C760C&quot;/&gt;&lt;wsp:rsid wsp:val=&quot;177D585E&quot;/&gt;&lt;wsp:rsid wsp:val=&quot;177E15D6&quot;/&gt;&lt;wsp:rsid wsp:val=&quot;177F79E2&quot;/&gt;&lt;wsp:rsid wsp:val=&quot;17800EAB&quot;/&gt;&lt;wsp:rsid wsp:val=&quot;1783099B&quot;/&gt;&lt;wsp:rsid wsp:val=&quot;17832749&quot;/&gt;&lt;wsp:rsid wsp:val=&quot;17834B0C&quot;/&gt;&lt;wsp:rsid wsp:val=&quot;17834F29&quot;/&gt;&lt;wsp:rsid wsp:val=&quot;17836008&quot;/&gt;&lt;wsp:rsid wsp:val=&quot;17852965&quot;/&gt;&lt;wsp:rsid wsp:val=&quot;17854713&quot;/&gt;&lt;wsp:rsid wsp:val=&quot;17872239&quot;/&gt;&lt;wsp:rsid wsp:val=&quot;17886BE6&quot;/&gt;&lt;wsp:rsid wsp:val=&quot;178A3AD7&quot;/&gt;&lt;wsp:rsid wsp:val=&quot;178D1819&quot;/&gt;&lt;wsp:rsid wsp:val=&quot;178D3B28&quot;/&gt;&lt;wsp:rsid wsp:val=&quot;178F5592&quot;/&gt;&lt;wsp:rsid wsp:val=&quot;17935082&quot;/&gt;&lt;wsp:rsid wsp:val=&quot;17937964&quot;/&gt;&lt;wsp:rsid wsp:val=&quot;17942BA8&quot;/&gt;&lt;wsp:rsid wsp:val=&quot;1796247C&quot;/&gt;&lt;wsp:rsid wsp:val=&quot;17964BA4&quot;/&gt;&lt;wsp:rsid wsp:val=&quot;17965B8D&quot;/&gt;&lt;wsp:rsid wsp:val=&quot;17966920&quot;/&gt;&lt;wsp:rsid wsp:val=&quot;17980C05&quot;/&gt;&lt;wsp:rsid wsp:val=&quot;17984446&quot;/&gt;&lt;wsp:rsid wsp:val=&quot;17996410&quot;/&gt;&lt;wsp:rsid wsp:val=&quot;179A7CC5&quot;/&gt;&lt;wsp:rsid wsp:val=&quot;179B3F36&quot;/&gt;&lt;wsp:rsid wsp:val=&quot;179D1A5D&quot;/&gt;&lt;wsp:rsid wsp:val=&quot;179D1EA6&quot;/&gt;&lt;wsp:rsid wsp:val=&quot;179E3A27&quot;/&gt;&lt;wsp:rsid wsp:val=&quot;17A0779F&quot;/&gt;&lt;wsp:rsid wsp:val=&quot;17A34B99&quot;/&gt;&lt;wsp:rsid wsp:val=&quot;17A4103D&quot;/&gt;&lt;wsp:rsid wsp:val=&quot;17A54DB5&quot;/&gt;&lt;wsp:rsid wsp:val=&quot;17A56B63&quot;/&gt;&lt;wsp:rsid wsp:val=&quot;17A64699&quot;/&gt;&lt;wsp:rsid wsp:val=&quot;17AA4179&quot;/&gt;&lt;wsp:rsid wsp:val=&quot;17AC7EF2&quot;/&gt;&lt;wsp:rsid wsp:val=&quot;17AE2306&quot;/&gt;&lt;wsp:rsid wsp:val=&quot;17AF79E2&quot;/&gt;&lt;wsp:rsid wsp:val=&quot;17B15508&quot;/&gt;&lt;wsp:rsid wsp:val=&quot;17B374D2&quot;/&gt;&lt;wsp:rsid wsp:val=&quot;17B40B54&quot;/&gt;&lt;wsp:rsid wsp:val=&quot;17B44FF8&quot;/&gt;&lt;wsp:rsid wsp:val=&quot;17B60D70&quot;/&gt;&lt;wsp:rsid wsp:val=&quot;17B943BD&quot;/&gt;&lt;wsp:rsid wsp:val=&quot;17BB1EE3&quot;/&gt;&lt;wsp:rsid wsp:val=&quot;17BE19D3&quot;/&gt;&lt;wsp:rsid wsp:val=&quot;17BE7C25&quot;/&gt;&lt;wsp:rsid wsp:val=&quot;17C0574B&quot;/&gt;&lt;wsp:rsid wsp:val=&quot;17C36FE9&quot;/&gt;&lt;wsp:rsid wsp:val=&quot;17C92852&quot;/&gt;&lt;wsp:rsid wsp:val=&quot;17C97A33&quot;/&gt;&lt;wsp:rsid wsp:val=&quot;17CA0378&quot;/&gt;&lt;wsp:rsid wsp:val=&quot;17CA65CA&quot;/&gt;&lt;wsp:rsid wsp:val=&quot;17CB070E&quot;/&gt;&lt;wsp:rsid wsp:val=&quot;17CC02B3&quot;/&gt;&lt;wsp:rsid wsp:val=&quot;17CE60BA&quot;/&gt;&lt;wsp:rsid wsp:val=&quot;17CF33BC&quot;/&gt;&lt;wsp:rsid wsp:val=&quot;17CF3BE0&quot;/&gt;&lt;wsp:rsid wsp:val=&quot;17CF598E&quot;/&gt;&lt;wsp:rsid wsp:val=&quot;17D10471&quot;/&gt;&lt;wsp:rsid wsp:val=&quot;17D11706&quot;/&gt;&lt;wsp:rsid wsp:val=&quot;17D17655&quot;/&gt;&lt;wsp:rsid wsp:val=&quot;17D17958&quot;/&gt;&lt;wsp:rsid wsp:val=&quot;17D2722C&quot;/&gt;&lt;wsp:rsid wsp:val=&quot;17D336D0&quot;/&gt;&lt;wsp:rsid wsp:val=&quot;17D47448&quot;/&gt;&lt;wsp:rsid wsp:val=&quot;17D66D1D&quot;/&gt;&lt;wsp:rsid wsp:val=&quot;17D73D39&quot;/&gt;&lt;wsp:rsid wsp:val=&quot;17D75109&quot;/&gt;&lt;wsp:rsid wsp:val=&quot;17DA3CAD&quot;/&gt;&lt;wsp:rsid wsp:val=&quot;17DA4A5F&quot;/&gt;&lt;wsp:rsid wsp:val=&quot;17DA6EDC&quot;/&gt;&lt;wsp:rsid wsp:val=&quot;17DB07D7&quot;/&gt;&lt;wsp:rsid wsp:val=&quot;17DB2585&quot;/&gt;&lt;wsp:rsid wsp:val=&quot;17DB3C50&quot;/&gt;&lt;wsp:rsid wsp:val=&quot;17DD454F&quot;/&gt;&lt;wsp:rsid wsp:val=&quot;17DD62FD&quot;/&gt;&lt;wsp:rsid wsp:val=&quot;17DF02C7&quot;/&gt;&lt;wsp:rsid wsp:val=&quot;17E07B9B&quot;/&gt;&lt;wsp:rsid wsp:val=&quot;17E33010&quot;/&gt;&lt;wsp:rsid wsp:val=&quot;17E67F73&quot;/&gt;&lt;wsp:rsid wsp:val=&quot;17E97897&quot;/&gt;&lt;wsp:rsid wsp:val=&quot;17EA18FC&quot;/&gt;&lt;wsp:rsid wsp:val=&quot;17EC4792&quot;/&gt;&lt;wsp:rsid wsp:val=&quot;17ED6B70&quot;/&gt;&lt;wsp:rsid wsp:val=&quot;17EE4066&quot;/&gt;&lt;wsp:rsid wsp:val=&quot;17EF6030&quot;/&gt;&lt;wsp:rsid wsp:val=&quot;17F04282&quot;/&gt;&lt;wsp:rsid wsp:val=&quot;17F05C36&quot;/&gt;&lt;wsp:rsid wsp:val=&quot;17F11DA8&quot;/&gt;&lt;wsp:rsid wsp:val=&quot;17F42A87&quot;/&gt;&lt;wsp:rsid wsp:val=&quot;17F51340&quot;/&gt;&lt;wsp:rsid wsp:val=&quot;17F76854&quot;/&gt;&lt;wsp:rsid wsp:val=&quot;17F81389&quot;/&gt;&lt;wsp:rsid wsp:val=&quot;17F83137&quot;/&gt;&lt;wsp:rsid wsp:val=&quot;17F90C5D&quot;/&gt;&lt;wsp:rsid wsp:val=&quot;17FC59E3&quot;/&gt;&lt;wsp:rsid wsp:val=&quot;17FC72FC&quot;/&gt;&lt;wsp:rsid wsp:val=&quot;17FD51E2&quot;/&gt;&lt;wsp:rsid wsp:val=&quot;17FE0021&quot;/&gt;&lt;wsp:rsid wsp:val=&quot;17FE4521&quot;/&gt;&lt;wsp:rsid wsp:val=&quot;17FF2717&quot;/&gt;&lt;wsp:rsid wsp:val=&quot;17FF6273&quot;/&gt;&lt;wsp:rsid wsp:val=&quot;17FF6452&quot;/&gt;&lt;wsp:rsid wsp:val=&quot;18003D99&quot;/&gt;&lt;wsp:rsid wsp:val=&quot;1801037E&quot;/&gt;&lt;wsp:rsid wsp:val=&quot;18025D64&quot;/&gt;&lt;wsp:rsid wsp:val=&quot;18027B12&quot;/&gt;&lt;wsp:rsid wsp:val=&quot;18041ADC&quot;/&gt;&lt;wsp:rsid wsp:val=&quot;180513B0&quot;/&gt;&lt;wsp:rsid wsp:val=&quot;180520BE&quot;/&gt;&lt;wsp:rsid wsp:val=&quot;1807337A&quot;/&gt;&lt;wsp:rsid wsp:val=&quot;18090EA0&quot;/&gt;&lt;wsp:rsid wsp:val=&quot;180A0F27&quot;/&gt;&lt;wsp:rsid wsp:val=&quot;180A2E6A&quot;/&gt;&lt;wsp:rsid wsp:val=&quot;180B23B7&quot;/&gt;&lt;wsp:rsid wsp:val=&quot;180C3251&quot;/&gt;&lt;wsp:rsid wsp:val=&quot;180C6BE2&quot;/&gt;&lt;wsp:rsid wsp:val=&quot;180E4708&quot;/&gt;&lt;wsp:rsid wsp:val=&quot;180E6167&quot;/&gt;&lt;wsp:rsid wsp:val=&quot;180F33B4&quot;/&gt;&lt;wsp:rsid wsp:val=&quot;18100480&quot;/&gt;&lt;wsp:rsid wsp:val=&quot;18115FA7&quot;/&gt;&lt;wsp:rsid wsp:val=&quot;18130B49&quot;/&gt;&lt;wsp:rsid wsp:val=&quot;1813138E&quot;/&gt;&lt;wsp:rsid wsp:val=&quot;1816180F&quot;/&gt;&lt;wsp:rsid wsp:val=&quot;18187335&quot;/&gt;&lt;wsp:rsid wsp:val=&quot;18194E5B&quot;/&gt;&lt;wsp:rsid wsp:val=&quot;181A12FF&quot;/&gt;&lt;wsp:rsid wsp:val=&quot;181B0BD3&quot;/&gt;&lt;wsp:rsid wsp:val=&quot;181B1EAC&quot;/&gt;&lt;wsp:rsid wsp:val=&quot;181F06C4&quot;/&gt;&lt;wsp:rsid wsp:val=&quot;181F6915&quot;/&gt;&lt;wsp:rsid wsp:val=&quot;1820443C&quot;/&gt;&lt;wsp:rsid wsp:val=&quot;182201B4&quot;/&gt;&lt;wsp:rsid wsp:val=&quot;1824217E&quot;/&gt;&lt;wsp:rsid wsp:val=&quot;18267CA4&quot;/&gt;&lt;wsp:rsid wsp:val=&quot;18291542&quot;/&gt;&lt;wsp:rsid wsp:val=&quot;18295740&quot;/&gt;&lt;wsp:rsid wsp:val=&quot;18297794&quot;/&gt;&lt;wsp:rsid wsp:val=&quot;182C4B8E&quot;/&gt;&lt;wsp:rsid wsp:val=&quot;182F17B2&quot;/&gt;&lt;wsp:rsid wsp:val=&quot;182F467F&quot;/&gt;&lt;wsp:rsid wsp:val=&quot;18316649&quot;/&gt;&lt;wsp:rsid wsp:val=&quot;18351C95&quot;/&gt;&lt;wsp:rsid wsp:val=&quot;18356139&quot;/&gt;&lt;wsp:rsid wsp:val=&quot;1835636A&quot;/&gt;&lt;wsp:rsid wsp:val=&quot;18360DD0&quot;/&gt;&lt;wsp:rsid wsp:val=&quot;18371EB1&quot;/&gt;&lt;wsp:rsid wsp:val=&quot;1837463A&quot;/&gt;&lt;wsp:rsid wsp:val=&quot;18383533&quot;/&gt;&lt;wsp:rsid wsp:val=&quot;183B1275&quot;/&gt;&lt;wsp:rsid wsp:val=&quot;183C74C7&quot;/&gt;&lt;wsp:rsid wsp:val=&quot;183D0B4A&quot;/&gt;&lt;wsp:rsid wsp:val=&quot;183F2B14&quot;/&gt;&lt;wsp:rsid wsp:val=&quot;18401FD4&quot;/&gt;&lt;wsp:rsid wsp:val=&quot;18414ADE&quot;/&gt;&lt;wsp:rsid wsp:val=&quot;18430E63&quot;/&gt;&lt;wsp:rsid wsp:val=&quot;1844012A&quot;/&gt;&lt;wsp:rsid wsp:val=&quot;18441ED8&quot;/&gt;&lt;wsp:rsid wsp:val=&quot;18452548&quot;/&gt;&lt;wsp:rsid wsp:val=&quot;18463EA2&quot;/&gt;&lt;wsp:rsid wsp:val=&quot;18464E68&quot;/&gt;&lt;wsp:rsid wsp:val=&quot;18475E6C&quot;/&gt;&lt;wsp:rsid wsp:val=&quot;18477C1A&quot;/&gt;&lt;wsp:rsid wsp:val=&quot;18493992&quot;/&gt;&lt;wsp:rsid wsp:val=&quot;184B14B9&quot;/&gt;&lt;wsp:rsid wsp:val=&quot;184B4C79&quot;/&gt;&lt;wsp:rsid wsp:val=&quot;184B770B&quot;/&gt;&lt;wsp:rsid wsp:val=&quot;184C6FDF&quot;/&gt;&lt;wsp:rsid wsp:val=&quot;18506ACF&quot;/&gt;&lt;wsp:rsid wsp:val=&quot;185145F5&quot;/&gt;&lt;wsp:rsid wsp:val=&quot;185442B7&quot;/&gt;&lt;wsp:rsid wsp:val=&quot;185540E5&quot;/&gt;&lt;wsp:rsid wsp:val=&quot;18561C0B&quot;/&gt;&lt;wsp:rsid wsp:val=&quot;18562723&quot;/&gt;&lt;wsp:rsid wsp:val=&quot;1856495D&quot;/&gt;&lt;wsp:rsid wsp:val=&quot;18567E5D&quot;/&gt;&lt;wsp:rsid wsp:val=&quot;185760AF&quot;/&gt;&lt;wsp:rsid wsp:val=&quot;18597E8B&quot;/&gt;&lt;wsp:rsid wsp:val=&quot;185A794E&quot;/&gt;&lt;wsp:rsid wsp:val=&quot;185B326A&quot;/&gt;&lt;wsp:rsid wsp:val=&quot;185B5474&quot;/&gt;&lt;wsp:rsid wsp:val=&quot;185C0256&quot;/&gt;&lt;wsp:rsid wsp:val=&quot;185D11EC&quot;/&gt;&lt;wsp:rsid wsp:val=&quot;185D2F9A&quot;/&gt;&lt;wsp:rsid wsp:val=&quot;185F31B6&quot;/&gt;&lt;wsp:rsid wsp:val=&quot;185F4F64&quot;/&gt;&lt;wsp:rsid wsp:val=&quot;185F56CA&quot;/&gt;&lt;wsp:rsid wsp:val=&quot;185F6D12&quot;/&gt;&lt;wsp:rsid wsp:val=&quot;185F713E&quot;/&gt;&lt;wsp:rsid wsp:val=&quot;18602A8A&quot;/&gt;&lt;wsp:rsid wsp:val=&quot;18611A70&quot;/&gt;&lt;wsp:rsid wsp:val=&quot;18626802&quot;/&gt;&lt;wsp:rsid wsp:val=&quot;18635AD1&quot;/&gt;&lt;wsp:rsid wsp:val=&quot;1864257A&quot;/&gt;&lt;wsp:rsid wsp:val=&quot;18646F61&quot;/&gt;&lt;wsp:rsid wsp:val=&quot;18694035&quot;/&gt;&lt;wsp:rsid wsp:val=&quot;18696DB0&quot;/&gt;&lt;wsp:rsid wsp:val=&quot;186D58D3&quot;/&gt;&lt;wsp:rsid wsp:val=&quot;186E164B&quot;/&gt;&lt;wsp:rsid wsp:val=&quot;186E33F9&quot;/&gt;&lt;wsp:rsid wsp:val=&quot;18700F1F&quot;/&gt;&lt;wsp:rsid wsp:val=&quot;18714C97&quot;/&gt;&lt;wsp:rsid wsp:val=&quot;18714EF8&quot;/&gt;&lt;wsp:rsid wsp:val=&quot;18722EE9&quot;/&gt;&lt;wsp:rsid wsp:val=&quot;187327BD&quot;/&gt;&lt;wsp:rsid wsp:val=&quot;187529D9&quot;/&gt;&lt;wsp:rsid wsp:val=&quot;18754787&quot;/&gt;&lt;wsp:rsid wsp:val=&quot;1876448A&quot;/&gt;&lt;wsp:rsid wsp:val=&quot;18770500&quot;/&gt;&lt;wsp:rsid wsp:val=&quot;1877409C&quot;/&gt;&lt;wsp:rsid wsp:val=&quot;18784278&quot;/&gt;&lt;wsp:rsid wsp:val=&quot;18786026&quot;/&gt;&lt;wsp:rsid wsp:val=&quot;18787DD4&quot;/&gt;&lt;wsp:rsid wsp:val=&quot;18797CF6&quot;/&gt;&lt;wsp:rsid wsp:val=&quot;187B27C4&quot;/&gt;&lt;wsp:rsid wsp:val=&quot;187D1931&quot;/&gt;&lt;wsp:rsid wsp:val=&quot;1881137E&quot;/&gt;&lt;wsp:rsid wsp:val=&quot;1881312C&quot;/&gt;&lt;wsp:rsid wsp:val=&quot;18826EA4&quot;/&gt;&lt;wsp:rsid wsp:val=&quot;18842891&quot;/&gt;&lt;wsp:rsid wsp:val=&quot;18846779&quot;/&gt;&lt;wsp:rsid wsp:val=&quot;18860743&quot;/&gt;&lt;wsp:rsid wsp:val=&quot;18876269&quot;/&gt;&lt;wsp:rsid wsp:val=&quot;18890233&quot;/&gt;&lt;wsp:rsid wsp:val=&quot;188B720A&quot;/&gt;&lt;wsp:rsid wsp:val=&quot;188C7801&quot;/&gt;&lt;wsp:rsid wsp:val=&quot;188D4859&quot;/&gt;&lt;wsp:rsid wsp:val=&quot;188D7D23&quot;/&gt;&lt;wsp:rsid wsp:val=&quot;18904044&quot;/&gt;&lt;wsp:rsid wsp:val=&quot;1893346E&quot;/&gt;&lt;wsp:rsid wsp:val=&quot;18934C0E&quot;/&gt;&lt;wsp:rsid wsp:val=&quot;18955D8E&quot;/&gt;&lt;wsp:rsid wsp:val=&quot;189577B1&quot;/&gt;&lt;wsp:rsid wsp:val=&quot;189664AC&quot;/&gt;&lt;wsp:rsid wsp:val=&quot;18972950&quot;/&gt;&lt;wsp:rsid wsp:val=&quot;189B3AC2&quot;/&gt;&lt;wsp:rsid wsp:val=&quot;189D21E0&quot;/&gt;&lt;wsp:rsid wsp:val=&quot;189D7862&quot;/&gt;&lt;wsp:rsid wsp:val=&quot;189F1804&quot;/&gt;&lt;wsp:rsid wsp:val=&quot;189F624C&quot;/&gt;&lt;wsp:rsid wsp:val=&quot;189F7A56&quot;/&gt;&lt;wsp:rsid wsp:val=&quot;18A1038B&quot;/&gt;&lt;wsp:rsid wsp:val=&quot;18A137CE&quot;/&gt;&lt;wsp:rsid wsp:val=&quot;18A1732B&quot;/&gt;&lt;wsp:rsid wsp:val=&quot;18A230A3&quot;/&gt;&lt;wsp:rsid wsp:val=&quot;18A43556&quot;/&gt;&lt;wsp:rsid wsp:val=&quot;18A46E1B&quot;/&gt;&lt;wsp:rsid wsp:val=&quot;18A72D74&quot;/&gt;&lt;wsp:rsid wsp:val=&quot;18A8690B&quot;/&gt;&lt;wsp:rsid wsp:val=&quot;18A961DF&quot;/&gt;&lt;wsp:rsid wsp:val=&quot;18AA0AF5&quot;/&gt;&lt;wsp:rsid wsp:val=&quot;18AB01A9&quot;/&gt;&lt;wsp:rsid wsp:val=&quot;18AE37F5&quot;/&gt;&lt;wsp:rsid wsp:val=&quot;18AE7C99&quot;/&gt;&lt;wsp:rsid wsp:val=&quot;18AF5EEB&quot;/&gt;&lt;wsp:rsid wsp:val=&quot;18B040D7&quot;/&gt;&lt;wsp:rsid wsp:val=&quot;18B11625&quot;/&gt;&lt;wsp:rsid wsp:val=&quot;18B21538&quot;/&gt;&lt;wsp:rsid wsp:val=&quot;18B232E6&quot;/&gt;&lt;wsp:rsid wsp:val=&quot;18B2778A&quot;/&gt;&lt;wsp:rsid wsp:val=&quot;18B27E87&quot;/&gt;&lt;wsp:rsid wsp:val=&quot;18B32A92&quot;/&gt;&lt;wsp:rsid wsp:val=&quot;18B3705E&quot;/&gt;&lt;wsp:rsid wsp:val=&quot;18B43502&quot;/&gt;&lt;wsp:rsid wsp:val=&quot;18B55378&quot;/&gt;&lt;wsp:rsid wsp:val=&quot;18B56FCC&quot;/&gt;&lt;wsp:rsid wsp:val=&quot;18B72869&quot;/&gt;&lt;wsp:rsid wsp:val=&quot;18B77C98&quot;/&gt;&lt;wsp:rsid wsp:val=&quot;18B83CF9&quot;/&gt;&lt;wsp:rsid wsp:val=&quot;18B90B18&quot;/&gt;&lt;wsp:rsid wsp:val=&quot;18BA03EC&quot;/&gt;&lt;wsp:rsid wsp:val=&quot;18BA663E&quot;/&gt;&lt;wsp:rsid wsp:val=&quot;18BB3521&quot;/&gt;&lt;wsp:rsid wsp:val=&quot;18BB7D97&quot;/&gt;&lt;wsp:rsid wsp:val=&quot;18BC23B6&quot;/&gt;&lt;wsp:rsid wsp:val=&quot;18BC4164&quot;/&gt;&lt;wsp:rsid wsp:val=&quot;18BF3C55&quot;/&gt;&lt;wsp:rsid wsp:val=&quot;18BF5A03&quot;/&gt;&lt;wsp:rsid wsp:val=&quot;18C179CD&quot;/&gt;&lt;wsp:rsid wsp:val=&quot;18C2336D&quot;/&gt;&lt;wsp:rsid wsp:val=&quot;18C354F3&quot;/&gt;&lt;wsp:rsid wsp:val=&quot;18C40550&quot;/&gt;&lt;wsp:rsid wsp:val=&quot;18C4126B&quot;/&gt;&lt;wsp:rsid wsp:val=&quot;18C64FE3&quot;/&gt;&lt;wsp:rsid wsp:val=&quot;18C80D5B&quot;/&gt;&lt;wsp:rsid wsp:val=&quot;18C9062F&quot;/&gt;&lt;wsp:rsid wsp:val=&quot;18CA044B&quot;/&gt;&lt;wsp:rsid wsp:val=&quot;18CA610E&quot;/&gt;&lt;wsp:rsid wsp:val=&quot;18CB216F&quot;/&gt;&lt;wsp:rsid wsp:val=&quot;18CB25F9&quot;/&gt;&lt;wsp:rsid wsp:val=&quot;18CD0120&quot;/&gt;&lt;wsp:rsid wsp:val=&quot;18CE3E98&quot;/&gt;&lt;wsp:rsid wsp:val=&quot;18CE5C46&quot;/&gt;&lt;wsp:rsid wsp:val=&quot;18D23988&quot;/&gt;&lt;wsp:rsid wsp:val=&quot;18D3112F&quot;/&gt;&lt;wsp:rsid wsp:val=&quot;18D37686&quot;/&gt;&lt;wsp:rsid wsp:val=&quot;18D45952&quot;/&gt;&lt;wsp:rsid wsp:val=&quot;18D522F3&quot;/&gt;&lt;wsp:rsid wsp:val=&quot;18D53221&quot;/&gt;&lt;wsp:rsid wsp:val=&quot;18D53478&quot;/&gt;&lt;wsp:rsid wsp:val=&quot;18D61623&quot;/&gt;&lt;wsp:rsid wsp:val=&quot;18D86AC4&quot;/&gt;&lt;wsp:rsid wsp:val=&quot;18DA0A8E&quot;/&gt;&lt;wsp:rsid wsp:val=&quot;18DC4807&quot;/&gt;&lt;wsp:rsid wsp:val=&quot;18DD2A01&quot;/&gt;&lt;wsp:rsid wsp:val=&quot;18DE232D&quot;/&gt;&lt;wsp:rsid wsp:val=&quot;18DE48B4&quot;/&gt;&lt;wsp:rsid wsp:val=&quot;18DF42F7&quot;/&gt;&lt;wsp:rsid wsp:val=&quot;18DF7E53&quot;/&gt;&lt;wsp:rsid wsp:val=&quot;18E04FBB&quot;/&gt;&lt;wsp:rsid wsp:val=&quot;18E16C1B&quot;/&gt;&lt;wsp:rsid wsp:val=&quot;18E5190D&quot;/&gt;&lt;wsp:rsid wsp:val=&quot;18E65685&quot;/&gt;&lt;wsp:rsid wsp:val=&quot;18E663F3&quot;/&gt;&lt;wsp:rsid wsp:val=&quot;18E75636&quot;/&gt;&lt;wsp:rsid wsp:val=&quot;18E779FE&quot;/&gt;&lt;wsp:rsid wsp:val=&quot;18E80207&quot;/&gt;&lt;wsp:rsid wsp:val=&quot;18EA1985&quot;/&gt;&lt;wsp:rsid wsp:val=&quot;18EA6F23&quot;/&gt;&lt;wsp:rsid wsp:val=&quot;18EB5994&quot;/&gt;&lt;wsp:rsid wsp:val=&quot;18ED07C2&quot;/&gt;&lt;wsp:rsid wsp:val=&quot;18EE5509&quot;/&gt;&lt;wsp:rsid wsp:val=&quot;18F002B2&quot;/&gt;&lt;wsp:rsid wsp:val=&quot;18F07ABB&quot;/&gt;&lt;wsp:rsid wsp:val=&quot;18F27B86&quot;/&gt;&lt;wsp:rsid wsp:val=&quot;18F356AC&quot;/&gt;&lt;wsp:rsid wsp:val=&quot;18F45B2D&quot;/&gt;&lt;wsp:rsid wsp:val=&quot;18F510CA&quot;/&gt;&lt;wsp:rsid wsp:val=&quot;18F71640&quot;/&gt;&lt;wsp:rsid wsp:val=&quot;18F72176&quot;/&gt;&lt;wsp:rsid wsp:val=&quot;18F733EE&quot;/&gt;&lt;wsp:rsid wsp:val=&quot;18F7519C&quot;/&gt;&lt;wsp:rsid wsp:val=&quot;18F90F15&quot;/&gt;&lt;wsp:rsid wsp:val=&quot;18F953B8&quot;/&gt;&lt;wsp:rsid wsp:val=&quot;18FB4F3C&quot;/&gt;&lt;wsp:rsid wsp:val=&quot;18FF4051&quot;/&gt;&lt;wsp:rsid wsp:val=&quot;19002E2E&quot;/&gt;&lt;wsp:rsid wsp:val=&quot;1901601B&quot;/&gt;&lt;wsp:rsid wsp:val=&quot;19033B41&quot;/&gt;&lt;wsp:rsid wsp:val=&quot;19063631&quot;/&gt;&lt;wsp:rsid wsp:val=&quot;19067AD5&quot;/&gt;&lt;wsp:rsid wsp:val=&quot;19085523&quot;/&gt;&lt;wsp:rsid wsp:val=&quot;190855FC&quot;/&gt;&lt;wsp:rsid wsp:val=&quot;190873AA&quot;/&gt;&lt;wsp:rsid wsp:val=&quot;190B0C48&quot;/&gt;&lt;wsp:rsid wsp:val=&quot;190B50EC&quot;/&gt;&lt;wsp:rsid wsp:val=&quot;190B53C1&quot;/&gt;&lt;wsp:rsid wsp:val=&quot;190D49C0&quot;/&gt;&lt;wsp:rsid wsp:val=&quot;190D7B12&quot;/&gt;&lt;wsp:rsid wsp:val=&quot;190F004F&quot;/&gt;&lt;wsp:rsid wsp:val=&quot;1910625E&quot;/&gt;&lt;wsp:rsid wsp:val=&quot;19124904&quot;/&gt;&lt;wsp:rsid wsp:val=&quot;1912647A&quot;/&gt;&lt;wsp:rsid wsp:val=&quot;19137AFC&quot;/&gt;&lt;wsp:rsid wsp:val=&quot;191436B8&quot;/&gt;&lt;wsp:rsid wsp:val=&quot;19157D18&quot;/&gt;&lt;wsp:rsid wsp:val=&quot;191656D8&quot;/&gt;&lt;wsp:rsid wsp:val=&quot;19172FD4&quot;/&gt;&lt;wsp:rsid wsp:val=&quot;191775ED&quot;/&gt;&lt;wsp:rsid wsp:val=&quot;19184F94&quot;/&gt;&lt;wsp:rsid wsp:val=&quot;19191C06&quot;/&gt;&lt;wsp:rsid wsp:val=&quot;191B532F&quot;/&gt;&lt;wsp:rsid wsp:val=&quot;191C4C03&quot;/&gt;&lt;wsp:rsid wsp:val=&quot;191D6340&quot;/&gt;&lt;wsp:rsid wsp:val=&quot;191E097B&quot;/&gt;&lt;wsp:rsid wsp:val=&quot;191E6BCD&quot;/&gt;&lt;wsp:rsid wsp:val=&quot;191F46F3&quot;/&gt;&lt;wsp:rsid wsp:val=&quot;191F64A1&quot;/&gt;&lt;wsp:rsid wsp:val=&quot;19202945&quot;/&gt;&lt;wsp:rsid wsp:val=&quot;19235F91&quot;/&gt;&lt;wsp:rsid wsp:val=&quot;1926685E&quot;/&gt;&lt;wsp:rsid wsp:val=&quot;19267830&quot;/&gt;&lt;wsp:rsid wsp:val=&quot;192817FA&quot;/&gt;&lt;wsp:rsid wsp:val=&quot;192868B6&quot;/&gt;&lt;wsp:rsid wsp:val=&quot;192936DC&quot;/&gt;&lt;wsp:rsid wsp:val=&quot;192A5572&quot;/&gt;&lt;wsp:rsid wsp:val=&quot;192C753C&quot;/&gt;&lt;wsp:rsid wsp:val=&quot;192C7B6B&quot;/&gt;&lt;wsp:rsid wsp:val=&quot;192D6E10&quot;/&gt;&lt;wsp:rsid wsp:val=&quot;192E7DCB&quot;/&gt;&lt;wsp:rsid wsp:val=&quot;192F2B88&quot;/&gt;&lt;wsp:rsid wsp:val=&quot;193059E0&quot;/&gt;&lt;wsp:rsid wsp:val=&quot;19306900&quot;/&gt;&lt;wsp:rsid wsp:val=&quot;19324FE3&quot;/&gt;&lt;wsp:rsid wsp:val=&quot;19341F4D&quot;/&gt;&lt;wsp:rsid wsp:val=&quot;193472F5&quot;/&gt;&lt;wsp:rsid wsp:val=&quot;19393A07&quot;/&gt;&lt;wsp:rsid wsp:val=&quot;193957B5&quot;/&gt;&lt;wsp:rsid wsp:val=&quot;19397563&quot;/&gt;&lt;wsp:rsid wsp:val=&quot;193A32DB&quot;/&gt;&lt;wsp:rsid wsp:val=&quot;193B3B10&quot;/&gt;&lt;wsp:rsid wsp:val=&quot;193B4AC7&quot;/&gt;&lt;wsp:rsid wsp:val=&quot;193C385F&quot;/&gt;&lt;wsp:rsid wsp:val=&quot;193C52A5&quot;/&gt;&lt;wsp:rsid wsp:val=&quot;193D3D09&quot;/&gt;&lt;wsp:rsid wsp:val=&quot;193E101D&quot;/&gt;&lt;wsp:rsid wsp:val=&quot;193E726F&quot;/&gt;&lt;wsp:rsid wsp:val=&quot;193F21E0&quot;/&gt;&lt;wsp:rsid wsp:val=&quot;194128BC&quot;/&gt;&lt;wsp:rsid wsp:val=&quot;19416F3B&quot;/&gt;&lt;wsp:rsid wsp:val=&quot;1945415A&quot;/&gt;&lt;wsp:rsid wsp:val=&quot;19495E63&quot;/&gt;&lt;wsp:rsid wsp:val=&quot;194A5C14&quot;/&gt;&lt;wsp:rsid wsp:val=&quot;194C3363&quot;/&gt;&lt;wsp:rsid wsp:val=&quot;194E7066&quot;/&gt;&lt;wsp:rsid wsp:val=&quot;194F27F2&quot;/&gt;&lt;wsp:rsid wsp:val=&quot;19510C02&quot;/&gt;&lt;wsp:rsid wsp:val=&quot;19517EAB&quot;/&gt;&lt;wsp:rsid wsp:val=&quot;19520625&quot;/&gt;&lt;wsp:rsid wsp:val=&quot;19550115&quot;/&gt;&lt;wsp:rsid wsp:val=&quot;19575C3B&quot;/&gt;&lt;wsp:rsid wsp:val=&quot;195959D3&quot;/&gt;&lt;wsp:rsid wsp:val=&quot;195B1BCF&quot;/&gt;&lt;wsp:rsid wsp:val=&quot;19616ABA&quot;/&gt;&lt;wsp:rsid wsp:val=&quot;19632832&quot;/&gt;&lt;wsp:rsid wsp:val=&quot;196565AA&quot;/&gt;&lt;wsp:rsid wsp:val=&quot;19662322&quot;/&gt;&lt;wsp:rsid wsp:val=&quot;196662D8&quot;/&gt;&lt;wsp:rsid wsp:val=&quot;1968609A&quot;/&gt;&lt;wsp:rsid wsp:val=&quot;19687456&quot;/&gt;&lt;wsp:rsid wsp:val=&quot;196A3BC0&quot;/&gt;&lt;wsp:rsid wsp:val=&quot;196B7D6D&quot;/&gt;&lt;wsp:rsid wsp:val=&quot;196D40F1&quot;/&gt;&lt;wsp:rsid wsp:val=&quot;196D545F&quot;/&gt;&lt;wsp:rsid wsp:val=&quot;196F567B&quot;/&gt;&lt;wsp:rsid wsp:val=&quot;1970274F&quot;/&gt;&lt;wsp:rsid wsp:val=&quot;19706CFD&quot;/&gt;&lt;wsp:rsid wsp:val=&quot;19715320&quot;/&gt;&lt;wsp:rsid wsp:val=&quot;19727C40&quot;/&gt;&lt;wsp:rsid wsp:val=&quot;19731ACA&quot;/&gt;&lt;wsp:rsid wsp:val=&quot;19744A3F&quot;/&gt;&lt;wsp:rsid wsp:val=&quot;19770022&quot;/&gt;&lt;wsp:rsid wsp:val=&quot;19783D45&quot;/&gt;&lt;wsp:rsid wsp:val=&quot;19785DEC&quot;/&gt;&lt;wsp:rsid wsp:val=&quot;197902A7&quot;/&gt;&lt;wsp:rsid wsp:val=&quot;19793E03&quot;/&gt;&lt;wsp:rsid wsp:val=&quot;197C38F4&quot;/&gt;&lt;wsp:rsid wsp:val=&quot;197D2182&quot;/&gt;&lt;wsp:rsid wsp:val=&quot;197D7D98&quot;/&gt;&lt;wsp:rsid wsp:val=&quot;197E141A&quot;/&gt;&lt;wsp:rsid wsp:val=&quot;198033E4&quot;/&gt;&lt;wsp:rsid wsp:val=&quot;19805192&quot;/&gt;&lt;wsp:rsid wsp:val=&quot;19813C3F&quot;/&gt;&lt;wsp:rsid wsp:val=&quot;19817847&quot;/&gt;&lt;wsp:rsid wsp:val=&quot;198253AE&quot;/&gt;&lt;wsp:rsid wsp:val=&quot;19831126&quot;/&gt;&lt;wsp:rsid wsp:val=&quot;19836A30&quot;/&gt;&lt;wsp:rsid wsp:val=&quot;19851C18&quot;/&gt;&lt;wsp:rsid wsp:val=&quot;198729C4&quot;/&gt;&lt;wsp:rsid wsp:val=&quot;19874772&quot;/&gt;&lt;wsp:rsid wsp:val=&quot;198804EA&quot;/&gt;&lt;wsp:rsid wsp:val=&quot;19883697&quot;/&gt;&lt;wsp:rsid wsp:val=&quot;198C7FDB&quot;/&gt;&lt;wsp:rsid wsp:val=&quot;1990114D&quot;/&gt;&lt;wsp:rsid wsp:val=&quot;19912269&quot;/&gt;&lt;wsp:rsid wsp:val=&quot;1991739F&quot;/&gt;&lt;wsp:rsid wsp:val=&quot;19921369&quot;/&gt;&lt;wsp:rsid wsp:val=&quot;199221EE&quot;/&gt;&lt;wsp:rsid wsp:val=&quot;19924EC5&quot;/&gt;&lt;wsp:rsid wsp:val=&quot;19940C3D&quot;/&gt;&lt;wsp:rsid wsp:val=&quot;19946E8F&quot;/&gt;&lt;wsp:rsid wsp:val=&quot;199470D8&quot;/&gt;&lt;wsp:rsid wsp:val=&quot;19960E59&quot;/&gt;&lt;wsp:rsid wsp:val=&quot;19977B91&quot;/&gt;&lt;wsp:rsid wsp:val=&quot;19984B48&quot;/&gt;&lt;wsp:rsid wsp:val=&quot;19996254&quot;/&gt;&lt;wsp:rsid wsp:val=&quot;199B042E&quot;/&gt;&lt;wsp:rsid wsp:val=&quot;199B1FCC&quot;/&gt;&lt;wsp:rsid wsp:val=&quot;199E386A&quot;/&gt;&lt;wsp:rsid wsp:val=&quot;199E7D0E&quot;/&gt;&lt;wsp:rsid wsp:val=&quot;19A075E2&quot;/&gt;&lt;wsp:rsid wsp:val=&quot;19A370D2&quot;/&gt;&lt;wsp:rsid wsp:val=&quot;19A40DEF&quot;/&gt;&lt;wsp:rsid wsp:val=&quot;19A5109C&quot;/&gt;&lt;wsp:rsid wsp:val=&quot;19A76BC3&quot;/&gt;&lt;wsp:rsid wsp:val=&quot;19A81450&quot;/&gt;&lt;wsp:rsid wsp:val=&quot;19AA006B&quot;/&gt;&lt;wsp:rsid wsp:val=&quot;19AA220F&quot;/&gt;&lt;wsp:rsid wsp:val=&quot;19AC5F87&quot;/&gt;&lt;wsp:rsid wsp:val=&quot;19AF1F1B&quot;/&gt;&lt;wsp:rsid wsp:val=&quot;19AF3CC9&quot;/&gt;&lt;wsp:rsid wsp:val=&quot;19AF5A77&quot;/&gt;&lt;wsp:rsid wsp:val=&quot;19AF7825&quot;/&gt;&lt;wsp:rsid wsp:val=&quot;19B047FA&quot;/&gt;&lt;wsp:rsid wsp:val=&quot;19B1359D&quot;/&gt;&lt;wsp:rsid wsp:val=&quot;19B250D3&quot;/&gt;&lt;wsp:rsid wsp:val=&quot;19B27315&quot;/&gt;&lt;wsp:rsid wsp:val=&quot;19B412DF&quot;/&gt;&lt;wsp:rsid wsp:val=&quot;19B50E83&quot;/&gt;&lt;wsp:rsid wsp:val=&quot;19B60BB4&quot;/&gt;&lt;wsp:rsid wsp:val=&quot;19BB08C0&quot;/&gt;&lt;wsp:rsid wsp:val=&quot;19BB2369&quot;/&gt;&lt;wsp:rsid wsp:val=&quot;19BB266E&quot;/&gt;&lt;wsp:rsid wsp:val=&quot;19BC1F42&quot;/&gt;&lt;wsp:rsid wsp:val=&quot;19BD0194&quot;/&gt;&lt;wsp:rsid wsp:val=&quot;19BD5AF3&quot;/&gt;&lt;wsp:rsid wsp:val=&quot;19BE3676&quot;/&gt;&lt;wsp:rsid wsp:val=&quot;19BE3F0C&quot;/&gt;&lt;wsp:rsid wsp:val=&quot;19C257AA&quot;/&gt;&lt;wsp:rsid wsp:val=&quot;19C57A9E&quot;/&gt;&lt;wsp:rsid wsp:val=&quot;19C71013&quot;/&gt;&lt;wsp:rsid wsp:val=&quot;19CA28B1&quot;/&gt;&lt;wsp:rsid wsp:val=&quot;19CB6F5A&quot;/&gt;&lt;wsp:rsid wsp:val=&quot;19CC6629&quot;/&gt;&lt;wsp:rsid wsp:val=&quot;19CF1C75&quot;/&gt;&lt;wsp:rsid wsp:val=&quot;19CF6119&quot;/&gt;&lt;wsp:rsid wsp:val=&quot;19CF7EC7&quot;/&gt;&lt;wsp:rsid wsp:val=&quot;19D13C3F&quot;/&gt;&lt;wsp:rsid wsp:val=&quot;19D41982&quot;/&gt;&lt;wsp:rsid wsp:val=&quot;19D56800&quot;/&gt;&lt;wsp:rsid wsp:val=&quot;19D63004&quot;/&gt;&lt;wsp:rsid wsp:val=&quot;19D674A8&quot;/&gt;&lt;wsp:rsid wsp:val=&quot;19D871A5&quot;/&gt;&lt;wsp:rsid wsp:val=&quot;19D90D46&quot;/&gt;&lt;wsp:rsid wsp:val=&quot;19D92AF4&quot;/&gt;&lt;wsp:rsid wsp:val=&quot;19D96F98&quot;/&gt;&lt;wsp:rsid wsp:val=&quot;19DB686C&quot;/&gt;&lt;wsp:rsid wsp:val=&quot;19DC39FE&quot;/&gt;&lt;wsp:rsid wsp:val=&quot;19DD0836&quot;/&gt;&lt;wsp:rsid wsp:val=&quot;19DE635C&quot;/&gt;&lt;wsp:rsid wsp:val=&quot;19DF45AE&quot;/&gt;&lt;wsp:rsid wsp:val=&quot;19E13325&quot;/&gt;&lt;wsp:rsid wsp:val=&quot;19E25344&quot;/&gt;&lt;wsp:rsid wsp:val=&quot;19E25E4D&quot;/&gt;&lt;wsp:rsid wsp:val=&quot;19E27BFB&quot;/&gt;&lt;wsp:rsid wsp:val=&quot;19E32A71&quot;/&gt;&lt;wsp:rsid wsp:val=&quot;19E41021&quot;/&gt;&lt;wsp:rsid wsp:val=&quot;19E41BC5&quot;/&gt;&lt;wsp:rsid wsp:val=&quot;19E44DBE&quot;/&gt;&lt;wsp:rsid wsp:val=&quot;19E46AD2&quot;/&gt;&lt;wsp:rsid wsp:val=&quot;19E716B5&quot;/&gt;&lt;wsp:rsid wsp:val=&quot;19E82D37&quot;/&gt;&lt;wsp:rsid wsp:val=&quot;19E86730&quot;/&gt;&lt;wsp:rsid wsp:val=&quot;19EC0A79&quot;/&gt;&lt;wsp:rsid wsp:val=&quot;19EC2827&quot;/&gt;&lt;wsp:rsid wsp:val=&quot;19ED66F3&quot;/&gt;&lt;wsp:rsid wsp:val=&quot;19F16090&quot;/&gt;&lt;wsp:rsid wsp:val=&quot;19F27994&quot;/&gt;&lt;wsp:rsid wsp:val=&quot;19F33BB6&quot;/&gt;&lt;wsp:rsid wsp:val=&quot;19F45B80&quot;/&gt;&lt;wsp:rsid wsp:val=&quot;19F4792E&quot;/&gt;&lt;wsp:rsid wsp:val=&quot;19F636A6&quot;/&gt;&lt;wsp:rsid wsp:val=&quot;19F960D3&quot;/&gt;&lt;wsp:rsid wsp:val=&quot;19FB2A6A&quot;/&gt;&lt;wsp:rsid wsp:val=&quot;19FC1ACA&quot;/&gt;&lt;wsp:rsid wsp:val=&quot;19FE07AD&quot;/&gt;&lt;wsp:rsid wsp:val=&quot;19FE255B&quot;/&gt;&lt;wsp:rsid wsp:val=&quot;19FF69FF&quot;/&gt;&lt;wsp:rsid wsp:val=&quot;1A02029D&quot;/&gt;&lt;wsp:rsid wsp:val=&quot;1A037B71&quot;/&gt;&lt;wsp:rsid wsp:val=&quot;1A051B3B&quot;/&gt;&lt;wsp:rsid wsp:val=&quot;1A073B05&quot;/&gt;&lt;wsp:rsid wsp:val=&quot;1A085187&quot;/&gt;&lt;wsp:rsid wsp:val=&quot;1A085C57&quot;/&gt;&lt;wsp:rsid wsp:val=&quot;1A09162B&quot;/&gt;&lt;wsp:rsid wsp:val=&quot;1A0A0EFF&quot;/&gt;&lt;wsp:rsid wsp:val=&quot;1A0C2EC9&quot;/&gt;&lt;wsp:rsid wsp:val=&quot;1A0D1571&quot;/&gt;&lt;wsp:rsid wsp:val=&quot;1A0E09F0&quot;/&gt;&lt;wsp:rsid wsp:val=&quot;1A125838&quot;/&gt;&lt;wsp:rsid wsp:val=&quot;1A165AF6&quot;/&gt;&lt;wsp:rsid wsp:val=&quot;1A17021F&quot;/&gt;&lt;wsp:rsid wsp:val=&quot;1A18186E&quot;/&gt;&lt;wsp:rsid wsp:val=&quot;1A1B135F&quot;/&gt;&lt;wsp:rsid wsp:val=&quot;1A1B1771&quot;/&gt;&lt;wsp:rsid wsp:val=&quot;1A1C516C&quot;/&gt;&lt;wsp:rsid wsp:val=&quot;1A1C66C0&quot;/&gt;&lt;wsp:rsid wsp:val=&quot;1A1E6914&quot;/&gt;&lt;wsp:rsid wsp:val=&quot;1A1F2BFD&quot;/&gt;&lt;wsp:rsid wsp:val=&quot;1A202A12&quot;/&gt;&lt;wsp:rsid wsp:val=&quot;1A217544&quot;/&gt;&lt;wsp:rsid wsp:val=&quot;1A246465&quot;/&gt;&lt;wsp:rsid wsp:val=&quot;1A266DE2&quot;/&gt;&lt;wsp:rsid wsp:val=&quot;1A271AB1&quot;/&gt;&lt;wsp:rsid wsp:val=&quot;1A293A7B&quot;/&gt;&lt;wsp:rsid wsp:val=&quot;1A295205&quot;/&gt;&lt;wsp:rsid wsp:val=&quot;1A2975D8&quot;/&gt;&lt;wsp:rsid wsp:val=&quot;1A2A3350&quot;/&gt;&lt;wsp:rsid wsp:val=&quot;1A2A6695&quot;/&gt;&lt;wsp:rsid wsp:val=&quot;1A2E2E40&quot;/&gt;&lt;wsp:rsid wsp:val=&quot;1A304E0A&quot;/&gt;&lt;wsp:rsid wsp:val=&quot;1A32422F&quot;/&gt;&lt;wsp:rsid wsp:val=&quot;1A3466FB&quot;/&gt;&lt;wsp:rsid wsp:val=&quot;1A362486&quot;/&gt;&lt;wsp:rsid wsp:val=&quot;1A380C99&quot;/&gt;&lt;wsp:rsid wsp:val=&quot;1A38596D&quot;/&gt;&lt;wsp:rsid wsp:val=&quot;1A3A17E5&quot;/&gt;&lt;wsp:rsid wsp:val=&quot;1A3A7A37&quot;/&gt;&lt;wsp:rsid wsp:val=&quot;1A3B37AF&quot;/&gt;&lt;wsp:rsid wsp:val=&quot;1A3D12D5&quot;/&gt;&lt;wsp:rsid wsp:val=&quot;1A3F329F&quot;/&gt;&lt;wsp:rsid wsp:val=&quot;1A401FFC&quot;/&gt;&lt;wsp:rsid wsp:val=&quot;1A41004A&quot;/&gt;&lt;wsp:rsid wsp:val=&quot;1A42393B&quot;/&gt;&lt;wsp:rsid wsp:val=&quot;1A424B3D&quot;/&gt;&lt;wsp:rsid wsp:val=&quot;1A444411&quot;/&gt;&lt;wsp:rsid wsp:val=&quot;1A481CA9&quot;/&gt;&lt;wsp:rsid wsp:val=&quot;1A4A57A0&quot;/&gt;&lt;wsp:rsid wsp:val=&quot;1A4C776A&quot;/&gt;&lt;wsp:rsid wsp:val=&quot;1A4D3FBF&quot;/&gt;&lt;wsp:rsid wsp:val=&quot;1A4E703E&quot;/&gt;&lt;wsp:rsid wsp:val=&quot;1A4F6E35&quot;/&gt;&lt;wsp:rsid wsp:val=&quot;1A501008&quot;/&gt;&lt;wsp:rsid wsp:val=&quot;1A501B1F&quot;/&gt;&lt;wsp:rsid wsp:val=&quot;1A50725A&quot;/&gt;&lt;wsp:rsid wsp:val=&quot;1A512F81&quot;/&gt;&lt;wsp:rsid wsp:val=&quot;1A516454&quot;/&gt;&lt;wsp:rsid wsp:val=&quot;1A516B2E&quot;/&gt;&lt;wsp:rsid wsp:val=&quot;1A5403CD&quot;/&gt;&lt;wsp:rsid wsp:val=&quot;1A553D7A&quot;/&gt;&lt;wsp:rsid wsp:val=&quot;1A554870&quot;/&gt;&lt;wsp:rsid wsp:val=&quot;1A55661F&quot;/&gt;&lt;wsp:rsid wsp:val=&quot;1A58610F&quot;/&gt;&lt;wsp:rsid wsp:val=&quot;1A5959E3&quot;/&gt;&lt;wsp:rsid wsp:val=&quot;1A5A3C35&quot;/&gt;&lt;wsp:rsid wsp:val=&quot;1A5B12B0&quot;/&gt;&lt;wsp:rsid wsp:val=&quot;1A5B79AD&quot;/&gt;&lt;wsp:rsid wsp:val=&quot;1A5E7759&quot;/&gt;&lt;wsp:rsid wsp:val=&quot;1A5F749D&quot;/&gt;&lt;wsp:rsid wsp:val=&quot;1A613215&quot;/&gt;&lt;wsp:rsid wsp:val=&quot;1A6152AE&quot;/&gt;&lt;wsp:rsid wsp:val=&quot;1A623519&quot;/&gt;&lt;wsp:rsid wsp:val=&quot;1A624B15&quot;/&gt;&lt;wsp:rsid wsp:val=&quot;1A626F8D&quot;/&gt;&lt;wsp:rsid wsp:val=&quot;1A642D06&quot;/&gt;&lt;wsp:rsid wsp:val=&quot;1A646862&quot;/&gt;&lt;wsp:rsid wsp:val=&quot;1A6525DA&quot;/&gt;&lt;wsp:rsid wsp:val=&quot;1A657CB6&quot;/&gt;&lt;wsp:rsid wsp:val=&quot;1A660A35&quot;/&gt;&lt;wsp:rsid wsp:val=&quot;1A664C6F&quot;/&gt;&lt;wsp:rsid wsp:val=&quot;1A670100&quot;/&gt;&lt;wsp:rsid wsp:val=&quot;1A697AC7&quot;/&gt;&lt;wsp:rsid wsp:val=&quot;1A6A7630&quot;/&gt;&lt;wsp:rsid wsp:val=&quot;1A6B4094&quot;/&gt;&lt;wsp:rsid wsp:val=&quot;1A6B5E42&quot;/&gt;&lt;wsp:rsid wsp:val=&quot;1A6C1BBA&quot;/&gt;&lt;wsp:rsid wsp:val=&quot;1A6C3968&quot;/&gt;&lt;wsp:rsid wsp:val=&quot;1A6E76E0&quot;/&gt;&lt;wsp:rsid wsp:val=&quot;1A705206&quot;/&gt;&lt;wsp:rsid wsp:val=&quot;1A7171D0&quot;/&gt;&lt;wsp:rsid wsp:val=&quot;1A732F49&quot;/&gt;&lt;wsp:rsid wsp:val=&quot;1A736AA5&quot;/&gt;&lt;wsp:rsid wsp:val=&quot;1A745FB8&quot;/&gt;&lt;wsp:rsid wsp:val=&quot;1A75281D&quot;/&gt;&lt;wsp:rsid wsp:val=&quot;1A771E18&quot;/&gt;&lt;wsp:rsid wsp:val=&quot;1A7840BB&quot;/&gt;&lt;wsp:rsid wsp:val=&quot;1A79701D&quot;/&gt;&lt;wsp:rsid wsp:val=&quot;1A7A42D7&quot;/&gt;&lt;wsp:rsid wsp:val=&quot;1A7A7E33&quot;/&gt;&lt;wsp:rsid wsp:val=&quot;1A7D4740&quot;/&gt;&lt;wsp:rsid wsp:val=&quot;1A7F0899&quot;/&gt;&lt;wsp:rsid wsp:val=&quot;1A7F18ED&quot;/&gt;&lt;wsp:rsid wsp:val=&quot;1A7F48BE&quot;/&gt;&lt;wsp:rsid wsp:val=&quot;1A7F5449&quot;/&gt;&lt;wsp:rsid wsp:val=&quot;1A7F7F26&quot;/&gt;&lt;wsp:rsid wsp:val=&quot;1A80748F&quot;/&gt;&lt;wsp:rsid wsp:val=&quot;1A8251FE&quot;/&gt;&lt;wsp:rsid wsp:val=&quot;1A831A43&quot;/&gt;&lt;wsp:rsid wsp:val=&quot;1A845156&quot;/&gt;&lt;wsp:rsid wsp:val=&quot;1A846F04&quot;/&gt;&lt;wsp:rsid wsp:val=&quot;1A8567D8&quot;/&gt;&lt;wsp:rsid wsp:val=&quot;1A862C7C&quot;/&gt;&lt;wsp:rsid wsp:val=&quot;1A872550&quot;/&gt;&lt;wsp:rsid wsp:val=&quot;1A8769F4&quot;/&gt;&lt;wsp:rsid wsp:val=&quot;1A89276C&quot;/&gt;&lt;wsp:rsid wsp:val=&quot;1A8962C8&quot;/&gt;&lt;wsp:rsid wsp:val=&quot;1A8B0838&quot;/&gt;&lt;wsp:rsid wsp:val=&quot;1A8C7B66&quot;/&gt;&lt;wsp:rsid wsp:val=&quot;1A8E7425&quot;/&gt;&lt;wsp:rsid wsp:val=&quot;1A8F5595&quot;/&gt;&lt;wsp:rsid wsp:val=&quot;1A9133CF&quot;/&gt;&lt;wsp:rsid wsp:val=&quot;1A927991&quot;/&gt;&lt;wsp:rsid wsp:val=&quot;1A930EF5&quot;/&gt;&lt;wsp:rsid wsp:val=&quot;1A937147&quot;/&gt;&lt;wsp:rsid wsp:val=&quot;1A945E79&quot;/&gt;&lt;wsp:rsid wsp:val=&quot;1A955654&quot;/&gt;&lt;wsp:rsid wsp:val=&quot;1A9616B5&quot;/&gt;&lt;wsp:rsid wsp:val=&quot;1A974E89&quot;/&gt;&lt;wsp:rsid wsp:val=&quot;1A976C37&quot;/&gt;&lt;wsp:rsid wsp:val=&quot;1A9829AF&quot;/&gt;&lt;wsp:rsid wsp:val=&quot;1A98650B&quot;/&gt;&lt;wsp:rsid wsp:val=&quot;1A99596C&quot;/&gt;&lt;wsp:rsid wsp:val=&quot;1A996BA6&quot;/&gt;&lt;wsp:rsid wsp:val=&quot;1A9A04D5&quot;/&gt;&lt;wsp:rsid wsp:val=&quot;1A9A2283&quot;/&gt;&lt;wsp:rsid wsp:val=&quot;1A9B5DC1&quot;/&gt;&lt;wsp:rsid wsp:val=&quot;1A9B5FFB&quot;/&gt;&lt;wsp:rsid wsp:val=&quot;1A9C424D&quot;/&gt;&lt;wsp:rsid wsp:val=&quot;1A9D6217&quot;/&gt;&lt;wsp:rsid wsp:val=&quot;1A9D7FC6&quot;/&gt;&lt;wsp:rsid wsp:val=&quot;1A9F3D91&quot;/&gt;&lt;wsp:rsid wsp:val=&quot;1AA44EB0&quot;/&gt;&lt;wsp:rsid wsp:val=&quot;1AA650CC&quot;/&gt;&lt;wsp:rsid wsp:val=&quot;1AA83ACA&quot;/&gt;&lt;wsp:rsid wsp:val=&quot;1AA85116&quot;/&gt;&lt;wsp:rsid wsp:val=&quot;1AA904B4&quot;/&gt;&lt;wsp:rsid wsp:val=&quot;1AA94F5A&quot;/&gt;&lt;wsp:rsid wsp:val=&quot;1AAD45DE&quot;/&gt;&lt;wsp:rsid wsp:val=&quot;1AB23A71&quot;/&gt;&lt;wsp:rsid wsp:val=&quot;1AB31597&quot;/&gt;&lt;wsp:rsid wsp:val=&quot;1AB377E9&quot;/&gt;&lt;wsp:rsid wsp:val=&quot;1AB50B4C&quot;/&gt;&lt;wsp:rsid wsp:val=&quot;1AB53561&quot;/&gt;&lt;wsp:rsid wsp:val=&quot;1AB5530F&quot;/&gt;&lt;wsp:rsid wsp:val=&quot;1AB62E35&quot;/&gt;&lt;wsp:rsid wsp:val=&quot;1AB64BE3&quot;/&gt;&lt;wsp:rsid wsp:val=&quot;1AB772D9&quot;/&gt;&lt;wsp:rsid wsp:val=&quot;1AB8095B&quot;/&gt;&lt;wsp:rsid wsp:val=&quot;1AB86BAD&quot;/&gt;&lt;wsp:rsid wsp:val=&quot;1ABA0AB0&quot;/&gt;&lt;wsp:rsid wsp:val=&quot;1ABA2925&quot;/&gt;&lt;wsp:rsid wsp:val=&quot;1ABA46D4&quot;/&gt;&lt;wsp:rsid wsp:val=&quot;1ABB36ED&quot;/&gt;&lt;wsp:rsid wsp:val=&quot;1ABC044C&quot;/&gt;&lt;wsp:rsid wsp:val=&quot;1ABC3300&quot;/&gt;&lt;wsp:rsid wsp:val=&quot;1ABC669E&quot;/&gt;&lt;wsp:rsid wsp:val=&quot;1ABE2B6C&quot;/&gt;&lt;wsp:rsid wsp:val=&quot;1ABF1CEA&quot;/&gt;&lt;wsp:rsid wsp:val=&quot;1ABF618E&quot;/&gt;&lt;wsp:rsid wsp:val=&quot;1AC1548A&quot;/&gt;&lt;wsp:rsid wsp:val=&quot;1AC15DB2&quot;/&gt;&lt;wsp:rsid wsp:val=&quot;1AC25D02&quot;/&gt;&lt;wsp:rsid wsp:val=&quot;1AC44733&quot;/&gt;&lt;wsp:rsid wsp:val=&quot;1ACB0E78&quot;/&gt;&lt;wsp:rsid wsp:val=&quot;1ACB68E1&quot;/&gt;&lt;wsp:rsid wsp:val=&quot;1ACD08AB&quot;/&gt;&lt;wsp:rsid wsp:val=&quot;1ACE63D1&quot;/&gt;&lt;wsp:rsid wsp:val=&quot;1ACF0052&quot;/&gt;&lt;wsp:rsid wsp:val=&quot;1ACF28C7&quot;/&gt;&lt;wsp:rsid wsp:val=&quot;1AD0039B&quot;/&gt;&lt;wsp:rsid wsp:val=&quot;1AD25EC1&quot;/&gt;&lt;wsp:rsid wsp:val=&quot;1AD27C6F&quot;/&gt;&lt;wsp:rsid wsp:val=&quot;1AD5775F&quot;/&gt;&lt;wsp:rsid wsp:val=&quot;1AD82DAC&quot;/&gt;&lt;wsp:rsid wsp:val=&quot;1AD82DBB&quot;/&gt;&lt;wsp:rsid wsp:val=&quot;1AD87250&quot;/&gt;&lt;wsp:rsid wsp:val=&quot;1ADA0851&quot;/&gt;&lt;wsp:rsid wsp:val=&quot;1ADB7DE9&quot;/&gt;&lt;wsp:rsid wsp:val=&quot;1ADD03C2&quot;/&gt;&lt;wsp:rsid wsp:val=&quot;1ADD6614&quot;/&gt;&lt;wsp:rsid wsp:val=&quot;1ADF0DA0&quot;/&gt;&lt;wsp:rsid wsp:val=&quot;1AE027CB&quot;/&gt;&lt;wsp:rsid wsp:val=&quot;1AE134A6&quot;/&gt;&lt;wsp:rsid wsp:val=&quot;1AE41750&quot;/&gt;&lt;wsp:rsid wsp:val=&quot;1AE42047&quot;/&gt;&lt;wsp:rsid wsp:val=&quot;1AE668CA&quot;/&gt;&lt;wsp:rsid wsp:val=&quot;1AE8445E&quot;/&gt;&lt;wsp:rsid wsp:val=&quot;1AEA223A&quot;/&gt;&lt;wsp:rsid wsp:val=&quot;1AED4AA9&quot;/&gt;&lt;wsp:rsid wsp:val=&quot;1AF000F5&quot;/&gt;&lt;wsp:rsid wsp:val=&quot;1AF04599&quot;/&gt;&lt;wsp:rsid wsp:val=&quot;1AF13E3A&quot;/&gt;&lt;wsp:rsid wsp:val=&quot;1AF220BF&quot;/&gt;&lt;wsp:rsid wsp:val=&quot;1AF23E6D&quot;/&gt;&lt;wsp:rsid wsp:val=&quot;1AF249A6&quot;/&gt;&lt;wsp:rsid wsp:val=&quot;1AF44089&quot;/&gt;&lt;wsp:rsid wsp:val=&quot;1AF53561&quot;/&gt;&lt;wsp:rsid wsp:val=&quot;1AF5395E&quot;/&gt;&lt;wsp:rsid wsp:val=&quot;1AF5570C&quot;/&gt;&lt;wsp:rsid wsp:val=&quot;1AF71484&quot;/&gt;&lt;wsp:rsid wsp:val=&quot;1AF80A52&quot;/&gt;&lt;wsp:rsid wsp:val=&quot;1AF93B85&quot;/&gt;&lt;wsp:rsid wsp:val=&quot;1AF948E2&quot;/&gt;&lt;wsp:rsid wsp:val=&quot;1AFA6E09&quot;/&gt;&lt;wsp:rsid wsp:val=&quot;1AFB691B&quot;/&gt;&lt;wsp:rsid wsp:val=&quot;1AFC1190&quot;/&gt;&lt;wsp:rsid wsp:val=&quot;1AFC4CEC&quot;/&gt;&lt;wsp:rsid wsp:val=&quot;1AFC77B4&quot;/&gt;&lt;wsp:rsid wsp:val=&quot;1AFD0A64&quot;/&gt;&lt;wsp:rsid wsp:val=&quot;1AFD2812&quot;/&gt;&lt;wsp:rsid wsp:val=&quot;1AFD7122&quot;/&gt;&lt;wsp:rsid wsp:val=&quot;1B0167A6&quot;/&gt;&lt;wsp:rsid wsp:val=&quot;1B046F80&quot;/&gt;&lt;wsp:rsid wsp:val=&quot;1B062C5C&quot;/&gt;&lt;wsp:rsid wsp:val=&quot;1B065B6B&quot;/&gt;&lt;wsp:rsid wsp:val=&quot;1B0818E3&quot;/&gt;&lt;wsp:rsid wsp:val=&quot;1B083691&quot;/&gt;&lt;wsp:rsid wsp:val=&quot;1B09565B&quot;/&gt;&lt;wsp:rsid wsp:val=&quot;1B097409&quot;/&gt;&lt;wsp:rsid wsp:val=&quot;1B0D0CA7&quot;/&gt;&lt;wsp:rsid wsp:val=&quot;1B0D6EF9&quot;/&gt;&lt;wsp:rsid wsp:val=&quot;1B0E67CD&quot;/&gt;&lt;wsp:rsid wsp:val=&quot;1B100797&quot;/&gt;&lt;wsp:rsid wsp:val=&quot;1B102545&quot;/&gt;&lt;wsp:rsid wsp:val=&quot;1B122762&quot;/&gt;&lt;wsp:rsid wsp:val=&quot;1B124510&quot;/&gt;&lt;wsp:rsid wsp:val=&quot;1B132036&quot;/&gt;&lt;wsp:rsid wsp:val=&quot;1B13463A&quot;/&gt;&lt;wsp:rsid wsp:val=&quot;1B140288&quot;/&gt;&lt;wsp:rsid wsp:val=&quot;1B1464DA&quot;/&gt;&lt;wsp:rsid wsp:val=&quot;1B164CDF&quot;/&gt;&lt;wsp:rsid wsp:val=&quot;1B171B26&quot;/&gt;&lt;wsp:rsid wsp:val=&quot;1B1738D4&quot;/&gt;&lt;wsp:rsid wsp:val=&quot;1B183A21&quot;/&gt;&lt;wsp:rsid wsp:val=&quot;1B1868FB&quot;/&gt;&lt;wsp:rsid wsp:val=&quot;1B1878E3&quot;/&gt;&lt;wsp:rsid wsp:val=&quot;1B193AF0&quot;/&gt;&lt;wsp:rsid wsp:val=&quot;1B19589E&quot;/&gt;&lt;wsp:rsid wsp:val=&quot;1B1C0EEA&quot;/&gt;&lt;wsp:rsid wsp:val=&quot;1B1C713C&quot;/&gt;&lt;wsp:rsid wsp:val=&quot;1B1D4C62&quot;/&gt;&lt;wsp:rsid wsp:val=&quot;1B1F09DB&quot;/&gt;&lt;wsp:rsid wsp:val=&quot;1B210BF7&quot;/&gt;&lt;wsp:rsid wsp:val=&quot;1B2279AD&quot;/&gt;&lt;wsp:rsid wsp:val=&quot;1B231886&quot;/&gt;&lt;wsp:rsid wsp:val=&quot;1B23671D&quot;/&gt;&lt;wsp:rsid wsp:val=&quot;1B245FF1&quot;/&gt;&lt;wsp:rsid wsp:val=&quot;1B261D69&quot;/&gt;&lt;wsp:rsid wsp:val=&quot;1B283D33&quot;/&gt;&lt;wsp:rsid wsp:val=&quot;1B291859&quot;/&gt;&lt;wsp:rsid wsp:val=&quot;1B2B55D1&quot;/&gt;&lt;wsp:rsid wsp:val=&quot;1B2B737F&quot;/&gt;&lt;wsp:rsid wsp:val=&quot;1B2D1349&quot;/&gt;&lt;wsp:rsid wsp:val=&quot;1B2E0C1E&quot;/&gt;&lt;wsp:rsid wsp:val=&quot;1B2E6E70&quot;/&gt;&lt;wsp:rsid wsp:val=&quot;1B304B82&quot;/&gt;&lt;wsp:rsid wsp:val=&quot;1B3267B5&quot;/&gt;&lt;wsp:rsid wsp:val=&quot;1B3274A2&quot;/&gt;&lt;wsp:rsid wsp:val=&quot;1B34092A&quot;/&gt;&lt;wsp:rsid wsp:val=&quot;1B3426D8&quot;/&gt;&lt;wsp:rsid wsp:val=&quot;1B356450&quot;/&gt;&lt;wsp:rsid wsp:val=&quot;1B3721C8&quot;/&gt;&lt;wsp:rsid wsp:val=&quot;1B3A6618&quot;/&gt;&lt;wsp:rsid wsp:val=&quot;1B3A75C2&quot;/&gt;&lt;wsp:rsid wsp:val=&quot;1B3B1CB8&quot;/&gt;&lt;wsp:rsid wsp:val=&quot;1B3C333B&quot;/&gt;&lt;wsp:rsid wsp:val=&quot;1B3F2E2B&quot;/&gt;&lt;wsp:rsid wsp:val=&quot;1B40161D&quot;/&gt;&lt;wsp:rsid wsp:val=&quot;1B4072CF&quot;/&gt;&lt;wsp:rsid wsp:val=&quot;1B416BA3&quot;/&gt;&lt;wsp:rsid wsp:val=&quot;1B420B0D&quot;/&gt;&lt;wsp:rsid wsp:val=&quot;1B425808&quot;/&gt;&lt;wsp:rsid wsp:val=&quot;1B441859&quot;/&gt;&lt;wsp:rsid wsp:val=&quot;1B446693&quot;/&gt;&lt;wsp:rsid wsp:val=&quot;1B4548E5&quot;/&gt;&lt;wsp:rsid wsp:val=&quot;1B46065D&quot;/&gt;&lt;wsp:rsid wsp:val=&quot;1B460869&quot;/&gt;&lt;wsp:rsid wsp:val=&quot;1B4641B9&quot;/&gt;&lt;wsp:rsid wsp:val=&quot;1B47113D&quot;/&gt;&lt;wsp:rsid wsp:val=&quot;1B486183&quot;/&gt;&lt;wsp:rsid wsp:val=&quot;1B487F31&quot;/&gt;&lt;wsp:rsid wsp:val=&quot;1B4D553A&quot;/&gt;&lt;wsp:rsid wsp:val=&quot;1B4E6A14&quot;/&gt;&lt;wsp:rsid wsp:val=&quot;1B4F12C0&quot;/&gt;&lt;wsp:rsid wsp:val=&quot;1B50328A&quot;/&gt;&lt;wsp:rsid wsp:val=&quot;1B5055FC&quot;/&gt;&lt;wsp:rsid wsp:val=&quot;1B513B85&quot;/&gt;&lt;wsp:rsid wsp:val=&quot;1B5205F1&quot;/&gt;&lt;wsp:rsid wsp:val=&quot;1B527002&quot;/&gt;&lt;wsp:rsid wsp:val=&quot;1B536E34&quot;/&gt;&lt;wsp:rsid wsp:val=&quot;1B54283C&quot;/&gt;&lt;wsp:rsid wsp:val=&quot;1B5508A0&quot;/&gt;&lt;wsp:rsid wsp:val=&quot;1B5763C6&quot;/&gt;&lt;wsp:rsid wsp:val=&quot;1B590390&quot;/&gt;&lt;wsp:rsid wsp:val=&quot;1B5A3299&quot;/&gt;&lt;wsp:rsid wsp:val=&quot;1B5A7C65&quot;/&gt;&lt;wsp:rsid wsp:val=&quot;1B5C270F&quot;/&gt;&lt;wsp:rsid wsp:val=&quot;1B5C578B&quot;/&gt;&lt;wsp:rsid wsp:val=&quot;1B5E7755&quot;/&gt;&lt;wsp:rsid wsp:val=&quot;1B6034CD&quot;/&gt;&lt;wsp:rsid wsp:val=&quot;1B617245&quot;/&gt;&lt;wsp:rsid wsp:val=&quot;1B632FBD&quot;/&gt;&lt;wsp:rsid wsp:val=&quot;1B634D6B&quot;/&gt;&lt;wsp:rsid wsp:val=&quot;1B642891&quot;/&gt;&lt;wsp:rsid wsp:val=&quot;1B656D35&quot;/&gt;&lt;wsp:rsid wsp:val=&quot;1B6606B1&quot;/&gt;&lt;wsp:rsid wsp:val=&quot;1B662AAD&quot;/&gt;&lt;wsp:rsid wsp:val=&quot;1B6B2203&quot;/&gt;&lt;wsp:rsid wsp:val=&quot;1B6B3C20&quot;/&gt;&lt;wsp:rsid wsp:val=&quot;1B6C00C4&quot;/&gt;&lt;wsp:rsid wsp:val=&quot;1B6D06BB&quot;/&gt;&lt;wsp:rsid wsp:val=&quot;1B6D1746&quot;/&gt;&lt;wsp:rsid wsp:val=&quot;1B6D5BEA&quot;/&gt;&lt;wsp:rsid wsp:val=&quot;1B6E63C8&quot;/&gt;&lt;wsp:rsid wsp:val=&quot;1B7150E0&quot;/&gt;&lt;wsp:rsid wsp:val=&quot;1B740D26&quot;/&gt;&lt;wsp:rsid wsp:val=&quot;1B745043&quot;/&gt;&lt;wsp:rsid wsp:val=&quot;1B75684C&quot;/&gt;&lt;wsp:rsid wsp:val=&quot;1B7A20B5&quot;/&gt;&lt;wsp:rsid wsp:val=&quot;1B7B0307&quot;/&gt;&lt;wsp:rsid wsp:val=&quot;1B7E3953&quot;/&gt;&lt;wsp:rsid wsp:val=&quot;1B7E7DF7&quot;/&gt;&lt;wsp:rsid wsp:val=&quot;1B803B6F&quot;/&gt;&lt;wsp:rsid wsp:val=&quot;1B80591D&quot;/&gt;&lt;wsp:rsid wsp:val=&quot;1B811695&quot;/&gt;&lt;wsp:rsid wsp:val=&quot;1B821746&quot;/&gt;&lt;wsp:rsid wsp:val=&quot;1B830F69&quot;/&gt;&lt;wsp:rsid wsp:val=&quot;1B8314EE&quot;/&gt;&lt;wsp:rsid wsp:val=&quot;1B83540D&quot;/&gt;&lt;wsp:rsid wsp:val=&quot;1B851185&quot;/&gt;&lt;wsp:rsid wsp:val=&quot;1B886580&quot;/&gt;&lt;wsp:rsid wsp:val=&quot;1B8A679C&quot;/&gt;&lt;wsp:rsid wsp:val=&quot;1B8B6070&quot;/&gt;&lt;wsp:rsid wsp:val=&quot;1B8D003A&quot;/&gt;&lt;wsp:rsid wsp:val=&quot;1B8D1DE8&quot;/&gt;&lt;wsp:rsid wsp:val=&quot;1B903686&quot;/&gt;&lt;wsp:rsid wsp:val=&quot;1B9211AC&quot;/&gt;&lt;wsp:rsid wsp:val=&quot;1B93683E&quot;/&gt;&lt;wsp:rsid wsp:val=&quot;1B940383&quot;/&gt;&lt;wsp:rsid wsp:val=&quot;1B9413C8&quot;/&gt;&lt;wsp:rsid wsp:val=&quot;1B943177&quot;/&gt;&lt;wsp:rsid wsp:val=&quot;1B966EEF&quot;/&gt;&lt;wsp:rsid wsp:val=&quot;1B971F0C&quot;/&gt;&lt;wsp:rsid wsp:val=&quot;1B972C67&quot;/&gt;&lt;wsp:rsid wsp:val=&quot;1B974235&quot;/&gt;&lt;wsp:rsid wsp:val=&quot;1B974A15&quot;/&gt;&lt;wsp:rsid wsp:val=&quot;1B99253B&quot;/&gt;&lt;wsp:rsid wsp:val=&quot;1B9969DF&quot;/&gt;&lt;wsp:rsid wsp:val=&quot;1B997ADF&quot;/&gt;&lt;wsp:rsid wsp:val=&quot;1B9A62B3&quot;/&gt;&lt;wsp:rsid wsp:val=&quot;1B9B2757&quot;/&gt;&lt;wsp:rsid wsp:val=&quot;1B9B4FD0&quot;/&gt;&lt;wsp:rsid wsp:val=&quot;1B9C202B&quot;/&gt;&lt;wsp:rsid wsp:val=&quot;1B9C64CF&quot;/&gt;&lt;wsp:rsid wsp:val=&quot;1B9E2247&quot;/&gt;&lt;wsp:rsid wsp:val=&quot;1B9E5DA3&quot;/&gt;&lt;wsp:rsid wsp:val=&quot;1B9F4DE1&quot;/&gt;&lt;wsp:rsid wsp:val=&quot;1BA07D6D&quot;/&gt;&lt;wsp:rsid wsp:val=&quot;1BA15893&quot;/&gt;&lt;wsp:rsid wsp:val=&quot;1BA16335&quot;/&gt;&lt;wsp:rsid wsp:val=&quot;1BA333BA&quot;/&gt;&lt;wsp:rsid wsp:val=&quot;1BA336A4&quot;/&gt;&lt;wsp:rsid wsp:val=&quot;1BA3785E&quot;/&gt;&lt;wsp:rsid wsp:val=&quot;1BA52394&quot;/&gt;&lt;wsp:rsid wsp:val=&quot;1BA54BF7&quot;/&gt;&lt;wsp:rsid wsp:val=&quot;1BA8306E&quot;/&gt;&lt;wsp:rsid wsp:val=&quot;1BA84E74&quot;/&gt;&lt;wsp:rsid wsp:val=&quot;1BAA4748&quot;/&gt;&lt;wsp:rsid wsp:val=&quot;1BAA7012&quot;/&gt;&lt;wsp:rsid wsp:val=&quot;1BAF7FB0&quot;/&gt;&lt;wsp:rsid wsp:val=&quot;1BB00743&quot;/&gt;&lt;wsp:rsid wsp:val=&quot;1BB05AD7&quot;/&gt;&lt;wsp:rsid wsp:val=&quot;1BB235FD&quot;/&gt;&lt;wsp:rsid wsp:val=&quot;1BB33257&quot;/&gt;&lt;wsp:rsid wsp:val=&quot;1BB43819&quot;/&gt;&lt;wsp:rsid wsp:val=&quot;1BB446E7&quot;/&gt;&lt;wsp:rsid wsp:val=&quot;1BB455C7&quot;/&gt;&lt;wsp:rsid wsp:val=&quot;1BB47375&quot;/&gt;&lt;wsp:rsid wsp:val=&quot;1BB6133F&quot;/&gt;&lt;wsp:rsid wsp:val=&quot;1BB630ED&quot;/&gt;&lt;wsp:rsid wsp:val=&quot;1BB83309&quot;/&gt;&lt;wsp:rsid wsp:val=&quot;1BB83D63&quot;/&gt;&lt;wsp:rsid wsp:val=&quot;1BB9498B&quot;/&gt;&lt;wsp:rsid wsp:val=&quot;1BBB0703&quot;/&gt;&lt;wsp:rsid wsp:val=&quot;1BBC26CD&quot;/&gt;&lt;wsp:rsid wsp:val=&quot;1BC00C8C&quot;/&gt;&lt;wsp:rsid wsp:val=&quot;1BC22CF3&quot;/&gt;&lt;wsp:rsid wsp:val=&quot;1BC33A5C&quot;/&gt;&lt;wsp:rsid wsp:val=&quot;1BC54939&quot;/&gt;&lt;wsp:rsid wsp:val=&quot;1BC6429E&quot;/&gt;&lt;wsp:rsid wsp:val=&quot;1BC7354C&quot;/&gt;&lt;wsp:rsid wsp:val=&quot;1BC81072&quot;/&gt;&lt;wsp:rsid wsp:val=&quot;1BCA4DEA&quot;/&gt;&lt;wsp:rsid wsp:val=&quot;1BCD6688&quot;/&gt;&lt;wsp:rsid wsp:val=&quot;1BCF2401&quot;/&gt;&lt;wsp:rsid wsp:val=&quot;1BCF616F&quot;/&gt;&lt;wsp:rsid wsp:val=&quot;1BD113B1&quot;/&gt;&lt;wsp:rsid wsp:val=&quot;1BD143CB&quot;/&gt;&lt;wsp:rsid wsp:val=&quot;1BD16179&quot;/&gt;&lt;wsp:rsid wsp:val=&quot;1BD51108&quot;/&gt;&lt;wsp:rsid wsp:val=&quot;1BD6378F&quot;/&gt;&lt;wsp:rsid wsp:val=&quot;1BD6553D&quot;/&gt;&lt;wsp:rsid wsp:val=&quot;1BD712B5&quot;/&gt;&lt;wsp:rsid wsp:val=&quot;1BD73063&quot;/&gt;&lt;wsp:rsid wsp:val=&quot;1BD83AE2&quot;/&gt;&lt;wsp:rsid wsp:val=&quot;1BD87507&quot;/&gt;&lt;wsp:rsid wsp:val=&quot;1BDB0DA5&quot;/&gt;&lt;wsp:rsid wsp:val=&quot;1BDB6FF7&quot;/&gt;&lt;wsp:rsid wsp:val=&quot;1BDD2D6F&quot;/&gt;&lt;wsp:rsid wsp:val=&quot;1BDD4B1E&quot;/&gt;&lt;wsp:rsid wsp:val=&quot;1BDE0896&quot;/&gt;&lt;wsp:rsid wsp:val=&quot;1BE0016A&quot;/&gt;&lt;wsp:rsid wsp:val=&quot;1BE0460E&quot;/&gt;&lt;wsp:rsid wsp:val=&quot;1BE063BC&quot;/&gt;&lt;wsp:rsid wsp:val=&quot;1BE27765&quot;/&gt;&lt;wsp:rsid wsp:val=&quot;1BE337C6&quot;/&gt;&lt;wsp:rsid wsp:val=&quot;1BE340FE&quot;/&gt;&lt;wsp:rsid wsp:val=&quot;1BE37C5A&quot;/&gt;&lt;wsp:rsid wsp:val=&quot;1BE50852&quot;/&gt;&lt;wsp:rsid wsp:val=&quot;1BE51C24&quot;/&gt;&lt;wsp:rsid wsp:val=&quot;1BE72645&quot;/&gt;&lt;wsp:rsid wsp:val=&quot;1BE834C2&quot;/&gt;&lt;wsp:rsid wsp:val=&quot;1BEA2D97&quot;/&gt;&lt;wsp:rsid wsp:val=&quot;1BEC4D61&quot;/&gt;&lt;wsp:rsid wsp:val=&quot;1BED0AD9&quot;/&gt;&lt;wsp:rsid wsp:val=&quot;1BED1C9A&quot;/&gt;&lt;wsp:rsid wsp:val=&quot;1BEE6D2B&quot;/&gt;&lt;wsp:rsid wsp:val=&quot;1BEF1D69&quot;/&gt;&lt;wsp:rsid wsp:val=&quot;1BEF65FF&quot;/&gt;&lt;wsp:rsid wsp:val=&quot;1BF12377&quot;/&gt;&lt;wsp:rsid wsp:val=&quot;1BF14125&quot;/&gt;&lt;wsp:rsid wsp:val=&quot;1BF15DCA&quot;/&gt;&lt;wsp:rsid wsp:val=&quot;1BF52663&quot;/&gt;&lt;wsp:rsid wsp:val=&quot;1BF53B0B&quot;/&gt;&lt;wsp:rsid wsp:val=&quot;1BF9122C&quot;/&gt;&lt;wsp:rsid wsp:val=&quot;1BF956CF&quot;/&gt;&lt;wsp:rsid wsp:val=&quot;1BFC644E&quot;/&gt;&lt;wsp:rsid wsp:val=&quot;1BFD51C0&quot;/&gt;&lt;wsp:rsid wsp:val=&quot;1C00442F&quot;/&gt;&lt;wsp:rsid wsp:val=&quot;1C006A5E&quot;/&gt;&lt;wsp:rsid wsp:val=&quot;1C060C5F&quot;/&gt;&lt;wsp:rsid wsp:val=&quot;1C07212D&quot;/&gt;&lt;wsp:rsid wsp:val=&quot;1C07681D&quot;/&gt;&lt;wsp:rsid wsp:val=&quot;1C094526&quot;/&gt;&lt;wsp:rsid wsp:val=&quot;1C0C5403&quot;/&gt;&lt;wsp:rsid wsp:val=&quot;1C0D44A1&quot;/&gt;&lt;wsp:rsid wsp:val=&quot;1C0D4CD7&quot;/&gt;&lt;wsp:rsid wsp:val=&quot;1C0E2F29&quot;/&gt;&lt;wsp:rsid wsp:val=&quot;1C0E52F2&quot;/&gt;&lt;wsp:rsid wsp:val=&quot;1C0F4EF3&quot;/&gt;&lt;wsp:rsid wsp:val=&quot;1C0F6623&quot;/&gt;&lt;wsp:rsid wsp:val=&quot;1C0F7C12&quot;/&gt;&lt;wsp:rsid wsp:val=&quot;1C11391D&quot;/&gt;&lt;wsp:rsid wsp:val=&quot;1C136593&quot;/&gt;&lt;wsp:rsid wsp:val=&quot;1C137840&quot;/&gt;&lt;wsp:rsid wsp:val=&quot;1C142509&quot;/&gt;&lt;wsp:rsid wsp:val=&quot;1C146065&quot;/&gt;&lt;wsp:rsid wsp:val=&quot;1C161DDD&quot;/&gt;&lt;wsp:rsid wsp:val=&quot;1C166281&quot;/&gt;&lt;wsp:rsid wsp:val=&quot;1C1918CE&quot;/&gt;&lt;wsp:rsid wsp:val=&quot;1C19367C&quot;/&gt;&lt;wsp:rsid wsp:val=&quot;1C1979F2&quot;/&gt;&lt;wsp:rsid wsp:val=&quot;1C197B20&quot;/&gt;&lt;wsp:rsid wsp:val=&quot;1C1A5BB7&quot;/&gt;&lt;wsp:rsid wsp:val=&quot;1C1B73F4&quot;/&gt;&lt;wsp:rsid wsp:val=&quot;1C1C4F1A&quot;/&gt;&lt;wsp:rsid wsp:val=&quot;1C1E6EE4&quot;/&gt;&lt;wsp:rsid wsp:val=&quot;1C204A0A&quot;/&gt;&lt;wsp:rsid wsp:val=&quot;1C220782&quot;/&gt;&lt;wsp:rsid wsp:val=&quot;1C255EC7&quot;/&gt;&lt;wsp:rsid wsp:val=&quot;1C27113C&quot;/&gt;&lt;wsp:rsid wsp:val=&quot;1C27223D&quot;/&gt;&lt;wsp:rsid wsp:val=&quot;1C273FEB&quot;/&gt;&lt;wsp:rsid wsp:val=&quot;1C275D99&quot;/&gt;&lt;wsp:rsid wsp:val=&quot;1C275E99&quot;/&gt;&lt;wsp:rsid wsp:val=&quot;1C283220&quot;/&gt;&lt;wsp:rsid wsp:val=&quot;1C2A2BB9&quot;/&gt;&lt;wsp:rsid wsp:val=&quot;1C2B39D2&quot;/&gt;&lt;wsp:rsid wsp:val=&quot;1C2C1F7B&quot;/&gt;&lt;wsp:rsid wsp:val=&quot;1C2D7127&quot;/&gt;&lt;wsp:rsid wsp:val=&quot;1C2F10F1&quot;/&gt;&lt;wsp:rsid wsp:val=&quot;1C2F4C4D&quot;/&gt;&lt;wsp:rsid wsp:val=&quot;1C3109C5&quot;/&gt;&lt;wsp:rsid wsp:val=&quot;1C316C17&quot;/&gt;&lt;wsp:rsid wsp:val=&quot;1C323C9A&quot;/&gt;&lt;wsp:rsid wsp:val=&quot;1C33298F&quot;/&gt;&lt;wsp:rsid wsp:val=&quot;1C3644FE&quot;/&gt;&lt;wsp:rsid wsp:val=&quot;1C365FDC&quot;/&gt;&lt;wsp:rsid wsp:val=&quot;1C381D54&quot;/&gt;&lt;wsp:rsid wsp:val=&quot;1C384DEE&quot;/&gt;&lt;wsp:rsid wsp:val=&quot;1C386E1E&quot;/&gt;&lt;wsp:rsid wsp:val=&quot;1C3B1844&quot;/&gt;&lt;wsp:rsid wsp:val=&quot;1C3B5CE8&quot;/&gt;&lt;wsp:rsid wsp:val=&quot;1C3B7A96&quot;/&gt;&lt;wsp:rsid wsp:val=&quot;1C3E1334&quot;/&gt;&lt;wsp:rsid wsp:val=&quot;1C3F7586&quot;/&gt;&lt;wsp:rsid wsp:val=&quot;1C427076&quot;/&gt;&lt;wsp:rsid wsp:val=&quot;1C44694B&quot;/&gt;&lt;wsp:rsid wsp:val=&quot;1C450915&quot;/&gt;&lt;wsp:rsid wsp:val=&quot;1C452B63&quot;/&gt;&lt;wsp:rsid wsp:val=&quot;1C454471&quot;/&gt;&lt;wsp:rsid wsp:val=&quot;1C493F61&quot;/&gt;&lt;wsp:rsid wsp:val=&quot;1C4A7CD9&quot;/&gt;&lt;wsp:rsid wsp:val=&quot;1C4E1577&quot;/&gt;&lt;wsp:rsid wsp:val=&quot;1C4E77C9&quot;/&gt;&lt;wsp:rsid wsp:val=&quot;1C4F3541&quot;/&gt;&lt;wsp:rsid wsp:val=&quot;1C4F709D&quot;/&gt;&lt;wsp:rsid wsp:val=&quot;1C534DE0&quot;/&gt;&lt;wsp:rsid wsp:val=&quot;1C5365F7&quot;/&gt;&lt;wsp:rsid wsp:val=&quot;1C542906&quot;/&gt;&lt;wsp:rsid wsp:val=&quot;1C550B58&quot;/&gt;&lt;wsp:rsid wsp:val=&quot;1C556925&quot;/&gt;&lt;wsp:rsid wsp:val=&quot;1C5648D0&quot;/&gt;&lt;wsp:rsid wsp:val=&quot;1C56667E&quot;/&gt;&lt;wsp:rsid wsp:val=&quot;1C5841A4&quot;/&gt;&lt;wsp:rsid wsp:val=&quot;1C597898&quot;/&gt;&lt;wsp:rsid wsp:val=&quot;1C597F1C&quot;/&gt;&lt;wsp:rsid wsp:val=&quot;1C5A43C0&quot;/&gt;&lt;wsp:rsid wsp:val=&quot;1C5A616E&quot;/&gt;&lt;wsp:rsid wsp:val=&quot;1C5B1EE6&quot;/&gt;&lt;wsp:rsid wsp:val=&quot;1C5B1F44&quot;/&gt;&lt;wsp:rsid wsp:val=&quot;1C5D5C5E&quot;/&gt;&lt;wsp:rsid wsp:val=&quot;1C5D76A9&quot;/&gt;&lt;wsp:rsid wsp:val=&quot;1C5E7925&quot;/&gt;&lt;wsp:rsid wsp:val=&quot;1C5F3784&quot;/&gt;&lt;wsp:rsid wsp:val=&quot;1C6012AB&quot;/&gt;&lt;wsp:rsid wsp:val=&quot;1C6074FD&quot;/&gt;&lt;wsp:rsid wsp:val=&quot;1C647269&quot;/&gt;&lt;wsp:rsid wsp:val=&quot;1C670E28&quot;/&gt;&lt;wsp:rsid wsp:val=&quot;1C676ADD&quot;/&gt;&lt;wsp:rsid wsp:val=&quot;1C6A081D&quot;/&gt;&lt;wsp:rsid wsp:val=&quot;1C6B037B&quot;/&gt;&lt;wsp:rsid wsp:val=&quot;1C6C40F3&quot;/&gt;&lt;wsp:rsid wsp:val=&quot;1C6C5D0E&quot;/&gt;&lt;wsp:rsid wsp:val=&quot;1C6C5EA1&quot;/&gt;&lt;wsp:rsid wsp:val=&quot;1C6D0A22&quot;/&gt;&lt;wsp:rsid wsp:val=&quot;1C6D36AD&quot;/&gt;&lt;wsp:rsid wsp:val=&quot;1C6D4832&quot;/&gt;&lt;wsp:rsid wsp:val=&quot;1C6E39C8&quot;/&gt;&lt;wsp:rsid wsp:val=&quot;1C71170A&quot;/&gt;&lt;wsp:rsid wsp:val=&quot;1C730FDE&quot;/&gt;&lt;wsp:rsid wsp:val=&quot;1C752FA8&quot;/&gt;&lt;wsp:rsid wsp:val=&quot;1C774686&quot;/&gt;&lt;wsp:rsid wsp:val=&quot;1C7A05BE&quot;/&gt;&lt;wsp:rsid wsp:val=&quot;1C7A37FF&quot;/&gt;&lt;wsp:rsid wsp:val=&quot;1C7B7E93&quot;/&gt;&lt;wsp:rsid wsp:val=&quot;1C7C3B8D&quot;/&gt;&lt;wsp:rsid wsp:val=&quot;1C7D00AF&quot;/&gt;&lt;wsp:rsid wsp:val=&quot;1C7D72F4&quot;/&gt;&lt;wsp:rsid wsp:val=&quot;1C7F3E27&quot;/&gt;&lt;wsp:rsid wsp:val=&quot;1C7F7983&quot;/&gt;&lt;wsp:rsid wsp:val=&quot;1C80194D&quot;/&gt;&lt;wsp:rsid wsp:val=&quot;1C8054A9&quot;/&gt;&lt;wsp:rsid wsp:val=&quot;1C816AA4&quot;/&gt;&lt;wsp:rsid wsp:val=&quot;1C821221&quot;/&gt;&lt;wsp:rsid wsp:val=&quot;1C827473&quot;/&gt;&lt;wsp:rsid wsp:val=&quot;1C844F99&quot;/&gt;&lt;wsp:rsid wsp:val=&quot;1C850D11&quot;/&gt;&lt;wsp:rsid wsp:val=&quot;1C857FF6&quot;/&gt;&lt;wsp:rsid wsp:val=&quot;1C8618D9&quot;/&gt;&lt;wsp:rsid wsp:val=&quot;1C872CDB&quot;/&gt;&lt;wsp:rsid wsp:val=&quot;1C874A89&quot;/&gt;&lt;wsp:rsid wsp:val=&quot;1C876837&quot;/&gt;&lt;wsp:rsid wsp:val=&quot;1C8C3E47&quot;/&gt;&lt;wsp:rsid wsp:val=&quot;1C8E097B&quot;/&gt;&lt;wsp:rsid wsp:val=&quot;1C8E7BC6&quot;/&gt;&lt;wsp:rsid wsp:val=&quot;1C8F060E&quot;/&gt;&lt;wsp:rsid wsp:val=&quot;1C9176B6&quot;/&gt;&lt;wsp:rsid wsp:val=&quot;1C93342E&quot;/&gt;&lt;wsp:rsid wsp:val=&quot;1C9378D2&quot;/&gt;&lt;wsp:rsid wsp:val=&quot;1C9571A6&quot;/&gt;&lt;wsp:rsid wsp:val=&quot;1C964CCC&quot;/&gt;&lt;wsp:rsid wsp:val=&quot;1C980A44&quot;/&gt;&lt;wsp:rsid wsp:val=&quot;1C984EE8&quot;/&gt;&lt;wsp:rsid wsp:val=&quot;1C994D2B&quot;/&gt;&lt;wsp:rsid wsp:val=&quot;1C9A0C60&quot;/&gt;&lt;wsp:rsid wsp:val=&quot;1C9A2A0F&quot;/&gt;&lt;wsp:rsid wsp:val=&quot;1C9A47BD&quot;/&gt;&lt;wsp:rsid wsp:val=&quot;1C9B22E3&quot;/&gt;&lt;wsp:rsid wsp:val=&quot;1C9D24FF&quot;/&gt;&lt;wsp:rsid wsp:val=&quot;1C9D427E&quot;/&gt;&lt;wsp:rsid wsp:val=&quot;1C9F6277&quot;/&gt;&lt;wsp:rsid wsp:val=&quot;1CA078F9&quot;/&gt;&lt;wsp:rsid wsp:val=&quot;1CA1517C&quot;/&gt;&lt;wsp:rsid wsp:val=&quot;1CA27B15&quot;/&gt;&lt;wsp:rsid wsp:val=&quot;1CA4563B&quot;/&gt;&lt;wsp:rsid wsp:val=&quot;1CA53161&quot;/&gt;&lt;wsp:rsid wsp:val=&quot;1CA53783&quot;/&gt;&lt;wsp:rsid wsp:val=&quot;1CA76EDA&quot;/&gt;&lt;wsp:rsid wsp:val=&quot;1CA81C4F&quot;/&gt;&lt;wsp:rsid wsp:val=&quot;1CA90EA4&quot;/&gt;&lt;wsp:rsid wsp:val=&quot;1CAB69CA&quot;/&gt;&lt;wsp:rsid wsp:val=&quot;1CAC44F0&quot;/&gt;&lt;wsp:rsid wsp:val=&quot;1CAD4631&quot;/&gt;&lt;wsp:rsid wsp:val=&quot;1CB02232&quot;/&gt;&lt;wsp:rsid wsp:val=&quot;1CB03FE0&quot;/&gt;&lt;wsp:rsid wsp:val=&quot;1CB05D8E&quot;/&gt;&lt;wsp:rsid wsp:val=&quot;1CB1183E&quot;/&gt;&lt;wsp:rsid wsp:val=&quot;1CB11B06&quot;/&gt;&lt;wsp:rsid wsp:val=&quot;1CB2453F&quot;/&gt;&lt;wsp:rsid wsp:val=&quot;1CB2523B&quot;/&gt;&lt;wsp:rsid wsp:val=&quot;1CB33AD0&quot;/&gt;&lt;wsp:rsid wsp:val=&quot;1CB515F6&quot;/&gt;&lt;wsp:rsid wsp:val=&quot;1CB51673&quot;/&gt;&lt;wsp:rsid wsp:val=&quot;1CB57848&quot;/&gt;&lt;wsp:rsid wsp:val=&quot;1CB80FCF&quot;/&gt;&lt;wsp:rsid wsp:val=&quot;1CB957A5&quot;/&gt;&lt;wsp:rsid wsp:val=&quot;1CBA4413&quot;/&gt;&lt;wsp:rsid wsp:val=&quot;1CBF2475&quot;/&gt;&lt;wsp:rsid wsp:val=&quot;1CBF4223&quot;/&gt;&lt;wsp:rsid wsp:val=&quot;1CC07ED6&quot;/&gt;&lt;wsp:rsid wsp:val=&quot;1CC17F9B&quot;/&gt;&lt;wsp:rsid wsp:val=&quot;1CC253C7&quot;/&gt;&lt;wsp:rsid wsp:val=&quot;1CC41428&quot;/&gt;&lt;wsp:rsid wsp:val=&quot;1CC41839&quot;/&gt;&lt;wsp:rsid wsp:val=&quot;1CC61A56&quot;/&gt;&lt;wsp:rsid wsp:val=&quot;1CC654CE&quot;/&gt;&lt;wsp:rsid wsp:val=&quot;1CC83E0A&quot;/&gt;&lt;wsp:rsid wsp:val=&quot;1CC950A2&quot;/&gt;&lt;wsp:rsid wsp:val=&quot;1CC96E50&quot;/&gt;&lt;wsp:rsid wsp:val=&quot;1CCC1DF1&quot;/&gt;&lt;wsp:rsid wsp:val=&quot;1CCD2C0F&quot;/&gt;&lt;wsp:rsid wsp:val=&quot;1CCE090A&quot;/&gt;&lt;wsp:rsid wsp:val=&quot;1CCE26B8&quot;/&gt;&lt;wsp:rsid wsp:val=&quot;1CCE4466&quot;/&gt;&lt;wsp:rsid wsp:val=&quot;1CD001DE&quot;/&gt;&lt;wsp:rsid wsp:val=&quot;1CD04682&quot;/&gt;&lt;wsp:rsid wsp:val=&quot;1CD16D69&quot;/&gt;&lt;wsp:rsid wsp:val=&quot;1CD221A8&quot;/&gt;&lt;wsp:rsid wsp:val=&quot;1CD35F20&quot;/&gt;&lt;wsp:rsid wsp:val=&quot;1CD37A8D&quot;/&gt;&lt;wsp:rsid wsp:val=&quot;1CD37CCF&quot;/&gt;&lt;wsp:rsid wsp:val=&quot;1CD51C99&quot;/&gt;&lt;wsp:rsid wsp:val=&quot;1CD557F5&quot;/&gt;&lt;wsp:rsid wsp:val=&quot;1CD55AB9&quot;/&gt;&lt;wsp:rsid wsp:val=&quot;1CD72B28&quot;/&gt;&lt;wsp:rsid wsp:val=&quot;1CD75C0A&quot;/&gt;&lt;wsp:rsid wsp:val=&quot;1CD83537&quot;/&gt;&lt;wsp:rsid wsp:val=&quot;1CD852E5&quot;/&gt;&lt;wsp:rsid wsp:val=&quot;1CD87093&quot;/&gt;&lt;wsp:rsid wsp:val=&quot;1CD93B05&quot;/&gt;&lt;wsp:rsid wsp:val=&quot;1CDA105D&quot;/&gt;&lt;wsp:rsid wsp:val=&quot;1CDA621F&quot;/&gt;&lt;wsp:rsid wsp:val=&quot;1CDB6B83&quot;/&gt;&lt;wsp:rsid wsp:val=&quot;1CDD0B4D&quot;/&gt;&lt;wsp:rsid wsp:val=&quot;1CDF48C5&quot;/&gt;&lt;wsp:rsid wsp:val=&quot;1CE04199&quot;/&gt;&lt;wsp:rsid wsp:val=&quot;1CE115DE&quot;/&gt;&lt;wsp:rsid wsp:val=&quot;1CE27F12&quot;/&gt;&lt;wsp:rsid wsp:val=&quot;1CE42ACB&quot;/&gt;&lt;wsp:rsid wsp:val=&quot;1CE43C8A&quot;/&gt;&lt;wsp:rsid wsp:val=&quot;1CE65C54&quot;/&gt;&lt;wsp:rsid wsp:val=&quot;1CE67A02&quot;/&gt;&lt;wsp:rsid wsp:val=&quot;1CE819CC&quot;/&gt;&lt;wsp:rsid wsp:val=&quot;1CEA4227&quot;/&gt;&lt;wsp:rsid wsp:val=&quot;1CEB326A&quot;/&gt;&lt;wsp:rsid wsp:val=&quot;1CEC0D90&quot;/&gt;&lt;wsp:rsid wsp:val=&quot;1CEE2D5A&quot;/&gt;&lt;wsp:rsid wsp:val=&quot;1CEE5B24&quot;/&gt;&lt;wsp:rsid wsp:val=&quot;1CEF181C&quot;/&gt;&lt;wsp:rsid wsp:val=&quot;1CF00880&quot;/&gt;&lt;wsp:rsid wsp:val=&quot;1CF0262F&quot;/&gt;&lt;wsp:rsid wsp:val=&quot;1CF06D28&quot;/&gt;&lt;wsp:rsid wsp:val=&quot;1CF245F9&quot;/&gt;&lt;wsp:rsid wsp:val=&quot;1CF3211F&quot;/&gt;&lt;wsp:rsid wsp:val=&quot;1CF5282B&quot;/&gt;&lt;wsp:rsid wsp:val=&quot;1CF55E97&quot;/&gt;&lt;wsp:rsid wsp:val=&quot;1CF71C0F&quot;/&gt;&lt;wsp:rsid wsp:val=&quot;1CF86BD6&quot;/&gt;&lt;wsp:rsid wsp:val=&quot;1CFA2C37&quot;/&gt;&lt;wsp:rsid wsp:val=&quot;1CFA525B&quot;/&gt;&lt;wsp:rsid wsp:val=&quot;1CFC5AFB&quot;/&gt;&lt;wsp:rsid wsp:val=&quot;1CFD070F&quot;/&gt;&lt;wsp:rsid wsp:val=&quot;1CFD15B8&quot;/&gt;&lt;wsp:rsid wsp:val=&quot;1CFD2F9D&quot;/&gt;&lt;wsp:rsid wsp:val=&quot;1CFD68ED&quot;/&gt;&lt;wsp:rsid wsp:val=&quot;1CFE11EF&quot;/&gt;&lt;wsp:rsid wsp:val=&quot;1CFE2A48&quot;/&gt;&lt;wsp:rsid wsp:val=&quot;1D012A8E&quot;/&gt;&lt;wsp:rsid wsp:val=&quot;1D0205B4&quot;/&gt;&lt;wsp:rsid wsp:val=&quot;1D036806&quot;/&gt;&lt;wsp:rsid wsp:val=&quot;1D061E52&quot;/&gt;&lt;wsp:rsid wsp:val=&quot;1D077978&quot;/&gt;&lt;wsp:rsid wsp:val=&quot;1D08193A&quot;/&gt;&lt;wsp:rsid wsp:val=&quot;1D097B94&quot;/&gt;&lt;wsp:rsid wsp:val=&quot;1D0B1216&quot;/&gt;&lt;wsp:rsid wsp:val=&quot;1D0E6F59&quot;/&gt;&lt;wsp:rsid wsp:val=&quot;1D104A7F&quot;/&gt;&lt;wsp:rsid wsp:val=&quot;1D114FDB&quot;/&gt;&lt;wsp:rsid wsp:val=&quot;1D117987&quot;/&gt;&lt;wsp:rsid wsp:val=&quot;1D120D12&quot;/&gt;&lt;wsp:rsid wsp:val=&quot;1D13456F&quot;/&gt;&lt;wsp:rsid wsp:val=&quot;1D13631D&quot;/&gt;&lt;wsp:rsid wsp:val=&quot;1D1502E7&quot;/&gt;&lt;wsp:rsid wsp:val=&quot;1D1830F8&quot;/&gt;&lt;wsp:rsid wsp:val=&quot;1D18357F&quot;/&gt;&lt;wsp:rsid wsp:val=&quot;1D187DD7&quot;/&gt;&lt;wsp:rsid wsp:val=&quot;1D192221&quot;/&gt;&lt;wsp:rsid wsp:val=&quot;1D1A0B73&quot;/&gt;&lt;wsp:rsid wsp:val=&quot;1D1A58FD&quot;/&gt;&lt;wsp:rsid wsp:val=&quot;1D1C3424&quot;/&gt;&lt;wsp:rsid wsp:val=&quot;1D2106EA&quot;/&gt;&lt;wsp:rsid wsp:val=&quot;1D217272&quot;/&gt;&lt;wsp:rsid wsp:val=&quot;1D24052A&quot;/&gt;&lt;wsp:rsid wsp:val=&quot;1D24677C&quot;/&gt;&lt;wsp:rsid wsp:val=&quot;1D2624F4&quot;/&gt;&lt;wsp:rsid wsp:val=&quot;1D263C41&quot;/&gt;&lt;wsp:rsid wsp:val=&quot;1D271DC8&quot;/&gt;&lt;wsp:rsid wsp:val=&quot;1D274825&quot;/&gt;&lt;wsp:rsid wsp:val=&quot;1D28626C&quot;/&gt;&lt;wsp:rsid wsp:val=&quot;1D295B40&quot;/&gt;&lt;wsp:rsid wsp:val=&quot;1D2B18B9&quot;/&gt;&lt;wsp:rsid wsp:val=&quot;1D2C2E7B&quot;/&gt;&lt;wsp:rsid wsp:val=&quot;1D2D5631&quot;/&gt;&lt;wsp:rsid wsp:val=&quot;1D2E13A9&quot;/&gt;&lt;wsp:rsid wsp:val=&quot;1D2E3157&quot;/&gt;&lt;wsp:rsid wsp:val=&quot;1D2F75FB&quot;/&gt;&lt;wsp:rsid wsp:val=&quot;1D300C7D&quot;/&gt;&lt;wsp:rsid wsp:val=&quot;1D3249F5&quot;/&gt;&lt;wsp:rsid wsp:val=&quot;1D3544E5&quot;/&gt;&lt;wsp:rsid wsp:val=&quot;1D392227&quot;/&gt;&lt;wsp:rsid wsp:val=&quot;1D396BA2&quot;/&gt;&lt;wsp:rsid wsp:val=&quot;1D3A5FA0&quot;/&gt;&lt;wsp:rsid wsp:val=&quot;1D3A7D4E&quot;/&gt;&lt;wsp:rsid wsp:val=&quot;1D3B3B30&quot;/&gt;&lt;wsp:rsid wsp:val=&quot;1D3C5874&quot;/&gt;&lt;wsp:rsid wsp:val=&quot;1D3E15EC&quot;/&gt;&lt;wsp:rsid wsp:val=&quot;1D3F136B&quot;/&gt;&lt;wsp:rsid wsp:val=&quot;1D4104C0&quot;/&gt;&lt;wsp:rsid wsp:val=&quot;1D4110DC&quot;/&gt;&lt;wsp:rsid wsp:val=&quot;1D416EFC&quot;/&gt;&lt;wsp:rsid wsp:val=&quot;1D4330A6&quot;/&gt;&lt;wsp:rsid wsp:val=&quot;1D434E54&quot;/&gt;&lt;wsp:rsid wsp:val=&quot;1D436C02&quot;/&gt;&lt;wsp:rsid wsp:val=&quot;1D44297A&quot;/&gt;&lt;wsp:rsid wsp:val=&quot;1D4604A0&quot;/&gt;&lt;wsp:rsid wsp:val=&quot;1D461FCB&quot;/&gt;&lt;wsp:rsid wsp:val=&quot;1D480B0F&quot;/&gt;&lt;wsp:rsid wsp:val=&quot;1D480D08&quot;/&gt;&lt;wsp:rsid wsp:val=&quot;1D48246B&quot;/&gt;&lt;wsp:rsid wsp:val=&quot;1D484219&quot;/&gt;&lt;wsp:rsid wsp:val=&quot;1D485019&quot;/&gt;&lt;wsp:rsid wsp:val=&quot;1D491D3F&quot;/&gt;&lt;wsp:rsid wsp:val=&quot;1D497BBF&quot;/&gt;&lt;wsp:rsid wsp:val=&quot;1D497F91&quot;/&gt;&lt;wsp:rsid wsp:val=&quot;1D4A0D98&quot;/&gt;&lt;wsp:rsid wsp:val=&quot;1D4D7A81&quot;/&gt;&lt;wsp:rsid wsp:val=&quot;1D4E6DE5&quot;/&gt;&lt;wsp:rsid wsp:val=&quot;1D4F1980&quot;/&gt;&lt;wsp:rsid wsp:val=&quot;1D5021FA&quot;/&gt;&lt;wsp:rsid wsp:val=&quot;1D5030CD&quot;/&gt;&lt;wsp:rsid wsp:val=&quot;1D507571&quot;/&gt;&lt;wsp:rsid wsp:val=&quot;1D5232E9&quot;/&gt;&lt;wsp:rsid wsp:val=&quot;1D525097&quot;/&gt;&lt;wsp:rsid wsp:val=&quot;1D561FAD&quot;/&gt;&lt;wsp:rsid wsp:val=&quot;1D570900&quot;/&gt;&lt;wsp:rsid wsp:val=&quot;1D5726AE&quot;/&gt;&lt;wsp:rsid wsp:val=&quot;1D57445C&quot;/&gt;&lt;wsp:rsid wsp:val=&quot;1D576DEB&quot;/&gt;&lt;wsp:rsid wsp:val=&quot;1D5801D4&quot;/&gt;&lt;wsp:rsid wsp:val=&quot;1D596426&quot;/&gt;&lt;wsp:rsid wsp:val=&quot;1D5A3F4C&quot;/&gt;&lt;wsp:rsid wsp:val=&quot;1D5C7CC4&quot;/&gt;&lt;wsp:rsid wsp:val=&quot;1D5E1C8E&quot;/&gt;&lt;wsp:rsid wsp:val=&quot;1D5E2B76&quot;/&gt;&lt;wsp:rsid wsp:val=&quot;1D5E5D84&quot;/&gt;&lt;wsp:rsid wsp:val=&quot;1D5F4368&quot;/&gt;&lt;wsp:rsid wsp:val=&quot;1D5F5A06&quot;/&gt;&lt;wsp:rsid wsp:val=&quot;1D5F6196&quot;/&gt;&lt;wsp:rsid wsp:val=&quot;1D61177E&quot;/&gt;&lt;wsp:rsid wsp:val=&quot;1D6132A5&quot;/&gt;&lt;wsp:rsid wsp:val=&quot;1D6372A4&quot;/&gt;&lt;wsp:rsid wsp:val=&quot;1D660B43&quot;/&gt;&lt;wsp:rsid wsp:val=&quot;1D664516&quot;/&gt;&lt;wsp:rsid wsp:val=&quot;1D6807F6&quot;/&gt;&lt;wsp:rsid wsp:val=&quot;1D683148&quot;/&gt;&lt;wsp:rsid wsp:val=&quot;1D6923E1&quot;/&gt;&lt;wsp:rsid wsp:val=&quot;1D6E17A5&quot;/&gt;&lt;wsp:rsid wsp:val=&quot;1D6F3E9B&quot;/&gt;&lt;wsp:rsid wsp:val=&quot;1D6F5C49&quot;/&gt;&lt;wsp:rsid wsp:val=&quot;1D725739&quot;/&gt;&lt;wsp:rsid wsp:val=&quot;1D736B1A&quot;/&gt;&lt;wsp:rsid wsp:val=&quot;1D74500E&quot;/&gt;&lt;wsp:rsid wsp:val=&quot;1D766BDC&quot;/&gt;&lt;wsp:rsid wsp:val=&quot;1D772D50&quot;/&gt;&lt;wsp:rsid wsp:val=&quot;1D774AFE&quot;/&gt;&lt;wsp:rsid wsp:val=&quot;1D7814FC&quot;/&gt;&lt;wsp:rsid wsp:val=&quot;1D781D53&quot;/&gt;&lt;wsp:rsid wsp:val=&quot;1D792624&quot;/&gt;&lt;wsp:rsid wsp:val=&quot;1D796AC8&quot;/&gt;&lt;wsp:rsid wsp:val=&quot;1D7E536E&quot;/&gt;&lt;wsp:rsid wsp:val=&quot;1D7E5E8C&quot;/&gt;&lt;wsp:rsid wsp:val=&quot;1D7E7C3A&quot;/&gt;&lt;wsp:rsid wsp:val=&quot;1D7F39B2&quot;/&gt;&lt;wsp:rsid wsp:val=&quot;1D803F2F&quot;/&gt;&lt;wsp:rsid wsp:val=&quot;1D813BCE&quot;/&gt;&lt;wsp:rsid wsp:val=&quot;1D821D5D&quot;/&gt;&lt;wsp:rsid wsp:val=&quot;1D863B00&quot;/&gt;&lt;wsp:rsid wsp:val=&quot;1D866AFD&quot;/&gt;&lt;wsp:rsid wsp:val=&quot;1D882867&quot;/&gt;&lt;wsp:rsid wsp:val=&quot;1D886D0B&quot;/&gt;&lt;wsp:rsid wsp:val=&quot;1D8A2A83&quot;/&gt;&lt;wsp:rsid wsp:val=&quot;1D8B67FB&quot;/&gt;&lt;wsp:rsid wsp:val=&quot;1D8C0E02&quot;/&gt;&lt;wsp:rsid wsp:val=&quot;1D8E3BF5&quot;/&gt;&lt;wsp:rsid wsp:val=&quot;1D8E56D5&quot;/&gt;&lt;wsp:rsid wsp:val=&quot;1D8F62F3&quot;/&gt;&lt;wsp:rsid wsp:val=&quot;1D90619F&quot;/&gt;&lt;wsp:rsid wsp:val=&quot;1D921938&quot;/&gt;&lt;wsp:rsid wsp:val=&quot;1D9236E6&quot;/&gt;&lt;wsp:rsid wsp:val=&quot;1D927B8A&quot;/&gt;&lt;wsp:rsid wsp:val=&quot;1D936104&quot;/&gt;&lt;wsp:rsid wsp:val=&quot;1D94745E&quot;/&gt;&lt;wsp:rsid wsp:val=&quot;1D950C10&quot;/&gt;&lt;wsp:rsid wsp:val=&quot;1D951428&quot;/&gt;&lt;wsp:rsid wsp:val=&quot;1D9531D6&quot;/&gt;&lt;wsp:rsid wsp:val=&quot;1D9838A2&quot;/&gt;&lt;wsp:rsid wsp:val=&quot;1D990F18&quot;/&gt;&lt;wsp:rsid wsp:val=&quot;1D992CC6&quot;/&gt;&lt;wsp:rsid wsp:val=&quot;1D9A259A&quot;/&gt;&lt;wsp:rsid wsp:val=&quot;1D9B4C90&quot;/&gt;&lt;wsp:rsid wsp:val=&quot;1D9B6A3E&quot;/&gt;&lt;wsp:rsid wsp:val=&quot;1D9C4564&quot;/&gt;&lt;wsp:rsid wsp:val=&quot;1D9C6312&quot;/&gt;&lt;wsp:rsid wsp:val=&quot;1D9D14E3&quot;/&gt;&lt;wsp:rsid wsp:val=&quot;1DA04055&quot;/&gt;&lt;wsp:rsid wsp:val=&quot;1DA43419&quot;/&gt;&lt;wsp:rsid wsp:val=&quot;1DA47933&quot;/&gt;&lt;wsp:rsid wsp:val=&quot;1DA533FC&quot;/&gt;&lt;wsp:rsid wsp:val=&quot;1DA653E3&quot;/&gt;&lt;wsp:rsid wsp:val=&quot;1DA76F7C&quot;/&gt;&lt;wsp:rsid wsp:val=&quot;1DA805DB&quot;/&gt;&lt;wsp:rsid wsp:val=&quot;1DAA2EFB&quot;/&gt;&lt;wsp:rsid wsp:val=&quot;1DAD0C58&quot;/&gt;&lt;wsp:rsid wsp:val=&quot;1DAD49C3&quot;/&gt;&lt;wsp:rsid wsp:val=&quot;1DAD6772&quot;/&gt;&lt;wsp:rsid wsp:val=&quot;1DAE5592&quot;/&gt;&lt;wsp:rsid wsp:val=&quot;1DAF6046&quot;/&gt;&lt;wsp:rsid wsp:val=&quot;1DB11ECA&quot;/&gt;&lt;wsp:rsid wsp:val=&quot;1DB33ED5&quot;/&gt;&lt;wsp:rsid wsp:val=&quot;1DB418AE&quot;/&gt;&lt;wsp:rsid wsp:val=&quot;1DB4365C&quot;/&gt;&lt;wsp:rsid wsp:val=&quot;1DB47B00&quot;/&gt;&lt;wsp:rsid wsp:val=&quot;1DB919B0&quot;/&gt;&lt;wsp:rsid wsp:val=&quot;1DB93368&quot;/&gt;&lt;wsp:rsid wsp:val=&quot;1DB96EC4&quot;/&gt;&lt;wsp:rsid wsp:val=&quot;1DBA2C3C&quot;/&gt;&lt;wsp:rsid wsp:val=&quot;1DBB70D0&quot;/&gt;&lt;wsp:rsid wsp:val=&quot;1DBC0763&quot;/&gt;&lt;wsp:rsid wsp:val=&quot;1DBD7BFB&quot;/&gt;&lt;wsp:rsid wsp:val=&quot;1DBE44DB&quot;/&gt;&lt;wsp:rsid wsp:val=&quot;1DC00253&quot;/&gt;&lt;wsp:rsid wsp:val=&quot;1DC05121&quot;/&gt;&lt;wsp:rsid wsp:val=&quot;1DC51D0D&quot;/&gt;&lt;wsp:rsid wsp:val=&quot;1DC615E1&quot;/&gt;&lt;wsp:rsid wsp:val=&quot;1DC6338F&quot;/&gt;&lt;wsp:rsid wsp:val=&quot;1DC75A85&quot;/&gt;&lt;wsp:rsid wsp:val=&quot;1DC85359&quot;/&gt;&lt;wsp:rsid wsp:val=&quot;1DC87107&quot;/&gt;&lt;wsp:rsid wsp:val=&quot;1DC90261&quot;/&gt;&lt;wsp:rsid wsp:val=&quot;1DCB6BF8&quot;/&gt;&lt;wsp:rsid wsp:val=&quot;1DCF493A&quot;/&gt;&lt;wsp:rsid wsp:val=&quot;1DCF66E8&quot;/&gt;&lt;wsp:rsid wsp:val=&quot;1DD12460&quot;/&gt;&lt;wsp:rsid wsp:val=&quot;1DD160A6&quot;/&gt;&lt;wsp:rsid wsp:val=&quot;1DD27F86&quot;/&gt;&lt;wsp:rsid wsp:val=&quot;1DD37047&quot;/&gt;&lt;wsp:rsid wsp:val=&quot;1DD41F50&quot;/&gt;&lt;wsp:rsid wsp:val=&quot;1DD43CFE&quot;/&gt;&lt;wsp:rsid wsp:val=&quot;1DD54528&quot;/&gt;&lt;wsp:rsid wsp:val=&quot;1DD737EE&quot;/&gt;&lt;wsp:rsid wsp:val=&quot;1DD7559C&quot;/&gt;&lt;wsp:rsid wsp:val=&quot;1DD827FE&quot;/&gt;&lt;wsp:rsid wsp:val=&quot;1DD957B9&quot;/&gt;&lt;wsp:rsid wsp:val=&quot;1DDA2343&quot;/&gt;&lt;wsp:rsid wsp:val=&quot;1DDB32DF&quot;/&gt;&lt;wsp:rsid wsp:val=&quot;1DDC0837&quot;/&gt;&lt;wsp:rsid wsp:val=&quot;1DDD0DFF&quot;/&gt;&lt;wsp:rsid wsp:val=&quot;1DDE2DCF&quot;/&gt;&lt;wsp:rsid wsp:val=&quot;1DDE692B&quot;/&gt;&lt;wsp:rsid wsp:val=&quot;1DE06B47&quot;/&gt;&lt;wsp:rsid wsp:val=&quot;1DE101C9&quot;/&gt;&lt;wsp:rsid wsp:val=&quot;1DE1194E&quot;/&gt;&lt;wsp:rsid wsp:val=&quot;1DE1641B&quot;/&gt;&lt;wsp:rsid wsp:val=&quot;1DE426A8&quot;/&gt;&lt;wsp:rsid wsp:val=&quot;1DE5415D&quot;/&gt;&lt;wsp:rsid wsp:val=&quot;1DE57CB9&quot;/&gt;&lt;wsp:rsid wsp:val=&quot;1DE657E0&quot;/&gt;&lt;wsp:rsid wsp:val=&quot;1DE67E68&quot;/&gt;&lt;wsp:rsid wsp:val=&quot;1DE81558&quot;/&gt;&lt;wsp:rsid wsp:val=&quot;1DEA1774&quot;/&gt;&lt;wsp:rsid wsp:val=&quot;1DEA6C4D&quot;/&gt;&lt;wsp:rsid wsp:val=&quot;1DEC54EC&quot;/&gt;&lt;wsp:rsid wsp:val=&quot;1DED3012&quot;/&gt;&lt;wsp:rsid wsp:val=&quot;1DED6B6E&quot;/&gt;&lt;wsp:rsid wsp:val=&quot;1DED6D0F&quot;/&gt;&lt;wsp:rsid wsp:val=&quot;1DF12B02&quot;/&gt;&lt;wsp:rsid wsp:val=&quot;1DF3059A&quot;/&gt;&lt;wsp:rsid wsp:val=&quot;1DF3687A&quot;/&gt;&lt;wsp:rsid wsp:val=&quot;1DF60E56&quot;/&gt;&lt;wsp:rsid wsp:val=&quot;1DF61EC7&quot;/&gt;&lt;wsp:rsid wsp:val=&quot;1DF919B7&quot;/&gt;&lt;wsp:rsid wsp:val=&quot;1DF93765&quot;/&gt;&lt;wsp:rsid wsp:val=&quot;1DF95513&quot;/&gt;&lt;wsp:rsid wsp:val=&quot;1DFB6BCB&quot;/&gt;&lt;wsp:rsid wsp:val=&quot;1DFC5003&quot;/&gt;&lt;wsp:rsid wsp:val=&quot;1DFD2D71&quot;/&gt;&lt;wsp:rsid wsp:val=&quot;1DFE0D7B&quot;/&gt;&lt;wsp:rsid wsp:val=&quot;1DFE6FCD&quot;/&gt;&lt;wsp:rsid wsp:val=&quot;1E002D45&quot;/&gt;&lt;wsp:rsid wsp:val=&quot;1E005185&quot;/&gt;&lt;wsp:rsid wsp:val=&quot;1E013A44&quot;/&gt;&lt;wsp:rsid wsp:val=&quot;1E075E82&quot;/&gt;&lt;wsp:rsid wsp:val=&quot;1E0A3BC4&quot;/&gt;&lt;wsp:rsid wsp:val=&quot;1E0A5972&quot;/&gt;&lt;wsp:rsid wsp:val=&quot;1E0C793C&quot;/&gt;&lt;wsp:rsid wsp:val=&quot;1E0D7210&quot;/&gt;&lt;wsp:rsid wsp:val=&quot;1E0F11DA&quot;/&gt;&lt;wsp:rsid wsp:val=&quot;1E0F160C&quot;/&gt;&lt;wsp:rsid wsp:val=&quot;1E0F4D36&quot;/&gt;&lt;wsp:rsid wsp:val=&quot;1E0F7527&quot;/&gt;&lt;wsp:rsid wsp:val=&quot;1E104D37&quot;/&gt;&lt;wsp:rsid wsp:val=&quot;1E10619E&quot;/&gt;&lt;wsp:rsid wsp:val=&quot;1E114F52&quot;/&gt;&lt;wsp:rsid wsp:val=&quot;1E116D00&quot;/&gt;&lt;wsp:rsid wsp:val=&quot;1E1341FB&quot;/&gt;&lt;wsp:rsid wsp:val=&quot;1E134B83&quot;/&gt;&lt;wsp:rsid wsp:val=&quot;1E14234D&quot;/&gt;&lt;wsp:rsid wsp:val=&quot;1E1467F1&quot;/&gt;&lt;wsp:rsid wsp:val=&quot;1E1627CB&quot;/&gt;&lt;wsp:rsid wsp:val=&quot;1E171E3D&quot;/&gt;&lt;wsp:rsid wsp:val=&quot;1E18008F&quot;/&gt;&lt;wsp:rsid wsp:val=&quot;1E1862E1&quot;/&gt;&lt;wsp:rsid wsp:val=&quot;1E1D56A5&quot;/&gt;&lt;wsp:rsid wsp:val=&quot;1E1E31CB&quot;/&gt;&lt;wsp:rsid wsp:val=&quot;1E1E563D&quot;/&gt;&lt;wsp:rsid wsp:val=&quot;1E1E766F&quot;/&gt;&lt;wsp:rsid wsp:val=&quot;1E205195&quot;/&gt;&lt;wsp:rsid wsp:val=&quot;1E222CBC&quot;/&gt;&lt;wsp:rsid wsp:val=&quot;1E2527AC&quot;/&gt;&lt;wsp:rsid wsp:val=&quot;1E25455A&quot;/&gt;&lt;wsp:rsid wsp:val=&quot;1E27575F&quot;/&gt;&lt;wsp:rsid wsp:val=&quot;1E285DF8&quot;/&gt;&lt;wsp:rsid wsp:val=&quot;1E29229C&quot;/&gt;&lt;wsp:rsid wsp:val=&quot;1E2A1AD4&quot;/&gt;&lt;wsp:rsid wsp:val=&quot;1E2A7DC2&quot;/&gt;&lt;wsp:rsid wsp:val=&quot;1E2C3B3A&quot;/&gt;&lt;wsp:rsid wsp:val=&quot;1E2C7696&quot;/&gt;&lt;wsp:rsid wsp:val=&quot;1E2D1660&quot;/&gt;&lt;wsp:rsid wsp:val=&quot;1E2D41A2&quot;/&gt;&lt;wsp:rsid wsp:val=&quot;1E2D66F3&quot;/&gt;&lt;wsp:rsid wsp:val=&quot;1E2E37DA&quot;/&gt;&lt;wsp:rsid wsp:val=&quot;1E2F7187&quot;/&gt;&lt;wsp:rsid wsp:val=&quot;1E326C77&quot;/&gt;&lt;wsp:rsid wsp:val=&quot;1E334EC9&quot;/&gt;&lt;wsp:rsid wsp:val=&quot;1E340C41&quot;/&gt;&lt;wsp:rsid wsp:val=&quot;1E360515&quot;/&gt;&lt;wsp:rsid wsp:val=&quot;1E365DE2&quot;/&gt;&lt;wsp:rsid wsp:val=&quot;1E390005&quot;/&gt;&lt;wsp:rsid wsp:val=&quot;1E3B1FCF&quot;/&gt;&lt;wsp:rsid wsp:val=&quot;1E3B3D7D&quot;/&gt;&lt;wsp:rsid wsp:val=&quot;1E3E561C&quot;/&gt;&lt;wsp:rsid wsp:val=&quot;1E401394&quot;/&gt;&lt;wsp:rsid wsp:val=&quot;1E42510C&quot;/&gt;&lt;wsp:rsid wsp:val=&quot;1E426EBA&quot;/&gt;&lt;wsp:rsid wsp:val=&quot;1E432C32&quot;/&gt;&lt;wsp:rsid wsp:val=&quot;1E446F12&quot;/&gt;&lt;wsp:rsid wsp:val=&quot;1E4569AA&quot;/&gt;&lt;wsp:rsid wsp:val=&quot;1E474D49&quot;/&gt;&lt;wsp:rsid wsp:val=&quot;1E477A2B&quot;/&gt;&lt;wsp:rsid wsp:val=&quot;1E480375&quot;/&gt;&lt;wsp:rsid wsp:val=&quot;1E496DB9&quot;/&gt;&lt;wsp:rsid wsp:val=&quot;1E4B3A5F&quot;/&gt;&lt;wsp:rsid wsp:val=&quot;1E4C1AE7&quot;/&gt;&lt;wsp:rsid wsp:val=&quot;1E5019FF&quot;/&gt;&lt;wsp:rsid wsp:val=&quot;1E51534F&quot;/&gt;&lt;wsp:rsid wsp:val=&quot;1E522E75&quot;/&gt;&lt;wsp:rsid wsp:val=&quot;1E54477C&quot;/&gt;&lt;wsp:rsid wsp:val=&quot;1E5507DD&quot;/&gt;&lt;wsp:rsid wsp:val=&quot;1E552B5D&quot;/&gt;&lt;wsp:rsid wsp:val=&quot;1E562965&quot;/&gt;&lt;wsp:rsid wsp:val=&quot;1E566E09&quot;/&gt;&lt;wsp:rsid wsp:val=&quot;1E5752B6&quot;/&gt;&lt;wsp:rsid wsp:val=&quot;1E580E02&quot;/&gt;&lt;wsp:rsid wsp:val=&quot;1E592455&quot;/&gt;&lt;wsp:rsid wsp:val=&quot;1E5974FD&quot;/&gt;&lt;wsp:rsid wsp:val=&quot;1E5B441F&quot;/&gt;&lt;wsp:rsid wsp:val=&quot;1E5B61CE&quot;/&gt;&lt;wsp:rsid wsp:val=&quot;1E5D0198&quot;/&gt;&lt;wsp:rsid wsp:val=&quot;1E5D3CF4&quot;/&gt;&lt;wsp:rsid wsp:val=&quot;1E5E7A6C&quot;/&gt;&lt;wsp:rsid wsp:val=&quot;1E601A36&quot;/&gt;&lt;wsp:rsid wsp:val=&quot;1E603227&quot;/&gt;&lt;wsp:rsid wsp:val=&quot;1E605592&quot;/&gt;&lt;wsp:rsid wsp:val=&quot;1E62130A&quot;/&gt;&lt;wsp:rsid wsp:val=&quot;1E636E30&quot;/&gt;&lt;wsp:rsid wsp:val=&quot;1E676920&quot;/&gt;&lt;wsp:rsid wsp:val=&quot;1E682698&quot;/&gt;&lt;wsp:rsid wsp:val=&quot;1E6908EA&quot;/&gt;&lt;wsp:rsid wsp:val=&quot;1E6A4663&quot;/&gt;&lt;wsp:rsid wsp:val=&quot;1E6C2189&quot;/&gt;&lt;wsp:rsid wsp:val=&quot;1E6C3E2E&quot;/&gt;&lt;wsp:rsid wsp:val=&quot;1E6D79E9&quot;/&gt;&lt;wsp:rsid wsp:val=&quot;1E6E4153&quot;/&gt;&lt;wsp:rsid wsp:val=&quot;1E6F3A27&quot;/&gt;&lt;wsp:rsid wsp:val=&quot;1E71779F&quot;/&gt;&lt;wsp:rsid wsp:val=&quot;1E731769&quot;/&gt;&lt;wsp:rsid wsp:val=&quot;1E733517&quot;/&gt;&lt;wsp:rsid wsp:val=&quot;1E7352C5&quot;/&gt;&lt;wsp:rsid wsp:val=&quot;1E74728F&quot;/&gt;&lt;wsp:rsid wsp:val=&quot;1E757DC6&quot;/&gt;&lt;wsp:rsid wsp:val=&quot;1E763007&quot;/&gt;&lt;wsp:rsid wsp:val=&quot;1E766B63&quot;/&gt;&lt;wsp:rsid wsp:val=&quot;1E7828DC&quot;/&gt;&lt;wsp:rsid wsp:val=&quot;1E7960C6&quot;/&gt;&lt;wsp:rsid wsp:val=&quot;1E796654&quot;/&gt;&lt;wsp:rsid wsp:val=&quot;1E797880&quot;/&gt;&lt;wsp:rsid wsp:val=&quot;1E7A43DA&quot;/&gt;&lt;wsp:rsid wsp:val=&quot;1E7B061E&quot;/&gt;&lt;wsp:rsid wsp:val=&quot;1E7B23CC&quot;/&gt;&lt;wsp:rsid wsp:val=&quot;1E7D4396&quot;/&gt;&lt;wsp:rsid wsp:val=&quot;1E7D7EF2&quot;/&gt;&lt;wsp:rsid wsp:val=&quot;1E7E1EBC&quot;/&gt;&lt;wsp:rsid wsp:val=&quot;1E7E3C6A&quot;/&gt;&lt;wsp:rsid wsp:val=&quot;1E804ED9&quot;/&gt;&lt;wsp:rsid wsp:val=&quot;1E82375A&quot;/&gt;&lt;wsp:rsid wsp:val=&quot;1E827BFE&quot;/&gt;&lt;wsp:rsid wsp:val=&quot;1E845724&quot;/&gt;&lt;wsp:rsid wsp:val=&quot;1E85324A&quot;/&gt;&lt;wsp:rsid wsp:val=&quot;1E860D4B&quot;/&gt;&lt;wsp:rsid wsp:val=&quot;1E870D71&quot;/&gt;&lt;wsp:rsid wsp:val=&quot;1E8A6AB3&quot;/&gt;&lt;wsp:rsid wsp:val=&quot;1E8C282B&quot;/&gt;&lt;wsp:rsid wsp:val=&quot;1E8C347C&quot;/&gt;&lt;wsp:rsid wsp:val=&quot;1E8C45D9&quot;/&gt;&lt;wsp:rsid wsp:val=&quot;1E8C6387&quot;/&gt;&lt;wsp:rsid wsp:val=&quot;1E90231B&quot;/&gt;&lt;wsp:rsid wsp:val=&quot;1E903A10&quot;/&gt;&lt;wsp:rsid wsp:val=&quot;1E9049CE&quot;/&gt;&lt;wsp:rsid wsp:val=&quot;1E911BEF&quot;/&gt;&lt;wsp:rsid wsp:val=&quot;1E915031&quot;/&gt;&lt;wsp:rsid wsp:val=&quot;1E921EBF&quot;/&gt;&lt;wsp:rsid wsp:val=&quot;1E92764B&quot;/&gt;&lt;wsp:rsid wsp:val=&quot;1E933B20&quot;/&gt;&lt;wsp:rsid wsp:val=&quot;1E937715&quot;/&gt;&lt;wsp:rsid wsp:val=&quot;1E9516DF&quot;/&gt;&lt;wsp:rsid wsp:val=&quot;1E957931&quot;/&gt;&lt;wsp:rsid wsp:val=&quot;1E97058F&quot;/&gt;&lt;wsp:rsid wsp:val=&quot;1E972D06&quot;/&gt;&lt;wsp:rsid wsp:val=&quot;1E984D2C&quot;/&gt;&lt;wsp:rsid wsp:val=&quot;1E9D4401&quot;/&gt;&lt;wsp:rsid wsp:val=&quot;1E9F255E&quot;/&gt;&lt;wsp:rsid wsp:val=&quot;1E9F430C&quot;/&gt;&lt;wsp:rsid wsp:val=&quot;1EA01E32&quot;/&gt;&lt;wsp:rsid wsp:val=&quot;1EA23DFC&quot;/&gt;&lt;wsp:rsid wsp:val=&quot;1EA27958&quot;/&gt;&lt;wsp:rsid wsp:val=&quot;1EA30273&quot;/&gt;&lt;wsp:rsid wsp:val=&quot;1EA336D1&quot;/&gt;&lt;wsp:rsid wsp:val=&quot;1EA50C8D&quot;/&gt;&lt;wsp:rsid wsp:val=&quot;1EA5569B&quot;/&gt;&lt;wsp:rsid wsp:val=&quot;1EA71413&quot;/&gt;&lt;wsp:rsid wsp:val=&quot;1EA731C1&quot;/&gt;&lt;wsp:rsid wsp:val=&quot;1EA96F39&quot;/&gt;&lt;wsp:rsid wsp:val=&quot;1EAA1A19&quot;/&gt;&lt;wsp:rsid wsp:val=&quot;1EAA2CB1&quot;/&gt;&lt;wsp:rsid wsp:val=&quot;1EAB0F03&quot;/&gt;&lt;wsp:rsid wsp:val=&quot;1EAC6902&quot;/&gt;&lt;wsp:rsid wsp:val=&quot;1EAD7B17&quot;/&gt;&lt;wsp:rsid wsp:val=&quot;1EAE09F3&quot;/&gt;&lt;wsp:rsid wsp:val=&quot;1EB12291&quot;/&gt;&lt;wsp:rsid wsp:val=&quot;1EB2020D&quot;/&gt;&lt;wsp:rsid wsp:val=&quot;1EB31B66&quot;/&gt;&lt;wsp:rsid wsp:val=&quot;1EB3600A&quot;/&gt;&lt;wsp:rsid wsp:val=&quot;1EB4768C&quot;/&gt;&lt;wsp:rsid wsp:val=&quot;1EB63404&quot;/&gt;&lt;wsp:rsid wsp:val=&quot;1EB83620&quot;/&gt;&lt;wsp:rsid wsp:val=&quot;1EB87F15&quot;/&gt;&lt;wsp:rsid wsp:val=&quot;1EBA7398&quot;/&gt;&lt;wsp:rsid wsp:val=&quot;1EBD0C36&quot;/&gt;&lt;wsp:rsid wsp:val=&quot;1EBD4792&quot;/&gt;&lt;wsp:rsid wsp:val=&quot;1EC00911&quot;/&gt;&lt;wsp:rsid wsp:val=&quot;1EC04283&quot;/&gt;&lt;wsp:rsid wsp:val=&quot;1EC10726&quot;/&gt;&lt;wsp:rsid wsp:val=&quot;1EC41FC5&quot;/&gt;&lt;wsp:rsid wsp:val=&quot;1EC4217D&quot;/&gt;&lt;wsp:rsid wsp:val=&quot;1EC65D3D&quot;/&gt;&lt;wsp:rsid wsp:val=&quot;1EC661DE&quot;/&gt;&lt;wsp:rsid wsp:val=&quot;1EC71AB5&quot;/&gt;&lt;wsp:rsid wsp:val=&quot;1EC75611&quot;/&gt;&lt;wsp:rsid wsp:val=&quot;1EC93137&quot;/&gt;&lt;wsp:rsid wsp:val=&quot;1EC9341E&quot;/&gt;&lt;wsp:rsid wsp:val=&quot;1ECB3353&quot;/&gt;&lt;wsp:rsid wsp:val=&quot;1ECC2C27&quot;/&gt;&lt;wsp:rsid wsp:val=&quot;1ECC70CB&quot;/&gt;&lt;wsp:rsid wsp:val=&quot;1ECE2E43&quot;/&gt;&lt;wsp:rsid wsp:val=&quot;1ECF44C6&quot;/&gt;&lt;wsp:rsid wsp:val=&quot;1ED0096A&quot;/&gt;&lt;wsp:rsid wsp:val=&quot;1ED3045A&quot;/&gt;&lt;wsp:rsid wsp:val=&quot;1ED33FB6&quot;/&gt;&lt;wsp:rsid wsp:val=&quot;1ED41ADC&quot;/&gt;&lt;wsp:rsid wsp:val=&quot;1ED61EF3&quot;/&gt;&lt;wsp:rsid wsp:val=&quot;1ED74A21&quot;/&gt;&lt;wsp:rsid wsp:val=&quot;1ED77C74&quot;/&gt;&lt;wsp:rsid wsp:val=&quot;1EDA01AA&quot;/&gt;&lt;wsp:rsid wsp:val=&quot;1EDA3596&quot;/&gt;&lt;wsp:rsid wsp:val=&quot;1EDD3086&quot;/&gt;&lt;wsp:rsid wsp:val=&quot;1EDD6BE3&quot;/&gt;&lt;wsp:rsid wsp:val=&quot;1EDD7E56&quot;/&gt;&lt;wsp:rsid wsp:val=&quot;1EE066D3&quot;/&gt;&lt;wsp:rsid wsp:val=&quot;1EE2069D&quot;/&gt;&lt;wsp:rsid wsp:val=&quot;1EE272D7&quot;/&gt;&lt;wsp:rsid wsp:val=&quot;1EE44415&quot;/&gt;&lt;wsp:rsid wsp:val=&quot;1EE47F71&quot;/&gt;&lt;wsp:rsid wsp:val=&quot;1EE61F3B&quot;/&gt;&lt;wsp:rsid wsp:val=&quot;1EE73F06&quot;/&gt;&lt;wsp:rsid wsp:val=&quot;1EE91A2B&quot;/&gt;&lt;wsp:rsid wsp:val=&quot;1EEE2B9E&quot;/&gt;&lt;wsp:rsid wsp:val=&quot;1EF04B68&quot;/&gt;&lt;wsp:rsid wsp:val=&quot;1EF328AA&quot;/&gt;&lt;wsp:rsid wsp:val=&quot;1EF33ABA&quot;/&gt;&lt;wsp:rsid wsp:val=&quot;1EF36406&quot;/&gt;&lt;wsp:rsid wsp:val=&quot;1EF65EF6&quot;/&gt;&lt;wsp:rsid wsp:val=&quot;1EF81C6E&quot;/&gt;&lt;wsp:rsid wsp:val=&quot;1EF83A1C&quot;/&gt;&lt;wsp:rsid wsp:val=&quot;1EFA3C38&quot;/&gt;&lt;wsp:rsid wsp:val=&quot;1EFA5547&quot;/&gt;&lt;wsp:rsid wsp:val=&quot;1EFD1033&quot;/&gt;&lt;wsp:rsid wsp:val=&quot;1EFF4DAB&quot;/&gt;&lt;wsp:rsid wsp:val=&quot;1F061F30&quot;/&gt;&lt;wsp:rsid wsp:val=&quot;1F0625DD&quot;/&gt;&lt;wsp:rsid wsp:val=&quot;1F066139&quot;/&gt;&lt;wsp:rsid wsp:val=&quot;1F0711B4&quot;/&gt;&lt;wsp:rsid wsp:val=&quot;1F093E7B&quot;/&gt;&lt;wsp:rsid wsp:val=&quot;1F095C2A&quot;/&gt;&lt;wsp:rsid wsp:val=&quot;1F0B7BF4&quot;/&gt;&lt;wsp:rsid wsp:val=&quot;1F0C1276&quot;/&gt;&lt;wsp:rsid wsp:val=&quot;1F0C2B01&quot;/&gt;&lt;wsp:rsid wsp:val=&quot;1F0E1492&quot;/&gt;&lt;wsp:rsid wsp:val=&quot;1F0E3293&quot;/&gt;&lt;wsp:rsid wsp:val=&quot;1F0E4FEE&quot;/&gt;&lt;wsp:rsid wsp:val=&quot;1F0F399E&quot;/&gt;&lt;wsp:rsid wsp:val=&quot;1F100D66&quot;/&gt;&lt;wsp:rsid wsp:val=&quot;1F120F82&quot;/&gt;&lt;wsp:rsid wsp:val=&quot;1F122D30&quot;/&gt;&lt;wsp:rsid wsp:val=&quot;1F134CFA&quot;/&gt;&lt;wsp:rsid wsp:val=&quot;1F136AA8&quot;/&gt;&lt;wsp:rsid wsp:val=&quot;1F140503&quot;/&gt;&lt;wsp:rsid wsp:val=&quot;1F145347&quot;/&gt;&lt;wsp:rsid wsp:val=&quot;1F153A2A&quot;/&gt;&lt;wsp:rsid wsp:val=&quot;1F170346&quot;/&gt;&lt;wsp:rsid wsp:val=&quot;1F176598&quot;/&gt;&lt;wsp:rsid wsp:val=&quot;1F182311&quot;/&gt;&lt;wsp:rsid wsp:val=&quot;1F1840BF&quot;/&gt;&lt;wsp:rsid wsp:val=&quot;1F1A3993&quot;/&gt;&lt;wsp:rsid wsp:val=&quot;1F204D21&quot;/&gt;&lt;wsp:rsid wsp:val=&quot;1F212F73&quot;/&gt;&lt;wsp:rsid wsp:val=&quot;1F240CB5&quot;/&gt;&lt;wsp:rsid wsp:val=&quot;1F242A63&quot;/&gt;&lt;wsp:rsid wsp:val=&quot;1F247119&quot;/&gt;&lt;wsp:rsid wsp:val=&quot;1F264A2D&quot;/&gt;&lt;wsp:rsid wsp:val=&quot;1F2667DB&quot;/&gt;&lt;wsp:rsid wsp:val=&quot;1F2820C8&quot;/&gt;&lt;wsp:rsid wsp:val=&quot;1F282554&quot;/&gt;&lt;wsp:rsid wsp:val=&quot;1F2A6B51&quot;/&gt;&lt;wsp:rsid wsp:val=&quot;1F2C36C6&quot;/&gt;&lt;wsp:rsid wsp:val=&quot;1F2E5690&quot;/&gt;&lt;wsp:rsid wsp:val=&quot;1F304E58&quot;/&gt;&lt;wsp:rsid wsp:val=&quot;1F330EF8&quot;/&gt;&lt;wsp:rsid wsp:val=&quot;1F376A06&quot;/&gt;&lt;wsp:rsid wsp:val=&quot;1F38392F&quot;/&gt;&lt;wsp:rsid wsp:val=&quot;1F3A2287&quot;/&gt;&lt;wsp:rsid wsp:val=&quot;1F3A5DE3&quot;/&gt;&lt;wsp:rsid wsp:val=&quot;1F3C1B5B&quot;/&gt;&lt;wsp:rsid wsp:val=&quot;1F3C5FFF&quot;/&gt;&lt;wsp:rsid wsp:val=&quot;1F3D3B25&quot;/&gt;&lt;wsp:rsid wsp:val=&quot;1F3E297F&quot;/&gt;&lt;wsp:rsid wsp:val=&quot;1F3F20C1&quot;/&gt;&lt;wsp:rsid wsp:val=&quot;1F3F33F9&quot;/&gt;&lt;wsp:rsid wsp:val=&quot;1F4149E1&quot;/&gt;&lt;wsp:rsid wsp:val=&quot;1F4153C3&quot;/&gt;&lt;wsp:rsid wsp:val=&quot;1F417171&quot;/&gt;&lt;wsp:rsid wsp:val=&quot;1F43738D&quot;/&gt;&lt;wsp:rsid wsp:val=&quot;1F446268&quot;/&gt;&lt;wsp:rsid wsp:val=&quot;1F446C62&quot;/&gt;&lt;wsp:rsid wsp:val=&quot;1F460C2C&quot;/&gt;&lt;wsp:rsid wsp:val=&quot;1F4629DA&quot;/&gt;&lt;wsp:rsid wsp:val=&quot;1F470500&quot;/&gt;&lt;wsp:rsid wsp:val=&quot;1F4849A4&quot;/&gt;&lt;wsp:rsid wsp:val=&quot;1F486752&quot;/&gt;&lt;wsp:rsid wsp:val=&quot;1F49071C&quot;/&gt;&lt;wsp:rsid wsp:val=&quot;1F49312F&quot;/&gt;&lt;wsp:rsid wsp:val=&quot;1F4973AD&quot;/&gt;&lt;wsp:rsid wsp:val=&quot;1F4B4494&quot;/&gt;&lt;wsp:rsid wsp:val=&quot;1F4D1FBA&quot;/&gt;&lt;wsp:rsid wsp:val=&quot;1F4D3D68&quot;/&gt;&lt;wsp:rsid wsp:val=&quot;1F4E7AE0&quot;/&gt;&lt;wsp:rsid wsp:val=&quot;1F501AAA&quot;/&gt;&lt;wsp:rsid wsp:val=&quot;1F503858&quot;/&gt;&lt;wsp:rsid wsp:val=&quot;1F52137F&quot;/&gt;&lt;wsp:rsid wsp:val=&quot;1F525822&quot;/&gt;&lt;wsp:rsid wsp:val=&quot;1F542CAF&quot;/&gt;&lt;wsp:rsid wsp:val=&quot;1F547F21&quot;/&gt;&lt;wsp:rsid wsp:val=&quot;1F550E6F&quot;/&gt;&lt;wsp:rsid wsp:val=&quot;1F572E39&quot;/&gt;&lt;wsp:rsid wsp:val=&quot;1F5823ED&quot;/&gt;&lt;wsp:rsid wsp:val=&quot;1F5B37A4&quot;/&gt;&lt;wsp:rsid wsp:val=&quot;1F5C3FAB&quot;/&gt;&lt;wsp:rsid wsp:val=&quot;1F5D41BA&quot;/&gt;&lt;wsp:rsid wsp:val=&quot;1F5D7D23&quot;/&gt;&lt;wsp:rsid wsp:val=&quot;1F5E5F75&quot;/&gt;&lt;wsp:rsid wsp:val=&quot;1F5F3A9B&quot;/&gt;&lt;wsp:rsid wsp:val=&quot;1F617814&quot;/&gt;&lt;wsp:rsid wsp:val=&quot;1F6414BC&quot;/&gt;&lt;wsp:rsid wsp:val=&quot;1F645556&quot;/&gt;&lt;wsp:rsid wsp:val=&quot;1F646875&quot;/&gt;&lt;wsp:rsid wsp:val=&quot;1F666BD8&quot;/&gt;&lt;wsp:rsid wsp:val=&quot;1F672950&quot;/&gt;&lt;wsp:rsid wsp:val=&quot;1F69491A&quot;/&gt;&lt;wsp:rsid wsp:val=&quot;1F6A69FC&quot;/&gt;&lt;wsp:rsid wsp:val=&quot;1F6C10DE&quot;/&gt;&lt;wsp:rsid wsp:val=&quot;1F6D4E7A&quot;/&gt;&lt;wsp:rsid wsp:val=&quot;1F6D7F66&quot;/&gt;&lt;wsp:rsid wsp:val=&quot;1F6F11A0&quot;/&gt;&lt;wsp:rsid wsp:val=&quot;1F705CA9&quot;/&gt;&lt;wsp:rsid wsp:val=&quot;1F737B21&quot;/&gt;&lt;wsp:rsid wsp:val=&quot;1F75506D&quot;/&gt;&lt;wsp:rsid wsp:val=&quot;1F784B5D&quot;/&gt;&lt;wsp:rsid wsp:val=&quot;1F78690B&quot;/&gt;&lt;wsp:rsid wsp:val=&quot;1F792DAF&quot;/&gt;&lt;wsp:rsid wsp:val=&quot;1F7A08D5&quot;/&gt;&lt;wsp:rsid wsp:val=&quot;1F7A2683&quot;/&gt;&lt;wsp:rsid wsp:val=&quot;1F7A27D4&quot;/&gt;&lt;wsp:rsid wsp:val=&quot;1F7A32FD&quot;/&gt;&lt;wsp:rsid wsp:val=&quot;1F7A36E2&quot;/&gt;&lt;wsp:rsid wsp:val=&quot;1F7C0BD3&quot;/&gt;&lt;wsp:rsid wsp:val=&quot;1F7C1DAA&quot;/&gt;&lt;wsp:rsid wsp:val=&quot;1F7C464D&quot;/&gt;&lt;wsp:rsid wsp:val=&quot;1F7E2174&quot;/&gt;&lt;wsp:rsid wsp:val=&quot;1F7E2E95&quot;/&gt;&lt;wsp:rsid wsp:val=&quot;1F7E6617&quot;/&gt;&lt;wsp:rsid wsp:val=&quot;1F7F2A96&quot;/&gt;&lt;wsp:rsid wsp:val=&quot;1F7F5EEC&quot;/&gt;&lt;wsp:rsid wsp:val=&quot;1F800F8E&quot;/&gt;&lt;wsp:rsid wsp:val=&quot;1F811C64&quot;/&gt;&lt;wsp:rsid wsp:val=&quot;1F8328FD&quot;/&gt;&lt;wsp:rsid wsp:val=&quot;1F833C2E&quot;/&gt;&lt;wsp:rsid wsp:val=&quot;1F83778A&quot;/&gt;&lt;wsp:rsid wsp:val=&quot;1F841754&quot;/&gt;&lt;wsp:rsid wsp:val=&quot;1F8452B0&quot;/&gt;&lt;wsp:rsid wsp:val=&quot;1F86727A&quot;/&gt;&lt;wsp:rsid wsp:val=&quot;1F8B1D63&quot;/&gt;&lt;wsp:rsid wsp:val=&quot;1F8B2AE2&quot;/&gt;&lt;wsp:rsid wsp:val=&quot;1F8B4667&quot;/&gt;&lt;wsp:rsid wsp:val=&quot;1F8B663F&quot;/&gt;&lt;wsp:rsid wsp:val=&quot;1F8D0609&quot;/&gt;&lt;wsp:rsid wsp:val=&quot;1F8F430C&quot;/&gt;&lt;wsp:rsid wsp:val=&quot;1F8F4381&quot;/&gt;&lt;wsp:rsid wsp:val=&quot;1F90634B&quot;/&gt;&lt;wsp:rsid wsp:val=&quot;1F925C1F&quot;/&gt;&lt;wsp:rsid wsp:val=&quot;1F9279CD&quot;/&gt;&lt;wsp:rsid wsp:val=&quot;1F946E5A&quot;/&gt;&lt;wsp:rsid wsp:val=&quot;1F953961&quot;/&gt;&lt;wsp:rsid wsp:val=&quot;1F9574BD&quot;/&gt;&lt;wsp:rsid wsp:val=&quot;1F971487&quot;/&gt;&lt;wsp:rsid wsp:val=&quot;1F9C084C&quot;/&gt;&lt;wsp:rsid wsp:val=&quot;1F9E2816&quot;/&gt;&lt;wsp:rsid wsp:val=&quot;1F9F20EA&quot;/&gt;&lt;wsp:rsid wsp:val=&quot;1FA140B4&quot;/&gt;&lt;wsp:rsid wsp:val=&quot;1FA3607E&quot;/&gt;&lt;wsp:rsid wsp:val=&quot;1FA53BA4&quot;/&gt;&lt;wsp:rsid wsp:val=&quot;1FA828F8&quot;/&gt;&lt;wsp:rsid wsp:val=&quot;1FAA11BB&quot;/&gt;&lt;wsp:rsid wsp:val=&quot;1FAD0CAB&quot;/&gt;&lt;wsp:rsid wsp:val=&quot;1FAF4A23&quot;/&gt;&lt;wsp:rsid wsp:val=&quot;1FB21655&quot;/&gt;&lt;wsp:rsid wsp:val=&quot;1FB21E1D&quot;/&gt;&lt;wsp:rsid wsp:val=&quot;1FB448F7&quot;/&gt;&lt;wsp:rsid wsp:val=&quot;1FB65DB1&quot;/&gt;&lt;wsp:rsid wsp:val=&quot;1FB77434&quot;/&gt;&lt;wsp:rsid wsp:val=&quot;1FB77875&quot;/&gt;&lt;wsp:rsid wsp:val=&quot;1FB976E5&quot;/&gt;&lt;wsp:rsid wsp:val=&quot;1FBB33C8&quot;/&gt;&lt;wsp:rsid wsp:val=&quot;1FBC4DE6&quot;/&gt;&lt;wsp:rsid wsp:val=&quot;1FBE0986&quot;/&gt;&lt;wsp:rsid wsp:val=&quot;1FBE4C66&quot;/&gt;&lt;wsp:rsid wsp:val=&quot;1FBE6A14&quot;/&gt;&lt;wsp:rsid wsp:val=&quot;1FC14756&quot;/&gt;&lt;wsp:rsid wsp:val=&quot;1FC31414&quot;/&gt;&lt;wsp:rsid wsp:val=&quot;1FC3227C&quot;/&gt;&lt;wsp:rsid wsp:val=&quot;1FC55FF4&quot;/&gt;&lt;wsp:rsid wsp:val=&quot;1FC57DA2&quot;/&gt;&lt;wsp:rsid wsp:val=&quot;1FC61D6D&quot;/&gt;&lt;wsp:rsid wsp:val=&quot;1FC81641&quot;/&gt;&lt;wsp:rsid wsp:val=&quot;1FCA53B9&quot;/&gt;&lt;wsp:rsid wsp:val=&quot;1FCF0C21&quot;/&gt;&lt;wsp:rsid wsp:val=&quot;1FCF190A&quot;/&gt;&lt;wsp:rsid wsp:val=&quot;1FCF6E73&quot;/&gt;&lt;wsp:rsid wsp:val=&quot;1FD06747&quot;/&gt;&lt;wsp:rsid wsp:val=&quot;1FD1431F&quot;/&gt;&lt;wsp:rsid wsp:val=&quot;1FD174F6&quot;/&gt;&lt;wsp:rsid wsp:val=&quot;1FD3171B&quot;/&gt;&lt;wsp:rsid wsp:val=&quot;1FD46237&quot;/&gt;&lt;wsp:rsid wsp:val=&quot;1FD5000E&quot;/&gt;&lt;wsp:rsid wsp:val=&quot;1FD5034D&quot;/&gt;&lt;wsp:rsid wsp:val=&quot;1FD53D5E&quot;/&gt;&lt;wsp:rsid wsp:val=&quot;1FD60202&quot;/&gt;&lt;wsp:rsid wsp:val=&quot;1FD87954&quot;/&gt;&lt;wsp:rsid wsp:val=&quot;1FD9384E&quot;/&gt;&lt;wsp:rsid wsp:val=&quot;1FDB383D&quot;/&gt;&lt;wsp:rsid wsp:val=&quot;1FDB75C6&quot;/&gt;&lt;wsp:rsid wsp:val=&quot;1FDC333E&quot;/&gt;&lt;wsp:rsid wsp:val=&quot;1FDC6E9A&quot;/&gt;&lt;wsp:rsid wsp:val=&quot;1FDE0E64&quot;/&gt;&lt;wsp:rsid wsp:val=&quot;1FDE70B6&quot;/&gt;&lt;wsp:rsid wsp:val=&quot;1FDF698A&quot;/&gt;&lt;wsp:rsid wsp:val=&quot;1FE3647B&quot;/&gt;&lt;wsp:rsid wsp:val=&quot;1FE521F3&quot;/&gt;&lt;wsp:rsid wsp:val=&quot;1FE6508C&quot;/&gt;&lt;wsp:rsid wsp:val=&quot;1FE741BD&quot;/&gt;&lt;wsp:rsid wsp:val=&quot;1FE7539E&quot;/&gt;&lt;wsp:rsid wsp:val=&quot;1FE8583F&quot;/&gt;&lt;wsp:rsid wsp:val=&quot;1FED72F9&quot;/&gt;&lt;wsp:rsid wsp:val=&quot;1FEE5E46&quot;/&gt;&lt;wsp:rsid wsp:val=&quot;1FEF4E1F&quot;/&gt;&lt;wsp:rsid wsp:val=&quot;1FF00B97&quot;/&gt;&lt;wsp:rsid wsp:val=&quot;1FF21896&quot;/&gt;&lt;wsp:rsid wsp:val=&quot;1FF40688&quot;/&gt;&lt;wsp:rsid wsp:val=&quot;1FF67686&quot;/&gt;&lt;wsp:rsid wsp:val=&quot;1FF7057B&quot;/&gt;&lt;wsp:rsid wsp:val=&quot;1FF82189&quot;/&gt;&lt;wsp:rsid wsp:val=&quot;1FF93490&quot;/&gt;&lt;wsp:rsid wsp:val=&quot;1FFD25F1&quot;/&gt;&lt;wsp:rsid wsp:val=&quot;1FFE5062&quot;/&gt;&lt;wsp:rsid wsp:val=&quot;1FFF72A8&quot;/&gt;&lt;wsp:rsid wsp:val=&quot;20000DDB&quot;/&gt;&lt;wsp:rsid wsp:val=&quot;2000527E&quot;/&gt;&lt;wsp:rsid wsp:val=&quot;20016901&quot;/&gt;&lt;wsp:rsid wsp:val=&quot;20032679&quot;/&gt;&lt;wsp:rsid wsp:val=&quot;20036B1D&quot;/&gt;&lt;wsp:rsid wsp:val=&quot;20037379&quot;/&gt;&lt;wsp:rsid wsp:val=&quot;20085EE1&quot;/&gt;&lt;wsp:rsid wsp:val=&quot;200A18C7&quot;/&gt;&lt;wsp:rsid wsp:val=&quot;200A1C59&quot;/&gt;&lt;wsp:rsid wsp:val=&quot;200B777F&quot;/&gt;&lt;wsp:rsid wsp:val=&quot;200C041C&quot;/&gt;&lt;wsp:rsid wsp:val=&quot;200C18AC&quot;/&gt;&lt;wsp:rsid wsp:val=&quot;200F0B71&quot;/&gt;&lt;wsp:rsid wsp:val=&quot;200F101E&quot;/&gt;&lt;wsp:rsid wsp:val=&quot;200F70B2&quot;/&gt;&lt;wsp:rsid wsp:val=&quot;201223C3&quot;/&gt;&lt;wsp:rsid wsp:val=&quot;20144886&quot;/&gt;&lt;wsp:rsid wsp:val=&quot;201523AC&quot;/&gt;&lt;wsp:rsid wsp:val=&quot;20156253&quot;/&gt;&lt;wsp:rsid wsp:val=&quot;20166850&quot;/&gt;&lt;wsp:rsid wsp:val=&quot;2017552F&quot;/&gt;&lt;wsp:rsid wsp:val=&quot;201900EE&quot;/&gt;&lt;wsp:rsid wsp:val=&quot;20192A20&quot;/&gt;&lt;wsp:rsid wsp:val=&quot;201A1264&quot;/&gt;&lt;wsp:rsid wsp:val=&quot;201B7F11&quot;/&gt;&lt;wsp:rsid wsp:val=&quot;201C198C&quot;/&gt;&lt;wsp:rsid wsp:val=&quot;201C373B&quot;/&gt;&lt;wsp:rsid wsp:val=&quot;20210D51&quot;/&gt;&lt;wsp:rsid wsp:val=&quot;2022758D&quot;/&gt;&lt;wsp:rsid wsp:val=&quot;20234AC9&quot;/&gt;&lt;wsp:rsid wsp:val=&quot;2024673D&quot;/&gt;&lt;wsp:rsid wsp:val=&quot;20256A93&quot;/&gt;&lt;wsp:rsid wsp:val=&quot;20270A5D&quot;/&gt;&lt;wsp:rsid wsp:val=&quot;20286583&quot;/&gt;&lt;wsp:rsid wsp:val=&quot;20291B63&quot;/&gt;&lt;wsp:rsid wsp:val=&quot;202B5CA9&quot;/&gt;&lt;wsp:rsid wsp:val=&quot;202C7E22&quot;/&gt;&lt;wsp:rsid wsp:val=&quot;202E07CC&quot;/&gt;&lt;wsp:rsid wsp:val=&quot;202F09E9&quot;/&gt;&lt;wsp:rsid wsp:val=&quot;202F16C0&quot;/&gt;&lt;wsp:rsid wsp:val=&quot;202F346E&quot;/&gt;&lt;wsp:rsid wsp:val=&quot;203171E6&quot;/&gt;&lt;wsp:rsid wsp:val=&quot;20344F28&quot;/&gt;&lt;wsp:rsid wsp:val=&quot;203458FD&quot;/&gt;&lt;wsp:rsid wsp:val=&quot;20356FAB&quot;/&gt;&lt;wsp:rsid wsp:val=&quot;20362A4E&quot;/&gt;&lt;wsp:rsid wsp:val=&quot;20363689&quot;/&gt;&lt;wsp:rsid wsp:val=&quot;203768AC&quot;/&gt;&lt;wsp:rsid wsp:val=&quot;2038066E&quot;/&gt;&lt;wsp:rsid wsp:val=&quot;20384A18&quot;/&gt;&lt;wsp:rsid wsp:val=&quot;203A2555&quot;/&gt;&lt;wsp:rsid wsp:val=&quot;203B0065&quot;/&gt;&lt;wsp:rsid wsp:val=&quot;203C3DDD&quot;/&gt;&lt;wsp:rsid wsp:val=&quot;203C5B8B&quot;/&gt;&lt;wsp:rsid wsp:val=&quot;203C5DBA&quot;/&gt;&lt;wsp:rsid wsp:val=&quot;203F473B&quot;/&gt;&lt;wsp:rsid wsp:val=&quot;203F550C&quot;/&gt;&lt;wsp:rsid wsp:val=&quot;204038CD&quot;/&gt;&lt;wsp:rsid wsp:val=&quot;204131A1&quot;/&gt;&lt;wsp:rsid wsp:val=&quot;20474C5B&quot;/&gt;&lt;wsp:rsid wsp:val=&quot;204A2F8F&quot;/&gt;&lt;wsp:rsid wsp:val=&quot;204C04C4&quot;/&gt;&lt;wsp:rsid wsp:val=&quot;20511636&quot;/&gt;&lt;wsp:rsid wsp:val=&quot;20517888&quot;/&gt;&lt;wsp:rsid wsp:val=&quot;20524514&quot;/&gt;&lt;wsp:rsid wsp:val=&quot;20531852&quot;/&gt;&lt;wsp:rsid wsp:val=&quot;20532B88&quot;/&gt;&lt;wsp:rsid wsp:val=&quot;20536A69&quot;/&gt;&lt;wsp:rsid wsp:val=&quot;205454D1&quot;/&gt;&lt;wsp:rsid wsp:val=&quot;20564103&quot;/&gt;&lt;wsp:rsid wsp:val=&quot;205729C5&quot;/&gt;&lt;wsp:rsid wsp:val=&quot;205904EB&quot;/&gt;&lt;wsp:rsid wsp:val=&quot;205B0707&quot;/&gt;&lt;wsp:rsid wsp:val=&quot;205B24B5&quot;/&gt;&lt;wsp:rsid wsp:val=&quot;205B3F14&quot;/&gt;&lt;wsp:rsid wsp:val=&quot;205D447F&quot;/&gt;&lt;wsp:rsid wsp:val=&quot;205F0ADF&quot;/&gt;&lt;wsp:rsid wsp:val=&quot;20605E29&quot;/&gt;&lt;wsp:rsid wsp:val=&quot;20614072&quot;/&gt;&lt;wsp:rsid wsp:val=&quot;20621A95&quot;/&gt;&lt;wsp:rsid wsp:val=&quot;20623843&quot;/&gt;&lt;wsp:rsid wsp:val=&quot;206334A0&quot;/&gt;&lt;wsp:rsid wsp:val=&quot;2063580D&quot;/&gt;&lt;wsp:rsid wsp:val=&quot;20650234&quot;/&gt;&lt;wsp:rsid wsp:val=&quot;20670E5A&quot;/&gt;&lt;wsp:rsid wsp:val=&quot;20671BE0&quot;/&gt;&lt;wsp:rsid wsp:val=&quot;20686458&quot;/&gt;&lt;wsp:rsid wsp:val=&quot;20686980&quot;/&gt;&lt;wsp:rsid wsp:val=&quot;20692E24&quot;/&gt;&lt;wsp:rsid wsp:val=&quot;206B1AB6&quot;/&gt;&lt;wsp:rsid wsp:val=&quot;206B2BEF&quot;/&gt;&lt;wsp:rsid wsp:val=&quot;206C021E&quot;/&gt;&lt;wsp:rsid wsp:val=&quot;206C2914&quot;/&gt;&lt;wsp:rsid wsp:val=&quot;206C3758&quot;/&gt;&lt;wsp:rsid wsp:val=&quot;206D21E8&quot;/&gt;&lt;wsp:rsid wsp:val=&quot;206D3F96&quot;/&gt;&lt;wsp:rsid wsp:val=&quot;206F381A&quot;/&gt;&lt;wsp:rsid wsp:val=&quot;206F41B2&quot;/&gt;&lt;wsp:rsid wsp:val=&quot;206F5F60&quot;/&gt;&lt;wsp:rsid wsp:val=&quot;2072219B&quot;/&gt;&lt;wsp:rsid wsp:val=&quot;207277FE&quot;/&gt;&lt;wsp:rsid wsp:val=&quot;20743577&quot;/&gt;&lt;wsp:rsid wsp:val=&quot;20745325&quot;/&gt;&lt;wsp:rsid wsp:val=&quot;20752354&quot;/&gt;&lt;wsp:rsid wsp:val=&quot;207672EF&quot;/&gt;&lt;wsp:rsid wsp:val=&quot;2077343C&quot;/&gt;&lt;wsp:rsid wsp:val=&quot;20790B8D&quot;/&gt;&lt;wsp:rsid wsp:val=&quot;20796DDF&quot;/&gt;&lt;wsp:rsid wsp:val=&quot;207B1DBD&quot;/&gt;&lt;wsp:rsid wsp:val=&quot;207C324D&quot;/&gt;&lt;wsp:rsid wsp:val=&quot;207E61A3&quot;/&gt;&lt;wsp:rsid wsp:val=&quot;208337BA&quot;/&gt;&lt;wsp:rsid wsp:val=&quot;208539D6&quot;/&gt;&lt;wsp:rsid wsp:val=&quot;20854C75&quot;/&gt;&lt;wsp:rsid wsp:val=&quot;20857532&quot;/&gt;&lt;wsp:rsid wsp:val=&quot;208741C9&quot;/&gt;&lt;wsp:rsid wsp:val=&quot;20875058&quot;/&gt;&lt;wsp:rsid wsp:val=&quot;208D63E6&quot;/&gt;&lt;wsp:rsid wsp:val=&quot;208F215E&quot;/&gt;&lt;wsp:rsid wsp:val=&quot;208F6602&quot;/&gt;&lt;wsp:rsid wsp:val=&quot;209115D5&quot;/&gt;&lt;wsp:rsid wsp:val=&quot;209314D4&quot;/&gt;&lt;wsp:rsid wsp:val=&quot;20931C4F&quot;/&gt;&lt;wsp:rsid wsp:val=&quot;20942964&quot;/&gt;&lt;wsp:rsid wsp:val=&quot;20943C19&quot;/&gt;&lt;wsp:rsid wsp:val=&quot;20961DB0&quot;/&gt;&lt;wsp:rsid wsp:val=&quot;209634ED&quot;/&gt;&lt;wsp:rsid wsp:val=&quot;20963CB8&quot;/&gt;&lt;wsp:rsid wsp:val=&quot;20971013&quot;/&gt;&lt;wsp:rsid wsp:val=&quot;20977E55&quot;/&gt;&lt;wsp:rsid wsp:val=&quot;2099776D&quot;/&gt;&lt;wsp:rsid wsp:val=&quot;209B6D55&quot;/&gt;&lt;wsp:rsid wsp:val=&quot;209D2ACD&quot;/&gt;&lt;wsp:rsid wsp:val=&quot;209E23A2&quot;/&gt;&lt;wsp:rsid wsp:val=&quot;209E2EE2&quot;/&gt;&lt;wsp:rsid wsp:val=&quot;20A0611A&quot;/&gt;&lt;wsp:rsid wsp:val=&quot;20A42459&quot;/&gt;&lt;wsp:rsid wsp:val=&quot;20A459ED&quot;/&gt;&lt;wsp:rsid wsp:val=&quot;20A52598&quot;/&gt;&lt;wsp:rsid wsp:val=&quot;20A53730&quot;/&gt;&lt;wsp:rsid wsp:val=&quot;20A756FA&quot;/&gt;&lt;wsp:rsid wsp:val=&quot;20A81A1B&quot;/&gt;&lt;wsp:rsid wsp:val=&quot;20A839AB&quot;/&gt;&lt;wsp:rsid wsp:val=&quot;20A976C4&quot;/&gt;&lt;wsp:rsid wsp:val=&quot;20AA343C&quot;/&gt;&lt;wsp:rsid wsp:val=&quot;20AC2D10&quot;/&gt;&lt;wsp:rsid wsp:val=&quot;20AC4ABE&quot;/&gt;&lt;wsp:rsid wsp:val=&quot;20AE6A88&quot;/&gt;&lt;wsp:rsid wsp:val=&quot;20AF1471&quot;/&gt;&lt;wsp:rsid wsp:val=&quot;20B07FB6&quot;/&gt;&lt;wsp:rsid wsp:val=&quot;20B10327&quot;/&gt;&lt;wsp:rsid wsp:val=&quot;20B120D5&quot;/&gt;&lt;wsp:rsid wsp:val=&quot;20B147CB&quot;/&gt;&lt;wsp:rsid wsp:val=&quot;20B16579&quot;/&gt;&lt;wsp:rsid wsp:val=&quot;20B179F6&quot;/&gt;&lt;wsp:rsid wsp:val=&quot;20B3409F&quot;/&gt;&lt;wsp:rsid wsp:val=&quot;20B35E4D&quot;/&gt;&lt;wsp:rsid wsp:val=&quot;20B646FB&quot;/&gt;&lt;wsp:rsid wsp:val=&quot;20B6593D&quot;/&gt;&lt;wsp:rsid wsp:val=&quot;20B816B5&quot;/&gt;&lt;wsp:rsid wsp:val=&quot;20B83463&quot;/&gt;&lt;wsp:rsid wsp:val=&quot;20BB1758&quot;/&gt;&lt;wsp:rsid wsp:val=&quot;20BC06E0&quot;/&gt;&lt;wsp:rsid wsp:val=&quot;20BC72BC&quot;/&gt;&lt;wsp:rsid wsp:val=&quot;20BD316F&quot;/&gt;&lt;wsp:rsid wsp:val=&quot;20BE2A44&quot;/&gt;&lt;wsp:rsid wsp:val=&quot;20C0056A&quot;/&gt;&lt;wsp:rsid wsp:val=&quot;20C130C2&quot;/&gt;&lt;wsp:rsid wsp:val=&quot;20C27BBB&quot;/&gt;&lt;wsp:rsid wsp:val=&quot;20C55B80&quot;/&gt;&lt;wsp:rsid wsp:val=&quot;20C718F8&quot;/&gt;&lt;wsp:rsid wsp:val=&quot;20C77B4A&quot;/&gt;&lt;wsp:rsid wsp:val=&quot;20C80E1E&quot;/&gt;&lt;wsp:rsid wsp:val=&quot;20C91B14&quot;/&gt;&lt;wsp:rsid wsp:val=&quot;20C95670&quot;/&gt;&lt;wsp:rsid wsp:val=&quot;20CA7BDE&quot;/&gt;&lt;wsp:rsid wsp:val=&quot;20CC33B3&quot;/&gt;&lt;wsp:rsid wsp:val=&quot;20CC6F0F&quot;/&gt;&lt;wsp:rsid wsp:val=&quot;20CD5881&quot;/&gt;&lt;wsp:rsid wsp:val=&quot;20CE0ED9&quot;/&gt;&lt;wsp:rsid wsp:val=&quot;20D02EA3&quot;/&gt;&lt;wsp:rsid wsp:val=&quot;20D063EC&quot;/&gt;&lt;wsp:rsid wsp:val=&quot;20D12BB7&quot;/&gt;&lt;wsp:rsid wsp:val=&quot;20D2063F&quot;/&gt;&lt;wsp:rsid wsp:val=&quot;20D22906&quot;/&gt;&lt;wsp:rsid wsp:val=&quot;20D34741&quot;/&gt;&lt;wsp:rsid wsp:val=&quot;20D52267&quot;/&gt;&lt;wsp:rsid wsp:val=&quot;20D65FDF&quot;/&gt;&lt;wsp:rsid wsp:val=&quot;20D67D8D&quot;/&gt;&lt;wsp:rsid wsp:val=&quot;20D83B05&quot;/&gt;&lt;wsp:rsid wsp:val=&quot;20D860E5&quot;/&gt;&lt;wsp:rsid wsp:val=&quot;20D9162C&quot;/&gt;&lt;wsp:rsid wsp:val=&quot;20DB35F6&quot;/&gt;&lt;wsp:rsid wsp:val=&quot;20DD2C3A&quot;/&gt;&lt;wsp:rsid wsp:val=&quot;20DE6AF4&quot;/&gt;&lt;wsp:rsid wsp:val=&quot;20DE6C42&quot;/&gt;&lt;wsp:rsid wsp:val=&quot;20DE7A50&quot;/&gt;&lt;wsp:rsid wsp:val=&quot;20DF30E6&quot;/&gt;&lt;wsp:rsid wsp:val=&quot;20E029BA&quot;/&gt;&lt;wsp:rsid wsp:val=&quot;20E24FCC&quot;/&gt;&lt;wsp:rsid wsp:val=&quot;20E406FC&quot;/&gt;&lt;wsp:rsid wsp:val=&quot;20E409E8&quot;/&gt;&lt;wsp:rsid wsp:val=&quot;20E57FD0&quot;/&gt;&lt;wsp:rsid wsp:val=&quot;20E701EC&quot;/&gt;&lt;wsp:rsid wsp:val=&quot;20E922CE&quot;/&gt;&lt;wsp:rsid wsp:val=&quot;20E92DBD&quot;/&gt;&lt;wsp:rsid wsp:val=&quot;20E96173&quot;/&gt;&lt;wsp:rsid wsp:val=&quot;20EA0BE3&quot;/&gt;&lt;wsp:rsid wsp:val=&quot;20EA55E7&quot;/&gt;&lt;wsp:rsid wsp:val=&quot;20EC0C4F&quot;/&gt;&lt;wsp:rsid wsp:val=&quot;20ED7D96&quot;/&gt;&lt;wsp:rsid wsp:val=&quot;20EE3E02&quot;/&gt;&lt;wsp:rsid wsp:val=&quot;20EF2BFD&quot;/&gt;&lt;wsp:rsid wsp:val=&quot;20F052F3&quot;/&gt;&lt;wsp:rsid wsp:val=&quot;20F16975&quot;/&gt;&lt;wsp:rsid wsp:val=&quot;20F3093F&quot;/&gt;&lt;wsp:rsid wsp:val=&quot;20F44810&quot;/&gt;&lt;wsp:rsid wsp:val=&quot;20F50871&quot;/&gt;&lt;wsp:rsid wsp:val=&quot;20F52909&quot;/&gt;&lt;wsp:rsid wsp:val=&quot;20F546B7&quot;/&gt;&lt;wsp:rsid wsp:val=&quot;20F87D04&quot;/&gt;&lt;wsp:rsid wsp:val=&quot;20FA0E09&quot;/&gt;&lt;wsp:rsid wsp:val=&quot;20FA3A7C&quot;/&gt;&lt;wsp:rsid wsp:val=&quot;20FD1BD4&quot;/&gt;&lt;wsp:rsid wsp:val=&quot;20FD531A&quot;/&gt;&lt;wsp:rsid wsp:val=&quot;20FF5536&quot;/&gt;&lt;wsp:rsid wsp:val=&quot;21004E0A&quot;/&gt;&lt;wsp:rsid wsp:val=&quot;210112AE&quot;/&gt;&lt;wsp:rsid wsp:val=&quot;210251C1&quot;/&gt;&lt;wsp:rsid wsp:val=&quot;21025544&quot;/&gt;&lt;wsp:rsid wsp:val=&quot;21042B4C&quot;/&gt;&lt;wsp:rsid wsp:val=&quot;210A7A37&quot;/&gt;&lt;wsp:rsid wsp:val=&quot;210C1A01&quot;/&gt;&lt;wsp:rsid wsp:val=&quot;210C37AF&quot;/&gt;&lt;wsp:rsid wsp:val=&quot;210C7C53&quot;/&gt;&lt;wsp:rsid wsp:val=&quot;210E39CB&quot;/&gt;&lt;wsp:rsid wsp:val=&quot;210E7527&quot;/&gt;&lt;wsp:rsid wsp:val=&quot;210F504D&quot;/&gt;&lt;wsp:rsid wsp:val=&quot;21111EDC&quot;/&gt;&lt;wsp:rsid wsp:val=&quot;21115269&quot;/&gt;&lt;wsp:rsid wsp:val=&quot;21117017&quot;/&gt;&lt;wsp:rsid wsp:val=&quot;21156E19&quot;/&gt;&lt;wsp:rsid wsp:val=&quot;2116462E&quot;/&gt;&lt;wsp:rsid wsp:val=&quot;21166F0F&quot;/&gt;&lt;wsp:rsid wsp:val=&quot;2117610B&quot;/&gt;&lt;wsp:rsid wsp:val=&quot;211865F8&quot;/&gt;&lt;wsp:rsid wsp:val=&quot;211A2370&quot;/&gt;&lt;wsp:rsid wsp:val=&quot;211A411E&quot;/&gt;&lt;wsp:rsid wsp:val=&quot;211B1C44&quot;/&gt;&lt;wsp:rsid wsp:val=&quot;211D59BC&quot;/&gt;&lt;wsp:rsid wsp:val=&quot;211E3538&quot;/&gt;&lt;wsp:rsid wsp:val=&quot;211F09E2&quot;/&gt;&lt;wsp:rsid wsp:val=&quot;211F1734&quot;/&gt;&lt;wsp:rsid wsp:val=&quot;21201F53&quot;/&gt;&lt;wsp:rsid wsp:val=&quot;212154AC&quot;/&gt;&lt;wsp:rsid wsp:val=&quot;2122245F&quot;/&gt;&lt;wsp:rsid wsp:val=&quot;21246D4B&quot;/&gt;&lt;wsp:rsid wsp:val=&quot;2127304A&quot;/&gt;&lt;wsp:rsid wsp:val=&quot;2127683B&quot;/&gt;&lt;wsp:rsid wsp:val=&quot;2129610F&quot;/&gt;&lt;wsp:rsid wsp:val=&quot;212B632B&quot;/&gt;&lt;wsp:rsid wsp:val=&quot;212D20A3&quot;/&gt;&lt;wsp:rsid wsp:val=&quot;212D2986&quot;/&gt;&lt;wsp:rsid wsp:val=&quot;212D49A1&quot;/&gt;&lt;wsp:rsid wsp:val=&quot;21332FC8&quot;/&gt;&lt;wsp:rsid wsp:val=&quot;213333E4&quot;/&gt;&lt;wsp:rsid wsp:val=&quot;21333432&quot;/&gt;&lt;wsp:rsid wsp:val=&quot;21345B69&quot;/&gt;&lt;wsp:rsid wsp:val=&quot;213571AA&quot;/&gt;&lt;wsp:rsid wsp:val=&quot;21374CD0&quot;/&gt;&lt;wsp:rsid wsp:val=&quot;213827F6&quot;/&gt;&lt;wsp:rsid wsp:val=&quot;21395B15&quot;/&gt;&lt;wsp:rsid wsp:val=&quot;213A06E6&quot;/&gt;&lt;wsp:rsid wsp:val=&quot;213A3073&quot;/&gt;&lt;wsp:rsid wsp:val=&quot;213B74B1&quot;/&gt;&lt;wsp:rsid wsp:val=&quot;213D4AD5&quot;/&gt;&lt;wsp:rsid wsp:val=&quot;213D64F3&quot;/&gt;&lt;wsp:rsid wsp:val=&quot;213D7067&quot;/&gt;&lt;wsp:rsid wsp:val=&quot;213D7E0C&quot;/&gt;&lt;wsp:rsid wsp:val=&quot;21420783&quot;/&gt;&lt;wsp:rsid wsp:val=&quot;21423675&quot;/&gt;&lt;wsp:rsid wsp:val=&quot;21442F49&quot;/&gt;&lt;wsp:rsid wsp:val=&quot;21444369&quot;/&gt;&lt;wsp:rsid wsp:val=&quot;21453DE1&quot;/&gt;&lt;wsp:rsid wsp:val=&quot;214557F9&quot;/&gt;&lt;wsp:rsid wsp:val=&quot;21455F28&quot;/&gt;&lt;wsp:rsid wsp:val=&quot;21455FC2&quot;/&gt;&lt;wsp:rsid wsp:val=&quot;21470C8B&quot;/&gt;&lt;wsp:rsid wsp:val=&quot;21486EDD&quot;/&gt;&lt;wsp:rsid wsp:val=&quot;214923C2&quot;/&gt;&lt;wsp:rsid wsp:val=&quot;21494A03&quot;/&gt;&lt;wsp:rsid wsp:val=&quot;214B09CE&quot;/&gt;&lt;wsp:rsid wsp:val=&quot;214B2529&quot;/&gt;&lt;wsp:rsid wsp:val=&quot;214B42D7&quot;/&gt;&lt;wsp:rsid wsp:val=&quot;214D4BFC&quot;/&gt;&lt;wsp:rsid wsp:val=&quot;214E201A&quot;/&gt;&lt;wsp:rsid wsp:val=&quot;214E3DC8&quot;/&gt;&lt;wsp:rsid wsp:val=&quot;214E5B76&quot;/&gt;&lt;wsp:rsid wsp:val=&quot;214F1F02&quot;/&gt;&lt;wsp:rsid wsp:val=&quot;215313DE&quot;/&gt;&lt;wsp:rsid wsp:val=&quot;21535882&quot;/&gt;&lt;wsp:rsid wsp:val=&quot;21570ECE&quot;/&gt;&lt;wsp:rsid wsp:val=&quot;215727DE&quot;/&gt;&lt;wsp:rsid wsp:val=&quot;215804A8&quot;/&gt;&lt;wsp:rsid wsp:val=&quot;21596DDD&quot;/&gt;&lt;wsp:rsid wsp:val=&quot;215A2310&quot;/&gt;&lt;wsp:rsid wsp:val=&quot;215A451A&quot;/&gt;&lt;wsp:rsid wsp:val=&quot;215C64E4&quot;/&gt;&lt;wsp:rsid wsp:val=&quot;215D04AF&quot;/&gt;&lt;wsp:rsid wsp:val=&quot;215F7D83&quot;/&gt;&lt;wsp:rsid wsp:val=&quot;21611D4D&quot;/&gt;&lt;wsp:rsid wsp:val=&quot;21616461&quot;/&gt;&lt;wsp:rsid wsp:val=&quot;21627873&quot;/&gt;&lt;wsp:rsid wsp:val=&quot;216361B0&quot;/&gt;&lt;wsp:rsid wsp:val=&quot;2164183D&quot;/&gt;&lt;wsp:rsid wsp:val=&quot;21661111&quot;/&gt;&lt;wsp:rsid wsp:val=&quot;216830DB&quot;/&gt;&lt;wsp:rsid wsp:val=&quot;21690C01&quot;/&gt;&lt;wsp:rsid wsp:val=&quot;21692022&quot;/&gt;&lt;wsp:rsid wsp:val=&quot;21693A14&quot;/&gt;&lt;wsp:rsid wsp:val=&quot;216A5E6B&quot;/&gt;&lt;wsp:rsid wsp:val=&quot;216B7513&quot;/&gt;&lt;wsp:rsid wsp:val=&quot;216C24A0&quot;/&gt;&lt;wsp:rsid wsp:val=&quot;216D06F2&quot;/&gt;&lt;wsp:rsid wsp:val=&quot;216E32C3&quot;/&gt;&lt;wsp:rsid wsp:val=&quot;216E7FC6&quot;/&gt;&lt;wsp:rsid wsp:val=&quot;21701F90&quot;/&gt;&lt;wsp:rsid wsp:val=&quot;21717AB6&quot;/&gt;&lt;wsp:rsid wsp:val=&quot;21724024&quot;/&gt;&lt;wsp:rsid wsp:val=&quot;217355DC&quot;/&gt;&lt;wsp:rsid wsp:val=&quot;21751354&quot;/&gt;&lt;wsp:rsid wsp:val=&quot;21753196&quot;/&gt;&lt;wsp:rsid wsp:val=&quot;217575A6&quot;/&gt;&lt;wsp:rsid wsp:val=&quot;21763195&quot;/&gt;&lt;wsp:rsid wsp:val=&quot;21771570&quot;/&gt;&lt;wsp:rsid wsp:val=&quot;2177331E&quot;/&gt;&lt;wsp:rsid wsp:val=&quot;217750CC&quot;/&gt;&lt;wsp:rsid wsp:val=&quot;21787C6A&quot;/&gt;&lt;wsp:rsid wsp:val=&quot;217A696B&quot;/&gt;&lt;wsp:rsid wsp:val=&quot;217D46AD&quot;/&gt;&lt;wsp:rsid wsp:val=&quot;21817CF9&quot;/&gt;&lt;wsp:rsid wsp:val=&quot;21821CC3&quot;/&gt;&lt;wsp:rsid wsp:val=&quot;21845A3B&quot;/&gt;&lt;wsp:rsid wsp:val=&quot;21857B95&quot;/&gt;&lt;wsp:rsid wsp:val=&quot;218617B3&quot;/&gt;&lt;wsp:rsid wsp:val=&quot;21863561&quot;/&gt;&lt;wsp:rsid wsp:val=&quot;2186530F&quot;/&gt;&lt;wsp:rsid wsp:val=&quot;218872DA&quot;/&gt;&lt;wsp:rsid wsp:val=&quot;21894E00&quot;/&gt;&lt;wsp:rsid wsp:val=&quot;218A3F2C&quot;/&gt;&lt;wsp:rsid wsp:val=&quot;218B6AFD&quot;/&gt;&lt;wsp:rsid wsp:val=&quot;218D48F0&quot;/&gt;&lt;wsp:rsid wsp:val=&quot;219043E0&quot;/&gt;&lt;wsp:rsid wsp:val=&quot;21921F06&quot;/&gt;&lt;wsp:rsid wsp:val=&quot;219263AA&quot;/&gt;&lt;wsp:rsid wsp:val=&quot;21935491&quot;/&gt;&lt;wsp:rsid wsp:val=&quot;21935C7E&quot;/&gt;&lt;wsp:rsid wsp:val=&quot;219537A4&quot;/&gt;&lt;wsp:rsid wsp:val=&quot;21983295&quot;/&gt;&lt;wsp:rsid wsp:val=&quot;219915B7&quot;/&gt;&lt;wsp:rsid wsp:val=&quot;219A3017&quot;/&gt;&lt;wsp:rsid wsp:val=&quot;219D4A4B&quot;/&gt;&lt;wsp:rsid wsp:val=&quot;219E4D4F&quot;/&gt;&lt;wsp:rsid wsp:val=&quot;219F4623&quot;/&gt;&lt;wsp:rsid wsp:val=&quot;219F4CC2&quot;/&gt;&lt;wsp:rsid wsp:val=&quot;21A10D23&quot;/&gt;&lt;wsp:rsid wsp:val=&quot;21A34A70&quot;/&gt;&lt;wsp:rsid wsp:val=&quot;21A460DD&quot;/&gt;&lt;wsp:rsid wsp:val=&quot;21A711FA&quot;/&gt;&lt;wsp:rsid wsp:val=&quot;21A841CC&quot;/&gt;&lt;wsp:rsid wsp:val=&quot;21A8797C&quot;/&gt;&lt;wsp:rsid wsp:val=&quot;21A97250&quot;/&gt;&lt;wsp:rsid wsp:val=&quot;21AA3516&quot;/&gt;&lt;wsp:rsid wsp:val=&quot;21AB2FC8&quot;/&gt;&lt;wsp:rsid wsp:val=&quot;21AC1A98&quot;/&gt;&lt;wsp:rsid wsp:val=&quot;21AD4F92&quot;/&gt;&lt;wsp:rsid wsp:val=&quot;21AE4866&quot;/&gt;&lt;wsp:rsid wsp:val=&quot;21B24356&quot;/&gt;&lt;wsp:rsid wsp:val=&quot;21B46321&quot;/&gt;&lt;wsp:rsid wsp:val=&quot;21B52099&quot;/&gt;&lt;wsp:rsid wsp:val=&quot;21B7196D&quot;/&gt;&lt;wsp:rsid wsp:val=&quot;21B87493&quot;/&gt;&lt;wsp:rsid wsp:val=&quot;21B96280&quot;/&gt;&lt;wsp:rsid wsp:val=&quot;21BA145D&quot;/&gt;&lt;wsp:rsid wsp:val=&quot;21BA320B&quot;/&gt;&lt;wsp:rsid wsp:val=&quot;21BE0F4D&quot;/&gt;&lt;wsp:rsid wsp:val=&quot;21BE2CFB&quot;/&gt;&lt;wsp:rsid wsp:val=&quot;21BF6A73&quot;/&gt;&lt;wsp:rsid wsp:val=&quot;21C422DC&quot;/&gt;&lt;wsp:rsid wsp:val=&quot;21C4408A&quot;/&gt;&lt;wsp:rsid wsp:val=&quot;21C81DCC&quot;/&gt;&lt;wsp:rsid wsp:val=&quot;21C83ECE&quot;/&gt;&lt;wsp:rsid wsp:val=&quot;21C916A0&quot;/&gt;&lt;wsp:rsid wsp:val=&quot;21CA5B44&quot;/&gt;&lt;wsp:rsid wsp:val=&quot;21CB71C6&quot;/&gt;&lt;wsp:rsid wsp:val=&quot;21CC24F4&quot;/&gt;&lt;wsp:rsid wsp:val=&quot;21CE7D40&quot;/&gt;&lt;wsp:rsid wsp:val=&quot;21CF4F08&quot;/&gt;&lt;wsp:rsid wsp:val=&quot;21D4251F&quot;/&gt;&lt;wsp:rsid wsp:val=&quot;21D56297&quot;/&gt;&lt;wsp:rsid wsp:val=&quot;21D70261&quot;/&gt;&lt;wsp:rsid wsp:val=&quot;21D839C3&quot;/&gt;&lt;wsp:rsid wsp:val=&quot;21D86395&quot;/&gt;&lt;wsp:rsid wsp:val=&quot;21D86594&quot;/&gt;&lt;wsp:rsid wsp:val=&quot;21D92534&quot;/&gt;&lt;wsp:rsid wsp:val=&quot;21DA565B&quot;/&gt;&lt;wsp:rsid wsp:val=&quot;21DC13D3&quot;/&gt;&lt;wsp:rsid wsp:val=&quot;21DC1B04&quot;/&gt;&lt;wsp:rsid wsp:val=&quot;21DE318A&quot;/&gt;&lt;wsp:rsid wsp:val=&quot;21DF0EC4&quot;/&gt;&lt;wsp:rsid wsp:val=&quot;21DF2C72&quot;/&gt;&lt;wsp:rsid wsp:val=&quot;21E07116&quot;/&gt;&lt;wsp:rsid wsp:val=&quot;21E14C3C&quot;/&gt;&lt;wsp:rsid wsp:val=&quot;21E169EA&quot;/&gt;&lt;wsp:rsid wsp:val=&quot;21E26FB5&quot;/&gt;&lt;wsp:rsid wsp:val=&quot;21E32762&quot;/&gt;&lt;wsp:rsid wsp:val=&quot;21E909DA&quot;/&gt;&lt;wsp:rsid wsp:val=&quot;21EB5ABA&quot;/&gt;&lt;wsp:rsid wsp:val=&quot;21EB7868&quot;/&gt;&lt;wsp:rsid wsp:val=&quot;21EF55AB&quot;/&gt;&lt;wsp:rsid wsp:val=&quot;21EF5B80&quot;/&gt;&lt;wsp:rsid wsp:val=&quot;21F259FA&quot;/&gt;&lt;wsp:rsid wsp:val=&quot;21F4496F&quot;/&gt;&lt;wsp:rsid wsp:val=&quot;21F66939&quot;/&gt;&lt;wsp:rsid wsp:val=&quot;21F726B1&quot;/&gt;&lt;wsp:rsid wsp:val=&quot;21F7445F&quot;/&gt;&lt;wsp:rsid wsp:val=&quot;21F7620D&quot;/&gt;&lt;wsp:rsid wsp:val=&quot;21F93D33&quot;/&gt;&lt;wsp:rsid wsp:val=&quot;21FA7AAB&quot;/&gt;&lt;wsp:rsid wsp:val=&quot;21FE134A&quot;/&gt;&lt;wsp:rsid wsp:val=&quot;21FE1DF5&quot;/&gt;&lt;wsp:rsid wsp:val=&quot;21FE56DE&quot;/&gt;&lt;wsp:rsid wsp:val=&quot;21FE759C&quot;/&gt;&lt;wsp:rsid wsp:val=&quot;21FF6B6E&quot;/&gt;&lt;wsp:rsid wsp:val=&quot;22002BCF&quot;/&gt;&lt;wsp:rsid wsp:val=&quot;220152DE&quot;/&gt;&lt;wsp:rsid wsp:val=&quot;220426D8&quot;/&gt;&lt;wsp:rsid wsp:val=&quot;22056B7C&quot;/&gt;&lt;wsp:rsid wsp:val=&quot;220628F4&quot;/&gt;&lt;wsp:rsid wsp:val=&quot;220646A2&quot;/&gt;&lt;wsp:rsid wsp:val=&quot;22066450&quot;/&gt;&lt;wsp:rsid wsp:val=&quot;22097CEF&quot;/&gt;&lt;wsp:rsid wsp:val=&quot;220A4192&quot;/&gt;&lt;wsp:rsid wsp:val=&quot;220A731F&quot;/&gt;&lt;wsp:rsid wsp:val=&quot;220D5A31&quot;/&gt;&lt;wsp:rsid wsp:val=&quot;220D77DF&quot;/&gt;&lt;wsp:rsid wsp:val=&quot;220F17A9&quot;/&gt;&lt;wsp:rsid wsp:val=&quot;2210107D&quot;/&gt;&lt;wsp:rsid wsp:val=&quot;22123047&quot;/&gt;&lt;wsp:rsid wsp:val=&quot;22124DF5&quot;/&gt;&lt;wsp:rsid wsp:val=&quot;22153965&quot;/&gt;&lt;wsp:rsid wsp:val=&quot;221548E5&quot;/&gt;&lt;wsp:rsid wsp:val=&quot;22160D89&quot;/&gt;&lt;wsp:rsid wsp:val=&quot;2217065D&quot;/&gt;&lt;wsp:rsid wsp:val=&quot;2217240B&quot;/&gt;&lt;wsp:rsid wsp:val=&quot;221943D6&quot;/&gt;&lt;wsp:rsid wsp:val=&quot;22196AD9&quot;/&gt;&lt;wsp:rsid wsp:val=&quot;221A18C9&quot;/&gt;&lt;wsp:rsid wsp:val=&quot;221A365E&quot;/&gt;&lt;wsp:rsid wsp:val=&quot;221A55CD&quot;/&gt;&lt;wsp:rsid wsp:val=&quot;2221328A&quot;/&gt;&lt;wsp:rsid wsp:val=&quot;22214839&quot;/&gt;&lt;wsp:rsid wsp:val=&quot;2221772E&quot;/&gt;&lt;wsp:rsid wsp:val=&quot;22235B21&quot;/&gt;&lt;wsp:rsid wsp:val=&quot;22266AF2&quot;/&gt;&lt;wsp:rsid wsp:val=&quot;22277E86&quot;/&gt;&lt;wsp:rsid wsp:val=&quot;222A0391&quot;/&gt;&lt;wsp:rsid wsp:val=&quot;222A213F&quot;/&gt;&lt;wsp:rsid wsp:val=&quot;222A65E3&quot;/&gt;&lt;wsp:rsid wsp:val=&quot;222B5EB7&quot;/&gt;&lt;wsp:rsid wsp:val=&quot;222D1C2F&quot;/&gt;&lt;wsp:rsid wsp:val=&quot;223034CD&quot;/&gt;&lt;wsp:rsid wsp:val=&quot;223125F1&quot;/&gt;&lt;wsp:rsid wsp:val=&quot;22321C56&quot;/&gt;&lt;wsp:rsid wsp:val=&quot;22322E8D&quot;/&gt;&lt;wsp:rsid wsp:val=&quot;223236E9&quot;/&gt;&lt;wsp:rsid wsp:val=&quot;22340C98&quot;/&gt;&lt;wsp:rsid wsp:val=&quot;22356D36&quot;/&gt;&lt;wsp:rsid wsp:val=&quot;22394A78&quot;/&gt;&lt;wsp:rsid wsp:val=&quot;223A1B0E&quot;/&gt;&lt;wsp:rsid wsp:val=&quot;223B07F0&quot;/&gt;&lt;wsp:rsid wsp:val=&quot;223B259E&quot;/&gt;&lt;wsp:rsid wsp:val=&quot;223B7F62&quot;/&gt;&lt;wsp:rsid wsp:val=&quot;223C00C4&quot;/&gt;&lt;wsp:rsid wsp:val=&quot;223C0251&quot;/&gt;&lt;wsp:rsid wsp:val=&quot;223F181A&quot;/&gt;&lt;wsp:rsid wsp:val=&quot;22405E06&quot;/&gt;&lt;wsp:rsid wsp:val=&quot;2241392C&quot;/&gt;&lt;wsp:rsid wsp:val=&quot;22425184&quot;/&gt;&lt;wsp:rsid wsp:val=&quot;224312FC&quot;/&gt;&lt;wsp:rsid wsp:val=&quot;22431452&quot;/&gt;&lt;wsp:rsid wsp:val=&quot;22442C3C&quot;/&gt;&lt;wsp:rsid wsp:val=&quot;2245341D&quot;/&gt;&lt;wsp:rsid wsp:val=&quot;22460F43&quot;/&gt;&lt;wsp:rsid wsp:val=&quot;22484CBB&quot;/&gt;&lt;wsp:rsid wsp:val=&quot;224C4614&quot;/&gt;&lt;wsp:rsid wsp:val=&quot;224C6559&quot;/&gt;&lt;wsp:rsid wsp:val=&quot;224C7D46&quot;/&gt;&lt;wsp:rsid wsp:val=&quot;224D0523&quot;/&gt;&lt;wsp:rsid wsp:val=&quot;2250591D&quot;/&gt;&lt;wsp:rsid wsp:val=&quot;22525B39&quot;/&gt;&lt;wsp:rsid wsp:val=&quot;22543660&quot;/&gt;&lt;wsp:rsid wsp:val=&quot;22561186&quot;/&gt;&lt;wsp:rsid wsp:val=&quot;225673D8&quot;/&gt;&lt;wsp:rsid wsp:val=&quot;22573150&quot;/&gt;&lt;wsp:rsid wsp:val=&quot;22576990&quot;/&gt;&lt;wsp:rsid wsp:val=&quot;22590C76&quot;/&gt;&lt;wsp:rsid wsp:val=&quot;22596EC8&quot;/&gt;&lt;wsp:rsid wsp:val=&quot;225B49EE&quot;/&gt;&lt;wsp:rsid wsp:val=&quot;225C2514&quot;/&gt;&lt;wsp:rsid wsp:val=&quot;225C3529&quot;/&gt;&lt;wsp:rsid wsp:val=&quot;225D0766&quot;/&gt;&lt;wsp:rsid wsp:val=&quot;225E003A&quot;/&gt;&lt;wsp:rsid wsp:val=&quot;225E628C&quot;/&gt;&lt;wsp:rsid wsp:val=&quot;22607368&quot;/&gt;&lt;wsp:rsid wsp:val=&quot;22623FCE&quot;/&gt;&lt;wsp:rsid wsp:val=&quot;226513C9&quot;/&gt;&lt;wsp:rsid wsp:val=&quot;22665141&quot;/&gt;&lt;wsp:rsid wsp:val=&quot;22665859&quot;/&gt;&lt;wsp:rsid wsp:val=&quot;22680EB9&quot;/&gt;&lt;wsp:rsid wsp:val=&quot;2268710B&quot;/&gt;&lt;wsp:rsid wsp:val=&quot;226B24CD&quot;/&gt;&lt;wsp:rsid wsp:val=&quot;226B2757&quot;/&gt;&lt;wsp:rsid wsp:val=&quot;226B475F&quot;/&gt;&lt;wsp:rsid wsp:val=&quot;226C68FD&quot;/&gt;&lt;wsp:rsid wsp:val=&quot;226D1E92&quot;/&gt;&lt;wsp:rsid wsp:val=&quot;226D4721&quot;/&gt;&lt;wsp:rsid wsp:val=&quot;226E2973&quot;/&gt;&lt;wsp:rsid wsp:val=&quot;226E3EE9&quot;/&gt;&lt;wsp:rsid wsp:val=&quot;226F30E0&quot;/&gt;&lt;wsp:rsid wsp:val=&quot;226F7C8D&quot;/&gt;&lt;wsp:rsid wsp:val=&quot;227105D1&quot;/&gt;&lt;wsp:rsid wsp:val=&quot;22717D6E&quot;/&gt;&lt;wsp:rsid wsp:val=&quot;227317B0&quot;/&gt;&lt;wsp:rsid wsp:val=&quot;22737F8A&quot;/&gt;&lt;wsp:rsid wsp:val=&quot;22794E74&quot;/&gt;&lt;wsp:rsid wsp:val=&quot;227B5090&quot;/&gt;&lt;wsp:rsid wsp:val=&quot;227B7D85&quot;/&gt;&lt;wsp:rsid wsp:val=&quot;227C332F&quot;/&gt;&lt;wsp:rsid wsp:val=&quot;227C4964&quot;/&gt;&lt;wsp:rsid wsp:val=&quot;227E692E&quot;/&gt;&lt;wsp:rsid wsp:val=&quot;22811F32&quot;/&gt;&lt;wsp:rsid wsp:val=&quot;22813D29&quot;/&gt;&lt;wsp:rsid wsp:val=&quot;22827E15&quot;/&gt;&lt;wsp:rsid wsp:val=&quot;22834CFD&quot;/&gt;&lt;wsp:rsid wsp:val=&quot;2285011F&quot;/&gt;&lt;wsp:rsid wsp:val=&quot;228526B8&quot;/&gt;&lt;wsp:rsid wsp:val=&quot;22857CBD&quot;/&gt;&lt;wsp:rsid wsp:val=&quot;22866796&quot;/&gt;&lt;wsp:rsid wsp:val=&quot;22877591&quot;/&gt;&lt;wsp:rsid wsp:val=&quot;228A1178&quot;/&gt;&lt;wsp:rsid wsp:val=&quot;228C104B&quot;/&gt;&lt;wsp:rsid wsp:val=&quot;228E38D5&quot;/&gt;&lt;wsp:rsid wsp:val=&quot;228F28EA&quot;/&gt;&lt;wsp:rsid wsp:val=&quot;22934188&quot;/&gt;&lt;wsp:rsid wsp:val=&quot;22963C78&quot;/&gt;&lt;wsp:rsid wsp:val=&quot;22965A26&quot;/&gt;&lt;wsp:rsid wsp:val=&quot;2296695B&quot;/&gt;&lt;wsp:rsid wsp:val=&quot;22993768&quot;/&gt;&lt;wsp:rsid wsp:val=&quot;22993C71&quot;/&gt;&lt;wsp:rsid wsp:val=&quot;229B128E&quot;/&gt;&lt;wsp:rsid wsp:val=&quot;229D4A1D&quot;/&gt;&lt;wsp:rsid wsp:val=&quot;229E200E&quot;/&gt;&lt;wsp:rsid wsp:val=&quot;229E2B2D&quot;/&gt;&lt;wsp:rsid wsp:val=&quot;229E75D3&quot;/&gt;&lt;wsp:rsid wsp:val=&quot;22A00653&quot;/&gt;&lt;wsp:rsid wsp:val=&quot;22A06A15&quot;/&gt;&lt;wsp:rsid wsp:val=&quot;22A20FA7&quot;/&gt;&lt;wsp:rsid wsp:val=&quot;22AA3280&quot;/&gt;&lt;wsp:rsid wsp:val=&quot;22AA7723&quot;/&gt;&lt;wsp:rsid wsp:val=&quot;22AD2D70&quot;/&gt;&lt;wsp:rsid wsp:val=&quot;22AE59A2&quot;/&gt;&lt;wsp:rsid wsp:val=&quot;22B1460E&quot;/&gt;&lt;wsp:rsid wsp:val=&quot;22B362C9&quot;/&gt;&lt;wsp:rsid wsp:val=&quot;22B660C8&quot;/&gt;&lt;wsp:rsid wsp:val=&quot;22B8599C&quot;/&gt;&lt;wsp:rsid wsp:val=&quot;22B91715&quot;/&gt;&lt;wsp:rsid wsp:val=&quot;22B934C3&quot;/&gt;&lt;wsp:rsid wsp:val=&quot;22BA5BB9&quot;/&gt;&lt;wsp:rsid wsp:val=&quot;22BD1205&quot;/&gt;&lt;wsp:rsid wsp:val=&quot;22BD28C6&quot;/&gt;&lt;wsp:rsid wsp:val=&quot;22BE6D2B&quot;/&gt;&lt;wsp:rsid wsp:val=&quot;22BF02C5&quot;/&gt;&lt;wsp:rsid wsp:val=&quot;22BF52C9&quot;/&gt;&lt;wsp:rsid wsp:val=&quot;22C3455E&quot;/&gt;&lt;wsp:rsid wsp:val=&quot;22C36737&quot;/&gt;&lt;wsp:rsid wsp:val=&quot;22C407E5&quot;/&gt;&lt;wsp:rsid wsp:val=&quot;22C500B9&quot;/&gt;&lt;wsp:rsid wsp:val=&quot;22C52798&quot;/&gt;&lt;wsp:rsid wsp:val=&quot;22C541CF&quot;/&gt;&lt;wsp:rsid wsp:val=&quot;22C5630B&quot;/&gt;&lt;wsp:rsid wsp:val=&quot;22C73E32&quot;/&gt;&lt;wsp:rsid wsp:val=&quot;22C77C89&quot;/&gt;&lt;wsp:rsid wsp:val=&quot;22C81958&quot;/&gt;&lt;wsp:rsid wsp:val=&quot;22CA4D90&quot;/&gt;&lt;wsp:rsid wsp:val=&quot;22CA56D0&quot;/&gt;&lt;wsp:rsid wsp:val=&quot;22CB2372&quot;/&gt;&lt;wsp:rsid wsp:val=&quot;22CE51C0&quot;/&gt;&lt;wsp:rsid wsp:val=&quot;22CF1618&quot;/&gt;&lt;wsp:rsid wsp:val=&quot;22CF718A&quot;/&gt;&lt;wsp:rsid wsp:val=&quot;22D24584&quot;/&gt;&lt;wsp:rsid wsp:val=&quot;22D327D6&quot;/&gt;&lt;wsp:rsid wsp:val=&quot;22D36C7A&quot;/&gt;&lt;wsp:rsid wsp:val=&quot;22D402FC&quot;/&gt;&lt;wsp:rsid wsp:val=&quot;22D801D2&quot;/&gt;&lt;wsp:rsid wsp:val=&quot;22D84291&quot;/&gt;&lt;wsp:rsid wsp:val=&quot;22D8603F&quot;/&gt;&lt;wsp:rsid wsp:val=&quot;22D95913&quot;/&gt;&lt;wsp:rsid wsp:val=&quot;22DB5B2F&quot;/&gt;&lt;wsp:rsid wsp:val=&quot;22DB78DD&quot;/&gt;&lt;wsp:rsid wsp:val=&quot;22DB7A75&quot;/&gt;&lt;wsp:rsid wsp:val=&quot;22DD3655&quot;/&gt;&lt;wsp:rsid wsp:val=&quot;22DD5403&quot;/&gt;&lt;wsp:rsid wsp:val=&quot;22DE07AD&quot;/&gt;&lt;wsp:rsid wsp:val=&quot;22E5075C&quot;/&gt;&lt;wsp:rsid wsp:val=&quot;22E542B8&quot;/&gt;&lt;wsp:rsid wsp:val=&quot;22E7490B&quot;/&gt;&lt;wsp:rsid wsp:val=&quot;22E91B93&quot;/&gt;&lt;wsp:rsid wsp:val=&quot;22E91FFA&quot;/&gt;&lt;wsp:rsid wsp:val=&quot;22E946E5&quot;/&gt;&lt;wsp:rsid wsp:val=&quot;22EB44B3&quot;/&gt;&lt;wsp:rsid wsp:val=&quot;22EC3898&quot;/&gt;&lt;wsp:rsid wsp:val=&quot;22EC5646&quot;/&gt;&lt;wsp:rsid wsp:val=&quot;22ED0263&quot;/&gt;&lt;wsp:rsid wsp:val=&quot;22EE5862&quot;/&gt;&lt;wsp:rsid wsp:val=&quot;22EF08E4&quot;/&gt;&lt;wsp:rsid wsp:val=&quot;22F015DA&quot;/&gt;&lt;wsp:rsid wsp:val=&quot;22F108A9&quot;/&gt;&lt;wsp:rsid wsp:val=&quot;22F10F18&quot;/&gt;&lt;wsp:rsid wsp:val=&quot;22F15352&quot;/&gt;&lt;wsp:rsid wsp:val=&quot;22F16BE4&quot;/&gt;&lt;wsp:rsid wsp:val=&quot;22F4099F&quot;/&gt;&lt;wsp:rsid wsp:val=&quot;22F422C8&quot;/&gt;&lt;wsp:rsid wsp:val=&quot;22F47480&quot;/&gt;&lt;wsp:rsid wsp:val=&quot;22F56BF1&quot;/&gt;&lt;wsp:rsid wsp:val=&quot;22F716CB&quot;/&gt;&lt;wsp:rsid wsp:val=&quot;22F72A56&quot;/&gt;&lt;wsp:rsid wsp:val=&quot;22F83FEB&quot;/&gt;&lt;wsp:rsid wsp:val=&quot;22FA533E&quot;/&gt;&lt;wsp:rsid wsp:val=&quot;22FC1543&quot;/&gt;&lt;wsp:rsid wsp:val=&quot;22FC5438&quot;/&gt;&lt;wsp:rsid wsp:val=&quot;22FF35CB&quot;/&gt;&lt;wsp:rsid wsp:val=&quot;23000B70&quot;/&gt;&lt;wsp:rsid wsp:val=&quot;23024E6A&quot;/&gt;&lt;wsp:rsid wsp:val=&quot;23033BCA&quot;/&gt;&lt;wsp:rsid wsp:val=&quot;23046E34&quot;/&gt;&lt;wsp:rsid wsp:val=&quot;2305495A&quot;/&gt;&lt;wsp:rsid wsp:val=&quot;230564EA&quot;/&gt;&lt;wsp:rsid wsp:val=&quot;23056708&quot;/&gt;&lt;wsp:rsid wsp:val=&quot;2307511C&quot;/&gt;&lt;wsp:rsid wsp:val=&quot;23076924&quot;/&gt;&lt;wsp:rsid wsp:val=&quot;230E1A60&quot;/&gt;&lt;wsp:rsid wsp:val=&quot;230E380E&quot;/&gt;&lt;wsp:rsid wsp:val=&quot;230E3DFE&quot;/&gt;&lt;wsp:rsid wsp:val=&quot;230E7CB2&quot;/&gt;&lt;wsp:rsid wsp:val=&quot;231132FF&quot;/&gt;&lt;wsp:rsid wsp:val=&quot;231150AD&quot;/&gt;&lt;wsp:rsid wsp:val=&quot;231177A3&quot;/&gt;&lt;wsp:rsid wsp:val=&quot;231352C9&quot;/&gt;&lt;wsp:rsid wsp:val=&quot;23144B9D&quot;/&gt;&lt;wsp:rsid wsp:val=&quot;23152DEF&quot;/&gt;&lt;wsp:rsid wsp:val=&quot;231921B3&quot;/&gt;&lt;wsp:rsid wsp:val=&quot;231A0B85&quot;/&gt;&lt;wsp:rsid wsp:val=&quot;231A54B6&quot;/&gt;&lt;wsp:rsid wsp:val=&quot;231B5F2B&quot;/&gt;&lt;wsp:rsid wsp:val=&quot;231D6147&quot;/&gt;&lt;wsp:rsid wsp:val=&quot;231F5A1C&quot;/&gt;&lt;wsp:rsid wsp:val=&quot;231F7E56&quot;/&gt;&lt;wsp:rsid wsp:val=&quot;23201794&quot;/&gt;&lt;wsp:rsid wsp:val=&quot;232118FA&quot;/&gt;&lt;wsp:rsid wsp:val=&quot;23215CC3&quot;/&gt;&lt;wsp:rsid wsp:val=&quot;2322375E&quot;/&gt;&lt;wsp:rsid wsp:val=&quot;23226D27&quot;/&gt;&lt;wsp:rsid wsp:val=&quot;23244DE0&quot;/&gt;&lt;wsp:rsid wsp:val=&quot;23247D44&quot;/&gt;&lt;wsp:rsid wsp:val=&quot;23250B58&quot;/&gt;&lt;wsp:rsid wsp:val=&quot;23251FF0&quot;/&gt;&lt;wsp:rsid wsp:val=&quot;232548A1&quot;/&gt;&lt;wsp:rsid wsp:val=&quot;23255AD4&quot;/&gt;&lt;wsp:rsid wsp:val=&quot;23294AEC&quot;/&gt;&lt;wsp:rsid wsp:val=&quot;232A2389&quot;/&gt;&lt;wsp:rsid wsp:val=&quot;232A43C0&quot;/&gt;&lt;wsp:rsid wsp:val=&quot;232C0139&quot;/&gt;&lt;wsp:rsid wsp:val=&quot;232C1EE7&quot;/&gt;&lt;wsp:rsid wsp:val=&quot;232C638A&quot;/&gt;&lt;wsp:rsid wsp:val=&quot;232E2103&quot;/&gt;&lt;wsp:rsid wsp:val=&quot;2331574F&quot;/&gt;&lt;wsp:rsid wsp:val=&quot;233157B8&quot;/&gt;&lt;wsp:rsid wsp:val=&quot;233314C7&quot;/&gt;&lt;wsp:rsid wsp:val=&quot;23333275&quot;/&gt;&lt;wsp:rsid wsp:val=&quot;23353491&quot;/&gt;&lt;wsp:rsid wsp:val=&quot;2335523F&quot;/&gt;&lt;wsp:rsid wsp:val=&quot;23360FB7&quot;/&gt;&lt;wsp:rsid wsp:val=&quot;23362D65&quot;/&gt;&lt;wsp:rsid wsp:val=&quot;233644C7&quot;/&gt;&lt;wsp:rsid wsp:val=&quot;2338088B&quot;/&gt;&lt;wsp:rsid wsp:val=&quot;233817E5&quot;/&gt;&lt;wsp:rsid wsp:val=&quot;23384D2F&quot;/&gt;&lt;wsp:rsid wsp:val=&quot;23395C89&quot;/&gt;&lt;wsp:rsid wsp:val=&quot;233A0AA7&quot;/&gt;&lt;wsp:rsid wsp:val=&quot;233A2855&quot;/&gt;&lt;wsp:rsid wsp:val=&quot;233B18FF&quot;/&gt;&lt;wsp:rsid wsp:val=&quot;233C28CB&quot;/&gt;&lt;wsp:rsid wsp:val=&quot;233D2346&quot;/&gt;&lt;wsp:rsid wsp:val=&quot;233D40F4&quot;/&gt;&lt;wsp:rsid wsp:val=&quot;233F28CD&quot;/&gt;&lt;wsp:rsid wsp:val=&quot;233F60BE&quot;/&gt;&lt;wsp:rsid wsp:val=&quot;233F7E6C&quot;/&gt;&lt;wsp:rsid wsp:val=&quot;23405992&quot;/&gt;&lt;wsp:rsid wsp:val=&quot;23411E36&quot;/&gt;&lt;wsp:rsid wsp:val=&quot;2342795C&quot;/&gt;&lt;wsp:rsid wsp:val=&quot;23446EF2&quot;/&gt;&lt;wsp:rsid wsp:val=&quot;2346744C&quot;/&gt;&lt;wsp:rsid wsp:val=&quot;23474F72&quot;/&gt;&lt;wsp:rsid wsp:val=&quot;23476D20&quot;/&gt;&lt;wsp:rsid wsp:val=&quot;234839B9&quot;/&gt;&lt;wsp:rsid wsp:val=&quot;23483ACC&quot;/&gt;&lt;wsp:rsid wsp:val=&quot;23490CEA&quot;/&gt;&lt;wsp:rsid wsp:val=&quot;23492A98&quot;/&gt;&lt;wsp:rsid wsp:val=&quot;234A05BF&quot;/&gt;&lt;wsp:rsid wsp:val=&quot;234C3850&quot;/&gt;&lt;wsp:rsid wsp:val=&quot;234C4337&quot;/&gt;&lt;wsp:rsid wsp:val=&quot;234E6301&quot;/&gt;&lt;wsp:rsid wsp:val=&quot;234F4B40&quot;/&gt;&lt;wsp:rsid wsp:val=&quot;235002CB&quot;/&gt;&lt;wsp:rsid wsp:val=&quot;235021D1&quot;/&gt;&lt;wsp:rsid wsp:val=&quot;23513661&quot;/&gt;&lt;wsp:rsid wsp:val=&quot;23521160&quot;/&gt;&lt;wsp:rsid wsp:val=&quot;23525258&quot;/&gt;&lt;wsp:rsid wsp:val=&quot;23531B69&quot;/&gt;&lt;wsp:rsid wsp:val=&quot;235356C5&quot;/&gt;&lt;wsp:rsid wsp:val=&quot;235651B5&quot;/&gt;&lt;wsp:rsid wsp:val=&quot;23566F63&quot;/&gt;&lt;wsp:rsid wsp:val=&quot;23576154&quot;/&gt;&lt;wsp:rsid wsp:val=&quot;23593283&quot;/&gt;&lt;wsp:rsid wsp:val=&quot;235947F0&quot;/&gt;&lt;wsp:rsid wsp:val=&quot;235A2EF8&quot;/&gt;&lt;wsp:rsid wsp:val=&quot;235B248E&quot;/&gt;&lt;wsp:rsid wsp:val=&quot;235B2E51&quot;/&gt;&lt;wsp:rsid wsp:val=&quot;235C0A1E&quot;/&gt;&lt;wsp:rsid wsp:val=&quot;235D02F2&quot;/&gt;&lt;wsp:rsid wsp:val=&quot;235D6544&quot;/&gt;&lt;wsp:rsid wsp:val=&quot;235F050E&quot;/&gt;&lt;wsp:rsid wsp:val=&quot;235F3807&quot;/&gt;&lt;wsp:rsid wsp:val=&quot;235F406A&quot;/&gt;&lt;wsp:rsid wsp:val=&quot;23641680&quot;/&gt;&lt;wsp:rsid wsp:val=&quot;236478D2&quot;/&gt;&lt;wsp:rsid wsp:val=&quot;236553F8&quot;/&gt;&lt;wsp:rsid wsp:val=&quot;236773C3&quot;/&gt;&lt;wsp:rsid wsp:val=&quot;23696C97&quot;/&gt;&lt;wsp:rsid wsp:val=&quot;236B2A0F&quot;/&gt;&lt;wsp:rsid wsp:val=&quot;236C2E3A&quot;/&gt;&lt;wsp:rsid wsp:val=&quot;236E0751&quot;/&gt;&lt;wsp:rsid wsp:val=&quot;237044C9&quot;/&gt;&lt;wsp:rsid wsp:val=&quot;23706277&quot;/&gt;&lt;wsp:rsid wsp:val=&quot;23713D9D&quot;/&gt;&lt;wsp:rsid wsp:val=&quot;23755842&quot;/&gt;&lt;wsp:rsid wsp:val=&quot;23757D31&quot;/&gt;&lt;wsp:rsid wsp:val=&quot;237613B4&quot;/&gt;&lt;wsp:rsid wsp:val=&quot;23766ABD&quot;/&gt;&lt;wsp:rsid wsp:val=&quot;23784951&quot;/&gt;&lt;wsp:rsid wsp:val=&quot;237A0EA4&quot;/&gt;&lt;wsp:rsid wsp:val=&quot;237A70F6&quot;/&gt;&lt;wsp:rsid wsp:val=&quot;237C10C0&quot;/&gt;&lt;wsp:rsid wsp:val=&quot;237C661D&quot;/&gt;&lt;wsp:rsid wsp:val=&quot;237E524F&quot;/&gt;&lt;wsp:rsid wsp:val=&quot;23810FFF&quot;/&gt;&lt;wsp:rsid wsp:val=&quot;238166D6&quot;/&gt;&lt;wsp:rsid wsp:val=&quot;23827D58&quot;/&gt;&lt;wsp:rsid wsp:val=&quot;23841D23&quot;/&gt;&lt;wsp:rsid wsp:val=&quot;23841DA8&quot;/&gt;&lt;wsp:rsid wsp:val=&quot;23843AD1&quot;/&gt;&lt;wsp:rsid wsp:val=&quot;23846E58&quot;/&gt;&lt;wsp:rsid wsp:val=&quot;23847F75&quot;/&gt;&lt;wsp:rsid wsp:val=&quot;238612AD&quot;/&gt;&lt;wsp:rsid wsp:val=&quot;23863CED&quot;/&gt;&lt;wsp:rsid wsp:val=&quot;23865A9B&quot;/&gt;&lt;wsp:rsid wsp:val=&quot;2386783E&quot;/&gt;&lt;wsp:rsid wsp:val=&quot;23887A65&quot;/&gt;&lt;wsp:rsid wsp:val=&quot;23890495&quot;/&gt;&lt;wsp:rsid wsp:val=&quot;23891DF0&quot;/&gt;&lt;wsp:rsid wsp:val=&quot;238B4E5F&quot;/&gt;&lt;wsp:rsid wsp:val=&quot;238C2C77&quot;/&gt;&lt;wsp:rsid wsp:val=&quot;238C6E29&quot;/&gt;&lt;wsp:rsid wsp:val=&quot;238D37BF&quot;/&gt;&lt;wsp:rsid wsp:val=&quot;23910AF4&quot;/&gt;&lt;wsp:rsid wsp:val=&quot;23922691&quot;/&gt;&lt;wsp:rsid wsp:val=&quot;2392443F&quot;/&gt;&lt;wsp:rsid wsp:val=&quot;23952182&quot;/&gt;&lt;wsp:rsid wsp:val=&quot;23953F30&quot;/&gt;&lt;wsp:rsid wsp:val=&quot;23963804&quot;/&gt;&lt;wsp:rsid wsp:val=&quot;23977CA8&quot;/&gt;&lt;wsp:rsid wsp:val=&quot;2398757C&quot;/&gt;&lt;wsp:rsid wsp:val=&quot;239A1546&quot;/&gt;&lt;wsp:rsid wsp:val=&quot;239A32F4&quot;/&gt;&lt;wsp:rsid wsp:val=&quot;239C52BE&quot;/&gt;&lt;wsp:rsid wsp:val=&quot;239D1036&quot;/&gt;&lt;wsp:rsid wsp:val=&quot;239D2DE4&quot;/&gt;&lt;wsp:rsid wsp:val=&quot;239E21FE&quot;/&gt;&lt;wsp:rsid wsp:val=&quot;23A10B26&quot;/&gt;&lt;wsp:rsid wsp:val=&quot;23A3664D&quot;/&gt;&lt;wsp:rsid wsp:val=&quot;23A3680E&quot;/&gt;&lt;wsp:rsid wsp:val=&quot;23A44173&quot;/&gt;&lt;wsp:rsid wsp:val=&quot;23A777BF&quot;/&gt;&lt;wsp:rsid wsp:val=&quot;23A80CA6&quot;/&gt;&lt;wsp:rsid wsp:val=&quot;23A957E6&quot;/&gt;&lt;wsp:rsid wsp:val=&quot;23AA169B&quot;/&gt;&lt;wsp:rsid wsp:val=&quot;23AB72AF&quot;/&gt;&lt;wsp:rsid wsp:val=&quot;23AC0E53&quot;/&gt;&lt;wsp:rsid wsp:val=&quot;23AD74CB&quot;/&gt;&lt;wsp:rsid wsp:val=&quot;23AE6D9F&quot;/&gt;&lt;wsp:rsid wsp:val=&quot;23B02B18&quot;/&gt;&lt;wsp:rsid wsp:val=&quot;23B24AE2&quot;/&gt;&lt;wsp:rsid wsp:val=&quot;23B26890&quot;/&gt;&lt;wsp:rsid wsp:val=&quot;23B32608&quot;/&gt;&lt;wsp:rsid wsp:val=&quot;23B4085A&quot;/&gt;&lt;wsp:rsid wsp:val=&quot;23B75C54&quot;/&gt;&lt;wsp:rsid wsp:val=&quot;23B86660&quot;/&gt;&lt;wsp:rsid wsp:val=&quot;23B87C1E&quot;/&gt;&lt;wsp:rsid wsp:val=&quot;23B91A9E&quot;/&gt;&lt;wsp:rsid wsp:val=&quot;23BA1BE8&quot;/&gt;&lt;wsp:rsid wsp:val=&quot;23BC51F1&quot;/&gt;&lt;wsp:rsid wsp:val=&quot;23BF0BC5&quot;/&gt;&lt;wsp:rsid wsp:val=&quot;23BF0FAD&quot;/&gt;&lt;wsp:rsid wsp:val=&quot;23BF2D5B&quot;/&gt;&lt;wsp:rsid wsp:val=&quot;23C10881&quot;/&gt;&lt;wsp:rsid wsp:val=&quot;23C12F77&quot;/&gt;&lt;wsp:rsid wsp:val=&quot;23C2284B&quot;/&gt;&lt;wsp:rsid wsp:val=&quot;23C245F9&quot;/&gt;&lt;wsp:rsid wsp:val=&quot;23C40371&quot;/&gt;&lt;wsp:rsid wsp:val=&quot;23C44815&quot;/&gt;&lt;wsp:rsid wsp:val=&quot;23C465C3&quot;/&gt;&lt;wsp:rsid wsp:val=&quot;23C53D41&quot;/&gt;&lt;wsp:rsid wsp:val=&quot;23C57FBE&quot;/&gt;&lt;wsp:rsid wsp:val=&quot;23C640E9&quot;/&gt;&lt;wsp:rsid wsp:val=&quot;23C860B3&quot;/&gt;&lt;wsp:rsid wsp:val=&quot;23C87E61&quot;/&gt;&lt;wsp:rsid wsp:val=&quot;23CA0100&quot;/&gt;&lt;wsp:rsid wsp:val=&quot;23CB16FF&quot;/&gt;&lt;wsp:rsid wsp:val=&quot;23CB5BA3&quot;/&gt;&lt;wsp:rsid wsp:val=&quot;23CD36CA&quot;/&gt;&lt;wsp:rsid wsp:val=&quot;23CE11F0&quot;/&gt;&lt;wsp:rsid wsp:val=&quot;23CE2811&quot;/&gt;&lt;wsp:rsid wsp:val=&quot;23D02696&quot;/&gt;&lt;wsp:rsid wsp:val=&quot;23D031BA&quot;/&gt;&lt;wsp:rsid wsp:val=&quot;23D245E4&quot;/&gt;&lt;wsp:rsid wsp:val=&quot;23D26F32&quot;/&gt;&lt;wsp:rsid wsp:val=&quot;23D305B4&quot;/&gt;&lt;wsp:rsid wsp:val=&quot;23D34A58&quot;/&gt;&lt;wsp:rsid wsp:val=&quot;23D36806&quot;/&gt;&lt;wsp:rsid wsp:val=&quot;23D42CAA&quot;/&gt;&lt;wsp:rsid wsp:val=&quot;23D507D0&quot;/&gt;&lt;wsp:rsid wsp:val=&quot;23D74548&quot;/&gt;&lt;wsp:rsid wsp:val=&quot;23DA1943&quot;/&gt;&lt;wsp:rsid wsp:val=&quot;23DA7B95&quot;/&gt;&lt;wsp:rsid wsp:val=&quot;23DE1C48&quot;/&gt;&lt;wsp:rsid wsp:val=&quot;23DE5576&quot;/&gt;&lt;wsp:rsid wsp:val=&quot;23E1714E&quot;/&gt;&lt;wsp:rsid wsp:val=&quot;23E3589A&quot;/&gt;&lt;wsp:rsid wsp:val=&quot;23E40A13&quot;/&gt;&lt;wsp:rsid wsp:val=&quot;23E427C1&quot;/&gt;&lt;wsp:rsid wsp:val=&quot;23E660C1&quot;/&gt;&lt;wsp:rsid wsp:val=&quot;23E66539&quot;/&gt;&lt;wsp:rsid wsp:val=&quot;23E9602A&quot;/&gt;&lt;wsp:rsid wsp:val=&quot;23E97DD8&quot;/&gt;&lt;wsp:rsid wsp:val=&quot;23ED1676&quot;/&gt;&lt;wsp:rsid wsp:val=&quot;23ED46EB&quot;/&gt;&lt;wsp:rsid wsp:val=&quot;23ED5B1A&quot;/&gt;&lt;wsp:rsid wsp:val=&quot;23EE3640&quot;/&gt;&lt;wsp:rsid wsp:val=&quot;23F0560A&quot;/&gt;&lt;wsp:rsid wsp:val=&quot;23F24EDE&quot;/&gt;&lt;wsp:rsid wsp:val=&quot;23F37E91&quot;/&gt;&lt;wsp:rsid wsp:val=&quot;23F5732E&quot;/&gt;&lt;wsp:rsid wsp:val=&quot;23F66979&quot;/&gt;&lt;wsp:rsid wsp:val=&quot;23F70746&quot;/&gt;&lt;wsp:rsid wsp:val=&quot;23F85E1A&quot;/&gt;&lt;wsp:rsid wsp:val=&quot;23F93B71&quot;/&gt;&lt;wsp:rsid wsp:val=&quot;23F944BF&quot;/&gt;&lt;wsp:rsid wsp:val=&quot;23FA0D14&quot;/&gt;&lt;wsp:rsid wsp:val=&quot;23FC1649&quot;/&gt;&lt;wsp:rsid wsp:val=&quot;23FE7D27&quot;/&gt;&lt;wsp:rsid wsp:val=&quot;23FF75FB&quot;/&gt;&lt;wsp:rsid wsp:val=&quot;240115C5&quot;/&gt;&lt;wsp:rsid wsp:val=&quot;240210CD&quot;/&gt;&lt;wsp:rsid wsp:val=&quot;240370EB&quot;/&gt;&lt;wsp:rsid wsp:val=&quot;24042E63&quot;/&gt;&lt;wsp:rsid wsp:val=&quot;240510B5&quot;/&gt;&lt;wsp:rsid wsp:val=&quot;24053736&quot;/&gt;&lt;wsp:rsid wsp:val=&quot;24061B78&quot;/&gt;&lt;wsp:rsid wsp:val=&quot;2409047A&quot;/&gt;&lt;wsp:rsid wsp:val=&quot;24094C88&quot;/&gt;&lt;wsp:rsid wsp:val=&quot;240A66CC&quot;/&gt;&lt;wsp:rsid wsp:val=&quot;24102A4E&quot;/&gt;&lt;wsp:rsid wsp:val=&quot;24107A5A&quot;/&gt;&lt;wsp:rsid wsp:val=&quot;24111CD9&quot;/&gt;&lt;wsp:rsid wsp:val=&quot;24134E54&quot;/&gt;&lt;wsp:rsid wsp:val=&quot;241430A6&quot;/&gt;&lt;wsp:rsid wsp:val=&quot;24150BCD&quot;/&gt;&lt;wsp:rsid wsp:val=&quot;2419690F&quot;/&gt;&lt;wsp:rsid wsp:val=&quot;241A4435&quot;/&gt;&lt;wsp:rsid wsp:val=&quot;241C01AD&quot;/&gt;&lt;wsp:rsid wsp:val=&quot;241C1F5B&quot;/&gt;&lt;wsp:rsid wsp:val=&quot;241E2177&quot;/&gt;&lt;wsp:rsid wsp:val=&quot;242332EA&quot;/&gt;&lt;wsp:rsid wsp:val=&quot;24253506&quot;/&gt;&lt;wsp:rsid wsp:val=&quot;24264B88&quot;/&gt;&lt;wsp:rsid wsp:val=&quot;242816A1&quot;/&gt;&lt;wsp:rsid wsp:val=&quot;24284DA4&quot;/&gt;&lt;wsp:rsid wsp:val=&quot;24285550&quot;/&gt;&lt;wsp:rsid wsp:val=&quot;24295A04&quot;/&gt;&lt;wsp:rsid wsp:val=&quot;242A28CA&quot;/&gt;&lt;wsp:rsid wsp:val=&quot;242B6642&quot;/&gt;&lt;wsp:rsid wsp:val=&quot;242D14B2&quot;/&gt;&lt;wsp:rsid wsp:val=&quot;242D24F0&quot;/&gt;&lt;wsp:rsid wsp:val=&quot;242D5F16&quot;/&gt;&lt;wsp:rsid wsp:val=&quot;242F7EE0&quot;/&gt;&lt;wsp:rsid wsp:val=&quot;24303C58&quot;/&gt;&lt;wsp:rsid wsp:val=&quot;24311EAA&quot;/&gt;&lt;wsp:rsid wsp:val=&quot;2432177F&quot;/&gt;&lt;wsp:rsid wsp:val=&quot;243279D1&quot;/&gt;&lt;wsp:rsid wsp:val=&quot;243472A5&quot;/&gt;&lt;wsp:rsid wsp:val=&quot;2436209C&quot;/&gt;&lt;wsp:rsid wsp:val=&quot;243674C1&quot;/&gt;&lt;wsp:rsid wsp:val=&quot;24392B0D&quot;/&gt;&lt;wsp:rsid wsp:val=&quot;243A525D&quot;/&gt;&lt;wsp:rsid wsp:val=&quot;243A6885&quot;/&gt;&lt;wsp:rsid wsp:val=&quot;243C25FD&quot;/&gt;&lt;wsp:rsid wsp:val=&quot;243C2F8D&quot;/&gt;&lt;wsp:rsid wsp:val=&quot;243D04AF&quot;/&gt;&lt;wsp:rsid wsp:val=&quot;243E6375&quot;/&gt;&lt;wsp:rsid wsp:val=&quot;243F4D56&quot;/&gt;&lt;wsp:rsid wsp:val=&quot;24425E3B&quot;/&gt;&lt;wsp:rsid wsp:val=&quot;24434A5C&quot;/&gt;&lt;wsp:rsid wsp:val=&quot;24443260&quot;/&gt;&lt;wsp:rsid wsp:val=&quot;244A4D1A&quot;/&gt;&lt;wsp:rsid wsp:val=&quot;244B1E69&quot;/&gt;&lt;wsp:rsid wsp:val=&quot;244D480A&quot;/&gt;&lt;wsp:rsid wsp:val=&quot;245265B7&quot;/&gt;&lt;wsp:rsid wsp:val=&quot;2454306B&quot;/&gt;&lt;wsp:rsid wsp:val=&quot;24545B99&quot;/&gt;&lt;wsp:rsid wsp:val=&quot;24561B4D&quot;/&gt;&lt;wsp:rsid wsp:val=&quot;24577437&quot;/&gt;&lt;wsp:rsid wsp:val=&quot;2458446D&quot;/&gt;&lt;wsp:rsid wsp:val=&quot;245931AF&quot;/&gt;&lt;wsp:rsid wsp:val=&quot;245A04CE&quot;/&gt;&lt;wsp:rsid wsp:val=&quot;245C2C9F&quot;/&gt;&lt;wsp:rsid wsp:val=&quot;245C67FB&quot;/&gt;&lt;wsp:rsid wsp:val=&quot;245C7023&quot;/&gt;&lt;wsp:rsid wsp:val=&quot;245D6108&quot;/&gt;&lt;wsp:rsid wsp:val=&quot;245E4322&quot;/&gt;&lt;wsp:rsid wsp:val=&quot;24612064&quot;/&gt;&lt;wsp:rsid wsp:val=&quot;24632CC1&quot;/&gt;&lt;wsp:rsid wsp:val=&quot;24633790&quot;/&gt;&lt;wsp:rsid wsp:val=&quot;2463402E&quot;/&gt;&lt;wsp:rsid wsp:val=&quot;24661428&quot;/&gt;&lt;wsp:rsid wsp:val=&quot;246758CC&quot;/&gt;&lt;wsp:rsid wsp:val=&quot;24677167&quot;/&gt;&lt;wsp:rsid wsp:val=&quot;24681644&quot;/&gt;&lt;wsp:rsid wsp:val=&quot;246833F2&quot;/&gt;&lt;wsp:rsid wsp:val=&quot;246851A0&quot;/&gt;&lt;wsp:rsid wsp:val=&quot;246856A3&quot;/&gt;&lt;wsp:rsid wsp:val=&quot;246C03EF&quot;/&gt;&lt;wsp:rsid wsp:val=&quot;246C2EE2&quot;/&gt;&lt;wsp:rsid wsp:val=&quot;246D0A09&quot;/&gt;&lt;wsp:rsid wsp:val=&quot;246D6C5B&quot;/&gt;&lt;wsp:rsid wsp:val=&quot;246E7DD4&quot;/&gt;&lt;wsp:rsid wsp:val=&quot;246F29D3&quot;/&gt;&lt;wsp:rsid wsp:val=&quot;246F652F&quot;/&gt;&lt;wsp:rsid wsp:val=&quot;24704055&quot;/&gt;&lt;wsp:rsid wsp:val=&quot;2471674B&quot;/&gt;&lt;wsp:rsid wsp:val=&quot;24727BE5&quot;/&gt;&lt;wsp:rsid wsp:val=&quot;24741D97&quot;/&gt;&lt;wsp:rsid wsp:val=&quot;24753802&quot;/&gt;&lt;wsp:rsid wsp:val=&quot;24773635&quot;/&gt;&lt;wsp:rsid wsp:val=&quot;2479115B&quot;/&gt;&lt;wsp:rsid wsp:val=&quot;247965B0&quot;/&gt;&lt;wsp:rsid wsp:val=&quot;247966B3&quot;/&gt;&lt;wsp:rsid wsp:val=&quot;247973AD&quot;/&gt;&lt;wsp:rsid wsp:val=&quot;247B1BF4&quot;/&gt;&lt;wsp:rsid wsp:val=&quot;247B4ED4&quot;/&gt;&lt;wsp:rsid wsp:val=&quot;247D4CF8&quot;/&gt;&lt;wsp:rsid wsp:val=&quot;247D50F0&quot;/&gt;&lt;wsp:rsid wsp:val=&quot;247E6772&quot;/&gt;&lt;wsp:rsid wsp:val=&quot;2480698E&quot;/&gt;&lt;wsp:rsid wsp:val=&quot;24816262&quot;/&gt;&lt;wsp:rsid wsp:val=&quot;248322AB&quot;/&gt;&lt;wsp:rsid wsp:val=&quot;24855D52&quot;/&gt;&lt;wsp:rsid wsp:val=&quot;24861ACA&quot;/&gt;&lt;wsp:rsid wsp:val=&quot;24883A94&quot;/&gt;&lt;wsp:rsid wsp:val=&quot;24885842&quot;/&gt;&lt;wsp:rsid wsp:val=&quot;248A15BB&quot;/&gt;&lt;wsp:rsid wsp:val=&quot;248A5117&quot;/&gt;&lt;wsp:rsid wsp:val=&quot;248B0D95&quot;/&gt;&lt;wsp:rsid wsp:val=&quot;248B1ECD&quot;/&gt;&lt;wsp:rsid wsp:val=&quot;248D10AB&quot;/&gt;&lt;wsp:rsid wsp:val=&quot;248D2E59&quot;/&gt;&lt;wsp:rsid wsp:val=&quot;248E1534&quot;/&gt;&lt;wsp:rsid wsp:val=&quot;248F076C&quot;/&gt;&lt;wsp:rsid wsp:val=&quot;248F4E23&quot;/&gt;&lt;wsp:rsid wsp:val=&quot;24922B77&quot;/&gt;&lt;wsp:rsid wsp:val=&quot;249266C1&quot;/&gt;&lt;wsp:rsid wsp:val=&quot;24960699&quot;/&gt;&lt;wsp:rsid wsp:val=&quot;24970470&quot;/&gt;&lt;wsp:rsid wsp:val=&quot;249776D4&quot;/&gt;&lt;wsp:rsid wsp:val=&quot;24997A50&quot;/&gt;&lt;wsp:rsid wsp:val=&quot;249B37C8&quot;/&gt;&lt;wsp:rsid wsp:val=&quot;249B5576&quot;/&gt;&lt;wsp:rsid wsp:val=&quot;249D12EE&quot;/&gt;&lt;wsp:rsid wsp:val=&quot;249D1730&quot;/&gt;&lt;wsp:rsid wsp:val=&quot;249D4C1D&quot;/&gt;&lt;wsp:rsid wsp:val=&quot;249E0BC2&quot;/&gt;&lt;wsp:rsid wsp:val=&quot;24A04DA1&quot;/&gt;&lt;wsp:rsid wsp:val=&quot;24A04DBD&quot;/&gt;&lt;wsp:rsid wsp:val=&quot;24A26904&quot;/&gt;&lt;wsp:rsid wsp:val=&quot;24A3267C&quot;/&gt;&lt;wsp:rsid wsp:val=&quot;24A415E4&quot;/&gt;&lt;wsp:rsid wsp:val=&quot;24A51F50&quot;/&gt;&lt;wsp:rsid wsp:val=&quot;24A63F04&quot;/&gt;&lt;wsp:rsid wsp:val=&quot;24A65CC9&quot;/&gt;&lt;wsp:rsid wsp:val=&quot;24AA68E6&quot;/&gt;&lt;wsp:rsid wsp:val=&quot;24AE34FB&quot;/&gt;&lt;wsp:rsid wsp:val=&quot;24B102DB&quot;/&gt;&lt;wsp:rsid wsp:val=&quot;24B16B47&quot;/&gt;&lt;wsp:rsid wsp:val=&quot;24B47998&quot;/&gt;&lt;wsp:rsid wsp:val=&quot;24B93C4E&quot;/&gt;&lt;wsp:rsid wsp:val=&quot;24BB5C18&quot;/&gt;&lt;wsp:rsid wsp:val=&quot;24BD373E&quot;/&gt;&lt;wsp:rsid wsp:val=&quot;24BE2528&quot;/&gt;&lt;wsp:rsid wsp:val=&quot;24BF09F7&quot;/&gt;&lt;wsp:rsid wsp:val=&quot;24C0322E&quot;/&gt;&lt;wsp:rsid wsp:val=&quot;24C06D8A&quot;/&gt;&lt;wsp:rsid wsp:val=&quot;24C30629&quot;/&gt;&lt;wsp:rsid wsp:val=&quot;24C3087B&quot;/&gt;&lt;wsp:rsid wsp:val=&quot;24C3328E&quot;/&gt;&lt;wsp:rsid wsp:val=&quot;24C573A0&quot;/&gt;&lt;wsp:rsid wsp:val=&quot;24C745BD&quot;/&gt;&lt;wsp:rsid wsp:val=&quot;24C820E3&quot;/&gt;&lt;wsp:rsid wsp:val=&quot;24CA19B7&quot;/&gt;&lt;wsp:rsid wsp:val=&quot;24CC07F0&quot;/&gt;&lt;wsp:rsid wsp:val=&quot;24CC572F&quot;/&gt;&lt;wsp:rsid wsp:val=&quot;24CC5C1F&quot;/&gt;&lt;wsp:rsid wsp:val=&quot;24CD1292&quot;/&gt;&lt;wsp:rsid wsp:val=&quot;24CD14A7&quot;/&gt;&lt;wsp:rsid wsp:val=&quot;24CE594B&quot;/&gt;&lt;wsp:rsid wsp:val=&quot;24CF1C50&quot;/&gt;&lt;wsp:rsid wsp:val=&quot;24CF521F&quot;/&gt;&lt;wsp:rsid wsp:val=&quot;24D10F97&quot;/&gt;&lt;wsp:rsid wsp:val=&quot;24D10FB3&quot;/&gt;&lt;wsp:rsid wsp:val=&quot;24D25CCF&quot;/&gt;&lt;wsp:rsid wsp:val=&quot;24D26ABE&quot;/&gt;&lt;wsp:rsid wsp:val=&quot;24D34D10&quot;/&gt;&lt;wsp:rsid wsp:val=&quot;24D42836&quot;/&gt;&lt;wsp:rsid wsp:val=&quot;24D740D4&quot;/&gt;&lt;wsp:rsid wsp:val=&quot;24D90223&quot;/&gt;&lt;wsp:rsid wsp:val=&quot;24D97C08&quot;/&gt;&lt;wsp:rsid wsp:val=&quot;24DB0068&quot;/&gt;&lt;wsp:rsid wsp:val=&quot;24DB3BC4&quot;/&gt;&lt;wsp:rsid wsp:val=&quot;24DC16EA&quot;/&gt;&lt;wsp:rsid wsp:val=&quot;24E0742D&quot;/&gt;&lt;wsp:rsid wsp:val=&quot;24E32A79&quot;/&gt;&lt;wsp:rsid wsp:val=&quot;24E52C95&quot;/&gt;&lt;wsp:rsid wsp:val=&quot;24E54A43&quot;/&gt;&lt;wsp:rsid wsp:val=&quot;24E6133A&quot;/&gt;&lt;wsp:rsid wsp:val=&quot;24E94533&quot;/&gt;&lt;wsp:rsid wsp:val=&quot;24EA3E07&quot;/&gt;&lt;wsp:rsid wsp:val=&quot;24EE1B49&quot;/&gt;&lt;wsp:rsid wsp:val=&quot;24F01F86&quot;/&gt;&lt;wsp:rsid wsp:val=&quot;24F1163A&quot;/&gt;&lt;wsp:rsid wsp:val=&quot;24F353B2&quot;/&gt;&lt;wsp:rsid wsp:val=&quot;24F37160&quot;/&gt;&lt;wsp:rsid wsp:val=&quot;24F609FE&quot;/&gt;&lt;wsp:rsid wsp:val=&quot;24F86524&quot;/&gt;&lt;wsp:rsid wsp:val=&quot;24F904EE&quot;/&gt;&lt;wsp:rsid wsp:val=&quot;24FB4266&quot;/&gt;&lt;wsp:rsid wsp:val=&quot;24FB7DC2&quot;/&gt;&lt;wsp:rsid wsp:val=&quot;24FD3B3B&quot;/&gt;&lt;wsp:rsid wsp:val=&quot;24FE5B05&quot;/&gt;&lt;wsp:rsid wsp:val=&quot;2500362B&quot;/&gt;&lt;wsp:rsid wsp:val=&quot;2503462D&quot;/&gt;&lt;wsp:rsid wsp:val=&quot;25040928&quot;/&gt;&lt;wsp:rsid wsp:val=&quot;25050981&quot;/&gt;&lt;wsp:rsid wsp:val=&quot;25072C0B&quot;/&gt;&lt;wsp:rsid wsp:val=&quot;250A6257&quot;/&gt;&lt;wsp:rsid wsp:val=&quot;250C6474&quot;/&gt;&lt;wsp:rsid wsp:val=&quot;250D7A7E&quot;/&gt;&lt;wsp:rsid wsp:val=&quot;250E3F9A&quot;/&gt;&lt;wsp:rsid wsp:val=&quot;250E5D48&quot;/&gt;&lt;wsp:rsid wsp:val=&quot;250E7A49&quot;/&gt;&lt;wsp:rsid wsp:val=&quot;250F386E&quot;/&gt;&lt;wsp:rsid wsp:val=&quot;25115838&quot;/&gt;&lt;wsp:rsid wsp:val=&quot;251315B0&quot;/&gt;&lt;wsp:rsid wsp:val=&quot;25131844&quot;/&gt;&lt;wsp:rsid wsp:val=&quot;2513335E&quot;/&gt;&lt;wsp:rsid wsp:val=&quot;25137802&quot;/&gt;&lt;wsp:rsid wsp:val=&quot;25140E84&quot;/&gt;&lt;wsp:rsid wsp:val=&quot;25145328&quot;/&gt;&lt;wsp:rsid wsp:val=&quot;25162E4E&quot;/&gt;&lt;wsp:rsid wsp:val=&quot;25184E18&quot;/&gt;&lt;wsp:rsid wsp:val=&quot;251946ED&quot;/&gt;&lt;wsp:rsid wsp:val=&quot;251B2213&quot;/&gt;&lt;wsp:rsid wsp:val=&quot;251C5778&quot;/&gt;&lt;wsp:rsid wsp:val=&quot;251D5F8B&quot;/&gt;&lt;wsp:rsid wsp:val=&quot;251D70E5&quot;/&gt;&lt;wsp:rsid wsp:val=&quot;252029B8&quot;/&gt;&lt;wsp:rsid wsp:val=&quot;25207829&quot;/&gt;&lt;wsp:rsid wsp:val=&quot;25213E48&quot;/&gt;&lt;wsp:rsid wsp:val=&quot;2526682A&quot;/&gt;&lt;wsp:rsid wsp:val=&quot;2527505B&quot;/&gt;&lt;wsp:rsid wsp:val=&quot;25276E09&quot;/&gt;&lt;wsp:rsid wsp:val=&quot;25284930&quot;/&gt;&lt;wsp:rsid wsp:val=&quot;252B4B4C&quot;/&gt;&lt;wsp:rsid wsp:val=&quot;252C2672&quot;/&gt;&lt;wsp:rsid wsp:val=&quot;252D53FE&quot;/&gt;&lt;wsp:rsid wsp:val=&quot;252E0198&quot;/&gt;&lt;wsp:rsid wsp:val=&quot;252E1F46&quot;/&gt;&lt;wsp:rsid wsp:val=&quot;252F5CBE&quot;/&gt;&lt;wsp:rsid wsp:val=&quot;25304E39&quot;/&gt;&lt;wsp:rsid wsp:val=&quot;25333A00&quot;/&gt;&lt;wsp:rsid wsp:val=&quot;253357AE&quot;/&gt;&lt;wsp:rsid wsp:val=&quot;2533755C&quot;/&gt;&lt;wsp:rsid wsp:val=&quot;25357778&quot;/&gt;&lt;wsp:rsid wsp:val=&quot;25382DC5&quot;/&gt;&lt;wsp:rsid wsp:val=&quot;253A4D8F&quot;/&gt;&lt;wsp:rsid wsp:val=&quot;253B2191&quot;/&gt;&lt;wsp:rsid wsp:val=&quot;253B28B5&quot;/&gt;&lt;wsp:rsid wsp:val=&quot;253C797D&quot;/&gt;&lt;wsp:rsid wsp:val=&quot;253D662D&quot;/&gt;&lt;wsp:rsid wsp:val=&quot;253F05F7&quot;/&gt;&lt;wsp:rsid wsp:val=&quot;253F4153&quot;/&gt;&lt;wsp:rsid wsp:val=&quot;2540170A&quot;/&gt;&lt;wsp:rsid wsp:val=&quot;25401C79&quot;/&gt;&lt;wsp:rsid wsp:val=&quot;25407ECB&quot;/&gt;&lt;wsp:rsid wsp:val=&quot;25421E95&quot;/&gt;&lt;wsp:rsid wsp:val=&quot;25453733&quot;/&gt;&lt;wsp:rsid wsp:val=&quot;254C6870&quot;/&gt;&lt;wsp:rsid wsp:val=&quot;254E0756&quot;/&gt;&lt;wsp:rsid wsp:val=&quot;254E25E8&quot;/&gt;&lt;wsp:rsid wsp:val=&quot;254F010E&quot;/&gt;&lt;wsp:rsid wsp:val=&quot;255046A7&quot;/&gt;&lt;wsp:rsid wsp:val=&quot;255120D8&quot;/&gt;&lt;wsp:rsid wsp:val=&quot;25513E86&quot;/&gt;&lt;wsp:rsid wsp:val=&quot;25537BFE&quot;/&gt;&lt;wsp:rsid wsp:val=&quot;25551BC9&quot;/&gt;&lt;wsp:rsid wsp:val=&quot;2556149D&quot;/&gt;&lt;wsp:rsid wsp:val=&quot;255641A7&quot;/&gt;&lt;wsp:rsid wsp:val=&quot;25565941&quot;/&gt;&lt;wsp:rsid wsp:val=&quot;255676EF&quot;/&gt;&lt;wsp:rsid wsp:val=&quot;25586A2F&quot;/&gt;&lt;wsp:rsid wsp:val=&quot;255A0F8D&quot;/&gt;&lt;wsp:rsid wsp:val=&quot;255B2F57&quot;/&gt;&lt;wsp:rsid wsp:val=&quot;255B4D05&quot;/&gt;&lt;wsp:rsid wsp:val=&quot;255D592E&quot;/&gt;&lt;wsp:rsid wsp:val=&quot;255F47F5&quot;/&gt;&lt;wsp:rsid wsp:val=&quot;25600F79&quot;/&gt;&lt;wsp:rsid wsp:val=&quot;256040C9&quot;/&gt;&lt;wsp:rsid wsp:val=&quot;256112DB&quot;/&gt;&lt;wsp:rsid wsp:val=&quot;256242E5&quot;/&gt;&lt;wsp:rsid wsp:val=&quot;25627E42&quot;/&gt;&lt;wsp:rsid wsp:val=&quot;256476B6&quot;/&gt;&lt;wsp:rsid wsp:val=&quot;2567514D&quot;/&gt;&lt;wsp:rsid wsp:val=&quot;25695674&quot;/&gt;&lt;wsp:rsid wsp:val=&quot;25697422&quot;/&gt;&lt;wsp:rsid wsp:val=&quot;256B7A37&quot;/&gt;&lt;wsp:rsid wsp:val=&quot;256C2A6E&quot;/&gt;&lt;wsp:rsid wsp:val=&quot;256C6F12&quot;/&gt;&lt;wsp:rsid wsp:val=&quot;256D6D51&quot;/&gt;&lt;wsp:rsid wsp:val=&quot;256E38EB&quot;/&gt;&lt;wsp:rsid wsp:val=&quot;256E4A38&quot;/&gt;&lt;wsp:rsid wsp:val=&quot;256E67E6&quot;/&gt;&lt;wsp:rsid wsp:val=&quot;256F255E&quot;/&gt;&lt;wsp:rsid wsp:val=&quot;25706A02&quot;/&gt;&lt;wsp:rsid wsp:val=&quot;25722260&quot;/&gt;&lt;wsp:rsid wsp:val=&quot;2572431F&quot;/&gt;&lt;wsp:rsid wsp:val=&quot;257302A1&quot;/&gt;&lt;wsp:rsid wsp:val=&quot;2573204F&quot;/&gt;&lt;wsp:rsid wsp:val=&quot;25733DFD&quot;/&gt;&lt;wsp:rsid wsp:val=&quot;25754019&quot;/&gt;&lt;wsp:rsid wsp:val=&quot;257858B7&quot;/&gt;&lt;wsp:rsid wsp:val=&quot;25787665&quot;/&gt;&lt;wsp:rsid wsp:val=&quot;257B0F03&quot;/&gt;&lt;wsp:rsid wsp:val=&quot;257F27A2&quot;/&gt;&lt;wsp:rsid wsp:val=&quot;257F6C45&quot;/&gt;&lt;wsp:rsid wsp:val=&quot;25826736&quot;/&gt;&lt;wsp:rsid wsp:val=&quot;25826799&quot;/&gt;&lt;wsp:rsid wsp:val=&quot;258424AE&quot;/&gt;&lt;wsp:rsid wsp:val=&quot;2584425C&quot;/&gt;&lt;wsp:rsid wsp:val=&quot;25880798&quot;/&gt;&lt;wsp:rsid wsp:val=&quot;25891872&quot;/&gt;&lt;wsp:rsid wsp:val=&quot;258B55EA&quot;/&gt;&lt;wsp:rsid wsp:val=&quot;258C0DDD&quot;/&gt;&lt;wsp:rsid wsp:val=&quot;258C59D8&quot;/&gt;&lt;wsp:rsid wsp:val=&quot;258D5C34&quot;/&gt;&lt;wsp:rsid wsp:val=&quot;258E6E89&quot;/&gt;&lt;wsp:rsid wsp:val=&quot;259049AF&quot;/&gt;&lt;wsp:rsid wsp:val=&quot;25910727&quot;/&gt;&lt;wsp:rsid wsp:val=&quot;259124D5&quot;/&gt;&lt;wsp:rsid wsp:val=&quot;259326F1&quot;/&gt;&lt;wsp:rsid wsp:val=&quot;2593449F&quot;/&gt;&lt;wsp:rsid wsp:val=&quot;2593624D&quot;/&gt;&lt;wsp:rsid wsp:val=&quot;259455FA&quot;/&gt;&lt;wsp:rsid wsp:val=&quot;25950217&quot;/&gt;&lt;wsp:rsid wsp:val=&quot;259721E1&quot;/&gt;&lt;wsp:rsid wsp:val=&quot;259B403D&quot;/&gt;&lt;wsp:rsid wsp:val=&quot;259C009E&quot;/&gt;&lt;wsp:rsid wsp:val=&quot;259C15A5&quot;/&gt;&lt;wsp:rsid wsp:val=&quot;259C77F7&quot;/&gt;&lt;wsp:rsid wsp:val=&quot;259D531E&quot;/&gt;&lt;wsp:rsid wsp:val=&quot;259E2E5A&quot;/&gt;&lt;wsp:rsid wsp:val=&quot;259F3E4E&quot;/&gt;&lt;wsp:rsid wsp:val=&quot;25A0096A&quot;/&gt;&lt;wsp:rsid wsp:val=&quot;25A052DE&quot;/&gt;&lt;wsp:rsid wsp:val=&quot;25A42208&quot;/&gt;&lt;wsp:rsid wsp:val=&quot;25A61866&quot;/&gt;&lt;wsp:rsid wsp:val=&quot;25A71CF8&quot;/&gt;&lt;wsp:rsid wsp:val=&quot;25A725E0&quot;/&gt;&lt;wsp:rsid wsp:val=&quot;25A769EE&quot;/&gt;&lt;wsp:rsid wsp:val=&quot;25A95A70&quot;/&gt;&lt;wsp:rsid wsp:val=&quot;25AB17E9&quot;/&gt;&lt;wsp:rsid wsp:val=&quot;25AB7A3A&quot;/&gt;&lt;wsp:rsid wsp:val=&quot;25AE3087&quot;/&gt;&lt;wsp:rsid wsp:val=&quot;25B12B77&quot;/&gt;&lt;wsp:rsid wsp:val=&quot;25B1777F&quot;/&gt;&lt;wsp:rsid wsp:val=&quot;25B82157&quot;/&gt;&lt;wsp:rsid wsp:val=&quot;25B849F4&quot;/&gt;&lt;wsp:rsid wsp:val=&quot;25BA7C7E&quot;/&gt;&lt;wsp:rsid wsp:val=&quot;25BC1C48&quot;/&gt;&lt;wsp:rsid wsp:val=&quot;25BC57A4&quot;/&gt;&lt;wsp:rsid wsp:val=&quot;25BF0E4C&quot;/&gt;&lt;wsp:rsid wsp:val=&quot;25C12DBA&quot;/&gt;&lt;wsp:rsid wsp:val=&quot;25C26B32&quot;/&gt;&lt;wsp:rsid wsp:val=&quot;25C32FD6&quot;/&gt;&lt;wsp:rsid wsp:val=&quot;25C4081F&quot;/&gt;&lt;wsp:rsid wsp:val=&quot;25C55B68&quot;/&gt;&lt;wsp:rsid wsp:val=&quot;25C61BC9&quot;/&gt;&lt;wsp:rsid wsp:val=&quot;25C66622&quot;/&gt;&lt;wsp:rsid wsp:val=&quot;25C77554&quot;/&gt;&lt;wsp:rsid wsp:val=&quot;25CB1E8B&quot;/&gt;&lt;wsp:rsid wsp:val=&quot;25CE197B&quot;/&gt;&lt;wsp:rsid wsp:val=&quot;25D23219&quot;/&gt;&lt;wsp:rsid wsp:val=&quot;25D24FC7&quot;/&gt;&lt;wsp:rsid wsp:val=&quot;25D30D3F&quot;/&gt;&lt;wsp:rsid wsp:val=&quot;25D56865&quot;/&gt;&lt;wsp:rsid wsp:val=&quot;25D61896&quot;/&gt;&lt;wsp:rsid wsp:val=&quot;25D93E01&quot;/&gt;&lt;wsp:rsid wsp:val=&quot;25DA20CE&quot;/&gt;&lt;wsp:rsid wsp:val=&quot;25DC295F&quot;/&gt;&lt;wsp:rsid wsp:val=&quot;25DC4098&quot;/&gt;&lt;wsp:rsid wsp:val=&quot;25E036D8&quot;/&gt;&lt;wsp:rsid wsp:val=&quot;25E1345C&quot;/&gt;&lt;wsp:rsid wsp:val=&quot;25E35426&quot;/&gt;&lt;wsp:rsid wsp:val=&quot;25E46AA9&quot;/&gt;&lt;wsp:rsid wsp:val=&quot;25E62821&quot;/&gt;&lt;wsp:rsid wsp:val=&quot;25E66CC5&quot;/&gt;&lt;wsp:rsid wsp:val=&quot;25E904C5&quot;/&gt;&lt;wsp:rsid wsp:val=&quot;25E90563&quot;/&gt;&lt;wsp:rsid wsp:val=&quot;25E940BF&quot;/&gt;&lt;wsp:rsid wsp:val=&quot;25EB42DB&quot;/&gt;&lt;wsp:rsid wsp:val=&quot;25EB5898&quot;/&gt;&lt;wsp:rsid wsp:val=&quot;25EB7E37&quot;/&gt;&lt;wsp:rsid wsp:val=&quot;25EC2D81&quot;/&gt;&lt;wsp:rsid wsp:val=&quot;25ED1E01&quot;/&gt;&lt;wsp:rsid wsp:val=&quot;25F24B85&quot;/&gt;&lt;wsp:rsid wsp:val=&quot;25F25669&quot;/&gt;&lt;wsp:rsid wsp:val=&quot;25F27417&quot;/&gt;&lt;wsp:rsid wsp:val=&quot;25F3318F&quot;/&gt;&lt;wsp:rsid wsp:val=&quot;25F34F1D&quot;/&gt;&lt;wsp:rsid wsp:val=&quot;25F36015&quot;/&gt;&lt;wsp:rsid wsp:val=&quot;25F43AB3&quot;/&gt;&lt;wsp:rsid wsp:val=&quot;25F52A64&quot;/&gt;&lt;wsp:rsid wsp:val=&quot;25F54C47&quot;/&gt;&lt;wsp:rsid wsp:val=&quot;25F5515A&quot;/&gt;&lt;wsp:rsid wsp:val=&quot;25F72C80&quot;/&gt;&lt;wsp:rsid wsp:val=&quot;25F82554&quot;/&gt;&lt;wsp:rsid wsp:val=&quot;25FC33D9&quot;/&gt;&lt;wsp:rsid wsp:val=&quot;25FC3DF2&quot;/&gt;&lt;wsp:rsid wsp:val=&quot;25FC7AAD&quot;/&gt;&lt;wsp:rsid wsp:val=&quot;25FD5DBC&quot;/&gt;&lt;wsp:rsid wsp:val=&quot;25FE400E&quot;/&gt;&lt;wsp:rsid wsp:val=&quot;260158AC&quot;/&gt;&lt;wsp:rsid wsp:val=&quot;2601765A&quot;/&gt;&lt;wsp:rsid wsp:val=&quot;26031625&quot;/&gt;&lt;wsp:rsid wsp:val=&quot;26040EF9&quot;/&gt;&lt;wsp:rsid wsp:val=&quot;2604714B&quot;/&gt;&lt;wsp:rsid wsp:val=&quot;260578BB&quot;/&gt;&lt;wsp:rsid wsp:val=&quot;2607705C&quot;/&gt;&lt;wsp:rsid wsp:val=&quot;26082FEA&quot;/&gt;&lt;wsp:rsid wsp:val=&quot;260B672B&quot;/&gt;&lt;wsp:rsid wsp:val=&quot;260D24A3&quot;/&gt;&lt;wsp:rsid wsp:val=&quot;260D4251&quot;/&gt;&lt;wsp:rsid wsp:val=&quot;260D5FFF&quot;/&gt;&lt;wsp:rsid wsp:val=&quot;26102CD7&quot;/&gt;&lt;wsp:rsid wsp:val=&quot;2610789E&quot;/&gt;&lt;wsp:rsid wsp:val=&quot;26121868&quot;/&gt;&lt;wsp:rsid wsp:val=&quot;26124F7C&quot;/&gt;&lt;wsp:rsid wsp:val=&quot;26151358&quot;/&gt;&lt;wsp:rsid wsp:val=&quot;26154EB4&quot;/&gt;&lt;wsp:rsid wsp:val=&quot;26163F80&quot;/&gt;&lt;wsp:rsid wsp:val=&quot;26192BF6&quot;/&gt;&lt;wsp:rsid wsp:val=&quot;261A3D6A&quot;/&gt;&lt;wsp:rsid wsp:val=&quot;261E020C&quot;/&gt;&lt;wsp:rsid wsp:val=&quot;261F093B&quot;/&gt;&lt;wsp:rsid wsp:val=&quot;26211093&quot;/&gt;&lt;wsp:rsid wsp:val=&quot;26233A75&quot;/&gt;&lt;wsp:rsid wsp:val=&quot;2624159B&quot;/&gt;&lt;wsp:rsid wsp:val=&quot;26246953&quot;/&gt;&lt;wsp:rsid wsp:val=&quot;26247A14&quot;/&gt;&lt;wsp:rsid wsp:val=&quot;26265313&quot;/&gt;&lt;wsp:rsid wsp:val=&quot;26273AE3&quot;/&gt;&lt;wsp:rsid wsp:val=&quot;26282E39&quot;/&gt;&lt;wsp:rsid wsp:val=&quot;26284BE7&quot;/&gt;&lt;wsp:rsid wsp:val=&quot;2629095F&quot;/&gt;&lt;wsp:rsid wsp:val=&quot;26296882&quot;/&gt;&lt;wsp:rsid wsp:val=&quot;262A4E03&quot;/&gt;&lt;wsp:rsid wsp:val=&quot;262B0B7B&quot;/&gt;&lt;wsp:rsid wsp:val=&quot;262D4649&quot;/&gt;&lt;wsp:rsid wsp:val=&quot;262E41C8&quot;/&gt;&lt;wsp:rsid wsp:val=&quot;262F4B27&quot;/&gt;&lt;wsp:rsid wsp:val=&quot;26301CEE&quot;/&gt;&lt;wsp:rsid wsp:val=&quot;26306192&quot;/&gt;&lt;wsp:rsid wsp:val=&quot;26311886&quot;/&gt;&lt;wsp:rsid wsp:val=&quot;263317DE&quot;/&gt;&lt;wsp:rsid wsp:val=&quot;26345C82&quot;/&gt;&lt;wsp:rsid wsp:val=&quot;26350999&quot;/&gt;&lt;wsp:rsid wsp:val=&quot;26355556&quot;/&gt;&lt;wsp:rsid wsp:val=&quot;2636186A&quot;/&gt;&lt;wsp:rsid wsp:val=&quot;263712CE&quot;/&gt;&lt;wsp:rsid wsp:val=&quot;2637307C&quot;/&gt;&lt;wsp:rsid wsp:val=&quot;263A491A&quot;/&gt;&lt;wsp:rsid wsp:val=&quot;263B64F1&quot;/&gt;&lt;wsp:rsid wsp:val=&quot;263B7010&quot;/&gt;&lt;wsp:rsid wsp:val=&quot;263C0693&quot;/&gt;&lt;wsp:rsid wsp:val=&quot;263C4B36&quot;/&gt;&lt;wsp:rsid wsp:val=&quot;263C68E5&quot;/&gt;&lt;wsp:rsid wsp:val=&quot;263F0183&quot;/&gt;&lt;wsp:rsid wsp:val=&quot;263F63D5&quot;/&gt;&lt;wsp:rsid wsp:val=&quot;26435EC5&quot;/&gt;&lt;wsp:rsid wsp:val=&quot;26437C73&quot;/&gt;&lt;wsp:rsid wsp:val=&quot;26446FFE&quot;/&gt;&lt;wsp:rsid wsp:val=&quot;264834DB&quot;/&gt;&lt;wsp:rsid wsp:val=&quot;264D28A0&quot;/&gt;&lt;wsp:rsid wsp:val=&quot;264D464E&quot;/&gt;&lt;wsp:rsid wsp:val=&quot;264D6D44&quot;/&gt;&lt;wsp:rsid wsp:val=&quot;264E00B0&quot;/&gt;&lt;wsp:rsid wsp:val=&quot;264E342E&quot;/&gt;&lt;wsp:rsid wsp:val=&quot;264F6618&quot;/&gt;&lt;wsp:rsid wsp:val=&quot;265005E2&quot;/&gt;&lt;wsp:rsid wsp:val=&quot;2650413E&quot;/&gt;&lt;wsp:rsid wsp:val=&quot;26543C2E&quot;/&gt;&lt;wsp:rsid wsp:val=&quot;26555BF8&quot;/&gt;&lt;wsp:rsid wsp:val=&quot;26575474&quot;/&gt;&lt;wsp:rsid wsp:val=&quot;26591245&quot;/&gt;&lt;wsp:rsid wsp:val=&quot;265956E8&quot;/&gt;&lt;wsp:rsid wsp:val=&quot;265D4AA1&quot;/&gt;&lt;wsp:rsid wsp:val=&quot;265E17FF&quot;/&gt;&lt;wsp:rsid wsp:val=&quot;265E685B&quot;/&gt;&lt;wsp:rsid wsp:val=&quot;266100F9&quot;/&gt;&lt;wsp:rsid wsp:val=&quot;2661459D&quot;/&gt;&lt;wsp:rsid wsp:val=&quot;26622587&quot;/&gt;&lt;wsp:rsid wsp:val=&quot;26627EDE&quot;/&gt;&lt;wsp:rsid wsp:val=&quot;26633A17&quot;/&gt;&lt;wsp:rsid wsp:val=&quot;26633E71&quot;/&gt;&lt;wsp:rsid wsp:val=&quot;26642ABF&quot;/&gt;&lt;wsp:rsid wsp:val=&quot;26643BF2&quot;/&gt;&lt;wsp:rsid wsp:val=&quot;26647BE9&quot;/&gt;&lt;wsp:rsid wsp:val=&quot;2665408D&quot;/&gt;&lt;wsp:rsid wsp:val=&quot;26663961&quot;/&gt;&lt;wsp:rsid wsp:val=&quot;26667E05&quot;/&gt;&lt;wsp:rsid wsp:val=&quot;26667F9E&quot;/&gt;&lt;wsp:rsid wsp:val=&quot;26676DC9&quot;/&gt;&lt;wsp:rsid wsp:val=&quot;26681488&quot;/&gt;&lt;wsp:rsid wsp:val=&quot;2668592C&quot;/&gt;&lt;wsp:rsid wsp:val=&quot;266A3452&quot;/&gt;&lt;wsp:rsid wsp:val=&quot;266B0F78&quot;/&gt;&lt;wsp:rsid wsp:val=&quot;266D2F42&quot;/&gt;&lt;wsp:rsid wsp:val=&quot;266D4CF0&quot;/&gt;&lt;wsp:rsid wsp:val=&quot;266F6CBA&quot;/&gt;&lt;wsp:rsid wsp:val=&quot;267047E0&quot;/&gt;&lt;wsp:rsid wsp:val=&quot;2670658E&quot;/&gt;&lt;wsp:rsid wsp:val=&quot;26712A32&quot;/&gt;&lt;wsp:rsid wsp:val=&quot;2672207C&quot;/&gt;&lt;wsp:rsid wsp:val=&quot;267267AA&quot;/&gt;&lt;wsp:rsid wsp:val=&quot;2674499C&quot;/&gt;&lt;wsp:rsid wsp:val=&quot;26751385&quot;/&gt;&lt;wsp:rsid wsp:val=&quot;26760048&quot;/&gt;&lt;wsp:rsid wsp:val=&quot;26775B6F&quot;/&gt;&lt;wsp:rsid wsp:val=&quot;267775BA&quot;/&gt;&lt;wsp:rsid wsp:val=&quot;2678103A&quot;/&gt;&lt;wsp:rsid wsp:val=&quot;267B1C9E&quot;/&gt;&lt;wsp:rsid wsp:val=&quot;267D4C70&quot;/&gt;&lt;wsp:rsid wsp:val=&quot;267E514F&quot;/&gt;&lt;wsp:rsid wsp:val=&quot;267E6EFD&quot;/&gt;&lt;wsp:rsid wsp:val=&quot;26802C75&quot;/&gt;&lt;wsp:rsid wsp:val=&quot;26804A23&quot;/&gt;&lt;wsp:rsid wsp:val=&quot;26805352&quot;/&gt;&lt;wsp:rsid wsp:val=&quot;26810235&quot;/&gt;&lt;wsp:rsid wsp:val=&quot;26833001&quot;/&gt;&lt;wsp:rsid wsp:val=&quot;26834513&quot;/&gt;&lt;wsp:rsid wsp:val=&quot;26842FEA&quot;/&gt;&lt;wsp:rsid wsp:val=&quot;2685028B&quot;/&gt;&lt;wsp:rsid wsp:val=&quot;2685203A&quot;/&gt;&lt;wsp:rsid wsp:val=&quot;26864004&quot;/&gt;&lt;wsp:rsid wsp:val=&quot;26871982&quot;/&gt;&lt;wsp:rsid wsp:val=&quot;26887D7C&quot;/&gt;&lt;wsp:rsid wsp:val=&quot;26890114&quot;/&gt;&lt;wsp:rsid wsp:val=&quot;268A0303&quot;/&gt;&lt;wsp:rsid wsp:val=&quot;268A7650&quot;/&gt;&lt;wsp:rsid wsp:val=&quot;268B1793&quot;/&gt;&lt;wsp:rsid wsp:val=&quot;268C786C&quot;/&gt;&lt;wsp:rsid wsp:val=&quot;268E7D4E&quot;/&gt;&lt;wsp:rsid wsp:val=&quot;268F4C66&quot;/&gt;&lt;wsp:rsid wsp:val=&quot;26920BFA&quot;/&gt;&lt;wsp:rsid wsp:val=&quot;26926577&quot;/&gt;&lt;wsp:rsid wsp:val=&quot;26926958&quot;/&gt;&lt;wsp:rsid wsp:val=&quot;269404CF&quot;/&gt;&lt;wsp:rsid wsp:val=&quot;269432A2&quot;/&gt;&lt;wsp:rsid wsp:val=&quot;269621FC&quot;/&gt;&lt;wsp:rsid wsp:val=&quot;26971D6D&quot;/&gt;&lt;wsp:rsid wsp:val=&quot;26984D6C&quot;/&gt;&lt;wsp:rsid wsp:val=&quot;26992656&quot;/&gt;&lt;wsp:rsid wsp:val=&quot;269A2E50&quot;/&gt;&lt;wsp:rsid wsp:val=&quot;269A47EB&quot;/&gt;&lt;wsp:rsid wsp:val=&quot;269B185D&quot;/&gt;&lt;wsp:rsid wsp:val=&quot;269E759F&quot;/&gt;&lt;wsp:rsid wsp:val=&quot;269E75BC&quot;/&gt;&lt;wsp:rsid wsp:val=&quot;269F2B0B&quot;/&gt;&lt;wsp:rsid wsp:val=&quot;26A06E73&quot;/&gt;&lt;wsp:rsid wsp:val=&quot;26A12BEB&quot;/&gt;&lt;wsp:rsid wsp:val=&quot;26A1499A&quot;/&gt;&lt;wsp:rsid wsp:val=&quot;26A34BB6&quot;/&gt;&lt;wsp:rsid wsp:val=&quot;26A5092E&quot;/&gt;&lt;wsp:rsid wsp:val=&quot;26A61FB0&quot;/&gt;&lt;wsp:rsid wsp:val=&quot;26A76454&quot;/&gt;&lt;wsp:rsid wsp:val=&quot;26A85D28&quot;/&gt;&lt;wsp:rsid wsp:val=&quot;26AA35DB&quot;/&gt;&lt;wsp:rsid wsp:val=&quot;26AB75C6&quot;/&gt;&lt;wsp:rsid wsp:val=&quot;26AF0EEB&quot;/&gt;&lt;wsp:rsid wsp:val=&quot;26B172D2&quot;/&gt;&lt;wsp:rsid wsp:val=&quot;26B20955&quot;/&gt;&lt;wsp:rsid wsp:val=&quot;26B26BA7&quot;/&gt;&lt;wsp:rsid wsp:val=&quot;26B3099F&quot;/&gt;&lt;wsp:rsid wsp:val=&quot;26B50445&quot;/&gt;&lt;wsp:rsid wsp:val=&quot;26B53A57&quot;/&gt;&lt;wsp:rsid wsp:val=&quot;26B75F6B&quot;/&gt;&lt;wsp:rsid wsp:val=&quot;26B801BD&quot;/&gt;&lt;wsp:rsid wsp:val=&quot;26B8182B&quot;/&gt;&lt;wsp:rsid wsp:val=&quot;26B818B1&quot;/&gt;&lt;wsp:rsid wsp:val=&quot;26B91CE3&quot;/&gt;&lt;wsp:rsid wsp:val=&quot;26B96187&quot;/&gt;&lt;wsp:rsid wsp:val=&quot;26BA5B8F&quot;/&gt;&lt;wsp:rsid wsp:val=&quot;26BB5A5B&quot;/&gt;&lt;wsp:rsid wsp:val=&quot;26BC17D3&quot;/&gt;&lt;wsp:rsid wsp:val=&quot;26BC2B51&quot;/&gt;&lt;wsp:rsid wsp:val=&quot;26BC6698&quot;/&gt;&lt;wsp:rsid wsp:val=&quot;26BD5C77&quot;/&gt;&lt;wsp:rsid wsp:val=&quot;26BE554B&quot;/&gt;&lt;wsp:rsid wsp:val=&quot;26C1503C&quot;/&gt;&lt;wsp:rsid wsp:val=&quot;26C3701B&quot;/&gt;&lt;wsp:rsid wsp:val=&quot;26C54B2C&quot;/&gt;&lt;wsp:rsid wsp:val=&quot;26CA0394&quot;/&gt;&lt;wsp:rsid wsp:val=&quot;26CC38C1&quot;/&gt;&lt;wsp:rsid wsp:val=&quot;26CC5EBA&quot;/&gt;&lt;wsp:rsid wsp:val=&quot;26CD1C32&quot;/&gt;&lt;wsp:rsid wsp:val=&quot;26CF59AB&quot;/&gt;&lt;wsp:rsid wsp:val=&quot;26CF7759&quot;/&gt;&lt;wsp:rsid wsp:val=&quot;26D07EC7&quot;/&gt;&lt;wsp:rsid wsp:val=&quot;26D11723&quot;/&gt;&lt;wsp:rsid wsp:val=&quot;26D20FF7&quot;/&gt;&lt;wsp:rsid wsp:val=&quot;26D22DA5&quot;/&gt;&lt;wsp:rsid wsp:val=&quot;26D3779C&quot;/&gt;&lt;wsp:rsid wsp:val=&quot;26D44D6F&quot;/&gt;&lt;wsp:rsid wsp:val=&quot;26D625F8&quot;/&gt;&lt;wsp:rsid wsp:val=&quot;26D66D39&quot;/&gt;&lt;wsp:rsid wsp:val=&quot;26D905D7&quot;/&gt;&lt;wsp:rsid wsp:val=&quot;26D92385&quot;/&gt;&lt;wsp:rsid wsp:val=&quot;26D97AE9&quot;/&gt;&lt;wsp:rsid wsp:val=&quot;26DA78A1&quot;/&gt;&lt;wsp:rsid wsp:val=&quot;26DB434F&quot;/&gt;&lt;wsp:rsid wsp:val=&quot;26DD00C8&quot;/&gt;&lt;wsp:rsid wsp:val=&quot;26DD2094&quot;/&gt;&lt;wsp:rsid wsp:val=&quot;26DE5BEE&quot;/&gt;&lt;wsp:rsid wsp:val=&quot;26DE799C&quot;/&gt;&lt;wsp:rsid wsp:val=&quot;26DF4B02&quot;/&gt;&lt;wsp:rsid wsp:val=&quot;26E10E4C&quot;/&gt;&lt;wsp:rsid wsp:val=&quot;26E11D97&quot;/&gt;&lt;wsp:rsid wsp:val=&quot;26E1248B&quot;/&gt;&lt;wsp:rsid wsp:val=&quot;26E20A62&quot;/&gt;&lt;wsp:rsid wsp:val=&quot;26E2106F&quot;/&gt;&lt;wsp:rsid wsp:val=&quot;26E222DC&quot;/&gt;&lt;wsp:rsid wsp:val=&quot;26E2748C&quot;/&gt;&lt;wsp:rsid wsp:val=&quot;26E36D60&quot;/&gt;&lt;wsp:rsid wsp:val=&quot;26E50D2A&quot;/&gt;&lt;wsp:rsid wsp:val=&quot;26E52AD8&quot;/&gt;&lt;wsp:rsid wsp:val=&quot;26E8081A&quot;/&gt;&lt;wsp:rsid wsp:val=&quot;26EA0A6E&quot;/&gt;&lt;wsp:rsid wsp:val=&quot;26EB3E67&quot;/&gt;&lt;wsp:rsid wsp:val=&quot;26EB6016&quot;/&gt;&lt;wsp:rsid wsp:val=&quot;26EF3957&quot;/&gt;&lt;wsp:rsid wsp:val=&quot;26EF3ACE&quot;/&gt;&lt;wsp:rsid wsp:val=&quot;26EF7DFB&quot;/&gt;&lt;wsp:rsid wsp:val=&quot;26F0218F&quot;/&gt;&lt;wsp:rsid wsp:val=&quot;26F15921&quot;/&gt;&lt;wsp:rsid wsp:val=&quot;26F251F5&quot;/&gt;&lt;wsp:rsid wsp:val=&quot;26F64CE5&quot;/&gt;&lt;wsp:rsid wsp:val=&quot;26F6767D&quot;/&gt;&lt;wsp:rsid wsp:val=&quot;26F70A5D&quot;/&gt;&lt;wsp:rsid wsp:val=&quot;26F7280B&quot;/&gt;&lt;wsp:rsid wsp:val=&quot;26F86CAF&quot;/&gt;&lt;wsp:rsid wsp:val=&quot;26FA33AF&quot;/&gt;&lt;wsp:rsid wsp:val=&quot;26FA7EC6&quot;/&gt;&lt;wsp:rsid wsp:val=&quot;26FB054E&quot;/&gt;&lt;wsp:rsid wsp:val=&quot;26FB22FC&quot;/&gt;&lt;wsp:rsid wsp:val=&quot;26FB45C4&quot;/&gt;&lt;wsp:rsid wsp:val=&quot;26FC6074&quot;/&gt;&lt;wsp:rsid wsp:val=&quot;26FD3D8F&quot;/&gt;&lt;wsp:rsid wsp:val=&quot;26FE2E1D&quot;/&gt;&lt;wsp:rsid wsp:val=&quot;26FF43D5&quot;/&gt;&lt;wsp:rsid wsp:val=&quot;2702368A&quot;/&gt;&lt;wsp:rsid wsp:val=&quot;27024548&quot;/&gt;&lt;wsp:rsid wsp:val=&quot;270311B0&quot;/&gt;&lt;wsp:rsid wsp:val=&quot;2705317A&quot;/&gt;&lt;wsp:rsid wsp:val=&quot;27070CA1&quot;/&gt;&lt;wsp:rsid wsp:val=&quot;27072B67&quot;/&gt;&lt;wsp:rsid wsp:val=&quot;27075144&quot;/&gt;&lt;wsp:rsid wsp:val=&quot;270A0791&quot;/&gt;&lt;wsp:rsid wsp:val=&quot;270A253F&quot;/&gt;&lt;wsp:rsid wsp:val=&quot;270B3494&quot;/&gt;&lt;wsp:rsid wsp:val=&quot;270C62B7&quot;/&gt;&lt;wsp:rsid wsp:val=&quot;270D202F&quot;/&gt;&lt;wsp:rsid wsp:val=&quot;270D32BD&quot;/&gt;&lt;wsp:rsid wsp:val=&quot;270E20AE&quot;/&gt;&lt;wsp:rsid wsp:val=&quot;270F3ECA&quot;/&gt;&lt;wsp:rsid wsp:val=&quot;27100E1A&quot;/&gt;&lt;wsp:rsid wsp:val=&quot;2714225E&quot;/&gt;&lt;wsp:rsid wsp:val=&quot;271433BD&quot;/&gt;&lt;wsp:rsid wsp:val=&quot;27165388&quot;/&gt;&lt;wsp:rsid wsp:val=&quot;27167136&quot;/&gt;&lt;wsp:rsid wsp:val=&quot;27182EAE&quot;/&gt;&lt;wsp:rsid wsp:val=&quot;271909D4&quot;/&gt;&lt;wsp:rsid wsp:val=&quot;271D04C4&quot;/&gt;&lt;wsp:rsid wsp:val=&quot;271D6716&quot;/&gt;&lt;wsp:rsid wsp:val=&quot;271F3365&quot;/&gt;&lt;wsp:rsid wsp:val=&quot;2720227E&quot;/&gt;&lt;wsp:rsid wsp:val=&quot;27207FB4&quot;/&gt;&lt;wsp:rsid wsp:val=&quot;27220FDE&quot;/&gt;&lt;wsp:rsid wsp:val=&quot;2724208F&quot;/&gt;&lt;wsp:rsid wsp:val=&quot;2725381D&quot;/&gt;&lt;wsp:rsid wsp:val=&quot;27266572&quot;/&gt;&lt;wsp:rsid wsp:val=&quot;27276D3D&quot;/&gt;&lt;wsp:rsid wsp:val=&quot;27277595&quot;/&gt;&lt;wsp:rsid wsp:val=&quot;27286E69&quot;/&gt;&lt;wsp:rsid wsp:val=&quot;272A498F&quot;/&gt;&lt;wsp:rsid wsp:val=&quot;272D33E5&quot;/&gt;&lt;wsp:rsid wsp:val=&quot;27313F6F&quot;/&gt;&lt;wsp:rsid wsp:val=&quot;27321A96&quot;/&gt;&lt;wsp:rsid wsp:val=&quot;27337CE7&quot;/&gt;&lt;wsp:rsid wsp:val=&quot;27343A60&quot;/&gt;&lt;wsp:rsid wsp:val=&quot;2734580E&quot;/&gt;&lt;wsp:rsid wsp:val=&quot;27361586&quot;/&gt;&lt;wsp:rsid wsp:val=&quot;27391076&quot;/&gt;&lt;wsp:rsid wsp:val=&quot;27392E24&quot;/&gt;&lt;wsp:rsid wsp:val=&quot;27394565&quot;/&gt;&lt;wsp:rsid wsp:val=&quot;273A18F4&quot;/&gt;&lt;wsp:rsid wsp:val=&quot;273A72C8&quot;/&gt;&lt;wsp:rsid wsp:val=&quot;273B094A&quot;/&gt;&lt;wsp:rsid wsp:val=&quot;273B6B9C&quot;/&gt;&lt;wsp:rsid wsp:val=&quot;273D2914&quot;/&gt;&lt;wsp:rsid wsp:val=&quot;273D46C2&quot;/&gt;&lt;wsp:rsid wsp:val=&quot;273E043A&quot;/&gt;&lt;wsp:rsid wsp:val=&quot;273E668C&quot;/&gt;&lt;wsp:rsid wsp:val=&quot;273F48DE&quot;/&gt;&lt;wsp:rsid wsp:val=&quot;27402404&quot;/&gt;&lt;wsp:rsid wsp:val=&quot;274134AA&quot;/&gt;&lt;wsp:rsid wsp:val=&quot;274243CE&quot;/&gt;&lt;wsp:rsid wsp:val=&quot;27424B60&quot;/&gt;&lt;wsp:rsid wsp:val=&quot;27427F2B&quot;/&gt;&lt;wsp:rsid wsp:val=&quot;274301E8&quot;/&gt;&lt;wsp:rsid wsp:val=&quot;27433CA3&quot;/&gt;&lt;wsp:rsid wsp:val=&quot;27435A51&quot;/&gt;&lt;wsp:rsid wsp:val=&quot;27436AA7&quot;/&gt;&lt;wsp:rsid wsp:val=&quot;27441678&quot;/&gt;&lt;wsp:rsid wsp:val=&quot;274A3283&quot;/&gt;&lt;wsp:rsid wsp:val=&quot;274A5031&quot;/&gt;&lt;wsp:rsid wsp:val=&quot;274A634F&quot;/&gt;&lt;wsp:rsid wsp:val=&quot;274B7E0A&quot;/&gt;&lt;wsp:rsid wsp:val=&quot;274C0DA9&quot;/&gt;&lt;wsp:rsid wsp:val=&quot;274C2B57&quot;/&gt;&lt;wsp:rsid wsp:val=&quot;274C6FFB&quot;/&gt;&lt;wsp:rsid wsp:val=&quot;274E2D73&quot;/&gt;&lt;wsp:rsid wsp:val=&quot;274E68CF&quot;/&gt;&lt;wsp:rsid wsp:val=&quot;274F505D&quot;/&gt;&lt;wsp:rsid wsp:val=&quot;275066B9&quot;/&gt;&lt;wsp:rsid wsp:val=&quot;27507C1B&quot;/&gt;&lt;wsp:rsid wsp:val=&quot;27513C7C&quot;/&gt;&lt;wsp:rsid wsp:val=&quot;27514612&quot;/&gt;&lt;wsp:rsid wsp:val=&quot;27533EE6&quot;/&gt;&lt;wsp:rsid wsp:val=&quot;27541A0C&quot;/&gt;&lt;wsp:rsid wsp:val=&quot;27545EB0&quot;/&gt;&lt;wsp:rsid wsp:val=&quot;275814FC&quot;/&gt;&lt;wsp:rsid wsp:val=&quot;275859A0&quot;/&gt;&lt;wsp:rsid wsp:val=&quot;27594FDF&quot;/&gt;&lt;wsp:rsid wsp:val=&quot;275A1718&quot;/&gt;&lt;wsp:rsid wsp:val=&quot;275A34C6&quot;/&gt;&lt;wsp:rsid wsp:val=&quot;275B304F&quot;/&gt;&lt;wsp:rsid wsp:val=&quot;275D2FB6&quot;/&gt;&lt;wsp:rsid wsp:val=&quot;275D3041&quot;/&gt;&lt;wsp:rsid wsp:val=&quot;27604855&quot;/&gt;&lt;wsp:rsid wsp:val=&quot;27607710&quot;/&gt;&lt;wsp:rsid wsp:val=&quot;276205CD&quot;/&gt;&lt;wsp:rsid wsp:val=&quot;27644345&quot;/&gt;&lt;wsp:rsid wsp:val=&quot;276A122F&quot;/&gt;&lt;wsp:rsid wsp:val=&quot;276A3840&quot;/&gt;&lt;wsp:rsid wsp:val=&quot;276E31A4&quot;/&gt;&lt;wsp:rsid wsp:val=&quot;276E51C4&quot;/&gt;&lt;wsp:rsid wsp:val=&quot;277057A2&quot;/&gt;&lt;wsp:rsid wsp:val=&quot;27706FB8&quot;/&gt;&lt;wsp:rsid wsp:val=&quot;27710810&quot;/&gt;&lt;wsp:rsid wsp:val=&quot;277125BE&quot;/&gt;&lt;wsp:rsid wsp:val=&quot;27726DC1&quot;/&gt;&lt;wsp:rsid wsp:val=&quot;27750300&quot;/&gt;&lt;wsp:rsid wsp:val=&quot;27753077&quot;/&gt;&lt;wsp:rsid wsp:val=&quot;27761936&quot;/&gt;&lt;wsp:rsid wsp:val=&quot;27765E26&quot;/&gt;&lt;wsp:rsid wsp:val=&quot;27791C52&quot;/&gt;&lt;wsp:rsid wsp:val=&quot;277A5916&quot;/&gt;&lt;wsp:rsid wsp:val=&quot;277B343D&quot;/&gt;&lt;wsp:rsid wsp:val=&quot;277B51EB&quot;/&gt;&lt;wsp:rsid wsp:val=&quot;277B6EE9&quot;/&gt;&lt;wsp:rsid wsp:val=&quot;277D0F63&quot;/&gt;&lt;wsp:rsid wsp:val=&quot;277D1E1B&quot;/&gt;&lt;wsp:rsid wsp:val=&quot;27800A53&quot;/&gt;&lt;wsp:rsid wsp:val=&quot;27802801&quot;/&gt;&lt;wsp:rsid wsp:val=&quot;27822A1D&quot;/&gt;&lt;wsp:rsid wsp:val=&quot;278241EB&quot;/&gt;&lt;wsp:rsid wsp:val=&quot;278247CB&quot;/&gt;&lt;wsp:rsid wsp:val=&quot;27856069&quot;/&gt;&lt;wsp:rsid wsp:val=&quot;27857F9B&quot;/&gt;&lt;wsp:rsid wsp:val=&quot;27893DAB&quot;/&gt;&lt;wsp:rsid wsp:val=&quot;27897806&quot;/&gt;&lt;wsp:rsid wsp:val=&quot;278A18D2&quot;/&gt;&lt;wsp:rsid wsp:val=&quot;278B7B24&quot;/&gt;&lt;wsp:rsid wsp:val=&quot;278B7D5D&quot;/&gt;&lt;wsp:rsid wsp:val=&quot;278C389C&quot;/&gt;&lt;wsp:rsid wsp:val=&quot;278C73F8&quot;/&gt;&lt;wsp:rsid wsp:val=&quot;278E4F1E&quot;/&gt;&lt;wsp:rsid wsp:val=&quot;279029B7&quot;/&gt;&lt;wsp:rsid wsp:val=&quot;2790513A&quot;/&gt;&lt;wsp:rsid wsp:val=&quot;2792259F&quot;/&gt;&lt;wsp:rsid wsp:val=&quot;27952750&quot;/&gt;&lt;wsp:rsid wsp:val=&quot;27966247&quot;/&gt;&lt;wsp:rsid wsp:val=&quot;279664C8&quot;/&gt;&lt;wsp:rsid wsp:val=&quot;27983FEE&quot;/&gt;&lt;wsp:rsid wsp:val=&quot;279A1B15&quot;/&gt;&lt;wsp:rsid wsp:val=&quot;279A2500&quot;/&gt;&lt;wsp:rsid wsp:val=&quot;279B763B&quot;/&gt;&lt;wsp:rsid wsp:val=&quot;279C473B&quot;/&gt;&lt;wsp:rsid wsp:val=&quot;279D1605&quot;/&gt;&lt;wsp:rsid wsp:val=&quot;279D6E90&quot;/&gt;&lt;wsp:rsid wsp:val=&quot;279D7F0B&quot;/&gt;&lt;wsp:rsid wsp:val=&quot;279F3713&quot;/&gt;&lt;wsp:rsid wsp:val=&quot;279F712B&quot;/&gt;&lt;wsp:rsid wsp:val=&quot;27A02EA3&quot;/&gt;&lt;wsp:rsid wsp:val=&quot;27A17CA4&quot;/&gt;&lt;wsp:rsid wsp:val=&quot;27A22094&quot;/&gt;&lt;wsp:rsid wsp:val=&quot;27A44741&quot;/&gt;&lt;wsp:rsid wsp:val=&quot;27A612A3&quot;/&gt;&lt;wsp:rsid wsp:val=&quot;27A61EA5&quot;/&gt;&lt;wsp:rsid wsp:val=&quot;27A6670B&quot;/&gt;&lt;wsp:rsid wsp:val=&quot;27A74232&quot;/&gt;&lt;wsp:rsid wsp:val=&quot;27A97FAA&quot;/&gt;&lt;wsp:rsid wsp:val=&quot;27AB1F74&quot;/&gt;&lt;wsp:rsid wsp:val=&quot;27AB3D22&quot;/&gt;&lt;wsp:rsid wsp:val=&quot;27AB7DE0&quot;/&gt;&lt;wsp:rsid wsp:val=&quot;27AC35F6&quot;/&gt;&lt;wsp:rsid wsp:val=&quot;27AC5CEC&quot;/&gt;&lt;wsp:rsid wsp:val=&quot;27AE3812&quot;/&gt;&lt;wsp:rsid wsp:val=&quot;27AE736E&quot;/&gt;&lt;wsp:rsid wsp:val=&quot;27AF1AC7&quot;/&gt;&lt;wsp:rsid wsp:val=&quot;27AF30E6&quot;/&gt;&lt;wsp:rsid wsp:val=&quot;27B02F57&quot;/&gt;&lt;wsp:rsid wsp:val=&quot;27B04698&quot;/&gt;&lt;wsp:rsid wsp:val=&quot;27B0758A&quot;/&gt;&lt;wsp:rsid wsp:val=&quot;27B0795B&quot;/&gt;&lt;wsp:rsid wsp:val=&quot;27B106F9&quot;/&gt;&lt;wsp:rsid wsp:val=&quot;27B16194&quot;/&gt;&lt;wsp:rsid wsp:val=&quot;27B32BD6&quot;/&gt;&lt;wsp:rsid wsp:val=&quot;27B626C7&quot;/&gt;&lt;wsp:rsid wsp:val=&quot;27B66DC9&quot;/&gt;&lt;wsp:rsid wsp:val=&quot;27B84691&quot;/&gt;&lt;wsp:rsid wsp:val=&quot;27BA21B7&quot;/&gt;&lt;wsp:rsid wsp:val=&quot;27BB2F34&quot;/&gt;&lt;wsp:rsid wsp:val=&quot;27BB7CDD&quot;/&gt;&lt;wsp:rsid wsp:val=&quot;27BC580C&quot;/&gt;&lt;wsp:rsid wsp:val=&quot;27BC723E&quot;/&gt;&lt;wsp:rsid wsp:val=&quot;27BD2B44&quot;/&gt;&lt;wsp:rsid wsp:val=&quot;27BD5803&quot;/&gt;&lt;wsp:rsid wsp:val=&quot;27BF77CD&quot;/&gt;&lt;wsp:rsid wsp:val=&quot;27C052F3&quot;/&gt;&lt;wsp:rsid wsp:val=&quot;27C2106B&quot;/&gt;&lt;wsp:rsid wsp:val=&quot;27C22E19&quot;/&gt;&lt;wsp:rsid wsp:val=&quot;27C27F3D&quot;/&gt;&lt;wsp:rsid wsp:val=&quot;27C35E3F&quot;/&gt;&lt;wsp:rsid wsp:val=&quot;27C43F9E&quot;/&gt;&lt;wsp:rsid wsp:val=&quot;27C46B92&quot;/&gt;&lt;wsp:rsid wsp:val=&quot;27C546B8&quot;/&gt;&lt;wsp:rsid wsp:val=&quot;27C941A8&quot;/&gt;&lt;wsp:rsid wsp:val=&quot;27CB0FB5&quot;/&gt;&lt;wsp:rsid wsp:val=&quot;27CC3C98&quot;/&gt;&lt;wsp:rsid wsp:val=&quot;27CE17BE&quot;/&gt;&lt;wsp:rsid wsp:val=&quot;27CE5C62&quot;/&gt;&lt;wsp:rsid wsp:val=&quot;27D17500&quot;/&gt;&lt;wsp:rsid wsp:val=&quot;27D2015E&quot;/&gt;&lt;wsp:rsid wsp:val=&quot;27D35027&quot;/&gt;&lt;wsp:rsid wsp:val=&quot;27D549D1&quot;/&gt;&lt;wsp:rsid wsp:val=&quot;27D8263D&quot;/&gt;&lt;wsp:rsid wsp:val=&quot;27D8568C&quot;/&gt;&lt;wsp:rsid wsp:val=&quot;27D86AE1&quot;/&gt;&lt;wsp:rsid wsp:val=&quot;27DA4607&quot;/&gt;&lt;wsp:rsid wsp:val=&quot;27DA63B5&quot;/&gt;&lt;wsp:rsid wsp:val=&quot;27DD5EA5&quot;/&gt;&lt;wsp:rsid wsp:val=&quot;27DF1C1D&quot;/&gt;&lt;wsp:rsid wsp:val=&quot;27DF39CB&quot;/&gt;&lt;wsp:rsid wsp:val=&quot;27DF5779&quot;/&gt;&lt;wsp:rsid wsp:val=&quot;27E014F2&quot;/&gt;&lt;wsp:rsid wsp:val=&quot;27E15995&quot;/&gt;&lt;wsp:rsid wsp:val=&quot;27E20E2A&quot;/&gt;&lt;wsp:rsid wsp:val=&quot;27E234BC&quot;/&gt;&lt;wsp:rsid wsp:val=&quot;27E4630B&quot;/&gt;&lt;wsp:rsid wsp:val=&quot;27E61651&quot;/&gt;&lt;wsp:rsid wsp:val=&quot;27E70AD2&quot;/&gt;&lt;wsp:rsid wsp:val=&quot;27E82557&quot;/&gt;&lt;wsp:rsid wsp:val=&quot;27EB2370&quot;/&gt;&lt;wsp:rsid wsp:val=&quot;27F07987&quot;/&gt;&lt;wsp:rsid wsp:val=&quot;27F12FBB&quot;/&gt;&lt;wsp:rsid wsp:val=&quot;27F136FF&quot;/&gt;&lt;wsp:rsid wsp:val=&quot;27F154AD&quot;/&gt;&lt;wsp:rsid wsp:val=&quot;27F27A1F&quot;/&gt;&lt;wsp:rsid wsp:val=&quot;27F37477&quot;/&gt;&lt;wsp:rsid wsp:val=&quot;27F4323D&quot;/&gt;&lt;wsp:rsid wsp:val=&quot;27F531EF&quot;/&gt;&lt;wsp:rsid wsp:val=&quot;27F57BD6&quot;/&gt;&lt;wsp:rsid wsp:val=&quot;27F751B9&quot;/&gt;&lt;wsp:rsid wsp:val=&quot;27F84A8D&quot;/&gt;&lt;wsp:rsid wsp:val=&quot;27F90751&quot;/&gt;&lt;wsp:rsid wsp:val=&quot;27FA6A57&quot;/&gt;&lt;wsp:rsid wsp:val=&quot;27FC27CF&quot;/&gt;&lt;wsp:rsid wsp:val=&quot;27FC2C9F&quot;/&gt;&lt;wsp:rsid wsp:val=&quot;27FC632B&quot;/&gt;&lt;wsp:rsid wsp:val=&quot;27FD6419&quot;/&gt;&lt;wsp:rsid wsp:val=&quot;27FE6547&quot;/&gt;&lt;wsp:rsid wsp:val=&quot;28012102&quot;/&gt;&lt;wsp:rsid wsp:val=&quot;28041431&quot;/&gt;&lt;wsp:rsid wsp:val=&quot;28043432&quot;/&gt;&lt;wsp:rsid wsp:val=&quot;28060F58&quot;/&gt;&lt;wsp:rsid wsp:val=&quot;28074CD0&quot;/&gt;&lt;wsp:rsid wsp:val=&quot;280B7BC3&quot;/&gt;&lt;wsp:rsid wsp:val=&quot;280D0F4C&quot;/&gt;&lt;wsp:rsid wsp:val=&quot;280D24E3&quot;/&gt;&lt;wsp:rsid wsp:val=&quot;280E2503&quot;/&gt;&lt;wsp:rsid wsp:val=&quot;28100718&quot;/&gt;&lt;wsp:rsid wsp:val=&quot;281178FD&quot;/&gt;&lt;wsp:rsid wsp:val=&quot;28123DA1&quot;/&gt;&lt;wsp:rsid wsp:val=&quot;28124CBB&quot;/&gt;&lt;wsp:rsid wsp:val=&quot;28133675&quot;/&gt;&lt;wsp:rsid wsp:val=&quot;28135D30&quot;/&gt;&lt;wsp:rsid wsp:val=&quot;28140F26&quot;/&gt;&lt;wsp:rsid wsp:val=&quot;28164F13&quot;/&gt;&lt;wsp:rsid wsp:val=&quot;28165994&quot;/&gt;&lt;wsp:rsid wsp:val=&quot;28177609&quot;/&gt;&lt;wsp:rsid wsp:val=&quot;281803AC&quot;/&gt;&lt;wsp:rsid wsp:val=&quot;281A2C55&quot;/&gt;&lt;wsp:rsid wsp:val=&quot;281C01F3&quot;/&gt;&lt;wsp:rsid wsp:val=&quot;281C077C&quot;/&gt;&lt;wsp:rsid wsp:val=&quot;281F201A&quot;/&gt;&lt;wsp:rsid wsp:val=&quot;281F5094&quot;/&gt;&lt;wsp:rsid wsp:val=&quot;28235FAE&quot;/&gt;&lt;wsp:rsid wsp:val=&quot;28275C5B&quot;/&gt;&lt;wsp:rsid wsp:val=&quot;28277C8E&quot;/&gt;&lt;wsp:rsid wsp:val=&quot;28292C63&quot;/&gt;&lt;wsp:rsid wsp:val=&quot;282B09BF&quot;/&gt;&lt;wsp:rsid wsp:val=&quot;282C5617&quot;/&gt;&lt;wsp:rsid wsp:val=&quot;282E04AF&quot;/&gt;&lt;wsp:rsid wsp:val=&quot;282E6701&quot;/&gt;&lt;wsp:rsid wsp:val=&quot;28304227&quot;/&gt;&lt;wsp:rsid wsp:val=&quot;28305FD5&quot;/&gt;&lt;wsp:rsid wsp:val=&quot;28322399&quot;/&gt;&lt;wsp:rsid wsp:val=&quot;28322D6E&quot;/&gt;&lt;wsp:rsid wsp:val=&quot;283261F1&quot;/&gt;&lt;wsp:rsid wsp:val=&quot;28333D17&quot;/&gt;&lt;wsp:rsid wsp:val=&quot;28341F69&quot;/&gt;&lt;wsp:rsid wsp:val=&quot;2835183D&quot;/&gt;&lt;wsp:rsid wsp:val=&quot;28357A8F&quot;/&gt;&lt;wsp:rsid wsp:val=&quot;283B2990&quot;/&gt;&lt;wsp:rsid wsp:val=&quot;283C2BCC&quot;/&gt;&lt;wsp:rsid wsp:val=&quot;283C5EAB&quot;/&gt;&lt;wsp:rsid wsp:val=&quot;283E2A52&quot;/&gt;&lt;wsp:rsid wsp:val=&quot;284167A7&quot;/&gt;&lt;wsp:rsid wsp:val=&quot;284303FE&quot;/&gt;&lt;wsp:rsid wsp:val=&quot;28433CF3&quot;/&gt;&lt;wsp:rsid wsp:val=&quot;28447CD2&quot;/&gt;&lt;wsp:rsid wsp:val=&quot;28457D54&quot;/&gt;&lt;wsp:rsid wsp:val=&quot;284611E4&quot;/&gt;&lt;wsp:rsid wsp:val=&quot;28472674&quot;/&gt;&lt;wsp:rsid wsp:val=&quot;28485A15&quot;/&gt;&lt;wsp:rsid wsp:val=&quot;284952E9&quot;/&gt;&lt;wsp:rsid wsp:val=&quot;28497097&quot;/&gt;&lt;wsp:rsid wsp:val=&quot;284B2485&quot;/&gt;&lt;wsp:rsid wsp:val=&quot;284B4370&quot;/&gt;&lt;wsp:rsid wsp:val=&quot;284D302B&quot;/&gt;&lt;wsp:rsid wsp:val=&quot;284D4DD9&quot;/&gt;&lt;wsp:rsid wsp:val=&quot;284E28FF&quot;/&gt;&lt;wsp:rsid wsp:val=&quot;284F6DA3&quot;/&gt;&lt;wsp:rsid wsp:val=&quot;28500425&quot;/&gt;&lt;wsp:rsid wsp:val=&quot;2850260F&quot;/&gt;&lt;wsp:rsid wsp:val=&quot;285223EF&quot;/&gt;&lt;wsp:rsid wsp:val=&quot;28537F15&quot;/&gt;&lt;wsp:rsid wsp:val=&quot;285443B9&quot;/&gt;&lt;wsp:rsid wsp:val=&quot;28546167&quot;/&gt;&lt;wsp:rsid wsp:val=&quot;28550131&quot;/&gt;&lt;wsp:rsid wsp:val=&quot;28574869&quot;/&gt;&lt;wsp:rsid wsp:val=&quot;28595F19&quot;/&gt;&lt;wsp:rsid wsp:val=&quot;285A6182&quot;/&gt;&lt;wsp:rsid wsp:val=&quot;285C14C0&quot;/&gt;&lt;wsp:rsid wsp:val=&quot;285C326E&quot;/&gt;&lt;wsp:rsid wsp:val=&quot;285D746B&quot;/&gt;&lt;wsp:rsid wsp:val=&quot;28612632&quot;/&gt;&lt;wsp:rsid wsp:val=&quot;2862536E&quot;/&gt;&lt;wsp:rsid wsp:val=&quot;28643ED1&quot;/&gt;&lt;wsp:rsid wsp:val=&quot;286444FC&quot;/&gt;&lt;wsp:rsid wsp:val=&quot;2869124C&quot;/&gt;&lt;wsp:rsid wsp:val=&quot;28697739&quot;/&gt;&lt;wsp:rsid wsp:val=&quot;286A598B&quot;/&gt;&lt;wsp:rsid wsp:val=&quot;286A5FDD&quot;/&gt;&lt;wsp:rsid wsp:val=&quot;286B1703&quot;/&gt;&lt;wsp:rsid wsp:val=&quot;286D008D&quot;/&gt;&lt;wsp:rsid wsp:val=&quot;286D0FD7&quot;/&gt;&lt;wsp:rsid wsp:val=&quot;286D7229&quot;/&gt;&lt;wsp:rsid wsp:val=&quot;286E4D4F&quot;/&gt;&lt;wsp:rsid wsp:val=&quot;28700AC7&quot;/&gt;&lt;wsp:rsid wsp:val=&quot;287265EE&quot;/&gt;&lt;wsp:rsid wsp:val=&quot;28732366&quot;/&gt;&lt;wsp:rsid wsp:val=&quot;28741B8A&quot;/&gt;&lt;wsp:rsid wsp:val=&quot;28744960&quot;/&gt;&lt;wsp:rsid wsp:val=&quot;28744BDA&quot;/&gt;&lt;wsp:rsid wsp:val=&quot;2874680A&quot;/&gt;&lt;wsp:rsid wsp:val=&quot;287560DE&quot;/&gt;&lt;wsp:rsid wsp:val=&quot;287656A9&quot;/&gt;&lt;wsp:rsid wsp:val=&quot;28771E56&quot;/&gt;&lt;wsp:rsid wsp:val=&quot;28773C04&quot;/&gt;&lt;wsp:rsid wsp:val=&quot;287776D3&quot;/&gt;&lt;wsp:rsid wsp:val=&quot;287814A2&quot;/&gt;&lt;wsp:rsid wsp:val=&quot;287C121A&quot;/&gt;&lt;wsp:rsid wsp:val=&quot;287C56BE&quot;/&gt;&lt;wsp:rsid wsp:val=&quot;287F6DC5&quot;/&gt;&lt;wsp:rsid wsp:val=&quot;287F6F5C&quot;/&gt;&lt;wsp:rsid wsp:val=&quot;288051AE&quot;/&gt;&lt;wsp:rsid wsp:val=&quot;28812455&quot;/&gt;&lt;wsp:rsid wsp:val=&quot;28844573&quot;/&gt;&lt;wsp:rsid wsp:val=&quot;28846321&quot;/&gt;&lt;wsp:rsid wsp:val=&quot;288502C1&quot;/&gt;&lt;wsp:rsid wsp:val=&quot;28862099&quot;/&gt;&lt;wsp:rsid wsp:val=&quot;288822B5&quot;/&gt;&lt;wsp:rsid wsp:val=&quot;288A1B89&quot;/&gt;&lt;wsp:rsid wsp:val=&quot;288A4920&quot;/&gt;&lt;wsp:rsid wsp:val=&quot;288B5901&quot;/&gt;&lt;wsp:rsid wsp:val=&quot;28902F18&quot;/&gt;&lt;wsp:rsid wsp:val=&quot;28904CC6&quot;/&gt;&lt;wsp:rsid wsp:val=&quot;289112ED&quot;/&gt;&lt;wsp:rsid wsp:val=&quot;28926C90&quot;/&gt;&lt;wsp:rsid wsp:val=&quot;28940C5A&quot;/&gt;&lt;wsp:rsid wsp:val=&quot;28942A08&quot;/&gt;&lt;wsp:rsid wsp:val=&quot;289447B6&quot;/&gt;&lt;wsp:rsid wsp:val=&quot;289522DC&quot;/&gt;&lt;wsp:rsid wsp:val=&quot;28954CDC&quot;/&gt;&lt;wsp:rsid wsp:val=&quot;28956780&quot;/&gt;&lt;wsp:rsid wsp:val=&quot;28976054&quot;/&gt;&lt;wsp:rsid wsp:val=&quot;28990963&quot;/&gt;&lt;wsp:rsid wsp:val=&quot;28991DCC&quot;/&gt;&lt;wsp:rsid wsp:val=&quot;289B1FDE&quot;/&gt;&lt;wsp:rsid wsp:val=&quot;289B5978&quot;/&gt;&lt;wsp:rsid wsp:val=&quot;289D1D2D&quot;/&gt;&lt;wsp:rsid wsp:val=&quot;289F721E&quot;/&gt;&lt;wsp:rsid wsp:val=&quot;28A10C81&quot;/&gt;&lt;wsp:rsid wsp:val=&quot;28A16ED3&quot;/&gt;&lt;wsp:rsid wsp:val=&quot;28A54C15&quot;/&gt;&lt;wsp:rsid wsp:val=&quot;28A8200F&quot;/&gt;&lt;wsp:rsid wsp:val=&quot;28A945E1&quot;/&gt;&lt;wsp:rsid wsp:val=&quot;28A95D87&quot;/&gt;&lt;wsp:rsid wsp:val=&quot;28AA3FD9&quot;/&gt;&lt;wsp:rsid wsp:val=&quot;28AB7D51&quot;/&gt;&lt;wsp:rsid wsp:val=&quot;28AD1D1C&quot;/&gt;&lt;wsp:rsid wsp:val=&quot;28AD5878&quot;/&gt;&lt;wsp:rsid wsp:val=&quot;28AF339E&quot;/&gt;&lt;wsp:rsid wsp:val=&quot;28B07116&quot;/&gt;&lt;wsp:rsid wsp:val=&quot;28B409B4&quot;/&gt;&lt;wsp:rsid wsp:val=&quot;28B44E58&quot;/&gt;&lt;wsp:rsid wsp:val=&quot;28B45344&quot;/&gt;&lt;wsp:rsid wsp:val=&quot;28B5472C&quot;/&gt;&lt;wsp:rsid wsp:val=&quot;28B9421C&quot;/&gt;&lt;wsp:rsid wsp:val=&quot;28BA1D43&quot;/&gt;&lt;wsp:rsid wsp:val=&quot;28BA5566&quot;/&gt;&lt;wsp:rsid wsp:val=&quot;28BC1F5F&quot;/&gt;&lt;wsp:rsid wsp:val=&quot;28BC5ABB&quot;/&gt;&lt;wsp:rsid wsp:val=&quot;28BE7A85&quot;/&gt;&lt;wsp:rsid wsp:val=&quot;28BF50C6&quot;/&gt;&lt;wsp:rsid wsp:val=&quot;28C130D1&quot;/&gt;&lt;wsp:rsid wsp:val=&quot;28C332ED&quot;/&gt;&lt;wsp:rsid wsp:val=&quot;28C3700C&quot;/&gt;&lt;wsp:rsid wsp:val=&quot;28C45F55&quot;/&gt;&lt;wsp:rsid wsp:val=&quot;28C47AA8&quot;/&gt;&lt;wsp:rsid wsp:val=&quot;28C50E13&quot;/&gt;&lt;wsp:rsid wsp:val=&quot;28C50F38&quot;/&gt;&lt;wsp:rsid wsp:val=&quot;28C56E58&quot;/&gt;&lt;wsp:rsid wsp:val=&quot;28C57065&quot;/&gt;&lt;wsp:rsid wsp:val=&quot;28C63B09&quot;/&gt;&lt;wsp:rsid wsp:val=&quot;28C80903&quot;/&gt;&lt;wsp:rsid wsp:val=&quot;28C826B1&quot;/&gt;&lt;wsp:rsid wsp:val=&quot;28CB3F50&quot;/&gt;&lt;wsp:rsid wsp:val=&quot;28CC03F4&quot;/&gt;&lt;wsp:rsid wsp:val=&quot;28CD229B&quot;/&gt;&lt;wsp:rsid wsp:val=&quot;28CD2F26&quot;/&gt;&lt;wsp:rsid wsp:val=&quot;28CD5F1A&quot;/&gt;&lt;wsp:rsid wsp:val=&quot;28D163A6&quot;/&gt;&lt;wsp:rsid wsp:val=&quot;28D4759D&quot;/&gt;&lt;wsp:rsid wsp:val=&quot;28D67719&quot;/&gt;&lt;wsp:rsid wsp:val=&quot;28D728F5&quot;/&gt;&lt;wsp:rsid wsp:val=&quot;28D95D96&quot;/&gt;&lt;wsp:rsid wsp:val=&quot;28D9666D&quot;/&gt;&lt;wsp:rsid wsp:val=&quot;28DA340F&quot;/&gt;&lt;wsp:rsid wsp:val=&quot;28DC615D&quot;/&gt;&lt;wsp:rsid wsp:val=&quot;28DC73E2&quot;/&gt;&lt;wsp:rsid wsp:val=&quot;28DC7F0B&quot;/&gt;&lt;wsp:rsid wsp:val=&quot;28E03E9F&quot;/&gt;&lt;wsp:rsid wsp:val=&quot;28E079FB&quot;/&gt;&lt;wsp:rsid wsp:val=&quot;28E13773&quot;/&gt;&lt;wsp:rsid wsp:val=&quot;28E15521&quot;/&gt;&lt;wsp:rsid wsp:val=&quot;28E219C5&quot;/&gt;&lt;wsp:rsid wsp:val=&quot;28E31299&quot;/&gt;&lt;wsp:rsid wsp:val=&quot;28E3573D&quot;/&gt;&lt;wsp:rsid wsp:val=&quot;28E37000&quot;/&gt;&lt;wsp:rsid wsp:val=&quot;28E374EB&quot;/&gt;&lt;wsp:rsid wsp:val=&quot;28E4124D&quot;/&gt;&lt;wsp:rsid wsp:val=&quot;28E53263&quot;/&gt;&lt;wsp:rsid wsp:val=&quot;28E55011&quot;/&gt;&lt;wsp:rsid wsp:val=&quot;28E619B2&quot;/&gt;&lt;wsp:rsid wsp:val=&quot;28E76FDC&quot;/&gt;&lt;wsp:rsid wsp:val=&quot;28E82D54&quot;/&gt;&lt;wsp:rsid wsp:val=&quot;28E868B0&quot;/&gt;&lt;wsp:rsid wsp:val=&quot;28E86EA3&quot;/&gt;&lt;wsp:rsid wsp:val=&quot;28EA0527&quot;/&gt;&lt;wsp:rsid wsp:val=&quot;28EA087A&quot;/&gt;&lt;wsp:rsid wsp:val=&quot;28EA2628&quot;/&gt;&lt;wsp:rsid wsp:val=&quot;28EC095D&quot;/&gt;&lt;wsp:rsid wsp:val=&quot;28EE0144&quot;/&gt;&lt;wsp:rsid wsp:val=&quot;28EF5E90&quot;/&gt;&lt;wsp:rsid wsp:val=&quot;28F2772E&quot;/&gt;&lt;wsp:rsid wsp:val=&quot;28F434A6&quot;/&gt;&lt;wsp:rsid wsp:val=&quot;28F60FCD&quot;/&gt;&lt;wsp:rsid wsp:val=&quot;28F76096&quot;/&gt;&lt;wsp:rsid wsp:val=&quot;28F90ABD&quot;/&gt;&lt;wsp:rsid wsp:val=&quot;28F9286B&quot;/&gt;&lt;wsp:rsid wsp:val=&quot;28FB789F&quot;/&gt;&lt;wsp:rsid wsp:val=&quot;28FC235B&quot;/&gt;&lt;wsp:rsid wsp:val=&quot;28FD16C4&quot;/&gt;&lt;wsp:rsid wsp:val=&quot;28FD67FF&quot;/&gt;&lt;wsp:rsid wsp:val=&quot;28FE4325&quot;/&gt;&lt;wsp:rsid wsp:val=&quot;29003BF9&quot;/&gt;&lt;wsp:rsid wsp:val=&quot;29015BC3&quot;/&gt;&lt;wsp:rsid wsp:val=&quot;29017971&quot;/&gt;&lt;wsp:rsid wsp:val=&quot;29046EDC&quot;/&gt;&lt;wsp:rsid wsp:val=&quot;29053906&quot;/&gt;&lt;wsp:rsid wsp:val=&quot;290563CB&quot;/&gt;&lt;wsp:rsid wsp:val=&quot;290731DA&quot;/&gt;&lt;wsp:rsid wsp:val=&quot;29080D00&quot;/&gt;&lt;wsp:rsid wsp:val=&quot;290B223D&quot;/&gt;&lt;wsp:rsid wsp:val=&quot;291122AA&quot;/&gt;&lt;wsp:rsid wsp:val=&quot;29115E06&quot;/&gt;&lt;wsp:rsid wsp:val=&quot;29121B7F&quot;/&gt;&lt;wsp:rsid wsp:val=&quot;2912392D&quot;/&gt;&lt;wsp:rsid wsp:val=&quot;29127DD1&quot;/&gt;&lt;wsp:rsid wsp:val=&quot;2914053D&quot;/&gt;&lt;wsp:rsid wsp:val=&quot;29144A30&quot;/&gt;&lt;wsp:rsid wsp:val=&quot;291476A5&quot;/&gt;&lt;wsp:rsid wsp:val=&quot;291678C1&quot;/&gt;&lt;wsp:rsid wsp:val=&quot;29183639&quot;/&gt;&lt;wsp:rsid wsp:val=&quot;2919115F&quot;/&gt;&lt;wsp:rsid wsp:val=&quot;29191410&quot;/&gt;&lt;wsp:rsid wsp:val=&quot;291B6C85&quot;/&gt;&lt;wsp:rsid wsp:val=&quot;291C47AB&quot;/&gt;&lt;wsp:rsid wsp:val=&quot;291E22D1&quot;/&gt;&lt;wsp:rsid wsp:val=&quot;291E6775&quot;/&gt;&lt;wsp:rsid wsp:val=&quot;2920429C&quot;/&gt;&lt;wsp:rsid wsp:val=&quot;2920604A&quot;/&gt;&lt;wsp:rsid wsp:val=&quot;29206EB8&quot;/&gt;&lt;wsp:rsid wsp:val=&quot;29211DC2&quot;/&gt;&lt;wsp:rsid wsp:val=&quot;29227034&quot;/&gt;&lt;wsp:rsid wsp:val=&quot;292565A7&quot;/&gt;&lt;wsp:rsid wsp:val=&quot;292813A2&quot;/&gt;&lt;wsp:rsid wsp:val=&quot;29297E32&quot;/&gt;&lt;wsp:rsid wsp:val=&quot;292A6EC8&quot;/&gt;&lt;wsp:rsid wsp:val=&quot;292A7B94&quot;/&gt;&lt;wsp:rsid wsp:val=&quot;292B00E6&quot;/&gt;&lt;wsp:rsid wsp:val=&quot;292C0E92&quot;/&gt;&lt;wsp:rsid wsp:val=&quot;292C49EE&quot;/&gt;&lt;wsp:rsid wsp:val=&quot;292C587F&quot;/&gt;&lt;wsp:rsid wsp:val=&quot;292D1BA5&quot;/&gt;&lt;wsp:rsid wsp:val=&quot;292F2731&quot;/&gt;&lt;wsp:rsid wsp:val=&quot;292F400E&quot;/&gt;&lt;wsp:rsid wsp:val=&quot;29341ACA&quot;/&gt;&lt;wsp:rsid wsp:val=&quot;2934401A&quot;/&gt;&lt;wsp:rsid wsp:val=&quot;29353D69&quot;/&gt;&lt;wsp:rsid wsp:val=&quot;29361C72&quot;/&gt;&lt;wsp:rsid wsp:val=&quot;29361D11&quot;/&gt;&lt;wsp:rsid wsp:val=&quot;2936586D&quot;/&gt;&lt;wsp:rsid wsp:val=&quot;29373393&quot;/&gt;&lt;wsp:rsid wsp:val=&quot;293935AF&quot;/&gt;&lt;wsp:rsid wsp:val=&quot;2939535D&quot;/&gt;&lt;wsp:rsid wsp:val=&quot;2939710B&quot;/&gt;&lt;wsp:rsid wsp:val=&quot;293A007B&quot;/&gt;&lt;wsp:rsid wsp:val=&quot;293B10D5&quot;/&gt;&lt;wsp:rsid wsp:val=&quot;293C27AC&quot;/&gt;&lt;wsp:rsid wsp:val=&quot;293C5380&quot;/&gt;&lt;wsp:rsid wsp:val=&quot;293D6BFB&quot;/&gt;&lt;wsp:rsid wsp:val=&quot;293E2974&quot;/&gt;&lt;wsp:rsid wsp:val=&quot;293E4FA7&quot;/&gt;&lt;wsp:rsid wsp:val=&quot;29403455&quot;/&gt;&lt;wsp:rsid wsp:val=&quot;29424212&quot;/&gt;&lt;wsp:rsid wsp:val=&quot;29430E8F&quot;/&gt;&lt;wsp:rsid wsp:val=&quot;294361DC&quot;/&gt;&lt;wsp:rsid wsp:val=&quot;29471828&quot;/&gt;&lt;wsp:rsid wsp:val=&quot;29477A7A&quot;/&gt;&lt;wsp:rsid wsp:val=&quot;294837F2&quot;/&gt;&lt;wsp:rsid wsp:val=&quot;294A6EAE&quot;/&gt;&lt;wsp:rsid wsp:val=&quot;294C6E3F&quot;/&gt;&lt;wsp:rsid wsp:val=&quot;294F4B81&quot;/&gt;&lt;wsp:rsid wsp:val=&quot;29506096&quot;/&gt;&lt;wsp:rsid wsp:val=&quot;29511E01&quot;/&gt;&lt;wsp:rsid wsp:val=&quot;29514455&quot;/&gt;&lt;wsp:rsid wsp:val=&quot;295201CD&quot;/&gt;&lt;wsp:rsid wsp:val=&quot;295474FF&quot;/&gt;&lt;wsp:rsid wsp:val=&quot;29564161&quot;/&gt;&lt;wsp:rsid wsp:val=&quot;29567CBD&quot;/&gt;&lt;wsp:rsid wsp:val=&quot;29575C73&quot;/&gt;&lt;wsp:rsid wsp:val=&quot;29595666&quot;/&gt;&lt;wsp:rsid wsp:val=&quot;29596949&quot;/&gt;&lt;wsp:rsid wsp:val=&quot;295D54F0&quot;/&gt;&lt;wsp:rsid wsp:val=&quot;29622D86&quot;/&gt;&lt;wsp:rsid wsp:val=&quot;29626662&quot;/&gt;&lt;wsp:rsid wsp:val=&quot;296323DA&quot;/&gt;&lt;wsp:rsid wsp:val=&quot;2964062C&quot;/&gt;&lt;wsp:rsid wsp:val=&quot;29671ECA&quot;/&gt;&lt;wsp:rsid wsp:val=&quot;296C128F&quot;/&gt;&lt;wsp:rsid wsp:val=&quot;29712D49&quot;/&gt;&lt;wsp:rsid wsp:val=&quot;29714AF7&quot;/&gt;&lt;wsp:rsid wsp:val=&quot;2973261D&quot;/&gt;&lt;wsp:rsid wsp:val=&quot;29736AC1&quot;/&gt;&lt;wsp:rsid wsp:val=&quot;29752839&quot;/&gt;&lt;wsp:rsid wsp:val=&quot;2976035F&quot;/&gt;&lt;wsp:rsid wsp:val=&quot;2976210D&quot;/&gt;&lt;wsp:rsid wsp:val=&quot;29763EBB&quot;/&gt;&lt;wsp:rsid wsp:val=&quot;297665B1&quot;/&gt;&lt;wsp:rsid wsp:val=&quot;29785E86&quot;/&gt;&lt;wsp:rsid wsp:val=&quot;29787C34&quot;/&gt;&lt;wsp:rsid wsp:val=&quot;29791BFE&quot;/&gt;&lt;wsp:rsid wsp:val=&quot;297B5976&quot;/&gt;&lt;wsp:rsid wsp:val=&quot;297D16EE&quot;/&gt;&lt;wsp:rsid wsp:val=&quot;298011DE&quot;/&gt;&lt;wsp:rsid wsp:val=&quot;29820AB2&quot;/&gt;&lt;wsp:rsid wsp:val=&quot;29824F56&quot;/&gt;&lt;wsp:rsid wsp:val=&quot;29826D04&quot;/&gt;&lt;wsp:rsid wsp:val=&quot;298365D8&quot;/&gt;&lt;wsp:rsid wsp:val=&quot;29842A7C&quot;/&gt;&lt;wsp:rsid wsp:val=&quot;2984482A&quot;/&gt;&lt;wsp:rsid wsp:val=&quot;29844C90&quot;/&gt;&lt;wsp:rsid wsp:val=&quot;29852351&quot;/&gt;&lt;wsp:rsid wsp:val=&quot;298654FF&quot;/&gt;&lt;wsp:rsid wsp:val=&quot;2987256D&quot;/&gt;&lt;wsp:rsid wsp:val=&quot;29874881&quot;/&gt;&lt;wsp:rsid wsp:val=&quot;298760C9&quot;/&gt;&lt;wsp:rsid wsp:val=&quot;298962E5&quot;/&gt;&lt;wsp:rsid wsp:val=&quot;298C36DF&quot;/&gt;&lt;wsp:rsid wsp:val=&quot;298E38FB&quot;/&gt;&lt;wsp:rsid wsp:val=&quot;298E7457&quot;/&gt;&lt;wsp:rsid wsp:val=&quot;298F1421&quot;/&gt;&lt;wsp:rsid wsp:val=&quot;298F4F7D&quot;/&gt;&lt;wsp:rsid wsp:val=&quot;299042C3&quot;/&gt;&lt;wsp:rsid wsp:val=&quot;29911D35&quot;/&gt;&lt;wsp:rsid wsp:val=&quot;29916F47&quot;/&gt;&lt;wsp:rsid wsp:val=&quot;299270AF&quot;/&gt;&lt;wsp:rsid wsp:val=&quot;29934A6D&quot;/&gt;&lt;wsp:rsid wsp:val=&quot;29946A38&quot;/&gt;&lt;wsp:rsid wsp:val=&quot;29956DFE&quot;/&gt;&lt;wsp:rsid wsp:val=&quot;29974847&quot;/&gt;&lt;wsp:rsid wsp:val=&quot;299A1CC3&quot;/&gt;&lt;wsp:rsid wsp:val=&quot;299A22A0&quot;/&gt;&lt;wsp:rsid wsp:val=&quot;299B7DC6&quot;/&gt;&lt;wsp:rsid wsp:val=&quot;299D58EC&quot;/&gt;&lt;wsp:rsid wsp:val=&quot;299E3412&quot;/&gt;&lt;wsp:rsid wsp:val=&quot;299F1664&quot;/&gt;&lt;wsp:rsid wsp:val=&quot;29A22F02&quot;/&gt;&lt;wsp:rsid wsp:val=&quot;29A44ECD&quot;/&gt;&lt;wsp:rsid wsp:val=&quot;29A529F3&quot;/&gt;&lt;wsp:rsid wsp:val=&quot;29A547A1&quot;/&gt;&lt;wsp:rsid wsp:val=&quot;29A749BD&quot;/&gt;&lt;wsp:rsid wsp:val=&quot;29AB625B&quot;/&gt;&lt;wsp:rsid wsp:val=&quot;29AC5B2F&quot;/&gt;&lt;wsp:rsid wsp:val=&quot;29AD17B3&quot;/&gt;&lt;wsp:rsid wsp:val=&quot;29AE18A7&quot;/&gt;&lt;wsp:rsid wsp:val=&quot;29AE5D4B&quot;/&gt;&lt;wsp:rsid wsp:val=&quot;29B0281D&quot;/&gt;&lt;wsp:rsid wsp:val=&quot;29B03871&quot;/&gt;&lt;wsp:rsid wsp:val=&quot;29B175E9&quot;/&gt;&lt;wsp:rsid wsp:val=&quot;29B35110&quot;/&gt;&lt;wsp:rsid wsp:val=&quot;29B7592F&quot;/&gt;&lt;wsp:rsid wsp:val=&quot;29B82726&quot;/&gt;&lt;wsp:rsid wsp:val=&quot;29B9024C&quot;/&gt;&lt;wsp:rsid wsp:val=&quot;29BA649E&quot;/&gt;&lt;wsp:rsid wsp:val=&quot;29BB2216&quot;/&gt;&lt;wsp:rsid wsp:val=&quot;29BB3FC4&quot;/&gt;&lt;wsp:rsid wsp:val=&quot;29BC23C8&quot;/&gt;&lt;wsp:rsid wsp:val=&quot;29BD6562&quot;/&gt;&lt;wsp:rsid wsp:val=&quot;29C0782D&quot;/&gt;&lt;wsp:rsid wsp:val=&quot;29C235A5&quot;/&gt;&lt;wsp:rsid wsp:val=&quot;29C34ADE&quot;/&gt;&lt;wsp:rsid wsp:val=&quot;29C44CF4&quot;/&gt;&lt;wsp:rsid wsp:val=&quot;29C54E43&quot;/&gt;&lt;wsp:rsid wsp:val=&quot;29C55BD3&quot;/&gt;&lt;wsp:rsid wsp:val=&quot;29C70CDD&quot;/&gt;&lt;wsp:rsid wsp:val=&quot;29C94933&quot;/&gt;&lt;wsp:rsid wsp:val=&quot;29CB1FF6&quot;/&gt;&lt;wsp:rsid wsp:val=&quot;29CB68D8&quot;/&gt;&lt;wsp:rsid wsp:val=&quot;29CC61D1&quot;/&gt;&lt;wsp:rsid wsp:val=&quot;29CC7F7F&quot;/&gt;&lt;wsp:rsid wsp:val=&quot;29CD6057&quot;/&gt;&lt;wsp:rsid wsp:val=&quot;29CE5AA6&quot;/&gt;&lt;wsp:rsid wsp:val=&quot;29CE5DA6&quot;/&gt;&lt;wsp:rsid wsp:val=&quot;29CF181E&quot;/&gt;&lt;wsp:rsid wsp:val=&quot;29D049D8&quot;/&gt;&lt;wsp:rsid wsp:val=&quot;29D07A70&quot;/&gt;&lt;wsp:rsid wsp:val=&quot;29D23611&quot;/&gt;&lt;wsp:rsid wsp:val=&quot;29D3130E&quot;/&gt;&lt;wsp:rsid wsp:val=&quot;29D37560&quot;/&gt;&lt;wsp:rsid wsp:val=&quot;29D46E34&quot;/&gt;&lt;wsp:rsid wsp:val=&quot;29D532D8&quot;/&gt;&lt;wsp:rsid wsp:val=&quot;29D67050&quot;/&gt;&lt;wsp:rsid wsp:val=&quot;29D81A29&quot;/&gt;&lt;wsp:rsid wsp:val=&quot;29D81A5D&quot;/&gt;&lt;wsp:rsid wsp:val=&quot;29D85AE2&quot;/&gt;&lt;wsp:rsid wsp:val=&quot;29D92EB9&quot;/&gt;&lt;wsp:rsid wsp:val=&quot;29DA08EE&quot;/&gt;&lt;wsp:rsid wsp:val=&quot;29DA6B40&quot;/&gt;&lt;wsp:rsid wsp:val=&quot;29DB188C&quot;/&gt;&lt;wsp:rsid wsp:val=&quot;29DD218D&quot;/&gt;&lt;wsp:rsid wsp:val=&quot;29DE69D7&quot;/&gt;&lt;wsp:rsid wsp:val=&quot;29DF5F05&quot;/&gt;&lt;wsp:rsid wsp:val=&quot;29DF7CB3&quot;/&gt;&lt;wsp:rsid wsp:val=&quot;29E03A2B&quot;/&gt;&lt;wsp:rsid wsp:val=&quot;29E11C7D&quot;/&gt;&lt;wsp:rsid wsp:val=&quot;29E21551&quot;/&gt;&lt;wsp:rsid wsp:val=&quot;29E277A3&quot;/&gt;&lt;wsp:rsid wsp:val=&quot;29E325E0&quot;/&gt;&lt;wsp:rsid wsp:val=&quot;29E4170D&quot;/&gt;&lt;wsp:rsid wsp:val=&quot;29E43E3B&quot;/&gt;&lt;wsp:rsid wsp:val=&quot;29E7008E&quot;/&gt;&lt;wsp:rsid wsp:val=&quot;29E74DB9&quot;/&gt;&lt;wsp:rsid wsp:val=&quot;29E90B31&quot;/&gt;&lt;wsp:rsid wsp:val=&quot;29E929AE&quot;/&gt;&lt;wsp:rsid wsp:val=&quot;29E96D83&quot;/&gt;&lt;wsp:rsid wsp:val=&quot;29EE7EF6&quot;/&gt;&lt;wsp:rsid wsp:val=&quot;29F251A1&quot;/&gt;&lt;wsp:rsid wsp:val=&quot;29F375EE&quot;/&gt;&lt;wsp:rsid wsp:val=&quot;29F37C02&quot;/&gt;&lt;wsp:rsid wsp:val=&quot;29F47AC1&quot;/&gt;&lt;wsp:rsid wsp:val=&quot;29F55728&quot;/&gt;&lt;wsp:rsid wsp:val=&quot;29F6190F&quot;/&gt;&lt;wsp:rsid wsp:val=&quot;29F6324E&quot;/&gt;&lt;wsp:rsid wsp:val=&quot;29F714A0&quot;/&gt;&lt;wsp:rsid wsp:val=&quot;29F80D74&quot;/&gt;&lt;wsp:rsid wsp:val=&quot;29F814D9&quot;/&gt;&lt;wsp:rsid wsp:val=&quot;29F86FC6&quot;/&gt;&lt;wsp:rsid wsp:val=&quot;29F9586B&quot;/&gt;&lt;wsp:rsid wsp:val=&quot;29FA2D3E&quot;/&gt;&lt;wsp:rsid wsp:val=&quot;29FD45DD&quot;/&gt;&lt;wsp:rsid wsp:val=&quot;29FF0355&quot;/&gt;&lt;wsp:rsid wsp:val=&quot;29FF2103&quot;/&gt;&lt;wsp:rsid wsp:val=&quot;29FF6BD6&quot;/&gt;&lt;wsp:rsid wsp:val=&quot;2A0140CD&quot;/&gt;&lt;wsp:rsid wsp:val=&quot;2A027E45&quot;/&gt;&lt;wsp:rsid wsp:val=&quot;2A03697A&quot;/&gt;&lt;wsp:rsid wsp:val=&quot;2A043BBD&quot;/&gt;&lt;wsp:rsid wsp:val=&quot;2A070FB7&quot;/&gt;&lt;wsp:rsid wsp:val=&quot;2A077209&quot;/&gt;&lt;wsp:rsid wsp:val=&quot;2A091F98&quot;/&gt;&lt;wsp:rsid wsp:val=&quot;2A092F82&quot;/&gt;&lt;wsp:rsid wsp:val=&quot;2A0B7489&quot;/&gt;&lt;wsp:rsid wsp:val=&quot;2A0D1313&quot;/&gt;&lt;wsp:rsid wsp:val=&quot;2A0E2346&quot;/&gt;&lt;wsp:rsid wsp:val=&quot;2A0F5E0A&quot;/&gt;&lt;wsp:rsid wsp:val=&quot;2A104310&quot;/&gt;&lt;wsp:rsid wsp:val=&quot;2A1060BE&quot;/&gt;&lt;wsp:rsid wsp:val=&quot;2A110088&quot;/&gt;&lt;wsp:rsid wsp:val=&quot;2A111E36&quot;/&gt;&lt;wsp:rsid wsp:val=&quot;2A12586E&quot;/&gt;&lt;wsp:rsid wsp:val=&quot;2A133E00&quot;/&gt;&lt;wsp:rsid wsp:val=&quot;2A13795C&quot;/&gt;&lt;wsp:rsid wsp:val=&quot;2A1536D4&quot;/&gt;&lt;wsp:rsid wsp:val=&quot;2A161EB6&quot;/&gt;&lt;wsp:rsid wsp:val=&quot;2A175819&quot;/&gt;&lt;wsp:rsid wsp:val=&quot;2A1C2BC3&quot;/&gt;&lt;wsp:rsid wsp:val=&quot;2A1C2CB5&quot;/&gt;&lt;wsp:rsid wsp:val=&quot;2A1D07DB&quot;/&gt;&lt;wsp:rsid wsp:val=&quot;2A1D2DF3&quot;/&gt;&lt;wsp:rsid wsp:val=&quot;2A1D6A2D&quot;/&gt;&lt;wsp:rsid wsp:val=&quot;2A1E5633&quot;/&gt;&lt;wsp:rsid wsp:val=&quot;2A1F41BD&quot;/&gt;&lt;wsp:rsid wsp:val=&quot;2A202079&quot;/&gt;&lt;wsp:rsid wsp:val=&quot;2A2102CB&quot;/&gt;&lt;wsp:rsid wsp:val=&quot;2A222295&quot;/&gt;&lt;wsp:rsid wsp:val=&quot;2A255F01&quot;/&gt;&lt;wsp:rsid wsp:val=&quot;2A257690&quot;/&gt;&lt;wsp:rsid wsp:val=&quot;2A261D85&quot;/&gt;&lt;wsp:rsid wsp:val=&quot;2A263B34&quot;/&gt;&lt;wsp:rsid wsp:val=&quot;2A27165A&quot;/&gt;&lt;wsp:rsid wsp:val=&quot;2A293624&quot;/&gt;&lt;wsp:rsid wsp:val=&quot;2A2953D2&quot;/&gt;&lt;wsp:rsid wsp:val=&quot;2A297E40&quot;/&gt;&lt;wsp:rsid wsp:val=&quot;2A2B2EF8&quot;/&gt;&lt;wsp:rsid wsp:val=&quot;2A2C6C70&quot;/&gt;&lt;wsp:rsid wsp:val=&quot;2A30050E&quot;/&gt;&lt;wsp:rsid wsp:val=&quot;2A306760&quot;/&gt;&lt;wsp:rsid wsp:val=&quot;2A3111A3&quot;/&gt;&lt;wsp:rsid wsp:val=&quot;2A314286&quot;/&gt;&lt;wsp:rsid wsp:val=&quot;2A333AC3&quot;/&gt;&lt;wsp:rsid wsp:val=&quot;2A335204&quot;/&gt;&lt;wsp:rsid wsp:val=&quot;2A351FC9&quot;/&gt;&lt;wsp:rsid wsp:val=&quot;2A360FB4&quot;/&gt;&lt;wsp:rsid wsp:val=&quot;2A383867&quot;/&gt;&lt;wsp:rsid wsp:val=&quot;2A385615&quot;/&gt;&lt;wsp:rsid wsp:val=&quot;2A39669A&quot;/&gt;&lt;wsp:rsid wsp:val=&quot;2A3A313B&quot;/&gt;&lt;wsp:rsid wsp:val=&quot;2A3C5105&quot;/&gt;&lt;wsp:rsid wsp:val=&quot;2A3D2C2B&quot;/&gt;&lt;wsp:rsid wsp:val=&quot;2A410C98&quot;/&gt;&lt;wsp:rsid wsp:val=&quot;2A426494&quot;/&gt;&lt;wsp:rsid wsp:val=&quot;2A44220C&quot;/&gt;&lt;wsp:rsid wsp:val=&quot;2A44494B&quot;/&gt;&lt;wsp:rsid wsp:val=&quot;2A452503&quot;/&gt;&lt;wsp:rsid wsp:val=&quot;2A456A43&quot;/&gt;&lt;wsp:rsid wsp:val=&quot;2A465F84&quot;/&gt;&lt;wsp:rsid wsp:val=&quot;2A467ADE&quot;/&gt;&lt;wsp:rsid wsp:val=&quot;2A467D32&quot;/&gt;&lt;wsp:rsid wsp:val=&quot;2A473AAA&quot;/&gt;&lt;wsp:rsid wsp:val=&quot;2A497822&quot;/&gt;&lt;wsp:rsid wsp:val=&quot;2A4B17EC&quot;/&gt;&lt;wsp:rsid wsp:val=&quot;2A4B1FF1&quot;/&gt;&lt;wsp:rsid wsp:val=&quot;2A4B446B&quot;/&gt;&lt;wsp:rsid wsp:val=&quot;2A4D5650&quot;/&gt;&lt;wsp:rsid wsp:val=&quot;2A4D7312&quot;/&gt;&lt;wsp:rsid wsp:val=&quot;2A4D7C8D&quot;/&gt;&lt;wsp:rsid wsp:val=&quot;2A4E1F42&quot;/&gt;&lt;wsp:rsid wsp:val=&quot;2A4E308A&quot;/&gt;&lt;wsp:rsid wsp:val=&quot;2A4F0498&quot;/&gt;&lt;wsp:rsid wsp:val=&quot;2A506E02&quot;/&gt;&lt;wsp:rsid wsp:val=&quot;2A5330AD&quot;/&gt;&lt;wsp:rsid wsp:val=&quot;2A5561C7&quot;/&gt;&lt;wsp:rsid wsp:val=&quot;2A557F75&quot;/&gt;&lt;wsp:rsid wsp:val=&quot;2A571F3F&quot;/&gt;&lt;wsp:rsid wsp:val=&quot;2A587A65&quot;/&gt;&lt;wsp:rsid wsp:val=&quot;2A5A6C6E&quot;/&gt;&lt;wsp:rsid wsp:val=&quot;2A5C2CCF&quot;/&gt;&lt;wsp:rsid wsp:val=&quot;2A5C7555&quot;/&gt;&lt;wsp:rsid wsp:val=&quot;2A5E32CD&quot;/&gt;&lt;wsp:rsid wsp:val=&quot;2A5F2BA2&quot;/&gt;&lt;wsp:rsid wsp:val=&quot;2A6037AC&quot;/&gt;&lt;wsp:rsid wsp:val=&quot;2A623D4A&quot;/&gt;&lt;wsp:rsid wsp:val=&quot;2A662182&quot;/&gt;&lt;wsp:rsid wsp:val=&quot;2A681272&quot;/&gt;&lt;wsp:rsid wsp:val=&quot;2A6824BE&quot;/&gt;&lt;wsp:rsid wsp:val=&quot;2A68414C&quot;/&gt;&lt;wsp:rsid wsp:val=&quot;2A685EFA&quot;/&gt;&lt;wsp:rsid wsp:val=&quot;2A6C6B5B&quot;/&gt;&lt;wsp:rsid wsp:val=&quot;2A6E1037&quot;/&gt;&lt;wsp:rsid wsp:val=&quot;2A6E548C&quot;/&gt;&lt;wsp:rsid wsp:val=&quot;2A701253&quot;/&gt;&lt;wsp:rsid wsp:val=&quot;2A704DAF&quot;/&gt;&lt;wsp:rsid wsp:val=&quot;2A717F62&quot;/&gt;&lt;wsp:rsid wsp:val=&quot;2A7228D5&quot;/&gt;&lt;wsp:rsid wsp:val=&quot;2A726D79&quot;/&gt;&lt;wsp:rsid wsp:val=&quot;2A73664D&quot;/&gt;&lt;wsp:rsid wsp:val=&quot;2A736B07&quot;/&gt;&lt;wsp:rsid wsp:val=&quot;2A7523C5&quot;/&gt;&lt;wsp:rsid wsp:val=&quot;2A7725E1&quot;/&gt;&lt;wsp:rsid wsp:val=&quot;2A77438F&quot;/&gt;&lt;wsp:rsid wsp:val=&quot;2A783C63&quot;/&gt;&lt;wsp:rsid wsp:val=&quot;2A78776A&quot;/&gt;&lt;wsp:rsid wsp:val=&quot;2A790107&quot;/&gt;&lt;wsp:rsid wsp:val=&quot;2A7A79DB&quot;/&gt;&lt;wsp:rsid wsp:val=&quot;2A7C3754&quot;/&gt;&lt;wsp:rsid wsp:val=&quot;2A7E571E&quot;/&gt;&lt;wsp:rsid wsp:val=&quot;2A7F3244&quot;/&gt;&lt;wsp:rsid wsp:val=&quot;2A816FBC&quot;/&gt;&lt;wsp:rsid wsp:val=&quot;2A84085A&quot;/&gt;&lt;wsp:rsid wsp:val=&quot;2A841E75&quot;/&gt;&lt;wsp:rsid wsp:val=&quot;2A842608&quot;/&gt;&lt;wsp:rsid wsp:val=&quot;2A862824&quot;/&gt;&lt;wsp:rsid wsp:val=&quot;2A88659C&quot;/&gt;&lt;wsp:rsid wsp:val=&quot;2A8922A4&quot;/&gt;&lt;wsp:rsid wsp:val=&quot;2A89317C&quot;/&gt;&lt;wsp:rsid wsp:val=&quot;2A8940C2&quot;/&gt;&lt;wsp:rsid wsp:val=&quot;2A895828&quot;/&gt;&lt;wsp:rsid wsp:val=&quot;2A895E70&quot;/&gt;&lt;wsp:rsid wsp:val=&quot;2A8A2314&quot;/&gt;&lt;wsp:rsid wsp:val=&quot;2A8B1BE9&quot;/&gt;&lt;wsp:rsid wsp:val=&quot;2A8B3997&quot;/&gt;&lt;wsp:rsid wsp:val=&quot;2A900FAD&quot;/&gt;&lt;wsp:rsid wsp:val=&quot;2A9144DF&quot;/&gt;&lt;wsp:rsid wsp:val=&quot;2A930A9D&quot;/&gt;&lt;wsp:rsid wsp:val=&quot;2A9520EF&quot;/&gt;&lt;wsp:rsid wsp:val=&quot;2A952A67&quot;/&gt;&lt;wsp:rsid wsp:val=&quot;2A970BD3&quot;/&gt;&lt;wsp:rsid wsp:val=&quot;2A9767DF&quot;/&gt;&lt;wsp:rsid wsp:val=&quot;2A9860B3&quot;/&gt;&lt;wsp:rsid wsp:val=&quot;2A9943B2&quot;/&gt;&lt;wsp:rsid wsp:val=&quot;2A9A1E2C&quot;/&gt;&lt;wsp:rsid wsp:val=&quot;2A9C1476&quot;/&gt;&lt;wsp:rsid wsp:val=&quot;2A9D0465&quot;/&gt;&lt;wsp:rsid wsp:val=&quot;2AA31C54&quot;/&gt;&lt;wsp:rsid wsp:val=&quot;2AA36F32&quot;/&gt;&lt;wsp:rsid wsp:val=&quot;2AA42CAA&quot;/&gt;&lt;wsp:rsid wsp:val=&quot;2AA70B88&quot;/&gt;&lt;wsp:rsid wsp:val=&quot;2AA719AA&quot;/&gt;&lt;wsp:rsid wsp:val=&quot;2AA74552&quot;/&gt;&lt;wsp:rsid wsp:val=&quot;2AAA6513&quot;/&gt;&lt;wsp:rsid wsp:val=&quot;2AAB73FB&quot;/&gt;&lt;wsp:rsid wsp:val=&quot;2AAD6003&quot;/&gt;&lt;wsp:rsid wsp:val=&quot;2AAE58D7&quot;/&gt;&lt;wsp:rsid wsp:val=&quot;2AB0164F&quot;/&gt;&lt;wsp:rsid wsp:val=&quot;2AB02639&quot;/&gt;&lt;wsp:rsid wsp:val=&quot;2AB23619&quot;/&gt;&lt;wsp:rsid wsp:val=&quot;2AB24F59&quot;/&gt;&lt;wsp:rsid wsp:val=&quot;2AB34AAA&quot;/&gt;&lt;wsp:rsid wsp:val=&quot;2AB56C65&quot;/&gt;&lt;wsp:rsid wsp:val=&quot;2AB729DE&quot;/&gt;&lt;wsp:rsid wsp:val=&quot;2AB7478C&quot;/&gt;&lt;wsp:rsid wsp:val=&quot;2AB90504&quot;/&gt;&lt;wsp:rsid wsp:val=&quot;2AB92AF5&quot;/&gt;&lt;wsp:rsid wsp:val=&quot;2AB949A8&quot;/&gt;&lt;wsp:rsid wsp:val=&quot;2ABC13D1&quot;/&gt;&lt;wsp:rsid wsp:val=&quot;2ABC4498&quot;/&gt;&lt;wsp:rsid wsp:val=&quot;2ABE5B1A&quot;/&gt;&lt;wsp:rsid wsp:val=&quot;2AC1385C&quot;/&gt;&lt;wsp:rsid wsp:val=&quot;2AC31382&quot;/&gt;&lt;wsp:rsid wsp:val=&quot;2AC450FA&quot;/&gt;&lt;wsp:rsid wsp:val=&quot;2AC46EA9&quot;/&gt;&lt;wsp:rsid wsp:val=&quot;2AC717C5&quot;/&gt;&lt;wsp:rsid wsp:val=&quot;2ACA2711&quot;/&gt;&lt;wsp:rsid wsp:val=&quot;2ACA2BB1&quot;/&gt;&lt;wsp:rsid wsp:val=&quot;2ACB46DB&quot;/&gt;&lt;wsp:rsid wsp:val=&quot;2ACB7893&quot;/&gt;&lt;wsp:rsid wsp:val=&quot;2ACD2201&quot;/&gt;&lt;wsp:rsid wsp:val=&quot;2ACD3FAF&quot;/&gt;&lt;wsp:rsid wsp:val=&quot;2ACE1666&quot;/&gt;&lt;wsp:rsid wsp:val=&quot;2AD025B0&quot;/&gt;&lt;wsp:rsid wsp:val=&quot;2AD27817&quot;/&gt;&lt;wsp:rsid wsp:val=&quot;2AD4533E&quot;/&gt;&lt;wsp:rsid wsp:val=&quot;2AD510B6&quot;/&gt;&lt;wsp:rsid wsp:val=&quot;2AD64354&quot;/&gt;&lt;wsp:rsid wsp:val=&quot;2AD73080&quot;/&gt;&lt;wsp:rsid wsp:val=&quot;2AD74E2E&quot;/&gt;&lt;wsp:rsid wsp:val=&quot;2AD92954&quot;/&gt;&lt;wsp:rsid wsp:val=&quot;2ADB491E&quot;/&gt;&lt;wsp:rsid wsp:val=&quot;2ADC2444&quot;/&gt;&lt;wsp:rsid wsp:val=&quot;2ADC41F2&quot;/&gt;&lt;wsp:rsid wsp:val=&quot;2ADE0265&quot;/&gt;&lt;wsp:rsid wsp:val=&quot;2ADE2AE6&quot;/&gt;&lt;wsp:rsid wsp:val=&quot;2ADE6E32&quot;/&gt;&lt;wsp:rsid wsp:val=&quot;2AE00186&quot;/&gt;&lt;wsp:rsid wsp:val=&quot;2AE01BD6&quot;/&gt;&lt;wsp:rsid wsp:val=&quot;2AE412F9&quot;/&gt;&lt;wsp:rsid wsp:val=&quot;2AE5579D&quot;/&gt;&lt;wsp:rsid wsp:val=&quot;2AE5754B&quot;/&gt;&lt;wsp:rsid wsp:val=&quot;2AE57DE8&quot;/&gt;&lt;wsp:rsid wsp:val=&quot;2AE82B97&quot;/&gt;&lt;wsp:rsid wsp:val=&quot;2AE8528D&quot;/&gt;&lt;wsp:rsid wsp:val=&quot;2AE9690F&quot;/&gt;&lt;wsp:rsid wsp:val=&quot;2AEA2DB3&quot;/&gt;&lt;wsp:rsid wsp:val=&quot;2AED28A3&quot;/&gt;&lt;wsp:rsid wsp:val=&quot;2AEE0D42&quot;/&gt;&lt;wsp:rsid wsp:val=&quot;2AEF03C9&quot;/&gt;&lt;wsp:rsid wsp:val=&quot;2AF10F5C&quot;/&gt;&lt;wsp:rsid wsp:val=&quot;2AF43C32&quot;/&gt;&lt;wsp:rsid wsp:val=&quot;2AF459E0&quot;/&gt;&lt;wsp:rsid wsp:val=&quot;2AF47A0E&quot;/&gt;&lt;wsp:rsid wsp:val=&quot;2AF82279&quot;/&gt;&lt;wsp:rsid wsp:val=&quot;2AF91248&quot;/&gt;&lt;wsp:rsid wsp:val=&quot;2AFB461F&quot;/&gt;&lt;wsp:rsid wsp:val=&quot;2AFB4FC0&quot;/&gt;&lt;wsp:rsid wsp:val=&quot;2AFC1611&quot;/&gt;&lt;wsp:rsid wsp:val=&quot;2AFC41A2&quot;/&gt;&lt;wsp:rsid wsp:val=&quot;2B0025D7&quot;/&gt;&lt;wsp:rsid wsp:val=&quot;2B0032AF&quot;/&gt;&lt;wsp:rsid wsp:val=&quot;2B0100FD&quot;/&gt;&lt;wsp:rsid wsp:val=&quot;2B02634F&quot;/&gt;&lt;wsp:rsid wsp:val=&quot;2B0379D1&quot;/&gt;&lt;wsp:rsid wsp:val=&quot;2B053749&quot;/&gt;&lt;wsp:rsid wsp:val=&quot;2B057BED&quot;/&gt;&lt;wsp:rsid wsp:val=&quot;2B071CF2&quot;/&gt;&lt;wsp:rsid wsp:val=&quot;2B08148B&quot;/&gt;&lt;wsp:rsid wsp:val=&quot;2B0B1A6F&quot;/&gt;&lt;wsp:rsid wsp:val=&quot;2B0B2D29&quot;/&gt;&lt;wsp:rsid wsp:val=&quot;2B0C5B64&quot;/&gt;&lt;wsp:rsid wsp:val=&quot;2B0D6AA1&quot;/&gt;&lt;wsp:rsid wsp:val=&quot;2B0F281A&quot;/&gt;&lt;wsp:rsid wsp:val=&quot;2B116592&quot;/&gt;&lt;wsp:rsid wsp:val=&quot;2B12230A&quot;/&gt;&lt;wsp:rsid wsp:val=&quot;2B125F6C&quot;/&gt;&lt;wsp:rsid wsp:val=&quot;2B146082&quot;/&gt;&lt;wsp:rsid wsp:val=&quot;2B147E30&quot;/&gt;&lt;wsp:rsid wsp:val=&quot;2B17347C&quot;/&gt;&lt;wsp:rsid wsp:val=&quot;2B1B7EB7&quot;/&gt;&lt;wsp:rsid wsp:val=&quot;2B1C2A88&quot;/&gt;&lt;wsp:rsid wsp:val=&quot;2B1C4F36&quot;/&gt;&lt;wsp:rsid wsp:val=&quot;2B1C6CE5&quot;/&gt;&lt;wsp:rsid wsp:val=&quot;2B2160A9&quot;/&gt;&lt;wsp:rsid wsp:val=&quot;2B2251B9&quot;/&gt;&lt;wsp:rsid wsp:val=&quot;2B230073&quot;/&gt;&lt;wsp:rsid wsp:val=&quot;2B231E21&quot;/&gt;&lt;wsp:rsid wsp:val=&quot;2B245F87&quot;/&gt;&lt;wsp:rsid wsp:val=&quot;2B2636BF&quot;/&gt;&lt;wsp:rsid wsp:val=&quot;2B277B63&quot;/&gt;&lt;wsp:rsid wsp:val=&quot;2B2838DB&quot;/&gt;&lt;wsp:rsid wsp:val=&quot;2B2C33CC&quot;/&gt;&lt;wsp:rsid wsp:val=&quot;2B2D0EF2&quot;/&gt;&lt;wsp:rsid wsp:val=&quot;2B2D4A4E&quot;/&gt;&lt;wsp:rsid wsp:val=&quot;2B2D7144&quot;/&gt;&lt;wsp:rsid wsp:val=&quot;2B30453E&quot;/&gt;&lt;wsp:rsid wsp:val=&quot;2B307525&quot;/&gt;&lt;wsp:rsid wsp:val=&quot;2B3109E2&quot;/&gt;&lt;wsp:rsid wsp:val=&quot;2B326508&quot;/&gt;&lt;wsp:rsid wsp:val=&quot;2B3352EE&quot;/&gt;&lt;wsp:rsid wsp:val=&quot;2B342280&quot;/&gt;&lt;wsp:rsid wsp:val=&quot;2B365FF8&quot;/&gt;&lt;wsp:rsid wsp:val=&quot;2B367DA6&quot;/&gt;&lt;wsp:rsid wsp:val=&quot;2B372091&quot;/&gt;&lt;wsp:rsid wsp:val=&quot;2B3836F1&quot;/&gt;&lt;wsp:rsid wsp:val=&quot;2B397896&quot;/&gt;&lt;wsp:rsid wsp:val=&quot;2B3B0DBE&quot;/&gt;&lt;wsp:rsid wsp:val=&quot;2B3E4EAD&quot;/&gt;&lt;wsp:rsid wsp:val=&quot;2B3E6C5B&quot;/&gt;&lt;wsp:rsid wsp:val=&quot;2B3F2B94&quot;/&gt;&lt;wsp:rsid wsp:val=&quot;2B3F54CD&quot;/&gt;&lt;wsp:rsid wsp:val=&quot;2B4029D3&quot;/&gt;&lt;wsp:rsid wsp:val=&quot;2B4465E7&quot;/&gt;&lt;wsp:rsid wsp:val=&quot;2B45448D&quot;/&gt;&lt;wsp:rsid wsp:val=&quot;2B4638FA&quot;/&gt;&lt;wsp:rsid wsp:val=&quot;2B465B0F&quot;/&gt;&lt;wsp:rsid wsp:val=&quot;2B471FB3&quot;/&gt;&lt;wsp:rsid wsp:val=&quot;2B473D61&quot;/&gt;&lt;wsp:rsid wsp:val=&quot;2B477185&quot;/&gt;&lt;wsp:rsid wsp:val=&quot;2B4C1378&quot;/&gt;&lt;wsp:rsid wsp:val=&quot;2B4D6C1E&quot;/&gt;&lt;wsp:rsid wsp:val=&quot;2B4F0E68&quot;/&gt;&lt;wsp:rsid wsp:val=&quot;2B4F5673&quot;/&gt;&lt;wsp:rsid wsp:val=&quot;2B512E08&quot;/&gt;&lt;wsp:rsid wsp:val=&quot;2B512E32&quot;/&gt;&lt;wsp:rsid wsp:val=&quot;2B522706&quot;/&gt;&lt;wsp:rsid wsp:val=&quot;2B535728&quot;/&gt;&lt;wsp:rsid wsp:val=&quot;2B536BAA&quot;/&gt;&lt;wsp:rsid wsp:val=&quot;2B54003D&quot;/&gt;&lt;wsp:rsid wsp:val=&quot;2B566C7A&quot;/&gt;&lt;wsp:rsid wsp:val=&quot;2B577D1D&quot;/&gt;&lt;wsp:rsid wsp:val=&quot;2B593A95&quot;/&gt;&lt;wsp:rsid wsp:val=&quot;2B5A7935&quot;/&gt;&lt;wsp:rsid wsp:val=&quot;2B5E10AB&quot;/&gt;&lt;wsp:rsid wsp:val=&quot;2B5E554F&quot;/&gt;&lt;wsp:rsid wsp:val=&quot;2B612949&quot;/&gt;&lt;wsp:rsid wsp:val=&quot;2B613A37&quot;/&gt;&lt;wsp:rsid wsp:val=&quot;2B614ECC&quot;/&gt;&lt;wsp:rsid wsp:val=&quot;2B621AD2&quot;/&gt;&lt;wsp:rsid wsp:val=&quot;2B634913&quot;/&gt;&lt;wsp:rsid wsp:val=&quot;2B64127E&quot;/&gt;&lt;wsp:rsid wsp:val=&quot;2B667F60&quot;/&gt;&lt;wsp:rsid wsp:val=&quot;2B69017C&quot;/&gt;&lt;wsp:rsid wsp:val=&quot;2B6A7A50&quot;/&gt;&lt;wsp:rsid wsp:val=&quot;2B6D7540&quot;/&gt;&lt;wsp:rsid wsp:val=&quot;2B6F150A&quot;/&gt;&lt;wsp:rsid wsp:val=&quot;2B6F32B8&quot;/&gt;&lt;wsp:rsid wsp:val=&quot;2B6F5066&quot;/&gt;&lt;wsp:rsid wsp:val=&quot;2B7045BA&quot;/&gt;&lt;wsp:rsid wsp:val=&quot;2B710DDE&quot;/&gt;&lt;wsp:rsid wsp:val=&quot;2B716E31&quot;/&gt;&lt;wsp:rsid wsp:val=&quot;2B724B56&quot;/&gt;&lt;wsp:rsid wsp:val=&quot;2B726905&quot;/&gt;&lt;wsp:rsid wsp:val=&quot;2B7554AB&quot;/&gt;&lt;wsp:rsid wsp:val=&quot;2B7663F5&quot;/&gt;&lt;wsp:rsid wsp:val=&quot;2B7756A4&quot;/&gt;&lt;wsp:rsid wsp:val=&quot;2B7803BF&quot;/&gt;&lt;wsp:rsid wsp:val=&quot;2B795EE5&quot;/&gt;&lt;wsp:rsid wsp:val=&quot;2B7B144C&quot;/&gt;&lt;wsp:rsid wsp:val=&quot;2B7B3A0B&quot;/&gt;&lt;wsp:rsid wsp:val=&quot;2B7D58BA&quot;/&gt;&lt;wsp:rsid wsp:val=&quot;2B7D7783&quot;/&gt;&lt;wsp:rsid wsp:val=&quot;2B7E52A9&quot;/&gt;&lt;wsp:rsid wsp:val=&quot;2B7F1994&quot;/&gt;&lt;wsp:rsid wsp:val=&quot;2B8054C5&quot;/&gt;&lt;wsp:rsid wsp:val=&quot;2B807273&quot;/&gt;&lt;wsp:rsid wsp:val=&quot;2B834329&quot;/&gt;&lt;wsp:rsid wsp:val=&quot;2B836D64&quot;/&gt;&lt;wsp:rsid wsp:val=&quot;2B872ED7&quot;/&gt;&lt;wsp:rsid wsp:val=&quot;2B8A1EA0&quot;/&gt;&lt;wsp:rsid wsp:val=&quot;2B8A6344&quot;/&gt;&lt;wsp:rsid wsp:val=&quot;2B8B66EB&quot;/&gt;&lt;wsp:rsid wsp:val=&quot;2B8D191A&quot;/&gt;&lt;wsp:rsid wsp:val=&quot;2B8E7BE2&quot;/&gt;&lt;wsp:rsid wsp:val=&quot;2B8F1669&quot;/&gt;&lt;wsp:rsid wsp:val=&quot;2B911481&quot;/&gt;&lt;wsp:rsid wsp:val=&quot;2B9351F9&quot;/&gt;&lt;wsp:rsid wsp:val=&quot;2B936FA7&quot;/&gt;&lt;wsp:rsid wsp:val=&quot;2B940F71&quot;/&gt;&lt;wsp:rsid wsp:val=&quot;2B9729CB&quot;/&gt;&lt;wsp:rsid wsp:val=&quot;2B97636B&quot;/&gt;&lt;wsp:rsid wsp:val=&quot;2B98280F&quot;/&gt;&lt;wsp:rsid wsp:val=&quot;2B986A2C&quot;/&gt;&lt;wsp:rsid wsp:val=&quot;2B9A1328&quot;/&gt;&lt;wsp:rsid wsp:val=&quot;2B9C3C6C&quot;/&gt;&lt;wsp:rsid wsp:val=&quot;2B9D1BD3&quot;/&gt;&lt;wsp:rsid wsp:val=&quot;2B9D7E25&quot;/&gt;&lt;wsp:rsid wsp:val=&quot;2B9F2CC0&quot;/&gt;&lt;wsp:rsid wsp:val=&quot;2BA016C4&quot;/&gt;&lt;wsp:rsid wsp:val=&quot;2BA03472&quot;/&gt;&lt;wsp:rsid wsp:val=&quot;2BA44493&quot;/&gt;&lt;wsp:rsid wsp:val=&quot;2BA47406&quot;/&gt;&lt;wsp:rsid wsp:val=&quot;2BA50A88&quot;/&gt;&lt;wsp:rsid wsp:val=&quot;2BA54F2C&quot;/&gt;&lt;wsp:rsid wsp:val=&quot;2BA56CDA&quot;/&gt;&lt;wsp:rsid wsp:val=&quot;2BA86521&quot;/&gt;&lt;wsp:rsid wsp:val=&quot;2BA936A8&quot;/&gt;&lt;wsp:rsid wsp:val=&quot;2BAA14CE&quot;/&gt;&lt;wsp:rsid wsp:val=&quot;2BAB5541&quot;/&gt;&lt;wsp:rsid wsp:val=&quot;2BAC1E16&quot;/&gt;&lt;wsp:rsid wsp:val=&quot;2BAE2033&quot;/&gt;&lt;wsp:rsid wsp:val=&quot;2BAF20E2&quot;/&gt;&lt;wsp:rsid wsp:val=&quot;2BB04CB3&quot;/&gt;&lt;wsp:rsid wsp:val=&quot;2BB05DAB&quot;/&gt;&lt;wsp:rsid wsp:val=&quot;2BB331A5&quot;/&gt;&lt;wsp:rsid wsp:val=&quot;2BBA09D7&quot;/&gt;&lt;wsp:rsid wsp:val=&quot;2BBC3256&quot;/&gt;&lt;wsp:rsid wsp:val=&quot;2BBD4024&quot;/&gt;&lt;wsp:rsid wsp:val=&quot;2BBF5FEE&quot;/&gt;&lt;wsp:rsid wsp:val=&quot;2BC2163A&quot;/&gt;&lt;wsp:rsid wsp:val=&quot;2BC31734&quot;/&gt;&lt;wsp:rsid wsp:val=&quot;2BC453B2&quot;/&gt;&lt;wsp:rsid wsp:val=&quot;2BC66ED9&quot;/&gt;&lt;wsp:rsid wsp:val=&quot;2BC730F4&quot;/&gt;&lt;wsp:rsid wsp:val=&quot;2BC90C1A&quot;/&gt;&lt;wsp:rsid wsp:val=&quot;2BC929C8&quot;/&gt;&lt;wsp:rsid wsp:val=&quot;2BCC24B9&quot;/&gt;&lt;wsp:rsid wsp:val=&quot;2BCD76CE&quot;/&gt;&lt;wsp:rsid wsp:val=&quot;2BCE4483&quot;/&gt;&lt;wsp:rsid wsp:val=&quot;2BCF5242&quot;/&gt;&lt;wsp:rsid wsp:val=&quot;2BD05855&quot;/&gt;&lt;wsp:rsid wsp:val=&quot;2BD1572D&quot;/&gt;&lt;wsp:rsid wsp:val=&quot;2BD355F5&quot;/&gt;&lt;wsp:rsid wsp:val=&quot;2BD440AE&quot;/&gt;&lt;wsp:rsid wsp:val=&quot;2BD55811&quot;/&gt;&lt;wsp:rsid wsp:val=&quot;2BD63337&quot;/&gt;&lt;wsp:rsid wsp:val=&quot;2BD66E93&quot;/&gt;&lt;wsp:rsid wsp:val=&quot;2BD7250D&quot;/&gt;&lt;wsp:rsid wsp:val=&quot;2BD870AF&quot;/&gt;&lt;wsp:rsid wsp:val=&quot;2BD9091A&quot;/&gt;&lt;wsp:rsid wsp:val=&quot;2BD96984&quot;/&gt;&lt;wsp:rsid wsp:val=&quot;2BDA4BD6&quot;/&gt;&lt;wsp:rsid wsp:val=&quot;2BDA6A14&quot;/&gt;&lt;wsp:rsid wsp:val=&quot;2BDB094E&quot;/&gt;&lt;wsp:rsid wsp:val=&quot;2BDB26FC&quot;/&gt;&lt;wsp:rsid wsp:val=&quot;2BDD3CD0&quot;/&gt;&lt;wsp:rsid wsp:val=&quot;2BDE30D5&quot;/&gt;&lt;wsp:rsid wsp:val=&quot;2BDE3F9A&quot;/&gt;&lt;wsp:rsid wsp:val=&quot;2BDF043E&quot;/&gt;&lt;wsp:rsid wsp:val=&quot;2BDF11C1&quot;/&gt;&lt;wsp:rsid wsp:val=&quot;2BDF21C9&quot;/&gt;&lt;wsp:rsid wsp:val=&quot;2BDF24A6&quot;/&gt;&lt;wsp:rsid wsp:val=&quot;2BE21CDC&quot;/&gt;&lt;wsp:rsid wsp:val=&quot;2BE27F2E&quot;/&gt;&lt;wsp:rsid wsp:val=&quot;2BE315B0&quot;/&gt;&lt;wsp:rsid wsp:val=&quot;2BE55328&quot;/&gt;&lt;wsp:rsid wsp:val=&quot;2BE617CC&quot;/&gt;&lt;wsp:rsid wsp:val=&quot;2BE63B1F&quot;/&gt;&lt;wsp:rsid wsp:val=&quot;2BE8587B&quot;/&gt;&lt;wsp:rsid wsp:val=&quot;2BE912BD&quot;/&gt;&lt;wsp:rsid wsp:val=&quot;2BEA0B91&quot;/&gt;&lt;wsp:rsid wsp:val=&quot;2BEE242F&quot;/&gt;&lt;wsp:rsid wsp:val=&quot;2BEF7575&quot;/&gt;&lt;wsp:rsid wsp:val=&quot;2BF00C46&quot;/&gt;&lt;wsp:rsid wsp:val=&quot;2BF0264B&quot;/&gt;&lt;wsp:rsid wsp:val=&quot;2BF11F1F&quot;/&gt;&lt;wsp:rsid wsp:val=&quot;2BF33EE9&quot;/&gt;&lt;wsp:rsid wsp:val=&quot;2BF35C97&quot;/&gt;&lt;wsp:rsid wsp:val=&quot;2BF437BD&quot;/&gt;&lt;wsp:rsid wsp:val=&quot;2BF57C61&quot;/&gt;&lt;wsp:rsid wsp:val=&quot;2BF612E4&quot;/&gt;&lt;wsp:rsid wsp:val=&quot;2BF67536&quot;/&gt;&lt;wsp:rsid wsp:val=&quot;2BF81500&quot;/&gt;&lt;wsp:rsid wsp:val=&quot;2BF8505C&quot;/&gt;&lt;wsp:rsid wsp:val=&quot;2BFA7026&quot;/&gt;&lt;wsp:rsid wsp:val=&quot;2BFB2D9E&quot;/&gt;&lt;wsp:rsid wsp:val=&quot;2BFC0FF0&quot;/&gt;&lt;wsp:rsid wsp:val=&quot;2BFD2672&quot;/&gt;&lt;wsp:rsid wsp:val=&quot;2BFF463C&quot;/&gt;&lt;wsp:rsid wsp:val=&quot;2C025EDA&quot;/&gt;&lt;wsp:rsid wsp:val=&quot;2C027C88&quot;/&gt;&lt;wsp:rsid wsp:val=&quot;2C041C52&quot;/&gt;&lt;wsp:rsid wsp:val=&quot;2C0435DB&quot;/&gt;&lt;wsp:rsid wsp:val=&quot;2C043A79&quot;/&gt;&lt;wsp:rsid wsp:val=&quot;2C05030B&quot;/&gt;&lt;wsp:rsid wsp:val=&quot;2C051FF5&quot;/&gt;&lt;wsp:rsid wsp:val=&quot;2C0734F1&quot;/&gt;&lt;wsp:rsid wsp:val=&quot;2C09011C&quot;/&gt;&lt;wsp:rsid wsp:val=&quot;2C091613&quot;/&gt;&lt;wsp:rsid wsp:val=&quot;2C0A4D8F&quot;/&gt;&lt;wsp:rsid wsp:val=&quot;2C1005F7&quot;/&gt;&lt;wsp:rsid wsp:val=&quot;2C133D9F&quot;/&gt;&lt;wsp:rsid wsp:val=&quot;2C167BD8&quot;/&gt;&lt;wsp:rsid wsp:val=&quot;2C1703A3&quot;/&gt;&lt;wsp:rsid wsp:val=&quot;2C1752F1&quot;/&gt;&lt;wsp:rsid wsp:val=&quot;2C1A3224&quot;/&gt;&lt;wsp:rsid wsp:val=&quot;2C1A4943&quot;/&gt;&lt;wsp:rsid wsp:val=&quot;2C1C3440&quot;/&gt;&lt;wsp:rsid wsp:val=&quot;2C1C7CD3&quot;/&gt;&lt;wsp:rsid wsp:val=&quot;2C1D2D14&quot;/&gt;&lt;wsp:rsid wsp:val=&quot;2C1D33FB&quot;/&gt;&lt;wsp:rsid wsp:val=&quot;2C1D4AC2&quot;/&gt;&lt;wsp:rsid wsp:val=&quot;2C1D7A22&quot;/&gt;&lt;wsp:rsid wsp:val=&quot;2C1F6A8C&quot;/&gt;&lt;wsp:rsid wsp:val=&quot;2C210A56&quot;/&gt;&lt;wsp:rsid wsp:val=&quot;2C212804&quot;/&gt;&lt;wsp:rsid wsp:val=&quot;2C2422F5&quot;/&gt;&lt;wsp:rsid wsp:val=&quot;2C2440A3&quot;/&gt;&lt;wsp:rsid wsp:val=&quot;2C253164&quot;/&gt;&lt;wsp:rsid wsp:val=&quot;2C2661CB&quot;/&gt;&lt;wsp:rsid wsp:val=&quot;2C267E1B&quot;/&gt;&lt;wsp:rsid wsp:val=&quot;2C273B93&quot;/&gt;&lt;wsp:rsid wsp:val=&quot;2C275941&quot;/&gt;&lt;wsp:rsid wsp:val=&quot;2C293467&quot;/&gt;&lt;wsp:rsid wsp:val=&quot;2C2A3767&quot;/&gt;&lt;wsp:rsid wsp:val=&quot;2C2A71DF&quot;/&gt;&lt;wsp:rsid wsp:val=&quot;2C2C11A9&quot;/&gt;&lt;wsp:rsid wsp:val=&quot;2C2E0A7D&quot;/&gt;&lt;wsp:rsid wsp:val=&quot;2C2E3173&quot;/&gt;&lt;wsp:rsid wsp:val=&quot;2C302A48&quot;/&gt;&lt;wsp:rsid wsp:val=&quot;2C31056E&quot;/&gt;&lt;wsp:rsid wsp:val=&quot;2C315A5A&quot;/&gt;&lt;wsp:rsid wsp:val=&quot;2C332538&quot;/&gt;&lt;wsp:rsid wsp:val=&quot;2C35087A&quot;/&gt;&lt;wsp:rsid wsp:val=&quot;2C387880&quot;/&gt;&lt;wsp:rsid wsp:val=&quot;2C3A1B18&quot;/&gt;&lt;wsp:rsid wsp:val=&quot;2C3A5674&quot;/&gt;&lt;wsp:rsid wsp:val=&quot;2C3B3CAE&quot;/&gt;&lt;wsp:rsid wsp:val=&quot;2C3C763E&quot;/&gt;&lt;wsp:rsid wsp:val=&quot;2C3E306D&quot;/&gt;&lt;wsp:rsid wsp:val=&quot;2C3F28B9&quot;/&gt;&lt;wsp:rsid wsp:val=&quot;2C3F2C8B&quot;/&gt;&lt;wsp:rsid wsp:val=&quot;2C414C55&quot;/&gt;&lt;wsp:rsid wsp:val=&quot;2C4165DB&quot;/&gt;&lt;wsp:rsid wsp:val=&quot;2C416A03&quot;/&gt;&lt;wsp:rsid wsp:val=&quot;2C4209CD&quot;/&gt;&lt;wsp:rsid wsp:val=&quot;2C43743C&quot;/&gt;&lt;wsp:rsid wsp:val=&quot;2C484235&quot;/&gt;&lt;wsp:rsid wsp:val=&quot;2C4869F0&quot;/&gt;&lt;wsp:rsid wsp:val=&quot;2C4958B7&quot;/&gt;&lt;wsp:rsid wsp:val=&quot;2C4B162F&quot;/&gt;&lt;wsp:rsid wsp:val=&quot;2C4B1C25&quot;/&gt;&lt;wsp:rsid wsp:val=&quot;2C4B5AD3&quot;/&gt;&lt;wsp:rsid wsp:val=&quot;2C4C35F9&quot;/&gt;&lt;wsp:rsid wsp:val=&quot;2C4D184B&quot;/&gt;&lt;wsp:rsid wsp:val=&quot;2C4D5A97&quot;/&gt;&lt;wsp:rsid wsp:val=&quot;2C4E1120&quot;/&gt;&lt;wsp:rsid wsp:val=&quot;2C4E7372&quot;/&gt;&lt;wsp:rsid wsp:val=&quot;2C534309&quot;/&gt;&lt;wsp:rsid wsp:val=&quot;2C536736&quot;/&gt;&lt;wsp:rsid wsp:val=&quot;2C550700&quot;/&gt;&lt;wsp:rsid wsp:val=&quot;2C567FD4&quot;/&gt;&lt;wsp:rsid wsp:val=&quot;2C572442&quot;/&gt;&lt;wsp:rsid wsp:val=&quot;2C576226&quot;/&gt;&lt;wsp:rsid wsp:val=&quot;2C5A5D16&quot;/&gt;&lt;wsp:rsid wsp:val=&quot;2C5C383D&quot;/&gt;&lt;wsp:rsid wsp:val=&quot;2C6023A6&quot;/&gt;&lt;wsp:rsid wsp:val=&quot;2C602C01&quot;/&gt;&lt;wsp:rsid wsp:val=&quot;2C622E1D&quot;/&gt;&lt;wsp:rsid wsp:val=&quot;2C632468&quot;/&gt;&lt;wsp:rsid wsp:val=&quot;2C6646BB&quot;/&gt;&lt;wsp:rsid wsp:val=&quot;2C666469&quot;/&gt;&lt;wsp:rsid wsp:val=&quot;2C6941AB&quot;/&gt;&lt;wsp:rsid wsp:val=&quot;2C6B1CD2&quot;/&gt;&lt;wsp:rsid wsp:val=&quot;2C6D3C9C&quot;/&gt;&lt;wsp:rsid wsp:val=&quot;2C6E096F&quot;/&gt;&lt;wsp:rsid wsp:val=&quot;2C6E531E&quot;/&gt;&lt;wsp:rsid wsp:val=&quot;2C6F1D04&quot;/&gt;&lt;wsp:rsid wsp:val=&quot;2C6F72CA&quot;/&gt;&lt;wsp:rsid wsp:val=&quot;2C701096&quot;/&gt;&lt;wsp:rsid wsp:val=&quot;2C701E9B&quot;/&gt;&lt;wsp:rsid wsp:val=&quot;2C7072E8&quot;/&gt;&lt;wsp:rsid wsp:val=&quot;2C714E0E&quot;/&gt;&lt;wsp:rsid wsp:val=&quot;2C7212B2&quot;/&gt;&lt;wsp:rsid wsp:val=&quot;2C732934&quot;/&gt;&lt;wsp:rsid wsp:val=&quot;2C73502A&quot;/&gt;&lt;wsp:rsid wsp:val=&quot;2C742D57&quot;/&gt;&lt;wsp:rsid wsp:val=&quot;2C752B50&quot;/&gt;&lt;wsp:rsid wsp:val=&quot;2C7768C8&quot;/&gt;&lt;wsp:rsid wsp:val=&quot;2C7843EE&quot;/&gt;&lt;wsp:rsid wsp:val=&quot;2C792640&quot;/&gt;&lt;wsp:rsid wsp:val=&quot;2C795A94&quot;/&gt;&lt;wsp:rsid wsp:val=&quot;2C7A4279&quot;/&gt;&lt;wsp:rsid wsp:val=&quot;2C7D37B3&quot;/&gt;&lt;wsp:rsid wsp:val=&quot;2C7E7C57&quot;/&gt;&lt;wsp:rsid wsp:val=&quot;2C7F39CF&quot;/&gt;&lt;wsp:rsid wsp:val=&quot;2C8132A3&quot;/&gt;&lt;wsp:rsid wsp:val=&quot;2C82701B&quot;/&gt;&lt;wsp:rsid wsp:val=&quot;2C832906&quot;/&gt;&lt;wsp:rsid wsp:val=&quot;2C840FE5&quot;/&gt;&lt;wsp:rsid wsp:val=&quot;2C8608B9&quot;/&gt;&lt;wsp:rsid wsp:val=&quot;2C866B0B&quot;/&gt;&lt;wsp:rsid wsp:val=&quot;2C872E2D&quot;/&gt;&lt;wsp:rsid wsp:val=&quot;2C884632&quot;/&gt;&lt;wsp:rsid wsp:val=&quot;2C892158&quot;/&gt;&lt;wsp:rsid wsp:val=&quot;2C8B4122&quot;/&gt;&lt;wsp:rsid wsp:val=&quot;2C8B51FB&quot;/&gt;&lt;wsp:rsid wsp:val=&quot;2C8E17A8&quot;/&gt;&lt;wsp:rsid wsp:val=&quot;2C8E3C12&quot;/&gt;&lt;wsp:rsid wsp:val=&quot;2C901738&quot;/&gt;&lt;wsp:rsid wsp:val=&quot;2C9103E2&quot;/&gt;&lt;wsp:rsid wsp:val=&quot;2C923702&quot;/&gt;&lt;wsp:rsid wsp:val=&quot;2C9254B0&quot;/&gt;&lt;wsp:rsid wsp:val=&quot;2C9303A0&quot;/&gt;&lt;wsp:rsid wsp:val=&quot;2C931228&quot;/&gt;&lt;wsp:rsid wsp:val=&quot;2C934D84&quot;/&gt;&lt;wsp:rsid wsp:val=&quot;2C950AFD&quot;/&gt;&lt;wsp:rsid wsp:val=&quot;2C970CD4&quot;/&gt;&lt;wsp:rsid wsp:val=&quot;2C994A91&quot;/&gt;&lt;wsp:rsid wsp:val=&quot;2C9A25B7&quot;/&gt;&lt;wsp:rsid wsp:val=&quot;2C9A4365&quot;/&gt;&lt;wsp:rsid wsp:val=&quot;2C9A6113&quot;/&gt;&lt;wsp:rsid wsp:val=&quot;2C9C1E8B&quot;/&gt;&lt;wsp:rsid wsp:val=&quot;2C9E3E55&quot;/&gt;&lt;wsp:rsid wsp:val=&quot;2C9F197B&quot;/&gt;&lt;wsp:rsid wsp:val=&quot;2C9F20B0&quot;/&gt;&lt;wsp:rsid wsp:val=&quot;2C9F63A9&quot;/&gt;&lt;wsp:rsid wsp:val=&quot;2C9F7BCD&quot;/&gt;&lt;wsp:rsid wsp:val=&quot;2CA174A1&quot;/&gt;&lt;wsp:rsid wsp:val=&quot;2CA23219&quot;/&gt;&lt;wsp:rsid wsp:val=&quot;2CA43435&quot;/&gt;&lt;wsp:rsid wsp:val=&quot;2CA451E4&quot;/&gt;&lt;wsp:rsid wsp:val=&quot;2CA46F92&quot;/&gt;&lt;wsp:rsid wsp:val=&quot;2CA70830&quot;/&gt;&lt;wsp:rsid wsp:val=&quot;2CAB0320&quot;/&gt;&lt;wsp:rsid wsp:val=&quot;2CAD4098&quot;/&gt;&lt;wsp:rsid wsp:val=&quot;2CAE7587&quot;/&gt;&lt;wsp:rsid wsp:val=&quot;2CAE7E10&quot;/&gt;&lt;wsp:rsid wsp:val=&quot;2CB01DDA&quot;/&gt;&lt;wsp:rsid wsp:val=&quot;2CB216AE&quot;/&gt;&lt;wsp:rsid wsp:val=&quot;2CB2345D&quot;/&gt;&lt;wsp:rsid wsp:val=&quot;2CB2481F&quot;/&gt;&lt;wsp:rsid wsp:val=&quot;2CB371D5&quot;/&gt;&lt;wsp:rsid wsp:val=&quot;2CB42A1C&quot;/&gt;&lt;wsp:rsid wsp:val=&quot;2CB43679&quot;/&gt;&lt;wsp:rsid wsp:val=&quot;2CB46D5B&quot;/&gt;&lt;wsp:rsid wsp:val=&quot;2CB504DE&quot;/&gt;&lt;wsp:rsid wsp:val=&quot;2CB50C49&quot;/&gt;&lt;wsp:rsid wsp:val=&quot;2CB573F1&quot;/&gt;&lt;wsp:rsid wsp:val=&quot;2CB73169&quot;/&gt;&lt;wsp:rsid wsp:val=&quot;2CB74F17&quot;/&gt;&lt;wsp:rsid wsp:val=&quot;2CB76CC5&quot;/&gt;&lt;wsp:rsid wsp:val=&quot;2CB82A3D&quot;/&gt;&lt;wsp:rsid wsp:val=&quot;2CB847EB&quot;/&gt;&lt;wsp:rsid wsp:val=&quot;2CB90C8F&quot;/&gt;&lt;wsp:rsid wsp:val=&quot;2CBA0563&quot;/&gt;&lt;wsp:rsid wsp:val=&quot;2CBA1E1E&quot;/&gt;&lt;wsp:rsid wsp:val=&quot;2CBB4441&quot;/&gt;&lt;wsp:rsid wsp:val=&quot;2CC00E82&quot;/&gt;&lt;wsp:rsid wsp:val=&quot;2CC118F2&quot;/&gt;&lt;wsp:rsid wsp:val=&quot;2CC15D95&quot;/&gt;&lt;wsp:rsid wsp:val=&quot;2CC17B44&quot;/&gt;&lt;wsp:rsid wsp:val=&quot;2CC3566A&quot;/&gt;&lt;wsp:rsid wsp:val=&quot;2CC64125&quot;/&gt;&lt;wsp:rsid wsp:val=&quot;2CC80ED2&quot;/&gt;&lt;wsp:rsid wsp:val=&quot;2CC94C4A&quot;/&gt;&lt;wsp:rsid wsp:val=&quot;2CC969F8&quot;/&gt;&lt;wsp:rsid wsp:val=&quot;2CCB451E&quot;/&gt;&lt;wsp:rsid wsp:val=&quot;2CCB6C14&quot;/&gt;&lt;wsp:rsid wsp:val=&quot;2CCC7C29&quot;/&gt;&lt;wsp:rsid wsp:val=&quot;2CCD0296&quot;/&gt;&lt;wsp:rsid wsp:val=&quot;2CCF6918&quot;/&gt;&lt;wsp:rsid wsp:val=&quot;2CD07D87&quot;/&gt;&lt;wsp:rsid wsp:val=&quot;2CD35299&quot;/&gt;&lt;wsp:rsid wsp:val=&quot;2CD45AC9&quot;/&gt;&lt;wsp:rsid wsp:val=&quot;2CD47877&quot;/&gt;&lt;wsp:rsid wsp:val=&quot;2CD535EF&quot;/&gt;&lt;wsp:rsid wsp:val=&quot;2CD86C3B&quot;/&gt;&lt;wsp:rsid wsp:val=&quot;2CDC672B&quot;/&gt;&lt;wsp:rsid wsp:val=&quot;2CDF446E&quot;/&gt;&lt;wsp:rsid wsp:val=&quot;2CE101E6&quot;/&gt;&lt;wsp:rsid wsp:val=&quot;2CE43832&quot;/&gt;&lt;wsp:rsid wsp:val=&quot;2CE576AE&quot;/&gt;&lt;wsp:rsid wsp:val=&quot;2CE61FCE&quot;/&gt;&lt;wsp:rsid wsp:val=&quot;2CE7345E&quot;/&gt;&lt;wsp:rsid wsp:val=&quot;2CEA52EC&quot;/&gt;&lt;wsp:rsid wsp:val=&quot;2CEB2E12&quot;/&gt;&lt;wsp:rsid wsp:val=&quot;2CEB4BC0&quot;/&gt;&lt;wsp:rsid wsp:val=&quot;2CED0939&quot;/&gt;&lt;wsp:rsid wsp:val=&quot;2CEF46B1&quot;/&gt;&lt;wsp:rsid wsp:val=&quot;2CEF6E8C&quot;/&gt;&lt;wsp:rsid wsp:val=&quot;2CF00429&quot;/&gt;&lt;wsp:rsid wsp:val=&quot;2CF021D7&quot;/&gt;&lt;wsp:rsid wsp:val=&quot;2CF03F85&quot;/&gt;&lt;wsp:rsid wsp:val=&quot;2CF170E1&quot;/&gt;&lt;wsp:rsid wsp:val=&quot;2CF31A01&quot;/&gt;&lt;wsp:rsid wsp:val=&quot;2CF41CC7&quot;/&gt;&lt;wsp:rsid wsp:val=&quot;2CF55A3F&quot;/&gt;&lt;wsp:rsid wsp:val=&quot;2CF57C1C&quot;/&gt;&lt;wsp:rsid wsp:val=&quot;2CF94162&quot;/&gt;&lt;wsp:rsid wsp:val=&quot;2CFA6D03&quot;/&gt;&lt;wsp:rsid wsp:val=&quot;2CFB44A5&quot;/&gt;&lt;wsp:rsid wsp:val=&quot;2CFC0B7C&quot;/&gt;&lt;wsp:rsid wsp:val=&quot;2CFE66A2&quot;/&gt;&lt;wsp:rsid wsp:val=&quot;2CFF1472&quot;/&gt;&lt;wsp:rsid wsp:val=&quot;2D005746&quot;/&gt;&lt;wsp:rsid wsp:val=&quot;2D012636&quot;/&gt;&lt;wsp:rsid wsp:val=&quot;2D016192&quot;/&gt;&lt;wsp:rsid wsp:val=&quot;2D031F0A&quot;/&gt;&lt;wsp:rsid wsp:val=&quot;2D0363AE&quot;/&gt;&lt;wsp:rsid wsp:val=&quot;2D045C82&quot;/&gt;&lt;wsp:rsid wsp:val=&quot;2D076515&quot;/&gt;&lt;wsp:rsid wsp:val=&quot;2D0839C4&quot;/&gt;&lt;wsp:rsid wsp:val=&quot;2D087520&quot;/&gt;&lt;wsp:rsid wsp:val=&quot;2D095281&quot;/&gt;&lt;wsp:rsid wsp:val=&quot;2D0A3299&quot;/&gt;&lt;wsp:rsid wsp:val=&quot;2D0B0DBF&quot;/&gt;&lt;wsp:rsid wsp:val=&quot;2D0D0FDB&quot;/&gt;&lt;wsp:rsid wsp:val=&quot;2D0D2D89&quot;/&gt;&lt;wsp:rsid wsp:val=&quot;2D0F6B01&quot;/&gt;&lt;wsp:rsid wsp:val=&quot;2D12039F&quot;/&gt;&lt;wsp:rsid wsp:val=&quot;2D12214D&quot;/&gt;&lt;wsp:rsid wsp:val=&quot;2D126B82&quot;/&gt;&lt;wsp:rsid wsp:val=&quot;2D126CD3&quot;/&gt;&lt;wsp:rsid wsp:val=&quot;2D14247A&quot;/&gt;&lt;wsp:rsid wsp:val=&quot;2D145EC5&quot;/&gt;&lt;wsp:rsid wsp:val=&quot;2D173C07&quot;/&gt;&lt;wsp:rsid wsp:val=&quot;2D177764&quot;/&gt;&lt;wsp:rsid wsp:val=&quot;2D1934DC&quot;/&gt;&lt;wsp:rsid wsp:val=&quot;2D197980&quot;/&gt;&lt;wsp:rsid wsp:val=&quot;2D1B36F8&quot;/&gt;&lt;wsp:rsid wsp:val=&quot;2D1B54A6&quot;/&gt;&lt;wsp:rsid wsp:val=&quot;2D1C121E&quot;/&gt;&lt;wsp:rsid wsp:val=&quot;2D1E4F96&quot;/&gt;&lt;wsp:rsid wsp:val=&quot;2D1E6D44&quot;/&gt;&lt;wsp:rsid wsp:val=&quot;2D200D0E&quot;/&gt;&lt;wsp:rsid wsp:val=&quot;2D20215E&quot;/&gt;&lt;wsp:rsid wsp:val=&quot;2D2105E2&quot;/&gt;&lt;wsp:rsid wsp:val=&quot;2D23435A&quot;/&gt;&lt;wsp:rsid wsp:val=&quot;2D2500D2&quot;/&gt;&lt;wsp:rsid wsp:val=&quot;2D265BF9&quot;/&gt;&lt;wsp:rsid wsp:val=&quot;2D2D342B&quot;/&gt;&lt;wsp:rsid wsp:val=&quot;2D314CC9&quot;/&gt;&lt;wsp:rsid wsp:val=&quot;2D3227EF&quot;/&gt;&lt;wsp:rsid wsp:val=&quot;2D3305D4&quot;/&gt;&lt;wsp:rsid wsp:val=&quot;2D3312B2&quot;/&gt;&lt;wsp:rsid wsp:val=&quot;2D347A8C&quot;/&gt;&lt;wsp:rsid wsp:val=&quot;2D35408E&quot;/&gt;&lt;wsp:rsid wsp:val=&quot;2D355E3C&quot;/&gt;&lt;wsp:rsid wsp:val=&quot;2D391DD0&quot;/&gt;&lt;wsp:rsid wsp:val=&quot;2D393B7E&quot;/&gt;&lt;wsp:rsid wsp:val=&quot;2D3A16A4&quot;/&gt;&lt;wsp:rsid wsp:val=&quot;2D3A4195&quot;/&gt;&lt;wsp:rsid wsp:val=&quot;2D3E1194&quot;/&gt;&lt;wsp:rsid wsp:val=&quot;2D3E2F42&quot;/&gt;&lt;wsp:rsid wsp:val=&quot;2D3E73E6&quot;/&gt;&lt;wsp:rsid wsp:val=&quot;2D410C84&quot;/&gt;&lt;wsp:rsid wsp:val=&quot;2D41586D&quot;/&gt;&lt;wsp:rsid wsp:val=&quot;2D426ED6&quot;/&gt;&lt;wsp:rsid wsp:val=&quot;2D430559&quot;/&gt;&lt;wsp:rsid wsp:val=&quot;2D4349FC&quot;/&gt;&lt;wsp:rsid wsp:val=&quot;2D450775&quot;/&gt;&lt;wsp:rsid wsp:val=&quot;2D4542D1&quot;/&gt;&lt;wsp:rsid wsp:val=&quot;2D4744ED&quot;/&gt;&lt;wsp:rsid wsp:val=&quot;2D480265&quot;/&gt;&lt;wsp:rsid wsp:val=&quot;2D4D7629&quot;/&gt;&lt;wsp:rsid wsp:val=&quot;2D4F15F3&quot;/&gt;&lt;wsp:rsid wsp:val=&quot;2D517119&quot;/&gt;&lt;wsp:rsid wsp:val=&quot;2D524C40&quot;/&gt;&lt;wsp:rsid wsp:val=&quot;2D534021&quot;/&gt;&lt;wsp:rsid wsp:val=&quot;2D5409B8&quot;/&gt;&lt;wsp:rsid wsp:val=&quot;2D5655D2&quot;/&gt;&lt;wsp:rsid wsp:val=&quot;2D5704A8&quot;/&gt;&lt;wsp:rsid wsp:val=&quot;2D580E5F&quot;/&gt;&lt;wsp:rsid wsp:val=&quot;2D594220&quot;/&gt;&lt;wsp:rsid wsp:val=&quot;2D597D7C&quot;/&gt;&lt;wsp:rsid wsp:val=&quot;2D5B1D46&quot;/&gt;&lt;wsp:rsid wsp:val=&quot;2D5B77E0&quot;/&gt;&lt;wsp:rsid wsp:val=&quot;2D5D3823&quot;/&gt;&lt;wsp:rsid wsp:val=&quot;2D613652&quot;/&gt;&lt;wsp:rsid wsp:val=&quot;2D616C31&quot;/&gt;&lt;wsp:rsid wsp:val=&quot;2D6648F3&quot;/&gt;&lt;wsp:rsid wsp:val=&quot;2D67693D&quot;/&gt;&lt;wsp:rsid wsp:val=&quot;2D687FBF&quot;/&gt;&lt;wsp:rsid wsp:val=&quot;2D6A3D37&quot;/&gt;&lt;wsp:rsid wsp:val=&quot;2D6C0765&quot;/&gt;&lt;wsp:rsid wsp:val=&quot;2D6C3F53&quot;/&gt;&lt;wsp:rsid wsp:val=&quot;2D6C5D01&quot;/&gt;&lt;wsp:rsid wsp:val=&quot;2D6F57F1&quot;/&gt;&lt;wsp:rsid wsp:val=&quot;2D6F75A0&quot;/&gt;&lt;wsp:rsid wsp:val=&quot;2D71156A&quot;/&gt;&lt;wsp:rsid wsp:val=&quot;2D720E3E&quot;/&gt;&lt;wsp:rsid wsp:val=&quot;2D727090&quot;/&gt;&lt;wsp:rsid wsp:val=&quot;2D7352E2&quot;/&gt;&lt;wsp:rsid wsp:val=&quot;2D742E08&quot;/&gt;&lt;wsp:rsid wsp:val=&quot;2D747BBB&quot;/&gt;&lt;wsp:rsid wsp:val=&quot;2D76092E&quot;/&gt;&lt;wsp:rsid wsp:val=&quot;2D7626DC&quot;/&gt;&lt;wsp:rsid wsp:val=&quot;2D766B80&quot;/&gt;&lt;wsp:rsid wsp:val=&quot;2D7746A6&quot;/&gt;&lt;wsp:rsid wsp:val=&quot;2D784137&quot;/&gt;&lt;wsp:rsid wsp:val=&quot;2D79041E&quot;/&gt;&lt;wsp:rsid wsp:val=&quot;2D7921CC&quot;/&gt;&lt;wsp:rsid wsp:val=&quot;2D7C3A6A&quot;/&gt;&lt;wsp:rsid wsp:val=&quot;2D7D7F0E&quot;/&gt;&lt;wsp:rsid wsp:val=&quot;2D7E3C87&quot;/&gt;&lt;wsp:rsid wsp:val=&quot;2D7E5A35&quot;/&gt;&lt;wsp:rsid wsp:val=&quot;2D7E6DEA&quot;/&gt;&lt;wsp:rsid wsp:val=&quot;2D806BDB&quot;/&gt;&lt;wsp:rsid wsp:val=&quot;2D8079FF&quot;/&gt;&lt;wsp:rsid wsp:val=&quot;2D820DFF&quot;/&gt;&lt;wsp:rsid wsp:val=&quot;2D834DF9&quot;/&gt;&lt;wsp:rsid wsp:val=&quot;2D855015&quot;/&gt;&lt;wsp:rsid wsp:val=&quot;2D856DC3&quot;/&gt;&lt;wsp:rsid wsp:val=&quot;2D8748E9&quot;/&gt;&lt;wsp:rsid wsp:val=&quot;2D8A262B&quot;/&gt;&lt;wsp:rsid wsp:val=&quot;2D8C1F00&quot;/&gt;&lt;wsp:rsid wsp:val=&quot;2D8D03EA&quot;/&gt;&lt;wsp:rsid wsp:val=&quot;2D8D5C78&quot;/&gt;&lt;wsp:rsid wsp:val=&quot;2D8D660E&quot;/&gt;&lt;wsp:rsid wsp:val=&quot;2D8E211C&quot;/&gt;&lt;wsp:rsid wsp:val=&quot;2D8F7C42&quot;/&gt;&lt;wsp:rsid wsp:val=&quot;2D9139BA&quot;/&gt;&lt;wsp:rsid wsp:val=&quot;2D917516&quot;/&gt;&lt;wsp:rsid wsp:val=&quot;2D933910&quot;/&gt;&lt;wsp:rsid wsp:val=&quot;2D937732&quot;/&gt;&lt;wsp:rsid wsp:val=&quot;2D945258&quot;/&gt;&lt;wsp:rsid wsp:val=&quot;2D964B2C&quot;/&gt;&lt;wsp:rsid wsp:val=&quot;2D991937&quot;/&gt;&lt;wsp:rsid wsp:val=&quot;2D99286E&quot;/&gt;&lt;wsp:rsid wsp:val=&quot;2D9B0395&quot;/&gt;&lt;wsp:rsid wsp:val=&quot;2D9B2143&quot;/&gt;&lt;wsp:rsid wsp:val=&quot;2D9B65E7&quot;/&gt;&lt;wsp:rsid wsp:val=&quot;2D9D68F1&quot;/&gt;&lt;wsp:rsid wsp:val=&quot;2D9E0A23&quot;/&gt;&lt;wsp:rsid wsp:val=&quot;2D9E1C33&quot;/&gt;&lt;wsp:rsid wsp:val=&quot;2D9E56F5&quot;/&gt;&lt;wsp:rsid wsp:val=&quot;2DA07759&quot;/&gt;&lt;wsp:rsid wsp:val=&quot;2DA134D1&quot;/&gt;&lt;wsp:rsid wsp:val=&quot;2DA21723&quot;/&gt;&lt;wsp:rsid wsp:val=&quot;2DA60308&quot;/&gt;&lt;wsp:rsid wsp:val=&quot;2DA717C6&quot;/&gt;&lt;wsp:rsid wsp:val=&quot;2DA74F8B&quot;/&gt;&lt;wsp:rsid wsp:val=&quot;2DA75F41&quot;/&gt;&lt;wsp:rsid wsp:val=&quot;2DA76D39&quot;/&gt;&lt;wsp:rsid wsp:val=&quot;2DAA682A&quot;/&gt;&lt;wsp:rsid wsp:val=&quot;2DAD258B&quot;/&gt;&lt;wsp:rsid wsp:val=&quot;2DB01B2B&quot;/&gt;&lt;wsp:rsid wsp:val=&quot;2DB15E0A&quot;/&gt;&lt;wsp:rsid wsp:val=&quot;2DB16695&quot;/&gt;&lt;wsp:rsid wsp:val=&quot;2DB31B82&quot;/&gt;&lt;wsp:rsid wsp:val=&quot;2DB41456&quot;/&gt;&lt;wsp:rsid wsp:val=&quot;2DB476A8&quot;/&gt;&lt;wsp:rsid wsp:val=&quot;2DB51313&quot;/&gt;&lt;wsp:rsid wsp:val=&quot;2DB60A5F&quot;/&gt;&lt;wsp:rsid wsp:val=&quot;2DB66F7C&quot;/&gt;&lt;wsp:rsid wsp:val=&quot;2DB67697&quot;/&gt;&lt;wsp:rsid wsp:val=&quot;2DB72D0B&quot;/&gt;&lt;wsp:rsid wsp:val=&quot;2DB80F46&quot;/&gt;&lt;wsp:rsid wsp:val=&quot;2DB87198&quot;/&gt;&lt;wsp:rsid wsp:val=&quot;2DB9360F&quot;/&gt;&lt;wsp:rsid wsp:val=&quot;2DB96A6D&quot;/&gt;&lt;wsp:rsid wsp:val=&quot;2DBB27E5&quot;/&gt;&lt;wsp:rsid wsp:val=&quot;2DBD50E7&quot;/&gt;&lt;wsp:rsid wsp:val=&quot;2DBE0D2E&quot;/&gt;&lt;wsp:rsid wsp:val=&quot;2DBE22D5&quot;/&gt;&lt;wsp:rsid wsp:val=&quot;2DBE3570&quot;/&gt;&lt;wsp:rsid wsp:val=&quot;2DBE4083&quot;/&gt;&lt;wsp:rsid wsp:val=&quot;2DBF0527&quot;/&gt;&lt;wsp:rsid wsp:val=&quot;2DC01BA9&quot;/&gt;&lt;wsp:rsid wsp:val=&quot;2DC20E96&quot;/&gt;&lt;wsp:rsid wsp:val=&quot;2DC3161E&quot;/&gt;&lt;wsp:rsid wsp:val=&quot;2DC378EB&quot;/&gt;&lt;wsp:rsid wsp:val=&quot;2DC415DB&quot;/&gt;&lt;wsp:rsid wsp:val=&quot;2DC45B3D&quot;/&gt;&lt;wsp:rsid wsp:val=&quot;2DC63113&quot;/&gt;&lt;wsp:rsid wsp:val=&quot;2DC73C58&quot;/&gt;&lt;wsp:rsid wsp:val=&quot;2DC86CB0&quot;/&gt;&lt;wsp:rsid wsp:val=&quot;2DCA2A28&quot;/&gt;&lt;wsp:rsid wsp:val=&quot;2DCD2AB1&quot;/&gt;&lt;wsp:rsid wsp:val=&quot;2DCE2518&quot;/&gt;&lt;wsp:rsid wsp:val=&quot;2DCE784E&quot;/&gt;&lt;wsp:rsid wsp:val=&quot;2DCF0F92&quot;/&gt;&lt;wsp:rsid wsp:val=&quot;2DD218DC&quot;/&gt;&lt;wsp:rsid wsp:val=&quot;2DD22E73&quot;/&gt;&lt;wsp:rsid wsp:val=&quot;2DD7249E&quot;/&gt;&lt;wsp:rsid wsp:val=&quot;2DD815E9&quot;/&gt;&lt;wsp:rsid wsp:val=&quot;2DD83397&quot;/&gt;&lt;wsp:rsid wsp:val=&quot;2DDB2E87&quot;/&gt;&lt;wsp:rsid wsp:val=&quot;2DDB4C35&quot;/&gt;&lt;wsp:rsid wsp:val=&quot;2DDC5E7F&quot;/&gt;&lt;wsp:rsid wsp:val=&quot;2DDD09AD&quot;/&gt;&lt;wsp:rsid wsp:val=&quot;2DDD6BFF&quot;/&gt;&lt;wsp:rsid wsp:val=&quot;2DDE64D3&quot;/&gt;&lt;wsp:rsid wsp:val=&quot;2DDF14E4&quot;/&gt;&lt;wsp:rsid wsp:val=&quot;2DE23A09&quot;/&gt;&lt;wsp:rsid wsp:val=&quot;2DE24215&quot;/&gt;&lt;wsp:rsid wsp:val=&quot;2DE37BA3&quot;/&gt;&lt;wsp:rsid wsp:val=&quot;2DE47157&quot;/&gt;&lt;wsp:rsid wsp:val=&quot;2DE57862&quot;/&gt;&lt;wsp:rsid wsp:val=&quot;2DE7182C&quot;/&gt;&lt;wsp:rsid wsp:val=&quot;2DE735DA&quot;/&gt;&lt;wsp:rsid wsp:val=&quot;2DE8408C&quot;/&gt;&lt;wsp:rsid wsp:val=&quot;2DE955A4&quot;/&gt;&lt;wsp:rsid wsp:val=&quot;2DEA30CA&quot;/&gt;&lt;wsp:rsid wsp:val=&quot;2DEB087C&quot;/&gt;&lt;wsp:rsid wsp:val=&quot;2DEB6A75&quot;/&gt;&lt;wsp:rsid wsp:val=&quot;2DEC0BF0&quot;/&gt;&lt;wsp:rsid wsp:val=&quot;2DEC299E&quot;/&gt;&lt;wsp:rsid wsp:val=&quot;2DEF06E0&quot;/&gt;&lt;wsp:rsid wsp:val=&quot;2DEF248E&quot;/&gt;&lt;wsp:rsid wsp:val=&quot;2DEF3750&quot;/&gt;&lt;wsp:rsid wsp:val=&quot;2DEF6E3B&quot;/&gt;&lt;wsp:rsid wsp:val=&quot;2DF12E9C&quot;/&gt;&lt;wsp:rsid wsp:val=&quot;2DF16206&quot;/&gt;&lt;wsp:rsid wsp:val=&quot;2DF31F7F&quot;/&gt;&lt;wsp:rsid wsp:val=&quot;2DF45CF7&quot;/&gt;&lt;wsp:rsid wsp:val=&quot;2DF53F49&quot;/&gt;&lt;wsp:rsid wsp:val=&quot;2DF730F6&quot;/&gt;&lt;wsp:rsid wsp:val=&quot;2DF83A39&quot;/&gt;&lt;wsp:rsid wsp:val=&quot;2DF87595&quot;/&gt;&lt;wsp:rsid wsp:val=&quot;2DF9688E&quot;/&gt;&lt;wsp:rsid wsp:val=&quot;2DFB52D7&quot;/&gt;&lt;wsp:rsid wsp:val=&quot;2DFC5422&quot;/&gt;&lt;wsp:rsid wsp:val=&quot;2DFD4BAB&quot;/&gt;&lt;wsp:rsid wsp:val=&quot;2DFF1133&quot;/&gt;&lt;wsp:rsid wsp:val=&quot;2E00644A&quot;/&gt;&lt;wsp:rsid wsp:val=&quot;2E020414&quot;/&gt;&lt;wsp:rsid wsp:val=&quot;2E0210B7&quot;/&gt;&lt;wsp:rsid wsp:val=&quot;2E032598&quot;/&gt;&lt;wsp:rsid wsp:val=&quot;2E033B70&quot;/&gt;&lt;wsp:rsid wsp:val=&quot;2E040986&quot;/&gt;&lt;wsp:rsid wsp:val=&quot;2E041312&quot;/&gt;&lt;wsp:rsid wsp:val=&quot;2E045F3A&quot;/&gt;&lt;wsp:rsid wsp:val=&quot;2E0622F6&quot;/&gt;&lt;wsp:rsid wsp:val=&quot;2E0917A2&quot;/&gt;&lt;wsp:rsid wsp:val=&quot;2E0979F4&quot;/&gt;&lt;wsp:rsid wsp:val=&quot;2E0B02C8&quot;/&gt;&lt;wsp:rsid wsp:val=&quot;2E0C1292&quot;/&gt;&lt;wsp:rsid wsp:val=&quot;2E0E0B66&quot;/&gt;&lt;wsp:rsid wsp:val=&quot;2E0E500A&quot;/&gt;&lt;wsp:rsid wsp:val=&quot;2E1168A9&quot;/&gt;&lt;wsp:rsid wsp:val=&quot;2E132621&quot;/&gt;&lt;wsp:rsid wsp:val=&quot;2E13617D&quot;/&gt;&lt;wsp:rsid wsp:val=&quot;2E1476CE&quot;/&gt;&lt;wsp:rsid wsp:val=&quot;2E150147&quot;/&gt;&lt;wsp:rsid wsp:val=&quot;2E1819E5&quot;/&gt;&lt;wsp:rsid wsp:val=&quot;2E1B663D&quot;/&gt;&lt;wsp:rsid wsp:val=&quot;2E1D349F&quot;/&gt;&lt;wsp:rsid wsp:val=&quot;2E1E4B22&quot;/&gt;&lt;wsp:rsid wsp:val=&quot;2E1F0FC6&quot;/&gt;&lt;wsp:rsid wsp:val=&quot;2E1F4A69&quot;/&gt;&lt;wsp:rsid wsp:val=&quot;2E204D3E&quot;/&gt;&lt;wsp:rsid wsp:val=&quot;2E2122D0&quot;/&gt;&lt;wsp:rsid wsp:val=&quot;2E232138&quot;/&gt;&lt;wsp:rsid wsp:val=&quot;2E24038A&quot;/&gt;&lt;wsp:rsid wsp:val=&quot;2E2465DC&quot;/&gt;&lt;wsp:rsid wsp:val=&quot;2E255EB0&quot;/&gt;&lt;wsp:rsid wsp:val=&quot;2E271C28&quot;/&gt;&lt;wsp:rsid wsp:val=&quot;2E2A34C6&quot;/&gt;&lt;wsp:rsid wsp:val=&quot;2E2B796A&quot;/&gt;&lt;wsp:rsid wsp:val=&quot;2E2C723F&quot;/&gt;&lt;wsp:rsid wsp:val=&quot;2E2E026D&quot;/&gt;&lt;wsp:rsid wsp:val=&quot;2E2E2FB7&quot;/&gt;&lt;wsp:rsid wsp:val=&quot;2E2F6D2F&quot;/&gt;&lt;wsp:rsid wsp:val=&quot;2E312AA7&quot;/&gt;&lt;wsp:rsid wsp:val=&quot;2E314855&quot;/&gt;&lt;wsp:rsid wsp:val=&quot;2E344345&quot;/&gt;&lt;wsp:rsid wsp:val=&quot;2E36586F&quot;/&gt;&lt;wsp:rsid wsp:val=&quot;2E36630F&quot;/&gt;&lt;wsp:rsid wsp:val=&quot;2E374561&quot;/&gt;&lt;wsp:rsid wsp:val=&quot;2E383EF0&quot;/&gt;&lt;wsp:rsid wsp:val=&quot;2E395380&quot;/&gt;&lt;wsp:rsid wsp:val=&quot;2E3B3926&quot;/&gt;&lt;wsp:rsid wsp:val=&quot;2E3B56D4&quot;/&gt;&lt;wsp:rsid wsp:val=&quot;2E3B7332&quot;/&gt;&lt;wsp:rsid wsp:val=&quot;2E3C4320&quot;/&gt;&lt;wsp:rsid wsp:val=&quot;2E3D31FA&quot;/&gt;&lt;wsp:rsid wsp:val=&quot;2E3F51C4&quot;/&gt;&lt;wsp:rsid wsp:val=&quot;2E41385B&quot;/&gt;&lt;wsp:rsid wsp:val=&quot;2E41718E&quot;/&gt;&lt;wsp:rsid wsp:val=&quot;2E427D13&quot;/&gt;&lt;wsp:rsid wsp:val=&quot;2E432744&quot;/&gt;&lt;wsp:rsid wsp:val=&quot;2E440A2C&quot;/&gt;&lt;wsp:rsid wsp:val=&quot;2E450300&quot;/&gt;&lt;wsp:rsid wsp:val=&quot;2E467984&quot;/&gt;&lt;wsp:rsid wsp:val=&quot;2E4722CA&quot;/&gt;&lt;wsp:rsid wsp:val=&quot;2E4B1DBB&quot;/&gt;&lt;wsp:rsid wsp:val=&quot;2E4B2DD8&quot;/&gt;&lt;wsp:rsid wsp:val=&quot;2E4B3B69&quot;/&gt;&lt;wsp:rsid wsp:val=&quot;2E4C5B33&quot;/&gt;&lt;wsp:rsid wsp:val=&quot;2E5073D1&quot;/&gt;&lt;wsp:rsid wsp:val=&quot;2E530AF8&quot;/&gt;&lt;wsp:rsid wsp:val=&quot;2E56250D&quot;/&gt;&lt;wsp:rsid wsp:val=&quot;2E580034&quot;/&gt;&lt;wsp:rsid wsp:val=&quot;2E5844D8&quot;/&gt;&lt;wsp:rsid wsp:val=&quot;2E586286&quot;/&gt;&lt;wsp:rsid wsp:val=&quot;2E5A0250&quot;/&gt;&lt;wsp:rsid wsp:val=&quot;2E5A1FFE&quot;/&gt;&lt;wsp:rsid wsp:val=&quot;2E5D734C&quot;/&gt;&lt;wsp:rsid wsp:val=&quot;2E5F03D1&quot;/&gt;&lt;wsp:rsid wsp:val=&quot;2E6115DE&quot;/&gt;&lt;wsp:rsid wsp:val=&quot;2E61338C&quot;/&gt;&lt;wsp:rsid wsp:val=&quot;2E620EB2&quot;/&gt;&lt;wsp:rsid wsp:val=&quot;2E625356&quot;/&gt;&lt;wsp:rsid wsp:val=&quot;2E627104&quot;/&gt;&lt;wsp:rsid wsp:val=&quot;2E637A64&quot;/&gt;&lt;wsp:rsid wsp:val=&quot;2E642E7C&quot;/&gt;&lt;wsp:rsid wsp:val=&quot;2E667F96&quot;/&gt;&lt;wsp:rsid wsp:val=&quot;2E67296D&quot;/&gt;&lt;wsp:rsid wsp:val=&quot;2E67471B&quot;/&gt;&lt;wsp:rsid wsp:val=&quot;2E693FEF&quot;/&gt;&lt;wsp:rsid wsp:val=&quot;2E6D4270&quot;/&gt;&lt;wsp:rsid wsp:val=&quot;2E702BF1&quot;/&gt;&lt;wsp:rsid wsp:val=&quot;2E7035CF&quot;/&gt;&lt;wsp:rsid wsp:val=&quot;2E717347&quot;/&gt;&lt;wsp:rsid wsp:val=&quot;2E725599&quot;/&gt;&lt;wsp:rsid wsp:val=&quot;2E7330BF&quot;/&gt;&lt;wsp:rsid wsp:val=&quot;2E741572&quot;/&gt;&lt;wsp:rsid wsp:val=&quot;2E742A02&quot;/&gt;&lt;wsp:rsid wsp:val=&quot;2E755089&quot;/&gt;&lt;wsp:rsid wsp:val=&quot;2E756E38&quot;/&gt;&lt;wsp:rsid wsp:val=&quot;2E772BB0&quot;/&gt;&lt;wsp:rsid wsp:val=&quot;2E792950&quot;/&gt;&lt;wsp:rsid wsp:val=&quot;2E7A26A0&quot;/&gt;&lt;wsp:rsid wsp:val=&quot;2E7B3D22&quot;/&gt;&lt;wsp:rsid wsp:val=&quot;2E7D3F3E&quot;/&gt;&lt;wsp:rsid wsp:val=&quot;2E7F25F4&quot;/&gt;&lt;wsp:rsid wsp:val=&quot;2E7F6685&quot;/&gt;&lt;wsp:rsid wsp:val=&quot;2E7F7D69&quot;/&gt;&lt;wsp:rsid wsp:val=&quot;2E804A02&quot;/&gt;&lt;wsp:rsid wsp:val=&quot;2E81758A&quot;/&gt;&lt;wsp:rsid wsp:val=&quot;2E821554&quot;/&gt;&lt;wsp:rsid wsp:val=&quot;2E8226AB&quot;/&gt;&lt;wsp:rsid wsp:val=&quot;2E823302&quot;/&gt;&lt;wsp:rsid wsp:val=&quot;2E840E29&quot;/&gt;&lt;wsp:rsid wsp:val=&quot;2E8928E3&quot;/&gt;&lt;wsp:rsid wsp:val=&quot;2E894691&quot;/&gt;&lt;wsp:rsid wsp:val=&quot;2E8B21B7&quot;/&gt;&lt;wsp:rsid wsp:val=&quot;2E8B665B&quot;/&gt;&lt;wsp:rsid wsp:val=&quot;2E8B77F8&quot;/&gt;&lt;wsp:rsid wsp:val=&quot;2E8C5F2F&quot;/&gt;&lt;wsp:rsid wsp:val=&quot;2E8D23D3&quot;/&gt;&lt;wsp:rsid wsp:val=&quot;2E8E0627&quot;/&gt;&lt;wsp:rsid wsp:val=&quot;2E8E1CA7&quot;/&gt;&lt;wsp:rsid wsp:val=&quot;2E903C71&quot;/&gt;&lt;wsp:rsid wsp:val=&quot;2E905510&quot;/&gt;&lt;wsp:rsid wsp:val=&quot;2E9077CD&quot;/&gt;&lt;wsp:rsid wsp:val=&quot;2E913546&quot;/&gt;&lt;wsp:rsid wsp:val=&quot;2E91369D&quot;/&gt;&lt;wsp:rsid wsp:val=&quot;2E9141EB&quot;/&gt;&lt;wsp:rsid wsp:val=&quot;2E921798&quot;/&gt;&lt;wsp:rsid wsp:val=&quot;2E933762&quot;/&gt;&lt;wsp:rsid wsp:val=&quot;2E935510&quot;/&gt;&lt;wsp:rsid wsp:val=&quot;2E951288&quot;/&gt;&lt;wsp:rsid wsp:val=&quot;2E954DE4&quot;/&gt;&lt;wsp:rsid wsp:val=&quot;2E9574DA&quot;/&gt;&lt;wsp:rsid wsp:val=&quot;2E975000&quot;/&gt;&lt;wsp:rsid wsp:val=&quot;2E976DAE&quot;/&gt;&lt;wsp:rsid wsp:val=&quot;2E982B26&quot;/&gt;&lt;wsp:rsid wsp:val=&quot;2E99698C&quot;/&gt;&lt;wsp:rsid wsp:val=&quot;2E9A4AF0&quot;/&gt;&lt;wsp:rsid wsp:val=&quot;2E9A689E&quot;/&gt;&lt;wsp:rsid wsp:val=&quot;2E9B6172&quot;/&gt;&lt;wsp:rsid wsp:val=&quot;2E9C077D&quot;/&gt;&lt;wsp:rsid wsp:val=&quot;2EA119DB&quot;/&gt;&lt;wsp:rsid wsp:val=&quot;2EA15E7F&quot;/&gt;&lt;wsp:rsid wsp:val=&quot;2EA25753&quot;/&gt;&lt;wsp:rsid wsp:val=&quot;2EA27501&quot;/&gt;&lt;wsp:rsid wsp:val=&quot;2EA339A5&quot;/&gt;&lt;wsp:rsid wsp:val=&quot;2EA35ACD&quot;/&gt;&lt;wsp:rsid wsp:val=&quot;2EA67CB0&quot;/&gt;&lt;wsp:rsid wsp:val=&quot;2EA72D69&quot;/&gt;&lt;wsp:rsid wsp:val=&quot;2EA80FBB&quot;/&gt;&lt;wsp:rsid wsp:val=&quot;2EA901B0&quot;/&gt;&lt;wsp:rsid wsp:val=&quot;2EA94D33&quot;/&gt;&lt;wsp:rsid wsp:val=&quot;2EAB4607&quot;/&gt;&lt;wsp:rsid wsp:val=&quot;2EAE074D&quot;/&gt;&lt;wsp:rsid wsp:val=&quot;2EB07E70&quot;/&gt;&lt;wsp:rsid wsp:val=&quot;2EB15996&quot;/&gt;&lt;wsp:rsid wsp:val=&quot;2EB21E3A&quot;/&gt;&lt;wsp:rsid wsp:val=&quot;2EB23BE8&quot;/&gt;&lt;wsp:rsid wsp:val=&quot;2EB37960&quot;/&gt;&lt;wsp:rsid wsp:val=&quot;2EB57234&quot;/&gt;&lt;wsp:rsid wsp:val=&quot;2EB77450&quot;/&gt;&lt;wsp:rsid wsp:val=&quot;2EB813E6&quot;/&gt;&lt;wsp:rsid wsp:val=&quot;2EB86D24&quot;/&gt;&lt;wsp:rsid wsp:val=&quot;2EBA1135&quot;/&gt;&lt;wsp:rsid wsp:val=&quot;2EBA484A&quot;/&gt;&lt;wsp:rsid wsp:val=&quot;2EBC05C2&quot;/&gt;&lt;wsp:rsid wsp:val=&quot;2EBC4A66&quot;/&gt;&lt;wsp:rsid wsp:val=&quot;2EBE0643&quot;/&gt;&lt;wsp:rsid wsp:val=&quot;2EBE1C67&quot;/&gt;&lt;wsp:rsid wsp:val=&quot;2EBE2687&quot;/&gt;&lt;wsp:rsid wsp:val=&quot;2EBE493E&quot;/&gt;&lt;wsp:rsid wsp:val=&quot;2EC041FE&quot;/&gt;&lt;wsp:rsid wsp:val=&quot;2EC13E2B&quot;/&gt;&lt;wsp:rsid wsp:val=&quot;2EC14B6F&quot;/&gt;&lt;wsp:rsid wsp:val=&quot;2EC15BD9&quot;/&gt;&lt;wsp:rsid wsp:val=&quot;2EC1611A&quot;/&gt;&lt;wsp:rsid wsp:val=&quot;2EC21951&quot;/&gt;&lt;wsp:rsid wsp:val=&quot;2EC35DF5&quot;/&gt;&lt;wsp:rsid wsp:val=&quot;2EC41B6D&quot;/&gt;&lt;wsp:rsid wsp:val=&quot;2EC456C9&quot;/&gt;&lt;wsp:rsid wsp:val=&quot;2EC76F67&quot;/&gt;&lt;wsp:rsid wsp:val=&quot;2EC8340B&quot;/&gt;&lt;wsp:rsid wsp:val=&quot;2EC90F31&quot;/&gt;&lt;wsp:rsid wsp:val=&quot;2EC9236B&quot;/&gt;&lt;wsp:rsid wsp:val=&quot;2EC92CDF&quot;/&gt;&lt;wsp:rsid wsp:val=&quot;2ECB6480&quot;/&gt;&lt;wsp:rsid wsp:val=&quot;2ECB6A58&quot;/&gt;&lt;wsp:rsid wsp:val=&quot;2ECD6C74&quot;/&gt;&lt;wsp:rsid wsp:val=&quot;2ECE217C&quot;/&gt;&lt;wsp:rsid wsp:val=&quot;2ECE6548&quot;/&gt;&lt;wsp:rsid wsp:val=&quot;2ECF4A9C&quot;/&gt;&lt;wsp:rsid wsp:val=&quot;2ED00512&quot;/&gt;&lt;wsp:rsid wsp:val=&quot;2ED022C0&quot;/&gt;&lt;wsp:rsid wsp:val=&quot;2ED2428A&quot;/&gt;&lt;wsp:rsid wsp:val=&quot;2ED27DE6&quot;/&gt;&lt;wsp:rsid wsp:val=&quot;2ED3590C&quot;/&gt;&lt;wsp:rsid wsp:val=&quot;2ED50AD1&quot;/&gt;&lt;wsp:rsid wsp:val=&quot;2ED55B28&quot;/&gt;&lt;wsp:rsid wsp:val=&quot;2ED578D6&quot;/&gt;&lt;wsp:rsid wsp:val=&quot;2EDB6DBC&quot;/&gt;&lt;wsp:rsid wsp:val=&quot;2EDE1FC9&quot;/&gt;&lt;wsp:rsid wsp:val=&quot;2EDF0755&quot;/&gt;&lt;wsp:rsid wsp:val=&quot;2EDF19C0&quot;/&gt;&lt;wsp:rsid wsp:val=&quot;2EDF2503&quot;/&gt;&lt;wsp:rsid wsp:val=&quot;2EDF4591&quot;/&gt;&lt;wsp:rsid wsp:val=&quot;2EE06AF8&quot;/&gt;&lt;wsp:rsid wsp:val=&quot;2EE24216&quot;/&gt;&lt;wsp:rsid wsp:val=&quot;2EE47B19&quot;/&gt;&lt;wsp:rsid wsp:val=&quot;2EE6563F&quot;/&gt;&lt;wsp:rsid wsp:val=&quot;2EE67D35&quot;/&gt;&lt;wsp:rsid wsp:val=&quot;2EE713B8&quot;/&gt;&lt;wsp:rsid wsp:val=&quot;2EE8585B&quot;/&gt;&lt;wsp:rsid wsp:val=&quot;2EEA0214&quot;/&gt;&lt;wsp:rsid wsp:val=&quot;2EEA15D4&quot;/&gt;&lt;wsp:rsid wsp:val=&quot;2EEA16A4&quot;/&gt;&lt;wsp:rsid wsp:val=&quot;2EEB70FA&quot;/&gt;&lt;wsp:rsid wsp:val=&quot;2EED10C4&quot;/&gt;&lt;wsp:rsid wsp:val=&quot;2EED4C20&quot;/&gt;&lt;wsp:rsid wsp:val=&quot;2EEE1637&quot;/&gt;&lt;wsp:rsid wsp:val=&quot;2EEF4086&quot;/&gt;&lt;wsp:rsid wsp:val=&quot;2EF02962&quot;/&gt;&lt;wsp:rsid wsp:val=&quot;2EF04710&quot;/&gt;&lt;wsp:rsid wsp:val=&quot;2EF266DA&quot;/&gt;&lt;wsp:rsid wsp:val=&quot;2EF46CED&quot;/&gt;&lt;wsp:rsid wsp:val=&quot;2EF51D26&quot;/&gt;&lt;wsp:rsid wsp:val=&quot;2EF523B2&quot;/&gt;&lt;wsp:rsid wsp:val=&quot;2EF57F78&quot;/&gt;&lt;wsp:rsid wsp:val=&quot;2EF7784D&quot;/&gt;&lt;wsp:rsid wsp:val=&quot;2EFC1307&quot;/&gt;&lt;wsp:rsid wsp:val=&quot;2EFC30B5&quot;/&gt;&lt;wsp:rsid wsp:val=&quot;2EFC4E63&quot;/&gt;&lt;wsp:rsid wsp:val=&quot;2EFD4110&quot;/&gt;&lt;wsp:rsid wsp:val=&quot;2EFE0BDB&quot;/&gt;&lt;wsp:rsid wsp:val=&quot;2EFE6E2D&quot;/&gt;&lt;wsp:rsid wsp:val=&quot;2EFF4953&quot;/&gt;&lt;wsp:rsid wsp:val=&quot;2EFF6701&quot;/&gt;&lt;wsp:rsid wsp:val=&quot;2F000DF7&quot;/&gt;&lt;wsp:rsid wsp:val=&quot;2F002D93&quot;/&gt;&lt;wsp:rsid wsp:val=&quot;2F005A0D&quot;/&gt;&lt;wsp:rsid wsp:val=&quot;2F01691D&quot;/&gt;&lt;wsp:rsid wsp:val=&quot;2F030FE4&quot;/&gt;&lt;wsp:rsid wsp:val=&quot;2F032695&quot;/&gt;&lt;wsp:rsid wsp:val=&quot;2F034443&quot;/&gt;&lt;wsp:rsid wsp:val=&quot;2F081A5A&quot;/&gt;&lt;wsp:rsid wsp:val=&quot;2F087CAC&quot;/&gt;&lt;wsp:rsid wsp:val=&quot;2F0A0C8E&quot;/&gt;&lt;wsp:rsid wsp:val=&quot;2F0A1147&quot;/&gt;&lt;wsp:rsid wsp:val=&quot;2F0A60BD&quot;/&gt;&lt;wsp:rsid wsp:val=&quot;2F0B32F8&quot;/&gt;&lt;wsp:rsid wsp:val=&quot;2F0B67A3&quot;/&gt;&lt;wsp:rsid wsp:val=&quot;2F0E760F&quot;/&gt;&lt;wsp:rsid wsp:val=&quot;2F1321AD&quot;/&gt;&lt;wsp:rsid wsp:val=&quot;2F1403FE&quot;/&gt;&lt;wsp:rsid wsp:val=&quot;2F146650&quot;/&gt;&lt;wsp:rsid wsp:val=&quot;2F154177&quot;/&gt;&lt;wsp:rsid wsp:val=&quot;2F171C9D&quot;/&gt;&lt;wsp:rsid wsp:val=&quot;2F181B51&quot;/&gt;&lt;wsp:rsid wsp:val=&quot;2F186C3C&quot;/&gt;&lt;wsp:rsid wsp:val=&quot;2F1877C3&quot;/&gt;&lt;wsp:rsid wsp:val=&quot;2F195A15&quot;/&gt;&lt;wsp:rsid wsp:val=&quot;2F1A0783&quot;/&gt;&lt;wsp:rsid wsp:val=&quot;2F1C3757&quot;/&gt;&lt;wsp:rsid wsp:val=&quot;2F1C72B3&quot;/&gt;&lt;wsp:rsid wsp:val=&quot;2F1D4533&quot;/&gt;&lt;wsp:rsid wsp:val=&quot;2F1E302B&quot;/&gt;&lt;wsp:rsid wsp:val=&quot;2F1E74CF&quot;/&gt;&lt;wsp:rsid wsp:val=&quot;2F210D6D&quot;/&gt;&lt;wsp:rsid wsp:val=&quot;2F2318FC&quot;/&gt;&lt;wsp:rsid wsp:val=&quot;2F25260C&quot;/&gt;&lt;wsp:rsid wsp:val=&quot;2F266384&quot;/&gt;&lt;wsp:rsid wsp:val=&quot;2F2732C1&quot;/&gt;&lt;wsp:rsid wsp:val=&quot;2F2B399A&quot;/&gt;&lt;wsp:rsid wsp:val=&quot;2F2B74F6&quot;/&gt;&lt;wsp:rsid wsp:val=&quot;2F2C2940&quot;/&gt;&lt;wsp:rsid wsp:val=&quot;2F2D28E7&quot;/&gt;&lt;wsp:rsid wsp:val=&quot;2F2D326E&quot;/&gt;&lt;wsp:rsid wsp:val=&quot;2F2F5238&quot;/&gt;&lt;wsp:rsid wsp:val=&quot;2F320885&quot;/&gt;&lt;wsp:rsid wsp:val=&quot;2F337E9A&quot;/&gt;&lt;wsp:rsid wsp:val=&quot;2F3445FD&quot;/&gt;&lt;wsp:rsid wsp:val=&quot;2F37233F&quot;/&gt;&lt;wsp:rsid wsp:val=&quot;2F3825F9&quot;/&gt;&lt;wsp:rsid wsp:val=&quot;2F382935&quot;/&gt;&lt;wsp:rsid wsp:val=&quot;2F391C13&quot;/&gt;&lt;wsp:rsid wsp:val=&quot;2F39218E&quot;/&gt;&lt;wsp:rsid wsp:val=&quot;2F3960B7&quot;/&gt;&lt;wsp:rsid wsp:val=&quot;2F3A5E9B&quot;/&gt;&lt;wsp:rsid wsp:val=&quot;2F3B7ABC&quot;/&gt;&lt;wsp:rsid wsp:val=&quot;2F3C1703&quot;/&gt;&lt;wsp:rsid wsp:val=&quot;2F3C5BA7&quot;/&gt;&lt;wsp:rsid wsp:val=&quot;2F3D15F2&quot;/&gt;&lt;wsp:rsid wsp:val=&quot;2F416BFE&quot;/&gt;&lt;wsp:rsid wsp:val=&quot;2F4405B8&quot;/&gt;&lt;wsp:rsid wsp:val=&quot;2F4528CB&quot;/&gt;&lt;wsp:rsid wsp:val=&quot;2F454A5C&quot;/&gt;&lt;wsp:rsid wsp:val=&quot;2F462582&quot;/&gt;&lt;wsp:rsid wsp:val=&quot;2F4772C6&quot;/&gt;&lt;wsp:rsid wsp:val=&quot;2F4862FA&quot;/&gt;&lt;wsp:rsid wsp:val=&quot;2F49593D&quot;/&gt;&lt;wsp:rsid wsp:val=&quot;2F4A2072&quot;/&gt;&lt;wsp:rsid wsp:val=&quot;2F4C5E70&quot;/&gt;&lt;wsp:rsid wsp:val=&quot;2F4D1B62&quot;/&gt;&lt;wsp:rsid wsp:val=&quot;2F4D5775&quot;/&gt;&lt;wsp:rsid wsp:val=&quot;2F4E5C64&quot;/&gt;&lt;wsp:rsid wsp:val=&quot;2F4F58DB&quot;/&gt;&lt;wsp:rsid wsp:val=&quot;2F502541&quot;/&gt;&lt;wsp:rsid wsp:val=&quot;2F511653&quot;/&gt;&lt;wsp:rsid wsp:val=&quot;2F522CD5&quot;/&gt;&lt;wsp:rsid wsp:val=&quot;2F566C69&quot;/&gt;&lt;wsp:rsid wsp:val=&quot;2F5729E1&quot;/&gt;&lt;wsp:rsid wsp:val=&quot;2F580725&quot;/&gt;&lt;wsp:rsid wsp:val=&quot;2F591BB5&quot;/&gt;&lt;wsp:rsid wsp:val=&quot;2F5922B5&quot;/&gt;&lt;wsp:rsid wsp:val=&quot;2F594063&quot;/&gt;&lt;wsp:rsid wsp:val=&quot;2F5971AC&quot;/&gt;&lt;wsp:rsid wsp:val=&quot;2F5A3045&quot;/&gt;&lt;wsp:rsid wsp:val=&quot;2F5B35AF&quot;/&gt;&lt;wsp:rsid wsp:val=&quot;2F5C3B54&quot;/&gt;&lt;wsp:rsid wsp:val=&quot;2F5D19C6&quot;/&gt;&lt;wsp:rsid wsp:val=&quot;2F5E78CC&quot;/&gt;&lt;wsp:rsid wsp:val=&quot;2F600347&quot;/&gt;&lt;wsp:rsid wsp:val=&quot;2F601896&quot;/&gt;&lt;wsp:rsid wsp:val=&quot;2F603644&quot;/&gt;&lt;wsp:rsid wsp:val=&quot;2F6243A8&quot;/&gt;&lt;wsp:rsid wsp:val=&quot;2F67051F&quot;/&gt;&lt;wsp:rsid wsp:val=&quot;2F67112F&quot;/&gt;&lt;wsp:rsid wsp:val=&quot;2F672A78&quot;/&gt;&lt;wsp:rsid wsp:val=&quot;2F6824F8&quot;/&gt;&lt;wsp:rsid wsp:val=&quot;2F6964B6&quot;/&gt;&lt;wsp:rsid wsp:val=&quot;2F696CB2&quot;/&gt;&lt;wsp:rsid wsp:val=&quot;2F6A44C2&quot;/&gt;&lt;wsp:rsid wsp:val=&quot;2F6B3D97&quot;/&gt;&lt;wsp:rsid wsp:val=&quot;2F6B59C3&quot;/&gt;&lt;wsp:rsid wsp:val=&quot;2F6C023B&quot;/&gt;&lt;wsp:rsid wsp:val=&quot;2F6D7B0F&quot;/&gt;&lt;wsp:rsid wsp:val=&quot;2F6E6D7E&quot;/&gt;&lt;wsp:rsid wsp:val=&quot;2F6F3887&quot;/&gt;&lt;wsp:rsid wsp:val=&quot;2F7075FF&quot;/&gt;&lt;wsp:rsid wsp:val=&quot;2F715851&quot;/&gt;&lt;wsp:rsid wsp:val=&quot;2F745341&quot;/&gt;&lt;wsp:rsid wsp:val=&quot;2F747421&quot;/&gt;&lt;wsp:rsid wsp:val=&quot;2F77098D&quot;/&gt;&lt;wsp:rsid wsp:val=&quot;2F7739FD&quot;/&gt;&lt;wsp:rsid wsp:val=&quot;2F7852FC&quot;/&gt;&lt;wsp:rsid wsp:val=&quot;2F79399B&quot;/&gt;&lt;wsp:rsid wsp:val=&quot;2F7A1A4C&quot;/&gt;&lt;wsp:rsid wsp:val=&quot;2F7B222C&quot;/&gt;&lt;wsp:rsid wsp:val=&quot;2F7C226F&quot;/&gt;&lt;wsp:rsid wsp:val=&quot;2F7E1D1C&quot;/&gt;&lt;wsp:rsid wsp:val=&quot;2F7E7F6E&quot;/&gt;&lt;wsp:rsid wsp:val=&quot;2F803CE6&quot;/&gt;&lt;wsp:rsid wsp:val=&quot;2F805A94&quot;/&gt;&lt;wsp:rsid wsp:val=&quot;2F814DA1&quot;/&gt;&lt;wsp:rsid wsp:val=&quot;2F8310E0&quot;/&gt;&lt;wsp:rsid wsp:val=&quot;2F8337D6&quot;/&gt;&lt;wsp:rsid wsp:val=&quot;2F833C5E&quot;/&gt;&lt;wsp:rsid wsp:val=&quot;2F8512FC&quot;/&gt;&lt;wsp:rsid wsp:val=&quot;2F860BD0&quot;/&gt;&lt;wsp:rsid wsp:val=&quot;2F875074&quot;/&gt;&lt;wsp:rsid wsp:val=&quot;2F882B9B&quot;/&gt;&lt;wsp:rsid wsp:val=&quot;2F8A35B4&quot;/&gt;&lt;wsp:rsid wsp:val=&quot;2F8A6913&quot;/&gt;&lt;wsp:rsid wsp:val=&quot;2F8D6403&quot;/&gt;&lt;wsp:rsid wsp:val=&quot;2F8E04F5&quot;/&gt;&lt;wsp:rsid wsp:val=&quot;2F8F5CD7&quot;/&gt;&lt;wsp:rsid wsp:val=&quot;2F8F63FC&quot;/&gt;&lt;wsp:rsid wsp:val=&quot;2F911A4F&quot;/&gt;&lt;wsp:rsid wsp:val=&quot;2F923A19&quot;/&gt;&lt;wsp:rsid wsp:val=&quot;2F927575&quot;/&gt;&lt;wsp:rsid wsp:val=&quot;2F947791&quot;/&gt;&lt;wsp:rsid wsp:val=&quot;2F963509&quot;/&gt;&lt;wsp:rsid wsp:val=&quot;2F967065&quot;/&gt;&lt;wsp:rsid wsp:val=&quot;2F997048&quot;/&gt;&lt;wsp:rsid wsp:val=&quot;2F9B467C&quot;/&gt;&lt;wsp:rsid wsp:val=&quot;2F9C03F4&quot;/&gt;&lt;wsp:rsid wsp:val=&quot;2F9E5F1A&quot;/&gt;&lt;wsp:rsid wsp:val=&quot;2FA01C92&quot;/&gt;&lt;wsp:rsid wsp:val=&quot;2FA23C5C&quot;/&gt;&lt;wsp:rsid wsp:val=&quot;2FA31782&quot;/&gt;&lt;wsp:rsid wsp:val=&quot;2FA4299B&quot;/&gt;&lt;wsp:rsid wsp:val=&quot;2FA501BC&quot;/&gt;&lt;wsp:rsid wsp:val=&quot;2FA54233&quot;/&gt;&lt;wsp:rsid wsp:val=&quot;2FA774C5&quot;/&gt;&lt;wsp:rsid wsp:val=&quot;2FAA0D63&quot;/&gt;&lt;wsp:rsid wsp:val=&quot;2FAA2B11&quot;/&gt;&lt;wsp:rsid wsp:val=&quot;2FAC6889&quot;/&gt;&lt;wsp:rsid wsp:val=&quot;2FAD0853&quot;/&gt;&lt;wsp:rsid wsp:val=&quot;2FAD2601&quot;/&gt;&lt;wsp:rsid wsp:val=&quot;2FAF45CB&quot;/&gt;&lt;wsp:rsid wsp:val=&quot;2FB13E9F&quot;/&gt;&lt;wsp:rsid wsp:val=&quot;2FB43990&quot;/&gt;&lt;wsp:rsid wsp:val=&quot;2FB4573E&quot;/&gt;&lt;wsp:rsid wsp:val=&quot;2FB614B6&quot;/&gt;&lt;wsp:rsid wsp:val=&quot;2FB63264&quot;/&gt;&lt;wsp:rsid wsp:val=&quot;2FB714D1&quot;/&gt;&lt;wsp:rsid wsp:val=&quot;2FB92D54&quot;/&gt;&lt;wsp:rsid wsp:val=&quot;2FBA3D21&quot;/&gt;&lt;wsp:rsid wsp:val=&quot;2FBB2F70&quot;/&gt;&lt;wsp:rsid wsp:val=&quot;2FC5794B&quot;/&gt;&lt;wsp:rsid wsp:val=&quot;2FC60D0F&quot;/&gt;&lt;wsp:rsid wsp:val=&quot;2FC70985&quot;/&gt;&lt;wsp:rsid wsp:val=&quot;2FC75471&quot;/&gt;&lt;wsp:rsid wsp:val=&quot;2FC81EC3&quot;/&gt;&lt;wsp:rsid wsp:val=&quot;2FC9658A&quot;/&gt;&lt;wsp:rsid wsp:val=&quot;2FC96724&quot;/&gt;&lt;wsp:rsid wsp:val=&quot;2FCA6D0F&quot;/&gt;&lt;wsp:rsid wsp:val=&quot;2FCB7306&quot;/&gt;&lt;wsp:rsid wsp:val=&quot;2FCC6F2B&quot;/&gt;&lt;wsp:rsid wsp:val=&quot;2FCD1ED3&quot;/&gt;&lt;wsp:rsid wsp:val=&quot;2FCD67FF&quot;/&gt;&lt;wsp:rsid wsp:val=&quot;2FD065E6&quot;/&gt;&lt;wsp:rsid wsp:val=&quot;2FD211B5&quot;/&gt;&lt;wsp:rsid wsp:val=&quot;2FD32E80&quot;/&gt;&lt;wsp:rsid wsp:val=&quot;2FD45DE0&quot;/&gt;&lt;wsp:rsid wsp:val=&quot;2FD47B8E&quot;/&gt;&lt;wsp:rsid wsp:val=&quot;2FD7142C&quot;/&gt;&lt;wsp:rsid wsp:val=&quot;2FD77070&quot;/&gt;&lt;wsp:rsid wsp:val=&quot;2FD8190A&quot;/&gt;&lt;wsp:rsid wsp:val=&quot;2FD951A4&quot;/&gt;&lt;wsp:rsid wsp:val=&quot;2FD96870&quot;/&gt;&lt;wsp:rsid wsp:val=&quot;2FDF5AD0&quot;/&gt;&lt;wsp:rsid wsp:val=&quot;2FDF6E49&quot;/&gt;&lt;wsp:rsid wsp:val=&quot;2FE0009C&quot;/&gt;&lt;wsp:rsid wsp:val=&quot;2FE2558D&quot;/&gt;&lt;wsp:rsid wsp:val=&quot;2FE36023&quot;/&gt;&lt;wsp:rsid wsp:val=&quot;2FE43D81&quot;/&gt;&lt;wsp:rsid wsp:val=&quot;2FE47EAD&quot;/&gt;&lt;wsp:rsid wsp:val=&quot;2FE523C9&quot;/&gt;&lt;wsp:rsid wsp:val=&quot;2FE64BD8&quot;/&gt;&lt;wsp:rsid wsp:val=&quot;2FE7539E&quot;/&gt;&lt;wsp:rsid wsp:val=&quot;2FE75B13&quot;/&gt;&lt;wsp:rsid wsp:val=&quot;2FE778C1&quot;/&gt;&lt;wsp:rsid wsp:val=&quot;2FEA115F&quot;/&gt;&lt;wsp:rsid wsp:val=&quot;2FEA5603&quot;/&gt;&lt;wsp:rsid wsp:val=&quot;2FEA73B1&quot;/&gt;&lt;wsp:rsid wsp:val=&quot;2FEB51AF&quot;/&gt;&lt;wsp:rsid wsp:val=&quot;2FEB5CCB&quot;/&gt;&lt;wsp:rsid wsp:val=&quot;2FEC073B&quot;/&gt;&lt;wsp:rsid wsp:val=&quot;2FEE50F3&quot;/&gt;&lt;wsp:rsid wsp:val=&quot;2FEE6EA1&quot;/&gt;&lt;wsp:rsid wsp:val=&quot;2FEF1830&quot;/&gt;&lt;wsp:rsid wsp:val=&quot;2FEF49C8&quot;/&gt;&lt;wsp:rsid wsp:val=&quot;2FEF6701&quot;/&gt;&lt;wsp:rsid wsp:val=&quot;2FF10740&quot;/&gt;&lt;wsp:rsid wsp:val=&quot;2FF278D5&quot;/&gt;&lt;wsp:rsid wsp:val=&quot;2FF41FDE&quot;/&gt;&lt;wsp:rsid wsp:val=&quot;2FF5347D&quot;/&gt;&lt;wsp:rsid wsp:val=&quot;2FF7387C&quot;/&gt;&lt;wsp:rsid wsp:val=&quot;2FFA3A98&quot;/&gt;&lt;wsp:rsid wsp:val=&quot;2FFD70E5&quot;/&gt;&lt;wsp:rsid wsp:val=&quot;2FFE62F9&quot;/&gt;&lt;wsp:rsid wsp:val=&quot;3002294D&quot;/&gt;&lt;wsp:rsid wsp:val=&quot;30047496&quot;/&gt;&lt;wsp:rsid wsp:val=&quot;300541EB&quot;/&gt;&lt;wsp:rsid wsp:val=&quot;30087370&quot;/&gt;&lt;wsp:rsid wsp:val=&quot;30093CDB&quot;/&gt;&lt;wsp:rsid wsp:val=&quot;300968A8&quot;/&gt;&lt;wsp:rsid wsp:val=&quot;300A3D8C&quot;/&gt;&lt;wsp:rsid wsp:val=&quot;300C557A&quot;/&gt;&lt;wsp:rsid wsp:val=&quot;300C7328&quot;/&gt;&lt;wsp:rsid wsp:val=&quot;300D4E4E&quot;/&gt;&lt;wsp:rsid wsp:val=&quot;300F6E18&quot;/&gt;&lt;wsp:rsid wsp:val=&quot;3012466B&quot;/&gt;&lt;wsp:rsid wsp:val=&quot;301306B6&quot;/&gt;&lt;wsp:rsid wsp:val=&quot;30134B5A&quot;/&gt;&lt;wsp:rsid wsp:val=&quot;301663F8&quot;/&gt;&lt;wsp:rsid wsp:val=&quot;301745ED&quot;/&gt;&lt;wsp:rsid wsp:val=&quot;30180806&quot;/&gt;&lt;wsp:rsid wsp:val=&quot;30182170&quot;/&gt;&lt;wsp:rsid wsp:val=&quot;301870A8&quot;/&gt;&lt;wsp:rsid wsp:val=&quot;301937F3&quot;/&gt;&lt;wsp:rsid wsp:val=&quot;30197C97&quot;/&gt;&lt;wsp:rsid wsp:val=&quot;301A241E&quot;/&gt;&lt;wsp:rsid wsp:val=&quot;301B756B&quot;/&gt;&lt;wsp:rsid wsp:val=&quot;301D7787&quot;/&gt;&lt;wsp:rsid wsp:val=&quot;301E7081&quot;/&gt;&lt;wsp:rsid wsp:val=&quot;30201025&quot;/&gt;&lt;wsp:rsid wsp:val=&quot;30206F5A&quot;/&gt;&lt;wsp:rsid wsp:val=&quot;302208F9&quot;/&gt;&lt;wsp:rsid wsp:val=&quot;302243E3&quot;/&gt;&lt;wsp:rsid wsp:val=&quot;30241C87&quot;/&gt;&lt;wsp:rsid wsp:val=&quot;30246A80&quot;/&gt;&lt;wsp:rsid wsp:val=&quot;3026317E&quot;/&gt;&lt;wsp:rsid wsp:val=&quot;30267BAB&quot;/&gt;&lt;wsp:rsid wsp:val=&quot;30274161&quot;/&gt;&lt;wsp:rsid wsp:val=&quot;30281C88&quot;/&gt;&lt;wsp:rsid wsp:val=&quot;302A3C52&quot;/&gt;&lt;wsp:rsid wsp:val=&quot;302C5C1C&quot;/&gt;&lt;wsp:rsid wsp:val=&quot;302C79CA&quot;/&gt;&lt;wsp:rsid wsp:val=&quot;302F4737&quot;/&gt;&lt;wsp:rsid wsp:val=&quot;30307B56&quot;/&gt;&lt;wsp:rsid wsp:val=&quot;30316D8E&quot;/&gt;&lt;wsp:rsid wsp:val=&quot;3034062C&quot;/&gt;&lt;wsp:rsid wsp:val=&quot;30360E95&quot;/&gt;&lt;wsp:rsid wsp:val=&quot;30384C45&quot;/&gt;&lt;wsp:rsid wsp:val=&quot;30384E78&quot;/&gt;&lt;wsp:rsid wsp:val=&quot;303B7C0D&quot;/&gt;&lt;wsp:rsid wsp:val=&quot;303D1BD7&quot;/&gt;&lt;wsp:rsid wsp:val=&quot;303E6F0A&quot;/&gt;&lt;wsp:rsid wsp:val=&quot;303F124E&quot;/&gt;&lt;wsp:rsid wsp:val=&quot;303F594F&quot;/&gt;&lt;wsp:rsid wsp:val=&quot;303F76FD&quot;/&gt;&lt;wsp:rsid wsp:val=&quot;30403475&quot;/&gt;&lt;wsp:rsid wsp:val=&quot;30404B18&quot;/&gt;&lt;wsp:rsid wsp:val=&quot;304059BC&quot;/&gt;&lt;wsp:rsid wsp:val=&quot;30420F9B&quot;/&gt;&lt;wsp:rsid wsp:val=&quot;304271ED&quot;/&gt;&lt;wsp:rsid wsp:val=&quot;304308C8&quot;/&gt;&lt;wsp:rsid wsp:val=&quot;30465CF1&quot;/&gt;&lt;wsp:rsid wsp:val=&quot;30473ADA&quot;/&gt;&lt;wsp:rsid wsp:val=&quot;3049057C&quot;/&gt;&lt;wsp:rsid wsp:val=&quot;3049232A&quot;/&gt;&lt;wsp:rsid wsp:val=&quot;304940D8&quot;/&gt;&lt;wsp:rsid wsp:val=&quot;304A60A2&quot;/&gt;&lt;wsp:rsid wsp:val=&quot;304B42F4&quot;/&gt;&lt;wsp:rsid wsp:val=&quot;304C3BC8&quot;/&gt;&lt;wsp:rsid wsp:val=&quot;304C48ED&quot;/&gt;&lt;wsp:rsid wsp:val=&quot;304C5976&quot;/&gt;&lt;wsp:rsid wsp:val=&quot;304E7940&quot;/&gt;&lt;wsp:rsid wsp:val=&quot;30517430&quot;/&gt;&lt;wsp:rsid wsp:val=&quot;305331A8&quot;/&gt;&lt;wsp:rsid wsp:val=&quot;30533F6E&quot;/&gt;&lt;wsp:rsid wsp:val=&quot;30534F57&quot;/&gt;&lt;wsp:rsid wsp:val=&quot;30550CCF&quot;/&gt;&lt;wsp:rsid wsp:val=&quot;305667F5&quot;/&gt;&lt;wsp:rsid wsp:val=&quot;30566D3E&quot;/&gt;&lt;wsp:rsid wsp:val=&quot;30580BC9&quot;/&gt;&lt;wsp:rsid wsp:val=&quot;30586A11&quot;/&gt;&lt;wsp:rsid wsp:val=&quot;305A4537&quot;/&gt;&lt;wsp:rsid wsp:val=&quot;305A62E5&quot;/&gt;&lt;wsp:rsid wsp:val=&quot;305D4027&quot;/&gt;&lt;wsp:rsid wsp:val=&quot;305D4040&quot;/&gt;&lt;wsp:rsid wsp:val=&quot;305E34B5&quot;/&gt;&lt;wsp:rsid wsp:val=&quot;305E56A9&quot;/&gt;&lt;wsp:rsid wsp:val=&quot;305F1B4D&quot;/&gt;&lt;wsp:rsid wsp:val=&quot;306058C5&quot;/&gt;&lt;wsp:rsid wsp:val=&quot;3060709E&quot;/&gt;&lt;wsp:rsid wsp:val=&quot;30613E51&quot;/&gt;&lt;wsp:rsid wsp:val=&quot;3062519A&quot;/&gt;&lt;wsp:rsid wsp:val=&quot;30653C62&quot;/&gt;&lt;wsp:rsid wsp:val=&quot;30696528&quot;/&gt;&lt;wsp:rsid wsp:val=&quot;306A22A0&quot;/&gt;&lt;wsp:rsid wsp:val=&quot;306F1BBA&quot;/&gt;&lt;wsp:rsid wsp:val=&quot;306F78B6&quot;/&gt;&lt;wsp:rsid wsp:val=&quot;30703D5A&quot;/&gt;&lt;wsp:rsid wsp:val=&quot;30711881&quot;/&gt;&lt;wsp:rsid wsp:val=&quot;307153DD&quot;/&gt;&lt;wsp:rsid wsp:val=&quot;3073716F&quot;/&gt;&lt;wsp:rsid wsp:val=&quot;3075311F&quot;/&gt;&lt;wsp:rsid wsp:val=&quot;30757063&quot;/&gt;&lt;wsp:rsid wsp:val=&quot;30766E97&quot;/&gt;&lt;wsp:rsid wsp:val=&quot;307A24E3&quot;/&gt;&lt;wsp:rsid wsp:val=&quot;307A6987&quot;/&gt;&lt;wsp:rsid wsp:val=&quot;307C26FF&quot;/&gt;&lt;wsp:rsid wsp:val=&quot;307D6477&quot;/&gt;&lt;wsp:rsid wsp:val=&quot;307F3F9D&quot;/&gt;&lt;wsp:rsid wsp:val=&quot;307F7AFA&quot;/&gt;&lt;wsp:rsid wsp:val=&quot;30815AC1&quot;/&gt;&lt;wsp:rsid wsp:val=&quot;30841DBC&quot;/&gt;&lt;wsp:rsid wsp:val=&quot;308570DA&quot;/&gt;&lt;wsp:rsid wsp:val=&quot;3086532C&quot;/&gt;&lt;wsp:rsid wsp:val=&quot;3088073D&quot;/&gt;&lt;wsp:rsid wsp:val=&quot;30881BCD&quot;/&gt;&lt;wsp:rsid wsp:val=&quot;30892064&quot;/&gt;&lt;wsp:rsid wsp:val=&quot;3089305D&quot;/&gt;&lt;wsp:rsid wsp:val=&quot;30896BCA&quot;/&gt;&lt;wsp:rsid wsp:val=&quot;308A51D5&quot;/&gt;&lt;wsp:rsid wsp:val=&quot;308C0D28&quot;/&gt;&lt;wsp:rsid wsp:val=&quot;308C66BA&quot;/&gt;&lt;wsp:rsid wsp:val=&quot;308D19DE&quot;/&gt;&lt;wsp:rsid wsp:val=&quot;308E41E1&quot;/&gt;&lt;wsp:rsid wsp:val=&quot;309061AB&quot;/&gt;&lt;wsp:rsid wsp:val=&quot;30915A7F&quot;/&gt;&lt;wsp:rsid wsp:val=&quot;309537C1&quot;/&gt;&lt;wsp:rsid wsp:val=&quot;30953AAB&quot;/&gt;&lt;wsp:rsid wsp:val=&quot;30974EC3&quot;/&gt;&lt;wsp:rsid wsp:val=&quot;309A0DD7&quot;/&gt;&lt;wsp:rsid wsp:val=&quot;309A2B85&quot;/&gt;&lt;wsp:rsid wsp:val=&quot;309C68FD&quot;/&gt;&lt;wsp:rsid wsp:val=&quot;309D28EB&quot;/&gt;&lt;wsp:rsid wsp:val=&quot;309D65F0&quot;/&gt;&lt;wsp:rsid wsp:val=&quot;309F019C&quot;/&gt;&lt;wsp:rsid wsp:val=&quot;30A05CC2&quot;/&gt;&lt;wsp:rsid wsp:val=&quot;30A43A04&quot;/&gt;&lt;wsp:rsid wsp:val=&quot;30A457B2&quot;/&gt;&lt;wsp:rsid wsp:val=&quot;30A47560&quot;/&gt;&lt;wsp:rsid wsp:val=&quot;30A532D8&quot;/&gt;&lt;wsp:rsid wsp:val=&quot;30A734F4&quot;/&gt;&lt;wsp:rsid wsp:val=&quot;30A9101A&quot;/&gt;&lt;wsp:rsid wsp:val=&quot;30A92DC8&quot;/&gt;&lt;wsp:rsid wsp:val=&quot;30A9726C&quot;/&gt;&lt;wsp:rsid wsp:val=&quot;30AA3AD7&quot;/&gt;&lt;wsp:rsid wsp:val=&quot;30AB4D93&quot;/&gt;&lt;wsp:rsid wsp:val=&quot;30AB4F67&quot;/&gt;&lt;wsp:rsid wsp:val=&quot;30AD0B0B&quot;/&gt;&lt;wsp:rsid wsp:val=&quot;30AE03DF&quot;/&gt;&lt;wsp:rsid wsp:val=&quot;30AF33F6&quot;/&gt;&lt;wsp:rsid wsp:val=&quot;30B023A9&quot;/&gt;&lt;wsp:rsid wsp:val=&quot;30B26121&quot;/&gt;&lt;wsp:rsid wsp:val=&quot;30B654E5&quot;/&gt;&lt;wsp:rsid wsp:val=&quot;30B70C77&quot;/&gt;&lt;wsp:rsid wsp:val=&quot;30B85942&quot;/&gt;&lt;wsp:rsid wsp:val=&quot;30B860DB&quot;/&gt;&lt;wsp:rsid wsp:val=&quot;30B874AF&quot;/&gt;&lt;wsp:rsid wsp:val=&quot;30B87E4A&quot;/&gt;&lt;wsp:rsid wsp:val=&quot;30BA35CC&quot;/&gt;&lt;wsp:rsid wsp:val=&quot;30BC0D4E&quot;/&gt;&lt;wsp:rsid wsp:val=&quot;30BC5EEC&quot;/&gt;&lt;wsp:rsid wsp:val=&quot;30BE33DD&quot;/&gt;&lt;wsp:rsid wsp:val=&quot;30C23E8A&quot;/&gt;&lt;wsp:rsid wsp:val=&quot;30C40126&quot;/&gt;&lt;wsp:rsid wsp:val=&quot;30C419B0&quot;/&gt;&lt;wsp:rsid wsp:val=&quot;30C43B12&quot;/&gt;&lt;wsp:rsid wsp:val=&quot;30C5530F&quot;/&gt;&lt;wsp:rsid wsp:val=&quot;30C55B0E&quot;/&gt;&lt;wsp:rsid wsp:val=&quot;30C65728&quot;/&gt;&lt;wsp:rsid wsp:val=&quot;30C916BD&quot;/&gt;&lt;wsp:rsid wsp:val=&quot;30C9346B&quot;/&gt;&lt;wsp:rsid wsp:val=&quot;30C96FC7&quot;/&gt;&lt;wsp:rsid wsp:val=&quot;30CB0F91&quot;/&gt;&lt;wsp:rsid wsp:val=&quot;30CC4D09&quot;/&gt;&lt;wsp:rsid wsp:val=&quot;30CC6AB7&quot;/&gt;&lt;wsp:rsid wsp:val=&quot;30D0230B&quot;/&gt;&lt;wsp:rsid wsp:val=&quot;30D047F9&quot;/&gt;&lt;wsp:rsid wsp:val=&quot;30D065A7&quot;/&gt;&lt;wsp:rsid wsp:val=&quot;30D140CD&quot;/&gt;&lt;wsp:rsid wsp:val=&quot;30D20571&quot;/&gt;&lt;wsp:rsid wsp:val=&quot;30D342E9&quot;/&gt;&lt;wsp:rsid wsp:val=&quot;30D36097&quot;/&gt;&lt;wsp:rsid wsp:val=&quot;30D37E45&quot;/&gt;&lt;wsp:rsid wsp:val=&quot;30D50061&quot;/&gt;&lt;wsp:rsid wsp:val=&quot;30D77936&quot;/&gt;&lt;wsp:rsid wsp:val=&quot;30D8545C&quot;/&gt;&lt;wsp:rsid wsp:val=&quot;30DB6CFA&quot;/&gt;&lt;wsp:rsid wsp:val=&quot;30DD2A72&quot;/&gt;&lt;wsp:rsid wsp:val=&quot;30DD6966&quot;/&gt;&lt;wsp:rsid wsp:val=&quot;30DD6F16&quot;/&gt;&lt;wsp:rsid wsp:val=&quot;30DF67EA&quot;/&gt;&lt;wsp:rsid wsp:val=&quot;30E12562&quot;/&gt;&lt;wsp:rsid wsp:val=&quot;30E218A0&quot;/&gt;&lt;wsp:rsid wsp:val=&quot;30E262DA&quot;/&gt;&lt;wsp:rsid wsp:val=&quot;30E2642D&quot;/&gt;&lt;wsp:rsid wsp:val=&quot;30E3277E&quot;/&gt;&lt;wsp:rsid wsp:val=&quot;30E3452C&quot;/&gt;&lt;wsp:rsid wsp:val=&quot;30E6401D&quot;/&gt;&lt;wsp:rsid wsp:val=&quot;30E67B79&quot;/&gt;&lt;wsp:rsid wsp:val=&quot;30E81B43&quot;/&gt;&lt;wsp:rsid wsp:val=&quot;30E84DC0&quot;/&gt;&lt;wsp:rsid wsp:val=&quot;30E91417&quot;/&gt;&lt;wsp:rsid wsp:val=&quot;30E918A5&quot;/&gt;&lt;wsp:rsid wsp:val=&quot;30E94F09&quot;/&gt;&lt;wsp:rsid wsp:val=&quot;30E958BB&quot;/&gt;&lt;wsp:rsid wsp:val=&quot;30E97669&quot;/&gt;&lt;wsp:rsid wsp:val=&quot;30E97ADA&quot;/&gt;&lt;wsp:rsid wsp:val=&quot;30EA0F6A&quot;/&gt;&lt;wsp:rsid wsp:val=&quot;30EC0F07&quot;/&gt;&lt;wsp:rsid wsp:val=&quot;30ED53AB&quot;/&gt;&lt;wsp:rsid wsp:val=&quot;30EE01DF&quot;/&gt;&lt;wsp:rsid wsp:val=&quot;30EE4C7F&quot;/&gt;&lt;wsp:rsid wsp:val=&quot;30F009F7&quot;/&gt;&lt;wsp:rsid wsp:val=&quot;30F02036&quot;/&gt;&lt;wsp:rsid wsp:val=&quot;30F524B2&quot;/&gt;&lt;wsp:rsid wsp:val=&quot;30F5600E&quot;/&gt;&lt;wsp:rsid wsp:val=&quot;30F85AFE&quot;/&gt;&lt;wsp:rsid wsp:val=&quot;30F86B09&quot;/&gt;&lt;wsp:rsid wsp:val=&quot;30F93D50&quot;/&gt;&lt;wsp:rsid wsp:val=&quot;30F949FE&quot;/&gt;&lt;wsp:rsid wsp:val=&quot;30FA1876&quot;/&gt;&lt;wsp:rsid wsp:val=&quot;30FA7AC8&quot;/&gt;&lt;wsp:rsid wsp:val=&quot;30FC114A&quot;/&gt;&lt;wsp:rsid wsp:val=&quot;30FC55EE&quot;/&gt;&lt;wsp:rsid wsp:val=&quot;30FE3DE8&quot;/&gt;&lt;wsp:rsid wsp:val=&quot;30FF0C3A&quot;/&gt;&lt;wsp:rsid wsp:val=&quot;30FF1D00&quot;/&gt;&lt;wsp:rsid wsp:val=&quot;30FF50DE&quot;/&gt;&lt;wsp:rsid wsp:val=&quot;310149B3&quot;/&gt;&lt;wsp:rsid wsp:val=&quot;3102072B&quot;/&gt;&lt;wsp:rsid wsp:val=&quot;3103697D&quot;/&gt;&lt;wsp:rsid wsp:val=&quot;31036C3B&quot;/&gt;&lt;wsp:rsid wsp:val=&quot;310444A3&quot;/&gt;&lt;wsp:rsid wsp:val=&quot;31061FC9&quot;/&gt;&lt;wsp:rsid wsp:val=&quot;310712E0&quot;/&gt;&lt;wsp:rsid wsp:val=&quot;310821E5&quot;/&gt;&lt;wsp:rsid wsp:val=&quot;31091AB9&quot;/&gt;&lt;wsp:rsid wsp:val=&quot;31097D0B&quot;/&gt;&lt;wsp:rsid wsp:val=&quot;310D6ED5&quot;/&gt;&lt;wsp:rsid wsp:val=&quot;31102784&quot;/&gt;&lt;wsp:rsid wsp:val=&quot;31104BF6&quot;/&gt;&lt;wsp:rsid wsp:val=&quot;31115856&quot;/&gt;&lt;wsp:rsid wsp:val=&quot;31124E12&quot;/&gt;&lt;wsp:rsid wsp:val=&quot;31132938&quot;/&gt;&lt;wsp:rsid wsp:val=&quot;311346E6&quot;/&gt;&lt;wsp:rsid wsp:val=&quot;311566B0&quot;/&gt;&lt;wsp:rsid wsp:val=&quot;31165B12&quot;/&gt;&lt;wsp:rsid wsp:val=&quot;31175F84&quot;/&gt;&lt;wsp:rsid wsp:val=&quot;31177F87&quot;/&gt;&lt;wsp:rsid wsp:val=&quot;31182B58&quot;/&gt;&lt;wsp:rsid wsp:val=&quot;311A1F18&quot;/&gt;&lt;wsp:rsid wsp:val=&quot;311A3CC6&quot;/&gt;&lt;wsp:rsid wsp:val=&quot;311B5125&quot;/&gt;&lt;wsp:rsid wsp:val=&quot;311B7D98&quot;/&gt;&lt;wsp:rsid wsp:val=&quot;311C17EC&quot;/&gt;&lt;wsp:rsid wsp:val=&quot;311C7A3E&quot;/&gt;&lt;wsp:rsid wsp:val=&quot;311D7312&quot;/&gt;&lt;wsp:rsid wsp:val=&quot;311E2ED7&quot;/&gt;&lt;wsp:rsid wsp:val=&quot;311F308B&quot;/&gt;&lt;wsp:rsid wsp:val=&quot;31200A1B&quot;/&gt;&lt;wsp:rsid wsp:val=&quot;31210BB1&quot;/&gt;&lt;wsp:rsid wsp:val=&quot;31226909&quot;/&gt;&lt;wsp:rsid wsp:val=&quot;31230DCD&quot;/&gt;&lt;wsp:rsid wsp:val=&quot;312468F3&quot;/&gt;&lt;wsp:rsid wsp:val=&quot;31271F3F&quot;/&gt;&lt;wsp:rsid wsp:val=&quot;31280191&quot;/&gt;&lt;wsp:rsid wsp:val=&quot;3129239C&quot;/&gt;&lt;wsp:rsid wsp:val=&quot;312A215B&quot;/&gt;&lt;wsp:rsid wsp:val=&quot;312B4CBC&quot;/&gt;&lt;wsp:rsid wsp:val=&quot;312B5ED3&quot;/&gt;&lt;wsp:rsid wsp:val=&quot;312E4039&quot;/&gt;&lt;wsp:rsid wsp:val=&quot;312F2BA5&quot;/&gt;&lt;wsp:rsid wsp:val=&quot;31307046&quot;/&gt;&lt;wsp:rsid wsp:val=&quot;31311AD6&quot;/&gt;&lt;wsp:rsid wsp:val=&quot;31327262&quot;/&gt;&lt;wsp:rsid wsp:val=&quot;313308E4&quot;/&gt;&lt;wsp:rsid wsp:val=&quot;313316FE&quot;/&gt;&lt;wsp:rsid wsp:val=&quot;31342FDA&quot;/&gt;&lt;wsp:rsid wsp:val=&quot;31350B00&quot;/&gt;&lt;wsp:rsid wsp:val=&quot;313624B6&quot;/&gt;&lt;wsp:rsid wsp:val=&quot;31374878&quot;/&gt;&lt;wsp:rsid wsp:val=&quot;313A7EC4&quot;/&gt;&lt;wsp:rsid wsp:val=&quot;313C1E8F&quot;/&gt;&lt;wsp:rsid wsp:val=&quot;313C59EB&quot;/&gt;&lt;wsp:rsid wsp:val=&quot;313F34CE&quot;/&gt;&lt;wsp:rsid wsp:val=&quot;313F372D&quot;/&gt;&lt;wsp:rsid wsp:val=&quot;31411253&quot;/&gt;&lt;wsp:rsid wsp:val=&quot;31434FCB&quot;/&gt;&lt;wsp:rsid wsp:val=&quot;31442AF1&quot;/&gt;&lt;wsp:rsid wsp:val=&quot;31473867&quot;/&gt;&lt;wsp:rsid wsp:val=&quot;31480833&quot;/&gt;&lt;wsp:rsid wsp:val=&quot;31496359&quot;/&gt;&lt;wsp:rsid wsp:val=&quot;314A04F0&quot;/&gt;&lt;wsp:rsid wsp:val=&quot;314A45AB&quot;/&gt;&lt;wsp:rsid wsp:val=&quot;314B303F&quot;/&gt;&lt;wsp:rsid wsp:val=&quot;314B3E80&quot;/&gt;&lt;wsp:rsid wsp:val=&quot;31503085&quot;/&gt;&lt;wsp:rsid wsp:val=&quot;3150593A&quot;/&gt;&lt;wsp:rsid wsp:val=&quot;315216B2&quot;/&gt;&lt;wsp:rsid wsp:val=&quot;31530A22&quot;/&gt;&lt;wsp:rsid wsp:val=&quot;31533EC8&quot;/&gt;&lt;wsp:rsid wsp:val=&quot;315409BD&quot;/&gt;&lt;wsp:rsid wsp:val=&quot;31540F86&quot;/&gt;&lt;wsp:rsid wsp:val=&quot;315419A0&quot;/&gt;&lt;wsp:rsid wsp:val=&quot;315471D8&quot;/&gt;&lt;wsp:rsid wsp:val=&quot;31554CFE&quot;/&gt;&lt;wsp:rsid wsp:val=&quot;315619EE&quot;/&gt;&lt;wsp:rsid wsp:val=&quot;31570A76&quot;/&gt;&lt;wsp:rsid wsp:val=&quot;3157541A&quot;/&gt;&lt;wsp:rsid wsp:val=&quot;31592A40&quot;/&gt;&lt;wsp:rsid wsp:val=&quot;31597D3A&quot;/&gt;&lt;wsp:rsid wsp:val=&quot;315A2315&quot;/&gt;&lt;wsp:rsid wsp:val=&quot;315A40C3&quot;/&gt;&lt;wsp:rsid wsp:val=&quot;315C42DF&quot;/&gt;&lt;wsp:rsid wsp:val=&quot;315C449C&quot;/&gt;&lt;wsp:rsid wsp:val=&quot;315C608D&quot;/&gt;&lt;wsp:rsid wsp:val=&quot;315D71B8&quot;/&gt;&lt;wsp:rsid wsp:val=&quot;316255FD&quot;/&gt;&lt;wsp:rsid wsp:val=&quot;31644F41&quot;/&gt;&lt;wsp:rsid wsp:val=&quot;31650EAE&quot;/&gt;&lt;wsp:rsid wsp:val=&quot;316521F1&quot;/&gt;&lt;wsp:rsid wsp:val=&quot;31653193&quot;/&gt;&lt;wsp:rsid wsp:val=&quot;31660129&quot;/&gt;&lt;wsp:rsid wsp:val=&quot;31660CB9&quot;/&gt;&lt;wsp:rsid wsp:val=&quot;31662A68&quot;/&gt;&lt;wsp:rsid wsp:val=&quot;3166515D&quot;/&gt;&lt;wsp:rsid wsp:val=&quot;316737CE&quot;/&gt;&lt;wsp:rsid wsp:val=&quot;316B214F&quot;/&gt;&lt;wsp:rsid wsp:val=&quot;316B4522&quot;/&gt;&lt;wsp:rsid wsp:val=&quot;316B62D0&quot;/&gt;&lt;wsp:rsid wsp:val=&quot;316D2048&quot;/&gt;&lt;wsp:rsid wsp:val=&quot;316D3DF6&quot;/&gt;&lt;wsp:rsid wsp:val=&quot;316F7181&quot;/&gt;&lt;wsp:rsid wsp:val=&quot;31701B38&quot;/&gt;&lt;wsp:rsid wsp:val=&quot;317038E6&quot;/&gt;&lt;wsp:rsid wsp:val=&quot;31704B31&quot;/&gt;&lt;wsp:rsid wsp:val=&quot;31753B49&quot;/&gt;&lt;wsp:rsid wsp:val=&quot;31771119&quot;/&gt;&lt;wsp:rsid wsp:val=&quot;3179279B&quot;/&gt;&lt;wsp:rsid wsp:val=&quot;31796C3F&quot;/&gt;&lt;wsp:rsid wsp:val=&quot;317A6513&quot;/&gt;&lt;wsp:rsid wsp:val=&quot;317C5CA4&quot;/&gt;&lt;wsp:rsid wsp:val=&quot;317D0ABA&quot;/&gt;&lt;wsp:rsid wsp:val=&quot;317F1D7B&quot;/&gt;&lt;wsp:rsid wsp:val=&quot;317F3195&quot;/&gt;&lt;wsp:rsid wsp:val=&quot;317F3B29&quot;/&gt;&lt;wsp:rsid wsp:val=&quot;31803DAC&quot;/&gt;&lt;wsp:rsid wsp:val=&quot;31853836&quot;/&gt;&lt;wsp:rsid wsp:val=&quot;3186310A&quot;/&gt;&lt;wsp:rsid wsp:val=&quot;31864EB8&quot;/&gt;&lt;wsp:rsid wsp:val=&quot;31866D56&quot;/&gt;&lt;wsp:rsid wsp:val=&quot;31874330&quot;/&gt;&lt;wsp:rsid wsp:val=&quot;318956D7&quot;/&gt;&lt;wsp:rsid wsp:val=&quot;318D26EA&quot;/&gt;&lt;wsp:rsid wsp:val=&quot;318E5A74&quot;/&gt;&lt;wsp:rsid wsp:val=&quot;319066C4&quot;/&gt;&lt;wsp:rsid wsp:val=&quot;31943A79&quot;/&gt;&lt;wsp:rsid wsp:val=&quot;31966E5D&quot;/&gt;&lt;wsp:rsid wsp:val=&quot;31967CDB&quot;/&gt;&lt;wsp:rsid wsp:val=&quot;31983D3C&quot;/&gt;&lt;wsp:rsid wsp:val=&quot;319C292D&quot;/&gt;&lt;wsp:rsid wsp:val=&quot;319C46DB&quot;/&gt;&lt;wsp:rsid wsp:val=&quot;319C528E&quot;/&gt;&lt;wsp:rsid wsp:val=&quot;319E0453&quot;/&gt;&lt;wsp:rsid wsp:val=&quot;319E6025&quot;/&gt;&lt;wsp:rsid wsp:val=&quot;319F103E&quot;/&gt;&lt;wsp:rsid wsp:val=&quot;31A135F7&quot;/&gt;&lt;wsp:rsid wsp:val=&quot;31A55C86&quot;/&gt;&lt;wsp:rsid wsp:val=&quot;31A57A34&quot;/&gt;&lt;wsp:rsid wsp:val=&quot;31A67308&quot;/&gt;&lt;wsp:rsid wsp:val=&quot;31A737AC&quot;/&gt;&lt;wsp:rsid wsp:val=&quot;31A83080&quot;/&gt;&lt;wsp:rsid wsp:val=&quot;31A91211&quot;/&gt;&lt;wsp:rsid wsp:val=&quot;31AA329C&quot;/&gt;&lt;wsp:rsid wsp:val=&quot;31AA504A&quot;/&gt;&lt;wsp:rsid wsp:val=&quot;31AB2B70&quot;/&gt;&lt;wsp:rsid wsp:val=&quot;31AC5F47&quot;/&gt;&lt;wsp:rsid wsp:val=&quot;31AD68E8&quot;/&gt;&lt;wsp:rsid wsp:val=&quot;31AD77A6&quot;/&gt;&lt;wsp:rsid wsp:val=&quot;31AE385F&quot;/&gt;&lt;wsp:rsid wsp:val=&quot;31AF2660&quot;/&gt;&lt;wsp:rsid wsp:val=&quot;31AF440F&quot;/&gt;&lt;wsp:rsid wsp:val=&quot;31B00187&quot;/&gt;&lt;wsp:rsid wsp:val=&quot;31B163D9&quot;/&gt;&lt;wsp:rsid wsp:val=&quot;31B22151&quot;/&gt;&lt;wsp:rsid wsp:val=&quot;31B25CAD&quot;/&gt;&lt;wsp:rsid wsp:val=&quot;31B732C3&quot;/&gt;&lt;wsp:rsid wsp:val=&quot;31B8181D&quot;/&gt;&lt;wsp:rsid wsp:val=&quot;31B82709&quot;/&gt;&lt;wsp:rsid wsp:val=&quot;31B859B9&quot;/&gt;&lt;wsp:rsid wsp:val=&quot;31B867A1&quot;/&gt;&lt;wsp:rsid wsp:val=&quot;31B9528D&quot;/&gt;&lt;wsp:rsid wsp:val=&quot;31B9703B&quot;/&gt;&lt;wsp:rsid wsp:val=&quot;31BC3137&quot;/&gt;&lt;wsp:rsid wsp:val=&quot;31BD655C&quot;/&gt;&lt;wsp:rsid wsp:val=&quot;31BE7043&quot;/&gt;&lt;wsp:rsid wsp:val=&quot;31BF1AB8&quot;/&gt;&lt;wsp:rsid wsp:val=&quot;31C272B4&quot;/&gt;&lt;wsp:rsid wsp:val=&quot;31C27D50&quot;/&gt;&lt;wsp:rsid wsp:val=&quot;31C31505&quot;/&gt;&lt;wsp:rsid wsp:val=&quot;31C3435E&quot;/&gt;&lt;wsp:rsid wsp:val=&quot;31C51E84&quot;/&gt;&lt;wsp:rsid wsp:val=&quot;31C679AA&quot;/&gt;&lt;wsp:rsid wsp:val=&quot;31C75BFC&quot;/&gt;&lt;wsp:rsid wsp:val=&quot;31CA1248&quot;/&gt;&lt;wsp:rsid wsp:val=&quot;31CC3212&quot;/&gt;&lt;wsp:rsid wsp:val=&quot;31CD2AE7&quot;/&gt;&lt;wsp:rsid wsp:val=&quot;31CD6F8B&quot;/&gt;&lt;wsp:rsid wsp:val=&quot;31CF4AB1&quot;/&gt;&lt;wsp:rsid wsp:val=&quot;31CF71ED&quot;/&gt;&lt;wsp:rsid wsp:val=&quot;31D04385&quot;/&gt;&lt;wsp:rsid wsp:val=&quot;31D05482&quot;/&gt;&lt;wsp:rsid wsp:val=&quot;31D07E6C&quot;/&gt;&lt;wsp:rsid wsp:val=&quot;31D245A1&quot;/&gt;&lt;wsp:rsid wsp:val=&quot;31D64091&quot;/&gt;&lt;wsp:rsid wsp:val=&quot;31D9148B&quot;/&gt;&lt;wsp:rsid wsp:val=&quot;31DA66C0&quot;/&gt;&lt;wsp:rsid wsp:val=&quot;31DC0F7C&quot;/&gt;&lt;wsp:rsid wsp:val=&quot;31DD5420&quot;/&gt;&lt;wsp:rsid wsp:val=&quot;31DE2F46&quot;/&gt;&lt;wsp:rsid wsp:val=&quot;31E139C2&quot;/&gt;&lt;wsp:rsid wsp:val=&quot;31E16592&quot;/&gt;&lt;wsp:rsid wsp:val=&quot;31E22A36&quot;/&gt;&lt;wsp:rsid wsp:val=&quot;31E3230A&quot;/&gt;&lt;wsp:rsid wsp:val=&quot;31E653D6&quot;/&gt;&lt;wsp:rsid wsp:val=&quot;31E87920&quot;/&gt;&lt;wsp:rsid wsp:val=&quot;31EA35E4&quot;/&gt;&lt;wsp:rsid wsp:val=&quot;31EE089B&quot;/&gt;&lt;wsp:rsid wsp:val=&quot;31EE4B36&quot;/&gt;&lt;wsp:rsid wsp:val=&quot;31EF5153&quot;/&gt;&lt;wsp:rsid wsp:val=&quot;31F14A27&quot;/&gt;&lt;wsp:rsid wsp:val=&quot;31F167D5&quot;/&gt;&lt;wsp:rsid wsp:val=&quot;31F2254D&quot;/&gt;&lt;wsp:rsid wsp:val=&quot;31F369F1&quot;/&gt;&lt;wsp:rsid wsp:val=&quot;31F43B9D&quot;/&gt;&lt;wsp:rsid wsp:val=&quot;31F6203D&quot;/&gt;&lt;wsp:rsid wsp:val=&quot;31F75DB5&quot;/&gt;&lt;wsp:rsid wsp:val=&quot;31F84007&quot;/&gt;&lt;wsp:rsid wsp:val=&quot;31F97D80&quot;/&gt;&lt;wsp:rsid wsp:val=&quot;31FA30D9&quot;/&gt;&lt;wsp:rsid wsp:val=&quot;31FB08BE&quot;/&gt;&lt;wsp:rsid wsp:val=&quot;31FB0B7D&quot;/&gt;&lt;wsp:rsid wsp:val=&quot;31FB3AF8&quot;/&gt;&lt;wsp:rsid wsp:val=&quot;31FD161E&quot;/&gt;&lt;wsp:rsid wsp:val=&quot;31FE7144&quot;/&gt;&lt;wsp:rsid wsp:val=&quot;32004C6A&quot;/&gt;&lt;wsp:rsid wsp:val=&quot;32010381&quot;/&gt;&lt;wsp:rsid wsp:val=&quot;320209E2&quot;/&gt;&lt;wsp:rsid wsp:val=&quot;32022CFB&quot;/&gt;&lt;wsp:rsid wsp:val=&quot;32026C34&quot;/&gt;&lt;wsp:rsid wsp:val=&quot;32061EAF&quot;/&gt;&lt;wsp:rsid wsp:val=&quot;3207424B&quot;/&gt;&lt;wsp:rsid wsp:val=&quot;320960CA&quot;/&gt;&lt;wsp:rsid wsp:val=&quot;320A70C6&quot;/&gt;&lt;wsp:rsid wsp:val=&quot;320C1861&quot;/&gt;&lt;wsp:rsid wsp:val=&quot;320C697E&quot;/&gt;&lt;wsp:rsid wsp:val=&quot;320D1CB4&quot;/&gt;&lt;wsp:rsid wsp:val=&quot;320F27B6&quot;/&gt;&lt;wsp:rsid wsp:val=&quot;32116E77&quot;/&gt;&lt;wsp:rsid wsp:val=&quot;321227F0&quot;/&gt;&lt;wsp:rsid wsp:val=&quot;32132BEF&quot;/&gt;&lt;wsp:rsid wsp:val=&quot;32133BAD&quot;/&gt;&lt;wsp:rsid wsp:val=&quot;3216448E&quot;/&gt;&lt;wsp:rsid wsp:val=&quot;32170C86&quot;/&gt;&lt;wsp:rsid wsp:val=&quot;321859F5&quot;/&gt;&lt;wsp:rsid wsp:val=&quot;32186458&quot;/&gt;&lt;wsp:rsid wsp:val=&quot;321A5A83&quot;/&gt;&lt;wsp:rsid wsp:val=&quot;321B5F48&quot;/&gt;&lt;wsp:rsid wsp:val=&quot;321B7CF6&quot;/&gt;&lt;wsp:rsid wsp:val=&quot;321D3A6E&quot;/&gt;&lt;wsp:rsid wsp:val=&quot;321F09AA&quot;/&gt;&lt;wsp:rsid wsp:val=&quot;322070BA&quot;/&gt;&lt;wsp:rsid wsp:val=&quot;322272D6&quot;/&gt;&lt;wsp:rsid wsp:val=&quot;32244DFC&quot;/&gt;&lt;wsp:rsid wsp:val=&quot;32250B75&quot;/&gt;&lt;wsp:rsid wsp:val=&quot;3227483B&quot;/&gt;&lt;wsp:rsid wsp:val=&quot;322748ED&quot;/&gt;&lt;wsp:rsid wsp:val=&quot;32290665&quot;/&gt;&lt;wsp:rsid wsp:val=&quot;322A1CE7&quot;/&gt;&lt;wsp:rsid wsp:val=&quot;322A7F39&quot;/&gt;&lt;wsp:rsid wsp:val=&quot;322B1F07&quot;/&gt;&lt;wsp:rsid wsp:val=&quot;322C1F03&quot;/&gt;&lt;wsp:rsid wsp:val=&quot;322C3CB1&quot;/&gt;&lt;wsp:rsid wsp:val=&quot;322C5A5F&quot;/&gt;&lt;wsp:rsid wsp:val=&quot;322E5C09&quot;/&gt;&lt;wsp:rsid wsp:val=&quot;322E5C7B&quot;/&gt;&lt;wsp:rsid wsp:val=&quot;322E7A29&quot;/&gt;&lt;wsp:rsid wsp:val=&quot;322F1F88&quot;/&gt;&lt;wsp:rsid wsp:val=&quot;323112C7&quot;/&gt;&lt;wsp:rsid wsp:val=&quot;32317519&quot;/&gt;&lt;wsp:rsid wsp:val=&quot;32333292&quot;/&gt;&lt;wsp:rsid wsp:val=&quot;323365A6&quot;/&gt;&lt;wsp:rsid wsp:val=&quot;3234700A&quot;/&gt;&lt;wsp:rsid wsp:val=&quot;32353BD1&quot;/&gt;&lt;wsp:rsid wsp:val=&quot;3236068C&quot;/&gt;&lt;wsp:rsid wsp:val=&quot;323808A8&quot;/&gt;&lt;wsp:rsid wsp:val=&quot;323A1AE2&quot;/&gt;&lt;wsp:rsid wsp:val=&quot;323B0398&quot;/&gt;&lt;wsp:rsid wsp:val=&quot;323B2146&quot;/&gt;&lt;wsp:rsid wsp:val=&quot;323B45CD&quot;/&gt;&lt;wsp:rsid wsp:val=&quot;323D7C6C&quot;/&gt;&lt;wsp:rsid wsp:val=&quot;323E39E4&quot;/&gt;&lt;wsp:rsid wsp:val=&quot;323F1C36&quot;/&gt;&lt;wsp:rsid wsp:val=&quot;32400B34&quot;/&gt;&lt;wsp:rsid wsp:val=&quot;3240150B&quot;/&gt;&lt;wsp:rsid wsp:val=&quot;3240775C&quot;/&gt;&lt;wsp:rsid wsp:val=&quot;32427031&quot;/&gt;&lt;wsp:rsid wsp:val=&quot;324541CB&quot;/&gt;&lt;wsp:rsid wsp:val=&quot;32456B21&quot;/&gt;&lt;wsp:rsid wsp:val=&quot;324845D6&quot;/&gt;&lt;wsp:rsid wsp:val=&quot;32496611&quot;/&gt;&lt;wsp:rsid wsp:val=&quot;324A05DB&quot;/&gt;&lt;wsp:rsid wsp:val=&quot;324A2389&quot;/&gt;&lt;wsp:rsid wsp:val=&quot;324D2CF5&quot;/&gt;&lt;wsp:rsid wsp:val=&quot;324E1D3A&quot;/&gt;&lt;wsp:rsid wsp:val=&quot;324E3C27&quot;/&gt;&lt;wsp:rsid wsp:val=&quot;32513718&quot;/&gt;&lt;wsp:rsid wsp:val=&quot;32536FBE&quot;/&gt;&lt;wsp:rsid wsp:val=&quot;32537490&quot;/&gt;&lt;wsp:rsid wsp:val=&quot;32543208&quot;/&gt;&lt;wsp:rsid wsp:val=&quot;32544FB6&quot;/&gt;&lt;wsp:rsid wsp:val=&quot;32546D64&quot;/&gt;&lt;wsp:rsid wsp:val=&quot;3256215C&quot;/&gt;&lt;wsp:rsid wsp:val=&quot;32566F80&quot;/&gt;&lt;wsp:rsid wsp:val=&quot;325717F3&quot;/&gt;&lt;wsp:rsid wsp:val=&quot;325B4596&quot;/&gt;&lt;wsp:rsid wsp:val=&quot;325D20BC&quot;/&gt;&lt;wsp:rsid wsp:val=&quot;326150E4&quot;/&gt;&lt;wsp:rsid wsp:val=&quot;326162E8&quot;/&gt;&lt;wsp:rsid wsp:val=&quot;32617E42&quot;/&gt;&lt;wsp:rsid wsp:val=&quot;32621481&quot;/&gt;&lt;wsp:rsid wsp:val=&quot;32622D33&quot;/&gt;&lt;wsp:rsid wsp:val=&quot;32625925&quot;/&gt;&lt;wsp:rsid wsp:val=&quot;32630FC4&quot;/&gt;&lt;wsp:rsid wsp:val=&quot;3263498F&quot;/&gt;&lt;wsp:rsid wsp:val=&quot;3264344B&quot;/&gt;&lt;wsp:rsid wsp:val=&quot;32655415&quot;/&gt;&lt;wsp:rsid wsp:val=&quot;326571C3&quot;/&gt;&lt;wsp:rsid wsp:val=&quot;32696CB3&quot;/&gt;&lt;wsp:rsid wsp:val=&quot;326A6587&quot;/&gt;&lt;wsp:rsid wsp:val=&quot;326B00AC&quot;/&gt;&lt;wsp:rsid wsp:val=&quot;326E42CA&quot;/&gt;&lt;wsp:rsid wsp:val=&quot;326E7E26&quot;/&gt;&lt;wsp:rsid wsp:val=&quot;326F3B9E&quot;/&gt;&lt;wsp:rsid wsp:val=&quot;32700F83&quot;/&gt;&lt;wsp:rsid wsp:val=&quot;32701D7C&quot;/&gt;&lt;wsp:rsid wsp:val=&quot;32715B68&quot;/&gt;&lt;wsp:rsid wsp:val=&quot;32717916&quot;/&gt;&lt;wsp:rsid wsp:val=&quot;32735E3B&quot;/&gt;&lt;wsp:rsid wsp:val=&quot;32764F2C&quot;/&gt;&lt;wsp:rsid wsp:val=&quot;32780935&quot;/&gt;&lt;wsp:rsid wsp:val=&quot;3278199E&quot;/&gt;&lt;wsp:rsid wsp:val=&quot;32786EF6&quot;/&gt;&lt;wsp:rsid wsp:val=&quot;32794A1C&quot;/&gt;&lt;wsp:rsid wsp:val=&quot;327A0EC0&quot;/&gt;&lt;wsp:rsid wsp:val=&quot;327A2C6E&quot;/&gt;&lt;wsp:rsid wsp:val=&quot;327B0795&quot;/&gt;&lt;wsp:rsid wsp:val=&quot;327B2096&quot;/&gt;&lt;wsp:rsid wsp:val=&quot;327B2543&quot;/&gt;&lt;wsp:rsid wsp:val=&quot;327C031F&quot;/&gt;&lt;wsp:rsid wsp:val=&quot;327C2EF0&quot;/&gt;&lt;wsp:rsid wsp:val=&quot;327D37D4&quot;/&gt;&lt;wsp:rsid wsp:val=&quot;327D62BB&quot;/&gt;&lt;wsp:rsid wsp:val=&quot;327D63F4&quot;/&gt;&lt;wsp:rsid wsp:val=&quot;327E018E&quot;/&gt;&lt;wsp:rsid wsp:val=&quot;327F0285&quot;/&gt;&lt;wsp:rsid wsp:val=&quot;32803FFD&quot;/&gt;&lt;wsp:rsid wsp:val=&quot;328210D9&quot;/&gt;&lt;wsp:rsid wsp:val=&quot;32821B23&quot;/&gt;&lt;wsp:rsid wsp:val=&quot;328238D1&quot;/&gt;&lt;wsp:rsid wsp:val=&quot;32841682&quot;/&gt;&lt;wsp:rsid wsp:val=&quot;32847649&quot;/&gt;&lt;wsp:rsid wsp:val=&quot;32870EE7&quot;/&gt;&lt;wsp:rsid wsp:val=&quot;32875432&quot;/&gt;&lt;wsp:rsid wsp:val=&quot;328E3BC4&quot;/&gt;&lt;wsp:rsid wsp:val=&quot;328F43F1&quot;/&gt;&lt;wsp:rsid wsp:val=&quot;328F5FEE&quot;/&gt;&lt;wsp:rsid wsp:val=&quot;32902492&quot;/&gt;&lt;wsp:rsid wsp:val=&quot;32911D66&quot;/&gt;&lt;wsp:rsid wsp:val=&quot;3291620A&quot;/&gt;&lt;wsp:rsid wsp:val=&quot;32917FB8&quot;/&gt;&lt;wsp:rsid wsp:val=&quot;32935A2E&quot;/&gt;&lt;wsp:rsid wsp:val=&quot;32935ADE&quot;/&gt;&lt;wsp:rsid wsp:val=&quot;32957AA8&quot;/&gt;&lt;wsp:rsid wsp:val=&quot;329655CE&quot;/&gt;&lt;wsp:rsid wsp:val=&quot;32981347&quot;/&gt;&lt;wsp:rsid wsp:val=&quot;329A4CFF&quot;/&gt;&lt;wsp:rsid wsp:val=&quot;329D070B&quot;/&gt;&lt;wsp:rsid wsp:val=&quot;329E6876&quot;/&gt;&lt;wsp:rsid wsp:val=&quot;329F26D5&quot;/&gt;&lt;wsp:rsid wsp:val=&quot;329F4483&quot;/&gt;&lt;wsp:rsid wsp:val=&quot;32A221C5&quot;/&gt;&lt;wsp:rsid wsp:val=&quot;32A23F73&quot;/&gt;&lt;wsp:rsid wsp:val=&quot;32A777DC&quot;/&gt;&lt;wsp:rsid wsp:val=&quot;32A93554&quot;/&gt;&lt;wsp:rsid wsp:val=&quot;32A95302&quot;/&gt;&lt;wsp:rsid wsp:val=&quot;32A970B0&quot;/&gt;&lt;wsp:rsid wsp:val=&quot;32A97B09&quot;/&gt;&lt;wsp:rsid wsp:val=&quot;32AB107A&quot;/&gt;&lt;wsp:rsid wsp:val=&quot;32AB72CC&quot;/&gt;&lt;wsp:rsid wsp:val=&quot;32AC094E&quot;/&gt;&lt;wsp:rsid wsp:val=&quot;32AD73EA&quot;/&gt;&lt;wsp:rsid wsp:val=&quot;32B048E2&quot;/&gt;&lt;wsp:rsid wsp:val=&quot;32B141B6&quot;/&gt;&lt;wsp:rsid wsp:val=&quot;32B31CDC&quot;/&gt;&lt;wsp:rsid wsp:val=&quot;32B35B90&quot;/&gt;&lt;wsp:rsid wsp:val=&quot;32B37F2E&quot;/&gt;&lt;wsp:rsid wsp:val=&quot;32B47B52&quot;/&gt;&lt;wsp:rsid wsp:val=&quot;32B53CA7&quot;/&gt;&lt;wsp:rsid wsp:val=&quot;32B67A1F&quot;/&gt;&lt;wsp:rsid wsp:val=&quot;32B8116A&quot;/&gt;&lt;wsp:rsid wsp:val=&quot;32B85545&quot;/&gt;&lt;wsp:rsid wsp:val=&quot;32B86E31&quot;/&gt;&lt;wsp:rsid wsp:val=&quot;32BA1751&quot;/&gt;&lt;wsp:rsid wsp:val=&quot;32BB6DE3&quot;/&gt;&lt;wsp:rsid wsp:val=&quot;32BD2B5B&quot;/&gt;&lt;wsp:rsid wsp:val=&quot;32BF0681&quot;/&gt;&lt;wsp:rsid wsp:val=&quot;32C043F9&quot;/&gt;&lt;wsp:rsid wsp:val=&quot;32C073EC&quot;/&gt;&lt;wsp:rsid wsp:val=&quot;32C12BB8&quot;/&gt;&lt;wsp:rsid wsp:val=&quot;32C51A10&quot;/&gt;&lt;wsp:rsid wsp:val=&quot;32C65507&quot;/&gt;&lt;wsp:rsid wsp:val=&quot;32C65EB4&quot;/&gt;&lt;wsp:rsid wsp:val=&quot;32C75788&quot;/&gt;&lt;wsp:rsid wsp:val=&quot;32C959A4&quot;/&gt;&lt;wsp:rsid wsp:val=&quot;32C97752&quot;/&gt;&lt;wsp:rsid wsp:val=&quot;32CA1246&quot;/&gt;&lt;wsp:rsid wsp:val=&quot;32CB5278&quot;/&gt;&lt;wsp:rsid wsp:val=&quot;32CD3EEF&quot;/&gt;&lt;wsp:rsid wsp:val=&quot;32D00AE0&quot;/&gt;&lt;wsp:rsid wsp:val=&quot;32D00F65&quot;/&gt;&lt;wsp:rsid wsp:val=&quot;32D020E4&quot;/&gt;&lt;wsp:rsid wsp:val=&quot;32D103B5&quot;/&gt;&lt;wsp:rsid wsp:val=&quot;32D22AAA&quot;/&gt;&lt;wsp:rsid wsp:val=&quot;32D3237F&quot;/&gt;&lt;wsp:rsid wsp:val=&quot;32D33A39&quot;/&gt;&lt;wsp:rsid wsp:val=&quot;32D3412D&quot;/&gt;&lt;wsp:rsid wsp:val=&quot;32D50A2F&quot;/&gt;&lt;wsp:rsid wsp:val=&quot;32D54F54&quot;/&gt;&lt;wsp:rsid wsp:val=&quot;32D560F7&quot;/&gt;&lt;wsp:rsid wsp:val=&quot;32D61E6F&quot;/&gt;&lt;wsp:rsid wsp:val=&quot;32D64894&quot;/&gt;&lt;wsp:rsid wsp:val=&quot;32D87995&quot;/&gt;&lt;wsp:rsid wsp:val=&quot;32D978AB&quot;/&gt;&lt;wsp:rsid wsp:val=&quot;32DA370D&quot;/&gt;&lt;wsp:rsid wsp:val=&quot;32DC622C&quot;/&gt;&lt;wsp:rsid wsp:val=&quot;32DC7485&quot;/&gt;&lt;wsp:rsid wsp:val=&quot;32DC7BA4&quot;/&gt;&lt;wsp:rsid wsp:val=&quot;32DD4FAB&quot;/&gt;&lt;wsp:rsid wsp:val=&quot;32DD69CE&quot;/&gt;&lt;wsp:rsid wsp:val=&quot;32DF0D23&quot;/&gt;&lt;wsp:rsid wsp:val=&quot;32DF371D&quot;/&gt;&lt;wsp:rsid wsp:val=&quot;32E14A9C&quot;/&gt;&lt;wsp:rsid wsp:val=&quot;32E20814&quot;/&gt;&lt;wsp:rsid wsp:val=&quot;32E34B0D&quot;/&gt;&lt;wsp:rsid wsp:val=&quot;32E4458C&quot;/&gt;&lt;wsp:rsid wsp:val=&quot;32E60304&quot;/&gt;&lt;wsp:rsid wsp:val=&quot;32E620B2&quot;/&gt;&lt;wsp:rsid wsp:val=&quot;32E77BD8&quot;/&gt;&lt;wsp:rsid wsp:val=&quot;32EB1CC0&quot;/&gt;&lt;wsp:rsid wsp:val=&quot;32EB3B6C&quot;/&gt;&lt;wsp:rsid wsp:val=&quot;32EB76C8&quot;/&gt;&lt;wsp:rsid wsp:val=&quot;32EC3440&quot;/&gt;&lt;wsp:rsid wsp:val=&quot;32EC51EE&quot;/&gt;&lt;wsp:rsid wsp:val=&quot;32EE71B8&quot;/&gt;&lt;wsp:rsid wsp:val=&quot;32EF5865&quot;/&gt;&lt;wsp:rsid wsp:val=&quot;32F02F31&quot;/&gt;&lt;wsp:rsid wsp:val=&quot;32F12805&quot;/&gt;&lt;wsp:rsid wsp:val=&quot;32F15B31&quot;/&gt;&lt;wsp:rsid wsp:val=&quot;32F26CA9&quot;/&gt;&lt;wsp:rsid wsp:val=&quot;32F43417&quot;/&gt;&lt;wsp:rsid wsp:val=&quot;32F50547&quot;/&gt;&lt;wsp:rsid wsp:val=&quot;32F6606D&quot;/&gt;&lt;wsp:rsid wsp:val=&quot;32F66DD2&quot;/&gt;&lt;wsp:rsid wsp:val=&quot;32F95AD3&quot;/&gt;&lt;wsp:rsid wsp:val=&quot;32FA3DAF&quot;/&gt;&lt;wsp:rsid wsp:val=&quot;32FB467E&quot;/&gt;&lt;wsp:rsid wsp:val=&quot;32FC18D5&quot;/&gt;&lt;wsp:rsid wsp:val=&quot;32FD05B3&quot;/&gt;&lt;wsp:rsid wsp:val=&quot;32FE0135&quot;/&gt;&lt;wsp:rsid wsp:val=&quot;32FF13C6&quot;/&gt;&lt;wsp:rsid wsp:val=&quot;32FF69F4&quot;/&gt;&lt;wsp:rsid wsp:val=&quot;3300527E&quot;/&gt;&lt;wsp:rsid wsp:val=&quot;3300608A&quot;/&gt;&lt;wsp:rsid wsp:val=&quot;330144FD&quot;/&gt;&lt;wsp:rsid wsp:val=&quot;3301513E&quot;/&gt;&lt;wsp:rsid wsp:val=&quot;33016EEC&quot;/&gt;&lt;wsp:rsid wsp:val=&quot;33022C64&quot;/&gt;&lt;wsp:rsid wsp:val=&quot;33024A12&quot;/&gt;&lt;wsp:rsid wsp:val=&quot;33027F46&quot;/&gt;&lt;wsp:rsid wsp:val=&quot;33055437&quot;/&gt;&lt;wsp:rsid wsp:val=&quot;33063E70&quot;/&gt;&lt;wsp:rsid wsp:val=&quot;33072028&quot;/&gt;&lt;wsp:rsid wsp:val=&quot;33072578&quot;/&gt;&lt;wsp:rsid wsp:val=&quot;33092244&quot;/&gt;&lt;wsp:rsid wsp:val=&quot;33097BA2&quot;/&gt;&lt;wsp:rsid wsp:val=&quot;330A66D8&quot;/&gt;&lt;wsp:rsid wsp:val=&quot;330E33B7&quot;/&gt;&lt;wsp:rsid wsp:val=&quot;33134E71&quot;/&gt;&lt;wsp:rsid wsp:val=&quot;33154745&quot;/&gt;&lt;wsp:rsid wsp:val=&quot;3317670F&quot;/&gt;&lt;wsp:rsid wsp:val=&quot;33185FE3&quot;/&gt;&lt;wsp:rsid wsp:val=&quot;3319216C&quot;/&gt;&lt;wsp:rsid wsp:val=&quot;331A61FF&quot;/&gt;&lt;wsp:rsid wsp:val=&quot;331C3D26&quot;/&gt;&lt;wsp:rsid wsp:val=&quot;331D184C&quot;/&gt;&lt;wsp:rsid wsp:val=&quot;331D35FA&quot;/&gt;&lt;wsp:rsid wsp:val=&quot;332008FE&quot;/&gt;&lt;wsp:rsid wsp:val=&quot;332115EC&quot;/&gt;&lt;wsp:rsid wsp:val=&quot;3321758E&quot;/&gt;&lt;wsp:rsid wsp:val=&quot;3322087E&quot;/&gt;&lt;wsp:rsid wsp:val=&quot;33227393&quot;/&gt;&lt;wsp:rsid wsp:val=&quot;332350B4&quot;/&gt;&lt;wsp:rsid wsp:val=&quot;33242BDA&quot;/&gt;&lt;wsp:rsid wsp:val=&quot;33244988&quot;/&gt;&lt;wsp:rsid wsp:val=&quot;33260700&quot;/&gt;&lt;wsp:rsid wsp:val=&quot;33264BA4&quot;/&gt;&lt;wsp:rsid wsp:val=&quot;33265787&quot;/&gt;&lt;wsp:rsid wsp:val=&quot;33266952&quot;/&gt;&lt;wsp:rsid wsp:val=&quot;3328091C&quot;/&gt;&lt;wsp:rsid wsp:val=&quot;332901F1&quot;/&gt;&lt;wsp:rsid wsp:val=&quot;33292712&quot;/&gt;&lt;wsp:rsid wsp:val=&quot;332B1C2F&quot;/&gt;&lt;wsp:rsid wsp:val=&quot;332C1A8F&quot;/&gt;&lt;wsp:rsid wsp:val=&quot;332D7CE1&quot;/&gt;&lt;wsp:rsid wsp:val=&quot;332E5807&quot;/&gt;&lt;wsp:rsid wsp:val=&quot;3330157F&quot;/&gt;&lt;wsp:rsid wsp:val=&quot;333015F2&quot;/&gt;&lt;wsp:rsid wsp:val=&quot;33332E1D&quot;/&gt;&lt;wsp:rsid wsp:val=&quot;33352DD5&quot;/&gt;&lt;wsp:rsid wsp:val=&quot;33353039&quot;/&gt;&lt;wsp:rsid wsp:val=&quot;33371083&quot;/&gt;&lt;wsp:rsid wsp:val=&quot;333756F5&quot;/&gt;&lt;wsp:rsid wsp:val=&quot;33386686&quot;/&gt;&lt;wsp:rsid wsp:val=&quot;333A0650&quot;/&gt;&lt;wsp:rsid wsp:val=&quot;333C2987&quot;/&gt;&lt;wsp:rsid wsp:val=&quot;333C6176&quot;/&gt;&lt;wsp:rsid wsp:val=&quot;333F7A14&quot;/&gt;&lt;wsp:rsid wsp:val=&quot;334109B7&quot;/&gt;&lt;wsp:rsid wsp:val=&quot;334119DE&quot;/&gt;&lt;wsp:rsid wsp:val=&quot;33412F5E&quot;/&gt;&lt;wsp:rsid wsp:val=&quot;33423060&quot;/&gt;&lt;wsp:rsid wsp:val=&quot;33435756&quot;/&gt;&lt;wsp:rsid wsp:val=&quot;33466FF4&quot;/&gt;&lt;wsp:rsid wsp:val=&quot;33482D6D&quot;/&gt;&lt;wsp:rsid wsp:val=&quot;33492641&quot;/&gt;&lt;wsp:rsid wsp:val=&quot;334943EF&quot;/&gt;&lt;wsp:rsid wsp:val=&quot;334B6320&quot;/&gt;&lt;wsp:rsid wsp:val=&quot;334C6678&quot;/&gt;&lt;wsp:rsid wsp:val=&quot;3353526D&quot;/&gt;&lt;wsp:rsid wsp:val=&quot;33550C7E&quot;/&gt;&lt;wsp:rsid wsp:val=&quot;33550FE6&quot;/&gt;&lt;wsp:rsid wsp:val=&quot;33557238&quot;/&gt;&lt;wsp:rsid wsp:val=&quot;33572FB0&quot;/&gt;&lt;wsp:rsid wsp:val=&quot;33582884&quot;/&gt;&lt;wsp:rsid wsp:val=&quot;335A2AA0&quot;/&gt;&lt;wsp:rsid wsp:val=&quot;335A65FC&quot;/&gt;&lt;wsp:rsid wsp:val=&quot;335C5F80&quot;/&gt;&lt;wsp:rsid wsp:val=&quot;335C671B&quot;/&gt;&lt;wsp:rsid wsp:val=&quot;335D7EF6&quot;/&gt;&lt;wsp:rsid wsp:val=&quot;335F1E64&quot;/&gt;&lt;wsp:rsid wsp:val=&quot;335F3C12&quot;/&gt;&lt;wsp:rsid wsp:val=&quot;33613D3A&quot;/&gt;&lt;wsp:rsid wsp:val=&quot;3361798A&quot;/&gt;&lt;wsp:rsid wsp:val=&quot;33621533&quot;/&gt;&lt;wsp:rsid wsp:val=&quot;33623A54&quot;/&gt;&lt;wsp:rsid wsp:val=&quot;33661445&quot;/&gt;&lt;wsp:rsid wsp:val=&quot;3366334E&quot;/&gt;&lt;wsp:rsid wsp:val=&quot;336851BD&quot;/&gt;&lt;wsp:rsid wsp:val=&quot;33686F6B&quot;/&gt;&lt;wsp:rsid wsp:val=&quot;33694A91&quot;/&gt;&lt;wsp:rsid wsp:val=&quot;3369683F&quot;/&gt;&lt;wsp:rsid wsp:val=&quot;336A463A&quot;/&gt;&lt;wsp:rsid wsp:val=&quot;336B6A5B&quot;/&gt;&lt;wsp:rsid wsp:val=&quot;336F654B&quot;/&gt;&lt;wsp:rsid wsp:val=&quot;33705886&quot;/&gt;&lt;wsp:rsid wsp:val=&quot;33707BCD&quot;/&gt;&lt;wsp:rsid wsp:val=&quot;33723946&quot;/&gt;&lt;wsp:rsid wsp:val=&quot;33727DEA&quot;/&gt;&lt;wsp:rsid wsp:val=&quot;33753436&quot;/&gt;&lt;wsp:rsid wsp:val=&quot;33753AAD&quot;/&gt;&lt;wsp:rsid wsp:val=&quot;337551E4&quot;/&gt;&lt;wsp:rsid wsp:val=&quot;33770F5C&quot;/&gt;&lt;wsp:rsid wsp:val=&quot;33775400&quot;/&gt;&lt;wsp:rsid wsp:val=&quot;337771AE&quot;/&gt;&lt;wsp:rsid wsp:val=&quot;33784CD4&quot;/&gt;&lt;wsp:rsid wsp:val=&quot;33785759&quot;/&gt;&lt;wsp:rsid wsp:val=&quot;33791178&quot;/&gt;&lt;wsp:rsid wsp:val=&quot;337A0A4C&quot;/&gt;&lt;wsp:rsid wsp:val=&quot;337E053C&quot;/&gt;&lt;wsp:rsid wsp:val=&quot;337E678E&quot;/&gt;&lt;wsp:rsid wsp:val=&quot;337E715C&quot;/&gt;&lt;wsp:rsid wsp:val=&quot;33802506&quot;/&gt;&lt;wsp:rsid wsp:val=&quot;33813B89&quot;/&gt;&lt;wsp:rsid wsp:val=&quot;33833DA5&quot;/&gt;&lt;wsp:rsid wsp:val=&quot;33835B53&quot;/&gt;&lt;wsp:rsid wsp:val=&quot;33837C74&quot;/&gt;&lt;wsp:rsid wsp:val=&quot;33843121&quot;/&gt;&lt;wsp:rsid wsp:val=&quot;33843679&quot;/&gt;&lt;wsp:rsid wsp:val=&quot;338611ED&quot;/&gt;&lt;wsp:rsid wsp:val=&quot;338701BF&quot;/&gt;&lt;wsp:rsid wsp:val=&quot;33872D14&quot;/&gt;&lt;wsp:rsid wsp:val=&quot;33890C8F&quot;/&gt;&lt;wsp:rsid wsp:val=&quot;338A5133&quot;/&gt;&lt;wsp:rsid wsp:val=&quot;338B2C59&quot;/&gt;&lt;wsp:rsid wsp:val=&quot;338B3428&quot;/&gt;&lt;wsp:rsid wsp:val=&quot;338B4A07&quot;/&gt;&lt;wsp:rsid wsp:val=&quot;338C2B83&quot;/&gt;&lt;wsp:rsid wsp:val=&quot;338F44F8&quot;/&gt;&lt;wsp:rsid wsp:val=&quot;339064C2&quot;/&gt;&lt;wsp:rsid wsp:val=&quot;33945FB2&quot;/&gt;&lt;wsp:rsid wsp:val=&quot;33955886&quot;/&gt;&lt;wsp:rsid wsp:val=&quot;33957634&quot;/&gt;&lt;wsp:rsid wsp:val=&quot;33977850&quot;/&gt;&lt;wsp:rsid wsp:val=&quot;339A10EE&quot;/&gt;&lt;wsp:rsid wsp:val=&quot;339C2DF7&quot;/&gt;&lt;wsp:rsid wsp:val=&quot;339C6C14&quot;/&gt;&lt;wsp:rsid wsp:val=&quot;339F04B3&quot;/&gt;&lt;wsp:rsid wsp:val=&quot;33A04957&quot;/&gt;&lt;wsp:rsid wsp:val=&quot;33A1422B&quot;/&gt;&lt;wsp:rsid wsp:val=&quot;33A146B4&quot;/&gt;&lt;wsp:rsid wsp:val=&quot;33A15FD9&quot;/&gt;&lt;wsp:rsid wsp:val=&quot;33A3249C&quot;/&gt;&lt;wsp:rsid wsp:val=&quot;33A45AC9&quot;/&gt;&lt;wsp:rsid wsp:val=&quot;33A51F6D&quot;/&gt;&lt;wsp:rsid wsp:val=&quot;33A65CE5&quot;/&gt;&lt;wsp:rsid wsp:val=&quot;33A70526&quot;/&gt;&lt;wsp:rsid wsp:val=&quot;33A855B9&quot;/&gt;&lt;wsp:rsid wsp:val=&quot;33A871B4&quot;/&gt;&lt;wsp:rsid wsp:val=&quot;33AA3B64&quot;/&gt;&lt;wsp:rsid wsp:val=&quot;33AB50A9&quot;/&gt;&lt;wsp:rsid wsp:val=&quot;33AD0E22&quot;/&gt;&lt;wsp:rsid wsp:val=&quot;33AD2D2F&quot;/&gt;&lt;wsp:rsid wsp:val=&quot;33AD7074&quot;/&gt;&lt;wsp:rsid wsp:val=&quot;33AF0D6E&quot;/&gt;&lt;wsp:rsid wsp:val=&quot;33AF6948&quot;/&gt;&lt;wsp:rsid wsp:val=&quot;33B026C0&quot;/&gt;&lt;wsp:rsid wsp:val=&quot;33B0446E&quot;/&gt;&lt;wsp:rsid wsp:val=&quot;33B15C85&quot;/&gt;&lt;wsp:rsid wsp:val=&quot;33B26438&quot;/&gt;&lt;wsp:rsid wsp:val=&quot;33B3020A&quot;/&gt;&lt;wsp:rsid wsp:val=&quot;33B421B0&quot;/&gt;&lt;wsp:rsid wsp:val=&quot;33B51A84&quot;/&gt;&lt;wsp:rsid wsp:val=&quot;33B73A4E&quot;/&gt;&lt;wsp:rsid wsp:val=&quot;33B757FC&quot;/&gt;&lt;wsp:rsid wsp:val=&quot;33B95A18&quot;/&gt;&lt;wsp:rsid wsp:val=&quot;33BC2E13&quot;/&gt;&lt;wsp:rsid wsp:val=&quot;33BC72B7&quot;/&gt;&lt;wsp:rsid wsp:val=&quot;33BF4552&quot;/&gt;&lt;wsp:rsid wsp:val=&quot;33C300CE&quot;/&gt;&lt;wsp:rsid wsp:val=&quot;33C47F8B&quot;/&gt;&lt;wsp:rsid wsp:val=&quot;33C543BD&quot;/&gt;&lt;wsp:rsid wsp:val=&quot;33C63C91&quot;/&gt;&lt;wsp:rsid wsp:val=&quot;33C77B10&quot;/&gt;&lt;wsp:rsid wsp:val=&quot;33CA19D4&quot;/&gt;&lt;wsp:rsid wsp:val=&quot;33CB48B5&quot;/&gt;&lt;wsp:rsid wsp:val=&quot;33CC574C&quot;/&gt;&lt;wsp:rsid wsp:val=&quot;33CD6DCE&quot;/&gt;&lt;wsp:rsid wsp:val=&quot;33CF73DF&quot;/&gt;&lt;wsp:rsid wsp:val=&quot;33D01842&quot;/&gt;&lt;wsp:rsid wsp:val=&quot;33D01E45&quot;/&gt;&lt;wsp:rsid wsp:val=&quot;33D068BE&quot;/&gt;&lt;wsp:rsid wsp:val=&quot;33D12D62&quot;/&gt;&lt;wsp:rsid wsp:val=&quot;33D22636&quot;/&gt;&lt;wsp:rsid wsp:val=&quot;33D4015C&quot;/&gt;&lt;wsp:rsid wsp:val=&quot;33D535A4&quot;/&gt;&lt;wsp:rsid wsp:val=&quot;33D60378&quot;/&gt;&lt;wsp:rsid wsp:val=&quot;33D740F0&quot;/&gt;&lt;wsp:rsid wsp:val=&quot;33D75E9F&quot;/&gt;&lt;wsp:rsid wsp:val=&quot;33D75EC4&quot;/&gt;&lt;wsp:rsid wsp:val=&quot;33D77C4D&quot;/&gt;&lt;wsp:rsid wsp:val=&quot;33D87354&quot;/&gt;&lt;wsp:rsid wsp:val=&quot;33D87904&quot;/&gt;&lt;wsp:rsid wsp:val=&quot;33D934D4&quot;/&gt;&lt;wsp:rsid wsp:val=&quot;33D97E69&quot;/&gt;&lt;wsp:rsid wsp:val=&quot;33DC1707&quot;/&gt;&lt;wsp:rsid wsp:val=&quot;33DC34B5&quot;/&gt;&lt;wsp:rsid wsp:val=&quot;33DD2188&quot;/&gt;&lt;wsp:rsid wsp:val=&quot;33DE0FDB&quot;/&gt;&lt;wsp:rsid wsp:val=&quot;33DE23AA&quot;/&gt;&lt;wsp:rsid wsp:val=&quot;33E0214E&quot;/&gt;&lt;wsp:rsid wsp:val=&quot;33E04D53&quot;/&gt;&lt;wsp:rsid wsp:val=&quot;33E2081F&quot;/&gt;&lt;wsp:rsid wsp:val=&quot;33E273C6&quot;/&gt;&lt;wsp:rsid wsp:val=&quot;33E34843&quot;/&gt;&lt;wsp:rsid wsp:val=&quot;33E5680D&quot;/&gt;&lt;wsp:rsid wsp:val=&quot;33E660E2&quot;/&gt;&lt;wsp:rsid wsp:val=&quot;33E8451E&quot;/&gt;&lt;wsp:rsid wsp:val=&quot;33EA060C&quot;/&gt;&lt;wsp:rsid wsp:val=&quot;33EC2188&quot;/&gt;&lt;wsp:rsid wsp:val=&quot;33EC2A6C&quot;/&gt;&lt;wsp:rsid wsp:val=&quot;33EC6C5A&quot;/&gt;&lt;wsp:rsid wsp:val=&quot;33F16241&quot;/&gt;&lt;wsp:rsid wsp:val=&quot;33F26834&quot;/&gt;&lt;wsp:rsid wsp:val=&quot;33F46A50&quot;/&gt;&lt;wsp:rsid wsp:val=&quot;33F56325&quot;/&gt;&lt;wsp:rsid wsp:val=&quot;33FA125E&quot;/&gt;&lt;wsp:rsid wsp:val=&quot;33FB393B&quot;/&gt;&lt;wsp:rsid wsp:val=&quot;33FB7DDF&quot;/&gt;&lt;wsp:rsid wsp:val=&quot;33FD3B57&quot;/&gt;&lt;wsp:rsid wsp:val=&quot;33FE2F6A&quot;/&gt;&lt;wsp:rsid wsp:val=&quot;33FE342B&quot;/&gt;&lt;wsp:rsid wsp:val=&quot;34000F51&quot;/&gt;&lt;wsp:rsid wsp:val=&quot;34001345&quot;/&gt;&lt;wsp:rsid wsp:val=&quot;34034EE6&quot;/&gt;&lt;wsp:rsid wsp:val=&quot;34043352&quot;/&gt;&lt;wsp:rsid wsp:val=&quot;34044EE1&quot;/&gt;&lt;wsp:rsid wsp:val=&quot;34052A0C&quot;/&gt;&lt;wsp:rsid wsp:val=&quot;340547BA&quot;/&gt;&lt;wsp:rsid wsp:val=&quot;34060532&quot;/&gt;&lt;wsp:rsid wsp:val=&quot;34076784&quot;/&gt;&lt;wsp:rsid wsp:val=&quot;34081665&quot;/&gt;&lt;wsp:rsid wsp:val=&quot;340A0022&quot;/&gt;&lt;wsp:rsid wsp:val=&quot;340A1DD0&quot;/&gt;&lt;wsp:rsid wsp:val=&quot;340A6274&quot;/&gt;&lt;wsp:rsid wsp:val=&quot;340B78F6&quot;/&gt;&lt;wsp:rsid wsp:val=&quot;340E07E5&quot;/&gt;&lt;wsp:rsid wsp:val=&quot;340F388A&quot;/&gt;&lt;wsp:rsid wsp:val=&quot;340F5638&quot;/&gt;&lt;wsp:rsid wsp:val=&quot;34104BC5&quot;/&gt;&lt;wsp:rsid wsp:val=&quot;34110C26&quot;/&gt;&lt;wsp:rsid wsp:val=&quot;3411315F&quot;/&gt;&lt;wsp:rsid wsp:val=&quot;34117602&quot;/&gt;&lt;wsp:rsid wsp:val=&quot;34122977&quot;/&gt;&lt;wsp:rsid wsp:val=&quot;34140EA1&quot;/&gt;&lt;wsp:rsid wsp:val=&quot;34173357&quot;/&gt;&lt;wsp:rsid wsp:val=&quot;34180991&quot;/&gt;&lt;wsp:rsid wsp:val=&quot;34183C16&quot;/&gt;&lt;wsp:rsid wsp:val=&quot;341964B7&quot;/&gt;&lt;wsp:rsid wsp:val=&quot;341A0848&quot;/&gt;&lt;wsp:rsid wsp:val=&quot;341A39D8&quot;/&gt;&lt;wsp:rsid wsp:val=&quot;341D6847&quot;/&gt;&lt;wsp:rsid wsp:val=&quot;341E1D1F&quot;/&gt;&lt;wsp:rsid wsp:val=&quot;341F4EED&quot;/&gt;&lt;wsp:rsid wsp:val=&quot;342033A2&quot;/&gt;&lt;wsp:rsid wsp:val=&quot;34204CF4&quot;/&gt;&lt;wsp:rsid wsp:val=&quot;342127BC&quot;/&gt;&lt;wsp:rsid wsp:val=&quot;342310E4&quot;/&gt;&lt;wsp:rsid wsp:val=&quot;34235B30&quot;/&gt;&lt;wsp:rsid wsp:val=&quot;34235BF7&quot;/&gt;&lt;wsp:rsid wsp:val=&quot;342509B8&quot;/&gt;&lt;wsp:rsid wsp:val=&quot;34254E5C&quot;/&gt;&lt;wsp:rsid wsp:val=&quot;3425595B&quot;/&gt;&lt;wsp:rsid wsp:val=&quot;34270BD4&quot;/&gt;&lt;wsp:rsid wsp:val=&quot;342819A5&quot;/&gt;&lt;wsp:rsid wsp:val=&quot;342829A7&quot;/&gt;&lt;wsp:rsid wsp:val=&quot;3428494C&quot;/&gt;&lt;wsp:rsid wsp:val=&quot;3428577F&quot;/&gt;&lt;wsp:rsid wsp:val=&quot;342A2472&quot;/&gt;&lt;wsp:rsid wsp:val=&quot;342A4220&quot;/&gt;&lt;wsp:rsid wsp:val=&quot;342B407E&quot;/&gt;&lt;wsp:rsid wsp:val=&quot;342B71E2&quot;/&gt;&lt;wsp:rsid wsp:val=&quot;342C0EC1&quot;/&gt;&lt;wsp:rsid wsp:val=&quot;342D3D10&quot;/&gt;&lt;wsp:rsid wsp:val=&quot;342D5ABF&quot;/&gt;&lt;wsp:rsid wsp:val=&quot;342D6CBE&quot;/&gt;&lt;wsp:rsid wsp:val=&quot;34311A53&quot;/&gt;&lt;wsp:rsid wsp:val=&quot;34313801&quot;/&gt;&lt;wsp:rsid wsp:val=&quot;34321327&quot;/&gt;&lt;wsp:rsid wsp:val=&quot;34360E17&quot;/&gt;&lt;wsp:rsid wsp:val=&quot;34362BC5&quot;/&gt;&lt;wsp:rsid wsp:val=&quot;343668E0&quot;/&gt;&lt;wsp:rsid wsp:val=&quot;34390907&quot;/&gt;&lt;wsp:rsid wsp:val=&quot;343B467F&quot;/&gt;&lt;wsp:rsid wsp:val=&quot;343B642D&quot;/&gt;&lt;wsp:rsid wsp:val=&quot;343B6886&quot;/&gt;&lt;wsp:rsid wsp:val=&quot;343C1A77&quot;/&gt;&lt;wsp:rsid wsp:val=&quot;343C4012&quot;/&gt;&lt;wsp:rsid wsp:val=&quot;343D21A6&quot;/&gt;&lt;wsp:rsid wsp:val=&quot;343E1A7A&quot;/&gt;&lt;wsp:rsid wsp:val=&quot;343F3CA4&quot;/&gt;&lt;wsp:rsid wsp:val=&quot;34433534&quot;/&gt;&lt;wsp:rsid wsp:val=&quot;3445105A&quot;/&gt;&lt;wsp:rsid wsp:val=&quot;34474DD2&quot;/&gt;&lt;wsp:rsid wsp:val=&quot;34476B80&quot;/&gt;&lt;wsp:rsid wsp:val=&quot;34480B4A&quot;/&gt;&lt;wsp:rsid wsp:val=&quot;344828F8&quot;/&gt;&lt;wsp:rsid wsp:val=&quot;34494D56&quot;/&gt;&lt;wsp:rsid wsp:val=&quot;344A2B14&quot;/&gt;&lt;wsp:rsid wsp:val=&quot;344C063B&quot;/&gt;&lt;wsp:rsid wsp:val=&quot;344D3C74&quot;/&gt;&lt;wsp:rsid wsp:val=&quot;344D6161&quot;/&gt;&lt;wsp:rsid wsp:val=&quot;344D6FBB&quot;/&gt;&lt;wsp:rsid wsp:val=&quot;344E43B3&quot;/&gt;&lt;wsp:rsid wsp:val=&quot;344F012B&quot;/&gt;&lt;wsp:rsid wsp:val=&quot;344F0BC8&quot;/&gt;&lt;wsp:rsid wsp:val=&quot;344F3C87&quot;/&gt;&lt;wsp:rsid wsp:val=&quot;34513182&quot;/&gt;&lt;wsp:rsid wsp:val=&quot;345179FF&quot;/&gt;&lt;wsp:rsid wsp:val=&quot;34525525&quot;/&gt;&lt;wsp:rsid wsp:val=&quot;345319C9&quot;/&gt;&lt;wsp:rsid wsp:val=&quot;34533777&quot;/&gt;&lt;wsp:rsid wsp:val=&quot;34544A3A&quot;/&gt;&lt;wsp:rsid wsp:val=&quot;34576638&quot;/&gt;&lt;wsp:rsid wsp:val=&quot;34592D57&quot;/&gt;&lt;wsp:rsid wsp:val=&quot;345968B4&quot;/&gt;&lt;wsp:rsid wsp:val=&quot;345A624E&quot;/&gt;&lt;wsp:rsid wsp:val=&quot;345B6AD0&quot;/&gt;&lt;wsp:rsid wsp:val=&quot;345D3948&quot;/&gt;&lt;wsp:rsid wsp:val=&quot;345E3ECA&quot;/&gt;&lt;wsp:rsid wsp:val=&quot;34607C42&quot;/&gt;&lt;wsp:rsid wsp:val=&quot;3461254A&quot;/&gt;&lt;wsp:rsid wsp:val=&quot;34613160&quot;/&gt;&lt;wsp:rsid wsp:val=&quot;34621C0C&quot;/&gt;&lt;wsp:rsid wsp:val=&quot;346239BA&quot;/&gt;&lt;wsp:rsid wsp:val=&quot;34627E5E&quot;/&gt;&lt;wsp:rsid wsp:val=&quot;3464452F&quot;/&gt;&lt;wsp:rsid wsp:val=&quot;34645984&quot;/&gt;&lt;wsp:rsid wsp:val=&quot;34655258&quot;/&gt;&lt;wsp:rsid wsp:val=&quot;34670FD0&quot;/&gt;&lt;wsp:rsid wsp:val=&quot;34675474&quot;/&gt;&lt;wsp:rsid wsp:val=&quot;34677222&quot;/&gt;&lt;wsp:rsid wsp:val=&quot;34684D49&quot;/&gt;&lt;wsp:rsid wsp:val=&quot;346A0AC1&quot;/&gt;&lt;wsp:rsid wsp:val=&quot;346B6CBF&quot;/&gt;&lt;wsp:rsid wsp:val=&quot;346C4839&quot;/&gt;&lt;wsp:rsid wsp:val=&quot;346E05B1&quot;/&gt;&lt;wsp:rsid wsp:val=&quot;346E6803&quot;/&gt;&lt;wsp:rsid wsp:val=&quot;34711E4F&quot;/&gt;&lt;wsp:rsid wsp:val=&quot;34714439&quot;/&gt;&lt;wsp:rsid wsp:val=&quot;34717457&quot;/&gt;&lt;wsp:rsid wsp:val=&quot;347559B3&quot;/&gt;&lt;wsp:rsid wsp:val=&quot;34763D72&quot;/&gt;&lt;wsp:rsid wsp:val=&quot;347676D7&quot;/&gt;&lt;wsp:rsid wsp:val=&quot;347831DE&quot;/&gt;&lt;wsp:rsid wsp:val=&quot;34790D04&quot;/&gt;&lt;wsp:rsid wsp:val=&quot;347B4A7C&quot;/&gt;&lt;wsp:rsid wsp:val=&quot;347D25A2&quot;/&gt;&lt;wsp:rsid wsp:val=&quot;34806536&quot;/&gt;&lt;wsp:rsid wsp:val=&quot;3482405C&quot;/&gt;&lt;wsp:rsid wsp:val=&quot;34853B4C&quot;/&gt;&lt;wsp:rsid wsp:val=&quot;348558FB&quot;/&gt;&lt;wsp:rsid wsp:val=&quot;34863867&quot;/&gt;&lt;wsp:rsid wsp:val=&quot;34872C8E&quot;/&gt;&lt;wsp:rsid wsp:val=&quot;34880F47&quot;/&gt;&lt;wsp:rsid wsp:val=&quot;34894B89&quot;/&gt;&lt;wsp:rsid wsp:val=&quot;348A2F11&quot;/&gt;&lt;wsp:rsid wsp:val=&quot;348A4CBF&quot;/&gt;&lt;wsp:rsid wsp:val=&quot;348A615B&quot;/&gt;&lt;wsp:rsid wsp:val=&quot;348C4BEA&quot;/&gt;&lt;wsp:rsid wsp:val=&quot;348C4EDB&quot;/&gt;&lt;wsp:rsid wsp:val=&quot;348C6C89&quot;/&gt;&lt;wsp:rsid wsp:val=&quot;348E2A01&quot;/&gt;&lt;wsp:rsid wsp:val=&quot;348F22D5&quot;/&gt;&lt;wsp:rsid wsp:val=&quot;3490732E&quot;/&gt;&lt;wsp:rsid wsp:val=&quot;34911E0A&quot;/&gt;&lt;wsp:rsid wsp:val=&quot;3491429F&quot;/&gt;&lt;wsp:rsid wsp:val=&quot;3492329A&quot;/&gt;&lt;wsp:rsid wsp:val=&quot;34931DC5&quot;/&gt;&lt;wsp:rsid wsp:val=&quot;34945B3E&quot;/&gt;&lt;wsp:rsid wsp:val=&quot;349670D1&quot;/&gt;&lt;wsp:rsid wsp:val=&quot;34983880&quot;/&gt;&lt;wsp:rsid wsp:val=&quot;3498562E&quot;/&gt;&lt;wsp:rsid wsp:val=&quot;349A13A6&quot;/&gt;&lt;wsp:rsid wsp:val=&quot;349A586E&quot;/&gt;&lt;wsp:rsid wsp:val=&quot;349B3370&quot;/&gt;&lt;wsp:rsid wsp:val=&quot;349B6ECC&quot;/&gt;&lt;wsp:rsid wsp:val=&quot;349D2C44&quot;/&gt;&lt;wsp:rsid wsp:val=&quot;349D49F2&quot;/&gt;&lt;wsp:rsid wsp:val=&quot;349E076A&quot;/&gt;&lt;wsp:rsid wsp:val=&quot;349E64E4&quot;/&gt;&lt;wsp:rsid wsp:val=&quot;34A00986&quot;/&gt;&lt;wsp:rsid wsp:val=&quot;34A044E2&quot;/&gt;&lt;wsp:rsid wsp:val=&quot;34A23D01&quot;/&gt;&lt;wsp:rsid wsp:val=&quot;34A2408A&quot;/&gt;&lt;wsp:rsid wsp:val=&quot;34A35D81&quot;/&gt;&lt;wsp:rsid wsp:val=&quot;34A405FC&quot;/&gt;&lt;wsp:rsid wsp:val=&quot;34A43FD3&quot;/&gt;&lt;wsp:rsid wsp:val=&quot;34A51AF9&quot;/&gt;&lt;wsp:rsid wsp:val=&quot;34A55F9D&quot;/&gt;&lt;wsp:rsid wsp:val=&quot;34A6665F&quot;/&gt;&lt;wsp:rsid wsp:val=&quot;34AA5361&quot;/&gt;&lt;wsp:rsid wsp:val=&quot;34AB35B3&quot;/&gt;&lt;wsp:rsid wsp:val=&quot;34AC10D9&quot;/&gt;&lt;wsp:rsid wsp:val=&quot;34AC2E87&quot;/&gt;&lt;wsp:rsid wsp:val=&quot;34AE2A73&quot;/&gt;&lt;wsp:rsid wsp:val=&quot;34AF4725&quot;/&gt;&lt;wsp:rsid wsp:val=&quot;34B04487&quot;/&gt;&lt;wsp:rsid wsp:val=&quot;34B166F0&quot;/&gt;&lt;wsp:rsid wsp:val=&quot;34B26104&quot;/&gt;&lt;wsp:rsid wsp:val=&quot;34B32468&quot;/&gt;&lt;wsp:rsid wsp:val=&quot;34B47F8E&quot;/&gt;&lt;wsp:rsid wsp:val=&quot;34B561E0&quot;/&gt;&lt;wsp:rsid wsp:val=&quot;34B61205&quot;/&gt;&lt;wsp:rsid wsp:val=&quot;34B8182C&quot;/&gt;&lt;wsp:rsid wsp:val=&quot;34B87A7E&quot;/&gt;&lt;wsp:rsid wsp:val=&quot;34BA1A48&quot;/&gt;&lt;wsp:rsid wsp:val=&quot;34BA2757&quot;/&gt;&lt;wsp:rsid wsp:val=&quot;34BC4A49&quot;/&gt;&lt;wsp:rsid wsp:val=&quot;34BD32E6&quot;/&gt;&lt;wsp:rsid wsp:val=&quot;34BD62A8&quot;/&gt;&lt;wsp:rsid wsp:val=&quot;34BE0E27&quot;/&gt;&lt;wsp:rsid wsp:val=&quot;34C12DD7&quot;/&gt;&lt;wsp:rsid wsp:val=&quot;34C226AB&quot;/&gt;&lt;wsp:rsid wsp:val=&quot;34C27960&quot;/&gt;&lt;wsp:rsid wsp:val=&quot;34C401D1&quot;/&gt;&lt;wsp:rsid wsp:val=&quot;34C44675&quot;/&gt;&lt;wsp:rsid wsp:val=&quot;34C46423&quot;/&gt;&lt;wsp:rsid wsp:val=&quot;34C56129&quot;/&gt;&lt;wsp:rsid wsp:val=&quot;34C6218A&quot;/&gt;&lt;wsp:rsid wsp:val=&quot;34CA0B0B&quot;/&gt;&lt;wsp:rsid wsp:val=&quot;34CB5A03&quot;/&gt;&lt;wsp:rsid wsp:val=&quot;34CC4428&quot;/&gt;&lt;wsp:rsid wsp:val=&quot;34CC52D7&quot;/&gt;&lt;wsp:rsid wsp:val=&quot;34CE091C&quot;/&gt;&lt;wsp:rsid wsp:val=&quot;34CE1050&quot;/&gt;&lt;wsp:rsid wsp:val=&quot;34CE2DFE&quot;/&gt;&lt;wsp:rsid wsp:val=&quot;34CE72A2&quot;/&gt;&lt;wsp:rsid wsp:val=&quot;34D10B40&quot;/&gt;&lt;wsp:rsid wsp:val=&quot;34D32B0A&quot;/&gt;&lt;wsp:rsid wsp:val=&quot;34D36666&quot;/&gt;&lt;wsp:rsid wsp:val=&quot;34D412B5&quot;/&gt;&lt;wsp:rsid wsp:val=&quot;34D67F04&quot;/&gt;&lt;wsp:rsid wsp:val=&quot;34D81ECE&quot;/&gt;&lt;wsp:rsid wsp:val=&quot;34D97104&quot;/&gt;&lt;wsp:rsid wsp:val=&quot;34DA3E98&quot;/&gt;&lt;wsp:rsid wsp:val=&quot;34DA5C46&quot;/&gt;&lt;wsp:rsid wsp:val=&quot;34DC2F20&quot;/&gt;&lt;wsp:rsid wsp:val=&quot;34DD74E5&quot;/&gt;&lt;wsp:rsid wsp:val=&quot;34DF500B&quot;/&gt;&lt;wsp:rsid wsp:val=&quot;34E00D83&quot;/&gt;&lt;wsp:rsid wsp:val=&quot;34E15813&quot;/&gt;&lt;wsp:rsid wsp:val=&quot;34E22105&quot;/&gt;&lt;wsp:rsid wsp:val=&quot;34E22D4D&quot;/&gt;&lt;wsp:rsid wsp:val=&quot;34E23F87&quot;/&gt;&lt;wsp:rsid wsp:val=&quot;34E40873&quot;/&gt;&lt;wsp:rsid wsp:val=&quot;34E46AC5&quot;/&gt;&lt;wsp:rsid wsp:val=&quot;34E940DB&quot;/&gt;&lt;wsp:rsid wsp:val=&quot;34EA39B0&quot;/&gt;&lt;wsp:rsid wsp:val=&quot;34EB1585&quot;/&gt;&lt;wsp:rsid wsp:val=&quot;34EB1C02&quot;/&gt;&lt;wsp:rsid wsp:val=&quot;34EB7E44&quot;/&gt;&lt;wsp:rsid wsp:val=&quot;34EC3231&quot;/&gt;&lt;wsp:rsid wsp:val=&quot;34EC3BCC&quot;/&gt;&lt;wsp:rsid wsp:val=&quot;34EC7728&quot;/&gt;&lt;wsp:rsid wsp:val=&quot;34EE7F06&quot;/&gt;&lt;wsp:rsid wsp:val=&quot;34F01FCB&quot;/&gt;&lt;wsp:rsid wsp:val=&quot;34F14D3E&quot;/&gt;&lt;wsp:rsid wsp:val=&quot;34F27F15&quot;/&gt;&lt;wsp:rsid wsp:val=&quot;34F32864&quot;/&gt;&lt;wsp:rsid wsp:val=&quot;34F32E56&quot;/&gt;&lt;wsp:rsid wsp:val=&quot;34F462AA&quot;/&gt;&lt;wsp:rsid wsp:val=&quot;34F5482E&quot;/&gt;&lt;wsp:rsid wsp:val=&quot;34F74B86&quot;/&gt;&lt;wsp:rsid wsp:val=&quot;34F767F8&quot;/&gt;&lt;wsp:rsid wsp:val=&quot;34FA1E45&quot;/&gt;&lt;wsp:rsid wsp:val=&quot;34FB796B&quot;/&gt;&lt;wsp:rsid wsp:val=&quot;34FD7B87&quot;/&gt;&lt;wsp:rsid wsp:val=&quot;34FF38FF&quot;/&gt;&lt;wsp:rsid wsp:val=&quot;350031D3&quot;/&gt;&lt;wsp:rsid wsp:val=&quot;35011425&quot;/&gt;&lt;wsp:rsid wsp:val=&quot;35026F4B&quot;/&gt;&lt;wsp:rsid wsp:val=&quot;35042CC3&quot;/&gt;&lt;wsp:rsid wsp:val=&quot;35066A3B&quot;/&gt;&lt;wsp:rsid wsp:val=&quot;35076034&quot;/&gt;&lt;wsp:rsid wsp:val=&quot;35085F28&quot;/&gt;&lt;wsp:rsid wsp:val=&quot;350A6CA2&quot;/&gt;&lt;wsp:rsid wsp:val=&quot;350B22A4&quot;/&gt;&lt;wsp:rsid wsp:val=&quot;350E58F0&quot;/&gt;&lt;wsp:rsid wsp:val=&quot;350E769E&quot;/&gt;&lt;wsp:rsid wsp:val=&quot;35101D41&quot;/&gt;&lt;wsp:rsid wsp:val=&quot;351078BA&quot;/&gt;&lt;wsp:rsid wsp:val=&quot;351142FA&quot;/&gt;&lt;wsp:rsid wsp:val=&quot;35125950&quot;/&gt;&lt;wsp:rsid wsp:val=&quot;35151850&quot;/&gt;&lt;wsp:rsid wsp:val=&quot;35154ED0&quot;/&gt;&lt;wsp:rsid wsp:val=&quot;35166D02&quot;/&gt;&lt;wsp:rsid wsp:val=&quot;351729F7&quot;/&gt;&lt;wsp:rsid wsp:val=&quot;3518051D&quot;/&gt;&lt;wsp:rsid wsp:val=&quot;351849C1&quot;/&gt;&lt;wsp:rsid wsp:val=&quot;351A24E7&quot;/&gt;&lt;wsp:rsid wsp:val=&quot;351A4352&quot;/&gt;&lt;wsp:rsid wsp:val=&quot;351A5A93&quot;/&gt;&lt;wsp:rsid wsp:val=&quot;351B6F23&quot;/&gt;&lt;wsp:rsid wsp:val=&quot;351C03B3&quot;/&gt;&lt;wsp:rsid wsp:val=&quot;351C625F&quot;/&gt;&lt;wsp:rsid wsp:val=&quot;351E44B9&quot;/&gt;&lt;wsp:rsid wsp:val=&quot;351F18AB&quot;/&gt;&lt;wsp:rsid wsp:val=&quot;351F7AFD&quot;/&gt;&lt;wsp:rsid wsp:val=&quot;35203BE3&quot;/&gt;&lt;wsp:rsid wsp:val=&quot;35230286&quot;/&gt;&lt;wsp:rsid wsp:val=&quot;352549E8&quot;/&gt;&lt;wsp:rsid wsp:val=&quot;35264036&quot;/&gt;&lt;wsp:rsid wsp:val=&quot;35264236&quot;/&gt;&lt;wsp:rsid wsp:val=&quot;35270760&quot;/&gt;&lt;wsp:rsid wsp:val=&quot;352A3E47&quot;/&gt;&lt;wsp:rsid wsp:val=&quot;352A5588&quot;/&gt;&lt;wsp:rsid wsp:val=&quot;352B0250&quot;/&gt;&lt;wsp:rsid wsp:val=&quot;352B04F3&quot;/&gt;&lt;wsp:rsid wsp:val=&quot;352B70C1&quot;/&gt;&lt;wsp:rsid wsp:val=&quot;352C5D76&quot;/&gt;&lt;wsp:rsid wsp:val=&quot;35303AB8&quot;/&gt;&lt;wsp:rsid wsp:val=&quot;35307911&quot;/&gt;&lt;wsp:rsid wsp:val=&quot;35313D1A&quot;/&gt;&lt;wsp:rsid wsp:val=&quot;35374790&quot;/&gt;&lt;wsp:rsid wsp:val=&quot;35382942&quot;/&gt;&lt;wsp:rsid wsp:val=&quot;353978DB&quot;/&gt;&lt;wsp:rsid wsp:val=&quot;353A0493&quot;/&gt;&lt;wsp:rsid wsp:val=&quot;353A3B27&quot;/&gt;&lt;wsp:rsid wsp:val=&quot;353A66E5&quot;/&gt;&lt;wsp:rsid wsp:val=&quot;353A782C&quot;/&gt;&lt;wsp:rsid wsp:val=&quot;353C06AF&quot;/&gt;&lt;wsp:rsid wsp:val=&quot;353F42E9&quot;/&gt;&lt;wsp:rsid wsp:val=&quot;3542559A&quot;/&gt;&lt;wsp:rsid wsp:val=&quot;3543355E&quot;/&gt;&lt;wsp:rsid wsp:val=&quot;35447E07&quot;/&gt;&lt;wsp:rsid wsp:val=&quot;3545606E&quot;/&gt;&lt;wsp:rsid wsp:val=&quot;35457D22&quot;/&gt;&lt;wsp:rsid wsp:val=&quot;35470E02&quot;/&gt;&lt;wsp:rsid wsp:val=&quot;35492DCC&quot;/&gt;&lt;wsp:rsid wsp:val=&quot;35494B7A&quot;/&gt;&lt;wsp:rsid wsp:val=&quot;35496928&quot;/&gt;&lt;wsp:rsid wsp:val=&quot;354B5DA0&quot;/&gt;&lt;wsp:rsid wsp:val=&quot;354E2190&quot;/&gt;&lt;wsp:rsid wsp:val=&quot;354F21C3&quot;/&gt;&lt;wsp:rsid wsp:val=&quot;35527ED3&quot;/&gt;&lt;wsp:rsid wsp:val=&quot;35531555&quot;/&gt;&lt;wsp:rsid wsp:val=&quot;355359F9&quot;/&gt;&lt;wsp:rsid wsp:val=&quot;35560E8C&quot;/&gt;&lt;wsp:rsid wsp:val=&quot;35572E64&quot;/&gt;&lt;wsp:rsid wsp:val=&quot;355754E9&quot;/&gt;&lt;wsp:rsid wsp:val=&quot;35577297&quot;/&gt;&lt;wsp:rsid wsp:val=&quot;355808F5&quot;/&gt;&lt;wsp:rsid wsp:val=&quot;355A0B35&quot;/&gt;&lt;wsp:rsid wsp:val=&quot;355B7EB7&quot;/&gt;&lt;wsp:rsid wsp:val=&quot;355C665B&quot;/&gt;&lt;wsp:rsid wsp:val=&quot;355D4A8E&quot;/&gt;&lt;wsp:rsid wsp:val=&quot;355E0625&quot;/&gt;&lt;wsp:rsid wsp:val=&quot;355E12E1&quot;/&gt;&lt;wsp:rsid wsp:val=&quot;355E7296&quot;/&gt;&lt;wsp:rsid wsp:val=&quot;355F614C&quot;/&gt;&lt;wsp:rsid wsp:val=&quot;355F7EFA&quot;/&gt;&lt;wsp:rsid wsp:val=&quot;3562552D&quot;/&gt;&lt;wsp:rsid wsp:val=&quot;356279A2&quot;/&gt;&lt;wsp:rsid wsp:val=&quot;35633E8E&quot;/&gt;&lt;wsp:rsid wsp:val=&quot;35661288&quot;/&gt;&lt;wsp:rsid wsp:val=&quot;3566572C&quot;/&gt;&lt;wsp:rsid wsp:val=&quot;35675000&quot;/&gt;&lt;wsp:rsid wsp:val=&quot;356822B0&quot;/&gt;&lt;wsp:rsid wsp:val=&quot;35683252&quot;/&gt;&lt;wsp:rsid wsp:val=&quot;356833E9&quot;/&gt;&lt;wsp:rsid wsp:val=&quot;356B689E&quot;/&gt;&lt;wsp:rsid wsp:val=&quot;356C2617&quot;/&gt;&lt;wsp:rsid wsp:val=&quot;356D0868&quot;/&gt;&lt;wsp:rsid wsp:val=&quot;356D6ABA&quot;/&gt;&lt;wsp:rsid wsp:val=&quot;356E2833&quot;/&gt;&lt;wsp:rsid wsp:val=&quot;356E45E1&quot;/&gt;&lt;wsp:rsid wsp:val=&quot;356E638F&quot;/&gt;&lt;wsp:rsid wsp:val=&quot;35704BDF&quot;/&gt;&lt;wsp:rsid wsp:val=&quot;357339A5&quot;/&gt;&lt;wsp:rsid wsp:val=&quot;35773495&quot;/&gt;&lt;wsp:rsid wsp:val=&quot;35777939&quot;/&gt;&lt;wsp:rsid wsp:val=&quot;35792986&quot;/&gt;&lt;wsp:rsid wsp:val=&quot;35795557&quot;/&gt;&lt;wsp:rsid wsp:val=&quot;35796F70&quot;/&gt;&lt;wsp:rsid wsp:val=&quot;357C36EF&quot;/&gt;&lt;wsp:rsid wsp:val=&quot;357C4F4F&quot;/&gt;&lt;wsp:rsid wsp:val=&quot;357C6CFE&quot;/&gt;&lt;wsp:rsid wsp:val=&quot;357D4824&quot;/&gt;&lt;wsp:rsid wsp:val=&quot;357F059C&quot;/&gt;&lt;wsp:rsid wsp:val=&quot;357F234A&quot;/&gt;&lt;wsp:rsid wsp:val=&quot;35815504&quot;/&gt;&lt;wsp:rsid wsp:val=&quot;35845BB2&quot;/&gt;&lt;wsp:rsid wsp:val=&quot;3586192A&quot;/&gt;&lt;wsp:rsid wsp:val=&quot;358833D3&quot;/&gt;&lt;wsp:rsid wsp:val=&quot;3588605C&quot;/&gt;&lt;wsp:rsid wsp:val=&quot;358A766C&quot;/&gt;&lt;wsp:rsid wsp:val=&quot;358B6DBD&quot;/&gt;&lt;wsp:rsid wsp:val=&quot;358C5FA8&quot;/&gt;&lt;wsp:rsid wsp:val=&quot;358E07DF&quot;/&gt;&lt;wsp:rsid wsp:val=&quot;358F1B65&quot;/&gt;&lt;wsp:rsid wsp:val=&quot;358F4C83&quot;/&gt;&lt;wsp:rsid wsp:val=&quot;359009FB&quot;/&gt;&lt;wsp:rsid wsp:val=&quot;35906305&quot;/&gt;&lt;wsp:rsid wsp:val=&quot;359202CF&quot;/&gt;&lt;wsp:rsid wsp:val=&quot;35942299&quot;/&gt;&lt;wsp:rsid wsp:val=&quot;35977693&quot;/&gt;&lt;wsp:rsid wsp:val=&quot;359823FA&quot;/&gt;&lt;wsp:rsid wsp:val=&quot;3598340C&quot;/&gt;&lt;wsp:rsid wsp:val=&quot;359A3628&quot;/&gt;&lt;wsp:rsid wsp:val=&quot;359A53D6&quot;/&gt;&lt;wsp:rsid wsp:val=&quot;359A7184&quot;/&gt;&lt;wsp:rsid wsp:val=&quot;359D6D3A&quot;/&gt;&lt;wsp:rsid wsp:val=&quot;359E4EC6&quot;/&gt;&lt;wsp:rsid wsp:val=&quot;359E55F9&quot;/&gt;&lt;wsp:rsid wsp:val=&quot;359E6C74&quot;/&gt;&lt;wsp:rsid wsp:val=&quot;35A10512&quot;/&gt;&lt;wsp:rsid wsp:val=&quot;35A324DC&quot;/&gt;&lt;wsp:rsid wsp:val=&quot;35A46254&quot;/&gt;&lt;wsp:rsid wsp:val=&quot;35A61FCC&quot;/&gt;&lt;wsp:rsid wsp:val=&quot;35A65B28&quot;/&gt;&lt;wsp:rsid wsp:val=&quot;35A71D1B&quot;/&gt;&lt;wsp:rsid wsp:val=&quot;35A7240B&quot;/&gt;&lt;wsp:rsid wsp:val=&quot;35A77DEC&quot;/&gt;&lt;wsp:rsid wsp:val=&quot;35A818A1&quot;/&gt;&lt;wsp:rsid wsp:val=&quot;35A973C7&quot;/&gt;&lt;wsp:rsid wsp:val=&quot;35AC2828&quot;/&gt;&lt;wsp:rsid wsp:val=&quot;35AE2B8C&quot;/&gt;&lt;wsp:rsid wsp:val=&quot;35AE68B5&quot;/&gt;&lt;wsp:rsid wsp:val=&quot;35B45823&quot;/&gt;&lt;wsp:rsid wsp:val=&quot;35B46497&quot;/&gt;&lt;wsp:rsid wsp:val=&quot;35B50461&quot;/&gt;&lt;wsp:rsid wsp:val=&quot;35B53880&quot;/&gt;&lt;wsp:rsid wsp:val=&quot;35B778E1&quot;/&gt;&lt;wsp:rsid wsp:val=&quot;35B93AAE&quot;/&gt;&lt;wsp:rsid wsp:val=&quot;35B9585C&quot;/&gt;&lt;wsp:rsid wsp:val=&quot;35BB1907&quot;/&gt;&lt;wsp:rsid wsp:val=&quot;35BC359E&quot;/&gt;&lt;wsp:rsid wsp:val=&quot;35BC534C&quot;/&gt;&lt;wsp:rsid wsp:val=&quot;35BF6BEA&quot;/&gt;&lt;wsp:rsid wsp:val=&quot;35C15DF1&quot;/&gt;&lt;wsp:rsid wsp:val=&quot;35C16E06&quot;/&gt;&lt;wsp:rsid wsp:val=&quot;35C30488&quot;/&gt;&lt;wsp:rsid wsp:val=&quot;35C42453&quot;/&gt;&lt;wsp:rsid wsp:val=&quot;35C44201&quot;/&gt;&lt;wsp:rsid wsp:val=&quot;35C6441D&quot;/&gt;&lt;wsp:rsid wsp:val=&quot;35C80195&quot;/&gt;&lt;wsp:rsid wsp:val=&quot;35C80866&quot;/&gt;&lt;wsp:rsid wsp:val=&quot;35C96E26&quot;/&gt;&lt;wsp:rsid wsp:val=&quot;35CA5CBB&quot;/&gt;&lt;wsp:rsid wsp:val=&quot;35CB1ADD&quot;/&gt;&lt;wsp:rsid wsp:val=&quot;35CC3248&quot;/&gt;&lt;wsp:rsid wsp:val=&quot;35CD57AB&quot;/&gt;&lt;wsp:rsid wsp:val=&quot;35CE2F97&quot;/&gt;&lt;wsp:rsid wsp:val=&quot;35D02BA5&quot;/&gt;&lt;wsp:rsid wsp:val=&quot;35D244E9&quot;/&gt;&lt;wsp:rsid wsp:val=&quot;35D40299&quot;/&gt;&lt;wsp:rsid wsp:val=&quot;35D408E8&quot;/&gt;&lt;wsp:rsid wsp:val=&quot;35D42696&quot;/&gt;&lt;wsp:rsid wsp:val=&quot;35D45AC1&quot;/&gt;&lt;wsp:rsid wsp:val=&quot;35D46C6E&quot;/&gt;&lt;wsp:rsid wsp:val=&quot;35D54660&quot;/&gt;&lt;wsp:rsid wsp:val=&quot;35D5640E&quot;/&gt;&lt;wsp:rsid wsp:val=&quot;35D703D8&quot;/&gt;&lt;wsp:rsid wsp:val=&quot;35D73F34&quot;/&gt;&lt;wsp:rsid wsp:val=&quot;35D77BA3&quot;/&gt;&lt;wsp:rsid wsp:val=&quot;35D8035B&quot;/&gt;&lt;wsp:rsid wsp:val=&quot;35D94150&quot;/&gt;&lt;wsp:rsid wsp:val=&quot;35DC59EE&quot;/&gt;&lt;wsp:rsid wsp:val=&quot;35DC779C&quot;/&gt;&lt;wsp:rsid wsp:val=&quot;35DF717A&quot;/&gt;&lt;wsp:rsid wsp:val=&quot;35E0728C&quot;/&gt;&lt;wsp:rsid wsp:val=&quot;35E07D68&quot;/&gt;&lt;wsp:rsid wsp:val=&quot;35E13004&quot;/&gt;&lt;wsp:rsid wsp:val=&quot;35E21E89&quot;/&gt;&lt;wsp:rsid wsp:val=&quot;35E228B3&quot;/&gt;&lt;wsp:rsid wsp:val=&quot;35E25ABC&quot;/&gt;&lt;wsp:rsid wsp:val=&quot;35E34738&quot;/&gt;&lt;wsp:rsid wsp:val=&quot;35E36D7D&quot;/&gt;&lt;wsp:rsid wsp:val=&quot;35E62D20&quot;/&gt;&lt;wsp:rsid wsp:val=&quot;35E825E5&quot;/&gt;&lt;wsp:rsid wsp:val=&quot;35E84393&quot;/&gt;&lt;wsp:rsid wsp:val=&quot;35EA664E&quot;/&gt;&lt;wsp:rsid wsp:val=&quot;35EA79B1&quot;/&gt;&lt;wsp:rsid wsp:val=&quot;35EB5C31&quot;/&gt;&lt;wsp:rsid wsp:val=&quot;35EB7B67&quot;/&gt;&lt;wsp:rsid wsp:val=&quot;35ED19A9&quot;/&gt;&lt;wsp:rsid wsp:val=&quot;35ED7BFB&quot;/&gt;&lt;wsp:rsid wsp:val=&quot;35EF3A10&quot;/&gt;&lt;wsp:rsid wsp:val=&quot;35EF5721&quot;/&gt;&lt;wsp:rsid wsp:val=&quot;35F434A9&quot;/&gt;&lt;wsp:rsid wsp:val=&quot;35F5085E&quot;/&gt;&lt;wsp:rsid wsp:val=&quot;35F54B06&quot;/&gt;&lt;wsp:rsid wsp:val=&quot;35F745D6&quot;/&gt;&lt;wsp:rsid wsp:val=&quot;35F80DD4&quot;/&gt;&lt;wsp:rsid wsp:val=&quot;35F9034E&quot;/&gt;&lt;wsp:rsid wsp:val=&quot;35F90AD9&quot;/&gt;&lt;wsp:rsid wsp:val=&quot;35F920FC&quot;/&gt;&lt;wsp:rsid wsp:val=&quot;35F93D60&quot;/&gt;&lt;wsp:rsid wsp:val=&quot;35F965A0&quot;/&gt;&lt;wsp:rsid wsp:val=&quot;35FC1BEC&quot;/&gt;&lt;wsp:rsid wsp:val=&quot;35FD36D6&quot;/&gt;&lt;wsp:rsid wsp:val=&quot;36010FB1&quot;/&gt;&lt;wsp:rsid wsp:val=&quot;36017203&quot;/&gt;&lt;wsp:rsid wsp:val=&quot;36024A57&quot;/&gt;&lt;wsp:rsid wsp:val=&quot;360311CD&quot;/&gt;&lt;wsp:rsid wsp:val=&quot;36035EE7&quot;/&gt;&lt;wsp:rsid wsp:val=&quot;36050807&quot;/&gt;&lt;wsp:rsid wsp:val=&quot;36050AA1&quot;/&gt;&lt;wsp:rsid wsp:val=&quot;36054F45&quot;/&gt;&lt;wsp:rsid wsp:val=&quot;36074A7F&quot;/&gt;&lt;wsp:rsid wsp:val=&quot;360867E3&quot;/&gt;&lt;wsp:rsid wsp:val=&quot;360A255B&quot;/&gt;&lt;wsp:rsid wsp:val=&quot;360B0081&quot;/&gt;&lt;wsp:rsid wsp:val=&quot;360B1E2F&quot;/&gt;&lt;wsp:rsid wsp:val=&quot;360D3DFA&quot;/&gt;&lt;wsp:rsid wsp:val=&quot;360F37B0&quot;/&gt;&lt;wsp:rsid wsp:val=&quot;360F461D&quot;/&gt;&lt;wsp:rsid wsp:val=&quot;3611037B&quot;/&gt;&lt;wsp:rsid wsp:val=&quot;36136865&quot;/&gt;&lt;wsp:rsid wsp:val=&quot;36136ED2&quot;/&gt;&lt;wsp:rsid wsp:val=&quot;36145188&quot;/&gt;&lt;wsp:rsid wsp:val=&quot;36154A5C&quot;/&gt;&lt;wsp:rsid wsp:val=&quot;36160F00&quot;/&gt;&lt;wsp:rsid wsp:val=&quot;36174C78&quot;/&gt;&lt;wsp:rsid wsp:val=&quot;36176A26&quot;/&gt;&lt;wsp:rsid wsp:val=&quot;3619279E&quot;/&gt;&lt;wsp:rsid wsp:val=&quot;36192E2B&quot;/&gt;&lt;wsp:rsid wsp:val=&quot;361B6516&quot;/&gt;&lt;wsp:rsid wsp:val=&quot;361C228F&quot;/&gt;&lt;wsp:rsid wsp:val=&quot;361C5DEB&quot;/&gt;&lt;wsp:rsid wsp:val=&quot;361D1957&quot;/&gt;&lt;wsp:rsid wsp:val=&quot;361E1B63&quot;/&gt;&lt;wsp:rsid wsp:val=&quot;361E7DB5&quot;/&gt;&lt;wsp:rsid wsp:val=&quot;362058DB&quot;/&gt;&lt;wsp:rsid wsp:val=&quot;36215DD4&quot;/&gt;&lt;wsp:rsid wsp:val=&quot;36252EF1&quot;/&gt;&lt;wsp:rsid wsp:val=&quot;36280AEC&quot;/&gt;&lt;wsp:rsid wsp:val=&quot;362829E1&quot;/&gt;&lt;wsp:rsid wsp:val=&quot;3628478F&quot;/&gt;&lt;wsp:rsid wsp:val=&quot;362941D9&quot;/&gt;&lt;wsp:rsid wsp:val=&quot;362C0487&quot;/&gt;&lt;wsp:rsid wsp:val=&quot;362C0724&quot;/&gt;&lt;wsp:rsid wsp:val=&quot;362C4585&quot;/&gt;&lt;wsp:rsid wsp:val=&quot;362D7FF8&quot;/&gt;&lt;wsp:rsid wsp:val=&quot;362F1394&quot;/&gt;&lt;wsp:rsid wsp:val=&quot;362F3A74&quot;/&gt;&lt;wsp:rsid wsp:val=&quot;362F3D70&quot;/&gt;&lt;wsp:rsid wsp:val=&quot;36317AE8&quot;/&gt;&lt;wsp:rsid wsp:val=&quot;36341386&quot;/&gt;&lt;wsp:rsid wsp:val=&quot;363475D8&quot;/&gt;&lt;wsp:rsid wsp:val=&quot;363870C8&quot;/&gt;&lt;wsp:rsid wsp:val=&quot;36394BEF&quot;/&gt;&lt;wsp:rsid wsp:val=&quot;363B2715&quot;/&gt;&lt;wsp:rsid wsp:val=&quot;363B44C3&quot;/&gt;&lt;wsp:rsid wsp:val=&quot;363C023B&quot;/&gt;&lt;wsp:rsid wsp:val=&quot;363E0457&quot;/&gt;&lt;wsp:rsid wsp:val=&quot;363E2205&quot;/&gt;&lt;wsp:rsid wsp:val=&quot;36402219&quot;/&gt;&lt;wsp:rsid wsp:val=&quot;364041CF&quot;/&gt;&lt;wsp:rsid wsp:val=&quot;36414748&quot;/&gt;&lt;wsp:rsid wsp:val=&quot;36415851&quot;/&gt;&lt;wsp:rsid wsp:val=&quot;36416B0C&quot;/&gt;&lt;wsp:rsid wsp:val=&quot;364315C9&quot;/&gt;&lt;wsp:rsid wsp:val=&quot;3644480A&quot;/&gt;&lt;wsp:rsid wsp:val=&quot;364517E5&quot;/&gt;&lt;wsp:rsid wsp:val=&quot;364610BA&quot;/&gt;&lt;wsp:rsid wsp:val=&quot;364705BA&quot;/&gt;&lt;wsp:rsid wsp:val=&quot;36485A5A&quot;/&gt;&lt;wsp:rsid wsp:val=&quot;364C2B74&quot;/&gt;&lt;wsp:rsid wsp:val=&quot;364D46C5&quot;/&gt;&lt;wsp:rsid wsp:val=&quot;364F50F5&quot;/&gt;&lt;wsp:rsid wsp:val=&quot;36525CB0&quot;/&gt;&lt;wsp:rsid wsp:val=&quot;36564428&quot;/&gt;&lt;wsp:rsid wsp:val=&quot;365657A0&quot;/&gt;&lt;wsp:rsid wsp:val=&quot;36581519&quot;/&gt;&lt;wsp:rsid wsp:val=&quot;36590DED&quot;/&gt;&lt;wsp:rsid wsp:val=&quot;36592B9B&quot;/&gt;&lt;wsp:rsid wsp:val=&quot;365B2DB7&quot;/&gt;&lt;wsp:rsid wsp:val=&quot;365D08DD&quot;/&gt;&lt;wsp:rsid wsp:val=&quot;365E4655&quot;/&gt;&lt;wsp:rsid wsp:val=&quot;365E6403&quot;/&gt;&lt;wsp:rsid wsp:val=&quot;3661600C&quot;/&gt;&lt;wsp:rsid wsp:val=&quot;36617B8A&quot;/&gt;&lt;wsp:rsid wsp:val=&quot;36620180&quot;/&gt;&lt;wsp:rsid wsp:val=&quot;36624145&quot;/&gt;&lt;wsp:rsid wsp:val=&quot;36632CA7&quot;/&gt;&lt;wsp:rsid wsp:val=&quot;36633A19&quot;/&gt;&lt;wsp:rsid wsp:val=&quot;36637EBD&quot;/&gt;&lt;wsp:rsid wsp:val=&quot;366539A2&quot;/&gt;&lt;wsp:rsid wsp:val=&quot;36657792&quot;/&gt;&lt;wsp:rsid wsp:val=&quot;3667350A&quot;/&gt;&lt;wsp:rsid wsp:val=&quot;36681030&quot;/&gt;&lt;wsp:rsid wsp:val=&quot;3669402C&quot;/&gt;&lt;wsp:rsid wsp:val=&quot;366B28CE&quot;/&gt;&lt;wsp:rsid wsp:val=&quot;366C4FC4&quot;/&gt;&lt;wsp:rsid wsp:val=&quot;366D4898&quot;/&gt;&lt;wsp:rsid wsp:val=&quot;366D6646&quot;/&gt;&lt;wsp:rsid wsp:val=&quot;366F23BE&quot;/&gt;&lt;wsp:rsid wsp:val=&quot;366F6862&quot;/&gt;&lt;wsp:rsid wsp:val=&quot;367125DA&quot;/&gt;&lt;wsp:rsid wsp:val=&quot;36721EAF&quot;/&gt;&lt;wsp:rsid wsp:val=&quot;36731F4F&quot;/&gt;&lt;wsp:rsid wsp:val=&quot;36745C27&quot;/&gt;&lt;wsp:rsid wsp:val=&quot;367479D5&quot;/&gt;&lt;wsp:rsid wsp:val=&quot;367774C5&quot;/&gt;&lt;wsp:rsid wsp:val=&quot;36783969&quot;/&gt;&lt;wsp:rsid wsp:val=&quot;36787A25&quot;/&gt;&lt;wsp:rsid wsp:val=&quot;36794FEB&quot;/&gt;&lt;wsp:rsid wsp:val=&quot;367B0D63&quot;/&gt;&lt;wsp:rsid wsp:val=&quot;367B26F5&quot;/&gt;&lt;wsp:rsid wsp:val=&quot;367E0853&quot;/&gt;&lt;wsp:rsid wsp:val=&quot;367E2601&quot;/&gt;&lt;wsp:rsid wsp:val=&quot;367F1E99&quot;/&gt;&lt;wsp:rsid wsp:val=&quot;3680281D&quot;/&gt;&lt;wsp:rsid wsp:val=&quot;36820344&quot;/&gt;&lt;wsp:rsid wsp:val=&quot;36841C9D&quot;/&gt;&lt;wsp:rsid wsp:val=&quot;36851BE2&quot;/&gt;&lt;wsp:rsid wsp:val=&quot;36877708&quot;/&gt;&lt;wsp:rsid wsp:val=&quot;368816D2&quot;/&gt;&lt;wsp:rsid wsp:val=&quot;36883480&quot;/&gt;&lt;wsp:rsid wsp:val=&quot;36884365&quot;/&gt;&lt;wsp:rsid wsp:val=&quot;368A369C&quot;/&gt;&lt;wsp:rsid wsp:val=&quot;368C11C2&quot;/&gt;&lt;wsp:rsid wsp:val=&quot;368D7DBF&quot;/&gt;&lt;wsp:rsid wsp:val=&quot;368E4F3A&quot;/&gt;&lt;wsp:rsid wsp:val=&quot;368E6085&quot;/&gt;&lt;wsp:rsid wsp:val=&quot;36906B2F&quot;/&gt;&lt;wsp:rsid wsp:val=&quot;369167D9&quot;/&gt;&lt;wsp:rsid wsp:val=&quot;36922B60&quot;/&gt;&lt;wsp:rsid wsp:val=&quot;36923549&quot;/&gt;&lt;wsp:rsid wsp:val=&quot;36952C22&quot;/&gt;&lt;wsp:rsid wsp:val=&quot;36956164&quot;/&gt;&lt;wsp:rsid wsp:val=&quot;36962041&quot;/&gt;&lt;wsp:rsid wsp:val=&quot;36963DEF&quot;/&gt;&lt;wsp:rsid wsp:val=&quot;36977DA8&quot;/&gt;&lt;wsp:rsid wsp:val=&quot;3699568D&quot;/&gt;&lt;wsp:rsid wsp:val=&quot;369E0EF6&quot;/&gt;&lt;wsp:rsid wsp:val=&quot;369E310A&quot;/&gt;&lt;wsp:rsid wsp:val=&quot;369F3478&quot;/&gt;&lt;wsp:rsid wsp:val=&quot;36A007CA&quot;/&gt;&lt;wsp:rsid wsp:val=&quot;36A07989&quot;/&gt;&lt;wsp:rsid wsp:val=&quot;36A24542&quot;/&gt;&lt;wsp:rsid wsp:val=&quot;36A3230F&quot;/&gt;&lt;wsp:rsid wsp:val=&quot;36A36510&quot;/&gt;&lt;wsp:rsid wsp:val=&quot;36A4650C&quot;/&gt;&lt;wsp:rsid wsp:val=&quot;36A55DE0&quot;/&gt;&lt;wsp:rsid wsp:val=&quot;36A738F6&quot;/&gt;&lt;wsp:rsid wsp:val=&quot;36AA1648&quot;/&gt;&lt;wsp:rsid wsp:val=&quot;36AA5156&quot;/&gt;&lt;wsp:rsid wsp:val=&quot;36AA5AEC&quot;/&gt;&lt;wsp:rsid wsp:val=&quot;36AA64F4&quot;/&gt;&lt;wsp:rsid wsp:val=&quot;36AA789A&quot;/&gt;&lt;wsp:rsid wsp:val=&quot;36AC3612&quot;/&gt;&lt;wsp:rsid wsp:val=&quot;36AC53C0&quot;/&gt;&lt;wsp:rsid wsp:val=&quot;36AE1139&quot;/&gt;&lt;wsp:rsid wsp:val=&quot;36AE40D9&quot;/&gt;&lt;wsp:rsid wsp:val=&quot;36AF3103&quot;/&gt;&lt;wsp:rsid wsp:val=&quot;36AF37C9&quot;/&gt;&lt;wsp:rsid wsp:val=&quot;36AF4EB1&quot;/&gt;&lt;wsp:rsid wsp:val=&quot;36B14785&quot;/&gt;&lt;wsp:rsid wsp:val=&quot;36B2214A&quot;/&gt;&lt;wsp:rsid wsp:val=&quot;36B349A1&quot;/&gt;&lt;wsp:rsid wsp:val=&quot;36B424C7&quot;/&gt;&lt;wsp:rsid wsp:val=&quot;36B64491&quot;/&gt;&lt;wsp:rsid wsp:val=&quot;36B67FED&quot;/&gt;&lt;wsp:rsid wsp:val=&quot;36B75FBF&quot;/&gt;&lt;wsp:rsid wsp:val=&quot;36B81FB7&quot;/&gt;&lt;wsp:rsid wsp:val=&quot;36B85FBC&quot;/&gt;&lt;wsp:rsid wsp:val=&quot;36B9188B&quot;/&gt;&lt;wsp:rsid wsp:val=&quot;36BB1AA7&quot;/&gt;&lt;wsp:rsid wsp:val=&quot;36BB3856&quot;/&gt;&lt;wsp:rsid wsp:val=&quot;36BD0C45&quot;/&gt;&lt;wsp:rsid wsp:val=&quot;36BD137C&quot;/&gt;&lt;wsp:rsid wsp:val=&quot;36BD5820&quot;/&gt;&lt;wsp:rsid wsp:val=&quot;36BE50F4&quot;/&gt;&lt;wsp:rsid wsp:val=&quot;36BE6EA2&quot;/&gt;&lt;wsp:rsid wsp:val=&quot;36BF32BE&quot;/&gt;&lt;wsp:rsid wsp:val=&quot;36BF3346&quot;/&gt;&lt;wsp:rsid wsp:val=&quot;36C02C1A&quot;/&gt;&lt;wsp:rsid wsp:val=&quot;36C13652&quot;/&gt;&lt;wsp:rsid wsp:val=&quot;36C26992&quot;/&gt;&lt;wsp:rsid wsp:val=&quot;36C344B8&quot;/&gt;&lt;wsp:rsid wsp:val=&quot;36C50230&quot;/&gt;&lt;wsp:rsid wsp:val=&quot;36C7044C&quot;/&gt;&lt;wsp:rsid wsp:val=&quot;36C73FA8&quot;/&gt;&lt;wsp:rsid wsp:val=&quot;36C928B7&quot;/&gt;&lt;wsp:rsid wsp:val=&quot;36C95800&quot;/&gt;&lt;wsp:rsid wsp:val=&quot;36C96F41&quot;/&gt;&lt;wsp:rsid wsp:val=&quot;36C97D20&quot;/&gt;&lt;wsp:rsid wsp:val=&quot;36CB0232&quot;/&gt;&lt;wsp:rsid wsp:val=&quot;36CB1861&quot;/&gt;&lt;wsp:rsid wsp:val=&quot;36CD2B09&quot;/&gt;&lt;wsp:rsid wsp:val=&quot;36D44B31&quot;/&gt;&lt;wsp:rsid wsp:val=&quot;36D474BE&quot;/&gt;&lt;wsp:rsid wsp:val=&quot;36D6243D&quot;/&gt;&lt;wsp:rsid wsp:val=&quot;36D641EB&quot;/&gt;&lt;wsp:rsid wsp:val=&quot;36D668E1&quot;/&gt;&lt;wsp:rsid wsp:val=&quot;36D81F7B&quot;/&gt;&lt;wsp:rsid wsp:val=&quot;36D84407&quot;/&gt;&lt;wsp:rsid wsp:val=&quot;36D94C2F&quot;/&gt;&lt;wsp:rsid wsp:val=&quot;36DB7A54&quot;/&gt;&lt;wsp:rsid wsp:val=&quot;36DD37CC&quot;/&gt;&lt;wsp:rsid wsp:val=&quot;36DD6847&quot;/&gt;&lt;wsp:rsid wsp:val=&quot;36E060E6&quot;/&gt;&lt;wsp:rsid wsp:val=&quot;36E42DAC&quot;/&gt;&lt;wsp:rsid wsp:val=&quot;36E508D2&quot;/&gt;&lt;wsp:rsid wsp:val=&quot;36E56B24&quot;/&gt;&lt;wsp:rsid wsp:val=&quot;36E763F9&quot;/&gt;&lt;wsp:rsid wsp:val=&quot;36E81A0D&quot;/&gt;&lt;wsp:rsid wsp:val=&quot;36E87269&quot;/&gt;&lt;wsp:rsid wsp:val=&quot;36E903C3&quot;/&gt;&lt;wsp:rsid wsp:val=&quot;36E94DEA&quot;/&gt;&lt;wsp:rsid wsp:val=&quot;36EA5EE9&quot;/&gt;&lt;wsp:rsid wsp:val=&quot;36EA7C97&quot;/&gt;&lt;wsp:rsid wsp:val=&quot;36EB413B&quot;/&gt;&lt;wsp:rsid wsp:val=&quot;36EB5449&quot;/&gt;&lt;wsp:rsid wsp:val=&quot;36EB70D6&quot;/&gt;&lt;wsp:rsid wsp:val=&quot;36F01751&quot;/&gt;&lt;wsp:rsid wsp:val=&quot;36F17277&quot;/&gt;&lt;wsp:rsid wsp:val=&quot;36F26843&quot;/&gt;&lt;wsp:rsid wsp:val=&quot;36F80606&quot;/&gt;&lt;wsp:rsid wsp:val=&quot;36F9612C&quot;/&gt;&lt;wsp:rsid wsp:val=&quot;36FA002A&quot;/&gt;&lt;wsp:rsid wsp:val=&quot;36FA437E&quot;/&gt;&lt;wsp:rsid wsp:val=&quot;36FC6348&quot;/&gt;&lt;wsp:rsid wsp:val=&quot;3701395E&quot;/&gt;&lt;wsp:rsid wsp:val=&quot;37021484&quot;/&gt;&lt;wsp:rsid wsp:val=&quot;37024FE0&quot;/&gt;&lt;wsp:rsid wsp:val=&quot;37030562&quot;/&gt;&lt;wsp:rsid wsp:val=&quot;370451FC&quot;/&gt;&lt;wsp:rsid wsp:val=&quot;37060F75&quot;/&gt;&lt;wsp:rsid wsp:val=&quot;37092813&quot;/&gt;&lt;wsp:rsid wsp:val=&quot;370945C1&quot;/&gt;&lt;wsp:rsid wsp:val=&quot;3709636F&quot;/&gt;&lt;wsp:rsid wsp:val=&quot;370A0339&quot;/&gt;&lt;wsp:rsid wsp:val=&quot;370A4123&quot;/&gt;&lt;wsp:rsid wsp:val=&quot;370C2303&quot;/&gt;&lt;wsp:rsid wsp:val=&quot;370E607B&quot;/&gt;&lt;wsp:rsid wsp:val=&quot;370F0072&quot;/&gt;&lt;wsp:rsid wsp:val=&quot;37102B66&quot;/&gt;&lt;wsp:rsid wsp:val=&quot;37113FF6&quot;/&gt;&lt;wsp:rsid wsp:val=&quot;37117919&quot;/&gt;&lt;wsp:rsid wsp:val=&quot;37117D67&quot;/&gt;&lt;wsp:rsid wsp:val=&quot;37135440&quot;/&gt;&lt;wsp:rsid wsp:val=&quot;37136916&quot;/&gt;&lt;wsp:rsid wsp:val=&quot;37152F66&quot;/&gt;&lt;wsp:rsid wsp:val=&quot;37160A8C&quot;/&gt;&lt;wsp:rsid wsp:val=&quot;37164F30&quot;/&gt;&lt;wsp:rsid wsp:val=&quot;37166CDE&quot;/&gt;&lt;wsp:rsid wsp:val=&quot;37171BA5&quot;/&gt;&lt;wsp:rsid wsp:val=&quot;3718034F&quot;/&gt;&lt;wsp:rsid wsp:val=&quot;37182A56&quot;/&gt;&lt;wsp:rsid wsp:val=&quot;371A057C&quot;/&gt;&lt;wsp:rsid wsp:val=&quot;371B42F4&quot;/&gt;&lt;wsp:rsid wsp:val=&quot;371B6954&quot;/&gt;&lt;wsp:rsid wsp:val=&quot;371F2036&quot;/&gt;&lt;wsp:rsid wsp:val=&quot;37205A14&quot;/&gt;&lt;wsp:rsid wsp:val=&quot;37223D14&quot;/&gt;&lt;wsp:rsid wsp:val=&quot;372638FC&quot;/&gt;&lt;wsp:rsid wsp:val=&quot;37265173&quot;/&gt;&lt;wsp:rsid wsp:val=&quot;37270EEB&quot;/&gt;&lt;wsp:rsid wsp:val=&quot;37272C99&quot;/&gt;&lt;wsp:rsid wsp:val=&quot;37275389&quot;/&gt;&lt;wsp:rsid wsp:val=&quot;372A45A8&quot;/&gt;&lt;wsp:rsid wsp:val=&quot;372B2789&quot;/&gt;&lt;wsp:rsid wsp:val=&quot;372C6501&quot;/&gt;&lt;wsp:rsid wsp:val=&quot;372D208E&quot;/&gt;&lt;wsp:rsid wsp:val=&quot;372E15D9&quot;/&gt;&lt;wsp:rsid wsp:val=&quot;372E2279&quot;/&gt;&lt;wsp:rsid wsp:val=&quot;372E4027&quot;/&gt;&lt;wsp:rsid wsp:val=&quot;372F1B4E&quot;/&gt;&lt;wsp:rsid wsp:val=&quot;37302B91&quot;/&gt;&lt;wsp:rsid wsp:val=&quot;37313B18&quot;/&gt;&lt;wsp:rsid wsp:val=&quot;3733163E&quot;/&gt;&lt;wsp:rsid wsp:val=&quot;37337890&quot;/&gt;&lt;wsp:rsid wsp:val=&quot;3736112E&quot;/&gt;&lt;wsp:rsid wsp:val=&quot;37362EDC&quot;/&gt;&lt;wsp:rsid wsp:val=&quot;37390D45&quot;/&gt;&lt;wsp:rsid wsp:val=&quot;373945F7&quot;/&gt;&lt;wsp:rsid wsp:val=&quot;373A0C1E&quot;/&gt;&lt;wsp:rsid wsp:val=&quot;373B1ADF&quot;/&gt;&lt;wsp:rsid wsp:val=&quot;373B4692&quot;/&gt;&lt;wsp:rsid wsp:val=&quot;373C0021&quot;/&gt;&lt;wsp:rsid wsp:val=&quot;373C4996&quot;/&gt;&lt;wsp:rsid wsp:val=&quot;373D24BC&quot;/&gt;&lt;wsp:rsid wsp:val=&quot;373D426B&quot;/&gt;&lt;wsp:rsid wsp:val=&quot;373E3439&quot;/&gt;&lt;wsp:rsid wsp:val=&quot;373F6235&quot;/&gt;&lt;wsp:rsid wsp:val=&quot;373F7FE3&quot;/&gt;&lt;wsp:rsid wsp:val=&quot;374101FF&quot;/&gt;&lt;wsp:rsid wsp:val=&quot;374126E0&quot;/&gt;&lt;wsp:rsid wsp:val=&quot;37425D25&quot;/&gt;&lt;wsp:rsid wsp:val=&quot;37427AD3&quot;/&gt;&lt;wsp:rsid wsp:val=&quot;37450315&quot;/&gt;&lt;wsp:rsid wsp:val=&quot;37461371&quot;/&gt;&lt;wsp:rsid wsp:val=&quot;374750E9&quot;/&gt;&lt;wsp:rsid wsp:val=&quot;37475D5C&quot;/&gt;&lt;wsp:rsid wsp:val=&quot;37490E61&quot;/&gt;&lt;wsp:rsid wsp:val=&quot;37492C8F&quot;/&gt;&lt;wsp:rsid wsp:val=&quot;374B4BD9&quot;/&gt;&lt;wsp:rsid wsp:val=&quot;374C5617&quot;/&gt;&lt;wsp:rsid wsp:val=&quot;374E0226&quot;/&gt;&lt;wsp:rsid wsp:val=&quot;374F3F98&quot;/&gt;&lt;wsp:rsid wsp:val=&quot;37503F9E&quot;/&gt;&lt;wsp:rsid wsp:val=&quot;37517D16&quot;/&gt;&lt;wsp:rsid wsp:val=&quot;375241BA&quot;/&gt;&lt;wsp:rsid wsp:val=&quot;37537F32&quot;/&gt;&lt;wsp:rsid wsp:val=&quot;375515B4&quot;/&gt;&lt;wsp:rsid wsp:val=&quot;37555A58&quot;/&gt;&lt;wsp:rsid wsp:val=&quot;37557806&quot;/&gt;&lt;wsp:rsid wsp:val=&quot;37570D4C&quot;/&gt;&lt;wsp:rsid wsp:val=&quot;375712CB&quot;/&gt;&lt;wsp:rsid wsp:val=&quot;375810A4&quot;/&gt;&lt;wsp:rsid wsp:val=&quot;375872F6&quot;/&gt;&lt;wsp:rsid wsp:val=&quot;375A12C0&quot;/&gt;&lt;wsp:rsid wsp:val=&quot;375C0B95&quot;/&gt;&lt;wsp:rsid wsp:val=&quot;375C6DE7&quot;/&gt;&lt;wsp:rsid wsp:val=&quot;375D490D&quot;/&gt;&lt;wsp:rsid wsp:val=&quot;375D66BB&quot;/&gt;&lt;wsp:rsid wsp:val=&quot;37607F59&quot;/&gt;&lt;wsp:rsid wsp:val=&quot;37621F23&quot;/&gt;&lt;wsp:rsid wsp:val=&quot;37636BC6&quot;/&gt;&lt;wsp:rsid wsp:val=&quot;37643EED&quot;/&gt;&lt;wsp:rsid wsp:val=&quot;37660868&quot;/&gt;&lt;wsp:rsid wsp:val=&quot;3768578B&quot;/&gt;&lt;wsp:rsid wsp:val=&quot;37695060&quot;/&gt;&lt;wsp:rsid wsp:val=&quot;376E08C8&quot;/&gt;&lt;wsp:rsid wsp:val=&quot;376E7052&quot;/&gt;&lt;wsp:rsid wsp:val=&quot;37702892&quot;/&gt;&lt;wsp:rsid wsp:val=&quot;37721F02&quot;/&gt;&lt;wsp:rsid wsp:val=&quot;37724BC9&quot;/&gt;&lt;wsp:rsid wsp:val=&quot;37733392&quot;/&gt;&lt;wsp:rsid wsp:val=&quot;3776777C&quot;/&gt;&lt;wsp:rsid wsp:val=&quot;37773C20&quot;/&gt;&lt;wsp:rsid wsp:val=&quot;377A488F&quot;/&gt;&lt;wsp:rsid wsp:val=&quot;377A726D&quot;/&gt;&lt;wsp:rsid wsp:val=&quot;377C1237&quot;/&gt;&lt;wsp:rsid wsp:val=&quot;377F0D27&quot;/&gt;&lt;wsp:rsid wsp:val=&quot;37804506&quot;/&gt;&lt;wsp:rsid wsp:val=&quot;378105FB&quot;/&gt;&lt;wsp:rsid wsp:val=&quot;378202B6&quot;/&gt;&lt;wsp:rsid wsp:val=&quot;37824373&quot;/&gt;&lt;wsp:rsid wsp:val=&quot;378404AE&quot;/&gt;&lt;wsp:rsid wsp:val=&quot;37865C12&quot;/&gt;&lt;wsp:rsid wsp:val=&quot;37873738&quot;/&gt;&lt;wsp:rsid wsp:val=&quot;37893954&quot;/&gt;&lt;wsp:rsid wsp:val=&quot;37895702&quot;/&gt;&lt;wsp:rsid wsp:val=&quot;37896CF9&quot;/&gt;&lt;wsp:rsid wsp:val=&quot;378974B0&quot;/&gt;&lt;wsp:rsid wsp:val=&quot;378B3228&quot;/&gt;&lt;wsp:rsid wsp:val=&quot;37920A5A&quot;/&gt;&lt;wsp:rsid wsp:val=&quot;3793032E&quot;/&gt;&lt;wsp:rsid wsp:val=&quot;37943E0C&quot;/&gt;&lt;wsp:rsid wsp:val=&quot;379522F8&quot;/&gt;&lt;wsp:rsid wsp:val=&quot;379540A7&quot;/&gt;&lt;wsp:rsid wsp:val=&quot;37963D3E&quot;/&gt;&lt;wsp:rsid wsp:val=&quot;37971BCD&quot;/&gt;&lt;wsp:rsid wsp:val=&quot;37991DE9&quot;/&gt;&lt;wsp:rsid wsp:val=&quot;379A44BE&quot;/&gt;&lt;wsp:rsid wsp:val=&quot;379A790F&quot;/&gt;&lt;wsp:rsid wsp:val=&quot;379B110E&quot;/&gt;&lt;wsp:rsid wsp:val=&quot;379B425F&quot;/&gt;&lt;wsp:rsid wsp:val=&quot;379C0E5D&quot;/&gt;&lt;wsp:rsid wsp:val=&quot;379D2F5B&quot;/&gt;&lt;wsp:rsid wsp:val=&quot;379D5254&quot;/&gt;&lt;wsp:rsid wsp:val=&quot;379D5444&quot;/&gt;&lt;wsp:rsid wsp:val=&quot;379E11AD&quot;/&gt;&lt;wsp:rsid wsp:val=&quot;379E73FF&quot;/&gt;&lt;wsp:rsid wsp:val=&quot;37A03134&quot;/&gt;&lt;wsp:rsid wsp:val=&quot;37A147F9&quot;/&gt;&lt;wsp:rsid wsp:val=&quot;37A34A15&quot;/&gt;&lt;wsp:rsid wsp:val=&quot;37A4078E&quot;/&gt;&lt;wsp:rsid wsp:val=&quot;37A4253C&quot;/&gt;&lt;wsp:rsid wsp:val=&quot;37A442EA&quot;/&gt;&lt;wsp:rsid wsp:val=&quot;37A464EF&quot;/&gt;&lt;wsp:rsid wsp:val=&quot;37A47026&quot;/&gt;&lt;wsp:rsid wsp:val=&quot;37A662B4&quot;/&gt;&lt;wsp:rsid wsp:val=&quot;37A9436D&quot;/&gt;&lt;wsp:rsid wsp:val=&quot;37A95DA4&quot;/&gt;&lt;wsp:rsid wsp:val=&quot;37AC319E&quot;/&gt;&lt;wsp:rsid wsp:val=&quot;37AC3523&quot;/&gt;&lt;wsp:rsid wsp:val=&quot;37AE5168&quot;/&gt;&lt;wsp:rsid wsp:val=&quot;37AE5E43&quot;/&gt;&lt;wsp:rsid wsp:val=&quot;37AF7904&quot;/&gt;&lt;wsp:rsid wsp:val=&quot;37B00763&quot;/&gt;&lt;wsp:rsid wsp:val=&quot;37B22EAA&quot;/&gt;&lt;wsp:rsid wsp:val=&quot;37B24C58&quot;/&gt;&lt;wsp:rsid wsp:val=&quot;37B46AF7&quot;/&gt;&lt;wsp:rsid wsp:val=&quot;37B47EDC&quot;/&gt;&lt;wsp:rsid wsp:val=&quot;37B66669&quot;/&gt;&lt;wsp:rsid wsp:val=&quot;37B704C1&quot;/&gt;&lt;wsp:rsid wsp:val=&quot;37BA5308&quot;/&gt;&lt;wsp:rsid wsp:val=&quot;37BA58BB&quot;/&gt;&lt;wsp:rsid wsp:val=&quot;37BA70D1&quot;/&gt;&lt;wsp:rsid wsp:val=&quot;37BC7885&quot;/&gt;&lt;wsp:rsid wsp:val=&quot;37BD53AB&quot;/&gt;&lt;wsp:rsid wsp:val=&quot;37BE184F&quot;/&gt;&lt;wsp:rsid wsp:val=&quot;37BF0F9F&quot;/&gt;&lt;wsp:rsid wsp:val=&quot;37C31F61&quot;/&gt;&lt;wsp:rsid wsp:val=&quot;37C41F7E&quot;/&gt;&lt;wsp:rsid wsp:val=&quot;37C4498C&quot;/&gt;&lt;wsp:rsid wsp:val=&quot;37C63D34&quot;/&gt;&lt;wsp:rsid wsp:val=&quot;37C8622A&quot;/&gt;&lt;wsp:rsid wsp:val=&quot;37C9041E&quot;/&gt;&lt;wsp:rsid wsp:val=&quot;37C92A4B&quot;/&gt;&lt;wsp:rsid wsp:val=&quot;37CB536B&quot;/&gt;&lt;wsp:rsid wsp:val=&quot;37CD1A92&quot;/&gt;&lt;wsp:rsid wsp:val=&quot;37CE2D3B&quot;/&gt;&lt;wsp:rsid wsp:val=&quot;37CF74A2&quot;/&gt;&lt;wsp:rsid wsp:val=&quot;37D2266D&quot;/&gt;&lt;wsp:rsid wsp:val=&quot;37D4129F&quot;/&gt;&lt;wsp:rsid wsp:val=&quot;37D42E21&quot;/&gt;&lt;wsp:rsid wsp:val=&quot;37D44BCF&quot;/&gt;&lt;wsp:rsid wsp:val=&quot;37D63BBF&quot;/&gt;&lt;wsp:rsid wsp:val=&quot;37D72911&quot;/&gt;&lt;wsp:rsid wsp:val=&quot;37D848AC&quot;/&gt;&lt;wsp:rsid wsp:val=&quot;37D864DF&quot;/&gt;&lt;wsp:rsid wsp:val=&quot;37D921E5&quot;/&gt;&lt;wsp:rsid wsp:val=&quot;37DA41AF&quot;/&gt;&lt;wsp:rsid wsp:val=&quot;37DC1CD5&quot;/&gt;&lt;wsp:rsid wsp:val=&quot;37DF17C6&quot;/&gt;&lt;wsp:rsid wsp:val=&quot;37DF3574&quot;/&gt;&lt;wsp:rsid wsp:val=&quot;37DF63B2&quot;/&gt;&lt;wsp:rsid wsp:val=&quot;37E00298&quot;/&gt;&lt;wsp:rsid wsp:val=&quot;37E04580&quot;/&gt;&lt;wsp:rsid wsp:val=&quot;37E172EC&quot;/&gt;&lt;wsp:rsid wsp:val=&quot;37E33064&quot;/&gt;&lt;wsp:rsid wsp:val=&quot;37E42938&quot;/&gt;&lt;wsp:rsid wsp:val=&quot;37E64902&quot;/&gt;&lt;wsp:rsid wsp:val=&quot;37E666B0&quot;/&gt;&lt;wsp:rsid wsp:val=&quot;37E908F4&quot;/&gt;&lt;wsp:rsid wsp:val=&quot;37EB23AA&quot;/&gt;&lt;wsp:rsid wsp:val=&quot;37ED3EE3&quot;/&gt;&lt;wsp:rsid wsp:val=&quot;37ED7A3F&quot;/&gt;&lt;wsp:rsid wsp:val=&quot;37EE37B7&quot;/&gt;&lt;wsp:rsid wsp:val=&quot;37EF1A09&quot;/&gt;&lt;wsp:rsid wsp:val=&quot;37EF5EA7&quot;/&gt;&lt;wsp:rsid wsp:val=&quot;37F039D3&quot;/&gt;&lt;wsp:rsid wsp:val=&quot;37F214F9&quot;/&gt;&lt;wsp:rsid wsp:val=&quot;37F25055&quot;/&gt;&lt;wsp:rsid wsp:val=&quot;37F330E7&quot;/&gt;&lt;wsp:rsid wsp:val=&quot;37F45271&quot;/&gt;&lt;wsp:rsid wsp:val=&quot;37F4701F&quot;/&gt;&lt;wsp:rsid wsp:val=&quot;37F52D97&quot;/&gt;&lt;wsp:rsid wsp:val=&quot;37F54EF7&quot;/&gt;&lt;wsp:rsid wsp:val=&quot;37F65BD2&quot;/&gt;&lt;wsp:rsid wsp:val=&quot;37F7266B&quot;/&gt;&lt;wsp:rsid wsp:val=&quot;37F83D4F&quot;/&gt;&lt;wsp:rsid wsp:val=&quot;37F871F5&quot;/&gt;&lt;wsp:rsid wsp:val=&quot;37FA0E55&quot;/&gt;&lt;wsp:rsid wsp:val=&quot;37FB65FF&quot;/&gt;&lt;wsp:rsid wsp:val=&quot;37FC4126&quot;/&gt;&lt;wsp:rsid wsp:val=&quot;37FC58DA&quot;/&gt;&lt;wsp:rsid wsp:val=&quot;37FC5ED4&quot;/&gt;&lt;wsp:rsid wsp:val=&quot;37FE39FA&quot;/&gt;&lt;wsp:rsid wsp:val=&quot;38001AA6&quot;/&gt;&lt;wsp:rsid wsp:val=&quot;38012567&quot;/&gt;&lt;wsp:rsid wsp:val=&quot;380134EA&quot;/&gt;&lt;wsp:rsid wsp:val=&quot;38037262&quot;/&gt;&lt;wsp:rsid wsp:val=&quot;38064FA4&quot;/&gt;&lt;wsp:rsid wsp:val=&quot;38084878&quot;/&gt;&lt;wsp:rsid wsp:val=&quot;380A30F5&quot;/&gt;&lt;wsp:rsid wsp:val=&quot;380B25BB&quot;/&gt;&lt;wsp:rsid wsp:val=&quot;380B6117&quot;/&gt;&lt;wsp:rsid wsp:val=&quot;380B6EA8&quot;/&gt;&lt;wsp:rsid wsp:val=&quot;380D685F&quot;/&gt;&lt;wsp:rsid wsp:val=&quot;380F7A5F&quot;/&gt;&lt;wsp:rsid wsp:val=&quot;3810197F&quot;/&gt;&lt;wsp:rsid wsp:val=&quot;38142318&quot;/&gt;&lt;wsp:rsid wsp:val=&quot;38156F95&quot;/&gt;&lt;wsp:rsid wsp:val=&quot;38163439&quot;/&gt;&lt;wsp:rsid wsp:val=&quot;38172D0E&quot;/&gt;&lt;wsp:rsid wsp:val=&quot;38174ABC&quot;/&gt;&lt;wsp:rsid wsp:val=&quot;381B3A34&quot;/&gt;&lt;wsp:rsid wsp:val=&quot;381C0324&quot;/&gt;&lt;wsp:rsid wsp:val=&quot;381F1BC2&quot;/&gt;&lt;wsp:rsid wsp:val=&quot;3821593A&quot;/&gt;&lt;wsp:rsid wsp:val=&quot;382316B2&quot;/&gt;&lt;wsp:rsid wsp:val=&quot;38233460&quot;/&gt;&lt;wsp:rsid wsp:val=&quot;3825644C&quot;/&gt;&lt;wsp:rsid wsp:val=&quot;38272B03&quot;/&gt;&lt;wsp:rsid wsp:val=&quot;38283467&quot;/&gt;&lt;wsp:rsid wsp:val=&quot;38286CC9&quot;/&gt;&lt;wsp:rsid wsp:val=&quot;38287B99&quot;/&gt;&lt;wsp:rsid wsp:val=&quot;382B3BE6&quot;/&gt;&lt;wsp:rsid wsp:val=&quot;382B67B9&quot;/&gt;&lt;wsp:rsid wsp:val=&quot;382C4A0B&quot;/&gt;&lt;wsp:rsid wsp:val=&quot;382C5E49&quot;/&gt;&lt;wsp:rsid wsp:val=&quot;382F0057&quot;/&gt;&lt;wsp:rsid wsp:val=&quot;38303DCF&quot;/&gt;&lt;wsp:rsid wsp:val=&quot;38312021&quot;/&gt;&lt;wsp:rsid wsp:val=&quot;38327B47&quot;/&gt;&lt;wsp:rsid wsp:val=&quot;3833774F&quot;/&gt;&lt;wsp:rsid wsp:val=&quot;3836588A&quot;/&gt;&lt;wsp:rsid wsp:val=&quot;38366EFB&quot;/&gt;&lt;wsp:rsid wsp:val=&quot;38390ED6&quot;/&gt;&lt;wsp:rsid wsp:val=&quot;383C4522&quot;/&gt;&lt;wsp:rsid wsp:val=&quot;383D6DCE&quot;/&gt;&lt;wsp:rsid wsp:val=&quot;383E473E&quot;/&gt;&lt;wsp:rsid wsp:val=&quot;383E64EC&quot;/&gt;&lt;wsp:rsid wsp:val=&quot;383F6DF1&quot;/&gt;&lt;wsp:rsid wsp:val=&quot;38402B7E&quot;/&gt;&lt;wsp:rsid wsp:val=&quot;38415ABB&quot;/&gt;&lt;wsp:rsid wsp:val=&quot;384348A8&quot;/&gt;&lt;wsp:rsid wsp:val=&quot;384358B1&quot;/&gt;&lt;wsp:rsid wsp:val=&quot;38463A7C&quot;/&gt;&lt;wsp:rsid wsp:val=&quot;38472A51&quot;/&gt;&lt;wsp:rsid wsp:val=&quot;38481119&quot;/&gt;&lt;wsp:rsid wsp:val=&quot;384A6C3F&quot;/&gt;&lt;wsp:rsid wsp:val=&quot;384B0C09&quot;/&gt;&lt;wsp:rsid wsp:val=&quot;384D4981&quot;/&gt;&lt;wsp:rsid wsp:val=&quot;384D672F&quot;/&gt;&lt;wsp:rsid wsp:val=&quot;384F06F9&quot;/&gt;&lt;wsp:rsid wsp:val=&quot;38507FCD&quot;/&gt;&lt;wsp:rsid wsp:val=&quot;38513DBE&quot;/&gt;&lt;wsp:rsid wsp:val=&quot;38521E38&quot;/&gt;&lt;wsp:rsid wsp:val=&quot;38521F98&quot;/&gt;&lt;wsp:rsid wsp:val=&quot;38523D46&quot;/&gt;&lt;wsp:rsid wsp:val=&quot;385351A0&quot;/&gt;&lt;wsp:rsid wsp:val=&quot;38543F62&quot;/&gt;&lt;wsp:rsid wsp:val=&quot;38545D10&quot;/&gt;&lt;wsp:rsid wsp:val=&quot;385555E4&quot;/&gt;&lt;wsp:rsid wsp:val=&quot;38575800&quot;/&gt;&lt;wsp:rsid wsp:val=&quot;385775AE&quot;/&gt;&lt;wsp:rsid wsp:val=&quot;385B43FD&quot;/&gt;&lt;wsp:rsid wsp:val=&quot;385B709E&quot;/&gt;&lt;wsp:rsid wsp:val=&quot;385C2E16&quot;/&gt;&lt;wsp:rsid wsp:val=&quot;385D255A&quot;/&gt;&lt;wsp:rsid wsp:val=&quot;385F1B63&quot;/&gt;&lt;wsp:rsid wsp:val=&quot;386121DB&quot;/&gt;&lt;wsp:rsid wsp:val=&quot;3862042D&quot;/&gt;&lt;wsp:rsid wsp:val=&quot;38621BE4&quot;/&gt;&lt;wsp:rsid wsp:val=&quot;38635F53&quot;/&gt;&lt;wsp:rsid wsp:val=&quot;38637D01&quot;/&gt;&lt;wsp:rsid wsp:val=&quot;38673C95&quot;/&gt;&lt;wsp:rsid wsp:val=&quot;38680BB0&quot;/&gt;&lt;wsp:rsid wsp:val=&quot;386817BB&quot;/&gt;&lt;wsp:rsid wsp:val=&quot;38683569&quot;/&gt;&lt;wsp:rsid wsp:val=&quot;386D5023&quot;/&gt;&lt;wsp:rsid wsp:val=&quot;386F47D8&quot;/&gt;&lt;wsp:rsid wsp:val=&quot;38710670&quot;/&gt;&lt;wsp:rsid wsp:val=&quot;387129B4&quot;/&gt;&lt;wsp:rsid wsp:val=&quot;387168C2&quot;/&gt;&lt;wsp:rsid wsp:val=&quot;3872263A&quot;/&gt;&lt;wsp:rsid wsp:val=&quot;38741A6E&quot;/&gt;&lt;wsp:rsid wsp:val=&quot;387719FE&quot;/&gt;&lt;wsp:rsid wsp:val=&quot;387839B1&quot;/&gt;&lt;wsp:rsid wsp:val=&quot;38795776&quot;/&gt;&lt;wsp:rsid wsp:val=&quot;387B329C&quot;/&gt;&lt;wsp:rsid wsp:val=&quot;387C0DC3&quot;/&gt;&lt;wsp:rsid wsp:val=&quot;387C7014&quot;/&gt;&lt;wsp:rsid wsp:val=&quot;387D5266&quot;/&gt;&lt;wsp:rsid wsp:val=&quot;387E1DB5&quot;/&gt;&lt;wsp:rsid wsp:val=&quot;387E4B3B&quot;/&gt;&lt;wsp:rsid wsp:val=&quot;387E56F1&quot;/&gt;&lt;wsp:rsid wsp:val=&quot;38804D57&quot;/&gt;&lt;wsp:rsid wsp:val=&quot;38822931&quot;/&gt;&lt;wsp:rsid wsp:val=&quot;38860C60&quot;/&gt;&lt;wsp:rsid wsp:val=&quot;38874CB5&quot;/&gt;&lt;wsp:rsid wsp:val=&quot;388760E5&quot;/&gt;&lt;wsp:rsid wsp:val=&quot;38883C0B&quot;/&gt;&lt;wsp:rsid wsp:val=&quot;388872E7&quot;/&gt;&lt;wsp:rsid wsp:val=&quot;38887767&quot;/&gt;&lt;wsp:rsid wsp:val=&quot;388A1731&quot;/&gt;&lt;wsp:rsid wsp:val=&quot;388A7983&quot;/&gt;&lt;wsp:rsid wsp:val=&quot;388B6865&quot;/&gt;&lt;wsp:rsid wsp:val=&quot;388C54AA&quot;/&gt;&lt;wsp:rsid wsp:val=&quot;388C7258&quot;/&gt;&lt;wsp:rsid wsp:val=&quot;388D2FD0&quot;/&gt;&lt;wsp:rsid wsp:val=&quot;38910D12&quot;/&gt;&lt;wsp:rsid wsp:val=&quot;38912AC0&quot;/&gt;&lt;wsp:rsid wsp:val=&quot;38924FF7&quot;/&gt;&lt;wsp:rsid wsp:val=&quot;38926838&quot;/&gt;&lt;wsp:rsid wsp:val=&quot;38932E51&quot;/&gt;&lt;wsp:rsid wsp:val=&quot;389425B0&quot;/&gt;&lt;wsp:rsid wsp:val=&quot;3894610C&quot;/&gt;&lt;wsp:rsid wsp:val=&quot;389600D6&quot;/&gt;&lt;wsp:rsid wsp:val=&quot;38966328&quot;/&gt;&lt;wsp:rsid wsp:val=&quot;38983E4E&quot;/&gt;&lt;wsp:rsid wsp:val=&quot;38991974&quot;/&gt;&lt;wsp:rsid wsp:val=&quot;389A7B4F&quot;/&gt;&lt;wsp:rsid wsp:val=&quot;389B393F&quot;/&gt;&lt;wsp:rsid wsp:val=&quot;389D76B7&quot;/&gt;&lt;wsp:rsid wsp:val=&quot;389E09C9&quot;/&gt;&lt;wsp:rsid wsp:val=&quot;389E6F8B&quot;/&gt;&lt;wsp:rsid wsp:val=&quot;38A00F55&quot;/&gt;&lt;wsp:rsid wsp:val=&quot;38A24CCD&quot;/&gt;&lt;wsp:rsid wsp:val=&quot;38A345A1&quot;/&gt;&lt;wsp:rsid wsp:val=&quot;38A4740C&quot;/&gt;&lt;wsp:rsid wsp:val=&quot;38A547BD&quot;/&gt;&lt;wsp:rsid wsp:val=&quot;38A5656B&quot;/&gt;&lt;wsp:rsid wsp:val=&quot;38A65E3F&quot;/&gt;&lt;wsp:rsid wsp:val=&quot;38A87E0A&quot;/&gt;&lt;wsp:rsid wsp:val=&quot;38AA1DD4&quot;/&gt;&lt;wsp:rsid wsp:val=&quot;38AB2FCD&quot;/&gt;&lt;wsp:rsid wsp:val=&quot;38AC5B4C&quot;/&gt;&lt;wsp:rsid wsp:val=&quot;38AD5420&quot;/&gt;&lt;wsp:rsid wsp:val=&quot;38AD71CE&quot;/&gt;&lt;wsp:rsid wsp:val=&quot;38AE3672&quot;/&gt;&lt;wsp:rsid wsp:val=&quot;38AF194E&quot;/&gt;&lt;wsp:rsid wsp:val=&quot;38AF451F&quot;/&gt;&lt;wsp:rsid wsp:val=&quot;38B042E6&quot;/&gt;&lt;wsp:rsid wsp:val=&quot;38B13162&quot;/&gt;&lt;wsp:rsid wsp:val=&quot;38B14F10&quot;/&gt;&lt;wsp:rsid wsp:val=&quot;38B302F9&quot;/&gt;&lt;wsp:rsid wsp:val=&quot;38B4055C&quot;/&gt;&lt;wsp:rsid wsp:val=&quot;38B62526&quot;/&gt;&lt;wsp:rsid wsp:val=&quot;38B8629F&quot;/&gt;&lt;wsp:rsid wsp:val=&quot;38B95B73&quot;/&gt;&lt;wsp:rsid wsp:val=&quot;38BA2A4A&quot;/&gt;&lt;wsp:rsid wsp:val=&quot;38BB5D8F&quot;/&gt;&lt;wsp:rsid wsp:val=&quot;38BE13DB&quot;/&gt;&lt;wsp:rsid wsp:val=&quot;38BF587F&quot;/&gt;&lt;wsp:rsid wsp:val=&quot;38C20ECB&quot;/&gt;&lt;wsp:rsid wsp:val=&quot;38C22C79&quot;/&gt;&lt;wsp:rsid wsp:val=&quot;38C42E95&quot;/&gt;&lt;wsp:rsid wsp:val=&quot;38C5276A&quot;/&gt;&lt;wsp:rsid wsp:val=&quot;38C57E86&quot;/&gt;&lt;wsp:rsid wsp:val=&quot;38C67BD5&quot;/&gt;&lt;wsp:rsid wsp:val=&quot;38C74734&quot;/&gt;&lt;wsp:rsid wsp:val=&quot;38C764E2&quot;/&gt;&lt;wsp:rsid wsp:val=&quot;38CA3FBC&quot;/&gt;&lt;wsp:rsid wsp:val=&quot;38CC7FAC&quot;/&gt;&lt;wsp:rsid wsp:val=&quot;38CD7870&quot;/&gt;&lt;wsp:rsid wsp:val=&quot;38CF183A&quot;/&gt;&lt;wsp:rsid wsp:val=&quot;38CF5396&quot;/&gt;&lt;wsp:rsid wsp:val=&quot;38D155B2&quot;/&gt;&lt;wsp:rsid wsp:val=&quot;38D34E86&quot;/&gt;&lt;wsp:rsid wsp:val=&quot;38D44DA9&quot;/&gt;&lt;wsp:rsid wsp:val=&quot;38D46E50&quot;/&gt;&lt;wsp:rsid wsp:val=&quot;38D56239&quot;/&gt;&lt;wsp:rsid wsp:val=&quot;38D62BC9&quot;/&gt;&lt;wsp:rsid wsp:val=&quot;38D86941&quot;/&gt;&lt;wsp:rsid wsp:val=&quot;38D94467&quot;/&gt;&lt;wsp:rsid wsp:val=&quot;38DB1F8D&quot;/&gt;&lt;wsp:rsid wsp:val=&quot;38DD5D05&quot;/&gt;&lt;wsp:rsid wsp:val=&quot;38E075A3&quot;/&gt;&lt;wsp:rsid wsp:val=&quot;38E2156D&quot;/&gt;&lt;wsp:rsid wsp:val=&quot;38E2331B&quot;/&gt;&lt;wsp:rsid wsp:val=&quot;38E250CA&quot;/&gt;&lt;wsp:rsid wsp:val=&quot;38E67EE2&quot;/&gt;&lt;wsp:rsid wsp:val=&quot;38E86458&quot;/&gt;&lt;wsp:rsid wsp:val=&quot;38EC7CF6&quot;/&gt;&lt;wsp:rsid wsp:val=&quot;38F06B94&quot;/&gt;&lt;wsp:rsid wsp:val=&quot;38F10544&quot;/&gt;&lt;wsp:rsid wsp:val=&quot;38F12CD3&quot;/&gt;&lt;wsp:rsid wsp:val=&quot;38F372D7&quot;/&gt;&lt;wsp:rsid wsp:val=&quot;38F4304F&quot;/&gt;&lt;wsp:rsid wsp:val=&quot;38F60B75&quot;/&gt;&lt;wsp:rsid wsp:val=&quot;38F7443E&quot;/&gt;&lt;wsp:rsid wsp:val=&quot;38F82D14&quot;/&gt;&lt;wsp:rsid wsp:val=&quot;38F94775&quot;/&gt;&lt;wsp:rsid wsp:val=&quot;38FA0FB5&quot;/&gt;&lt;wsp:rsid wsp:val=&quot;38FA41FB&quot;/&gt;&lt;wsp:rsid wsp:val=&quot;38FB43DD&quot;/&gt;&lt;wsp:rsid wsp:val=&quot;38FC13E4&quot;/&gt;&lt;wsp:rsid wsp:val=&quot;38FE0016&quot;/&gt;&lt;wsp:rsid wsp:val=&quot;38FE686D&quot;/&gt;&lt;wsp:rsid wsp:val=&quot;390019F4&quot;/&gt;&lt;wsp:rsid wsp:val=&quot;390239BE&quot;/&gt;&lt;wsp:rsid wsp:val=&quot;3905525C&quot;/&gt;&lt;wsp:rsid wsp:val=&quot;39060070&quot;/&gt;&lt;wsp:rsid wsp:val=&quot;39062BB4&quot;/&gt;&lt;wsp:rsid wsp:val=&quot;39094D4C&quot;/&gt;&lt;wsp:rsid wsp:val=&quot;390A4523&quot;/&gt;&lt;wsp:rsid wsp:val=&quot;390B7A49&quot;/&gt;&lt;wsp:rsid wsp:val=&quot;390E4110&quot;/&gt;&lt;wsp:rsid wsp:val=&quot;390F0F9B&quot;/&gt;&lt;wsp:rsid wsp:val=&quot;390F4B3F&quot;/&gt;&lt;wsp:rsid wsp:val=&quot;39111E53&quot;/&gt;&lt;wsp:rsid wsp:val=&quot;391159AF&quot;/&gt;&lt;wsp:rsid wsp:val=&quot;3914724D&quot;/&gt;&lt;wsp:rsid wsp:val=&quot;391835B0&quot;/&gt;&lt;wsp:rsid wsp:val=&quot;39191B60&quot;/&gt;&lt;wsp:rsid wsp:val=&quot;39195BD6&quot;/&gt;&lt;wsp:rsid wsp:val=&quot;391B04A7&quot;/&gt;&lt;wsp:rsid wsp:val=&quot;391B05DB&quot;/&gt;&lt;wsp:rsid wsp:val=&quot;391D1E5E&quot;/&gt;&lt;wsp:rsid wsp:val=&quot;391D4354&quot;/&gt;&lt;wsp:rsid wsp:val=&quot;391F2DAA&quot;/&gt;&lt;wsp:rsid wsp:val=&quot;39205BF2&quot;/&gt;&lt;wsp:rsid wsp:val=&quot;392334FC&quot;/&gt;&lt;wsp:rsid wsp:val=&quot;39241B86&quot;/&gt;&lt;wsp:rsid wsp:val=&quot;392576AC&quot;/&gt;&lt;wsp:rsid wsp:val=&quot;392751D2&quot;/&gt;&lt;wsp:rsid wsp:val=&quot;392971ED&quot;/&gt;&lt;wsp:rsid wsp:val=&quot;392B4462&quot;/&gt;&lt;wsp:rsid wsp:val=&quot;392F4087&quot;/&gt;&lt;wsp:rsid wsp:val=&quot;39306E52&quot;/&gt;&lt;wsp:rsid wsp:val=&quot;39307317&quot;/&gt;&lt;wsp:rsid wsp:val=&quot;39311BAD&quot;/&gt;&lt;wsp:rsid wsp:val=&quot;39316051&quot;/&gt;&lt;wsp:rsid wsp:val=&quot;39316DD0&quot;/&gt;&lt;wsp:rsid wsp:val=&quot;39325651&quot;/&gt;&lt;wsp:rsid wsp:val=&quot;39335925&quot;/&gt;&lt;wsp:rsid wsp:val=&quot;39341601&quot;/&gt;&lt;wsp:rsid wsp:val=&quot;3934169D&quot;/&gt;&lt;wsp:rsid wsp:val=&quot;393578EF&quot;/&gt;&lt;wsp:rsid wsp:val=&quot;393671C3&quot;/&gt;&lt;wsp:rsid wsp:val=&quot;39382F3B&quot;/&gt;&lt;wsp:rsid wsp:val=&quot;39383970&quot;/&gt;&lt;wsp:rsid wsp:val=&quot;3939544D&quot;/&gt;&lt;wsp:rsid wsp:val=&quot;393A3157&quot;/&gt;&lt;wsp:rsid wsp:val=&quot;393A4F06&quot;/&gt;&lt;wsp:rsid wsp:val=&quot;393D0C91&quot;/&gt;&lt;wsp:rsid wsp:val=&quot;393D49F6&quot;/&gt;&lt;wsp:rsid wsp:val=&quot;393D67A4&quot;/&gt;&lt;wsp:rsid wsp:val=&quot;393F251C&quot;/&gt;&lt;wsp:rsid wsp:val=&quot;39404092&quot;/&gt;&lt;wsp:rsid wsp:val=&quot;39406294&quot;/&gt;&lt;wsp:rsid wsp:val=&quot;394151DB&quot;/&gt;&lt;wsp:rsid wsp:val=&quot;39423DBA&quot;/&gt;&lt;wsp:rsid wsp:val=&quot;39427A81&quot;/&gt;&lt;wsp:rsid wsp:val=&quot;39445009&quot;/&gt;&lt;wsp:rsid wsp:val=&quot;39445D84&quot;/&gt;&lt;wsp:rsid wsp:val=&quot;39455658&quot;/&gt;&lt;wsp:rsid wsp:val=&quot;39475A91&quot;/&gt;&lt;wsp:rsid wsp:val=&quot;39477622&quot;/&gt;&lt;wsp:rsid wsp:val=&quot;39484534&quot;/&gt;&lt;wsp:rsid wsp:val=&quot;394915ED&quot;/&gt;&lt;wsp:rsid wsp:val=&quot;394A0EC1&quot;/&gt;&lt;wsp:rsid wsp:val=&quot;394A3540&quot;/&gt;&lt;wsp:rsid wsp:val=&quot;394C4C39&quot;/&gt;&lt;wsp:rsid wsp:val=&quot;394F0285&quot;/&gt;&lt;wsp:rsid wsp:val=&quot;395104A1&quot;/&gt;&lt;wsp:rsid wsp:val=&quot;395313F4&quot;/&gt;&lt;wsp:rsid wsp:val=&quot;39535FC7&quot;/&gt;&lt;wsp:rsid wsp:val=&quot;39551D3F&quot;/&gt;&lt;wsp:rsid wsp:val=&quot;39553AED&quot;/&gt;&lt;wsp:rsid wsp:val=&quot;39557F91&quot;/&gt;&lt;wsp:rsid wsp:val=&quot;39561614&quot;/&gt;&lt;wsp:rsid wsp:val=&quot;395D6E46&quot;/&gt;&lt;wsp:rsid wsp:val=&quot;39643D30&quot;/&gt;&lt;wsp:rsid wsp:val=&quot;39650654&quot;/&gt;&lt;wsp:rsid wsp:val=&quot;39656F67&quot;/&gt;&lt;wsp:rsid wsp:val=&quot;39665CFB&quot;/&gt;&lt;wsp:rsid wsp:val=&quot;39667EF3&quot;/&gt;&lt;wsp:rsid wsp:val=&quot;39673821&quot;/&gt;&lt;wsp:rsid wsp:val=&quot;39677CC5&quot;/&gt;&lt;wsp:rsid wsp:val=&quot;396957EB&quot;/&gt;&lt;wsp:rsid wsp:val=&quot;396A50BF&quot;/&gt;&lt;wsp:rsid wsp:val=&quot;396C0E37&quot;/&gt;&lt;wsp:rsid wsp:val=&quot;396F26D5&quot;/&gt;&lt;wsp:rsid wsp:val=&quot;39700927&quot;/&gt;&lt;wsp:rsid wsp:val=&quot;39702384&quot;/&gt;&lt;wsp:rsid wsp:val=&quot;3971644D&quot;/&gt;&lt;wsp:rsid wsp:val=&quot;397228F1&quot;/&gt;&lt;wsp:rsid wsp:val=&quot;39736669&quot;/&gt;&lt;wsp:rsid wsp:val=&quot;39761CC4&quot;/&gt;&lt;wsp:rsid wsp:val=&quot;39777F08&quot;/&gt;&lt;wsp:rsid wsp:val=&quot;397A3554&quot;/&gt;&lt;wsp:rsid wsp:val=&quot;397A79F8&quot;/&gt;&lt;wsp:rsid wsp:val=&quot;397C1E1E&quot;/&gt;&lt;wsp:rsid wsp:val=&quot;397C551E&quot;/&gt;&lt;wsp:rsid wsp:val=&quot;397D1296&quot;/&gt;&lt;wsp:rsid wsp:val=&quot;397D3044&quot;/&gt;&lt;wsp:rsid wsp:val=&quot;397D5501&quot;/&gt;&lt;wsp:rsid wsp:val=&quot;397E6971&quot;/&gt;&lt;wsp:rsid wsp:val=&quot;397E7B4D&quot;/&gt;&lt;wsp:rsid wsp:val=&quot;397F6DBC&quot;/&gt;&lt;wsp:rsid wsp:val=&quot;39803F30&quot;/&gt;&lt;wsp:rsid wsp:val=&quot;39842625&quot;/&gt;&lt;wsp:rsid wsp:val=&quot;3986014B&quot;/&gt;&lt;wsp:rsid wsp:val=&quot;398610CE&quot;/&gt;&lt;wsp:rsid wsp:val=&quot;39872A47&quot;/&gt;&lt;wsp:rsid wsp:val=&quot;398B750F&quot;/&gt;&lt;wsp:rsid wsp:val=&quot;398D1190&quot;/&gt;&lt;wsp:rsid wsp:val=&quot;398E34A3&quot;/&gt;&lt;wsp:rsid wsp:val=&quot;398E7860&quot;/&gt;&lt;wsp:rsid wsp:val=&quot;39902D77&quot;/&gt;&lt;wsp:rsid wsp:val=&quot;39904B26&quot;/&gt;&lt;wsp:rsid wsp:val=&quot;39916AF0&quot;/&gt;&lt;wsp:rsid wsp:val=&quot;399239C7&quot;/&gt;&lt;wsp:rsid wsp:val=&quot;39927671&quot;/&gt;&lt;wsp:rsid wsp:val=&quot;39930ABA&quot;/&gt;&lt;wsp:rsid wsp:val=&quot;399436D2&quot;/&gt;&lt;wsp:rsid wsp:val=&quot;399565E0&quot;/&gt;&lt;wsp:rsid wsp:val=&quot;39964993&quot;/&gt;&lt;wsp:rsid wsp:val=&quot;3996700F&quot;/&gt;&lt;wsp:rsid wsp:val=&quot;39970912&quot;/&gt;&lt;wsp:rsid wsp:val=&quot;39972358&quot;/&gt;&lt;wsp:rsid wsp:val=&quot;39990BFA&quot;/&gt;&lt;wsp:rsid wsp:val=&quot;399B34CA&quot;/&gt;&lt;wsp:rsid wsp:val=&quot;399C171C&quot;/&gt;&lt;wsp:rsid wsp:val=&quot;399E6185&quot;/&gt;&lt;wsp:rsid wsp:val=&quot;399F745E&quot;/&gt;&lt;wsp:rsid wsp:val=&quot;39A131D7&quot;/&gt;&lt;wsp:rsid wsp:val=&quot;39A14595&quot;/&gt;&lt;wsp:rsid wsp:val=&quot;39A14F85&quot;/&gt;&lt;wsp:rsid wsp:val=&quot;39A30504&quot;/&gt;&lt;wsp:rsid wsp:val=&quot;39A44657&quot;/&gt;&lt;wsp:rsid wsp:val=&quot;39A46823&quot;/&gt;&lt;wsp:rsid wsp:val=&quot;39A607ED&quot;/&gt;&lt;wsp:rsid wsp:val=&quot;39A9208B&quot;/&gt;&lt;wsp:rsid wsp:val=&quot;39A95BE7&quot;/&gt;&lt;wsp:rsid wsp:val=&quot;39AB195F&quot;/&gt;&lt;wsp:rsid wsp:val=&quot;39AF63D9&quot;/&gt;&lt;wsp:rsid wsp:val=&quot;39B051C8&quot;/&gt;&lt;wsp:rsid wsp:val=&quot;39B12CEE&quot;/&gt;&lt;wsp:rsid wsp:val=&quot;39B20F40&quot;/&gt;&lt;wsp:rsid wsp:val=&quot;39B27192&quot;/&gt;&lt;wsp:rsid wsp:val=&quot;39B742F7&quot;/&gt;&lt;wsp:rsid wsp:val=&quot;39B8138C&quot;/&gt;&lt;wsp:rsid wsp:val=&quot;39B8407C&quot;/&gt;&lt;wsp:rsid wsp:val=&quot;39B90520&quot;/&gt;&lt;wsp:rsid wsp:val=&quot;39BA4298&quot;/&gt;&lt;wsp:rsid wsp:val=&quot;39BA7DF4&quot;/&gt;&lt;wsp:rsid wsp:val=&quot;39BC591B&quot;/&gt;&lt;wsp:rsid wsp:val=&quot;39BD78E5&quot;/&gt;&lt;wsp:rsid wsp:val=&quot;39BF18AF&quot;/&gt;&lt;wsp:rsid wsp:val=&quot;39C173D5&quot;/&gt;&lt;wsp:rsid wsp:val=&quot;39C3314D&quot;/&gt;&lt;wsp:rsid wsp:val=&quot;39C4792F&quot;/&gt;&lt;wsp:rsid wsp:val=&quot;39C62C3D&quot;/&gt;&lt;wsp:rsid wsp:val=&quot;39C63F54&quot;/&gt;&lt;wsp:rsid wsp:val=&quot;39C80763&quot;/&gt;&lt;wsp:rsid wsp:val=&quot;39C87DCA&quot;/&gt;&lt;wsp:rsid wsp:val=&quot;39CE38A0&quot;/&gt;&lt;wsp:rsid wsp:val=&quot;39CE564E&quot;/&gt;&lt;wsp:rsid wsp:val=&quot;39D013C6&quot;/&gt;&lt;wsp:rsid wsp:val=&quot;39D07618&quot;/&gt;&lt;wsp:rsid wsp:val=&quot;39D215E2&quot;/&gt;&lt;wsp:rsid wsp:val=&quot;39D2513E&quot;/&gt;&lt;wsp:rsid wsp:val=&quot;39D76BF8&quot;/&gt;&lt;wsp:rsid wsp:val=&quot;39DA2245&quot;/&gt;&lt;wsp:rsid wsp:val=&quot;39DC420F&quot;/&gt;&lt;wsp:rsid wsp:val=&quot;39DC5FBD&quot;/&gt;&lt;wsp:rsid wsp:val=&quot;39DE7F87&quot;/&gt;&lt;wsp:rsid wsp:val=&quot;39DF3CFF&quot;/&gt;&lt;wsp:rsid wsp:val=&quot;39DF5C78&quot;/&gt;&lt;wsp:rsid wsp:val=&quot;39DF785B&quot;/&gt;&lt;wsp:rsid wsp:val=&quot;39E15381&quot;/&gt;&lt;wsp:rsid wsp:val=&quot;39E3574B&quot;/&gt;&lt;wsp:rsid wsp:val=&quot;39E3734B&quot;/&gt;&lt;wsp:rsid wsp:val=&quot;39E60BE9&quot;/&gt;&lt;wsp:rsid wsp:val=&quot;39E62997&quot;/&gt;&lt;wsp:rsid wsp:val=&quot;39E6440A&quot;/&gt;&lt;wsp:rsid wsp:val=&quot;39E6508D&quot;/&gt;&lt;wsp:rsid wsp:val=&quot;39E76710&quot;/&gt;&lt;wsp:rsid wsp:val=&quot;39E84962&quot;/&gt;&lt;wsp:rsid wsp:val=&quot;39E906DA&quot;/&gt;&lt;wsp:rsid wsp:val=&quot;39EB091C&quot;/&gt;&lt;wsp:rsid wsp:val=&quot;39ED01CA&quot;/&gt;&lt;wsp:rsid wsp:val=&quot;39EE7A9E&quot;/&gt;&lt;wsp:rsid wsp:val=&quot;39EF3F42&quot;/&gt;&lt;wsp:rsid wsp:val=&quot;39F01A68&quot;/&gt;&lt;wsp:rsid wsp:val=&quot;39F257E0&quot;/&gt;&lt;wsp:rsid wsp:val=&quot;39F2758E&quot;/&gt;&lt;wsp:rsid wsp:val=&quot;39F32179&quot;/&gt;&lt;wsp:rsid wsp:val=&quot;39F33306&quot;/&gt;&lt;wsp:rsid wsp:val=&quot;39F477B4&quot;/&gt;&lt;wsp:rsid wsp:val=&quot;39F71049&quot;/&gt;&lt;wsp:rsid wsp:val=&quot;39F74BA5&quot;/&gt;&lt;wsp:rsid wsp:val=&quot;39F83C4E&quot;/&gt;&lt;wsp:rsid wsp:val=&quot;39F94DC1&quot;/&gt;&lt;wsp:rsid wsp:val=&quot;39F96B6F&quot;/&gt;&lt;wsp:rsid wsp:val=&quot;39FA28E7&quot;/&gt;&lt;wsp:rsid wsp:val=&quot;39FE0F50&quot;/&gt;&lt;wsp:rsid wsp:val=&quot;39FE4185&quot;/&gt;&lt;wsp:rsid wsp:val=&quot;39FF3A59&quot;/&gt;&lt;wsp:rsid wsp:val=&quot;3A013C75&quot;/&gt;&lt;wsp:rsid wsp:val=&quot;3A033549&quot;/&gt;&lt;wsp:rsid wsp:val=&quot;3A0472C2&quot;/&gt;&lt;wsp:rsid wsp:val=&quot;3A06303A&quot;/&gt;&lt;wsp:rsid wsp:val=&quot;3A064DE8&quot;/&gt;&lt;wsp:rsid wsp:val=&quot;3A07786C&quot;/&gt;&lt;wsp:rsid wsp:val=&quot;3A080B60&quot;/&gt;&lt;wsp:rsid wsp:val=&quot;3A0B0650&quot;/&gt;&lt;wsp:rsid wsp:val=&quot;3A0B1FE4&quot;/&gt;&lt;wsp:rsid wsp:val=&quot;3A0D43C8&quot;/&gt;&lt;wsp:rsid wsp:val=&quot;3A10210A&quot;/&gt;&lt;wsp:rsid wsp:val=&quot;3A103EB8&quot;/&gt;&lt;wsp:rsid wsp:val=&quot;3A12378C&quot;/&gt;&lt;wsp:rsid wsp:val=&quot;3A127C30&quot;/&gt;&lt;wsp:rsid wsp:val=&quot;3A137505&quot;/&gt;&lt;wsp:rsid wsp:val=&quot;3A1439A9&quot;/&gt;&lt;wsp:rsid wsp:val=&quot;3A1514CF&quot;/&gt;&lt;wsp:rsid wsp:val=&quot;3A15327D&quot;/&gt;&lt;wsp:rsid wsp:val=&quot;3A155D47&quot;/&gt;&lt;wsp:rsid wsp:val=&quot;3A173499&quot;/&gt;&lt;wsp:rsid wsp:val=&quot;3A175247&quot;/&gt;&lt;wsp:rsid wsp:val=&quot;3A176FF5&quot;/&gt;&lt;wsp:rsid wsp:val=&quot;3A185C7A&quot;/&gt;&lt;wsp:rsid wsp:val=&quot;3A1A0893&quot;/&gt;&lt;wsp:rsid wsp:val=&quot;3A1A679C&quot;/&gt;&lt;wsp:rsid wsp:val=&quot;3A1B1BB9&quot;/&gt;&lt;wsp:rsid wsp:val=&quot;3A1C460B&quot;/&gt;&lt;wsp:rsid wsp:val=&quot;3A1D44D9&quot;/&gt;&lt;wsp:rsid wsp:val=&quot;3A233BEC&quot;/&gt;&lt;wsp:rsid wsp:val=&quot;3A241712&quot;/&gt;&lt;wsp:rsid wsp:val=&quot;3A245469&quot;/&gt;&lt;wsp:rsid wsp:val=&quot;3A25040D&quot;/&gt;&lt;wsp:rsid wsp:val=&quot;3A255BB6&quot;/&gt;&lt;wsp:rsid wsp:val=&quot;3A2619FB&quot;/&gt;&lt;wsp:rsid wsp:val=&quot;3A26548A&quot;/&gt;&lt;wsp:rsid wsp:val=&quot;3A282FB0&quot;/&gt;&lt;wsp:rsid wsp:val=&quot;3A296D28&quot;/&gt;&lt;wsp:rsid wsp:val=&quot;3A2A31CC&quot;/&gt;&lt;wsp:rsid wsp:val=&quot;3A2A4F7A&quot;/&gt;&lt;wsp:rsid wsp:val=&quot;3A2B2AA0&quot;/&gt;&lt;wsp:rsid wsp:val=&quot;3A2C570F&quot;/&gt;&lt;wsp:rsid wsp:val=&quot;3A2E2C61&quot;/&gt;&lt;wsp:rsid wsp:val=&quot;3A2F07E2&quot;/&gt;&lt;wsp:rsid wsp:val=&quot;3A2F2590&quot;/&gt;&lt;wsp:rsid wsp:val=&quot;3A2F25D4&quot;/&gt;&lt;wsp:rsid wsp:val=&quot;3A2F628B&quot;/&gt;&lt;wsp:rsid wsp:val=&quot;3A311201&quot;/&gt;&lt;wsp:rsid wsp:val=&quot;3A323FC3&quot;/&gt;&lt;wsp:rsid wsp:val=&quot;3A331955&quot;/&gt;&lt;wsp:rsid wsp:val=&quot;3A347BA7&quot;/&gt;&lt;wsp:rsid wsp:val=&quot;3A355331&quot;/&gt;&lt;wsp:rsid wsp:val=&quot;3A3556CD&quot;/&gt;&lt;wsp:rsid wsp:val=&quot;3A361B71&quot;/&gt;&lt;wsp:rsid wsp:val=&quot;3A3A2CE3&quot;/&gt;&lt;wsp:rsid wsp:val=&quot;3A3C2EFF&quot;/&gt;&lt;wsp:rsid wsp:val=&quot;3A4019E9&quot;/&gt;&lt;wsp:rsid wsp:val=&quot;3A410DCE&quot;/&gt;&lt;wsp:rsid wsp:val=&quot;3A4122C4&quot;/&gt;&lt;wsp:rsid wsp:val=&quot;3A414072&quot;/&gt;&lt;wsp:rsid wsp:val=&quot;3A437DEA&quot;/&gt;&lt;wsp:rsid wsp:val=&quot;3A44036E&quot;/&gt;&lt;wsp:rsid wsp:val=&quot;3A461688&quot;/&gt;&lt;wsp:rsid wsp:val=&quot;3A465B2C&quot;/&gt;&lt;wsp:rsid wsp:val=&quot;3A466755&quot;/&gt;&lt;wsp:rsid wsp:val=&quot;3A4818A4&quot;/&gt;&lt;wsp:rsid wsp:val=&quot;3A4A73CA&quot;/&gt;&lt;wsp:rsid wsp:val=&quot;3A4B4EF0&quot;/&gt;&lt;wsp:rsid wsp:val=&quot;3A4C3887&quot;/&gt;&lt;wsp:rsid wsp:val=&quot;3A4D4A47&quot;/&gt;&lt;wsp:rsid wsp:val=&quot;3A4F4F2D&quot;/&gt;&lt;wsp:rsid wsp:val=&quot;3A5169AB&quot;/&gt;&lt;wsp:rsid wsp:val=&quot;3A51788C&quot;/&gt;&lt;wsp:rsid wsp:val=&quot;3A541FF7&quot;/&gt;&lt;wsp:rsid wsp:val=&quot;3A543DA5&quot;/&gt;&lt;wsp:rsid wsp:val=&quot;3A575643&quot;/&gt;&lt;wsp:rsid wsp:val=&quot;3A5913BB&quot;/&gt;&lt;wsp:rsid wsp:val=&quot;3A5A447A&quot;/&gt;&lt;wsp:rsid wsp:val=&quot;3A5B3385&quot;/&gt;&lt;wsp:rsid wsp:val=&quot;3A5B574A&quot;/&gt;&lt;wsp:rsid wsp:val=&quot;3A5D6AE5&quot;/&gt;&lt;wsp:rsid wsp:val=&quot;3A5E4C24&quot;/&gt;&lt;wsp:rsid wsp:val=&quot;3A5E69D2&quot;/&gt;&lt;wsp:rsid wsp:val=&quot;3A5F274A&quot;/&gt;&lt;wsp:rsid wsp:val=&quot;3A606BEE&quot;/&gt;&lt;wsp:rsid wsp:val=&quot;3A612966&quot;/&gt;&lt;wsp:rsid wsp:val=&quot;3A63223A&quot;/&gt;&lt;wsp:rsid wsp:val=&quot;3A636C6D&quot;/&gt;&lt;wsp:rsid wsp:val=&quot;3A647D60&quot;/&gt;&lt;wsp:rsid wsp:val=&quot;3A663EE1&quot;/&gt;&lt;wsp:rsid wsp:val=&quot;3A667F7C&quot;/&gt;&lt;wsp:rsid wsp:val=&quot;3A687850&quot;/&gt;&lt;wsp:rsid wsp:val=&quot;3A6A35C8&quot;/&gt;&lt;wsp:rsid wsp:val=&quot;3A6B24B9&quot;/&gt;&lt;wsp:rsid wsp:val=&quot;3A6B5F4D&quot;/&gt;&lt;wsp:rsid wsp:val=&quot;3A6B7341&quot;/&gt;&lt;wsp:rsid wsp:val=&quot;3A6C5593&quot;/&gt;&lt;wsp:rsid wsp:val=&quot;3A707DE1&quot;/&gt;&lt;wsp:rsid wsp:val=&quot;3A72452B&quot;/&gt;&lt;wsp:rsid wsp:val=&quot;3A757B75&quot;/&gt;&lt;wsp:rsid wsp:val=&quot;3A763C53&quot;/&gt;&lt;wsp:rsid wsp:val=&quot;3A784304&quot;/&gt;&lt;wsp:rsid wsp:val=&quot;3A79202A&quot;/&gt;&lt;wsp:rsid wsp:val=&quot;3A79380C&quot;/&gt;&lt;wsp:rsid wsp:val=&quot;3A7A3A64&quot;/&gt;&lt;wsp:rsid wsp:val=&quot;3A7E7074&quot;/&gt;&lt;wsp:rsid wsp:val=&quot;3A7E7310&quot;/&gt;&lt;wsp:rsid wsp:val=&quot;3A802DEC&quot;/&gt;&lt;wsp:rsid wsp:val=&quot;3A810912&quot;/&gt;&lt;wsp:rsid wsp:val=&quot;3A816B64&quot;/&gt;&lt;wsp:rsid wsp:val=&quot;3A8328DC&quot;/&gt;&lt;wsp:rsid wsp:val=&quot;3A856654&quot;/&gt;&lt;wsp:rsid wsp:val=&quot;3A86417A&quot;/&gt;&lt;wsp:rsid wsp:val=&quot;3A872856&quot;/&gt;&lt;wsp:rsid wsp:val=&quot;3A884996&quot;/&gt;&lt;wsp:rsid wsp:val=&quot;3A8A77C7&quot;/&gt;&lt;wsp:rsid wsp:val=&quot;3A8B75BA&quot;/&gt;&lt;wsp:rsid wsp:val=&quot;3A8F74D3&quot;/&gt;&lt;wsp:rsid wsp:val=&quot;3A9028D6&quot;/&gt;&lt;wsp:rsid wsp:val=&quot;3A914FF9&quot;/&gt;&lt;wsp:rsid wsp:val=&quot;3A9248CD&quot;/&gt;&lt;wsp:rsid wsp:val=&quot;3A941DDB&quot;/&gt;&lt;wsp:rsid wsp:val=&quot;3A943F6D&quot;/&gt;&lt;wsp:rsid wsp:val=&quot;3A9643BE&quot;/&gt;&lt;wsp:rsid wsp:val=&quot;3A976388&quot;/&gt;&lt;wsp:rsid wsp:val=&quot;3A992100&quot;/&gt;&lt;wsp:rsid wsp:val=&quot;3A9B5E78&quot;/&gt;&lt;wsp:rsid wsp:val=&quot;3A9B7C26&quot;/&gt;&lt;wsp:rsid wsp:val=&quot;3A9C574C&quot;/&gt;&lt;wsp:rsid wsp:val=&quot;3A9E028E&quot;/&gt;&lt;wsp:rsid wsp:val=&quot;3AA30888&quot;/&gt;&lt;wsp:rsid wsp:val=&quot;3AA33889&quot;/&gt;&lt;wsp:rsid wsp:val=&quot;3AA34D2C&quot;/&gt;&lt;wsp:rsid wsp:val=&quot;3AA54601&quot;/&gt;&lt;wsp:rsid wsp:val=&quot;3AA80595&quot;/&gt;&lt;wsp:rsid wsp:val=&quot;3AA84F4E&quot;/&gt;&lt;wsp:rsid wsp:val=&quot;3AAA60BB&quot;/&gt;&lt;wsp:rsid wsp:val=&quot;3AAD14C4&quot;/&gt;&lt;wsp:rsid wsp:val=&quot;3AB02FA5&quot;/&gt;&lt;wsp:rsid wsp:val=&quot;3AB115D7&quot;/&gt;&lt;wsp:rsid wsp:val=&quot;3AB24F6F&quot;/&gt;&lt;wsp:rsid wsp:val=&quot;3AB4781F&quot;/&gt;&lt;wsp:rsid wsp:val=&quot;3AB64A60&quot;/&gt;&lt;wsp:rsid wsp:val=&quot;3AB6680E&quot;/&gt;&lt;wsp:rsid wsp:val=&quot;3AB962FE&quot;/&gt;&lt;wsp:rsid wsp:val=&quot;3ABB2076&quot;/&gt;&lt;wsp:rsid wsp:val=&quot;3ABB3E24&quot;/&gt;&lt;wsp:rsid wsp:val=&quot;3AC0143A&quot;/&gt;&lt;wsp:rsid wsp:val=&quot;3AC0768C&quot;/&gt;&lt;wsp:rsid wsp:val=&quot;3AC132B4&quot;/&gt;&lt;wsp:rsid wsp:val=&quot;3AC25823&quot;/&gt;&lt;wsp:rsid wsp:val=&quot;3AC30F2B&quot;/&gt;&lt;wsp:rsid wsp:val=&quot;3AC3717D&quot;/&gt;&lt;wsp:rsid wsp:val=&quot;3AC54CA3&quot;/&gt;&lt;wsp:rsid wsp:val=&quot;3AC834FB&quot;/&gt;&lt;wsp:rsid wsp:val=&quot;3AC86541&quot;/&gt;&lt;wsp:rsid wsp:val=&quot;3AC96ADB&quot;/&gt;&lt;wsp:rsid wsp:val=&quot;3ACA4067&quot;/&gt;&lt;wsp:rsid wsp:val=&quot;3ACB24DB&quot;/&gt;&lt;wsp:rsid wsp:val=&quot;3ACC4283&quot;/&gt;&lt;wsp:rsid wsp:val=&quot;3ACC6031&quot;/&gt;&lt;wsp:rsid wsp:val=&quot;3ACC7DDF&quot;/&gt;&lt;wsp:rsid wsp:val=&quot;3ACF167E&quot;/&gt;&lt;wsp:rsid wsp:val=&quot;3ACF78CF&quot;/&gt;&lt;wsp:rsid wsp:val=&quot;3AD35612&quot;/&gt;&lt;wsp:rsid wsp:val=&quot;3AD71C07&quot;/&gt;&lt;wsp:rsid wsp:val=&quot;3AD76784&quot;/&gt;&lt;wsp:rsid wsp:val=&quot;3AD818AF&quot;/&gt;&lt;wsp:rsid wsp:val=&quot;3AD82C28&quot;/&gt;&lt;wsp:rsid wsp:val=&quot;3ADC3D9A&quot;/&gt;&lt;wsp:rsid wsp:val=&quot;3ADD023E&quot;/&gt;&lt;wsp:rsid wsp:val=&quot;3ADD1FEC&quot;/&gt;&lt;wsp:rsid wsp:val=&quot;3ADE3FB6&quot;/&gt;&lt;wsp:rsid wsp:val=&quot;3ADE5D64&quot;/&gt;&lt;wsp:rsid wsp:val=&quot;3AE0388B&quot;/&gt;&lt;wsp:rsid wsp:val=&quot;3AE2555B&quot;/&gt;&lt;wsp:rsid wsp:val=&quot;3AE31593&quot;/&gt;&lt;wsp:rsid wsp:val=&quot;3AE35129&quot;/&gt;&lt;wsp:rsid wsp:val=&quot;3AE461D5&quot;/&gt;&lt;wsp:rsid wsp:val=&quot;3AE52BFA&quot;/&gt;&lt;wsp:rsid wsp:val=&quot;3AE71BE5&quot;/&gt;&lt;wsp:rsid wsp:val=&quot;3AE84EDD&quot;/&gt;&lt;wsp:rsid wsp:val=&quot;3AE96BE3&quot;/&gt;&lt;wsp:rsid wsp:val=&quot;3AEA295B&quot;/&gt;&lt;wsp:rsid wsp:val=&quot;3AEA40B8&quot;/&gt;&lt;wsp:rsid wsp:val=&quot;3AEA64B7&quot;/&gt;&lt;wsp:rsid wsp:val=&quot;3AEC0481&quot;/&gt;&lt;wsp:rsid wsp:val=&quot;3AEC7B7A&quot;/&gt;&lt;wsp:rsid wsp:val=&quot;3AED5FA8&quot;/&gt;&lt;wsp:rsid wsp:val=&quot;3AEE244B&quot;/&gt;&lt;wsp:rsid wsp:val=&quot;3AEF7F72&quot;/&gt;&lt;wsp:rsid wsp:val=&quot;3AF02707&quot;/&gt;&lt;wsp:rsid wsp:val=&quot;3AF25027&quot;/&gt;&lt;wsp:rsid wsp:val=&quot;3AF410E4&quot;/&gt;&lt;wsp:rsid wsp:val=&quot;3AF61300&quot;/&gt;&lt;wsp:rsid wsp:val=&quot;3AF64E5C&quot;/&gt;&lt;wsp:rsid wsp:val=&quot;3AF70BD4&quot;/&gt;&lt;wsp:rsid wsp:val=&quot;3AF76FF8&quot;/&gt;&lt;wsp:rsid wsp:val=&quot;3AFA0DF0&quot;/&gt;&lt;wsp:rsid wsp:val=&quot;3AFC23EB&quot;/&gt;&lt;wsp:rsid wsp:val=&quot;3AFD4CED&quot;/&gt;&lt;wsp:rsid wsp:val=&quot;3AFF0E7D&quot;/&gt;&lt;wsp:rsid wsp:val=&quot;3AFF6407&quot;/&gt;&lt;wsp:rsid wsp:val=&quot;3B007A89&quot;/&gt;&lt;wsp:rsid wsp:val=&quot;3B021A53&quot;/&gt;&lt;wsp:rsid wsp:val=&quot;3B051543&quot;/&gt;&lt;wsp:rsid wsp:val=&quot;3B053A83&quot;/&gt;&lt;wsp:rsid wsp:val=&quot;3B057795&quot;/&gt;&lt;wsp:rsid wsp:val=&quot;3B084B8F&quot;/&gt;&lt;wsp:rsid wsp:val=&quot;3B091033&quot;/&gt;&lt;wsp:rsid wsp:val=&quot;3B0A1C96&quot;/&gt;&lt;wsp:rsid wsp:val=&quot;3B0A2042&quot;/&gt;&lt;wsp:rsid wsp:val=&quot;3B0A5E7F&quot;/&gt;&lt;wsp:rsid wsp:val=&quot;3B0A6C5F&quot;/&gt;&lt;wsp:rsid wsp:val=&quot;3B0C4680&quot;/&gt;&lt;wsp:rsid wsp:val=&quot;3B0D1C2F&quot;/&gt;&lt;wsp:rsid wsp:val=&quot;3B0E03F8&quot;/&gt;&lt;wsp:rsid wsp:val=&quot;3B0E263C&quot;/&gt;&lt;wsp:rsid wsp:val=&quot;3B141B02&quot;/&gt;&lt;wsp:rsid wsp:val=&quot;3B143534&quot;/&gt;&lt;wsp:rsid wsp:val=&quot;3B1479D8&quot;/&gt;&lt;wsp:rsid wsp:val=&quot;3B196D9D&quot;/&gt;&lt;wsp:rsid wsp:val=&quot;3B1B2B15&quot;/&gt;&lt;wsp:rsid wsp:val=&quot;3B1B48C3&quot;/&gt;&lt;wsp:rsid wsp:val=&quot;3B1B6E04&quot;/&gt;&lt;wsp:rsid wsp:val=&quot;3B1D1699&quot;/&gt;&lt;wsp:rsid wsp:val=&quot;3B1D688D&quot;/&gt;&lt;wsp:rsid wsp:val=&quot;3B1E43B3&quot;/&gt;&lt;wsp:rsid wsp:val=&quot;3B20637D&quot;/&gt;&lt;wsp:rsid wsp:val=&quot;3B211535&quot;/&gt;&lt;wsp:rsid wsp:val=&quot;3B2229C5&quot;/&gt;&lt;wsp:rsid wsp:val=&quot;3B2306F7&quot;/&gt;&lt;wsp:rsid wsp:val=&quot;3B2319C9&quot;/&gt;&lt;wsp:rsid wsp:val=&quot;3B24625C&quot;/&gt;&lt;wsp:rsid wsp:val=&quot;3B29048F&quot;/&gt;&lt;wsp:rsid wsp:val=&quot;3B2A2D58&quot;/&gt;&lt;wsp:rsid wsp:val=&quot;3B2C2F74&quot;/&gt;&lt;wsp:rsid wsp:val=&quot;3B2E2848&quot;/&gt;&lt;wsp:rsid wsp:val=&quot;3B312338&quot;/&gt;&lt;wsp:rsid wsp:val=&quot;3B3140E6&quot;/&gt;&lt;wsp:rsid wsp:val=&quot;3B334302&quot;/&gt;&lt;wsp:rsid wsp:val=&quot;3B33508B&quot;/&gt;&lt;wsp:rsid wsp:val=&quot;3B3360B0&quot;/&gt;&lt;wsp:rsid wsp:val=&quot;3B345984&quot;/&gt;&lt;wsp:rsid wsp:val=&quot;3B347B68&quot;/&gt;&lt;wsp:rsid wsp:val=&quot;3B36794F&quot;/&gt;&lt;wsp:rsid wsp:val=&quot;3B3763D1&quot;/&gt;&lt;wsp:rsid wsp:val=&quot;3B381919&quot;/&gt;&lt;wsp:rsid wsp:val=&quot;3B3836C7&quot;/&gt;&lt;wsp:rsid wsp:val=&quot;3B385475&quot;/&gt;&lt;wsp:rsid wsp:val=&quot;3B3911ED&quot;/&gt;&lt;wsp:rsid wsp:val=&quot;3B3B31B7&quot;/&gt;&lt;wsp:rsid wsp:val=&quot;3B3B6D13&quot;/&gt;&lt;wsp:rsid wsp:val=&quot;3B3E6803&quot;/&gt;&lt;wsp:rsid wsp:val=&quot;3B40257B&quot;/&gt;&lt;wsp:rsid wsp:val=&quot;3B404329&quot;/&gt;&lt;wsp:rsid wsp:val=&quot;3B410B1F&quot;/&gt;&lt;wsp:rsid wsp:val=&quot;3B424545&quot;/&gt;&lt;wsp:rsid wsp:val=&quot;3B455DE4&quot;/&gt;&lt;wsp:rsid wsp:val=&quot;3B462D16&quot;/&gt;&lt;wsp:rsid wsp:val=&quot;3B47368F&quot;/&gt;&lt;wsp:rsid wsp:val=&quot;3B47390A&quot;/&gt;&lt;wsp:rsid wsp:val=&quot;3B491430&quot;/&gt;&lt;wsp:rsid wsp:val=&quot;3B4B758E&quot;/&gt;&lt;wsp:rsid wsp:val=&quot;3B4E0FE9&quot;/&gt;&lt;wsp:rsid wsp:val=&quot;3B4E2EEA&quot;/&gt;&lt;wsp:rsid wsp:val=&quot;3B4F6010&quot;/&gt;&lt;wsp:rsid wsp:val=&quot;3B510614&quot;/&gt;&lt;wsp:rsid wsp:val=&quot;3B512721&quot;/&gt;&lt;wsp:rsid wsp:val=&quot;3B516536&quot;/&gt;&lt;wsp:rsid wsp:val=&quot;3B530501&quot;/&gt;&lt;wsp:rsid wsp:val=&quot;3B53405D&quot;/&gt;&lt;wsp:rsid wsp:val=&quot;3B546F95&quot;/&gt;&lt;wsp:rsid wsp:val=&quot;3B547DD5&quot;/&gt;&lt;wsp:rsid wsp:val=&quot;3B572D45&quot;/&gt;&lt;wsp:rsid wsp:val=&quot;3B585B17&quot;/&gt;&lt;wsp:rsid wsp:val=&quot;3B5A16C6&quot;/&gt;&lt;wsp:rsid wsp:val=&quot;3B5A363D&quot;/&gt;&lt;wsp:rsid wsp:val=&quot;3B5B1163&quot;/&gt;&lt;wsp:rsid wsp:val=&quot;3B5B73B5&quot;/&gt;&lt;wsp:rsid wsp:val=&quot;3B5D137F&quot;/&gt;&lt;wsp:rsid wsp:val=&quot;3B5D256D&quot;/&gt;&lt;wsp:rsid wsp:val=&quot;3B5D312D&quot;/&gt;&lt;wsp:rsid wsp:val=&quot;3B5D4EDB&quot;/&gt;&lt;wsp:rsid wsp:val=&quot;3B5F0C53&quot;/&gt;&lt;wsp:rsid wsp:val=&quot;3B5F14D7&quot;/&gt;&lt;wsp:rsid wsp:val=&quot;3B5F6EA5&quot;/&gt;&lt;wsp:rsid wsp:val=&quot;3B602C1D&quot;/&gt;&lt;wsp:rsid wsp:val=&quot;3B6224F2&quot;/&gt;&lt;wsp:rsid wsp:val=&quot;3B643EB9&quot;/&gt;&lt;wsp:rsid wsp:val=&quot;3B6463EC&quot;/&gt;&lt;wsp:rsid wsp:val=&quot;3B651FE2&quot;/&gt;&lt;wsp:rsid wsp:val=&quot;3B6577A0&quot;/&gt;&lt;wsp:rsid wsp:val=&quot;3B697D24&quot;/&gt;&lt;wsp:rsid wsp:val=&quot;3B6B3A9C&quot;/&gt;&lt;wsp:rsid wsp:val=&quot;3B6B584A&quot;/&gt;&lt;wsp:rsid wsp:val=&quot;3B6C15C2&quot;/&gt;&lt;wsp:rsid wsp:val=&quot;3B6C3370&quot;/&gt;&lt;wsp:rsid wsp:val=&quot;3B6E533A&quot;/&gt;&lt;wsp:rsid wsp:val=&quot;3B710987&quot;/&gt;&lt;wsp:rsid wsp:val=&quot;3B716BD9&quot;/&gt;&lt;wsp:rsid wsp:val=&quot;3B7346FF&quot;/&gt;&lt;wsp:rsid wsp:val=&quot;3B742225&quot;/&gt;&lt;wsp:rsid wsp:val=&quot;3B744E3E&quot;/&gt;&lt;wsp:rsid wsp:val=&quot;3B7753B5&quot;/&gt;&lt;wsp:rsid wsp:val=&quot;3B792A78&quot;/&gt;&lt;wsp:rsid wsp:val=&quot;3B794C4F&quot;/&gt;&lt;wsp:rsid wsp:val=&quot;3B7A06E1&quot;/&gt;&lt;wsp:rsid wsp:val=&quot;3B7A49D5&quot;/&gt;&lt;wsp:rsid wsp:val=&quot;3B7B1805&quot;/&gt;&lt;wsp:rsid wsp:val=&quot;3B7E5BB4&quot;/&gt;&lt;wsp:rsid wsp:val=&quot;3B7F4E52&quot;/&gt;&lt;wsp:rsid wsp:val=&quot;3B805322&quot;/&gt;&lt;wsp:rsid wsp:val=&quot;3B83709F&quot;/&gt;&lt;wsp:rsid wsp:val=&quot;3B8406BA&quot;/&gt;&lt;wsp:rsid wsp:val=&quot;3B841D62&quot;/&gt;&lt;wsp:rsid wsp:val=&quot;3B842468&quot;/&gt;&lt;wsp:rsid wsp:val=&quot;3B84690C&quot;/&gt;&lt;wsp:rsid wsp:val=&quot;3B853F89&quot;/&gt;&lt;wsp:rsid wsp:val=&quot;3B893F22&quot;/&gt;&lt;wsp:rsid wsp:val=&quot;3B8A37F6&quot;/&gt;&lt;wsp:rsid wsp:val=&quot;3B8B1A48&quot;/&gt;&lt;wsp:rsid wsp:val=&quot;3B8E1539&quot;/&gt;&lt;wsp:rsid wsp:val=&quot;3B912DD7&quot;/&gt;&lt;wsp:rsid wsp:val=&quot;3B916673&quot;/&gt;&lt;wsp:rsid wsp:val=&quot;3B93199A&quot;/&gt;&lt;wsp:rsid wsp:val=&quot;3B934DA1&quot;/&gt;&lt;wsp:rsid wsp:val=&quot;3B9823B7&quot;/&gt;&lt;wsp:rsid wsp:val=&quot;3B985F13&quot;/&gt;&lt;wsp:rsid wsp:val=&quot;3B9A612F&quot;/&gt;&lt;wsp:rsid wsp:val=&quot;3B9A7EDD&quot;/&gt;&lt;wsp:rsid wsp:val=&quot;3B9B676C&quot;/&gt;&lt;wsp:rsid wsp:val=&quot;3B9C138F&quot;/&gt;&lt;wsp:rsid wsp:val=&quot;3B9C1EA7&quot;/&gt;&lt;wsp:rsid wsp:val=&quot;3B9D352A&quot;/&gt;&lt;wsp:rsid wsp:val=&quot;3B9D6381&quot;/&gt;&lt;wsp:rsid wsp:val=&quot;3B9E00AB&quot;/&gt;&lt;wsp:rsid wsp:val=&quot;3B9F72A2&quot;/&gt;&lt;wsp:rsid wsp:val=&quot;3BA23236&quot;/&gt;&lt;wsp:rsid wsp:val=&quot;3BA26D92&quot;/&gt;&lt;wsp:rsid wsp:val=&quot;3BA31EEA&quot;/&gt;&lt;wsp:rsid wsp:val=&quot;3BA40D5C&quot;/&gt;&lt;wsp:rsid wsp:val=&quot;3BA448B8&quot;/&gt;&lt;wsp:rsid wsp:val=&quot;3BA64AD4&quot;/&gt;&lt;wsp:rsid wsp:val=&quot;3BA90120&quot;/&gt;&lt;wsp:rsid wsp:val=&quot;3BA945C4&quot;/&gt;&lt;wsp:rsid wsp:val=&quot;3BAA5C47&quot;/&gt;&lt;wsp:rsid wsp:val=&quot;3BAC7C11&quot;/&gt;&lt;wsp:rsid wsp:val=&quot;3BB00B62&quot;/&gt;&lt;wsp:rsid wsp:val=&quot;3BB05953&quot;/&gt;&lt;wsp:rsid wsp:val=&quot;3BB07701&quot;/&gt;&lt;wsp:rsid wsp:val=&quot;3BB16FD5&quot;/&gt;&lt;wsp:rsid wsp:val=&quot;3BB506E3&quot;/&gt;&lt;wsp:rsid wsp:val=&quot;3BB50897&quot;/&gt;&lt;wsp:rsid wsp:val=&quot;3BB56AC5&quot;/&gt;&lt;wsp:rsid wsp:val=&quot;3BB645EB&quot;/&gt;&lt;wsp:rsid wsp:val=&quot;3BB80364&quot;/&gt;&lt;wsp:rsid wsp:val=&quot;3BB91697&quot;/&gt;&lt;wsp:rsid wsp:val=&quot;3BBA232E&quot;/&gt;&lt;wsp:rsid wsp:val=&quot;3BBC42F8&quot;/&gt;&lt;wsp:rsid wsp:val=&quot;3BBC60A6&quot;/&gt;&lt;wsp:rsid wsp:val=&quot;3BBD3BCC&quot;/&gt;&lt;wsp:rsid wsp:val=&quot;3BBD597A&quot;/&gt;&lt;wsp:rsid wsp:val=&quot;3BBF5B96&quot;/&gt;&lt;wsp:rsid wsp:val=&quot;3BC1190E&quot;/&gt;&lt;wsp:rsid wsp:val=&quot;3BC145A2&quot;/&gt;&lt;wsp:rsid wsp:val=&quot;3BC1546A&quot;/&gt;&lt;wsp:rsid wsp:val=&quot;3BC211E2&quot;/&gt;&lt;wsp:rsid wsp:val=&quot;3BC23194&quot;/&gt;&lt;wsp:rsid wsp:val=&quot;3BC27434&quot;/&gt;&lt;wsp:rsid wsp:val=&quot;3BC6195C&quot;/&gt;&lt;wsp:rsid wsp:val=&quot;3BC767F9&quot;/&gt;&lt;wsp:rsid wsp:val=&quot;3BC92571&quot;/&gt;&lt;wsp:rsid wsp:val=&quot;3BC958A8&quot;/&gt;&lt;wsp:rsid wsp:val=&quot;3BC96A15&quot;/&gt;&lt;wsp:rsid wsp:val=&quot;3BCA5C37&quot;/&gt;&lt;wsp:rsid wsp:val=&quot;3BCC0557&quot;/&gt;&lt;wsp:rsid wsp:val=&quot;3BCC2061&quot;/&gt;&lt;wsp:rsid wsp:val=&quot;3BCC3E0F&quot;/&gt;&lt;wsp:rsid wsp:val=&quot;3BCE7B87&quot;/&gt;&lt;wsp:rsid wsp:val=&quot;3BD02172&quot;/&gt;&lt;wsp:rsid wsp:val=&quot;3BD056AD&quot;/&gt;&lt;wsp:rsid wsp:val=&quot;3BD3519D&quot;/&gt;&lt;wsp:rsid wsp:val=&quot;3BD66A3C&quot;/&gt;&lt;wsp:rsid wsp:val=&quot;3BD74C8E&quot;/&gt;&lt;wsp:rsid wsp:val=&quot;3BD776DA&quot;/&gt;&lt;wsp:rsid wsp:val=&quot;3BD80A06&quot;/&gt;&lt;wsp:rsid wsp:val=&quot;3BD827B4&quot;/&gt;&lt;wsp:rsid wsp:val=&quot;3BD86C58&quot;/&gt;&lt;wsp:rsid wsp:val=&quot;3BDB4052&quot;/&gt;&lt;wsp:rsid wsp:val=&quot;3BDC04F6&quot;/&gt;&lt;wsp:rsid wsp:val=&quot;3BDD601C&quot;/&gt;&lt;wsp:rsid wsp:val=&quot;3BDD7DCA&quot;/&gt;&lt;wsp:rsid wsp:val=&quot;3BDE2AC7&quot;/&gt;&lt;wsp:rsid wsp:val=&quot;3BDF36C0&quot;/&gt;&lt;wsp:rsid wsp:val=&quot;3BE112ED&quot;/&gt;&lt;wsp:rsid wsp:val=&quot;3BE1671C&quot;/&gt;&lt;wsp:rsid wsp:val=&quot;3BE23632&quot;/&gt;&lt;wsp:rsid wsp:val=&quot;3BE334BE&quot;/&gt;&lt;wsp:rsid wsp:val=&quot;3BE349CE&quot;/&gt;&lt;wsp:rsid wsp:val=&quot;3BE41159&quot;/&gt;&lt;wsp:rsid wsp:val=&quot;3BE473AB&quot;/&gt;&lt;wsp:rsid wsp:val=&quot;3BE61375&quot;/&gt;&lt;wsp:rsid wsp:val=&quot;3BE63CCF&quot;/&gt;&lt;wsp:rsid wsp:val=&quot;3BE66FC9&quot;/&gt;&lt;wsp:rsid wsp:val=&quot;3BE7089C&quot;/&gt;&lt;wsp:rsid wsp:val=&quot;3BE70C49&quot;/&gt;&lt;wsp:rsid wsp:val=&quot;3BE92C13&quot;/&gt;&lt;wsp:rsid wsp:val=&quot;3BE9676F&quot;/&gt;&lt;wsp:rsid wsp:val=&quot;3BEB005B&quot;/&gt;&lt;wsp:rsid wsp:val=&quot;3BEC625F&quot;/&gt;&lt;wsp:rsid wsp:val=&quot;3BED2703&quot;/&gt;&lt;wsp:rsid wsp:val=&quot;3BF07AFD&quot;/&gt;&lt;wsp:rsid wsp:val=&quot;3BF21AC7&quot;/&gt;&lt;wsp:rsid wsp:val=&quot;3BF27D19&quot;/&gt;&lt;wsp:rsid wsp:val=&quot;3BF33A92&quot;/&gt;&lt;wsp:rsid wsp:val=&quot;3BF375EE&quot;/&gt;&lt;wsp:rsid wsp:val=&quot;3BF55114&quot;/&gt;&lt;wsp:rsid wsp:val=&quot;3BF62E7B&quot;/&gt;&lt;wsp:rsid wsp:val=&quot;3BF910A8&quot;/&gt;&lt;wsp:rsid wsp:val=&quot;3BFC2946&quot;/&gt;&lt;wsp:rsid wsp:val=&quot;3BFC64A2&quot;/&gt;&lt;wsp:rsid wsp:val=&quot;3BFD221A&quot;/&gt;&lt;wsp:rsid wsp:val=&quot;3BFE66BE&quot;/&gt;&lt;wsp:rsid wsp:val=&quot;3BFE7989&quot;/&gt;&lt;wsp:rsid wsp:val=&quot;3BFF237D&quot;/&gt;&lt;wsp:rsid wsp:val=&quot;3BFF33E6&quot;/&gt;&lt;wsp:rsid wsp:val=&quot;3BFF5F92&quot;/&gt;&lt;wsp:rsid wsp:val=&quot;3C0178D1&quot;/&gt;&lt;wsp:rsid wsp:val=&quot;3C026603&quot;/&gt;&lt;wsp:rsid wsp:val=&quot;3C0417FB&quot;/&gt;&lt;wsp:rsid wsp:val=&quot;3C0435A9&quot;/&gt;&lt;wsp:rsid wsp:val=&quot;3C055B17&quot;/&gt;&lt;wsp:rsid wsp:val=&quot;3C065573&quot;/&gt;&lt;wsp:rsid wsp:val=&quot;3C067321&quot;/&gt;&lt;wsp:rsid wsp:val=&quot;3C0812EB&quot;/&gt;&lt;wsp:rsid wsp:val=&quot;3C08753D&quot;/&gt;&lt;wsp:rsid wsp:val=&quot;3C0A04F9&quot;/&gt;&lt;wsp:rsid wsp:val=&quot;3C0B455A&quot;/&gt;&lt;wsp:rsid wsp:val=&quot;3C0C5463&quot;/&gt;&lt;wsp:rsid wsp:val=&quot;3C0C59EA&quot;/&gt;&lt;wsp:rsid wsp:val=&quot;3C0E28B1&quot;/&gt;&lt;wsp:rsid wsp:val=&quot;3C101F4E&quot;/&gt;&lt;wsp:rsid wsp:val=&quot;3C12157C&quot;/&gt;&lt;wsp:rsid wsp:val=&quot;3C125CC6&quot;/&gt;&lt;wsp:rsid wsp:val=&quot;3C131A3E&quot;/&gt;&lt;wsp:rsid wsp:val=&quot;3C135E94&quot;/&gt;&lt;wsp:rsid wsp:val=&quot;3C14417C&quot;/&gt;&lt;wsp:rsid wsp:val=&quot;3C145487&quot;/&gt;&lt;wsp:rsid wsp:val=&quot;3C153A08&quot;/&gt;&lt;wsp:rsid wsp:val=&quot;3C1736E3&quot;/&gt;&lt;wsp:rsid wsp:val=&quot;3C177780&quot;/&gt;&lt;wsp:rsid wsp:val=&quot;3C1852A6&quot;/&gt;&lt;wsp:rsid wsp:val=&quot;3C1A101E&quot;/&gt;&lt;wsp:rsid wsp:val=&quot;3C1A2DCC&quot;/&gt;&lt;wsp:rsid wsp:val=&quot;3C1A67DC&quot;/&gt;&lt;wsp:rsid wsp:val=&quot;3C1A68AD&quot;/&gt;&lt;wsp:rsid wsp:val=&quot;3C1A7270&quot;/&gt;&lt;wsp:rsid wsp:val=&quot;3C1C18F8&quot;/&gt;&lt;wsp:rsid wsp:val=&quot;3C1C4D96&quot;/&gt;&lt;wsp:rsid wsp:val=&quot;3C1E0B0E&quot;/&gt;&lt;wsp:rsid wsp:val=&quot;3C1E28BD&quot;/&gt;&lt;wsp:rsid wsp:val=&quot;3C1F03E3&quot;/&gt;&lt;wsp:rsid wsp:val=&quot;3C20271F&quot;/&gt;&lt;wsp:rsid wsp:val=&quot;3C210428&quot;/&gt;&lt;wsp:rsid wsp:val=&quot;3C221C81&quot;/&gt;&lt;wsp:rsid wsp:val=&quot;3C243C4B&quot;/&gt;&lt;wsp:rsid wsp:val=&quot;3C2679C3&quot;/&gt;&lt;wsp:rsid wsp:val=&quot;3C277297&quot;/&gt;&lt;wsp:rsid wsp:val=&quot;3C294F12&quot;/&gt;&lt;wsp:rsid wsp:val=&quot;3C2974B3&quot;/&gt;&lt;wsp:rsid wsp:val=&quot;3C2B6D87&quot;/&gt;&lt;wsp:rsid wsp:val=&quot;3C2B7AFE&quot;/&gt;&lt;wsp:rsid wsp:val=&quot;3C2D0D52&quot;/&gt;&lt;wsp:rsid wsp:val=&quot;3C2D2B00&quot;/&gt;&lt;wsp:rsid wsp:val=&quot;3C2D6FA3&quot;/&gt;&lt;wsp:rsid wsp:val=&quot;3C2E0626&quot;/&gt;&lt;wsp:rsid wsp:val=&quot;3C2E7589&quot;/&gt;&lt;wsp:rsid wsp:val=&quot;3C2F4ACA&quot;/&gt;&lt;wsp:rsid wsp:val=&quot;3C2F6E1E&quot;/&gt;&lt;wsp:rsid wsp:val=&quot;3C320116&quot;/&gt;&lt;wsp:rsid wsp:val=&quot;3C3224E4&quot;/&gt;&lt;wsp:rsid wsp:val=&quot;3C345DD1&quot;/&gt;&lt;wsp:rsid wsp:val=&quot;3C352F86&quot;/&gt;&lt;wsp:rsid wsp:val=&quot;3C355E58&quot;/&gt;&lt;wsp:rsid wsp:val=&quot;3C387BE8&quot;/&gt;&lt;wsp:rsid wsp:val=&quot;3C3976F6&quot;/&gt;&lt;wsp:rsid wsp:val=&quot;3C3A6FCB&quot;/&gt;&lt;wsp:rsid wsp:val=&quot;3C3C0F95&quot;/&gt;&lt;wsp:rsid wsp:val=&quot;3C3E2F5F&quot;/&gt;&lt;wsp:rsid wsp:val=&quot;3C3F0648&quot;/&gt;&lt;wsp:rsid wsp:val=&quot;3C403B27&quot;/&gt;&lt;wsp:rsid wsp:val=&quot;3C406CD7&quot;/&gt;&lt;wsp:rsid wsp:val=&quot;3C4147FD&quot;/&gt;&lt;wsp:rsid wsp:val=&quot;3C4165AB&quot;/&gt;&lt;wsp:rsid wsp:val=&quot;3C41761B&quot;/&gt;&lt;wsp:rsid wsp:val=&quot;3C420004&quot;/&gt;&lt;wsp:rsid wsp:val=&quot;3C432323&quot;/&gt;&lt;wsp:rsid wsp:val=&quot;3C447E49&quot;/&gt;&lt;wsp:rsid wsp:val=&quot;3C460065&quot;/&gt;&lt;wsp:rsid wsp:val=&quot;3C461E13&quot;/&gt;&lt;wsp:rsid wsp:val=&quot;3C46443A&quot;/&gt;&lt;wsp:rsid wsp:val=&quot;3C495460&quot;/&gt;&lt;wsp:rsid wsp:val=&quot;3C4B567C&quot;/&gt;&lt;wsp:rsid wsp:val=&quot;3C4D6CFE&quot;/&gt;&lt;wsp:rsid wsp:val=&quot;3C4E2A76&quot;/&gt;&lt;wsp:rsid wsp:val=&quot;3C4F64BA&quot;/&gt;&lt;wsp:rsid wsp:val=&quot;3C5067EE&quot;/&gt;&lt;wsp:rsid wsp:val=&quot;3C526A0A&quot;/&gt;&lt;wsp:rsid wsp:val=&quot;3C53008C&quot;/&gt;&lt;wsp:rsid wsp:val=&quot;3C530193&quot;/&gt;&lt;wsp:rsid wsp:val=&quot;3C534C12&quot;/&gt;&lt;wsp:rsid wsp:val=&quot;3C544530&quot;/&gt;&lt;wsp:rsid wsp:val=&quot;3C5462DE&quot;/&gt;&lt;wsp:rsid wsp:val=&quot;3C547ECE&quot;/&gt;&lt;wsp:rsid wsp:val=&quot;3C577273&quot;/&gt;&lt;wsp:rsid wsp:val=&quot;3C591B47&quot;/&gt;&lt;wsp:rsid wsp:val=&quot;3C5938F5&quot;/&gt;&lt;wsp:rsid wsp:val=&quot;3C5C6BA4&quot;/&gt;&lt;wsp:rsid wsp:val=&quot;3C5E53AF&quot;/&gt;&lt;wsp:rsid wsp:val=&quot;3C5F2ED5&quot;/&gt;&lt;wsp:rsid wsp:val=&quot;3C5F6A31&quot;/&gt;&lt;wsp:rsid wsp:val=&quot;3C601127&quot;/&gt;&lt;wsp:rsid wsp:val=&quot;3C60496F&quot;/&gt;&lt;wsp:rsid wsp:val=&quot;3C616C4D&quot;/&gt;&lt;wsp:rsid wsp:val=&quot;3C6224D2&quot;/&gt;&lt;wsp:rsid wsp:val=&quot;3C6329C5&quot;/&gt;&lt;wsp:rsid wsp:val=&quot;3C636521&quot;/&gt;&lt;wsp:rsid wsp:val=&quot;3C642299&quot;/&gt;&lt;wsp:rsid wsp:val=&quot;3C6504EB&quot;/&gt;&lt;wsp:rsid wsp:val=&quot;3C666012&quot;/&gt;&lt;wsp:rsid wsp:val=&quot;3C680BB5&quot;/&gt;&lt;wsp:rsid wsp:val=&quot;3C683B38&quot;/&gt;&lt;wsp:rsid wsp:val=&quot;3C6D114E&quot;/&gt;&lt;wsp:rsid wsp:val=&quot;3C6D2D06&quot;/&gt;&lt;wsp:rsid wsp:val=&quot;3C6E4B61&quot;/&gt;&lt;wsp:rsid wsp:val=&quot;3C6F136A&quot;/&gt;&lt;wsp:rsid wsp:val=&quot;3C6F2411&quot;/&gt;&lt;wsp:rsid wsp:val=&quot;3C6F26D5&quot;/&gt;&lt;wsp:rsid wsp:val=&quot;3C6F3118&quot;/&gt;&lt;wsp:rsid wsp:val=&quot;3C723457&quot;/&gt;&lt;wsp:rsid wsp:val=&quot;3C752089&quot;/&gt;&lt;wsp:rsid wsp:val=&quot;3C77021F&quot;/&gt;&lt;wsp:rsid wsp:val=&quot;3C771FCD&quot;/&gt;&lt;wsp:rsid wsp:val=&quot;3C793F97&quot;/&gt;&lt;wsp:rsid wsp:val=&quot;3C795D45&quot;/&gt;&lt;wsp:rsid wsp:val=&quot;3C7E15AD&quot;/&gt;&lt;wsp:rsid wsp:val=&quot;3C7E335B&quot;/&gt;&lt;wsp:rsid wsp:val=&quot;3C7F0E81&quot;/&gt;&lt;wsp:rsid wsp:val=&quot;3C805325&quot;/&gt;&lt;wsp:rsid wsp:val=&quot;3C822F4C&quot;/&gt;&lt;wsp:rsid wsp:val=&quot;3C834E15&quot;/&gt;&lt;wsp:rsid wsp:val=&quot;3C835B1D&quot;/&gt;&lt;wsp:rsid wsp:val=&quot;3C8446EA&quot;/&gt;&lt;wsp:rsid wsp:val=&quot;3C88242C&quot;/&gt;&lt;wsp:rsid wsp:val=&quot;3C8A61A4&quot;/&gt;&lt;wsp:rsid wsp:val=&quot;3C8B4AF4&quot;/&gt;&lt;wsp:rsid wsp:val=&quot;3C8C1F1C&quot;/&gt;&lt;wsp:rsid wsp:val=&quot;3C8D56E2&quot;/&gt;&lt;wsp:rsid wsp:val=&quot;3C8F37BA&quot;/&gt;&lt;wsp:rsid wsp:val=&quot;3C8F7316&quot;/&gt;&lt;wsp:rsid wsp:val=&quot;3C9012E0&quot;/&gt;&lt;wsp:rsid wsp:val=&quot;3C90308E&quot;/&gt;&lt;wsp:rsid wsp:val=&quot;3C917532&quot;/&gt;&lt;wsp:rsid wsp:val=&quot;3C925059&quot;/&gt;&lt;wsp:rsid wsp:val=&quot;3C942B7F&quot;/&gt;&lt;wsp:rsid wsp:val=&quot;3C94492D&quot;/&gt;&lt;wsp:rsid wsp:val=&quot;3C9506A5&quot;/&gt;&lt;wsp:rsid wsp:val=&quot;3C964B49&quot;/&gt;&lt;wsp:rsid wsp:val=&quot;3C9708C1&quot;/&gt;&lt;wsp:rsid wsp:val=&quot;3C97266F&quot;/&gt;&lt;wsp:rsid wsp:val=&quot;3C991F43&quot;/&gt;&lt;wsp:rsid wsp:val=&quot;3C9B215F&quot;/&gt;&lt;wsp:rsid wsp:val=&quot;3C9B3F0D&quot;/&gt;&lt;wsp:rsid wsp:val=&quot;3C9C5234&quot;/&gt;&lt;wsp:rsid wsp:val=&quot;3C9E39FD&quot;/&gt;&lt;wsp:rsid wsp:val=&quot;3CA01523&quot;/&gt;&lt;wsp:rsid wsp:val=&quot;3CA07775&quot;/&gt;&lt;wsp:rsid wsp:val=&quot;3CA1704A&quot;/&gt;&lt;wsp:rsid wsp:val=&quot;3CA562E6&quot;/&gt;&lt;wsp:rsid wsp:val=&quot;3CA56B3A&quot;/&gt;&lt;wsp:rsid wsp:val=&quot;3CA628B2&quot;/&gt;&lt;wsp:rsid wsp:val=&quot;3CA8662A&quot;/&gt;&lt;wsp:rsid wsp:val=&quot;3CAA05F4&quot;/&gt;&lt;wsp:rsid wsp:val=&quot;3CAB1C76&quot;/&gt;&lt;wsp:rsid wsp:val=&quot;3CAB4D29&quot;/&gt;&lt;wsp:rsid wsp:val=&quot;3CAC35E8&quot;/&gt;&lt;wsp:rsid wsp:val=&quot;3CAD1E92&quot;/&gt;&lt;wsp:rsid wsp:val=&quot;3CAD3C40&quot;/&gt;&lt;wsp:rsid wsp:val=&quot;3CAE221A&quot;/&gt;&lt;wsp:rsid wsp:val=&quot;3CAE25AF&quot;/&gt;&lt;wsp:rsid wsp:val=&quot;3CAF1767&quot;/&gt;&lt;wsp:rsid wsp:val=&quot;3CB11983&quot;/&gt;&lt;wsp:rsid wsp:val=&quot;3CB2733A&quot;/&gt;&lt;wsp:rsid wsp:val=&quot;3CB2745A&quot;/&gt;&lt;wsp:rsid wsp:val=&quot;3CB274A9&quot;/&gt;&lt;wsp:rsid wsp:val=&quot;3CB44FCF&quot;/&gt;&lt;wsp:rsid wsp:val=&quot;3CB52AF5&quot;/&gt;&lt;wsp:rsid wsp:val=&quot;3CB72D11&quot;/&gt;&lt;wsp:rsid wsp:val=&quot;3CB732CC&quot;/&gt;&lt;wsp:rsid wsp:val=&quot;3CB76A42&quot;/&gt;&lt;wsp:rsid wsp:val=&quot;3CB837AC&quot;/&gt;&lt;wsp:rsid wsp:val=&quot;3CB90837&quot;/&gt;&lt;wsp:rsid wsp:val=&quot;3CBA010B&quot;/&gt;&lt;wsp:rsid wsp:val=&quot;3CBB630E&quot;/&gt;&lt;wsp:rsid wsp:val=&quot;3CBD0327&quot;/&gt;&lt;wsp:rsid wsp:val=&quot;3CBE19AA&quot;/&gt;&lt;wsp:rsid wsp:val=&quot;3CC176EC&quot;/&gt;&lt;wsp:rsid wsp:val=&quot;3CC316B6&quot;/&gt;&lt;wsp:rsid wsp:val=&quot;3CC33464&quot;/&gt;&lt;wsp:rsid wsp:val=&quot;3CC571DC&quot;/&gt;&lt;wsp:rsid wsp:val=&quot;3CC57E27&quot;/&gt;&lt;wsp:rsid wsp:val=&quot;3CC66AB0&quot;/&gt;&lt;wsp:rsid wsp:val=&quot;3CCA034E&quot;/&gt;&lt;wsp:rsid wsp:val=&quot;3CCA2A44&quot;/&gt;&lt;wsp:rsid wsp:val=&quot;3CCA65A0&quot;/&gt;&lt;wsp:rsid wsp:val=&quot;3CCB2319&quot;/&gt;&lt;wsp:rsid wsp:val=&quot;3CCB40C7&quot;/&gt;&lt;wsp:rsid wsp:val=&quot;3CCC056A&quot;/&gt;&lt;wsp:rsid wsp:val=&quot;3CCC471E&quot;/&gt;&lt;wsp:rsid wsp:val=&quot;3CCD14F4&quot;/&gt;&lt;wsp:rsid wsp:val=&quot;3CCD42E3&quot;/&gt;&lt;wsp:rsid wsp:val=&quot;3CCD7E3F&quot;/&gt;&lt;wsp:rsid wsp:val=&quot;3CCF1E09&quot;/&gt;&lt;wsp:rsid wsp:val=&quot;3CCF3BB7&quot;/&gt;&lt;wsp:rsid wsp:val=&quot;3CD13DD3&quot;/&gt;&lt;wsp:rsid wsp:val=&quot;3CD1792F&quot;/&gt;&lt;wsp:rsid wsp:val=&quot;3CD218F9&quot;/&gt;&lt;wsp:rsid wsp:val=&quot;3CD25455&quot;/&gt;&lt;wsp:rsid wsp:val=&quot;3CD270CE&quot;/&gt;&lt;wsp:rsid wsp:val=&quot;3CD27ED4&quot;/&gt;&lt;wsp:rsid wsp:val=&quot;3CD53C84&quot;/&gt;&lt;wsp:rsid wsp:val=&quot;3CD70CBD&quot;/&gt;&lt;wsp:rsid wsp:val=&quot;3CD92C87&quot;/&gt;&lt;wsp:rsid wsp:val=&quot;3CD94A35&quot;/&gt;&lt;wsp:rsid wsp:val=&quot;3CDA245A&quot;/&gt;&lt;wsp:rsid wsp:val=&quot;3CDA2E38&quot;/&gt;&lt;wsp:rsid wsp:val=&quot;3CDC0F86&quot;/&gt;&lt;wsp:rsid wsp:val=&quot;3CDE4963&quot;/&gt;&lt;wsp:rsid wsp:val=&quot;3CE04016&quot;/&gt;&lt;wsp:rsid wsp:val=&quot;3CE07B72&quot;/&gt;&lt;wsp:rsid wsp:val=&quot;3CE2168B&quot;/&gt;&lt;wsp:rsid wsp:val=&quot;3CE27D8E&quot;/&gt;&lt;wsp:rsid wsp:val=&quot;3CE358B4&quot;/&gt;&lt;wsp:rsid wsp:val=&quot;3CE47E75&quot;/&gt;&lt;wsp:rsid wsp:val=&quot;3CE533DA&quot;/&gt;&lt;wsp:rsid wsp:val=&quot;3CE60A40&quot;/&gt;&lt;wsp:rsid wsp:val=&quot;3CE82ECA&quot;/&gt;&lt;wsp:rsid wsp:val=&quot;3CE8383B&quot;/&gt;&lt;wsp:rsid wsp:val=&quot;3CEB3763&quot;/&gt;&lt;wsp:rsid wsp:val=&quot;3CED04E1&quot;/&gt;&lt;wsp:rsid wsp:val=&quot;3CED6733&quot;/&gt;&lt;wsp:rsid wsp:val=&quot;3CEE4EEF&quot;/&gt;&lt;wsp:rsid wsp:val=&quot;3CEF4259&quot;/&gt;&lt;wsp:rsid wsp:val=&quot;3CF03B2D&quot;/&gt;&lt;wsp:rsid wsp:val=&quot;3CF11D7F&quot;/&gt;&lt;wsp:rsid wsp:val=&quot;3CF17FD1&quot;/&gt;&lt;wsp:rsid wsp:val=&quot;3CF30BDC&quot;/&gt;&lt;wsp:rsid wsp:val=&quot;3CF4361D&quot;/&gt;&lt;wsp:rsid wsp:val=&quot;3CF61143&quot;/&gt;&lt;wsp:rsid wsp:val=&quot;3CF655E7&quot;/&gt;&lt;wsp:rsid wsp:val=&quot;3CF8135F&quot;/&gt;&lt;wsp:rsid wsp:val=&quot;3CFC0724&quot;/&gt;&lt;wsp:rsid wsp:val=&quot;3CFC24D2&quot;/&gt;&lt;wsp:rsid wsp:val=&quot;3CFC7B86&quot;/&gt;&lt;wsp:rsid wsp:val=&quot;3CFD6976&quot;/&gt;&lt;wsp:rsid wsp:val=&quot;3D015D3A&quot;/&gt;&lt;wsp:rsid wsp:val=&quot;3D031AB2&quot;/&gt;&lt;wsp:rsid wsp:val=&quot;3D033860&quot;/&gt;&lt;wsp:rsid wsp:val=&quot;3D053A7C&quot;/&gt;&lt;wsp:rsid wsp:val=&quot;3D053AAD&quot;/&gt;&lt;wsp:rsid wsp:val=&quot;3D08531B&quot;/&gt;&lt;wsp:rsid wsp:val=&quot;3D0A1093&quot;/&gt;&lt;wsp:rsid wsp:val=&quot;3D0A4BEF&quot;/&gt;&lt;wsp:rsid wsp:val=&quot;3D0C0967&quot;/&gt;&lt;wsp:rsid wsp:val=&quot;3D0E0B83&quot;/&gt;&lt;wsp:rsid wsp:val=&quot;3D0E5E2B&quot;/&gt;&lt;wsp:rsid wsp:val=&quot;3D0F66A9&quot;/&gt;&lt;wsp:rsid wsp:val=&quot;3D112421&quot;/&gt;&lt;wsp:rsid wsp:val=&quot;3D141F11&quot;/&gt;&lt;wsp:rsid wsp:val=&quot;3D143CBF&quot;/&gt;&lt;wsp:rsid wsp:val=&quot;3D145A6E&quot;/&gt;&lt;wsp:rsid wsp:val=&quot;3D147979&quot;/&gt;&lt;wsp:rsid wsp:val=&quot;3D1579D1&quot;/&gt;&lt;wsp:rsid wsp:val=&quot;3D167A38&quot;/&gt;&lt;wsp:rsid wsp:val=&quot;3D1811D9&quot;/&gt;&lt;wsp:rsid wsp:val=&quot;3D197528&quot;/&gt;&lt;wsp:rsid wsp:val=&quot;3D1C4922&quot;/&gt;&lt;wsp:rsid wsp:val=&quot;3D1C7B5A&quot;/&gt;&lt;wsp:rsid wsp:val=&quot;3D1D0FEA&quot;/&gt;&lt;wsp:rsid wsp:val=&quot;3D1E06B7&quot;/&gt;&lt;wsp:rsid wsp:val=&quot;3D1E68EC&quot;/&gt;&lt;wsp:rsid wsp:val=&quot;3D1F4D9A&quot;/&gt;&lt;wsp:rsid wsp:val=&quot;3D204412&quot;/&gt;&lt;wsp:rsid wsp:val=&quot;3D211F38&quot;/&gt;&lt;wsp:rsid wsp:val=&quot;3D22228B&quot;/&gt;&lt;wsp:rsid wsp:val=&quot;3D233F03&quot;/&gt;&lt;wsp:rsid wsp:val=&quot;3D243E9C&quot;/&gt;&lt;wsp:rsid wsp:val=&quot;3D247E6C&quot;/&gt;&lt;wsp:rsid wsp:val=&quot;3D251A29&quot;/&gt;&lt;wsp:rsid wsp:val=&quot;3D255ECD&quot;/&gt;&lt;wsp:rsid wsp:val=&quot;3D2757A1&quot;/&gt;&lt;wsp:rsid wsp:val=&quot;3D2832C7&quot;/&gt;&lt;wsp:rsid wsp:val=&quot;3D2860FD&quot;/&gt;&lt;wsp:rsid wsp:val=&quot;3D2A703F&quot;/&gt;&lt;wsp:rsid wsp:val=&quot;3D2C2DB7&quot;/&gt;&lt;wsp:rsid wsp:val=&quot;3D2E2FD3&quot;/&gt;&lt;wsp:rsid wsp:val=&quot;3D2F0AF9&quot;/&gt;&lt;wsp:rsid wsp:val=&quot;3D31661F&quot;/&gt;&lt;wsp:rsid wsp:val=&quot;3D324146&quot;/&gt;&lt;wsp:rsid wsp:val=&quot;3D332398&quot;/&gt;&lt;wsp:rsid wsp:val=&quot;3D34205A&quot;/&gt;&lt;wsp:rsid wsp:val=&quot;3D343F2F&quot;/&gt;&lt;wsp:rsid wsp:val=&quot;3D346110&quot;/&gt;&lt;wsp:rsid wsp:val=&quot;3D3632D2&quot;/&gt;&lt;wsp:rsid wsp:val=&quot;3D371E6A&quot;/&gt;&lt;wsp:rsid wsp:val=&quot;3D3A1978&quot;/&gt;&lt;wsp:rsid wsp:val=&quot;3D3A19A2&quot;/&gt;&lt;wsp:rsid wsp:val=&quot;3D3B2FFA&quot;/&gt;&lt;wsp:rsid wsp:val=&quot;3D3D3216&quot;/&gt;&lt;wsp:rsid wsp:val=&quot;3D404AB5&quot;/&gt;&lt;wsp:rsid wsp:val=&quot;3D406863&quot;/&gt;&lt;wsp:rsid wsp:val=&quot;3D417AC7&quot;/&gt;&lt;wsp:rsid wsp:val=&quot;3D4225DB&quot;/&gt;&lt;wsp:rsid wsp:val=&quot;3D424389&quot;/&gt;&lt;wsp:rsid wsp:val=&quot;3D4520CB&quot;/&gt;&lt;wsp:rsid wsp:val=&quot;3D474095&quot;/&gt;&lt;wsp:rsid wsp:val=&quot;3D485717&quot;/&gt;&lt;wsp:rsid wsp:val=&quot;3D493D04&quot;/&gt;&lt;wsp:rsid wsp:val=&quot;3D4A5933&quot;/&gt;&lt;wsp:rsid wsp:val=&quot;3D4A76E1&quot;/&gt;&lt;wsp:rsid wsp:val=&quot;3D4B2926&quot;/&gt;&lt;wsp:rsid wsp:val=&quot;3D4E5423&quot;/&gt;&lt;wsp:rsid wsp:val=&quot;3D4F2F4A&quot;/&gt;&lt;wsp:rsid wsp:val=&quot;3D4F6AA6&quot;/&gt;&lt;wsp:rsid wsp:val=&quot;3D513F0C&quot;/&gt;&lt;wsp:rsid wsp:val=&quot;3D5347E8&quot;/&gt;&lt;wsp:rsid wsp:val=&quot;3D5356C5&quot;/&gt;&lt;wsp:rsid wsp:val=&quot;3D5440BC&quot;/&gt;&lt;wsp:rsid wsp:val=&quot;3D5565A9&quot;/&gt;&lt;wsp:rsid wsp:val=&quot;3D567E34&quot;/&gt;&lt;wsp:rsid wsp:val=&quot;3D5800D7&quot;/&gt;&lt;wsp:rsid wsp:val=&quot;3D583BAC&quot;/&gt;&lt;wsp:rsid wsp:val=&quot;3D58755E&quot;/&gt;&lt;wsp:rsid wsp:val=&quot;3D5A3DC8&quot;/&gt;&lt;wsp:rsid wsp:val=&quot;3D5D28F2&quot;/&gt;&lt;wsp:rsid wsp:val=&quot;3D5F3856&quot;/&gt;&lt;wsp:rsid wsp:val=&quot;3D600CB3&quot;/&gt;&lt;wsp:rsid wsp:val=&quot;3D605157&quot;/&gt;&lt;wsp:rsid wsp:val=&quot;3D6108B8&quot;/&gt;&lt;wsp:rsid wsp:val=&quot;3D624A2B&quot;/&gt;&lt;wsp:rsid wsp:val=&quot;3D633921&quot;/&gt;&lt;wsp:rsid wsp:val=&quot;3D65276D&quot;/&gt;&lt;wsp:rsid wsp:val=&quot;3D667A0D&quot;/&gt;&lt;wsp:rsid wsp:val=&quot;3D670293&quot;/&gt;&lt;wsp:rsid wsp:val=&quot;3D687B67&quot;/&gt;&lt;wsp:rsid wsp:val=&quot;3D69400B&quot;/&gt;&lt;wsp:rsid wsp:val=&quot;3D6C33A0&quot;/&gt;&lt;wsp:rsid wsp:val=&quot;3D6C3AFB&quot;/&gt;&lt;wsp:rsid wsp:val=&quot;3D6D4830&quot;/&gt;&lt;wsp:rsid wsp:val=&quot;3D70539A&quot;/&gt;&lt;wsp:rsid wsp:val=&quot;3D711112&quot;/&gt;&lt;wsp:rsid wsp:val=&quot;3D714641&quot;/&gt;&lt;wsp:rsid wsp:val=&quot;3D7164C9&quot;/&gt;&lt;wsp:rsid wsp:val=&quot;3D732013&quot;/&gt;&lt;wsp:rsid wsp:val=&quot;3D74475E&quot;/&gt;&lt;wsp:rsid wsp:val=&quot;3D74650C&quot;/&gt;&lt;wsp:rsid wsp:val=&quot;3D7529B0&quot;/&gt;&lt;wsp:rsid wsp:val=&quot;3D7604D6&quot;/&gt;&lt;wsp:rsid wsp:val=&quot;3D766728&quot;/&gt;&lt;wsp:rsid wsp:val=&quot;3D781943&quot;/&gt;&lt;wsp:rsid wsp:val=&quot;3D7824A0&quot;/&gt;&lt;wsp:rsid wsp:val=&quot;3D785FFC&quot;/&gt;&lt;wsp:rsid wsp:val=&quot;3D791D75&quot;/&gt;&lt;wsp:rsid wsp:val=&quot;3D7B789B&quot;/&gt;&lt;wsp:rsid wsp:val=&quot;3D7D3613&quot;/&gt;&lt;wsp:rsid wsp:val=&quot;3D7F382F&quot;/&gt;&lt;wsp:rsid wsp:val=&quot;3D802CA6&quot;/&gt;&lt;wsp:rsid wsp:val=&quot;3D846F19&quot;/&gt;&lt;wsp:rsid wsp:val=&quot;3D853F47&quot;/&gt;&lt;wsp:rsid wsp:val=&quot;3D855688&quot;/&gt;&lt;wsp:rsid wsp:val=&quot;3D8726E3&quot;/&gt;&lt;wsp:rsid wsp:val=&quot;3D8C7CFA&quot;/&gt;&lt;wsp:rsid wsp:val=&quot;3D8D3E1A&quot;/&gt;&lt;wsp:rsid wsp:val=&quot;3D8D44B9&quot;/&gt;&lt;wsp:rsid wsp:val=&quot;3D8F1598&quot;/&gt;&lt;wsp:rsid wsp:val=&quot;3D913562&quot;/&gt;&lt;wsp:rsid wsp:val=&quot;3D915310&quot;/&gt;&lt;wsp:rsid wsp:val=&quot;3D9170BE&quot;/&gt;&lt;wsp:rsid wsp:val=&quot;3D931088&quot;/&gt;&lt;wsp:rsid wsp:val=&quot;3D934583&quot;/&gt;&lt;wsp:rsid wsp:val=&quot;3D9372DA&quot;/&gt;&lt;wsp:rsid wsp:val=&quot;3D946844&quot;/&gt;&lt;wsp:rsid wsp:val=&quot;3D962926&quot;/&gt;&lt;wsp:rsid wsp:val=&quot;3D9A41C5&quot;/&gt;&lt;wsp:rsid wsp:val=&quot;3D9A641E&quot;/&gt;&lt;wsp:rsid wsp:val=&quot;3D9B1CEB&quot;/&gt;&lt;wsp:rsid wsp:val=&quot;3D9E65F4&quot;/&gt;&lt;wsp:rsid wsp:val=&quot;3DA0319B&quot;/&gt;&lt;wsp:rsid wsp:val=&quot;3DA037A5&quot;/&gt;&lt;wsp:rsid wsp:val=&quot;3DA2751D&quot;/&gt;&lt;wsp:rsid wsp:val=&quot;3DA54918&quot;/&gt;&lt;wsp:rsid wsp:val=&quot;3DA6700D&quot;/&gt;&lt;wsp:rsid wsp:val=&quot;3DA74B34&quot;/&gt;&lt;wsp:rsid wsp:val=&quot;3DA768E2&quot;/&gt;&lt;wsp:rsid wsp:val=&quot;3DA8670D&quot;/&gt;&lt;wsp:rsid wsp:val=&quot;3DA94A83&quot;/&gt;&lt;wsp:rsid wsp:val=&quot;3DA950AA&quot;/&gt;&lt;wsp:rsid wsp:val=&quot;3DAA64A0&quot;/&gt;&lt;wsp:rsid wsp:val=&quot;3DAA6CF2&quot;/&gt;&lt;wsp:rsid wsp:val=&quot;3DAB4624&quot;/&gt;&lt;wsp:rsid wsp:val=&quot;3DAB63D2&quot;/&gt;&lt;wsp:rsid wsp:val=&quot;3DAE1A1E&quot;/&gt;&lt;wsp:rsid wsp:val=&quot;3DAE7C70&quot;/&gt;&lt;wsp:rsid wsp:val=&quot;3DAF26F9&quot;/&gt;&lt;wsp:rsid wsp:val=&quot;3DB0660E&quot;/&gt;&lt;wsp:rsid wsp:val=&quot;3DB1150E&quot;/&gt;&lt;wsp:rsid wsp:val=&quot;3DB35B35&quot;/&gt;&lt;wsp:rsid wsp:val=&quot;3DB549D1&quot;/&gt;&lt;wsp:rsid wsp:val=&quot;3DB57B1A&quot;/&gt;&lt;wsp:rsid wsp:val=&quot;3DB645BB&quot;/&gt;&lt;wsp:rsid wsp:val=&quot;3DB64D77&quot;/&gt;&lt;wsp:rsid wsp:val=&quot;3DB66B25&quot;/&gt;&lt;wsp:rsid wsp:val=&quot;3DB70C61&quot;/&gt;&lt;wsp:rsid wsp:val=&quot;3DB72FC9&quot;/&gt;&lt;wsp:rsid wsp:val=&quot;3DB76351&quot;/&gt;&lt;wsp:rsid wsp:val=&quot;3DB80AEF&quot;/&gt;&lt;wsp:rsid wsp:val=&quot;3DB8289D&quot;/&gt;&lt;wsp:rsid wsp:val=&quot;3DB861BE&quot;/&gt;&lt;wsp:rsid wsp:val=&quot;3DB86D41&quot;/&gt;&lt;wsp:rsid wsp:val=&quot;3DBA21C5&quot;/&gt;&lt;wsp:rsid wsp:val=&quot;3DBB4109&quot;/&gt;&lt;wsp:rsid wsp:val=&quot;3DBB413B&quot;/&gt;&lt;wsp:rsid wsp:val=&quot;3DBB5757&quot;/&gt;&lt;wsp:rsid wsp:val=&quot;3DBC05DF&quot;/&gt;&lt;wsp:rsid wsp:val=&quot;3DBD7EB3&quot;/&gt;&lt;wsp:rsid wsp:val=&quot;3DC01751&quot;/&gt;&lt;wsp:rsid wsp:val=&quot;3DC079A3&quot;/&gt;&lt;wsp:rsid wsp:val=&quot;3DC1717A&quot;/&gt;&lt;wsp:rsid wsp:val=&quot;3DC2371B&quot;/&gt;&lt;wsp:rsid wsp:val=&quot;3DC4168B&quot;/&gt;&lt;wsp:rsid wsp:val=&quot;3DC54F0A&quot;/&gt;&lt;wsp:rsid wsp:val=&quot;3DC56D68&quot;/&gt;&lt;wsp:rsid wsp:val=&quot;3DC76F84&quot;/&gt;&lt;wsp:rsid wsp:val=&quot;3DCB25D0&quot;/&gt;&lt;wsp:rsid wsp:val=&quot;3DCC459A&quot;/&gt;&lt;wsp:rsid wsp:val=&quot;3DCC6348&quot;/&gt;&lt;wsp:rsid wsp:val=&quot;3DCF3BCD&quot;/&gt;&lt;wsp:rsid wsp:val=&quot;3DCF679E&quot;/&gt;&lt;wsp:rsid wsp:val=&quot;3DD0408A&quot;/&gt;&lt;wsp:rsid wsp:val=&quot;3DD0505D&quot;/&gt;&lt;wsp:rsid wsp:val=&quot;3DD07BE6&quot;/&gt;&lt;wsp:rsid wsp:val=&quot;3DD11BB1&quot;/&gt;&lt;wsp:rsid wsp:val=&quot;3DD220DA&quot;/&gt;&lt;wsp:rsid wsp:val=&quot;3DD516A1&quot;/&gt;&lt;wsp:rsid wsp:val=&quot;3DD5344F&quot;/&gt;&lt;wsp:rsid wsp:val=&quot;3DD65008&quot;/&gt;&lt;wsp:rsid wsp:val=&quot;3DD86A9B&quot;/&gt;&lt;wsp:rsid wsp:val=&quot;3DDA38B1&quot;/&gt;&lt;wsp:rsid wsp:val=&quot;3DDA6CB7&quot;/&gt;&lt;wsp:rsid wsp:val=&quot;3DDC47DD&quot;/&gt;&lt;wsp:rsid wsp:val=&quot;3DDD20DC&quot;/&gt;&lt;wsp:rsid wsp:val=&quot;3DDD2303&quot;/&gt;&lt;wsp:rsid wsp:val=&quot;3DDD67A7&quot;/&gt;&lt;wsp:rsid wsp:val=&quot;3DDF607B&quot;/&gt;&lt;wsp:rsid wsp:val=&quot;3DE06F26&quot;/&gt;&lt;wsp:rsid wsp:val=&quot;3DE11DF4&quot;/&gt;&lt;wsp:rsid wsp:val=&quot;3DE25B6C&quot;/&gt;&lt;wsp:rsid wsp:val=&quot;3DE33297&quot;/&gt;&lt;wsp:rsid wsp:val=&quot;3DE6565C&quot;/&gt;&lt;wsp:rsid wsp:val=&quot;3DE6740A&quot;/&gt;&lt;wsp:rsid wsp:val=&quot;3DE713D4&quot;/&gt;&lt;wsp:rsid wsp:val=&quot;3DE73182&quot;/&gt;&lt;wsp:rsid wsp:val=&quot;3DE90CA8&quot;/&gt;&lt;wsp:rsid wsp:val=&quot;3DEA2D86&quot;/&gt;&lt;wsp:rsid wsp:val=&quot;3DEA4138&quot;/&gt;&lt;wsp:rsid wsp:val=&quot;3DEA67CE&quot;/&gt;&lt;wsp:rsid wsp:val=&quot;3DEB0EC4&quot;/&gt;&lt;wsp:rsid wsp:val=&quot;3DEB4A20&quot;/&gt;&lt;wsp:rsid wsp:val=&quot;3DEC0798&quot;/&gt;&lt;wsp:rsid wsp:val=&quot;3DEC2546&quot;/&gt;&lt;wsp:rsid wsp:val=&quot;3DEF6791&quot;/&gt;&lt;wsp:rsid wsp:val=&quot;3DF07218&quot;/&gt;&lt;wsp:rsid wsp:val=&quot;3DF15DAF&quot;/&gt;&lt;wsp:rsid wsp:val=&quot;3DF245B0&quot;/&gt;&lt;wsp:rsid wsp:val=&quot;3DF338D5&quot;/&gt;&lt;wsp:rsid wsp:val=&quot;3DF37D79&quot;/&gt;&lt;wsp:rsid wsp:val=&quot;3DF5589F&quot;/&gt;&lt;wsp:rsid wsp:val=&quot;3DF77869&quot;/&gt;&lt;wsp:rsid wsp:val=&quot;3DF8538F&quot;/&gt;&lt;wsp:rsid wsp:val=&quot;3DFA2EB5&quot;/&gt;&lt;wsp:rsid wsp:val=&quot;3DFA4C63&quot;/&gt;&lt;wsp:rsid wsp:val=&quot;3DFB09DB&quot;/&gt;&lt;wsp:rsid wsp:val=&quot;3DFB2BEA&quot;/&gt;&lt;wsp:rsid wsp:val=&quot;3DFB393E&quot;/&gt;&lt;wsp:rsid wsp:val=&quot;3DFC5847&quot;/&gt;&lt;wsp:rsid wsp:val=&quot;3DFD4754&quot;/&gt;&lt;wsp:rsid wsp:val=&quot;3DFD6502&quot;/&gt;&lt;wsp:rsid wsp:val=&quot;3DFE0BF8&quot;/&gt;&lt;wsp:rsid wsp:val=&quot;3E012FF6&quot;/&gt;&lt;wsp:rsid wsp:val=&quot;3E04123E&quot;/&gt;&lt;wsp:rsid wsp:val=&quot;3E06185A&quot;/&gt;&lt;wsp:rsid wsp:val=&quot;3E0755D2&quot;/&gt;&lt;wsp:rsid wsp:val=&quot;3E0930F8&quot;/&gt;&lt;wsp:rsid wsp:val=&quot;3E0B50C2&quot;/&gt;&lt;wsp:rsid wsp:val=&quot;3E0B6E71&quot;/&gt;&lt;wsp:rsid wsp:val=&quot;3E0D0E3B&quot;/&gt;&lt;wsp:rsid wsp:val=&quot;3E122832&quot;/&gt;&lt;wsp:rsid wsp:val=&quot;3E1321C9&quot;/&gt;&lt;wsp:rsid wsp:val=&quot;3E160F33&quot;/&gt;&lt;wsp:rsid wsp:val=&quot;3E171CB9&quot;/&gt;&lt;wsp:rsid wsp:val=&quot;3E173A67&quot;/&gt;&lt;wsp:rsid wsp:val=&quot;3E18333B&quot;/&gt;&lt;wsp:rsid wsp:val=&quot;3E194160&quot;/&gt;&lt;wsp:rsid wsp:val=&quot;3E1A5306&quot;/&gt;&lt;wsp:rsid wsp:val=&quot;3E1B0A01&quot;/&gt;&lt;wsp:rsid wsp:val=&quot;3E1C107E&quot;/&gt;&lt;wsp:rsid wsp:val=&quot;3E1C72D0&quot;/&gt;&lt;wsp:rsid wsp:val=&quot;3E1D35CC&quot;/&gt;&lt;wsp:rsid wsp:val=&quot;3E1D4DF6&quot;/&gt;&lt;wsp:rsid wsp:val=&quot;3E1F13B5&quot;/&gt;&lt;wsp:rsid wsp:val=&quot;3E2066E9&quot;/&gt;&lt;wsp:rsid wsp:val=&quot;3E23097A&quot;/&gt;&lt;wsp:rsid wsp:val=&quot;3E246184&quot;/&gt;&lt;wsp:rsid wsp:val=&quot;3E281C07&quot;/&gt;&lt;wsp:rsid wsp:val=&quot;3E285C74&quot;/&gt;&lt;wsp:rsid wsp:val=&quot;3E2972F7&quot;/&gt;&lt;wsp:rsid wsp:val=&quot;3E2B12C1&quot;/&gt;&lt;wsp:rsid wsp:val=&quot;3E2B7513&quot;/&gt;&lt;wsp:rsid wsp:val=&quot;3E2C6DE7&quot;/&gt;&lt;wsp:rsid wsp:val=&quot;3E2D5039&quot;/&gt;&lt;wsp:rsid wsp:val=&quot;3E304B29&quot;/&gt;&lt;wsp:rsid wsp:val=&quot;3E3143FD&quot;/&gt;&lt;wsp:rsid wsp:val=&quot;3E330175&quot;/&gt;&lt;wsp:rsid wsp:val=&quot;3E3363C7&quot;/&gt;&lt;wsp:rsid wsp:val=&quot;3E342474&quot;/&gt;&lt;wsp:rsid wsp:val=&quot;3E375EB7&quot;/&gt;&lt;wsp:rsid wsp:val=&quot;3E3839DE&quot;/&gt;&lt;wsp:rsid wsp:val=&quot;3E3A59A8&quot;/&gt;&lt;wsp:rsid wsp:val=&quot;3E3A7756&quot;/&gt;&lt;wsp:rsid wsp:val=&quot;3E3B3C99&quot;/&gt;&lt;wsp:rsid wsp:val=&quot;3E3C1720&quot;/&gt;&lt;wsp:rsid wsp:val=&quot;3E3C34CE&quot;/&gt;&lt;wsp:rsid wsp:val=&quot;3E3C527C&quot;/&gt;&lt;wsp:rsid wsp:val=&quot;3E400AD9&quot;/&gt;&lt;wsp:rsid wsp:val=&quot;3E416D36&quot;/&gt;&lt;wsp:rsid wsp:val=&quot;3E4203B8&quot;/&gt;&lt;wsp:rsid wsp:val=&quot;3E42660A&quot;/&gt;&lt;wsp:rsid wsp:val=&quot;3E4800C5&quot;/&gt;&lt;wsp:rsid wsp:val=&quot;3E483C21&quot;/&gt;&lt;wsp:rsid wsp:val=&quot;3E491066&quot;/&gt;&lt;wsp:rsid wsp:val=&quot;3E493DC2&quot;/&gt;&lt;wsp:rsid wsp:val=&quot;3E495BEB&quot;/&gt;&lt;wsp:rsid wsp:val=&quot;3E497999&quot;/&gt;&lt;wsp:rsid wsp:val=&quot;3E4C733C&quot;/&gt;&lt;wsp:rsid wsp:val=&quot;3E4E4FAF&quot;/&gt;&lt;wsp:rsid wsp:val=&quot;3E511B77&quot;/&gt;&lt;wsp:rsid wsp:val=&quot;3E522CF1&quot;/&gt;&lt;wsp:rsid wsp:val=&quot;3E524A9F&quot;/&gt;&lt;wsp:rsid wsp:val=&quot;3E55633E&quot;/&gt;&lt;wsp:rsid wsp:val=&quot;3E570308&quot;/&gt;&lt;wsp:rsid wsp:val=&quot;3E5720B6&quot;/&gt;&lt;wsp:rsid wsp:val=&quot;3E5C1230&quot;/&gt;&lt;wsp:rsid wsp:val=&quot;3E5D51F2&quot;/&gt;&lt;wsp:rsid wsp:val=&quot;3E5E3444&quot;/&gt;&lt;wsp:rsid wsp:val=&quot;3E5F71BC&quot;/&gt;&lt;wsp:rsid wsp:val=&quot;3E675C0A&quot;/&gt;&lt;wsp:rsid wsp:val=&quot;3E676FF3&quot;/&gt;&lt;wsp:rsid wsp:val=&quot;3E68709A&quot;/&gt;&lt;wsp:rsid wsp:val=&quot;3E6A1E9A&quot;/&gt;&lt;wsp:rsid wsp:val=&quot;3E6B5B61&quot;/&gt;&lt;wsp:rsid wsp:val=&quot;3E6D1CF6&quot;/&gt;&lt;wsp:rsid wsp:val=&quot;3E6D3687&quot;/&gt;&lt;wsp:rsid wsp:val=&quot;3E6E2F0C&quot;/&gt;&lt;wsp:rsid wsp:val=&quot;3E6F38A3&quot;/&gt;&lt;wsp:rsid wsp:val=&quot;3E6F5651&quot;/&gt;&lt;wsp:rsid wsp:val=&quot;3E7013C9&quot;/&gt;&lt;wsp:rsid wsp:val=&quot;3E704F26&quot;/&gt;&lt;wsp:rsid wsp:val=&quot;3E70582C&quot;/&gt;&lt;wsp:rsid wsp:val=&quot;3E726EF0&quot;/&gt;&lt;wsp:rsid wsp:val=&quot;3E75253C&quot;/&gt;&lt;wsp:rsid wsp:val=&quot;3E7569E0&quot;/&gt;&lt;wsp:rsid wsp:val=&quot;3E767A52&quot;/&gt;&lt;wsp:rsid wsp:val=&quot;3E774506&quot;/&gt;&lt;wsp:rsid wsp:val=&quot;3E7802D0&quot;/&gt;&lt;wsp:rsid wsp:val=&quot;3E7964D0&quot;/&gt;&lt;wsp:rsid wsp:val=&quot;3E7A14AF&quot;/&gt;&lt;wsp:rsid wsp:val=&quot;3E7A3FF6&quot;/&gt;&lt;wsp:rsid wsp:val=&quot;3E7D16CC&quot;/&gt;&lt;wsp:rsid wsp:val=&quot;3E7E7642&quot;/&gt;&lt;wsp:rsid wsp:val=&quot;3E7F160D&quot;/&gt;&lt;wsp:rsid wsp:val=&quot;3E7F33BB&quot;/&gt;&lt;wsp:rsid wsp:val=&quot;3E8135D7&quot;/&gt;&lt;wsp:rsid wsp:val=&quot;3E815385&quot;/&gt;&lt;wsp:rsid wsp:val=&quot;3E833CA2&quot;/&gt;&lt;wsp:rsid wsp:val=&quot;3E834C59&quot;/&gt;&lt;wsp:rsid wsp:val=&quot;3E835462&quot;/&gt;&lt;wsp:rsid wsp:val=&quot;3E8409D1&quot;/&gt;&lt;wsp:rsid wsp:val=&quot;3E844547&quot;/&gt;&lt;wsp:rsid wsp:val=&quot;3E854E75&quot;/&gt;&lt;wsp:rsid wsp:val=&quot;3E857D03&quot;/&gt;&lt;wsp:rsid wsp:val=&quot;3E862AE7&quot;/&gt;&lt;wsp:rsid wsp:val=&quot;3E88226F&quot;/&gt;&lt;wsp:rsid wsp:val=&quot;3E895FE7&quot;/&gt;&lt;wsp:rsid wsp:val=&quot;3E8A248B&quot;/&gt;&lt;wsp:rsid wsp:val=&quot;3E8B6203&quot;/&gt;&lt;wsp:rsid wsp:val=&quot;3E8B7FB1&quot;/&gt;&lt;wsp:rsid wsp:val=&quot;3E8F1850&quot;/&gt;&lt;wsp:rsid wsp:val=&quot;3E90381A&quot;/&gt;&lt;wsp:rsid wsp:val=&quot;3E904E16&quot;/&gt;&lt;wsp:rsid wsp:val=&quot;3E907376&quot;/&gt;&lt;wsp:rsid wsp:val=&quot;3E921340&quot;/&gt;&lt;wsp:rsid wsp:val=&quot;3E946E66&quot;/&gt;&lt;wsp:rsid wsp:val=&quot;3E952BDE&quot;/&gt;&lt;wsp:rsid wsp:val=&quot;3E971F32&quot;/&gt;&lt;wsp:rsid wsp:val=&quot;3E974BA8&quot;/&gt;&lt;wsp:rsid wsp:val=&quot;3E984202&quot;/&gt;&lt;wsp:rsid wsp:val=&quot;3E990920&quot;/&gt;&lt;wsp:rsid wsp:val=&quot;3E9924C6&quot;/&gt;&lt;wsp:rsid wsp:val=&quot;3E9926CE&quot;/&gt;&lt;wsp:rsid wsp:val=&quot;3E9B4698&quot;/&gt;&lt;wsp:rsid wsp:val=&quot;3E9C21BE&quot;/&gt;&lt;wsp:rsid wsp:val=&quot;3E9C6F27&quot;/&gt;&lt;wsp:rsid wsp:val=&quot;3E9F580B&quot;/&gt;&lt;wsp:rsid wsp:val=&quot;3EA6303D&quot;/&gt;&lt;wsp:rsid wsp:val=&quot;3EAA48DB&quot;/&gt;&lt;wsp:rsid wsp:val=&quot;3EAA6689&quot;/&gt;&lt;wsp:rsid wsp:val=&quot;3EAC5A7F&quot;/&gt;&lt;wsp:rsid wsp:val=&quot;3EB07A18&quot;/&gt;&lt;wsp:rsid wsp:val=&quot;3EB219E2&quot;/&gt;&lt;wsp:rsid wsp:val=&quot;3EB2553E&quot;/&gt;&lt;wsp:rsid wsp:val=&quot;3EB42D77&quot;/&gt;&lt;wsp:rsid wsp:val=&quot;3EB45120&quot;/&gt;&lt;wsp:rsid wsp:val=&quot;3EB5502E&quot;/&gt;&lt;wsp:rsid wsp:val=&quot;3EB575B7&quot;/&gt;&lt;wsp:rsid wsp:val=&quot;3EB94B1E&quot;/&gt;&lt;wsp:rsid wsp:val=&quot;3EBC63BD&quot;/&gt;&lt;wsp:rsid wsp:val=&quot;3EBC717B&quot;/&gt;&lt;wsp:rsid wsp:val=&quot;3EBD6A03&quot;/&gt;&lt;wsp:rsid wsp:val=&quot;3EBE3EE3&quot;/&gt;&lt;wsp:rsid wsp:val=&quot;3EC05384&quot;/&gt;&lt;wsp:rsid wsp:val=&quot;3EC1316A&quot;/&gt;&lt;wsp:rsid wsp:val=&quot;3EC14F2B&quot;/&gt;&lt;wsp:rsid wsp:val=&quot;3EC31134&quot;/&gt;&lt;wsp:rsid wsp:val=&quot;3EC3599D&quot;/&gt;&lt;wsp:rsid wsp:val=&quot;3EC425C4&quot;/&gt;&lt;wsp:rsid wsp:val=&quot;3EC62D97&quot;/&gt;&lt;wsp:rsid wsp:val=&quot;3EC66625&quot;/&gt;&lt;wsp:rsid wsp:val=&quot;3EC6723B&quot;/&gt;&lt;wsp:rsid wsp:val=&quot;3ECB31D6&quot;/&gt;&lt;wsp:rsid wsp:val=&quot;3ECB4852&quot;/&gt;&lt;wsp:rsid wsp:val=&quot;3ECB5140&quot;/&gt;&lt;wsp:rsid wsp:val=&quot;3ECB6600&quot;/&gt;&lt;wsp:rsid wsp:val=&quot;3ED0310B&quot;/&gt;&lt;wsp:rsid wsp:val=&quot;3ED03C16&quot;/&gt;&lt;wsp:rsid wsp:val=&quot;3ED25BE0&quot;/&gt;&lt;wsp:rsid wsp:val=&quot;3ED659B2&quot;/&gt;&lt;wsp:rsid wsp:val=&quot;3ED6747E&quot;/&gt;&lt;wsp:rsid wsp:val=&quot;3ED71449&quot;/&gt;&lt;wsp:rsid wsp:val=&quot;3ED74FA5&quot;/&gt;&lt;wsp:rsid wsp:val=&quot;3ED81ECA&quot;/&gt;&lt;wsp:rsid wsp:val=&quot;3ED90D1D&quot;/&gt;&lt;wsp:rsid wsp:val=&quot;3ED92ACB&quot;/&gt;&lt;wsp:rsid wsp:val=&quot;3ED970E3&quot;/&gt;&lt;wsp:rsid wsp:val=&quot;3EDA0523&quot;/&gt;&lt;wsp:rsid wsp:val=&quot;3EDC34CD&quot;/&gt;&lt;wsp:rsid wsp:val=&quot;3EDC6A5F&quot;/&gt;&lt;wsp:rsid wsp:val=&quot;3EDE4585&quot;/&gt;&lt;wsp:rsid wsp:val=&quot;3EDE6333&quot;/&gt;&lt;wsp:rsid wsp:val=&quot;3EDF3E59&quot;/&gt;&lt;wsp:rsid wsp:val=&quot;3EE020AB&quot;/&gt;&lt;wsp:rsid wsp:val=&quot;3EE02D96&quot;/&gt;&lt;wsp:rsid wsp:val=&quot;3EE1322D&quot;/&gt;&lt;wsp:rsid wsp:val=&quot;3EE14075&quot;/&gt;&lt;wsp:rsid wsp:val=&quot;3EE6168C&quot;/&gt;&lt;wsp:rsid wsp:val=&quot;3EE62B3C&quot;/&gt;&lt;wsp:rsid wsp:val=&quot;3EE85404&quot;/&gt;&lt;wsp:rsid wsp:val=&quot;3EE87078&quot;/&gt;&lt;wsp:rsid wsp:val=&quot;3EE9077A&quot;/&gt;&lt;wsp:rsid wsp:val=&quot;3EEA4CD8&quot;/&gt;&lt;wsp:rsid wsp:val=&quot;3EEC4EF4&quot;/&gt;&lt;wsp:rsid wsp:val=&quot;3EED17D0&quot;/&gt;&lt;wsp:rsid wsp:val=&quot;3EED47C8&quot;/&gt;&lt;wsp:rsid wsp:val=&quot;3EED6576&quot;/&gt;&lt;wsp:rsid wsp:val=&quot;3EEF0540&quot;/&gt;&lt;wsp:rsid wsp:val=&quot;3EEF22EE&quot;/&gt;&lt;wsp:rsid wsp:val=&quot;3EF1250A&quot;/&gt;&lt;wsp:rsid wsp:val=&quot;3EF142B8&quot;/&gt;&lt;wsp:rsid wsp:val=&quot;3EF20030&quot;/&gt;&lt;wsp:rsid wsp:val=&quot;3EF23B8C&quot;/&gt;&lt;wsp:rsid wsp:val=&quot;3EF26282&quot;/&gt;&lt;wsp:rsid wsp:val=&quot;3EF43DA9&quot;/&gt;&lt;wsp:rsid wsp:val=&quot;3EF47905&quot;/&gt;&lt;wsp:rsid wsp:val=&quot;3EF618CF&quot;/&gt;&lt;wsp:rsid wsp:val=&quot;3EF66BFC&quot;/&gt;&lt;wsp:rsid wsp:val=&quot;3EF73899&quot;/&gt;&lt;wsp:rsid wsp:val=&quot;3EF75453&quot;/&gt;&lt;wsp:rsid wsp:val=&quot;3EF773F5&quot;/&gt;&lt;wsp:rsid wsp:val=&quot;3EFB78C3&quot;/&gt;&lt;wsp:rsid wsp:val=&quot;3EFE4C27&quot;/&gt;&lt;wsp:rsid wsp:val=&quot;3F0044FB&quot;/&gt;&lt;wsp:rsid wsp:val=&quot;3F0062A9&quot;/&gt;&lt;wsp:rsid wsp:val=&quot;3F010273&quot;/&gt;&lt;wsp:rsid wsp:val=&quot;3F03223E&quot;/&gt;&lt;wsp:rsid wsp:val=&quot;3F051B12&quot;/&gt;&lt;wsp:rsid wsp:val=&quot;3F06588A&quot;/&gt;&lt;wsp:rsid wsp:val=&quot;3F081602&quot;/&gt;&lt;wsp:rsid wsp:val=&quot;3F0833B0&quot;/&gt;&lt;wsp:rsid wsp:val=&quot;3F0A537A&quot;/&gt;&lt;wsp:rsid wsp:val=&quot;3F0A7128&quot;/&gt;&lt;wsp:rsid wsp:val=&quot;3F0B7B87&quot;/&gt;&lt;wsp:rsid wsp:val=&quot;3F0D09C6&quot;/&gt;&lt;wsp:rsid wsp:val=&quot;3F0D6C18&quot;/&gt;&lt;wsp:rsid wsp:val=&quot;3F1461F9&quot;/&gt;&lt;wsp:rsid wsp:val=&quot;3F161F71&quot;/&gt;&lt;wsp:rsid wsp:val=&quot;3F163D1F&quot;/&gt;&lt;wsp:rsid wsp:val=&quot;3F1735F3&quot;/&gt;&lt;wsp:rsid wsp:val=&quot;3F177A97&quot;/&gt;&lt;wsp:rsid wsp:val=&quot;3F185CE9&quot;/&gt;&lt;wsp:rsid wsp:val=&quot;3F191F2E&quot;/&gt;&lt;wsp:rsid wsp:val=&quot;3F1A0730&quot;/&gt;&lt;wsp:rsid wsp:val=&quot;3F1B1335&quot;/&gt;&lt;wsp:rsid wsp:val=&quot;3F1B30E3&quot;/&gt;&lt;wsp:rsid wsp:val=&quot;3F1C70CA&quot;/&gt;&lt;wsp:rsid wsp:val=&quot;3F1D32FF&quot;/&gt;&lt;wsp:rsid wsp:val=&quot;3F1F465F&quot;/&gt;&lt;wsp:rsid wsp:val=&quot;3F204B9E&quot;/&gt;&lt;wsp:rsid wsp:val=&quot;3F23468E&quot;/&gt;&lt;wsp:rsid wsp:val=&quot;3F253530&quot;/&gt;&lt;wsp:rsid wsp:val=&quot;3F253F62&quot;/&gt;&lt;wsp:rsid wsp:val=&quot;3F261A88&quot;/&gt;&lt;wsp:rsid wsp:val=&quot;3F264532&quot;/&gt;&lt;wsp:rsid wsp:val=&quot;3F2759C2&quot;/&gt;&lt;wsp:rsid wsp:val=&quot;3F277CDA&quot;/&gt;&lt;wsp:rsid wsp:val=&quot;3F281CA4&quot;/&gt;&lt;wsp:rsid wsp:val=&quot;3F283A52&quot;/&gt;&lt;wsp:rsid wsp:val=&quot;3F2A5A1C&quot;/&gt;&lt;wsp:rsid wsp:val=&quot;3F2B709E&quot;/&gt;&lt;wsp:rsid wsp:val=&quot;3F2B7833&quot;/&gt;&lt;wsp:rsid wsp:val=&quot;3F2F1E2C&quot;/&gt;&lt;wsp:rsid wsp:val=&quot;3F2F3033&quot;/&gt;&lt;wsp:rsid wsp:val=&quot;3F2F4154&quot;/&gt;&lt;wsp:rsid wsp:val=&quot;3F3101B5&quot;/&gt;&lt;wsp:rsid wsp:val=&quot;3F312907&quot;/&gt;&lt;wsp:rsid wsp:val=&quot;3F32667F&quot;/&gt;&lt;wsp:rsid wsp:val=&quot;3F3348D1&quot;/&gt;&lt;wsp:rsid wsp:val=&quot;3F3423F7&quot;/&gt;&lt;wsp:rsid wsp:val=&quot;3F3643C1&quot;/&gt;&lt;wsp:rsid wsp:val=&quot;3F36616F&quot;/&gt;&lt;wsp:rsid wsp:val=&quot;3F373C95&quot;/&gt;&lt;wsp:rsid wsp:val=&quot;3F375A43&quot;/&gt;&lt;wsp:rsid wsp:val=&quot;3F381EE7&quot;/&gt;&lt;wsp:rsid wsp:val=&quot;3F397A0D&quot;/&gt;&lt;wsp:rsid wsp:val=&quot;3F3B5533&quot;/&gt;&lt;wsp:rsid wsp:val=&quot;3F400D9C&quot;/&gt;&lt;wsp:rsid wsp:val=&quot;3F43263A&quot;/&gt;&lt;wsp:rsid wsp:val=&quot;3F450160&quot;/&gt;&lt;wsp:rsid wsp:val=&quot;3F454604&quot;/&gt;&lt;wsp:rsid wsp:val=&quot;3F473ED8&quot;/&gt;&lt;wsp:rsid wsp:val=&quot;3F485EA2&quot;/&gt;&lt;wsp:rsid wsp:val=&quot;3F4A05F9&quot;/&gt;&lt;wsp:rsid wsp:val=&quot;3F4A7E6C&quot;/&gt;&lt;wsp:rsid wsp:val=&quot;3F4C5993&quot;/&gt;&lt;wsp:rsid wsp:val=&quot;3F4E170B&quot;/&gt;&lt;wsp:rsid wsp:val=&quot;3F4E4CB5&quot;/&gt;&lt;wsp:rsid wsp:val=&quot;3F4F0FDF&quot;/&gt;&lt;wsp:rsid wsp:val=&quot;3F5465F5&quot;/&gt;&lt;wsp:rsid wsp:val=&quot;3F56236D&quot;/&gt;&lt;wsp:rsid wsp:val=&quot;3F573EC4&quot;/&gt;&lt;wsp:rsid wsp:val=&quot;3F584337&quot;/&gt;&lt;wsp:rsid wsp:val=&quot;3F5860E5&quot;/&gt;&lt;wsp:rsid wsp:val=&quot;3F5B3E28&quot;/&gt;&lt;wsp:rsid wsp:val=&quot;3F5C6486&quot;/&gt;&lt;wsp:rsid wsp:val=&quot;3F5D194E&quot;/&gt;&lt;wsp:rsid wsp:val=&quot;3F5D2714&quot;/&gt;&lt;wsp:rsid wsp:val=&quot;3F5E1222&quot;/&gt;&lt;wsp:rsid wsp:val=&quot;3F5E56C6&quot;/&gt;&lt;wsp:rsid wsp:val=&quot;3F6060F9&quot;/&gt;&lt;wsp:rsid wsp:val=&quot;3F620FE1&quot;/&gt;&lt;wsp:rsid wsp:val=&quot;3F64674D&quot;/&gt;&lt;wsp:rsid wsp:val=&quot;3F655847&quot;/&gt;&lt;wsp:rsid wsp:val=&quot;3F677B8D&quot;/&gt;&lt;wsp:rsid wsp:val=&quot;3F6852B6&quot;/&gt;&lt;wsp:rsid wsp:val=&quot;3F6A406B&quot;/&gt;&lt;wsp:rsid wsp:val=&quot;3F6A6C05&quot;/&gt;&lt;wsp:rsid wsp:val=&quot;3F6E3B5B&quot;/&gt;&lt;wsp:rsid wsp:val=&quot;3F6F342F&quot;/&gt;&lt;wsp:rsid wsp:val=&quot;3F6F78D3&quot;/&gt;&lt;wsp:rsid wsp:val=&quot;3F715648&quot;/&gt;&lt;wsp:rsid wsp:val=&quot;3F7171A7&quot;/&gt;&lt;wsp:rsid wsp:val=&quot;3F740A45&quot;/&gt;&lt;wsp:rsid wsp:val=&quot;3F760C61&quot;/&gt;&lt;wsp:rsid wsp:val=&quot;3F76656C&quot;/&gt;&lt;wsp:rsid wsp:val=&quot;3F786788&quot;/&gt;&lt;wsp:rsid wsp:val=&quot;3F7A2500&quot;/&gt;&lt;wsp:rsid wsp:val=&quot;3F7B12CB&quot;/&gt;&lt;wsp:rsid wsp:val=&quot;3F7B6278&quot;/&gt;&lt;wsp:rsid wsp:val=&quot;3F7E25E7&quot;/&gt;&lt;wsp:rsid wsp:val=&quot;3F7E3672&quot;/&gt;&lt;wsp:rsid wsp:val=&quot;3F7F7B16&quot;/&gt;&lt;wsp:rsid wsp:val=&quot;3F80388E&quot;/&gt;&lt;wsp:rsid wsp:val=&quot;3F80563C&quot;/&gt;&lt;wsp:rsid wsp:val=&quot;3F823162&quot;/&gt;&lt;wsp:rsid wsp:val=&quot;3F827606&quot;/&gt;&lt;wsp:rsid wsp:val=&quot;3F836EDA&quot;/&gt;&lt;wsp:rsid wsp:val=&quot;3F84512C&quot;/&gt;&lt;wsp:rsid wsp:val=&quot;3F854A01&quot;/&gt;&lt;wsp:rsid wsp:val=&quot;3F8663DE&quot;/&gt;&lt;wsp:rsid wsp:val=&quot;3F8838CF&quot;/&gt;&lt;wsp:rsid wsp:val=&quot;3F8A61EF&quot;/&gt;&lt;wsp:rsid wsp:val=&quot;3F8A64BB&quot;/&gt;&lt;wsp:rsid wsp:val=&quot;3F8F43F6&quot;/&gt;&lt;wsp:rsid wsp:val=&quot;3F900156&quot;/&gt;&lt;wsp:rsid wsp:val=&quot;3F9229DB&quot;/&gt;&lt;wsp:rsid wsp:val=&quot;3F927552&quot;/&gt;&lt;wsp:rsid wsp:val=&quot;3F93536F&quot;/&gt;&lt;wsp:rsid wsp:val=&quot;3F9410E8&quot;/&gt;&lt;wsp:rsid wsp:val=&quot;3F946844&quot;/&gt;&lt;wsp:rsid wsp:val=&quot;3F95733A&quot;/&gt;&lt;wsp:rsid wsp:val=&quot;3F960C3F&quot;/&gt;&lt;wsp:rsid wsp:val=&quot;3F9614BE&quot;/&gt;&lt;wsp:rsid wsp:val=&quot;3F964E60&quot;/&gt;&lt;wsp:rsid wsp:val=&quot;3F965ED3&quot;/&gt;&lt;wsp:rsid wsp:val=&quot;3F9707F3&quot;/&gt;&lt;wsp:rsid wsp:val=&quot;3F982986&quot;/&gt;&lt;wsp:rsid wsp:val=&quot;3F984734&quot;/&gt;&lt;wsp:rsid wsp:val=&quot;3F9A5CE4&quot;/&gt;&lt;wsp:rsid wsp:val=&quot;3F9B2476&quot;/&gt;&lt;wsp:rsid wsp:val=&quot;3F9C6DE5&quot;/&gt;&lt;wsp:rsid wsp:val=&quot;3F9D1D4A&quot;/&gt;&lt;wsp:rsid wsp:val=&quot;3F9D4665&quot;/&gt;&lt;wsp:rsid wsp:val=&quot;3F9F3D14&quot;/&gt;&lt;wsp:rsid wsp:val=&quot;3F9F5D8E&quot;/&gt;&lt;wsp:rsid wsp:val=&quot;3FA27361&quot;/&gt;&lt;wsp:rsid wsp:val=&quot;3FA304D7&quot;/&gt;&lt;wsp:rsid wsp:val=&quot;3FA4757D&quot;/&gt;&lt;wsp:rsid wsp:val=&quot;3FA52DF7&quot;/&gt;&lt;wsp:rsid wsp:val=&quot;3FA532F5&quot;/&gt;&lt;wsp:rsid wsp:val=&quot;3FA62817&quot;/&gt;&lt;wsp:rsid wsp:val=&quot;3FA70E1B&quot;/&gt;&lt;wsp:rsid wsp:val=&quot;3FA73DCB&quot;/&gt;&lt;wsp:rsid wsp:val=&quot;3FA7706D&quot;/&gt;&lt;wsp:rsid wsp:val=&quot;3FA96941&quot;/&gt;&lt;wsp:rsid wsp:val=&quot;3FAA090B&quot;/&gt;&lt;wsp:rsid wsp:val=&quot;3FAC01DF&quot;/&gt;&lt;wsp:rsid wsp:val=&quot;3FAD7FFA&quot;/&gt;&lt;wsp:rsid wsp:val=&quot;3FAE03FB&quot;/&gt;&lt;wsp:rsid wsp:val=&quot;3FAE6512&quot;/&gt;&lt;wsp:rsid wsp:val=&quot;3FAE7465&quot;/&gt;&lt;wsp:rsid wsp:val=&quot;3FB05F21&quot;/&gt;&lt;wsp:rsid wsp:val=&quot;3FB1139A&quot;/&gt;&lt;wsp:rsid wsp:val=&quot;3FB13A48&quot;/&gt;&lt;wsp:rsid wsp:val=&quot;3FB35A12&quot;/&gt;&lt;wsp:rsid wsp:val=&quot;3FB452E6&quot;/&gt;&lt;wsp:rsid wsp:val=&quot;3FB5178A&quot;/&gt;&lt;wsp:rsid wsp:val=&quot;3FB62E0C&quot;/&gt;&lt;wsp:rsid wsp:val=&quot;3FB672B0&quot;/&gt;&lt;wsp:rsid wsp:val=&quot;3FB67B17&quot;/&gt;&lt;wsp:rsid wsp:val=&quot;3FBA0B4E&quot;/&gt;&lt;wsp:rsid wsp:val=&quot;3FBB48C6&quot;/&gt;&lt;wsp:rsid wsp:val=&quot;3FBD23EC&quot;/&gt;&lt;wsp:rsid wsp:val=&quot;3FBF6165&quot;/&gt;&lt;wsp:rsid wsp:val=&quot;3FC1012F&quot;/&gt;&lt;wsp:rsid wsp:val=&quot;3FC276C7&quot;/&gt;&lt;wsp:rsid wsp:val=&quot;3FC74906&quot;/&gt;&lt;wsp:rsid wsp:val=&quot;3FC76DC7&quot;/&gt;&lt;wsp:rsid wsp:val=&quot;3FC912A2&quot;/&gt;&lt;wsp:rsid wsp:val=&quot;3FC921F2&quot;/&gt;&lt;wsp:rsid wsp:val=&quot;3FC96FE3&quot;/&gt;&lt;wsp:rsid wsp:val=&quot;3FCA68B7&quot;/&gt;&lt;wsp:rsid wsp:val=&quot;3FCB4B12&quot;/&gt;&lt;wsp:rsid wsp:val=&quot;3FCC262F&quot;/&gt;&lt;wsp:rsid wsp:val=&quot;3FCE0156&quot;/&gt;&lt;wsp:rsid wsp:val=&quot;3FCF3ECE&quot;/&gt;&lt;wsp:rsid wsp:val=&quot;3FD140EA&quot;/&gt;&lt;wsp:rsid wsp:val=&quot;3FD15E98&quot;/&gt;&lt;wsp:rsid wsp:val=&quot;3FD17C46&quot;/&gt;&lt;wsp:rsid wsp:val=&quot;3FD20CE1&quot;/&gt;&lt;wsp:rsid wsp:val=&quot;3FD27F37&quot;/&gt;&lt;wsp:rsid wsp:val=&quot;3FD31C10&quot;/&gt;&lt;wsp:rsid wsp:val=&quot;3FD40488&quot;/&gt;&lt;wsp:rsid wsp:val=&quot;3FD451F4&quot;/&gt;&lt;wsp:rsid wsp:val=&quot;3FD80FD4&quot;/&gt;&lt;wsp:rsid wsp:val=&quot;3FD83D14&quot;/&gt;&lt;wsp:rsid wsp:val=&quot;3FD85478&quot;/&gt;&lt;wsp:rsid wsp:val=&quot;3FD87226&quot;/&gt;&lt;wsp:rsid wsp:val=&quot;3FDA2F9E&quot;/&gt;&lt;wsp:rsid wsp:val=&quot;3FDB0AC5&quot;/&gt;&lt;wsp:rsid wsp:val=&quot;3FDC40F2&quot;/&gt;&lt;wsp:rsid wsp:val=&quot;3FDD3EA9&quot;/&gt;&lt;wsp:rsid wsp:val=&quot;3FDD483D&quot;/&gt;&lt;wsp:rsid wsp:val=&quot;3FE06A38&quot;/&gt;&lt;wsp:rsid wsp:val=&quot;3FE536F1&quot;/&gt;&lt;wsp:rsid wsp:val=&quot;3FE77469&quot;/&gt;&lt;wsp:rsid wsp:val=&quot;3FEE07F8&quot;/&gt;&lt;wsp:rsid wsp:val=&quot;3FEE6A4A&quot;/&gt;&lt;wsp:rsid wsp:val=&quot;3FF35E0E&quot;/&gt;&lt;wsp:rsid wsp:val=&quot;3FF43934&quot;/&gt;&lt;wsp:rsid wsp:val=&quot;3FF676AC&quot;/&gt;&lt;wsp:rsid wsp:val=&quot;3FF81676&quot;/&gt;&lt;wsp:rsid wsp:val=&quot;3FF878C8&quot;/&gt;&lt;wsp:rsid wsp:val=&quot;3FF87DF8&quot;/&gt;&lt;wsp:rsid wsp:val=&quot;3FF9723B&quot;/&gt;&lt;wsp:rsid wsp:val=&quot;3FFA0F4B&quot;/&gt;&lt;wsp:rsid wsp:val=&quot;3FFA719D&quot;/&gt;&lt;wsp:rsid wsp:val=&quot;3FFB2F15&quot;/&gt;&lt;wsp:rsid wsp:val=&quot;3FFB4CC3&quot;/&gt;&lt;wsp:rsid wsp:val=&quot;3FFC1167&quot;/&gt;&lt;wsp:rsid wsp:val=&quot;3FFD062E&quot;/&gt;&lt;wsp:rsid wsp:val=&quot;3FFE24A3&quot;/&gt;&lt;wsp:rsid wsp:val=&quot;3FFE2572&quot;/&gt;&lt;wsp:rsid wsp:val=&quot;3FFE7AE4&quot;/&gt;&lt;wsp:rsid wsp:val=&quot;3FFF47B3&quot;/&gt;&lt;wsp:rsid wsp:val=&quot;4000052B&quot;/&gt;&lt;wsp:rsid wsp:val=&quot;40003751&quot;/&gt;&lt;wsp:rsid wsp:val=&quot;40061FE5&quot;/&gt;&lt;wsp:rsid wsp:val=&quot;400718BA&quot;/&gt;&lt;wsp:rsid wsp:val=&quot;40092389&quot;/&gt;&lt;wsp:rsid wsp:val=&quot;40095632&quot;/&gt;&lt;wsp:rsid wsp:val=&quot;400B13AA&quot;/&gt;&lt;wsp:rsid wsp:val=&quot;400C0C7E&quot;/&gt;&lt;wsp:rsid wsp:val=&quot;400D3374&quot;/&gt;&lt;wsp:rsid wsp:val=&quot;400E0E9A&quot;/&gt;&lt;wsp:rsid wsp:val=&quot;4010076E&quot;/&gt;&lt;wsp:rsid wsp:val=&quot;40104C12&quot;/&gt;&lt;wsp:rsid wsp:val=&quot;401144E6&quot;/&gt;&lt;wsp:rsid wsp:val=&quot;4015509C&quot;/&gt;&lt;wsp:rsid wsp:val=&quot;40161AFD&quot;/&gt;&lt;wsp:rsid wsp:val=&quot;401819D8&quot;/&gt;&lt;wsp:rsid wsp:val=&quot;401A15ED&quot;/&gt;&lt;wsp:rsid wsp:val=&quot;401A783F&quot;/&gt;&lt;wsp:rsid wsp:val=&quot;401F09B1&quot;/&gt;&lt;wsp:rsid wsp:val=&quot;401F4E55&quot;/&gt;&lt;wsp:rsid wsp:val=&quot;4021297B&quot;/&gt;&lt;wsp:rsid wsp:val=&quot;40214F87&quot;/&gt;&lt;wsp:rsid wsp:val=&quot;40216C59&quot;/&gt;&lt;wsp:rsid wsp:val=&quot;402204A1&quot;/&gt;&lt;wsp:rsid wsp:val=&quot;4024421A&quot;/&gt;&lt;wsp:rsid wsp:val=&quot;40244D12&quot;/&gt;&lt;wsp:rsid wsp:val=&quot;40271F5C&quot;/&gt;&lt;wsp:rsid wsp:val=&quot;40275AB8&quot;/&gt;&lt;wsp:rsid wsp:val=&quot;40295CD4&quot;/&gt;&lt;wsp:rsid wsp:val=&quot;402B37FA&quot;/&gt;&lt;wsp:rsid wsp:val=&quot;402B6F93&quot;/&gt;&lt;wsp:rsid wsp:val=&quot;402E32EA&quot;/&gt;&lt;wsp:rsid wsp:val=&quot;402E5098&quot;/&gt;&lt;wsp:rsid wsp:val=&quot;402E6E46&quot;/&gt;&lt;wsp:rsid wsp:val=&quot;402E7F0F&quot;/&gt;&lt;wsp:rsid wsp:val=&quot;402F139F&quot;/&gt;&lt;wsp:rsid wsp:val=&quot;40302BBE&quot;/&gt;&lt;wsp:rsid wsp:val=&quot;40307062&quot;/&gt;&lt;wsp:rsid wsp:val=&quot;4030764C&quot;/&gt;&lt;wsp:rsid wsp:val=&quot;40324B88&quot;/&gt;&lt;wsp:rsid wsp:val=&quot;4033025F&quot;/&gt;&lt;wsp:rsid wsp:val=&quot;4033445D&quot;/&gt;&lt;wsp:rsid wsp:val=&quot;4033696F&quot;/&gt;&lt;wsp:rsid wsp:val=&quot;40363F4D&quot;/&gt;&lt;wsp:rsid wsp:val=&quot;40381640&quot;/&gt;&lt;wsp:rsid wsp:val=&quot;40381A73&quot;/&gt;&lt;wsp:rsid wsp:val=&quot;40387CA6&quot;/&gt;&lt;wsp:rsid wsp:val=&quot;403B0BDA&quot;/&gt;&lt;wsp:rsid wsp:val=&quot;403B1563&quot;/&gt;&lt;wsp:rsid wsp:val=&quot;403E4E33&quot;/&gt;&lt;wsp:rsid wsp:val=&quot;403F1053&quot;/&gt;&lt;wsp:rsid wsp:val=&quot;40420B44&quot;/&gt;&lt;wsp:rsid wsp:val=&quot;40442135&quot;/&gt;&lt;wsp:rsid wsp:val=&quot;404448BC&quot;/&gt;&lt;wsp:rsid wsp:val=&quot;40464190&quot;/&gt;&lt;wsp:rsid wsp:val=&quot;4047615A&quot;/&gt;&lt;wsp:rsid wsp:val=&quot;40477626&quot;/&gt;&lt;wsp:rsid wsp:val=&quot;404877E0&quot;/&gt;&lt;wsp:rsid wsp:val=&quot;40490124&quot;/&gt;&lt;wsp:rsid wsp:val=&quot;40491ED2&quot;/&gt;&lt;wsp:rsid wsp:val=&quot;40496675&quot;/&gt;&lt;wsp:rsid wsp:val=&quot;404A1AFA&quot;/&gt;&lt;wsp:rsid wsp:val=&quot;404A4866&quot;/&gt;&lt;wsp:rsid wsp:val=&quot;404B3E9C&quot;/&gt;&lt;wsp:rsid wsp:val=&quot;404B5C4A&quot;/&gt;&lt;wsp:rsid wsp:val=&quot;404B7DB0&quot;/&gt;&lt;wsp:rsid wsp:val=&quot;404F2C99&quot;/&gt;&lt;wsp:rsid wsp:val=&quot;404F7248&quot;/&gt;&lt;wsp:rsid wsp:val=&quot;405014B2&quot;/&gt;&lt;wsp:rsid wsp:val=&quot;40503261&quot;/&gt;&lt;wsp:rsid wsp:val=&quot;40520D87&quot;/&gt;&lt;wsp:rsid wsp:val=&quot;40534AFF&quot;/&gt;&lt;wsp:rsid wsp:val=&quot;40550AC4&quot;/&gt;&lt;wsp:rsid wsp:val=&quot;4055658C&quot;/&gt;&lt;wsp:rsid wsp:val=&quot;405A435B&quot;/&gt;&lt;wsp:rsid wsp:val=&quot;405A7C3B&quot;/&gt;&lt;wsp:rsid wsp:val=&quot;405C39B3&quot;/&gt;&lt;wsp:rsid wsp:val=&quot;405E3BCF&quot;/&gt;&lt;wsp:rsid wsp:val=&quot;405F34A4&quot;/&gt;&lt;wsp:rsid wsp:val=&quot;405F6D3D&quot;/&gt;&lt;wsp:rsid wsp:val=&quot;40604DF5&quot;/&gt;&lt;wsp:rsid wsp:val=&quot;40610FCA&quot;/&gt;&lt;wsp:rsid wsp:val=&quot;406311E6&quot;/&gt;&lt;wsp:rsid wsp:val=&quot;40632F94&quot;/&gt;&lt;wsp:rsid wsp:val=&quot;40640ABA&quot;/&gt;&lt;wsp:rsid wsp:val=&quot;4066101B&quot;/&gt;&lt;wsp:rsid wsp:val=&quot;40672358&quot;/&gt;&lt;wsp:rsid wsp:val=&quot;40694322&quot;/&gt;&lt;wsp:rsid wsp:val=&quot;406960D0&quot;/&gt;&lt;wsp:rsid wsp:val=&quot;406B5CB8&quot;/&gt;&lt;wsp:rsid wsp:val=&quot;406D1341&quot;/&gt;&lt;wsp:rsid wsp:val=&quot;40703903&quot;/&gt;&lt;wsp:rsid wsp:val=&quot;4070745F&quot;/&gt;&lt;wsp:rsid wsp:val=&quot;40730CFD&quot;/&gt;&lt;wsp:rsid wsp:val=&quot;40752CC7&quot;/&gt;&lt;wsp:rsid wsp:val=&quot;40754A75&quot;/&gt;&lt;wsp:rsid wsp:val=&quot;40763590&quot;/&gt;&lt;wsp:rsid wsp:val=&quot;40784565&quot;/&gt;&lt;wsp:rsid wsp:val=&quot;407A6407&quot;/&gt;&lt;wsp:rsid wsp:val=&quot;407C22A8&quot;/&gt;&lt;wsp:rsid wsp:val=&quot;407C5E04&quot;/&gt;&lt;wsp:rsid wsp:val=&quot;407D0990&quot;/&gt;&lt;wsp:rsid wsp:val=&quot;407E3106&quot;/&gt;&lt;wsp:rsid wsp:val=&quot;407E7DCE&quot;/&gt;&lt;wsp:rsid wsp:val=&quot;4081166C&quot;/&gt;&lt;wsp:rsid wsp:val=&quot;4084115C&quot;/&gt;&lt;wsp:rsid wsp:val=&quot;40860A30&quot;/&gt;&lt;wsp:rsid wsp:val=&quot;40864ED4&quot;/&gt;&lt;wsp:rsid wsp:val=&quot;40866C82&quot;/&gt;&lt;wsp:rsid wsp:val=&quot;408847A8&quot;/&gt;&lt;wsp:rsid wsp:val=&quot;40896772&quot;/&gt;&lt;wsp:rsid wsp:val=&quot;408A49C4&quot;/&gt;&lt;wsp:rsid wsp:val=&quot;408B4299&quot;/&gt;&lt;wsp:rsid wsp:val=&quot;408E3D89&quot;/&gt;&lt;wsp:rsid wsp:val=&quot;408E5559&quot;/&gt;&lt;wsp:rsid wsp:val=&quot;408E5B37&quot;/&gt;&lt;wsp:rsid wsp:val=&quot;40905D53&quot;/&gt;&lt;wsp:rsid wsp:val=&quot;40923879&quot;/&gt;&lt;wsp:rsid wsp:val=&quot;409273D5&quot;/&gt;&lt;wsp:rsid wsp:val=&quot;4093314D&quot;/&gt;&lt;wsp:rsid wsp:val=&quot;40953369&quot;/&gt;&lt;wsp:rsid wsp:val=&quot;409543AA&quot;/&gt;&lt;wsp:rsid wsp:val=&quot;40956EC5&quot;/&gt;&lt;wsp:rsid wsp:val=&quot;40972C3D&quot;/&gt;&lt;wsp:rsid wsp:val=&quot;40972E6D&quot;/&gt;&lt;wsp:rsid wsp:val=&quot;40984633&quot;/&gt;&lt;wsp:rsid wsp:val=&quot;40994C08&quot;/&gt;&lt;wsp:rsid wsp:val=&quot;40995D45&quot;/&gt;&lt;wsp:rsid wsp:val=&quot;409969B6&quot;/&gt;&lt;wsp:rsid wsp:val=&quot;409C0254&quot;/&gt;&lt;wsp:rsid wsp:val=&quot;409C645C&quot;/&gt;&lt;wsp:rsid wsp:val=&quot;409C64A6&quot;/&gt;&lt;wsp:rsid wsp:val=&quot;409E221E&quot;/&gt;&lt;wsp:rsid wsp:val=&quot;409E3FCC&quot;/&gt;&lt;wsp:rsid wsp:val=&quot;409F1AF2&quot;/&gt;&lt;wsp:rsid wsp:val=&quot;40A13ABC&quot;/&gt;&lt;wsp:rsid wsp:val=&quot;40A1586A&quot;/&gt;&lt;wsp:rsid wsp:val=&quot;40A435AC&quot;/&gt;&lt;wsp:rsid wsp:val=&quot;40A4535A&quot;/&gt;&lt;wsp:rsid wsp:val=&quot;40A47108&quot;/&gt;&lt;wsp:rsid wsp:val=&quot;40A5518D&quot;/&gt;&lt;wsp:rsid wsp:val=&quot;40A8309D&quot;/&gt;&lt;wsp:rsid wsp:val=&quot;40A84BA5&quot;/&gt;&lt;wsp:rsid wsp:val=&quot;40A84E4B&quot;/&gt;&lt;wsp:rsid wsp:val=&quot;40A86BF9&quot;/&gt;&lt;wsp:rsid wsp:val=&quot;40A92971&quot;/&gt;&lt;wsp:rsid wsp:val=&quot;40AB6559&quot;/&gt;&lt;wsp:rsid wsp:val=&quot;40AD06B3&quot;/&gt;&lt;wsp:rsid wsp:val=&quot;40B324D6&quot;/&gt;&lt;wsp:rsid wsp:val=&quot;40B437EF&quot;/&gt;&lt;wsp:rsid wsp:val=&quot;40B51316&quot;/&gt;&lt;wsp:rsid wsp:val=&quot;40B530C4&quot;/&gt;&lt;wsp:rsid wsp:val=&quot;40B557B9&quot;/&gt;&lt;wsp:rsid wsp:val=&quot;40B649A6&quot;/&gt;&lt;wsp:rsid wsp:val=&quot;40B76E3C&quot;/&gt;&lt;wsp:rsid wsp:val=&quot;40B97058&quot;/&gt;&lt;wsp:rsid wsp:val=&quot;40BA3FFA&quot;/&gt;&lt;wsp:rsid wsp:val=&quot;40BA4B7E&quot;/&gt;&lt;wsp:rsid wsp:val=&quot;40BA692C&quot;/&gt;&lt;wsp:rsid wsp:val=&quot;40BB6DF0&quot;/&gt;&lt;wsp:rsid wsp:val=&quot;40BC26A4&quot;/&gt;&lt;wsp:rsid wsp:val=&quot;40BE641C&quot;/&gt;&lt;wsp:rsid wsp:val=&quot;40BE7127&quot;/&gt;&lt;wsp:rsid wsp:val=&quot;40C003E6&quot;/&gt;&lt;wsp:rsid wsp:val=&quot;40C05AC5&quot;/&gt;&lt;wsp:rsid wsp:val=&quot;40C15F0C&quot;/&gt;&lt;wsp:rsid wsp:val=&quot;40C33A32&quot;/&gt;&lt;wsp:rsid wsp:val=&quot;40C37B63&quot;/&gt;&lt;wsp:rsid wsp:val=&quot;40C601E3&quot;/&gt;&lt;wsp:rsid wsp:val=&quot;40C61775&quot;/&gt;&lt;wsp:rsid wsp:val=&quot;40C62381&quot;/&gt;&lt;wsp:rsid wsp:val=&quot;40C63523&quot;/&gt;&lt;wsp:rsid wsp:val=&quot;40C652D1&quot;/&gt;&lt;wsp:rsid wsp:val=&quot;40C71686&quot;/&gt;&lt;wsp:rsid wsp:val=&quot;40C81049&quot;/&gt;&lt;wsp:rsid wsp:val=&quot;40CB74F6&quot;/&gt;&lt;wsp:rsid wsp:val=&quot;40D03D17&quot;/&gt;&lt;wsp:rsid wsp:val=&quot;40D0614F&quot;/&gt;&lt;wsp:rsid wsp:val=&quot;40D20119&quot;/&gt;&lt;wsp:rsid wsp:val=&quot;40D23C76&quot;/&gt;&lt;wsp:rsid wsp:val=&quot;40D4197F&quot;/&gt;&lt;wsp:rsid wsp:val=&quot;40D43E92&quot;/&gt;&lt;wsp:rsid wsp:val=&quot;40D55514&quot;/&gt;&lt;wsp:rsid wsp:val=&quot;40D616C0&quot;/&gt;&lt;wsp:rsid wsp:val=&quot;40D914A8&quot;/&gt;&lt;wsp:rsid wsp:val=&quot;40D93256&quot;/&gt;&lt;wsp:rsid wsp:val=&quot;40DB0111&quot;/&gt;&lt;wsp:rsid wsp:val=&quot;40DB1852&quot;/&gt;&lt;wsp:rsid wsp:val=&quot;40DC2D46&quot;/&gt;&lt;wsp:rsid wsp:val=&quot;40DD2E4A&quot;/&gt;&lt;wsp:rsid wsp:val=&quot;40DE01D3&quot;/&gt;&lt;wsp:rsid wsp:val=&quot;40DE6ABE&quot;/&gt;&lt;wsp:rsid wsp:val=&quot;40DF3194&quot;/&gt;&lt;wsp:rsid wsp:val=&quot;40E02836&quot;/&gt;&lt;wsp:rsid wsp:val=&quot;40E1035D&quot;/&gt;&lt;wsp:rsid wsp:val=&quot;40E20315&quot;/&gt;&lt;wsp:rsid wsp:val=&quot;40E340D5&quot;/&gt;&lt;wsp:rsid wsp:val=&quot;40E35E83&quot;/&gt;&lt;wsp:rsid wsp:val=&quot;40E57E4D&quot;/&gt;&lt;wsp:rsid wsp:val=&quot;40E63D94&quot;/&gt;&lt;wsp:rsid wsp:val=&quot;40E65973&quot;/&gt;&lt;wsp:rsid wsp:val=&quot;40E816EB&quot;/&gt;&lt;wsp:rsid wsp:val=&quot;40E83499&quot;/&gt;&lt;wsp:rsid wsp:val=&quot;40EA7211&quot;/&gt;&lt;wsp:rsid wsp:val=&quot;40ED0AAF&quot;/&gt;&lt;wsp:rsid wsp:val=&quot;40F005A0&quot;/&gt;&lt;wsp:rsid wsp:val=&quot;40F167F2&quot;/&gt;&lt;wsp:rsid wsp:val=&quot;40F2256A&quot;/&gt;&lt;wsp:rsid wsp:val=&quot;40F24318&quot;/&gt;&lt;wsp:rsid wsp:val=&quot;40F30571&quot;/&gt;&lt;wsp:rsid wsp:val=&quot;40F77B80&quot;/&gt;&lt;wsp:rsid wsp:val=&quot;40F85CD8&quot;/&gt;&lt;wsp:rsid wsp:val=&quot;40F956A6&quot;/&gt;&lt;wsp:rsid wsp:val=&quot;40F97454&quot;/&gt;&lt;wsp:rsid wsp:val=&quot;40FA31CC&quot;/&gt;&lt;wsp:rsid wsp:val=&quot;40FB141E&quot;/&gt;&lt;wsp:rsid wsp:val=&quot;40FB7670&quot;/&gt;&lt;wsp:rsid wsp:val=&quot;40FD201B&quot;/&gt;&lt;wsp:rsid wsp:val=&quot;40FE0F0E&quot;/&gt;&lt;wsp:rsid wsp:val=&quot;40FE2CBD&quot;/&gt;&lt;wsp:rsid wsp:val=&quot;410020DD&quot;/&gt;&lt;wsp:rsid wsp:val=&quot;41006A35&quot;/&gt;&lt;wsp:rsid wsp:val=&quot;410302D3&quot;/&gt;&lt;wsp:rsid wsp:val=&quot;410351C9&quot;/&gt;&lt;wsp:rsid wsp:val=&quot;410460FD&quot;/&gt;&lt;wsp:rsid wsp:val=&quot;4105404B&quot;/&gt;&lt;wsp:rsid wsp:val=&quot;41061B71&quot;/&gt;&lt;wsp:rsid wsp:val=&quot;41067DC3&quot;/&gt;&lt;wsp:rsid wsp:val=&quot;410773DF&quot;/&gt;&lt;wsp:rsid wsp:val=&quot;4108086F&quot;/&gt;&lt;wsp:rsid wsp:val=&quot;41083B3B&quot;/&gt;&lt;wsp:rsid wsp:val=&quot;4108712E&quot;/&gt;&lt;wsp:rsid wsp:val=&quot;410A78B3&quot;/&gt;&lt;wsp:rsid wsp:val=&quot;410D1152&quot;/&gt;&lt;wsp:rsid wsp:val=&quot;411029F0&quot;/&gt;&lt;wsp:rsid wsp:val=&quot;411058C0&quot;/&gt;&lt;wsp:rsid wsp:val=&quot;411249BA&quot;/&gt;&lt;wsp:rsid wsp:val=&quot;411424E0&quot;/&gt;&lt;wsp:rsid wsp:val=&quot;4114428E&quot;/&gt;&lt;wsp:rsid wsp:val=&quot;41160006&quot;/&gt;&lt;wsp:rsid wsp:val=&quot;411B561D&quot;/&gt;&lt;wsp:rsid wsp:val=&quot;411C1134&quot;/&gt;&lt;wsp:rsid wsp:val=&quot;411E510D&quot;/&gt;&lt;wsp:rsid wsp:val=&quot;411F121E&quot;/&gt;&lt;wsp:rsid wsp:val=&quot;41202C33&quot;/&gt;&lt;wsp:rsid wsp:val=&quot;41230975&quot;/&gt;&lt;wsp:rsid wsp:val=&quot;412344D1&quot;/&gt;&lt;wsp:rsid wsp:val=&quot;412626B7&quot;/&gt;&lt;wsp:rsid wsp:val=&quot;41263FC1&quot;/&gt;&lt;wsp:rsid wsp:val=&quot;41265D6F&quot;/&gt;&lt;wsp:rsid wsp:val=&quot;41272213&quot;/&gt;&lt;wsp:rsid wsp:val=&quot;412864C3&quot;/&gt;&lt;wsp:rsid wsp:val=&quot;41287BB3&quot;/&gt;&lt;wsp:rsid wsp:val=&quot;412B15D8&quot;/&gt;&lt;wsp:rsid wsp:val=&quot;412C782A&quot;/&gt;&lt;wsp:rsid wsp:val=&quot;413040D7&quot;/&gt;&lt;wsp:rsid wsp:val=&quot;41310F0B&quot;/&gt;&lt;wsp:rsid wsp:val=&quot;413349EA&quot;/&gt;&lt;wsp:rsid wsp:val=&quot;41344930&quot;/&gt;&lt;wsp:rsid wsp:val=&quot;4134662D&quot;/&gt;&lt;wsp:rsid wsp:val=&quot;41377F7D&quot;/&gt;&lt;wsp:rsid wsp:val=&quot;41393CF5&quot;/&gt;&lt;wsp:rsid wsp:val=&quot;413B181B&quot;/&gt;&lt;wsp:rsid wsp:val=&quot;413C3712&quot;/&gt;&lt;wsp:rsid wsp:val=&quot;413E130B&quot;/&gt;&lt;wsp:rsid wsp:val=&quot;413E755D&quot;/&gt;&lt;wsp:rsid wsp:val=&quot;414032D5&quot;/&gt;&lt;wsp:rsid wsp:val=&quot;41405083&quot;/&gt;&lt;wsp:rsid wsp:val=&quot;41410DFB&quot;/&gt;&lt;wsp:rsid wsp:val=&quot;41422591&quot;/&gt;&lt;wsp:rsid wsp:val=&quot;41432DC5&quot;/&gt;&lt;wsp:rsid wsp:val=&quot;41434B73&quot;/&gt;&lt;wsp:rsid wsp:val=&quot;41436921&quot;/&gt;&lt;wsp:rsid wsp:val=&quot;41456B3D&quot;/&gt;&lt;wsp:rsid wsp:val=&quot;41466412&quot;/&gt;&lt;wsp:rsid wsp:val=&quot;414803DC&quot;/&gt;&lt;wsp:rsid wsp:val=&quot;4148218A&quot;/&gt;&lt;wsp:rsid wsp:val=&quot;41483F38&quot;/&gt;&lt;wsp:rsid wsp:val=&quot;414A5F02&quot;/&gt;&lt;wsp:rsid wsp:val=&quot;414C1C7A&quot;/&gt;&lt;wsp:rsid wsp:val=&quot;414C3A28&quot;/&gt;&lt;wsp:rsid wsp:val=&quot;414D59F2&quot;/&gt;&lt;wsp:rsid wsp:val=&quot;414D77A0&quot;/&gt;&lt;wsp:rsid wsp:val=&quot;414F0FC2&quot;/&gt;&lt;wsp:rsid wsp:val=&quot;414F176A&quot;/&gt;&lt;wsp:rsid wsp:val=&quot;414F3004&quot;/&gt;&lt;wsp:rsid wsp:val=&quot;414F52C6&quot;/&gt;&lt;wsp:rsid wsp:val=&quot;41504494&quot;/&gt;&lt;wsp:rsid wsp:val=&quot;415154E2&quot;/&gt;&lt;wsp:rsid wsp:val=&quot;41516DB4&quot;/&gt;&lt;wsp:rsid wsp:val=&quot;41520244&quot;/&gt;&lt;wsp:rsid wsp:val=&quot;415428DD&quot;/&gt;&lt;wsp:rsid wsp:val=&quot;415442A5&quot;/&gt;&lt;wsp:rsid wsp:val=&quot;41550306&quot;/&gt;&lt;wsp:rsid wsp:val=&quot;41593FD6&quot;/&gt;&lt;wsp:rsid wsp:val=&quot;415B1EBD&quot;/&gt;&lt;wsp:rsid wsp:val=&quot;415B68E3&quot;/&gt;&lt;wsp:rsid wsp:val=&quot;415B7B1F&quot;/&gt;&lt;wsp:rsid wsp:val=&quot;415D5C35&quot;/&gt;&lt;wsp:rsid wsp:val=&quot;415E19AD&quot;/&gt;&lt;wsp:rsid wsp:val=&quot;41644198&quot;/&gt;&lt;wsp:rsid wsp:val=&quot;41650F8E&quot;/&gt;&lt;wsp:rsid wsp:val=&quot;41651639&quot;/&gt;&lt;wsp:rsid wsp:val=&quot;41680F39&quot;/&gt;&lt;wsp:rsid wsp:val=&quot;416A0352&quot;/&gt;&lt;wsp:rsid wsp:val=&quot;416B7C26&quot;/&gt;&lt;wsp:rsid wsp:val=&quot;416C231C&quot;/&gt;&lt;wsp:rsid wsp:val=&quot;416C5E78&quot;/&gt;&lt;wsp:rsid wsp:val=&quot;416D658D&quot;/&gt;&lt;wsp:rsid wsp:val=&quot;416F7831&quot;/&gt;&lt;wsp:rsid wsp:val=&quot;41717932&quot;/&gt;&lt;wsp:rsid wsp:val=&quot;41742F7F&quot;/&gt;&lt;wsp:rsid wsp:val=&quot;41776C90&quot;/&gt;&lt;wsp:rsid wsp:val=&quot;41790595&quot;/&gt;&lt;wsp:rsid wsp:val=&quot;41790C64&quot;/&gt;&lt;wsp:rsid wsp:val=&quot;417A0B91&quot;/&gt;&lt;wsp:rsid wsp:val=&quot;417B255F&quot;/&gt;&lt;wsp:rsid wsp:val=&quot;417C33D9&quot;/&gt;&lt;wsp:rsid wsp:val=&quot;417D0085&quot;/&gt;&lt;wsp:rsid wsp:val=&quot;417D62D7&quot;/&gt;&lt;wsp:rsid wsp:val=&quot;417E7959&quot;/&gt;&lt;wsp:rsid wsp:val=&quot;417F09A2&quot;/&gt;&lt;wsp:rsid wsp:val=&quot;41801923&quot;/&gt;&lt;wsp:rsid wsp:val=&quot;41801BCC&quot;/&gt;&lt;wsp:rsid wsp:val=&quot;41807B75&quot;/&gt;&lt;wsp:rsid wsp:val=&quot;4182569C&quot;/&gt;&lt;wsp:rsid wsp:val=&quot;41827323&quot;/&gt;&lt;wsp:rsid wsp:val=&quot;41840CDB&quot;/&gt;&lt;wsp:rsid wsp:val=&quot;41847666&quot;/&gt;&lt;wsp:rsid wsp:val=&quot;41850CE8&quot;/&gt;&lt;wsp:rsid wsp:val=&quot;41854314&quot;/&gt;&lt;wsp:rsid wsp:val=&quot;418654B8&quot;/&gt;&lt;wsp:rsid wsp:val=&quot;41870F04&quot;/&gt;&lt;wsp:rsid wsp:val=&quot;41872CB2&quot;/&gt;&lt;wsp:rsid wsp:val=&quot;41886A2A&quot;/&gt;&lt;wsp:rsid wsp:val=&quot;41892EE4&quot;/&gt;&lt;wsp:rsid wsp:val=&quot;418A09F4&quot;/&gt;&lt;wsp:rsid wsp:val=&quot;418C02C8&quot;/&gt;&lt;wsp:rsid wsp:val=&quot;418C651A&quot;/&gt;&lt;wsp:rsid wsp:val=&quot;418D5DEE&quot;/&gt;&lt;wsp:rsid wsp:val=&quot;418E2292&quot;/&gt;&lt;wsp:rsid wsp:val=&quot;418F65C9&quot;/&gt;&lt;wsp:rsid wsp:val=&quot;418F7D7F&quot;/&gt;&lt;wsp:rsid wsp:val=&quot;418F7DB9&quot;/&gt;&lt;wsp:rsid wsp:val=&quot;419378A7&quot;/&gt;&lt;wsp:rsid wsp:val=&quot;4194717D&quot;/&gt;&lt;wsp:rsid wsp:val=&quot;41952BC8&quot;/&gt;&lt;wsp:rsid wsp:val=&quot;41967399&quot;/&gt;&lt;wsp:rsid wsp:val=&quot;41986C6D&quot;/&gt;&lt;wsp:rsid wsp:val=&quot;419929E5&quot;/&gt;&lt;wsp:rsid wsp:val=&quot;419B49AF&quot;/&gt;&lt;wsp:rsid wsp:val=&quot;419D4283&quot;/&gt;&lt;wsp:rsid wsp:val=&quot;41A01FC6&quot;/&gt;&lt;wsp:rsid wsp:val=&quot;41A03D74&quot;/&gt;&lt;wsp:rsid wsp:val=&quot;41A25D3E&quot;/&gt;&lt;wsp:rsid wsp:val=&quot;41A73354&quot;/&gt;&lt;wsp:rsid wsp:val=&quot;41A75102&quot;/&gt;&lt;wsp:rsid wsp:val=&quot;41A7646C&quot;/&gt;&lt;wsp:rsid wsp:val=&quot;41A76EB0&quot;/&gt;&lt;wsp:rsid wsp:val=&quot;41A878FC&quot;/&gt;&lt;wsp:rsid wsp:val=&quot;41A90381&quot;/&gt;&lt;wsp:rsid wsp:val=&quot;41AC2719&quot;/&gt;&lt;wsp:rsid wsp:val=&quot;41AC627D&quot;/&gt;&lt;wsp:rsid wsp:val=&quot;41AD023F&quot;/&gt;&lt;wsp:rsid wsp:val=&quot;41AE46E3&quot;/&gt;&lt;wsp:rsid wsp:val=&quot;41AF045B&quot;/&gt;&lt;wsp:rsid wsp:val=&quot;41AF3FB7&quot;/&gt;&lt;wsp:rsid wsp:val=&quot;41AF7A35&quot;/&gt;&lt;wsp:rsid wsp:val=&quot;41B31CF9&quot;/&gt;&lt;wsp:rsid wsp:val=&quot;41B45A71&quot;/&gt;&lt;wsp:rsid wsp:val=&quot;41B54346&quot;/&gt;&lt;wsp:rsid wsp:val=&quot;41B63597&quot;/&gt;&lt;wsp:rsid wsp:val=&quot;41B65345&quot;/&gt;&lt;wsp:rsid wsp:val=&quot;41B82E6B&quot;/&gt;&lt;wsp:rsid wsp:val=&quot;41B8730F&quot;/&gt;&lt;wsp:rsid wsp:val=&quot;41B873F1&quot;/&gt;&lt;wsp:rsid wsp:val=&quot;41B96BE3&quot;/&gt;&lt;wsp:rsid wsp:val=&quot;41BA3087&quot;/&gt;&lt;wsp:rsid wsp:val=&quot;41BB0BAE&quot;/&gt;&lt;wsp:rsid wsp:val=&quot;41BD66D4&quot;/&gt;&lt;wsp:rsid wsp:val=&quot;41BE20FD&quot;/&gt;&lt;wsp:rsid wsp:val=&quot;41BF778A&quot;/&gt;&lt;wsp:rsid wsp:val=&quot;41C061C4&quot;/&gt;&lt;wsp:rsid wsp:val=&quot;41C06248&quot;/&gt;&lt;wsp:rsid wsp:val=&quot;41C25F88&quot;/&gt;&lt;wsp:rsid wsp:val=&quot;41C37A62&quot;/&gt;&lt;wsp:rsid wsp:val=&quot;41C46B0D&quot;/&gt;&lt;wsp:rsid wsp:val=&quot;41C47EC7&quot;/&gt;&lt;wsp:rsid wsp:val=&quot;41C55588&quot;/&gt;&lt;wsp:rsid wsp:val=&quot;41C91AB7&quot;/&gt;&lt;wsp:rsid wsp:val=&quot;41CA0DF1&quot;/&gt;&lt;wsp:rsid wsp:val=&quot;41CA2B9F&quot;/&gt;&lt;wsp:rsid wsp:val=&quot;41CA7043&quot;/&gt;&lt;wsp:rsid wsp:val=&quot;41CB43D7&quot;/&gt;&lt;wsp:rsid wsp:val=&quot;41CC4B69&quot;/&gt;&lt;wsp:rsid wsp:val=&quot;41CD5603&quot;/&gt;&lt;wsp:rsid wsp:val=&quot;41CE08E1&quot;/&gt;&lt;wsp:rsid wsp:val=&quot;41CE268F&quot;/&gt;&lt;wsp:rsid wsp:val=&quot;41D1217F&quot;/&gt;&lt;wsp:rsid wsp:val=&quot;41D135DC&quot;/&gt;&lt;wsp:rsid wsp:val=&quot;41D35EF7&quot;/&gt;&lt;wsp:rsid wsp:val=&quot;41D37CA5&quot;/&gt;&lt;wsp:rsid wsp:val=&quot;41D41C6F&quot;/&gt;&lt;wsp:rsid wsp:val=&quot;41D61543&quot;/&gt;&lt;wsp:rsid wsp:val=&quot;41D63C39&quot;/&gt;&lt;wsp:rsid wsp:val=&quot;41D81760&quot;/&gt;&lt;wsp:rsid wsp:val=&quot;41D8350E&quot;/&gt;&lt;wsp:rsid wsp:val=&quot;41D852BC&quot;/&gt;&lt;wsp:rsid wsp:val=&quot;41DA7286&quot;/&gt;&lt;wsp:rsid wsp:val=&quot;41DB2FFE&quot;/&gt;&lt;wsp:rsid wsp:val=&quot;41DD0B24&quot;/&gt;&lt;wsp:rsid wsp:val=&quot;41DD28D2&quot;/&gt;&lt;wsp:rsid wsp:val=&quot;41DF2AEE&quot;/&gt;&lt;wsp:rsid wsp:val=&quot;41DF489C&quot;/&gt;&lt;wsp:rsid wsp:val=&quot;41E023C2&quot;/&gt;&lt;wsp:rsid wsp:val=&quot;41E165FD&quot;/&gt;&lt;wsp:rsid wsp:val=&quot;41E2438C&quot;/&gt;&lt;wsp:rsid wsp:val=&quot;41E53E7C&quot;/&gt;&lt;wsp:rsid wsp:val=&quot;41E579D9&quot;/&gt;&lt;wsp:rsid wsp:val=&quot;41E67D86&quot;/&gt;&lt;wsp:rsid wsp:val=&quot;41E9396D&quot;/&gt;&lt;wsp:rsid wsp:val=&quot;41E974C9&quot;/&gt;&lt;wsp:rsid wsp:val=&quot;41EA1493&quot;/&gt;&lt;wsp:rsid wsp:val=&quot;41EA2372&quot;/&gt;&lt;wsp:rsid wsp:val=&quot;41EE0F83&quot;/&gt;&lt;wsp:rsid wsp:val=&quot;41EF2E79&quot;/&gt;&lt;wsp:rsid wsp:val=&quot;41F1637D&quot;/&gt;&lt;wsp:rsid wsp:val=&quot;41F320F5&quot;/&gt;&lt;wsp:rsid wsp:val=&quot;41F36599&quot;/&gt;&lt;wsp:rsid wsp:val=&quot;41F45E6E&quot;/&gt;&lt;wsp:rsid wsp:val=&quot;41F63994&quot;/&gt;&lt;wsp:rsid wsp:val=&quot;41F7323D&quot;/&gt;&lt;wsp:rsid wsp:val=&quot;41F83BB0&quot;/&gt;&lt;wsp:rsid wsp:val=&quot;41F8595E&quot;/&gt;&lt;wsp:rsid wsp:val=&quot;41F93484&quot;/&gt;&lt;wsp:rsid wsp:val=&quot;41FA16D6&quot;/&gt;&lt;wsp:rsid wsp:val=&quot;41FB359F&quot;/&gt;&lt;wsp:rsid wsp:val=&quot;41FB544E&quot;/&gt;&lt;wsp:rsid wsp:val=&quot;41FB703C&quot;/&gt;&lt;wsp:rsid wsp:val=&quot;41FB7347&quot;/&gt;&lt;wsp:rsid wsp:val=&quot;4200449D&quot;/&gt;&lt;wsp:rsid wsp:val=&quot;42015BE7&quot;/&gt;&lt;wsp:rsid wsp:val=&quot;4202058A&quot;/&gt;&lt;wsp:rsid wsp:val=&quot;42024A2E&quot;/&gt;&lt;wsp:rsid wsp:val=&quot;42051E29&quot;/&gt;&lt;wsp:rsid wsp:val=&quot;42063D6C&quot;/&gt;&lt;wsp:rsid wsp:val=&quot;42084D83&quot;/&gt;&lt;wsp:rsid wsp:val=&quot;420D19FA&quot;/&gt;&lt;wsp:rsid wsp:val=&quot;420D6D5B&quot;/&gt;&lt;wsp:rsid wsp:val=&quot;420E33D3&quot;/&gt;&lt;wsp:rsid wsp:val=&quot;420F167B&quot;/&gt;&lt;wsp:rsid wsp:val=&quot;42114C71&quot;/&gt;&lt;wsp:rsid wsp:val=&quot;42132798&quot;/&gt;&lt;wsp:rsid wsp:val=&quot;42156510&quot;/&gt;&lt;wsp:rsid wsp:val=&quot;42186247&quot;/&gt;&lt;wsp:rsid wsp:val=&quot;421A3DAC&quot;/&gt;&lt;wsp:rsid wsp:val=&quot;421A4923&quot;/&gt;&lt;wsp:rsid wsp:val=&quot;421A58D4&quot;/&gt;&lt;wsp:rsid wsp:val=&quot;421D1BAF&quot;/&gt;&lt;wsp:rsid wsp:val=&quot;421F113C&quot;/&gt;&lt;wsp:rsid wsp:val=&quot;421F2EEA&quot;/&gt;&lt;wsp:rsid wsp:val=&quot;421F738E&quot;/&gt;&lt;wsp:rsid wsp:val=&quot;42204702&quot;/&gt;&lt;wsp:rsid wsp:val=&quot;42204EB5&quot;/&gt;&lt;wsp:rsid wsp:val=&quot;42213106&quot;/&gt;&lt;wsp:rsid wsp:val=&quot;42220C2D&quot;/&gt;&lt;wsp:rsid wsp:val=&quot;42223ECC&quot;/&gt;&lt;wsp:rsid wsp:val=&quot;42227AF1&quot;/&gt;&lt;wsp:rsid wsp:val=&quot;42240501&quot;/&gt;&lt;wsp:rsid wsp:val=&quot;422449A5&quot;/&gt;&lt;wsp:rsid wsp:val=&quot;42254279&quot;/&gt;&lt;wsp:rsid wsp:val=&quot;42256DCB&quot;/&gt;&lt;wsp:rsid wsp:val=&quot;42274495&quot;/&gt;&lt;wsp:rsid wsp:val=&quot;42274F45&quot;/&gt;&lt;wsp:rsid wsp:val=&quot;42295B17&quot;/&gt;&lt;wsp:rsid wsp:val=&quot;422A188F&quot;/&gt;&lt;wsp:rsid wsp:val=&quot;422C084D&quot;/&gt;&lt;wsp:rsid wsp:val=&quot;422C7413&quot;/&gt;&lt;wsp:rsid wsp:val=&quot;422F6EA6&quot;/&gt;&lt;wsp:rsid wsp:val=&quot;423009B4&quot;/&gt;&lt;wsp:rsid wsp:val=&quot;4230334A&quot;/&gt;&lt;wsp:rsid wsp:val=&quot;42312C1E&quot;/&gt;&lt;wsp:rsid wsp:val=&quot;423133A5&quot;/&gt;&lt;wsp:rsid wsp:val=&quot;42332E3A&quot;/&gt;&lt;wsp:rsid wsp:val=&quot;42336996&quot;/&gt;&lt;wsp:rsid wsp:val=&quot;42336BE8&quot;/&gt;&lt;wsp:rsid wsp:val=&quot;423544BC&quot;/&gt;&lt;wsp:rsid wsp:val=&quot;42366486&quot;/&gt;&lt;wsp:rsid wsp:val=&quot;423821FE&quot;/&gt;&lt;wsp:rsid wsp:val=&quot;42383FAC&quot;/&gt;&lt;wsp:rsid wsp:val=&quot;423919E0&quot;/&gt;&lt;wsp:rsid wsp:val=&quot;423936F1&quot;/&gt;&lt;wsp:rsid wsp:val=&quot;423A3BCC&quot;/&gt;&lt;wsp:rsid wsp:val=&quot;423A5F76&quot;/&gt;&lt;wsp:rsid wsp:val=&quot;423A7D24&quot;/&gt;&lt;wsp:rsid wsp:val=&quot;423B584A&quot;/&gt;&lt;wsp:rsid wsp:val=&quot;423F0F7B&quot;/&gt;&lt;wsp:rsid wsp:val=&quot;42402E61&quot;/&gt;&lt;wsp:rsid wsp:val=&quot;42415557&quot;/&gt;&lt;wsp:rsid wsp:val=&quot;424402BA&quot;/&gt;&lt;wsp:rsid wsp:val=&quot;42440DCA&quot;/&gt;&lt;wsp:rsid wsp:val=&quot;424566C9&quot;/&gt;&lt;wsp:rsid wsp:val=&quot;42492C9C&quot;/&gt;&lt;wsp:rsid wsp:val=&quot;424961B9&quot;/&gt;&lt;wsp:rsid wsp:val=&quot;424B1F31&quot;/&gt;&lt;wsp:rsid wsp:val=&quot;424B3CDF&quot;/&gt;&lt;wsp:rsid wsp:val=&quot;424C5CAA&quot;/&gt;&lt;wsp:rsid wsp:val=&quot;424E1A22&quot;/&gt;&lt;wsp:rsid wsp:val=&quot;424E557E&quot;/&gt;&lt;wsp:rsid wsp:val=&quot;424E57D2&quot;/&gt;&lt;wsp:rsid wsp:val=&quot;42523FFF&quot;/&gt;&lt;wsp:rsid wsp:val=&quot;42524F59&quot;/&gt;&lt;wsp:rsid wsp:val=&quot;42554B5E&quot;/&gt;&lt;wsp:rsid wsp:val=&quot;4255690C&quot;/&gt;&lt;wsp:rsid wsp:val=&quot;42562684&quot;/&gt;&lt;wsp:rsid wsp:val=&quot;42577480&quot;/&gt;&lt;wsp:rsid wsp:val=&quot;42580899&quot;/&gt;&lt;wsp:rsid wsp:val=&quot;4258464E&quot;/&gt;&lt;wsp:rsid wsp:val=&quot;425A2175&quot;/&gt;&lt;wsp:rsid wsp:val=&quot;425C413F&quot;/&gt;&lt;wsp:rsid wsp:val=&quot;425D1C65&quot;/&gt;&lt;wsp:rsid wsp:val=&quot;425D3A13&quot;/&gt;&lt;wsp:rsid wsp:val=&quot;425F32CE&quot;/&gt;&lt;wsp:rsid wsp:val=&quot;425F3C2F&quot;/&gt;&lt;wsp:rsid wsp:val=&quot;425F778B&quot;/&gt;&lt;wsp:rsid wsp:val=&quot;4261734D&quot;/&gt;&lt;wsp:rsid wsp:val=&quot;42621852&quot;/&gt;&lt;wsp:rsid wsp:val=&quot;426254CD&quot;/&gt;&lt;wsp:rsid wsp:val=&quot;42642FF3&quot;/&gt;&lt;wsp:rsid wsp:val=&quot;42644DA1&quot;/&gt;&lt;wsp:rsid wsp:val=&quot;42660B19&quot;/&gt;&lt;wsp:rsid wsp:val=&quot;42670BB7&quot;/&gt;&lt;wsp:rsid wsp:val=&quot;42674891&quot;/&gt;&lt;wsp:rsid wsp:val=&quot;4268268D&quot;/&gt;&lt;wsp:rsid wsp:val=&quot;426923B8&quot;/&gt;&lt;wsp:rsid wsp:val=&quot;426B4382&quot;/&gt;&lt;wsp:rsid wsp:val=&quot;426D00FA&quot;/&gt;&lt;wsp:rsid wsp:val=&quot;426D38AF&quot;/&gt;&lt;wsp:rsid wsp:val=&quot;426E1391&quot;/&gt;&lt;wsp:rsid wsp:val=&quot;426E5C20&quot;/&gt;&lt;wsp:rsid wsp:val=&quot;426E79CE&quot;/&gt;&lt;wsp:rsid wsp:val=&quot;42701998&quot;/&gt;&lt;wsp:rsid wsp:val=&quot;4271434E&quot;/&gt;&lt;wsp:rsid wsp:val=&quot;42731488&quot;/&gt;&lt;wsp:rsid wsp:val=&quot;42736129&quot;/&gt;&lt;wsp:rsid wsp:val=&quot;42750D5C&quot;/&gt;&lt;wsp:rsid wsp:val=&quot;42770F78&quot;/&gt;&lt;wsp:rsid wsp:val=&quot;42785D1A&quot;/&gt;&lt;wsp:rsid wsp:val=&quot;42791D7B&quot;/&gt;&lt;wsp:rsid wsp:val=&quot;427C7D09&quot;/&gt;&lt;wsp:rsid wsp:val=&quot;427F1BDB&quot;/&gt;&lt;wsp:rsid wsp:val=&quot;427F607F&quot;/&gt;&lt;wsp:rsid wsp:val=&quot;42813BA5&quot;/&gt;&lt;wsp:rsid wsp:val=&quot;42814A9F&quot;/&gt;&lt;wsp:rsid wsp:val=&quot;428471F1&quot;/&gt;&lt;wsp:rsid wsp:val=&quot;428575F7&quot;/&gt;&lt;wsp:rsid wsp:val=&quot;42882069&quot;/&gt;&lt;wsp:rsid wsp:val=&quot;42892A5A&quot;/&gt;&lt;wsp:rsid wsp:val=&quot;428B0580&quot;/&gt;&lt;wsp:rsid wsp:val=&quot;428B4A24&quot;/&gt;&lt;wsp:rsid wsp:val=&quot;428D59B1&quot;/&gt;&lt;wsp:rsid wsp:val=&quot;428E62C2&quot;/&gt;&lt;wsp:rsid wsp:val=&quot;42900F05&quot;/&gt;&lt;wsp:rsid wsp:val=&quot;42903DE8&quot;/&gt;&lt;wsp:rsid wsp:val=&quot;4292190E&quot;/&gt;&lt;wsp:rsid wsp:val=&quot;42925DB2&quot;/&gt;&lt;wsp:rsid wsp:val=&quot;42927B60&quot;/&gt;&lt;wsp:rsid wsp:val=&quot;42937A5A&quot;/&gt;&lt;wsp:rsid wsp:val=&quot;429513FF&quot;/&gt;&lt;wsp:rsid wsp:val=&quot;42956073&quot;/&gt;&lt;wsp:rsid wsp:val=&quot;42957958&quot;/&gt;&lt;wsp:rsid wsp:val=&quot;429733C9&quot;/&gt;&lt;wsp:rsid wsp:val=&quot;42980EEF&quot;/&gt;&lt;wsp:rsid wsp:val=&quot;42982C9D&quot;/&gt;&lt;wsp:rsid wsp:val=&quot;429A4C67&quot;/&gt;&lt;wsp:rsid wsp:val=&quot;429D5791&quot;/&gt;&lt;wsp:rsid wsp:val=&quot;429D6505&quot;/&gt;&lt;wsp:rsid wsp:val=&quot;429F227D&quot;/&gt;&lt;wsp:rsid wsp:val=&quot;429F402B&quot;/&gt;&lt;wsp:rsid wsp:val=&quot;42A17DA3&quot;/&gt;&lt;wsp:rsid wsp:val=&quot;42A50DB4&quot;/&gt;&lt;wsp:rsid wsp:val=&quot;42A86289&quot;/&gt;&lt;wsp:rsid wsp:val=&quot;42A87384&quot;/&gt;&lt;wsp:rsid wsp:val=&quot;42A936CE&quot;/&gt;&lt;wsp:rsid wsp:val=&quot;42AA7468&quot;/&gt;&lt;wsp:rsid wsp:val=&quot;42AE24C0&quot;/&gt;&lt;wsp:rsid wsp:val=&quot;42AE426E&quot;/&gt;&lt;wsp:rsid wsp:val=&quot;42B05AC3&quot;/&gt;&lt;wsp:rsid wsp:val=&quot;42B07D4A&quot;/&gt;&lt;wsp:rsid wsp:val=&quot;42B07FBC&quot;/&gt;&lt;wsp:rsid wsp:val=&quot;42B07FE6&quot;/&gt;&lt;wsp:rsid wsp:val=&quot;42B11A4B&quot;/&gt;&lt;wsp:rsid wsp:val=&quot;42B26C49&quot;/&gt;&lt;wsp:rsid wsp:val=&quot;42B37AD7&quot;/&gt;&lt;wsp:rsid wsp:val=&quot;42B530EB&quot;/&gt;&lt;wsp:rsid wsp:val=&quot;42B5384F&quot;/&gt;&lt;wsp:rsid wsp:val=&quot;42B57B8F&quot;/&gt;&lt;wsp:rsid wsp:val=&quot;42B71375&quot;/&gt;&lt;wsp:rsid wsp:val=&quot;42BA70B7&quot;/&gt;&lt;wsp:rsid wsp:val=&quot;42BC287D&quot;/&gt;&lt;wsp:rsid wsp:val=&quot;42BE6BA7&quot;/&gt;&lt;wsp:rsid wsp:val=&quot;42BF022A&quot;/&gt;&lt;wsp:rsid wsp:val=&quot;42C10446&quot;/&gt;&lt;wsp:rsid wsp:val=&quot;42C12C8D&quot;/&gt;&lt;wsp:rsid wsp:val=&quot;42C35F6C&quot;/&gt;&lt;wsp:rsid wsp:val=&quot;42C41CE4&quot;/&gt;&lt;wsp:rsid wsp:val=&quot;42C43A92&quot;/&gt;&lt;wsp:rsid wsp:val=&quot;42C53B25&quot;/&gt;&lt;wsp:rsid wsp:val=&quot;42C6780A&quot;/&gt;&lt;wsp:rsid wsp:val=&quot;42C83582&quot;/&gt;&lt;wsp:rsid wsp:val=&quot;42C87815&quot;/&gt;&lt;wsp:rsid wsp:val=&quot;42C972FA&quot;/&gt;&lt;wsp:rsid wsp:val=&quot;42CB4E20&quot;/&gt;&lt;wsp:rsid wsp:val=&quot;42CB5600&quot;/&gt;&lt;wsp:rsid wsp:val=&quot;42CB6BCE&quot;/&gt;&lt;wsp:rsid wsp:val=&quot;42CD0B98&quot;/&gt;&lt;wsp:rsid wsp:val=&quot;42CD2946&quot;/&gt;&lt;wsp:rsid wsp:val=&quot;42CD3F43&quot;/&gt;&lt;wsp:rsid wsp:val=&quot;42CE53D3&quot;/&gt;&lt;wsp:rsid wsp:val=&quot;42D14483&quot;/&gt;&lt;wsp:rsid wsp:val=&quot;42D24401&quot;/&gt;&lt;wsp:rsid wsp:val=&quot;42D31F27&quot;/&gt;&lt;wsp:rsid wsp:val=&quot;42D40179&quot;/&gt;&lt;wsp:rsid wsp:val=&quot;42D57A4D&quot;/&gt;&lt;wsp:rsid wsp:val=&quot;42D737C5&quot;/&gt;&lt;wsp:rsid wsp:val=&quot;42D7630E&quot;/&gt;&lt;wsp:rsid wsp:val=&quot;42D80CE4&quot;/&gt;&lt;wsp:rsid wsp:val=&quot;42D9578F&quot;/&gt;&lt;wsp:rsid wsp:val=&quot;42DA5063&quot;/&gt;&lt;wsp:rsid wsp:val=&quot;42DC0DDB&quot;/&gt;&lt;wsp:rsid wsp:val=&quot;42DC527F&quot;/&gt;&lt;wsp:rsid wsp:val=&quot;42DD6902&quot;/&gt;&lt;wsp:rsid wsp:val=&quot;42E278AA&quot;/&gt;&lt;wsp:rsid wsp:val=&quot;42E3660E&quot;/&gt;&lt;wsp:rsid wsp:val=&quot;42E45EE2&quot;/&gt;&lt;wsp:rsid wsp:val=&quot;42E47C90&quot;/&gt;&lt;wsp:rsid wsp:val=&quot;42E61C5A&quot;/&gt;&lt;wsp:rsid wsp:val=&quot;42E6744A&quot;/&gt;&lt;wsp:rsid wsp:val=&quot;42E67501&quot;/&gt;&lt;wsp:rsid wsp:val=&quot;42E67EAC&quot;/&gt;&lt;wsp:rsid wsp:val=&quot;42E83C24&quot;/&gt;&lt;wsp:rsid wsp:val=&quot;42E934F8&quot;/&gt;&lt;wsp:rsid wsp:val=&quot;42EA799C&quot;/&gt;&lt;wsp:rsid wsp:val=&quot;42EB7271&quot;/&gt;&lt;wsp:rsid wsp:val=&quot;42ED2FE9&quot;/&gt;&lt;wsp:rsid wsp:val=&quot;42ED4D97&quot;/&gt;&lt;wsp:rsid wsp:val=&quot;42EE0B0F&quot;/&gt;&lt;wsp:rsid wsp:val=&quot;42EF4FB3&quot;/&gt;&lt;wsp:rsid wsp:val=&quot;42EF6D61&quot;/&gt;&lt;wsp:rsid wsp:val=&quot;42F0076D&quot;/&gt;&lt;wsp:rsid wsp:val=&quot;42F04887&quot;/&gt;&lt;wsp:rsid wsp:val=&quot;42F06635&quot;/&gt;&lt;wsp:rsid wsp:val=&quot;42F205FF&quot;/&gt;&lt;wsp:rsid wsp:val=&quot;42F2467B&quot;/&gt;&lt;wsp:rsid wsp:val=&quot;42F2592C&quot;/&gt;&lt;wsp:rsid wsp:val=&quot;42F4138D&quot;/&gt;&lt;wsp:rsid wsp:val=&quot;42F425C9&quot;/&gt;&lt;wsp:rsid wsp:val=&quot;42F44377&quot;/&gt;&lt;wsp:rsid wsp:val=&quot;42F5057E&quot;/&gt;&lt;wsp:rsid wsp:val=&quot;42F61E55&quot;/&gt;&lt;wsp:rsid wsp:val=&quot;42F70D7B&quot;/&gt;&lt;wsp:rsid wsp:val=&quot;42F80640&quot;/&gt;&lt;wsp:rsid wsp:val=&quot;42F866D9&quot;/&gt;&lt;wsp:rsid wsp:val=&quot;42FB5880&quot;/&gt;&lt;wsp:rsid wsp:val=&quot;42FC147E&quot;/&gt;&lt;wsp:rsid wsp:val=&quot;42FC322C&quot;/&gt;&lt;wsp:rsid wsp:val=&quot;42FE32FE&quot;/&gt;&lt;wsp:rsid wsp:val=&quot;43005459&quot;/&gt;&lt;wsp:rsid wsp:val=&quot;430302B3&quot;/&gt;&lt;wsp:rsid wsp:val=&quot;430345BA&quot;/&gt;&lt;wsp:rsid wsp:val=&quot;43051503&quot;/&gt;&lt;wsp:rsid wsp:val=&quot;43065E58&quot;/&gt;&lt;wsp:rsid wsp:val=&quot;43081BD1&quot;/&gt;&lt;wsp:rsid wsp:val=&quot;43087E22&quot;/&gt;&lt;wsp:rsid wsp:val=&quot;43095949&quot;/&gt;&lt;wsp:rsid wsp:val=&quot;430976F7&quot;/&gt;&lt;wsp:rsid wsp:val=&quot;430C6A87&quot;/&gt;&lt;wsp:rsid wsp:val=&quot;430D13D6&quot;/&gt;&lt;wsp:rsid wsp:val=&quot;430D5439&quot;/&gt;&lt;wsp:rsid wsp:val=&quot;430F2F5F&quot;/&gt;&lt;wsp:rsid wsp:val=&quot;43104F29&quot;/&gt;&lt;wsp:rsid wsp:val=&quot;43140575&quot;/&gt;&lt;wsp:rsid wsp:val=&quot;43144A19&quot;/&gt;&lt;wsp:rsid wsp:val=&quot;43147B68&quot;/&gt;&lt;wsp:rsid wsp:val=&quot;431542ED&quot;/&gt;&lt;wsp:rsid wsp:val=&quot;43155375&quot;/&gt;&lt;wsp:rsid wsp:val=&quot;43163EDA&quot;/&gt;&lt;wsp:rsid wsp:val=&quot;43174C28&quot;/&gt;&lt;wsp:rsid wsp:val=&quot;431762B8&quot;/&gt;&lt;wsp:rsid wsp:val=&quot;43192030&quot;/&gt;&lt;wsp:rsid wsp:val=&quot;43195B8C&quot;/&gt;&lt;wsp:rsid wsp:val=&quot;431C38CE&quot;/&gt;&lt;wsp:rsid wsp:val=&quot;431C7254&quot;/&gt;&lt;wsp:rsid wsp:val=&quot;431C742A&quot;/&gt;&lt;wsp:rsid wsp:val=&quot;431E7646&quot;/&gt;&lt;wsp:rsid wsp:val=&quot;43210EE4&quot;/&gt;&lt;wsp:rsid wsp:val=&quot;43236A0A&quot;/&gt;&lt;wsp:rsid wsp:val=&quot;43252782&quot;/&gt;&lt;wsp:rsid wsp:val=&quot;43262541&quot;/&gt;&lt;wsp:rsid wsp:val=&quot;432664FB&quot;/&gt;&lt;wsp:rsid wsp:val=&quot;432A34CE&quot;/&gt;&lt;wsp:rsid wsp:val=&quot;432D1637&quot;/&gt;&lt;wsp:rsid wsp:val=&quot;432D471E&quot;/&gt;&lt;wsp:rsid wsp:val=&quot;432D590F&quot;/&gt;&lt;wsp:rsid wsp:val=&quot;432E32DF&quot;/&gt;&lt;wsp:rsid wsp:val=&quot;432F53AF&quot;/&gt;&lt;wsp:rsid wsp:val=&quot;43317379&quot;/&gt;&lt;wsp:rsid wsp:val=&quot;4332051F&quot;/&gt;&lt;wsp:rsid wsp:val=&quot;43324E9F&quot;/&gt;&lt;wsp:rsid wsp:val=&quot;43346E69&quot;/&gt;&lt;wsp:rsid wsp:val=&quot;4335673E&quot;/&gt;&lt;wsp:rsid wsp:val=&quot;43361A71&quot;/&gt;&lt;wsp:rsid wsp:val=&quot;43362BE2&quot;/&gt;&lt;wsp:rsid wsp:val=&quot;43370708&quot;/&gt;&lt;wsp:rsid wsp:val=&quot;433901B6&quot;/&gt;&lt;wsp:rsid wsp:val=&quot;43394480&quot;/&gt;&lt;wsp:rsid wsp:val=&quot;43397FDC&quot;/&gt;&lt;wsp:rsid wsp:val=&quot;433A03F2&quot;/&gt;&lt;wsp:rsid wsp:val=&quot;433A3D54&quot;/&gt;&lt;wsp:rsid wsp:val=&quot;433A6FE6&quot;/&gt;&lt;wsp:rsid wsp:val=&quot;433B01F8&quot;/&gt;&lt;wsp:rsid wsp:val=&quot;433C187A&quot;/&gt;&lt;wsp:rsid wsp:val=&quot;433C2712&quot;/&gt;&lt;wsp:rsid wsp:val=&quot;433C5D1E&quot;/&gt;&lt;wsp:rsid wsp:val=&quot;433C7ACC&quot;/&gt;&lt;wsp:rsid wsp:val=&quot;433E1A96&quot;/&gt;&lt;wsp:rsid wsp:val=&quot;433F71CE&quot;/&gt;&lt;wsp:rsid wsp:val=&quot;4340580E&quot;/&gt;&lt;wsp:rsid wsp:val=&quot;43430E5B&quot;/&gt;&lt;wsp:rsid wsp:val=&quot;43431F81&quot;/&gt;&lt;wsp:rsid wsp:val=&quot;4346609A&quot;/&gt;&lt;wsp:rsid wsp:val=&quot;43480868&quot;/&gt;&lt;wsp:rsid wsp:val=&quot;43491CB9&quot;/&gt;&lt;wsp:rsid wsp:val=&quot;434A21E9&quot;/&gt;&lt;wsp:rsid wsp:val=&quot;434A3F97&quot;/&gt;&lt;wsp:rsid wsp:val=&quot;434B5F61&quot;/&gt;&lt;wsp:rsid wsp:val=&quot;434F15AD&quot;/&gt;&lt;wsp:rsid wsp:val=&quot;4350713C&quot;/&gt;&lt;wsp:rsid wsp:val=&quot;435117C9&quot;/&gt;&lt;wsp:rsid wsp:val=&quot;43515832&quot;/&gt;&lt;wsp:rsid wsp:val=&quot;43516679&quot;/&gt;&lt;wsp:rsid wsp:val=&quot;43525542&quot;/&gt;&lt;wsp:rsid wsp:val=&quot;43566DE0&quot;/&gt;&lt;wsp:rsid wsp:val=&quot;435C1F1C&quot;/&gt;&lt;wsp:rsid wsp:val=&quot;435E5108&quot;/&gt;&lt;wsp:rsid wsp:val=&quot;435E7A42&quot;/&gt;&lt;wsp:rsid wsp:val=&quot;435F5593&quot;/&gt;&lt;wsp:rsid wsp:val=&quot;436037BB&quot;/&gt;&lt;wsp:rsid wsp:val=&quot;43615785&quot;/&gt;&lt;wsp:rsid wsp:val=&quot;43622229&quot;/&gt;&lt;wsp:rsid wsp:val=&quot;4363278D&quot;/&gt;&lt;wsp:rsid wsp:val=&quot;436653E0&quot;/&gt;&lt;wsp:rsid wsp:val=&quot;43665464&quot;/&gt;&lt;wsp:rsid wsp:val=&quot;43670FED&quot;/&gt;&lt;wsp:rsid wsp:val=&quot;43672D9B&quot;/&gt;&lt;wsp:rsid wsp:val=&quot;436808C1&quot;/&gt;&lt;wsp:rsid wsp:val=&quot;43686B13&quot;/&gt;&lt;wsp:rsid wsp:val=&quot;4369148A&quot;/&gt;&lt;wsp:rsid wsp:val=&quot;436A0961&quot;/&gt;&lt;wsp:rsid wsp:val=&quot;436A288B&quot;/&gt;&lt;wsp:rsid wsp:val=&quot;436A63E7&quot;/&gt;&lt;wsp:rsid wsp:val=&quot;436B215F&quot;/&gt;&lt;wsp:rsid wsp:val=&quot;436F39FE&quot;/&gt;&lt;wsp:rsid wsp:val=&quot;43713C1A&quot;/&gt;&lt;wsp:rsid wsp:val=&quot;43721740&quot;/&gt;&lt;wsp:rsid wsp:val=&quot;43727992&quot;/&gt;&lt;wsp:rsid wsp:val=&quot;4374370A&quot;/&gt;&lt;wsp:rsid wsp:val=&quot;437730ED&quot;/&gt;&lt;wsp:rsid wsp:val=&quot;43776D56&quot;/&gt;&lt;wsp:rsid wsp:val=&quot;43792ACE&quot;/&gt;&lt;wsp:rsid wsp:val=&quot;437B05F4&quot;/&gt;&lt;wsp:rsid wsp:val=&quot;437B2DD9&quot;/&gt;&lt;wsp:rsid wsp:val=&quot;437C1635&quot;/&gt;&lt;wsp:rsid wsp:val=&quot;437D3114&quot;/&gt;&lt;wsp:rsid wsp:val=&quot;437E00E5&quot;/&gt;&lt;wsp:rsid wsp:val=&quot;437E1E93&quot;/&gt;&lt;wsp:rsid wsp:val=&quot;437E6337&quot;/&gt;&lt;wsp:rsid wsp:val=&quot;437F6B26&quot;/&gt;&lt;wsp:rsid wsp:val=&quot;43814017&quot;/&gt;&lt;wsp:rsid wsp:val=&quot;43826BE8&quot;/&gt;&lt;wsp:rsid wsp:val=&quot;43873032&quot;/&gt;&lt;wsp:rsid wsp:val=&quot;4387343D&quot;/&gt;&lt;wsp:rsid wsp:val=&quot;43881864&quot;/&gt;&lt;wsp:rsid wsp:val=&quot;438C45B0&quot;/&gt;&lt;wsp:rsid wsp:val=&quot;438D20D6&quot;/&gt;&lt;wsp:rsid wsp:val=&quot;43917E18&quot;/&gt;&lt;wsp:rsid wsp:val=&quot;4392593E&quot;/&gt;&lt;wsp:rsid wsp:val=&quot;4393443B&quot;/&gt;&lt;wsp:rsid wsp:val=&quot;4396542E&quot;/&gt;&lt;wsp:rsid wsp:val=&quot;439671DC&quot;/&gt;&lt;wsp:rsid wsp:val=&quot;439806F8&quot;/&gt;&lt;wsp:rsid wsp:val=&quot;439873F8&quot;/&gt;&lt;wsp:rsid wsp:val=&quot;43993170&quot;/&gt;&lt;wsp:rsid wsp:val=&quot;439B2A45&quot;/&gt;&lt;wsp:rsid wsp:val=&quot;439D07BA&quot;/&gt;&lt;wsp:rsid wsp:val=&quot;439D4A0F&quot;/&gt;&lt;wsp:rsid wsp:val=&quot;439D67BD&quot;/&gt;&lt;wsp:rsid wsp:val=&quot;439E0787&quot;/&gt;&lt;wsp:rsid wsp:val=&quot;439E41BC&quot;/&gt;&lt;wsp:rsid wsp:val=&quot;439E42E3&quot;/&gt;&lt;wsp:rsid wsp:val=&quot;43A0005B&quot;/&gt;&lt;wsp:rsid wsp:val=&quot;43A22025&quot;/&gt;&lt;wsp:rsid wsp:val=&quot;43A23DD3&quot;/&gt;&lt;wsp:rsid wsp:val=&quot;43A50841&quot;/&gt;&lt;wsp:rsid wsp:val=&quot;43A713E9&quot;/&gt;&lt;wsp:rsid wsp:val=&quot;43AA2C88&quot;/&gt;&lt;wsp:rsid wsp:val=&quot;43AC5588&quot;/&gt;&lt;wsp:rsid wsp:val=&quot;43AE7DCC&quot;/&gt;&lt;wsp:rsid wsp:val=&quot;43AF64F0&quot;/&gt;&lt;wsp:rsid wsp:val=&quot;43B65AD0&quot;/&gt;&lt;wsp:rsid wsp:val=&quot;43B7145E&quot;/&gt;&lt;wsp:rsid wsp:val=&quot;43B75827&quot;/&gt;&lt;wsp:rsid wsp:val=&quot;43B86443&quot;/&gt;&lt;wsp:rsid wsp:val=&quot;43B90147&quot;/&gt;&lt;wsp:rsid wsp:val=&quot;43B9111D&quot;/&gt;&lt;wsp:rsid wsp:val=&quot;43BB30E7&quot;/&gt;&lt;wsp:rsid wsp:val=&quot;43BC0257&quot;/&gt;&lt;wsp:rsid wsp:val=&quot;43C12833&quot;/&gt;&lt;wsp:rsid wsp:val=&quot;43C13740&quot;/&gt;&lt;wsp:rsid wsp:val=&quot;43C2414B&quot;/&gt;&lt;wsp:rsid wsp:val=&quot;43C26223&quot;/&gt;&lt;wsp:rsid wsp:val=&quot;43C337F2&quot;/&gt;&lt;wsp:rsid wsp:val=&quot;43C401ED&quot;/&gt;&lt;wsp:rsid wsp:val=&quot;43C4431A&quot;/&gt;&lt;wsp:rsid wsp:val=&quot;43C55D14&quot;/&gt;&lt;wsp:rsid wsp:val=&quot;43C57AC2&quot;/&gt;&lt;wsp:rsid wsp:val=&quot;43C62693&quot;/&gt;&lt;wsp:rsid wsp:val=&quot;43C71A8C&quot;/&gt;&lt;wsp:rsid wsp:val=&quot;43C76287&quot;/&gt;&lt;wsp:rsid wsp:val=&quot;43C81360&quot;/&gt;&lt;wsp:rsid wsp:val=&quot;43CA157C&quot;/&gt;&lt;wsp:rsid wsp:val=&quot;43CA332A&quot;/&gt;&lt;wsp:rsid wsp:val=&quot;43CB255C&quot;/&gt;&lt;wsp:rsid wsp:val=&quot;43CD6976&quot;/&gt;&lt;wsp:rsid wsp:val=&quot;43CE0EDD&quot;/&gt;&lt;wsp:rsid wsp:val=&quot;43D146B8&quot;/&gt;&lt;wsp:rsid wsp:val=&quot;43D16466&quot;/&gt;&lt;wsp:rsid wsp:val=&quot;43D31CC1&quot;/&gt;&lt;wsp:rsid wsp:val=&quot;43D321DE&quot;/&gt;&lt;wsp:rsid wsp:val=&quot;43D61CCF&quot;/&gt;&lt;wsp:rsid wsp:val=&quot;43D9356D&quot;/&gt;&lt;wsp:rsid wsp:val=&quot;43DB5537&quot;/&gt;&lt;wsp:rsid wsp:val=&quot;43DD0DFB&quot;/&gt;&lt;wsp:rsid wsp:val=&quot;43DE0B83&quot;/&gt;&lt;wsp:rsid wsp:val=&quot;43DE2931&quot;/&gt;&lt;wsp:rsid wsp:val=&quot;43DF5027&quot;/&gt;&lt;wsp:rsid wsp:val=&quot;43E02B4D&quot;/&gt;&lt;wsp:rsid wsp:val=&quot;43E066A9&quot;/&gt;&lt;wsp:rsid wsp:val=&quot;43E066F5&quot;/&gt;&lt;wsp:rsid wsp:val=&quot;43E20674&quot;/&gt;&lt;wsp:rsid wsp:val=&quot;43E3619A&quot;/&gt;&lt;wsp:rsid wsp:val=&quot;43E4263E&quot;/&gt;&lt;wsp:rsid wsp:val=&quot;43E443EC&quot;/&gt;&lt;wsp:rsid wsp:val=&quot;43E67164&quot;/&gt;&lt;wsp:rsid wsp:val=&quot;43E837B0&quot;/&gt;&lt;wsp:rsid wsp:val=&quot;43E85A19&quot;/&gt;&lt;wsp:rsid wsp:val=&quot;43E97C54&quot;/&gt;&lt;wsp:rsid wsp:val=&quot;43EA577A&quot;/&gt;&lt;wsp:rsid wsp:val=&quot;43EA7528&quot;/&gt;&lt;wsp:rsid wsp:val=&quot;43EC32A0&quot;/&gt;&lt;wsp:rsid wsp:val=&quot;43EC504E&quot;/&gt;&lt;wsp:rsid wsp:val=&quot;43EE4268&quot;/&gt;&lt;wsp:rsid wsp:val=&quot;43EE7018&quot;/&gt;&lt;wsp:rsid wsp:val=&quot;43F17E3C&quot;/&gt;&lt;wsp:rsid wsp:val=&quot;43F403A7&quot;/&gt;&lt;wsp:rsid wsp:val=&quot;43F44339&quot;/&gt;&lt;wsp:rsid wsp:val=&quot;43F62371&quot;/&gt;&lt;wsp:rsid wsp:val=&quot;43F65ECD&quot;/&gt;&lt;wsp:rsid wsp:val=&quot;43F87E97&quot;/&gt;&lt;wsp:rsid wsp:val=&quot;43F959BD&quot;/&gt;&lt;wsp:rsid wsp:val=&quot;43FB7987&quot;/&gt;&lt;wsp:rsid wsp:val=&quot;43FD36FF&quot;/&gt;&lt;wsp:rsid wsp:val=&quot;43FD725B&quot;/&gt;&lt;wsp:rsid wsp:val=&quot;43FE7FBC&quot;/&gt;&lt;wsp:rsid wsp:val=&quot;44024872&quot;/&gt;&lt;wsp:rsid wsp:val=&quot;44044DD8&quot;/&gt;&lt;wsp:rsid wsp:val=&quot;4404597E&quot;/&gt;&lt;wsp:rsid wsp:val=&quot;440B1130&quot;/&gt;&lt;wsp:rsid wsp:val=&quot;440D2D01&quot;/&gt;&lt;wsp:rsid wsp:val=&quot;440E3217&quot;/&gt;&lt;wsp:rsid wsp:val=&quot;440E76BA&quot;/&gt;&lt;wsp:rsid wsp:val=&quot;44112D07&quot;/&gt;&lt;wsp:rsid wsp:val=&quot;44136A7F&quot;/&gt;&lt;wsp:rsid wsp:val=&quot;441427F7&quot;/&gt;&lt;wsp:rsid wsp:val=&quot;441440F3&quot;/&gt;&lt;wsp:rsid wsp:val=&quot;44173EC7&quot;/&gt;&lt;wsp:rsid wsp:val=&quot;44175D2E&quot;/&gt;&lt;wsp:rsid wsp:val=&quot;44184095&quot;/&gt;&lt;wsp:rsid wsp:val=&quot;44185497&quot;/&gt;&lt;wsp:rsid wsp:val=&quot;441A605F&quot;/&gt;&lt;wsp:rsid wsp:val=&quot;441A7E0D&quot;/&gt;&lt;wsp:rsid wsp:val=&quot;441B3B85&quot;/&gt;&lt;wsp:rsid wsp:val=&quot;441B5933&quot;/&gt;&lt;wsp:rsid wsp:val=&quot;441C3545&quot;/&gt;&lt;wsp:rsid wsp:val=&quot;441F3676&quot;/&gt;&lt;wsp:rsid wsp:val=&quot;44200160&quot;/&gt;&lt;wsp:rsid wsp:val=&quot;44242A3A&quot;/&gt;&lt;wsp:rsid wsp:val=&quot;44250040&quot;/&gt;&lt;wsp:rsid wsp:val=&quot;442567B2&quot;/&gt;&lt;wsp:rsid wsp:val=&quot;442742D8&quot;/&gt;&lt;wsp:rsid wsp:val=&quot;44286D6E&quot;/&gt;&lt;wsp:rsid wsp:val=&quot;44290050&quot;/&gt;&lt;wsp:rsid wsp:val=&quot;4429137E&quot;/&gt;&lt;wsp:rsid wsp:val=&quot;442944F4&quot;/&gt;&lt;wsp:rsid wsp:val=&quot;442962A2&quot;/&gt;&lt;wsp:rsid wsp:val=&quot;44296C35&quot;/&gt;&lt;wsp:rsid wsp:val=&quot;442A3DC9&quot;/&gt;&lt;wsp:rsid wsp:val=&quot;442A5B77&quot;/&gt;&lt;wsp:rsid wsp:val=&quot;442B201A&quot;/&gt;&lt;wsp:rsid wsp:val=&quot;442B20E0&quot;/&gt;&lt;wsp:rsid wsp:val=&quot;442C2F5D&quot;/&gt;&lt;wsp:rsid wsp:val=&quot;442C7400&quot;/&gt;&lt;wsp:rsid wsp:val=&quot;442C7B41&quot;/&gt;&lt;wsp:rsid wsp:val=&quot;44304FA2&quot;/&gt;&lt;wsp:rsid wsp:val=&quot;44307631&quot;/&gt;&lt;wsp:rsid wsp:val=&quot;443133A9&quot;/&gt;&lt;wsp:rsid wsp:val=&quot;44315157&quot;/&gt;&lt;wsp:rsid wsp:val=&quot;44325CF6&quot;/&gt;&lt;wsp:rsid wsp:val=&quot;44332C7D&quot;/&gt;&lt;wsp:rsid wsp:val=&quot;443469F5&quot;/&gt;&lt;wsp:rsid wsp:val=&quot;44352E99&quot;/&gt;&lt;wsp:rsid wsp:val=&quot;44356FB8&quot;/&gt;&lt;wsp:rsid wsp:val=&quot;443A225E&quot;/&gt;&lt;wsp:rsid wsp:val=&quot;443B5FD6&quot;/&gt;&lt;wsp:rsid wsp:val=&quot;443B6DB9&quot;/&gt;&lt;wsp:rsid wsp:val=&quot;443C2C41&quot;/&gt;&lt;wsp:rsid wsp:val=&quot;443F5AC6&quot;/&gt;&lt;wsp:rsid wsp:val=&quot;443F68DF&quot;/&gt;&lt;wsp:rsid wsp:val=&quot;443F7874&quot;/&gt;&lt;wsp:rsid wsp:val=&quot;444035EC&quot;/&gt;&lt;wsp:rsid wsp:val=&quot;44404832&quot;/&gt;&lt;wsp:rsid wsp:val=&quot;4440539A&quot;/&gt;&lt;wsp:rsid wsp:val=&quot;4441183E&quot;/&gt;&lt;wsp:rsid wsp:val=&quot;44421112&quot;/&gt;&lt;wsp:rsid wsp:val=&quot;44447B80&quot;/&gt;&lt;wsp:rsid wsp:val=&quot;4445066C&quot;/&gt;&lt;wsp:rsid wsp:val=&quot;444529B0&quot;/&gt;&lt;wsp:rsid wsp:val=&quot;44463BE1&quot;/&gt;&lt;wsp:rsid wsp:val=&quot;44466E54&quot;/&gt;&lt;wsp:rsid wsp:val=&quot;44472BCC&quot;/&gt;&lt;wsp:rsid wsp:val=&quot;444906F3&quot;/&gt;&lt;wsp:rsid wsp:val=&quot;444924A1&quot;/&gt;&lt;wsp:rsid wsp:val=&quot;444A6219&quot;/&gt;&lt;wsp:rsid wsp:val=&quot;444C26C2&quot;/&gt;&lt;wsp:rsid wsp:val=&quot;444E3F5B&quot;/&gt;&lt;wsp:rsid wsp:val=&quot;444E5D09&quot;/&gt;&lt;wsp:rsid wsp:val=&quot;444F55DD&quot;/&gt;&lt;wsp:rsid wsp:val=&quot;44501A81&quot;/&gt;&lt;wsp:rsid wsp:val=&quot;4450382F&quot;/&gt;&lt;wsp:rsid wsp:val=&quot;44524D55&quot;/&gt;&lt;wsp:rsid wsp:val=&quot;445350CD&quot;/&gt;&lt;wsp:rsid wsp:val=&quot;4456696C&quot;/&gt;&lt;wsp:rsid wsp:val=&quot;445826E4&quot;/&gt;&lt;wsp:rsid wsp:val=&quot;445961A5&quot;/&gt;&lt;wsp:rsid wsp:val=&quot;445A34E7&quot;/&gt;&lt;wsp:rsid wsp:val=&quot;445B21D4&quot;/&gt;&lt;wsp:rsid wsp:val=&quot;445D419E&quot;/&gt;&lt;wsp:rsid wsp:val=&quot;445D7297&quot;/&gt;&lt;wsp:rsid wsp:val=&quot;445D7CFA&quot;/&gt;&lt;wsp:rsid wsp:val=&quot;44615A3C&quot;/&gt;&lt;wsp:rsid wsp:val=&quot;446217B4&quot;/&gt;&lt;wsp:rsid wsp:val=&quot;44625310&quot;/&gt;&lt;wsp:rsid wsp:val=&quot;44654E01&quot;/&gt;&lt;wsp:rsid wsp:val=&quot;44661A8A&quot;/&gt;&lt;wsp:rsid wsp:val=&quot;44676DCB&quot;/&gt;&lt;wsp:rsid wsp:val=&quot;446948F1&quot;/&gt;&lt;wsp:rsid wsp:val=&quot;446B68BB&quot;/&gt;&lt;wsp:rsid wsp:val=&quot;446C43E1&quot;/&gt;&lt;wsp:rsid wsp:val=&quot;446C618F&quot;/&gt;&lt;wsp:rsid wsp:val=&quot;446E0159&quot;/&gt;&lt;wsp:rsid wsp:val=&quot;446E2DED&quot;/&gt;&lt;wsp:rsid wsp:val=&quot;44703ED1&quot;/&gt;&lt;wsp:rsid wsp:val=&quot;44705C7F&quot;/&gt;&lt;wsp:rsid wsp:val=&quot;44723B6D&quot;/&gt;&lt;wsp:rsid wsp:val=&quot;447339C1&quot;/&gt;&lt;wsp:rsid wsp:val=&quot;44751723&quot;/&gt;&lt;wsp:rsid wsp:val=&quot;4476700E&quot;/&gt;&lt;wsp:rsid wsp:val=&quot;44775260&quot;/&gt;&lt;wsp:rsid wsp:val=&quot;44786ADF&quot;/&gt;&lt;wsp:rsid wsp:val=&quot;447A08AC&quot;/&gt;&lt;wsp:rsid wsp:val=&quot;447A4D50&quot;/&gt;&lt;wsp:rsid wsp:val=&quot;447D6881&quot;/&gt;&lt;wsp:rsid wsp:val=&quot;447F0234&quot;/&gt;&lt;wsp:rsid wsp:val=&quot;447F2366&quot;/&gt;&lt;wsp:rsid wsp:val=&quot;447F4114&quot;/&gt;&lt;wsp:rsid wsp:val=&quot;448160DE&quot;/&gt;&lt;wsp:rsid wsp:val=&quot;44827761&quot;/&gt;&lt;wsp:rsid wsp:val=&quot;4484172B&quot;/&gt;&lt;wsp:rsid wsp:val=&quot;448434D9&quot;/&gt;&lt;wsp:rsid wsp:val=&quot;44843C65&quot;/&gt;&lt;wsp:rsid wsp:val=&quot;4484797D&quot;/&gt;&lt;wsp:rsid wsp:val=&quot;4485521C&quot;/&gt;&lt;wsp:rsid wsp:val=&quot;448564A3&quot;/&gt;&lt;wsp:rsid wsp:val=&quot;448654A3&quot;/&gt;&lt;wsp:rsid wsp:val=&quot;44872FC9&quot;/&gt;&lt;wsp:rsid wsp:val=&quot;448C6831&quot;/&gt;&lt;wsp:rsid wsp:val=&quot;448E07FB&quot;/&gt;&lt;wsp:rsid wsp:val=&quot;448E4357&quot;/&gt;&lt;wsp:rsid wsp:val=&quot;448E6105&quot;/&gt;&lt;wsp:rsid wsp:val=&quot;449000D0&quot;/&gt;&lt;wsp:rsid wsp:val=&quot;44906FD3&quot;/&gt;&lt;wsp:rsid wsp:val=&quot;4492209A&quot;/&gt;&lt;wsp:rsid wsp:val=&quot;44944B08&quot;/&gt;&lt;wsp:rsid wsp:val=&quot;44953938&quot;/&gt;&lt;wsp:rsid wsp:val=&quot;449556E6&quot;/&gt;&lt;wsp:rsid wsp:val=&quot;44957494&quot;/&gt;&lt;wsp:rsid wsp:val=&quot;4497145E&quot;/&gt;&lt;wsp:rsid wsp:val=&quot;44983428&quot;/&gt;&lt;wsp:rsid wsp:val=&quot;449851D6&quot;/&gt;&lt;wsp:rsid wsp:val=&quot;44985A24&quot;/&gt;&lt;wsp:rsid wsp:val=&quot;449974E9&quot;/&gt;&lt;wsp:rsid wsp:val=&quot;449A38A3&quot;/&gt;&lt;wsp:rsid wsp:val=&quot;449B49DA&quot;/&gt;&lt;wsp:rsid wsp:val=&quot;449C6A74&quot;/&gt;&lt;wsp:rsid wsp:val=&quot;449D459A&quot;/&gt;&lt;wsp:rsid wsp:val=&quot;449D72FA&quot;/&gt;&lt;wsp:rsid wsp:val=&quot;44A122DD&quot;/&gt;&lt;wsp:rsid wsp:val=&quot;44A43B7B&quot;/&gt;&lt;wsp:rsid wsp:val=&quot;44A45929&quot;/&gt;&lt;wsp:rsid wsp:val=&quot;44A51CE0&quot;/&gt;&lt;wsp:rsid wsp:val=&quot;44A57004&quot;/&gt;&lt;wsp:rsid wsp:val=&quot;44A65B45&quot;/&gt;&lt;wsp:rsid wsp:val=&quot;44A733D3&quot;/&gt;&lt;wsp:rsid wsp:val=&quot;44AB4F09&quot;/&gt;&lt;wsp:rsid wsp:val=&quot;44AB6CB7&quot;/&gt;&lt;wsp:rsid wsp:val=&quot;44AD6ED3&quot;/&gt;&lt;wsp:rsid wsp:val=&quot;44B042CE&quot;/&gt;&lt;wsp:rsid wsp:val=&quot;44B10046&quot;/&gt;&lt;wsp:rsid wsp:val=&quot;44B16ADB&quot;/&gt;&lt;wsp:rsid wsp:val=&quot;44B244EA&quot;/&gt;&lt;wsp:rsid wsp:val=&quot;44B26298&quot;/&gt;&lt;wsp:rsid wsp:val=&quot;44B33DBE&quot;/&gt;&lt;wsp:rsid wsp:val=&quot;44B518E4&quot;/&gt;&lt;wsp:rsid wsp:val=&quot;44B55D88&quot;/&gt;&lt;wsp:rsid wsp:val=&quot;44B57B36&quot;/&gt;&lt;wsp:rsid wsp:val=&quot;44B813D4&quot;/&gt;&lt;wsp:rsid wsp:val=&quot;44B85878&quot;/&gt;&lt;wsp:rsid wsp:val=&quot;44B87D19&quot;/&gt;&lt;wsp:rsid wsp:val=&quot;44B951CC&quot;/&gt;&lt;wsp:rsid wsp:val=&quot;44BA339E&quot;/&gt;&lt;wsp:rsid wsp:val=&quot;44BA514C&quot;/&gt;&lt;wsp:rsid wsp:val=&quot;44BC0EC5&quot;/&gt;&lt;wsp:rsid wsp:val=&quot;44BD4C3D&quot;/&gt;&lt;wsp:rsid wsp:val=&quot;44BE2E8F&quot;/&gt;&lt;wsp:rsid wsp:val=&quot;44BF09B5&quot;/&gt;&lt;wsp:rsid wsp:val=&quot;44C22253&quot;/&gt;&lt;wsp:rsid wsp:val=&quot;44C26789&quot;/&gt;&lt;wsp:rsid wsp:val=&quot;44C4421D&quot;/&gt;&lt;wsp:rsid wsp:val=&quot;44C63AF1&quot;/&gt;&lt;wsp:rsid wsp:val=&quot;44C80E2F&quot;/&gt;&lt;wsp:rsid wsp:val=&quot;44C85ABB&quot;/&gt;&lt;wsp:rsid wsp:val=&quot;44CB1454&quot;/&gt;&lt;wsp:rsid wsp:val=&quot;44CD1324&quot;/&gt;&lt;wsp:rsid wsp:val=&quot;44CD14E0&quot;/&gt;&lt;wsp:rsid wsp:val=&quot;44CD20C7&quot;/&gt;&lt;wsp:rsid wsp:val=&quot;44CD4E80&quot;/&gt;&lt;wsp:rsid wsp:val=&quot;44CE0BF8&quot;/&gt;&lt;wsp:rsid wsp:val=&quot;44CE6128&quot;/&gt;&lt;wsp:rsid wsp:val=&quot;44D001CD&quot;/&gt;&lt;wsp:rsid wsp:val=&quot;44D04970&quot;/&gt;&lt;wsp:rsid wsp:val=&quot;44D0671E&quot;/&gt;&lt;wsp:rsid wsp:val=&quot;44D206E8&quot;/&gt;&lt;wsp:rsid wsp:val=&quot;44D34460&quot;/&gt;&lt;wsp:rsid wsp:val=&quot;44D44C11&quot;/&gt;&lt;wsp:rsid wsp:val=&quot;44D501D8&quot;/&gt;&lt;wsp:rsid wsp:val=&quot;44D53D34&quot;/&gt;&lt;wsp:rsid wsp:val=&quot;44D60D07&quot;/&gt;&lt;wsp:rsid wsp:val=&quot;44D648BA&quot;/&gt;&lt;wsp:rsid wsp:val=&quot;44D81A76&quot;/&gt;&lt;wsp:rsid wsp:val=&quot;44D83825&quot;/&gt;&lt;wsp:rsid wsp:val=&quot;44D97CC8&quot;/&gt;&lt;wsp:rsid wsp:val=&quot;44DA134B&quot;/&gt;&lt;wsp:rsid wsp:val=&quot;44DB5F34&quot;/&gt;&lt;wsp:rsid wsp:val=&quot;44DC1567&quot;/&gt;&lt;wsp:rsid wsp:val=&quot;44E1092B&quot;/&gt;&lt;wsp:rsid wsp:val=&quot;44E15337&quot;/&gt;&lt;wsp:rsid wsp:val=&quot;44E328F5&quot;/&gt;&lt;wsp:rsid wsp:val=&quot;44E4034E&quot;/&gt;&lt;wsp:rsid wsp:val=&quot;44E44A7E&quot;/&gt;&lt;wsp:rsid wsp:val=&quot;44E623E5&quot;/&gt;&lt;wsp:rsid wsp:val=&quot;44E73A68&quot;/&gt;&lt;wsp:rsid wsp:val=&quot;44E87F0C&quot;/&gt;&lt;wsp:rsid wsp:val=&quot;44E915E3&quot;/&gt;&lt;wsp:rsid wsp:val=&quot;44E95A32&quot;/&gt;&lt;wsp:rsid wsp:val=&quot;44EA5ED6&quot;/&gt;&lt;wsp:rsid wsp:val=&quot;44EC1EBA&quot;/&gt;&lt;wsp:rsid wsp:val=&quot;44F04590&quot;/&gt;&lt;wsp:rsid wsp:val=&quot;44F20B0B&quot;/&gt;&lt;wsp:rsid wsp:val=&quot;44F20D8A&quot;/&gt;&lt;wsp:rsid wsp:val=&quot;44F3240C&quot;/&gt;&lt;wsp:rsid wsp:val=&quot;44F543D6&quot;/&gt;&lt;wsp:rsid wsp:val=&quot;44F7014F&quot;/&gt;&lt;wsp:rsid wsp:val=&quot;44F92119&quot;/&gt;&lt;wsp:rsid wsp:val=&quot;44F97C54&quot;/&gt;&lt;wsp:rsid wsp:val=&quot;44FC430A&quot;/&gt;&lt;wsp:rsid wsp:val=&quot;44FC5765&quot;/&gt;&lt;wsp:rsid wsp:val=&quot;44FC7513&quot;/&gt;&lt;wsp:rsid wsp:val=&quot;44FD328B&quot;/&gt;&lt;wsp:rsid wsp:val=&quot;44FE772F&quot;/&gt;&lt;wsp:rsid wsp:val=&quot;44FF380C&quot;/&gt;&lt;wsp:rsid wsp:val=&quot;44FF7833&quot;/&gt;&lt;wsp:rsid wsp:val=&quot;45010FCD&quot;/&gt;&lt;wsp:rsid wsp:val=&quot;45013B88&quot;/&gt;&lt;wsp:rsid wsp:val=&quot;45022447&quot;/&gt;&lt;wsp:rsid wsp:val=&quot;45030A4C&quot;/&gt;&lt;wsp:rsid wsp:val=&quot;45032260&quot;/&gt;&lt;wsp:rsid wsp:val=&quot;4504286C&quot;/&gt;&lt;wsp:rsid wsp:val=&quot;45062140&quot;/&gt;&lt;wsp:rsid wsp:val=&quot;45085EB8&quot;/&gt;&lt;wsp:rsid wsp:val=&quot;450860A8&quot;/&gt;&lt;wsp:rsid wsp:val=&quot;450862B9&quot;/&gt;&lt;wsp:rsid wsp:val=&quot;450B59A8&quot;/&gt;&lt;wsp:rsid wsp:val=&quot;450D0C9B&quot;/&gt;&lt;wsp:rsid wsp:val=&quot;45132AAF&quot;/&gt;&lt;wsp:rsid wsp:val=&quot;4513485D&quot;/&gt;&lt;wsp:rsid wsp:val=&quot;45154A79&quot;/&gt;&lt;wsp:rsid wsp:val=&quot;451731DD&quot;/&gt;&lt;wsp:rsid wsp:val=&quot;451A208F&quot;/&gt;&lt;wsp:rsid wsp:val=&quot;451B472F&quot;/&gt;&lt;wsp:rsid wsp:val=&quot;451C1963&quot;/&gt;&lt;wsp:rsid wsp:val=&quot;451C5E07&quot;/&gt;&lt;wsp:rsid wsp:val=&quot;451D704F&quot;/&gt;&lt;wsp:rsid wsp:val=&quot;451E04DF&quot;/&gt;&lt;wsp:rsid wsp:val=&quot;451E56DB&quot;/&gt;&lt;wsp:rsid wsp:val=&quot;45216E60&quot;/&gt;&lt;wsp:rsid wsp:val=&quot;45230F44&quot;/&gt;&lt;wsp:rsid wsp:val=&quot;45235A92&quot;/&gt;&lt;wsp:rsid wsp:val=&quot;45246133&quot;/&gt;&lt;wsp:rsid wsp:val=&quot;45252F0E&quot;/&gt;&lt;wsp:rsid wsp:val=&quot;45277E43&quot;/&gt;&lt;wsp:rsid wsp:val=&quot;45280308&quot;/&gt;&lt;wsp:rsid wsp:val=&quot;452847AC&quot;/&gt;&lt;wsp:rsid wsp:val=&quot;452C56B4&quot;/&gt;&lt;wsp:rsid wsp:val=&quot;452D1DC2&quot;/&gt;&lt;wsp:rsid wsp:val=&quot;452D3B70&quot;/&gt;&lt;wsp:rsid wsp:val=&quot;452E5F4C&quot;/&gt;&lt;wsp:rsid wsp:val=&quot;452F78E8&quot;/&gt;&lt;wsp:rsid wsp:val=&quot;453018B3&quot;/&gt;&lt;wsp:rsid wsp:val=&quot;45317391&quot;/&gt;&lt;wsp:rsid wsp:val=&quot;45321187&quot;/&gt;&lt;wsp:rsid wsp:val=&quot;45336CAD&quot;/&gt;&lt;wsp:rsid wsp:val=&quot;45343151&quot;/&gt;&lt;wsp:rsid wsp:val=&quot;45344EFF&quot;/&gt;&lt;wsp:rsid wsp:val=&quot;45357EA7&quot;/&gt;&lt;wsp:rsid wsp:val=&quot;45372C41&quot;/&gt;&lt;wsp:rsid wsp:val=&quot;453749EF&quot;/&gt;&lt;wsp:rsid wsp:val=&quot;45386828&quot;/&gt;&lt;wsp:rsid wsp:val=&quot;4539764E&quot;/&gt;&lt;wsp:rsid wsp:val=&quot;453B44DF&quot;/&gt;&lt;wsp:rsid wsp:val=&quot;453C3DB3&quot;/&gt;&lt;wsp:rsid wsp:val=&quot;453D7240&quot;/&gt;&lt;wsp:rsid wsp:val=&quot;453E7B2C&quot;/&gt;&lt;wsp:rsid wsp:val=&quot;453F38A4&quot;/&gt;&lt;wsp:rsid wsp:val=&quot;453F5652&quot;/&gt;&lt;wsp:rsid wsp:val=&quot;454113CA&quot;/&gt;&lt;wsp:rsid wsp:val=&quot;4541761C&quot;/&gt;&lt;wsp:rsid wsp:val=&quot;45433394&quot;/&gt;&lt;wsp:rsid wsp:val=&quot;45442C68&quot;/&gt;&lt;wsp:rsid wsp:val=&quot;4545710C&quot;/&gt;&lt;wsp:rsid wsp:val=&quot;454676EB&quot;/&gt;&lt;wsp:rsid wsp:val=&quot;45485320&quot;/&gt;&lt;wsp:rsid wsp:val=&quot;454A2974&quot;/&gt;&lt;wsp:rsid wsp:val=&quot;454A41ED&quot;/&gt;&lt;wsp:rsid wsp:val=&quot;454A4722&quot;/&gt;&lt;wsp:rsid wsp:val=&quot;454C1C9B&quot;/&gt;&lt;wsp:rsid wsp:val=&quot;454D5FC1&quot;/&gt;&lt;wsp:rsid wsp:val=&quot;454F1D39&quot;/&gt;&lt;wsp:rsid wsp:val=&quot;4550160D&quot;/&gt;&lt;wsp:rsid wsp:val=&quot;4550785F&quot;/&gt;&lt;wsp:rsid wsp:val=&quot;45521829&quot;/&gt;&lt;wsp:rsid wsp:val=&quot;455235D7&quot;/&gt;&lt;wsp:rsid wsp:val=&quot;455455A1&quot;/&gt;&lt;wsp:rsid wsp:val=&quot;4557176E&quot;/&gt;&lt;wsp:rsid wsp:val=&quot;45575091&quot;/&gt;&lt;wsp:rsid wsp:val=&quot;455810A1&quot;/&gt;&lt;wsp:rsid wsp:val=&quot;45592BB7&quot;/&gt;&lt;wsp:rsid wsp:val=&quot;45594965&quot;/&gt;&lt;wsp:rsid wsp:val=&quot;455C6204&quot;/&gt;&lt;wsp:rsid wsp:val=&quot;455F7AA2&quot;/&gt;&lt;wsp:rsid wsp:val=&quot;45602E63&quot;/&gt;&lt;wsp:rsid wsp:val=&quot;45605CF4&quot;/&gt;&lt;wsp:rsid wsp:val=&quot;45612018&quot;/&gt;&lt;wsp:rsid wsp:val=&quot;4561381A&quot;/&gt;&lt;wsp:rsid wsp:val=&quot;4565155C&quot;/&gt;&lt;wsp:rsid wsp:val=&quot;4565330A&quot;/&gt;&lt;wsp:rsid wsp:val=&quot;456562D4&quot;/&gt;&lt;wsp:rsid wsp:val=&quot;45660E30&quot;/&gt;&lt;wsp:rsid wsp:val=&quot;45682D36&quot;/&gt;&lt;wsp:rsid wsp:val=&quot;456907D5&quot;/&gt;&lt;wsp:rsid wsp:val=&quot;456A6B72&quot;/&gt;&lt;wsp:rsid wsp:val=&quot;456B4699&quot;/&gt;&lt;wsp:rsid wsp:val=&quot;456B6447&quot;/&gt;&lt;wsp:rsid wsp:val=&quot;456D0411&quot;/&gt;&lt;wsp:rsid wsp:val=&quot;456D3FD7&quot;/&gt;&lt;wsp:rsid wsp:val=&quot;45701CAF&quot;/&gt;&lt;wsp:rsid wsp:val=&quot;45717F01&quot;/&gt;&lt;wsp:rsid wsp:val=&quot;45723C79&quot;/&gt;&lt;wsp:rsid wsp:val=&quot;45725A27&quot;/&gt;&lt;wsp:rsid wsp:val=&quot;45737E49&quot;/&gt;&lt;wsp:rsid wsp:val=&quot;457568B8&quot;/&gt;&lt;wsp:rsid wsp:val=&quot;45763769&quot;/&gt;&lt;wsp:rsid wsp:val=&quot;45774DEB&quot;/&gt;&lt;wsp:rsid wsp:val=&quot;45795008&quot;/&gt;&lt;wsp:rsid wsp:val=&quot;457A48DC&quot;/&gt;&lt;wsp:rsid wsp:val=&quot;457B0D80&quot;/&gt;&lt;wsp:rsid wsp:val=&quot;457C68A6&quot;/&gt;&lt;wsp:rsid wsp:val=&quot;457D65BD&quot;/&gt;&lt;wsp:rsid wsp:val=&quot;45835E86&quot;/&gt;&lt;wsp:rsid wsp:val=&quot;45836958&quot;/&gt;&lt;wsp:rsid wsp:val=&quot;45857508&quot;/&gt;&lt;wsp:rsid wsp:val=&quot;458614D2&quot;/&gt;&lt;wsp:rsid wsp:val=&quot;45877724&quot;/&gt;&lt;wsp:rsid wsp:val=&quot;45886FF9&quot;/&gt;&lt;wsp:rsid wsp:val=&quot;458946E9&quot;/&gt;&lt;wsp:rsid wsp:val=&quot;458A0FC3&quot;/&gt;&lt;wsp:rsid wsp:val=&quot;458A2B92&quot;/&gt;&lt;wsp:rsid wsp:val=&quot;458A60D0&quot;/&gt;&lt;wsp:rsid wsp:val=&quot;458D0AB3&quot;/&gt;&lt;wsp:rsid wsp:val=&quot;458F482B&quot;/&gt;&lt;wsp:rsid wsp:val=&quot;45905EAD&quot;/&gt;&lt;wsp:rsid wsp:val=&quot;459531E3&quot;/&gt;&lt;wsp:rsid wsp:val=&quot;45961716&quot;/&gt;&lt;wsp:rsid wsp:val=&quot;45965BB9&quot;/&gt;&lt;wsp:rsid wsp:val=&quot;459806D4&quot;/&gt;&lt;wsp:rsid wsp:val=&quot;45991206&quot;/&gt;&lt;wsp:rsid wsp:val=&quot;459B7055&quot;/&gt;&lt;wsp:rsid wsp:val=&quot;459C3262&quot;/&gt;&lt;wsp:rsid wsp:val=&quot;459D6114&quot;/&gt;&lt;wsp:rsid wsp:val=&quot;459E681C&quot;/&gt;&lt;wsp:rsid wsp:val=&quot;45A04342&quot;/&gt;&lt;wsp:rsid wsp:val=&quot;45A1630C&quot;/&gt;&lt;wsp:rsid wsp:val=&quot;45A2455E&quot;/&gt;&lt;wsp:rsid wsp:val=&quot;45A32084&quot;/&gt;&lt;wsp:rsid wsp:val=&quot;45A33E32&quot;/&gt;&lt;wsp:rsid wsp:val=&quot;45A47C0E&quot;/&gt;&lt;wsp:rsid wsp:val=&quot;45A51959&quot;/&gt;&lt;wsp:rsid wsp:val=&quot;45A60B18&quot;/&gt;&lt;wsp:rsid wsp:val=&quot;45A656D1&quot;/&gt;&lt;wsp:rsid wsp:val=&quot;45A73923&quot;/&gt;&lt;wsp:rsid wsp:val=&quot;45AA6F6F&quot;/&gt;&lt;wsp:rsid wsp:val=&quot;45AB103C&quot;/&gt;&lt;wsp:rsid wsp:val=&quot;45AC5076&quot;/&gt;&lt;wsp:rsid wsp:val=&quot;45AC7FDA&quot;/&gt;&lt;wsp:rsid wsp:val=&quot;45AD4CB1&quot;/&gt;&lt;wsp:rsid wsp:val=&quot;45B0521A&quot;/&gt;&lt;wsp:rsid wsp:val=&quot;45B20519&quot;/&gt;&lt;wsp:rsid wsp:val=&quot;45B253B8&quot;/&gt;&lt;wsp:rsid wsp:val=&quot;45B33B9B&quot;/&gt;&lt;wsp:rsid wsp:val=&quot;45B61DB8&quot;/&gt;&lt;wsp:rsid wsp:val=&quot;45B63C5D&quot;/&gt;&lt;wsp:rsid wsp:val=&quot;45B7168C&quot;/&gt;&lt;wsp:rsid wsp:val=&quot;45B83527&quot;/&gt;&lt;wsp:rsid wsp:val=&quot;45B93656&quot;/&gt;&lt;wsp:rsid wsp:val=&quot;45BB7506&quot;/&gt;&lt;wsp:rsid wsp:val=&quot;45BC4EF4&quot;/&gt;&lt;wsp:rsid wsp:val=&quot;45BE0C6C&quot;/&gt;&lt;wsp:rsid wsp:val=&quot;45BE1D97&quot;/&gt;&lt;wsp:rsid wsp:val=&quot;45C049E4&quot;/&gt;&lt;wsp:rsid wsp:val=&quot;45C1250B&quot;/&gt;&lt;wsp:rsid wsp:val=&quot;45C27617&quot;/&gt;&lt;wsp:rsid wsp:val=&quot;45C30031&quot;/&gt;&lt;wsp:rsid wsp:val=&quot;45C51FFB&quot;/&gt;&lt;wsp:rsid wsp:val=&quot;45C67B21&quot;/&gt;&lt;wsp:rsid wsp:val=&quot;45C74BE2&quot;/&gt;&lt;wsp:rsid wsp:val=&quot;45C85647&quot;/&gt;&lt;wsp:rsid wsp:val=&quot;45CC2A71&quot;/&gt;&lt;wsp:rsid wsp:val=&quot;45CC5137&quot;/&gt;&lt;wsp:rsid wsp:val=&quot;45CE1EE4&quot;/&gt;&lt;wsp:rsid wsp:val=&quot;45CE65E9&quot;/&gt;&lt;wsp:rsid wsp:val=&quot;45CF4C28&quot;/&gt;&lt;wsp:rsid wsp:val=&quot;45D05C94&quot;/&gt;&lt;wsp:rsid wsp:val=&quot;45D109A0&quot;/&gt;&lt;wsp:rsid wsp:val=&quot;45D11363&quot;/&gt;&lt;wsp:rsid wsp:val=&quot;45D3296A&quot;/&gt;&lt;wsp:rsid wsp:val=&quot;45D36916&quot;/&gt;&lt;wsp:rsid wsp:val=&quot;45D4223E&quot;/&gt;&lt;wsp:rsid wsp:val=&quot;45D50534&quot;/&gt;&lt;wsp:rsid wsp:val=&quot;45DB35CC&quot;/&gt;&lt;wsp:rsid wsp:val=&quot;45DC10F2&quot;/&gt;&lt;wsp:rsid wsp:val=&quot;45E00BE3&quot;/&gt;&lt;wsp:rsid wsp:val=&quot;45E05789&quot;/&gt;&lt;wsp:rsid wsp:val=&quot;45E06E35&quot;/&gt;&lt;wsp:rsid wsp:val=&quot;45E16709&quot;/&gt;&lt;wsp:rsid wsp:val=&quot;45E32481&quot;/&gt;&lt;wsp:rsid wsp:val=&quot;45E36925&quot;/&gt;&lt;wsp:rsid wsp:val=&quot;45E5269D&quot;/&gt;&lt;wsp:rsid wsp:val=&quot;45E54074&quot;/&gt;&lt;wsp:rsid wsp:val=&quot;45E66D43&quot;/&gt;&lt;wsp:rsid wsp:val=&quot;45E701C3&quot;/&gt;&lt;wsp:rsid wsp:val=&quot;45E71F71&quot;/&gt;&lt;wsp:rsid wsp:val=&quot;45E83F3B&quot;/&gt;&lt;wsp:rsid wsp:val=&quot;45E85CE9&quot;/&gt;&lt;wsp:rsid wsp:val=&quot;45EA380F&quot;/&gt;&lt;wsp:rsid wsp:val=&quot;45EC3A2B&quot;/&gt;&lt;wsp:rsid wsp:val=&quot;45EC7588&quot;/&gt;&lt;wsp:rsid wsp:val=&quot;45ED3300&quot;/&gt;&lt;wsp:rsid wsp:val=&quot;45ED50AE&quot;/&gt;&lt;wsp:rsid wsp:val=&quot;45EF6775&quot;/&gt;&lt;wsp:rsid wsp:val=&quot;45F045C8&quot;/&gt;&lt;wsp:rsid wsp:val=&quot;45F14B9E&quot;/&gt;&lt;wsp:rsid wsp:val=&quot;45F34DBA&quot;/&gt;&lt;wsp:rsid wsp:val=&quot;45F5776D&quot;/&gt;&lt;wsp:rsid wsp:val=&quot;45F60406&quot;/&gt;&lt;wsp:rsid wsp:val=&quot;45F6092E&quot;/&gt;&lt;wsp:rsid wsp:val=&quot;45F72FC7&quot;/&gt;&lt;wsp:rsid wsp:val=&quot;45F8347B&quot;/&gt;&lt;wsp:rsid wsp:val=&quot;45F94EA0&quot;/&gt;&lt;wsp:rsid wsp:val=&quot;45F96148&quot;/&gt;&lt;wsp:rsid wsp:val=&quot;45F97EF6&quot;/&gt;&lt;wsp:rsid wsp:val=&quot;45FC3543&quot;/&gt;&lt;wsp:rsid wsp:val=&quot;45FD1795&quot;/&gt;&lt;wsp:rsid wsp:val=&quot;45FD79E7&quot;/&gt;&lt;wsp:rsid wsp:val=&quot;45FE72BB&quot;/&gt;&lt;wsp:rsid wsp:val=&quot;45FF375F&quot;/&gt;&lt;wsp:rsid wsp:val=&quot;46003033&quot;/&gt;&lt;wsp:rsid wsp:val=&quot;46041FB3&quot;/&gt;&lt;wsp:rsid wsp:val=&quot;46043AE9&quot;/&gt;&lt;wsp:rsid wsp:val=&quot;46051A85&quot;/&gt;&lt;wsp:rsid wsp:val=&quot;46054AED&quot;/&gt;&lt;wsp:rsid wsp:val=&quot;46072075&quot;/&gt;&lt;wsp:rsid wsp:val=&quot;46072613&quot;/&gt;&lt;wsp:rsid wsp:val=&quot;4609638B&quot;/&gt;&lt;wsp:rsid wsp:val=&quot;460A2104&quot;/&gt;&lt;wsp:rsid wsp:val=&quot;460A3EB2&quot;/&gt;&lt;wsp:rsid wsp:val=&quot;460D5750&quot;/&gt;&lt;wsp:rsid wsp:val=&quot;460F3276&quot;/&gt;&lt;wsp:rsid wsp:val=&quot;4610515E&quot;/&gt;&lt;wsp:rsid wsp:val=&quot;46113492&quot;/&gt;&lt;wsp:rsid wsp:val=&quot;461355D4&quot;/&gt;&lt;wsp:rsid wsp:val=&quot;461455F8&quot;/&gt;&lt;wsp:rsid wsp:val=&quot;46160AA8&quot;/&gt;&lt;wsp:rsid wsp:val=&quot;46177DFD&quot;/&gt;&lt;wsp:rsid wsp:val=&quot;46182FF9&quot;/&gt;&lt;wsp:rsid wsp:val=&quot;46195EA3&quot;/&gt;&lt;wsp:rsid wsp:val=&quot;461A0599&quot;/&gt;&lt;wsp:rsid wsp:val=&quot;461B1C1B&quot;/&gt;&lt;wsp:rsid wsp:val=&quot;461B34AE&quot;/&gt;&lt;wsp:rsid wsp:val=&quot;461D098F&quot;/&gt;&lt;wsp:rsid wsp:val=&quot;461D3BE5&quot;/&gt;&lt;wsp:rsid wsp:val=&quot;461D4A77&quot;/&gt;&lt;wsp:rsid wsp:val=&quot;461E170B&quot;/&gt;&lt;wsp:rsid wsp:val=&quot;461F4288&quot;/&gt;&lt;wsp:rsid wsp:val=&quot;462036D5&quot;/&gt;&lt;wsp:rsid wsp:val=&quot;46214329&quot;/&gt;&lt;wsp:rsid wsp:val=&quot;46216A5D&quot;/&gt;&lt;wsp:rsid wsp:val=&quot;46236D21&quot;/&gt;&lt;wsp:rsid wsp:val=&quot;46237C42&quot;/&gt;&lt;wsp:rsid wsp:val=&quot;46244B90&quot;/&gt;&lt;wsp:rsid wsp:val=&quot;46244F73&quot;/&gt;&lt;wsp:rsid wsp:val=&quot;46250CEB&quot;/&gt;&lt;wsp:rsid wsp:val=&quot;46252A99&quot;/&gt;&lt;wsp:rsid wsp:val=&quot;46284338&quot;/&gt;&lt;wsp:rsid wsp:val=&quot;4629258A&quot;/&gt;&lt;wsp:rsid wsp:val=&quot;46293F7E&quot;/&gt;&lt;wsp:rsid wsp:val=&quot;462C207A&quot;/&gt;&lt;wsp:rsid wsp:val=&quot;462C3E28&quot;/&gt;&lt;wsp:rsid wsp:val=&quot;462C5651&quot;/&gt;&lt;wsp:rsid wsp:val=&quot;462E5DF2&quot;/&gt;&lt;wsp:rsid wsp:val=&quot;46326F64&quot;/&gt;&lt;wsp:rsid wsp:val=&quot;46330353&quot;/&gt;&lt;wsp:rsid wsp:val=&quot;46340F2E&quot;/&gt;&lt;wsp:rsid wsp:val=&quot;46362EF9&quot;/&gt;&lt;wsp:rsid wsp:val=&quot;463827CD&quot;/&gt;&lt;wsp:rsid wsp:val=&quot;46386C71&quot;/&gt;&lt;wsp:rsid wsp:val=&quot;463902F3&quot;/&gt;&lt;wsp:rsid wsp:val=&quot;463A66B6&quot;/&gt;&lt;wsp:rsid wsp:val=&quot;463B374C&quot;/&gt;&lt;wsp:rsid wsp:val=&quot;463D7DE3&quot;/&gt;&lt;wsp:rsid wsp:val=&quot;463F7FFF&quot;/&gt;&lt;wsp:rsid wsp:val=&quot;46401681&quot;/&gt;&lt;wsp:rsid wsp:val=&quot;464078D3&quot;/&gt;&lt;wsp:rsid wsp:val=&quot;46411F54&quot;/&gt;&lt;wsp:rsid wsp:val=&quot;4641371F&quot;/&gt;&lt;wsp:rsid wsp:val=&quot;464253F9&quot;/&gt;&lt;wsp:rsid wsp:val=&quot;46431172&quot;/&gt;&lt;wsp:rsid wsp:val=&quot;46433032&quot;/&gt;&lt;wsp:rsid wsp:val=&quot;46443C20&quot;/&gt;&lt;wsp:rsid wsp:val=&quot;464529FA&quot;/&gt;&lt;wsp:rsid wsp:val=&quot;46456690&quot;/&gt;&lt;wsp:rsid wsp:val=&quot;46456C98&quot;/&gt;&lt;wsp:rsid wsp:val=&quot;46472A10&quot;/&gt;&lt;wsp:rsid wsp:val=&quot;46491E27&quot;/&gt;&lt;wsp:rsid wsp:val=&quot;464B69A4&quot;/&gt;&lt;wsp:rsid wsp:val=&quot;464C1EC6&quot;/&gt;&lt;wsp:rsid wsp:val=&quot;464C40B9&quot;/&gt;&lt;wsp:rsid wsp:val=&quot;464C6278&quot;/&gt;&lt;wsp:rsid wsp:val=&quot;464F7B16&quot;/&gt;&lt;wsp:rsid wsp:val=&quot;4651388E&quot;/&gt;&lt;wsp:rsid wsp:val=&quot;46522ED9&quot;/&gt;&lt;wsp:rsid wsp:val=&quot;46535859&quot;/&gt;&lt;wsp:rsid wsp:val=&quot;46537607&quot;/&gt;&lt;wsp:rsid wsp:val=&quot;4654337F&quot;/&gt;&lt;wsp:rsid wsp:val=&quot;465515D1&quot;/&gt;&lt;wsp:rsid wsp:val=&quot;46560EA5&quot;/&gt;&lt;wsp:rsid wsp:val=&quot;46577FD6&quot;/&gt;&lt;wsp:rsid wsp:val=&quot;4658048C&quot;/&gt;&lt;wsp:rsid wsp:val=&quot;4658424C&quot;/&gt;&lt;wsp:rsid wsp:val=&quot;465A6BE7&quot;/&gt;&lt;wsp:rsid wsp:val=&quot;465D0485&quot;/&gt;&lt;wsp:rsid wsp:val=&quot;465D66D7&quot;/&gt;&lt;wsp:rsid wsp:val=&quot;465E7D59&quot;/&gt;&lt;wsp:rsid wsp:val=&quot;465F64D2&quot;/&gt;&lt;wsp:rsid wsp:val=&quot;466000AE&quot;/&gt;&lt;wsp:rsid wsp:val=&quot;46603AD2&quot;/&gt;&lt;wsp:rsid wsp:val=&quot;46626FDF&quot;/&gt;&lt;wsp:rsid wsp:val=&quot;4665733A&quot;/&gt;&lt;wsp:rsid wsp:val=&quot;466678B4&quot;/&gt;&lt;wsp:rsid wsp:val=&quot;466753B0&quot;/&gt;&lt;wsp:rsid wsp:val=&quot;46686E80&quot;/&gt;&lt;wsp:rsid wsp:val=&quot;4669507C&quot;/&gt;&lt;wsp:rsid wsp:val=&quot;466E4440&quot;/&gt;&lt;wsp:rsid wsp:val=&quot;466F1F67&quot;/&gt;&lt;wsp:rsid wsp:val=&quot;46713F31&quot;/&gt;&lt;wsp:rsid wsp:val=&quot;46717A8D&quot;/&gt;&lt;wsp:rsid wsp:val=&quot;46736733&quot;/&gt;&lt;wsp:rsid wsp:val=&quot;46737CA9&quot;/&gt;&lt;wsp:rsid wsp:val=&quot;46743F17&quot;/&gt;&lt;wsp:rsid wsp:val=&quot;467746C1&quot;/&gt;&lt;wsp:rsid wsp:val=&quot;4678706D&quot;/&gt;&lt;wsp:rsid wsp:val=&quot;467B090B&quot;/&gt;&lt;wsp:rsid wsp:val=&quot;467B6B5D&quot;/&gt;&lt;wsp:rsid wsp:val=&quot;467D28D5&quot;/&gt;&lt;wsp:rsid wsp:val=&quot;467D4684&quot;/&gt;&lt;wsp:rsid wsp:val=&quot;467F1EF6&quot;/&gt;&lt;wsp:rsid wsp:val=&quot;467F3895&quot;/&gt;&lt;wsp:rsid wsp:val=&quot;46821FB8&quot;/&gt;&lt;wsp:rsid wsp:val=&quot;46826B34&quot;/&gt;&lt;wsp:rsid wsp:val=&quot;46845A12&quot;/&gt;&lt;wsp:rsid wsp:val=&quot;4685178A&quot;/&gt;&lt;wsp:rsid wsp:val=&quot;46873259&quot;/&gt;&lt;wsp:rsid wsp:val=&quot;46875502&quot;/&gt;&lt;wsp:rsid wsp:val=&quot;468A0B4E&quot;/&gt;&lt;wsp:rsid wsp:val=&quot;468A6DA0&quot;/&gt;&lt;wsp:rsid wsp:val=&quot;468B4FF2&quot;/&gt;&lt;wsp:rsid wsp:val=&quot;468C0D6B&quot;/&gt;&lt;wsp:rsid wsp:val=&quot;468E26B7&quot;/&gt;&lt;wsp:rsid wsp:val=&quot;468F3F4B&quot;/&gt;&lt;wsp:rsid wsp:val=&quot;4690193B&quot;/&gt;&lt;wsp:rsid wsp:val=&quot;46911EDD&quot;/&gt;&lt;wsp:rsid wsp:val=&quot;46916381&quot;/&gt;&lt;wsp:rsid wsp:val=&quot;46924BB5&quot;/&gt;&lt;wsp:rsid wsp:val=&quot;469320F9&quot;/&gt;&lt;wsp:rsid wsp:val=&quot;46955E71&quot;/&gt;&lt;wsp:rsid wsp:val=&quot;46957C1F&quot;/&gt;&lt;wsp:rsid wsp:val=&quot;46965745&quot;/&gt;&lt;wsp:rsid wsp:val=&quot;46976FD7&quot;/&gt;&lt;wsp:rsid wsp:val=&quot;469814BD&quot;/&gt;&lt;wsp:rsid wsp:val=&quot;469A3487&quot;/&gt;&lt;wsp:rsid wsp:val=&quot;469A6FE4&quot;/&gt;&lt;wsp:rsid wsp:val=&quot;469B2D5C&quot;/&gt;&lt;wsp:rsid wsp:val=&quot;469C7200&quot;/&gt;&lt;wsp:rsid wsp:val=&quot;469D547F&quot;/&gt;&lt;wsp:rsid wsp:val=&quot;469F0A9E&quot;/&gt;&lt;wsp:rsid wsp:val=&quot;469F284C&quot;/&gt;&lt;wsp:rsid wsp:val=&quot;46A165C4&quot;/&gt;&lt;wsp:rsid wsp:val=&quot;46A2058E&quot;/&gt;&lt;wsp:rsid wsp:val=&quot;46A42781&quot;/&gt;&lt;wsp:rsid wsp:val=&quot;46A43A10&quot;/&gt;&lt;wsp:rsid wsp:val=&quot;46A460B4&quot;/&gt;&lt;wsp:rsid wsp:val=&quot;46A667E2&quot;/&gt;&lt;wsp:rsid wsp:val=&quot;46A870E2&quot;/&gt;&lt;wsp:rsid wsp:val=&quot;46AA2F9F&quot;/&gt;&lt;wsp:rsid wsp:val=&quot;46AB11F1&quot;/&gt;&lt;wsp:rsid wsp:val=&quot;46AC09B4&quot;/&gt;&lt;wsp:rsid wsp:val=&quot;46AC31BB&quot;/&gt;&lt;wsp:rsid wsp:val=&quot;46AD4F74&quot;/&gt;&lt;wsp:rsid wsp:val=&quot;46AE0CE1&quot;/&gt;&lt;wsp:rsid wsp:val=&quot;46AE6F33&quot;/&gt;&lt;wsp:rsid wsp:val=&quot;46B1432D&quot;/&gt;&lt;wsp:rsid wsp:val=&quot;46B207D1&quot;/&gt;&lt;wsp:rsid wsp:val=&quot;46B300A5&quot;/&gt;&lt;wsp:rsid wsp:val=&quot;46B30DE6&quot;/&gt;&lt;wsp:rsid wsp:val=&quot;46B502C1&quot;/&gt;&lt;wsp:rsid wsp:val=&quot;46B662D7&quot;/&gt;&lt;wsp:rsid wsp:val=&quot;46B837C8&quot;/&gt;&lt;wsp:rsid wsp:val=&quot;46B856BC&quot;/&gt;&lt;wsp:rsid wsp:val=&quot;46B97E5C&quot;/&gt;&lt;wsp:rsid wsp:val=&quot;46BA1434&quot;/&gt;&lt;wsp:rsid wsp:val=&quot;46BA7686&quot;/&gt;&lt;wsp:rsid wsp:val=&quot;46BB2149&quot;/&gt;&lt;wsp:rsid wsp:val=&quot;46BB51AC&quot;/&gt;&lt;wsp:rsid wsp:val=&quot;46BD2CD2&quot;/&gt;&lt;wsp:rsid wsp:val=&quot;46C1798A&quot;/&gt;&lt;wsp:rsid wsp:val=&quot;46C329DE&quot;/&gt;&lt;wsp:rsid wsp:val=&quot;46C44060&quot;/&gt;&lt;wsp:rsid wsp:val=&quot;46C73B51&quot;/&gt;&lt;wsp:rsid wsp:val=&quot;46C95B1B&quot;/&gt;&lt;wsp:rsid wsp:val=&quot;46CA3DCA&quot;/&gt;&lt;wsp:rsid wsp:val=&quot;46CB1C3E&quot;/&gt;&lt;wsp:rsid wsp:val=&quot;46CC73B9&quot;/&gt;&lt;wsp:rsid wsp:val=&quot;46CE59EE&quot;/&gt;&lt;wsp:rsid wsp:val=&quot;46CF7A29&quot;/&gt;&lt;wsp:rsid wsp:val=&quot;46D024D7&quot;/&gt;&lt;wsp:rsid wsp:val=&quot;46D06EA9&quot;/&gt;&lt;wsp:rsid wsp:val=&quot;46D22C21&quot;/&gt;&lt;wsp:rsid wsp:val=&quot;46D30747&quot;/&gt;&lt;wsp:rsid wsp:val=&quot;46D324F5&quot;/&gt;&lt;wsp:rsid wsp:val=&quot;46D5626E&quot;/&gt;&lt;wsp:rsid wsp:val=&quot;46D85D5E&quot;/&gt;&lt;wsp:rsid wsp:val=&quot;46D869EF&quot;/&gt;&lt;wsp:rsid wsp:val=&quot;46D955A7&quot;/&gt;&lt;wsp:rsid wsp:val=&quot;46DA56D2&quot;/&gt;&lt;wsp:rsid wsp:val=&quot;46DA7D28&quot;/&gt;&lt;wsp:rsid wsp:val=&quot;46DC75FC&quot;/&gt;&lt;wsp:rsid wsp:val=&quot;46DD15C6&quot;/&gt;&lt;wsp:rsid wsp:val=&quot;46DD3374&quot;/&gt;&lt;wsp:rsid wsp:val=&quot;46DF533E&quot;/&gt;&lt;wsp:rsid wsp:val=&quot;46E26BDC&quot;/&gt;&lt;wsp:rsid wsp:val=&quot;46E42955&quot;/&gt;&lt;wsp:rsid wsp:val=&quot;46E44703&quot;/&gt;&lt;wsp:rsid wsp:val=&quot;46E62229&quot;/&gt;&lt;wsp:rsid wsp:val=&quot;46E82445&quot;/&gt;&lt;wsp:rsid wsp:val=&quot;46E91D19&quot;/&gt;&lt;wsp:rsid wsp:val=&quot;46E97F6B&quot;/&gt;&lt;wsp:rsid wsp:val=&quot;46ED1809&quot;/&gt;&lt;wsp:rsid wsp:val=&quot;46EE37D3&quot;/&gt;&lt;wsp:rsid wsp:val=&quot;46EF3AAF&quot;/&gt;&lt;wsp:rsid wsp:val=&quot;46EF465A&quot;/&gt;&lt;wsp:rsid wsp:val=&quot;46F012F9&quot;/&gt;&lt;wsp:rsid wsp:val=&quot;46F04E55&quot;/&gt;&lt;wsp:rsid wsp:val=&quot;46F10BCE&quot;/&gt;&lt;wsp:rsid wsp:val=&quot;46F226BA&quot;/&gt;&lt;wsp:rsid wsp:val=&quot;46F25071&quot;/&gt;&lt;wsp:rsid wsp:val=&quot;46F34946&quot;/&gt;&lt;wsp:rsid wsp:val=&quot;46F414DE&quot;/&gt;&lt;wsp:rsid wsp:val=&quot;46F506BE&quot;/&gt;&lt;wsp:rsid wsp:val=&quot;46F5246C&quot;/&gt;&lt;wsp:rsid wsp:val=&quot;46F6376A&quot;/&gt;&lt;wsp:rsid wsp:val=&quot;46F929EF&quot;/&gt;&lt;wsp:rsid wsp:val=&quot;46F96531&quot;/&gt;&lt;wsp:rsid wsp:val=&quot;46FA3F26&quot;/&gt;&lt;wsp:rsid wsp:val=&quot;46FE1134&quot;/&gt;&lt;wsp:rsid wsp:val=&quot;46FF32EA&quot;/&gt;&lt;wsp:rsid wsp:val=&quot;47017063&quot;/&gt;&lt;wsp:rsid wsp:val=&quot;4702423B&quot;/&gt;&lt;wsp:rsid wsp:val=&quot;4703462D&quot;/&gt;&lt;wsp:rsid wsp:val=&quot;4708700F&quot;/&gt;&lt;wsp:rsid wsp:val=&quot;47095F17&quot;/&gt;&lt;wsp:rsid wsp:val=&quot;470C5990&quot;/&gt;&lt;wsp:rsid wsp:val=&quot;470D6698&quot;/&gt;&lt;wsp:rsid wsp:val=&quot;471072A6&quot;/&gt;&lt;wsp:rsid wsp:val=&quot;47121270&quot;/&gt;&lt;wsp:rsid wsp:val=&quot;47133957&quot;/&gt;&lt;wsp:rsid wsp:val=&quot;47152B0E&quot;/&gt;&lt;wsp:rsid wsp:val=&quot;471548BC&quot;/&gt;&lt;wsp:rsid wsp:val=&quot;471A1424&quot;/&gt;&lt;wsp:rsid wsp:val=&quot;471A6376&quot;/&gt;&lt;wsp:rsid wsp:val=&quot;471D4641&quot;/&gt;&lt;wsp:rsid wsp:val=&quot;471F573B&quot;/&gt;&lt;wsp:rsid wsp:val=&quot;47206C0E&quot;/&gt;&lt;wsp:rsid wsp:val=&quot;47215957&quot;/&gt;&lt;wsp:rsid wsp:val=&quot;47217705&quot;/&gt;&lt;wsp:rsid wsp:val=&quot;4723347D&quot;/&gt;&lt;wsp:rsid wsp:val=&quot;47264693&quot;/&gt;&lt;wsp:rsid wsp:val=&quot;47280A93&quot;/&gt;&lt;wsp:rsid wsp:val=&quot;4729480B&quot;/&gt;&lt;wsp:rsid wsp:val=&quot;472965B9&quot;/&gt;&lt;wsp:rsid wsp:val=&quot;472B2331&quot;/&gt;&lt;wsp:rsid wsp:val=&quot;472D789A&quot;/&gt;&lt;wsp:rsid wsp:val=&quot;472E1FF1&quot;/&gt;&lt;wsp:rsid wsp:val=&quot;472E3BD0&quot;/&gt;&lt;wsp:rsid wsp:val=&quot;472E597E&quot;/&gt;&lt;wsp:rsid wsp:val=&quot;472F1E22&quot;/&gt;&lt;wsp:rsid wsp:val=&quot;47322C84&quot;/&gt;&lt;wsp:rsid wsp:val=&quot;473311E6&quot;/&gt;&lt;wsp:rsid wsp:val=&quot;473342A0&quot;/&gt;&lt;wsp:rsid wsp:val=&quot;473347E2&quot;/&gt;&lt;wsp:rsid wsp:val=&quot;47370CD6&quot;/&gt;&lt;wsp:rsid wsp:val=&quot;47392CA0&quot;/&gt;&lt;wsp:rsid wsp:val=&quot;47394A4E&quot;/&gt;&lt;wsp:rsid wsp:val=&quot;473C60FA&quot;/&gt;&lt;wsp:rsid wsp:val=&quot;473C62ED&quot;/&gt;&lt;wsp:rsid wsp:val=&quot;473D3E13&quot;/&gt;&lt;wsp:rsid wsp:val=&quot;473E02B7&quot;/&gt;&lt;wsp:rsid wsp:val=&quot;473F7B8B&quot;/&gt;&lt;wsp:rsid wsp:val=&quot;47411B55&quot;/&gt;&lt;wsp:rsid wsp:val=&quot;47413903&quot;/&gt;&lt;wsp:rsid wsp:val=&quot;474170A0&quot;/&gt;&lt;wsp:rsid wsp:val=&quot;47421D71&quot;/&gt;&lt;wsp:rsid wsp:val=&quot;47431AC0&quot;/&gt;&lt;wsp:rsid wsp:val=&quot;474433F3&quot;/&gt;&lt;wsp:rsid wsp:val=&quot;47455B21&quot;/&gt;&lt;wsp:rsid wsp:val=&quot;47462CC7&quot;/&gt;&lt;wsp:rsid wsp:val=&quot;4746504B&quot;/&gt;&lt;wsp:rsid wsp:val=&quot;47484C91&quot;/&gt;&lt;wsp:rsid wsp:val=&quot;47486A40&quot;/&gt;&lt;wsp:rsid wsp:val=&quot;47493412&quot;/&gt;&lt;wsp:rsid wsp:val=&quot;474A0C9A&quot;/&gt;&lt;wsp:rsid wsp:val=&quot;474B4782&quot;/&gt;&lt;wsp:rsid wsp:val=&quot;474D04FA&quot;/&gt;&lt;wsp:rsid wsp:val=&quot;474D4056&quot;/&gt;&lt;wsp:rsid wsp:val=&quot;474D674C&quot;/&gt;&lt;wsp:rsid wsp:val=&quot;474E6020&quot;/&gt;&lt;wsp:rsid wsp:val=&quot;474E7DCE&quot;/&gt;&lt;wsp:rsid wsp:val=&quot;474F17A4&quot;/&gt;&lt;wsp:rsid wsp:val=&quot;47501D98&quot;/&gt;&lt;wsp:rsid wsp:val=&quot;475028AA&quot;/&gt;&lt;wsp:rsid wsp:val=&quot;47507FEA&quot;/&gt;&lt;wsp:rsid wsp:val=&quot;47520BF7&quot;/&gt;&lt;wsp:rsid wsp:val=&quot;47525B10&quot;/&gt;&lt;wsp:rsid wsp:val=&quot;475353E4&quot;/&gt;&lt;wsp:rsid wsp:val=&quot;47541888&quot;/&gt;&lt;wsp:rsid wsp:val=&quot;4755115C&quot;/&gt;&lt;wsp:rsid wsp:val=&quot;475573AE&quot;/&gt;&lt;wsp:rsid wsp:val=&quot;47573126&quot;/&gt;&lt;wsp:rsid wsp:val=&quot;475950F1&quot;/&gt;&lt;wsp:rsid wsp:val=&quot;475A2C17&quot;/&gt;&lt;wsp:rsid wsp:val=&quot;475A49C5&quot;/&gt;&lt;wsp:rsid wsp:val=&quot;475B3B2E&quot;/&gt;&lt;wsp:rsid wsp:val=&quot;475B4A3F&quot;/&gt;&lt;wsp:rsid wsp:val=&quot;475C073D&quot;/&gt;&lt;wsp:rsid wsp:val=&quot;475F022D&quot;/&gt;&lt;wsp:rsid wsp:val=&quot;476051A1&quot;/&gt;&lt;wsp:rsid wsp:val=&quot;47625049&quot;/&gt;&lt;wsp:rsid wsp:val=&quot;47653A95&quot;/&gt;&lt;wsp:rsid wsp:val=&quot;47655843&quot;/&gt;&lt;wsp:rsid wsp:val=&quot;47657987&quot;/&gt;&lt;wsp:rsid wsp:val=&quot;476725FC&quot;/&gt;&lt;wsp:rsid wsp:val=&quot;47677A2B&quot;/&gt;&lt;wsp:rsid wsp:val=&quot;47680E90&quot;/&gt;&lt;wsp:rsid wsp:val=&quot;476B0980&quot;/&gt;&lt;wsp:rsid wsp:val=&quot;476B6BD2&quot;/&gt;&lt;wsp:rsid wsp:val=&quot;476D64A6&quot;/&gt;&lt;wsp:rsid wsp:val=&quot;476E221E&quot;/&gt;&lt;wsp:rsid wsp:val=&quot;476F33F5&quot;/&gt;&lt;wsp:rsid wsp:val=&quot;477041E8&quot;/&gt;&lt;wsp:rsid wsp:val=&quot;47705F96&quot;/&gt;&lt;wsp:rsid wsp:val=&quot;47724B3E&quot;/&gt;&lt;wsp:rsid wsp:val=&quot;47727F60&quot;/&gt;&lt;wsp:rsid wsp:val=&quot;477305A8&quot;/&gt;&lt;wsp:rsid wsp:val=&quot;47733EF6&quot;/&gt;&lt;wsp:rsid wsp:val=&quot;47737835&quot;/&gt;&lt;wsp:rsid wsp:val=&quot;4774202F&quot;/&gt;&lt;wsp:rsid wsp:val=&quot;47745A86&quot;/&gt;&lt;wsp:rsid wsp:val=&quot;477517FF&quot;/&gt;&lt;wsp:rsid wsp:val=&quot;477737C9&quot;/&gt;&lt;wsp:rsid wsp:val=&quot;47777325&quot;/&gt;&lt;wsp:rsid wsp:val=&quot;477809B0&quot;/&gt;&lt;wsp:rsid wsp:val=&quot;477912EF&quot;/&gt;&lt;wsp:rsid wsp:val=&quot;477C0DDF&quot;/&gt;&lt;wsp:rsid wsp:val=&quot;477C4A30&quot;/&gt;&lt;wsp:rsid wsp:val=&quot;477E06B3&quot;/&gt;&lt;wsp:rsid wsp:val=&quot;477E4B57&quot;/&gt;&lt;wsp:rsid wsp:val=&quot;477E6905&quot;/&gt;&lt;wsp:rsid wsp:val=&quot;4780267D&quot;/&gt;&lt;wsp:rsid wsp:val=&quot;478101A3&quot;/&gt;&lt;wsp:rsid wsp:val=&quot;47863A0C&quot;/&gt;&lt;wsp:rsid wsp:val=&quot;47880006&quot;/&gt;&lt;wsp:rsid wsp:val=&quot;47881532&quot;/&gt;&lt;wsp:rsid wsp:val=&quot;478832E0&quot;/&gt;&lt;wsp:rsid wsp:val=&quot;47886D63&quot;/&gt;&lt;wsp:rsid wsp:val=&quot;478A7058&quot;/&gt;&lt;wsp:rsid wsp:val=&quot;478C6B89&quot;/&gt;&lt;wsp:rsid wsp:val=&quot;478C7274&quot;/&gt;&lt;wsp:rsid wsp:val=&quot;478D08F6&quot;/&gt;&lt;wsp:rsid wsp:val=&quot;478D4D9A&quot;/&gt;&lt;wsp:rsid wsp:val=&quot;478E083F&quot;/&gt;&lt;wsp:rsid wsp:val=&quot;4791016B&quot;/&gt;&lt;wsp:rsid wsp:val=&quot;4791488A&quot;/&gt;&lt;wsp:rsid wsp:val=&quot;479229E6&quot;/&gt;&lt;wsp:rsid wsp:val=&quot;47936A47&quot;/&gt;&lt;wsp:rsid wsp:val=&quot;47947ED7&quot;/&gt;&lt;wsp:rsid wsp:val=&quot;47960B0B&quot;/&gt;&lt;wsp:rsid wsp:val=&quot;479954ED&quot;/&gt;&lt;wsp:rsid wsp:val=&quot;479C4FDD&quot;/&gt;&lt;wsp:rsid wsp:val=&quot;479E6FA7&quot;/&gt;&lt;wsp:rsid wsp:val=&quot;479F21BB&quot;/&gt;&lt;wsp:rsid wsp:val=&quot;47A04ACD&quot;/&gt;&lt;wsp:rsid wsp:val=&quot;47A07767&quot;/&gt;&lt;wsp:rsid wsp:val=&quot;47A07E0C&quot;/&gt;&lt;wsp:rsid wsp:val=&quot;47A50787&quot;/&gt;&lt;wsp:rsid wsp:val=&quot;47A520E4&quot;/&gt;&lt;wsp:rsid wsp:val=&quot;47A53E92&quot;/&gt;&lt;wsp:rsid wsp:val=&quot;47A57DF6&quot;/&gt;&lt;wsp:rsid wsp:val=&quot;47A619B8&quot;/&gt;&lt;wsp:rsid wsp:val=&quot;47A67C0A&quot;/&gt;&lt;wsp:rsid wsp:val=&quot;47AC1C93&quot;/&gt;&lt;wsp:rsid wsp:val=&quot;47AD2D46&quot;/&gt;&lt;wsp:rsid wsp:val=&quot;47B10B40&quot;/&gt;&lt;wsp:rsid wsp:val=&quot;47B142B4&quot;/&gt;&lt;wsp:rsid wsp:val=&quot;47B57E4D&quot;/&gt;&lt;wsp:rsid wsp:val=&quot;47B61DE1&quot;/&gt;&lt;wsp:rsid wsp:val=&quot;47B71E17&quot;/&gt;&lt;wsp:rsid wsp:val=&quot;47B73271&quot;/&gt;&lt;wsp:rsid wsp:val=&quot;47B75973&quot;/&gt;&lt;wsp:rsid wsp:val=&quot;47B916EB&quot;/&gt;&lt;wsp:rsid wsp:val=&quot;47B91EA3&quot;/&gt;&lt;wsp:rsid wsp:val=&quot;47B95B8F&quot;/&gt;&lt;wsp:rsid wsp:val=&quot;47BA1BF2&quot;/&gt;&lt;wsp:rsid wsp:val=&quot;47BA5463&quot;/&gt;&lt;wsp:rsid wsp:val=&quot;47BB36B5&quot;/&gt;&lt;wsp:rsid wsp:val=&quot;47BE0573&quot;/&gt;&lt;wsp:rsid wsp:val=&quot;47BE31A6&quot;/&gt;&lt;wsp:rsid wsp:val=&quot;47BE4F54&quot;/&gt;&lt;wsp:rsid wsp:val=&quot;47BE6D02&quot;/&gt;&lt;wsp:rsid wsp:val=&quot;47C02A7A&quot;/&gt;&lt;wsp:rsid wsp:val=&quot;47C05087&quot;/&gt;&lt;wsp:rsid wsp:val=&quot;47C167F2&quot;/&gt;&lt;wsp:rsid wsp:val=&quot;47C22C96&quot;/&gt;&lt;wsp:rsid wsp:val=&quot;47C307BC&quot;/&gt;&lt;wsp:rsid wsp:val=&quot;47C562E2&quot;/&gt;&lt;wsp:rsid wsp:val=&quot;47C642A9&quot;/&gt;&lt;wsp:rsid wsp:val=&quot;47C85DD2&quot;/&gt;&lt;wsp:rsid wsp:val=&quot;47CA1B4A&quot;/&gt;&lt;wsp:rsid wsp:val=&quot;47CA38F8&quot;/&gt;&lt;wsp:rsid wsp:val=&quot;47CA56A6&quot;/&gt;&lt;wsp:rsid wsp:val=&quot;47CB7671&quot;/&gt;&lt;wsp:rsid wsp:val=&quot;47CD2888&quot;/&gt;&lt;wsp:rsid wsp:val=&quot;47CF7161&quot;/&gt;&lt;wsp:rsid wsp:val=&quot;47D06A35&quot;/&gt;&lt;wsp:rsid wsp:val=&quot;47D12ED9&quot;/&gt;&lt;wsp:rsid wsp:val=&quot;47D2404C&quot;/&gt;&lt;wsp:rsid wsp:val=&quot;47D260BE&quot;/&gt;&lt;wsp:rsid wsp:val=&quot;47D429C9&quot;/&gt;&lt;wsp:rsid wsp:val=&quot;47D72EE0&quot;/&gt;&lt;wsp:rsid wsp:val=&quot;47D74267&quot;/&gt;&lt;wsp:rsid wsp:val=&quot;47DA1733&quot;/&gt;&lt;wsp:rsid wsp:val=&quot;47DB78B4&quot;/&gt;&lt;wsp:rsid wsp:val=&quot;47DC187E&quot;/&gt;&lt;wsp:rsid wsp:val=&quot;47DC1884&quot;/&gt;&lt;wsp:rsid wsp:val=&quot;47DE73A4&quot;/&gt;&lt;wsp:rsid wsp:val=&quot;47E0136E&quot;/&gt;&lt;wsp:rsid wsp:val=&quot;47E515E0&quot;/&gt;&lt;wsp:rsid wsp:val=&quot;47E524E0&quot;/&gt;&lt;wsp:rsid wsp:val=&quot;47E56984&quot;/&gt;&lt;wsp:rsid wsp:val=&quot;47E66258&quot;/&gt;&lt;wsp:rsid wsp:val=&quot;47E744AA&quot;/&gt;&lt;wsp:rsid wsp:val=&quot;47E80223&quot;/&gt;&lt;wsp:rsid wsp:val=&quot;47E8349F&quot;/&gt;&lt;wsp:rsid wsp:val=&quot;47E86474&quot;/&gt;&lt;wsp:rsid wsp:val=&quot;47EA7AF7&quot;/&gt;&lt;wsp:rsid wsp:val=&quot;47EC7D13&quot;/&gt;&lt;wsp:rsid wsp:val=&quot;47ED3A8B&quot;/&gt;&lt;wsp:rsid wsp:val=&quot;47F170D7&quot;/&gt;&lt;wsp:rsid wsp:val=&quot;47F46BC7&quot;/&gt;&lt;wsp:rsid wsp:val=&quot;47F675FF&quot;/&gt;&lt;wsp:rsid wsp:val=&quot;47F866B8&quot;/&gt;&lt;wsp:rsid wsp:val=&quot;47F97B63&quot;/&gt;&lt;wsp:rsid wsp:val=&quot;47FC5A7C&quot;/&gt;&lt;wsp:rsid wsp:val=&quot;47FD1854&quot;/&gt;&lt;wsp:rsid wsp:val=&quot;47FE17F4&quot;/&gt;&lt;wsp:rsid wsp:val=&quot;47FE7A46&quot;/&gt;&lt;wsp:rsid wsp:val=&quot;47FF0411&quot;/&gt;&lt;wsp:rsid wsp:val=&quot;47FF10B4&quot;/&gt;&lt;wsp:rsid wsp:val=&quot;4800556C&quot;/&gt;&lt;wsp:rsid wsp:val=&quot;480212E4&quot;/&gt;&lt;wsp:rsid wsp:val=&quot;480300DD&quot;/&gt;&lt;wsp:rsid wsp:val=&quot;48030BB8&quot;/&gt;&lt;wsp:rsid wsp:val=&quot;48052B82&quot;/&gt;&lt;wsp:rsid wsp:val=&quot;48054198&quot;/&gt;&lt;wsp:rsid wsp:val=&quot;48054931&quot;/&gt;&lt;wsp:rsid wsp:val=&quot;480706A9&quot;/&gt;&lt;wsp:rsid wsp:val=&quot;48082673&quot;/&gt;&lt;wsp:rsid wsp:val=&quot;480A1F47&quot;/&gt;&lt;wsp:rsid wsp:val=&quot;480D0887&quot;/&gt;&lt;wsp:rsid wsp:val=&quot;480D406B&quot;/&gt;&lt;wsp:rsid wsp:val=&quot;480F3A01&quot;/&gt;&lt;wsp:rsid wsp:val=&quot;480F57AF&quot;/&gt;&lt;wsp:rsid wsp:val=&quot;48107E1B&quot;/&gt;&lt;wsp:rsid wsp:val=&quot;481132D5&quot;/&gt;&lt;wsp:rsid wsp:val=&quot;4812530C&quot;/&gt;&lt;wsp:rsid wsp:val=&quot;4812704D&quot;/&gt;&lt;wsp:rsid wsp:val=&quot;481334F1&quot;/&gt;&lt;wsp:rsid wsp:val=&quot;4813679C&quot;/&gt;&lt;wsp:rsid wsp:val=&quot;4814136D&quot;/&gt;&lt;wsp:rsid wsp:val=&quot;481427FD&quot;/&gt;&lt;wsp:rsid wsp:val=&quot;481452DA&quot;/&gt;&lt;wsp:rsid wsp:val=&quot;48147269&quot;/&gt;&lt;wsp:rsid wsp:val=&quot;4816685E&quot;/&gt;&lt;wsp:rsid wsp:val=&quot;4819260E&quot;/&gt;&lt;wsp:rsid wsp:val=&quot;4819662E&quot;/&gt;&lt;wsp:rsid wsp:val=&quot;481A3897&quot;/&gt;&lt;wsp:rsid wsp:val=&quot;481B05F8&quot;/&gt;&lt;wsp:rsid wsp:val=&quot;481B23A6&quot;/&gt;&lt;wsp:rsid wsp:val=&quot;481D7ECC&quot;/&gt;&lt;wsp:rsid wsp:val=&quot;481E3C44&quot;/&gt;&lt;wsp:rsid wsp:val=&quot;481E74AD&quot;/&gt;&lt;wsp:rsid wsp:val=&quot;48217291&quot;/&gt;&lt;wsp:rsid wsp:val=&quot;48254FD3&quot;/&gt;&lt;wsp:rsid wsp:val=&quot;48276410&quot;/&gt;&lt;wsp:rsid wsp:val=&quot;4828458E&quot;/&gt;&lt;wsp:rsid wsp:val=&quot;48286871&quot;/&gt;&lt;wsp:rsid wsp:val=&quot;482B01E3&quot;/&gt;&lt;wsp:rsid wsp:val=&quot;482B4A23&quot;/&gt;&lt;wsp:rsid wsp:val=&quot;482C010F&quot;/&gt;&lt;wsp:rsid wsp:val=&quot;482C0A84&quot;/&gt;&lt;wsp:rsid wsp:val=&quot;48300895&quot;/&gt;&lt;wsp:rsid wsp:val=&quot;48313181&quot;/&gt;&lt;wsp:rsid wsp:val=&quot;48313978&quot;/&gt;&lt;wsp:rsid wsp:val=&quot;48335942&quot;/&gt;&lt;wsp:rsid wsp:val=&quot;48345216&quot;/&gt;&lt;wsp:rsid wsp:val=&quot;483549A9&quot;/&gt;&lt;wsp:rsid wsp:val=&quot;48362D3C&quot;/&gt;&lt;wsp:rsid wsp:val=&quot;483671E0&quot;/&gt;&lt;wsp:rsid wsp:val=&quot;48370D71&quot;/&gt;&lt;wsp:rsid wsp:val=&quot;4838292E&quot;/&gt;&lt;wsp:rsid wsp:val=&quot;48384D06&quot;/&gt;&lt;wsp:rsid wsp:val=&quot;48390A7E&quot;/&gt;&lt;wsp:rsid wsp:val=&quot;483925C3&quot;/&gt;&lt;wsp:rsid wsp:val=&quot;48396CD0&quot;/&gt;&lt;wsp:rsid wsp:val=&quot;483D056E&quot;/&gt;&lt;wsp:rsid wsp:val=&quot;483D231C&quot;/&gt;&lt;wsp:rsid wsp:val=&quot;483D40CA&quot;/&gt;&lt;wsp:rsid wsp:val=&quot;483E6094&quot;/&gt;&lt;wsp:rsid wsp:val=&quot;48401E0D&quot;/&gt;&lt;wsp:rsid wsp:val=&quot;484216E1&quot;/&gt;&lt;wsp:rsid wsp:val=&quot;484336AB&quot;/&gt;&lt;wsp:rsid wsp:val=&quot;4846162B&quot;/&gt;&lt;wsp:rsid wsp:val=&quot;4846562C&quot;/&gt;&lt;wsp:rsid wsp:val=&quot;4847319B&quot;/&gt;&lt;wsp:rsid wsp:val=&quot;48474F49&quot;/&gt;&lt;wsp:rsid wsp:val=&quot;48480CC1&quot;/&gt;&lt;wsp:rsid wsp:val=&quot;484A2C8B&quot;/&gt;&lt;wsp:rsid wsp:val=&quot;484A400D&quot;/&gt;&lt;wsp:rsid wsp:val=&quot;484A5417&quot;/&gt;&lt;wsp:rsid wsp:val=&quot;484A6E97&quot;/&gt;&lt;wsp:rsid wsp:val=&quot;484C30C0&quot;/&gt;&lt;wsp:rsid wsp:val=&quot;484C6A03&quot;/&gt;&lt;wsp:rsid wsp:val=&quot;484D0086&quot;/&gt;&lt;wsp:rsid wsp:val=&quot;484E277B&quot;/&gt;&lt;wsp:rsid wsp:val=&quot;484E5CBE&quot;/&gt;&lt;wsp:rsid wsp:val=&quot;484E6913&quot;/&gt;&lt;wsp:rsid wsp:val=&quot;484F02A2&quot;/&gt;&lt;wsp:rsid wsp:val=&quot;48515DC8&quot;/&gt;&lt;wsp:rsid wsp:val=&quot;485219B1&quot;/&gt;&lt;wsp:rsid wsp:val=&quot;48537D92&quot;/&gt;&lt;wsp:rsid wsp:val=&quot;48561630&quot;/&gt;&lt;wsp:rsid wsp:val=&quot;485633DE&quot;/&gt;&lt;wsp:rsid wsp:val=&quot;48587156&quot;/&gt;&lt;wsp:rsid wsp:val=&quot;48594C7C&quot;/&gt;&lt;wsp:rsid wsp:val=&quot;485A645C&quot;/&gt;&lt;wsp:rsid wsp:val=&quot;485B27A2&quot;/&gt;&lt;wsp:rsid wsp:val=&quot;485B6C46&quot;/&gt;&lt;wsp:rsid wsp:val=&quot;485C2602&quot;/&gt;&lt;wsp:rsid wsp:val=&quot;485D29BF&quot;/&gt;&lt;wsp:rsid wsp:val=&quot;485D476D&quot;/&gt;&lt;wsp:rsid wsp:val=&quot;485F6737&quot;/&gt;&lt;wsp:rsid wsp:val=&quot;486024AF&quot;/&gt;&lt;wsp:rsid wsp:val=&quot;4860600B&quot;/&gt;&lt;wsp:rsid wsp:val=&quot;48621D83&quot;/&gt;&lt;wsp:rsid wsp:val=&quot;48623B31&quot;/&gt;&lt;wsp:rsid wsp:val=&quot;48631C4F&quot;/&gt;&lt;wsp:rsid wsp:val=&quot;486620A5&quot;/&gt;&lt;wsp:rsid wsp:val=&quot;48671147&quot;/&gt;&lt;wsp:rsid wsp:val=&quot;48677399&quot;/&gt;&lt;wsp:rsid wsp:val=&quot;48684EBF&quot;/&gt;&lt;wsp:rsid wsp:val=&quot;486A0C38&quot;/&gt;&lt;wsp:rsid wsp:val=&quot;486A50DB&quot;/&gt;&lt;wsp:rsid wsp:val=&quot;486A6E89&quot;/&gt;&lt;wsp:rsid wsp:val=&quot;486D2078&quot;/&gt;&lt;wsp:rsid wsp:val=&quot;486D6D36&quot;/&gt;&lt;wsp:rsid wsp:val=&quot;486F26F2&quot;/&gt;&lt;wsp:rsid wsp:val=&quot;4870272E&quot;/&gt;&lt;wsp:rsid wsp:val=&quot;4871646A&quot;/&gt;&lt;wsp:rsid wsp:val=&quot;48733F90&quot;/&gt;&lt;wsp:rsid wsp:val=&quot;48741AB6&quot;/&gt;&lt;wsp:rsid wsp:val=&quot;48777145&quot;/&gt;&lt;wsp:rsid wsp:val=&quot;48794FEC&quot;/&gt;&lt;wsp:rsid wsp:val=&quot;4879594A&quot;/&gt;&lt;wsp:rsid wsp:val=&quot;487970CD&quot;/&gt;&lt;wsp:rsid wsp:val=&quot;487B1097&quot;/&gt;&lt;wsp:rsid wsp:val=&quot;487B2E45&quot;/&gt;&lt;wsp:rsid wsp:val=&quot;487D6BBD&quot;/&gt;&lt;wsp:rsid wsp:val=&quot;487E032C&quot;/&gt;&lt;wsp:rsid wsp:val=&quot;4880045B&quot;/&gt;&lt;wsp:rsid wsp:val=&quot;48822425&quot;/&gt;&lt;wsp:rsid wsp:val=&quot;488231BD&quot;/&gt;&lt;wsp:rsid wsp:val=&quot;48831CF9&quot;/&gt;&lt;wsp:rsid wsp:val=&quot;48832990&quot;/&gt;&lt;wsp:rsid wsp:val=&quot;48847F4B&quot;/&gt;&lt;wsp:rsid wsp:val=&quot;488501FF&quot;/&gt;&lt;wsp:rsid wsp:val=&quot;48853CC3&quot;/&gt;&lt;wsp:rsid wsp:val=&quot;48855A71&quot;/&gt;&lt;wsp:rsid wsp:val=&quot;48895562&quot;/&gt;&lt;wsp:rsid wsp:val=&quot;488A12DA&quot;/&gt;&lt;wsp:rsid wsp:val=&quot;488A3088&quot;/&gt;&lt;wsp:rsid wsp:val=&quot;488B3A2D&quot;/&gt;&lt;wsp:rsid wsp:val=&quot;488C5052&quot;/&gt;&lt;wsp:rsid wsp:val=&quot;488D3628&quot;/&gt;&lt;wsp:rsid wsp:val=&quot;488D6991&quot;/&gt;&lt;wsp:rsid wsp:val=&quot;488E0DCA&quot;/&gt;&lt;wsp:rsid wsp:val=&quot;488E2B78&quot;/&gt;&lt;wsp:rsid wsp:val=&quot;488E4926&quot;/&gt;&lt;wsp:rsid wsp:val=&quot;488F069E&quot;/&gt;&lt;wsp:rsid wsp:val=&quot;48904B42&quot;/&gt;&lt;wsp:rsid wsp:val=&quot;48912668&quot;/&gt;&lt;wsp:rsid wsp:val=&quot;48924D18&quot;/&gt;&lt;wsp:rsid wsp:val=&quot;4893018E&quot;/&gt;&lt;wsp:rsid wsp:val=&quot;489310C2&quot;/&gt;&lt;wsp:rsid wsp:val=&quot;48931F3C&quot;/&gt;&lt;wsp:rsid wsp:val=&quot;489363E0&quot;/&gt;&lt;wsp:rsid wsp:val=&quot;48941A07&quot;/&gt;&lt;wsp:rsid wsp:val=&quot;48943C93&quot;/&gt;&lt;wsp:rsid wsp:val=&quot;48943F06&quot;/&gt;&lt;wsp:rsid wsp:val=&quot;48972614&quot;/&gt;&lt;wsp:rsid wsp:val=&quot;48982AB7&quot;/&gt;&lt;wsp:rsid wsp:val=&quot;489A776F&quot;/&gt;&lt;wsp:rsid wsp:val=&quot;489B5295&quot;/&gt;&lt;wsp:rsid wsp:val=&quot;489C39C8&quot;/&gt;&lt;wsp:rsid wsp:val=&quot;48A028AB&quot;/&gt;&lt;wsp:rsid wsp:val=&quot;48A04659&quot;/&gt;&lt;wsp:rsid wsp:val=&quot;48A115E5&quot;/&gt;&lt;wsp:rsid wsp:val=&quot;48A14B56&quot;/&gt;&lt;wsp:rsid wsp:val=&quot;48A41063&quot;/&gt;&lt;wsp:rsid wsp:val=&quot;48A4239B&quot;/&gt;&lt;wsp:rsid wsp:val=&quot;48A44149&quot;/&gt;&lt;wsp:rsid wsp:val=&quot;48A759E8&quot;/&gt;&lt;wsp:rsid wsp:val=&quot;48A979B2&quot;/&gt;&lt;wsp:rsid wsp:val=&quot;48AA0A8A&quot;/&gt;&lt;wsp:rsid wsp:val=&quot;48AA54D8&quot;/&gt;&lt;wsp:rsid wsp:val=&quot;48AB1F1A&quot;/&gt;&lt;wsp:rsid wsp:val=&quot;48AC74A2&quot;/&gt;&lt;wsp:rsid wsp:val=&quot;48AE2B74&quot;/&gt;&lt;wsp:rsid wsp:val=&quot;48AE321A&quot;/&gt;&lt;wsp:rsid wsp:val=&quot;48B12D0A&quot;/&gt;&lt;wsp:rsid wsp:val=&quot;48B14AB8&quot;/&gt;&lt;wsp:rsid wsp:val=&quot;48B1700D&quot;/&gt;&lt;wsp:rsid wsp:val=&quot;48B325DE&quot;/&gt;&lt;wsp:rsid wsp:val=&quot;48B52FCC&quot;/&gt;&lt;wsp:rsid wsp:val=&quot;48B545A9&quot;/&gt;&lt;wsp:rsid wsp:val=&quot;48B819A3&quot;/&gt;&lt;wsp:rsid wsp:val=&quot;48B87BC1&quot;/&gt;&lt;wsp:rsid wsp:val=&quot;48B9451E&quot;/&gt;&lt;wsp:rsid wsp:val=&quot;48BD16AF&quot;/&gt;&lt;wsp:rsid wsp:val=&quot;48BD520B&quot;/&gt;&lt;wsp:rsid wsp:val=&quot;48BE5843&quot;/&gt;&lt;wsp:rsid wsp:val=&quot;48BF0F83&quot;/&gt;&lt;wsp:rsid wsp:val=&quot;48BF3C4C&quot;/&gt;&lt;wsp:rsid wsp:val=&quot;48C04CFB&quot;/&gt;&lt;wsp:rsid wsp:val=&quot;48C12F4D&quot;/&gt;&lt;wsp:rsid wsp:val=&quot;48C20A74&quot;/&gt;&lt;wsp:rsid wsp:val=&quot;48C22822&quot;/&gt;&lt;wsp:rsid wsp:val=&quot;48C37620&quot;/&gt;&lt;wsp:rsid wsp:val=&quot;48C447EC&quot;/&gt;&lt;wsp:rsid wsp:val=&quot;48C479AF&quot;/&gt;&lt;wsp:rsid wsp:val=&quot;48C52AC1&quot;/&gt;&lt;wsp:rsid wsp:val=&quot;48C77E38&quot;/&gt;&lt;wsp:rsid wsp:val=&quot;48C90DA0&quot;/&gt;&lt;wsp:rsid wsp:val=&quot;48CB3DCC&quot;/&gt;&lt;wsp:rsid wsp:val=&quot;48D04F3E&quot;/&gt;&lt;wsp:rsid wsp:val=&quot;48D17946&quot;/&gt;&lt;wsp:rsid wsp:val=&quot;48D24A1A&quot;/&gt;&lt;wsp:rsid wsp:val=&quot;48D31904&quot;/&gt;&lt;wsp:rsid wsp:val=&quot;48D47FD7&quot;/&gt;&lt;wsp:rsid wsp:val=&quot;48D507A7&quot;/&gt;&lt;wsp:rsid wsp:val=&quot;48D52555&quot;/&gt;&lt;wsp:rsid wsp:val=&quot;48D53A6F&quot;/&gt;&lt;wsp:rsid wsp:val=&quot;48D569F9&quot;/&gt;&lt;wsp:rsid wsp:val=&quot;48D6451F&quot;/&gt;&lt;wsp:rsid wsp:val=&quot;48D662CD&quot;/&gt;&lt;wsp:rsid wsp:val=&quot;48D66617&quot;/&gt;&lt;wsp:rsid wsp:val=&quot;48D72771&quot;/&gt;&lt;wsp:rsid wsp:val=&quot;48D758DB&quot;/&gt;&lt;wsp:rsid wsp:val=&quot;48DA400F&quot;/&gt;&lt;wsp:rsid wsp:val=&quot;48DA5DBD&quot;/&gt;&lt;wsp:rsid wsp:val=&quot;48DD58AD&quot;/&gt;&lt;wsp:rsid wsp:val=&quot;48DE3668&quot;/&gt;&lt;wsp:rsid wsp:val=&quot;48E1539E&quot;/&gt;&lt;wsp:rsid wsp:val=&quot;48E22EC4&quot;/&gt;&lt;wsp:rsid wsp:val=&quot;48E40C1B&quot;/&gt;&lt;wsp:rsid wsp:val=&quot;48E56510&quot;/&gt;&lt;wsp:rsid wsp:val=&quot;48E704DA&quot;/&gt;&lt;wsp:rsid wsp:val=&quot;48E7672C&quot;/&gt;&lt;wsp:rsid wsp:val=&quot;48E94252&quot;/&gt;&lt;wsp:rsid wsp:val=&quot;48E97B61&quot;/&gt;&lt;wsp:rsid wsp:val=&quot;48EA3C36&quot;/&gt;&lt;wsp:rsid wsp:val=&quot;48EC3D42&quot;/&gt;&lt;wsp:rsid wsp:val=&quot;48EE3617&quot;/&gt;&lt;wsp:rsid wsp:val=&quot;48EF781D&quot;/&gt;&lt;wsp:rsid wsp:val=&quot;48F055E1&quot;/&gt;&lt;wsp:rsid wsp:val=&quot;48F350D1&quot;/&gt;&lt;wsp:rsid wsp:val=&quot;48F6071D&quot;/&gt;&lt;wsp:rsid wsp:val=&quot;48F84495&quot;/&gt;&lt;wsp:rsid wsp:val=&quot;48F84AFD&quot;/&gt;&lt;wsp:rsid wsp:val=&quot;48FA1FBB&quot;/&gt;&lt;wsp:rsid wsp:val=&quot;48FA645F&quot;/&gt;&lt;wsp:rsid wsp:val=&quot;48FD5F50&quot;/&gt;&lt;wsp:rsid wsp:val=&quot;48FD7CFE&quot;/&gt;&lt;wsp:rsid wsp:val=&quot;48FF3A76&quot;/&gt;&lt;wsp:rsid wsp:val=&quot;48FF5824&quot;/&gt;&lt;wsp:rsid wsp:val=&quot;48FF6CB3&quot;/&gt;&lt;wsp:rsid wsp:val=&quot;48FF75D2&quot;/&gt;&lt;wsp:rsid wsp:val=&quot;4901159C&quot;/&gt;&lt;wsp:rsid wsp:val=&quot;49017EAD&quot;/&gt;&lt;wsp:rsid wsp:val=&quot;490270C2&quot;/&gt;&lt;wsp:rsid wsp:val=&quot;49033566&quot;/&gt;&lt;wsp:rsid wsp:val=&quot;49042E3A&quot;/&gt;&lt;wsp:rsid wsp:val=&quot;49066BB2&quot;/&gt;&lt;wsp:rsid wsp:val=&quot;4907292A&quot;/&gt;&lt;wsp:rsid wsp:val=&quot;49075A1C&quot;/&gt;&lt;wsp:rsid wsp:val=&quot;490948F4&quot;/&gt;&lt;wsp:rsid wsp:val=&quot;490966A2&quot;/&gt;&lt;wsp:rsid wsp:val=&quot;490B241B&quot;/&gt;&lt;wsp:rsid wsp:val=&quot;490D6193&quot;/&gt;&lt;wsp:rsid wsp:val=&quot;490E5A67&quot;/&gt;&lt;wsp:rsid wsp:val=&quot;4910358D&quot;/&gt;&lt;wsp:rsid wsp:val=&quot;49105C83&quot;/&gt;&lt;wsp:rsid wsp:val=&quot;49107A31&quot;/&gt;&lt;wsp:rsid wsp:val=&quot;4913028B&quot;/&gt;&lt;wsp:rsid wsp:val=&quot;49137521&quot;/&gt;&lt;wsp:rsid wsp:val=&quot;49156DF5&quot;/&gt;&lt;wsp:rsid wsp:val=&quot;49172297&quot;/&gt;&lt;wsp:rsid wsp:val=&quot;49180694&quot;/&gt;&lt;wsp:rsid wsp:val=&quot;491A265E&quot;/&gt;&lt;wsp:rsid wsp:val=&quot;491A440C&quot;/&gt;&lt;wsp:rsid wsp:val=&quot;491D0608&quot;/&gt;&lt;wsp:rsid wsp:val=&quot;491F7C74&quot;/&gt;&lt;wsp:rsid wsp:val=&quot;49202E27&quot;/&gt;&lt;wsp:rsid wsp:val=&quot;492139EC&quot;/&gt;&lt;wsp:rsid wsp:val=&quot;49221512&quot;/&gt;&lt;wsp:rsid wsp:val=&quot;49227764&quot;/&gt;&lt;wsp:rsid wsp:val=&quot;49267254&quot;/&gt;&lt;wsp:rsid wsp:val=&quot;492774C8&quot;/&gt;&lt;wsp:rsid wsp:val=&quot;49284D7B&quot;/&gt;&lt;wsp:rsid wsp:val=&quot;492869E7&quot;/&gt;&lt;wsp:rsid wsp:val=&quot;49290AF3&quot;/&gt;&lt;wsp:rsid wsp:val=&quot;492B486B&quot;/&gt;&lt;wsp:rsid wsp:val=&quot;492D05E3&quot;/&gt;&lt;wsp:rsid wsp:val=&quot;492E7EB7&quot;/&gt;&lt;wsp:rsid wsp:val=&quot;493059DD&quot;/&gt;&lt;wsp:rsid wsp:val=&quot;4933371F&quot;/&gt;&lt;wsp:rsid wsp:val=&quot;49366D6C&quot;/&gt;&lt;wsp:rsid wsp:val=&quot;49373210&quot;/&gt;&lt;wsp:rsid wsp:val=&quot;49380D36&quot;/&gt;&lt;wsp:rsid wsp:val=&quot;49384272&quot;/&gt;&lt;wsp:rsid wsp:val=&quot;49392321&quot;/&gt;&lt;wsp:rsid wsp:val=&quot;493A685C&quot;/&gt;&lt;wsp:rsid wsp:val=&quot;493C25D4&quot;/&gt;&lt;wsp:rsid wsp:val=&quot;493D17E8&quot;/&gt;&lt;wsp:rsid wsp:val=&quot;493D634C&quot;/&gt;&lt;wsp:rsid wsp:val=&quot;493E459E&quot;/&gt;&lt;wsp:rsid wsp:val=&quot;49417BEA&quot;/&gt;&lt;wsp:rsid wsp:val=&quot;49441489&quot;/&gt;&lt;wsp:rsid wsp:val=&quot;4945669D&quot;/&gt;&lt;wsp:rsid wsp:val=&quot;494616A5&quot;/&gt;&lt;wsp:rsid wsp:val=&quot;49463453&quot;/&gt;&lt;wsp:rsid wsp:val=&quot;49465201&quot;/&gt;&lt;wsp:rsid wsp:val=&quot;49470F79&quot;/&gt;&lt;wsp:rsid wsp:val=&quot;494721F1&quot;/&gt;&lt;wsp:rsid wsp:val=&quot;494859DF&quot;/&gt;&lt;wsp:rsid wsp:val=&quot;49492F43&quot;/&gt;&lt;wsp:rsid wsp:val=&quot;494B49DC&quot;/&gt;&lt;wsp:rsid wsp:val=&quot;494D2A33&quot;/&gt;&lt;wsp:rsid wsp:val=&quot;494D47E1&quot;/&gt;&lt;wsp:rsid wsp:val=&quot;494E2307&quot;/&gt;&lt;wsp:rsid wsp:val=&quot;494F5429&quot;/&gt;&lt;wsp:rsid wsp:val=&quot;494F67AB&quot;/&gt;&lt;wsp:rsid wsp:val=&quot;4950607F&quot;/&gt;&lt;wsp:rsid wsp:val=&quot;4950709D&quot;/&gt;&lt;wsp:rsid wsp:val=&quot;49507E2D&quot;/&gt;&lt;wsp:rsid wsp:val=&quot;4951655A&quot;/&gt;&lt;wsp:rsid wsp:val=&quot;49521DF7&quot;/&gt;&lt;wsp:rsid wsp:val=&quot;49524E19&quot;/&gt;&lt;wsp:rsid wsp:val=&quot;4953791E&quot;/&gt;&lt;wsp:rsid wsp:val=&quot;495518E8&quot;/&gt;&lt;wsp:rsid wsp:val=&quot;49555444&quot;/&gt;&lt;wsp:rsid wsp:val=&quot;495711BC&quot;/&gt;&lt;wsp:rsid wsp:val=&quot;49576E8D&quot;/&gt;&lt;wsp:rsid wsp:val=&quot;49583186&quot;/&gt;&lt;wsp:rsid wsp:val=&quot;49584F34&quot;/&gt;&lt;wsp:rsid wsp:val=&quot;495E69EE&quot;/&gt;&lt;wsp:rsid wsp:val=&quot;4960389A&quot;/&gt;&lt;wsp:rsid wsp:val=&quot;496274DF&quot;/&gt;&lt;wsp:rsid wsp:val=&quot;496327E5&quot;/&gt;&lt;wsp:rsid wsp:val=&quot;49641B2B&quot;/&gt;&lt;wsp:rsid wsp:val=&quot;49663AF5&quot;/&gt;&lt;wsp:rsid wsp:val=&quot;49667651&quot;/&gt;&lt;wsp:rsid wsp:val=&quot;4967352A&quot;/&gt;&lt;wsp:rsid wsp:val=&quot;4968161B&quot;/&gt;&lt;wsp:rsid wsp:val=&quot;496833C9&quot;/&gt;&lt;wsp:rsid wsp:val=&quot;496B2EB9&quot;/&gt;&lt;wsp:rsid wsp:val=&quot;496C1203&quot;/&gt;&lt;wsp:rsid wsp:val=&quot;496D6C31&quot;/&gt;&lt;wsp:rsid wsp:val=&quot;496F0653&quot;/&gt;&lt;wsp:rsid wsp:val=&quot;496F6F12&quot;/&gt;&lt;wsp:rsid wsp:val=&quot;497163D6&quot;/&gt;&lt;wsp:rsid wsp:val=&quot;4972249A&quot;/&gt;&lt;wsp:rsid wsp:val=&quot;49724248&quot;/&gt;&lt;wsp:rsid wsp:val=&quot;49747FC0&quot;/&gt;&lt;wsp:rsid wsp:val=&quot;497513A8&quot;/&gt;&lt;wsp:rsid wsp:val=&quot;49755AE6&quot;/&gt;&lt;wsp:rsid wsp:val=&quot;49777AB0&quot;/&gt;&lt;wsp:rsid wsp:val=&quot;497A75A0&quot;/&gt;&lt;wsp:rsid wsp:val=&quot;497C0C22&quot;/&gt;&lt;wsp:rsid wsp:val=&quot;497C6E74&quot;/&gt;&lt;wsp:rsid wsp:val=&quot;497D32BF&quot;/&gt;&lt;wsp:rsid wsp:val=&quot;497F110A&quot;/&gt;&lt;wsp:rsid wsp:val=&quot;4981092F&quot;/&gt;&lt;wsp:rsid wsp:val=&quot;498505D6&quot;/&gt;&lt;wsp:rsid wsp:val=&quot;49865F45&quot;/&gt;&lt;wsp:rsid wsp:val=&quot;49877EB2&quot;/&gt;&lt;wsp:rsid wsp:val=&quot;498B355B&quot;/&gt;&lt;wsp:rsid wsp:val=&quot;498D5C45&quot;/&gt;&lt;wsp:rsid wsp:val=&quot;498E0956&quot;/&gt;&lt;wsp:rsid wsp:val=&quot;498F4DFA&quot;/&gt;&lt;wsp:rsid wsp:val=&quot;49920446&quot;/&gt;&lt;wsp:rsid wsp:val=&quot;499222AC&quot;/&gt;&lt;wsp:rsid wsp:val=&quot;49933923&quot;/&gt;&lt;wsp:rsid wsp:val=&quot;49940662&quot;/&gt;&lt;wsp:rsid wsp:val=&quot;499557A4&quot;/&gt;&lt;wsp:rsid wsp:val=&quot;49956188&quot;/&gt;&lt;wsp:rsid wsp:val=&quot;499637FE&quot;/&gt;&lt;wsp:rsid wsp:val=&quot;499917D4&quot;/&gt;&lt;wsp:rsid wsp:val=&quot;499A379E&quot;/&gt;&lt;wsp:rsid wsp:val=&quot;499B0FEA&quot;/&gt;&lt;wsp:rsid wsp:val=&quot;499C7517&quot;/&gt;&lt;wsp:rsid wsp:val=&quot;499E328F&quot;/&gt;&lt;wsp:rsid wsp:val=&quot;49A14FAF&quot;/&gt;&lt;wsp:rsid wsp:val=&quot;49A372A4&quot;/&gt;&lt;wsp:rsid wsp:val=&quot;49A60395&quot;/&gt;&lt;wsp:rsid wsp:val=&quot;49A62143&quot;/&gt;&lt;wsp:rsid wsp:val=&quot;49A65114&quot;/&gt;&lt;wsp:rsid wsp:val=&quot;49AA1C33&quot;/&gt;&lt;wsp:rsid wsp:val=&quot;49AB1508&quot;/&gt;&lt;wsp:rsid wsp:val=&quot;49AE2DA6&quot;/&gt;&lt;wsp:rsid wsp:val=&quot;49AF0FF8&quot;/&gt;&lt;wsp:rsid wsp:val=&quot;49AF724A&quot;/&gt;&lt;wsp:rsid wsp:val=&quot;49B02FC2&quot;/&gt;&lt;wsp:rsid wsp:val=&quot;49B228EB&quot;/&gt;&lt;wsp:rsid wsp:val=&quot;49B605D8&quot;/&gt;&lt;wsp:rsid wsp:val=&quot;49B86F46&quot;/&gt;&lt;wsp:rsid wsp:val=&quot;49B900C8&quot;/&gt;&lt;wsp:rsid wsp:val=&quot;49C056FE&quot;/&gt;&lt;wsp:rsid wsp:val=&quot;49C167BA&quot;/&gt;&lt;wsp:rsid wsp:val=&quot;49C34AA3&quot;/&gt;&lt;wsp:rsid wsp:val=&quot;49C36851&quot;/&gt;&lt;wsp:rsid wsp:val=&quot;49C54520&quot;/&gt;&lt;wsp:rsid wsp:val=&quot;49C564C7&quot;/&gt;&lt;wsp:rsid wsp:val=&quot;49C565CB&quot;/&gt;&lt;wsp:rsid wsp:val=&quot;49C64593&quot;/&gt;&lt;wsp:rsid wsp:val=&quot;49C66341&quot;/&gt;&lt;wsp:rsid wsp:val=&quot;49C820BA&quot;/&gt;&lt;wsp:rsid wsp:val=&quot;49CA5E32&quot;/&gt;&lt;wsp:rsid wsp:val=&quot;49CB3958&quot;/&gt;&lt;wsp:rsid wsp:val=&quot;49CD76D0&quot;/&gt;&lt;wsp:rsid wsp:val=&quot;49D2118A&quot;/&gt;&lt;wsp:rsid wsp:val=&quot;49D24CE6&quot;/&gt;&lt;wsp:rsid wsp:val=&quot;49D2773F&quot;/&gt;&lt;wsp:rsid wsp:val=&quot;49D767A1&quot;/&gt;&lt;wsp:rsid wsp:val=&quot;49D92519&quot;/&gt;&lt;wsp:rsid wsp:val=&quot;49D942C7&quot;/&gt;&lt;wsp:rsid wsp:val=&quot;49DC17D2&quot;/&gt;&lt;wsp:rsid wsp:val=&quot;49DC1EEB&quot;/&gt;&lt;wsp:rsid wsp:val=&quot;49DC429F&quot;/&gt;&lt;wsp:rsid wsp:val=&quot;49DC7715&quot;/&gt;&lt;wsp:rsid wsp:val=&quot;49DE33A1&quot;/&gt;&lt;wsp:rsid wsp:val=&quot;49DE368B&quot;/&gt;&lt;wsp:rsid wsp:val=&quot;49DE50FB&quot;/&gt;&lt;wsp:rsid wsp:val=&quot;49DF0C6F&quot;/&gt;&lt;wsp:rsid wsp:val=&quot;49DF112C&quot;/&gt;&lt;wsp:rsid wsp:val=&quot;49E05655&quot;/&gt;&lt;wsp:rsid wsp:val=&quot;49E30CA1&quot;/&gt;&lt;wsp:rsid wsp:val=&quot;49E50EBD&quot;/&gt;&lt;wsp:rsid wsp:val=&quot;49E55BB5&quot;/&gt;&lt;wsp:rsid wsp:val=&quot;49E669E4&quot;/&gt;&lt;wsp:rsid wsp:val=&quot;49E82739&quot;/&gt;&lt;wsp:rsid wsp:val=&quot;49EA0282&quot;/&gt;&lt;wsp:rsid wsp:val=&quot;49EA14A6&quot;/&gt;&lt;wsp:rsid wsp:val=&quot;49EA64D4&quot;/&gt;&lt;wsp:rsid wsp:val=&quot;49EB7B56&quot;/&gt;&lt;wsp:rsid wsp:val=&quot;49EC2039&quot;/&gt;&lt;wsp:rsid wsp:val=&quot;49EC224C&quot;/&gt;&lt;wsp:rsid wsp:val=&quot;49EC2EB7&quot;/&gt;&lt;wsp:rsid wsp:val=&quot;49ED38CE&quot;/&gt;&lt;wsp:rsid wsp:val=&quot;49ED7D72&quot;/&gt;&lt;wsp:rsid wsp:val=&quot;49EE42CC&quot;/&gt;&lt;wsp:rsid wsp:val=&quot;49EE57D7&quot;/&gt;&lt;wsp:rsid wsp:val=&quot;49F17862&quot;/&gt;&lt;wsp:rsid wsp:val=&quot;49F41101&quot;/&gt;&lt;wsp:rsid wsp:val=&quot;49F42EAF&quot;/&gt;&lt;wsp:rsid wsp:val=&quot;49F66C27&quot;/&gt;&lt;wsp:rsid wsp:val=&quot;49F7474D&quot;/&gt;&lt;wsp:rsid wsp:val=&quot;49F904C5&quot;/&gt;&lt;wsp:rsid wsp:val=&quot;49F96717&quot;/&gt;&lt;wsp:rsid wsp:val=&quot;49FB423D&quot;/&gt;&lt;wsp:rsid wsp:val=&quot;49FC7FB5&quot;/&gt;&lt;wsp:rsid wsp:val=&quot;49FD6207&quot;/&gt;&lt;wsp:rsid wsp:val=&quot;49FE1F7F&quot;/&gt;&lt;wsp:rsid wsp:val=&quot;4A023139&quot;/&gt;&lt;wsp:rsid wsp:val=&quot;4A0250DD&quot;/&gt;&lt;wsp:rsid wsp:val=&quot;4A027CAE&quot;/&gt;&lt;wsp:rsid wsp:val=&quot;4A05330E&quot;/&gt;&lt;wsp:rsid wsp:val=&quot;4A054CCD&quot;/&gt;&lt;wsp:rsid wsp:val=&quot;4A05519F&quot;/&gt;&lt;wsp:rsid wsp:val=&quot;4A064990&quot;/&gt;&lt;wsp:rsid wsp:val=&quot;4A070E34&quot;/&gt;&lt;wsp:rsid wsp:val=&quot;4A0A4480&quot;/&gt;&lt;wsp:rsid wsp:val=&quot;4A0B01F8&quot;/&gt;&lt;wsp:rsid wsp:val=&quot;4A0B1FA6&quot;/&gt;&lt;wsp:rsid wsp:val=&quot;4A0D26AD&quot;/&gt;&lt;wsp:rsid wsp:val=&quot;4A0E4DE3&quot;/&gt;&lt;wsp:rsid wsp:val=&quot;4A0F7CE8&quot;/&gt;&lt;wsp:rsid wsp:val=&quot;4A111CB3&quot;/&gt;&lt;wsp:rsid wsp:val=&quot;4A11580F&quot;/&gt;&lt;wsp:rsid wsp:val=&quot;4A161077&quot;/&gt;&lt;wsp:rsid wsp:val=&quot;4A173B7C&quot;/&gt;&lt;wsp:rsid wsp:val=&quot;4A180FB8&quot;/&gt;&lt;wsp:rsid wsp:val=&quot;4A183E49&quot;/&gt;&lt;wsp:rsid wsp:val=&quot;4A192915&quot;/&gt;&lt;wsp:rsid wsp:val=&quot;4A1B48DF&quot;/&gt;&lt;wsp:rsid wsp:val=&quot;4A1D48B6&quot;/&gt;&lt;wsp:rsid wsp:val=&quot;4A1E1CDA&quot;/&gt;&lt;wsp:rsid wsp:val=&quot;4A1E617D&quot;/&gt;&lt;wsp:rsid wsp:val=&quot;4A225C6E&quot;/&gt;&lt;wsp:rsid wsp:val=&quot;4A253068&quot;/&gt;&lt;wsp:rsid wsp:val=&quot;4A25750C&quot;/&gt;&lt;wsp:rsid wsp:val=&quot;4A260E91&quot;/&gt;&lt;wsp:rsid wsp:val=&quot;4A266DE0&quot;/&gt;&lt;wsp:rsid wsp:val=&quot;4A286FFC&quot;/&gt;&lt;wsp:rsid wsp:val=&quot;4A2A4B22&quot;/&gt;&lt;wsp:rsid wsp:val=&quot;4A2A68D0&quot;/&gt;&lt;wsp:rsid wsp:val=&quot;4A2C2648&quot;/&gt;&lt;wsp:rsid wsp:val=&quot;4A2D7761&quot;/&gt;&lt;wsp:rsid wsp:val=&quot;4A2F038B&quot;/&gt;&lt;wsp:rsid wsp:val=&quot;4A30015B&quot;/&gt;&lt;wsp:rsid wsp:val=&quot;4A315EB1&quot;/&gt;&lt;wsp:rsid wsp:val=&quot;4A3239D7&quot;/&gt;&lt;wsp:rsid wsp:val=&quot;4A325785&quot;/&gt;&lt;wsp:rsid wsp:val=&quot;4A325D14&quot;/&gt;&lt;wsp:rsid wsp:val=&quot;4A3414FD&quot;/&gt;&lt;wsp:rsid wsp:val=&quot;4A3459A1&quot;/&gt;&lt;wsp:rsid wsp:val=&quot;4A3467D2&quot;/&gt;&lt;wsp:rsid wsp:val=&quot;4A34774F&quot;/&gt;&lt;wsp:rsid wsp:val=&quot;4A3634C7&quot;/&gt;&lt;wsp:rsid wsp:val=&quot;4A372A74&quot;/&gt;&lt;wsp:rsid wsp:val=&quot;4A372D9B&quot;/&gt;&lt;wsp:rsid wsp:val=&quot;4A3868ED&quot;/&gt;&lt;wsp:rsid wsp:val=&quot;4A38723F&quot;/&gt;&lt;wsp:rsid wsp:val=&quot;4A392FB7&quot;/&gt;&lt;wsp:rsid wsp:val=&quot;4A3A62EE&quot;/&gt;&lt;wsp:rsid wsp:val=&quot;4A3B288C&quot;/&gt;&lt;wsp:rsid wsp:val=&quot;4A3C66FE&quot;/&gt;&lt;wsp:rsid wsp:val=&quot;4A3D0B99&quot;/&gt;&lt;wsp:rsid wsp:val=&quot;4A3E412A&quot;/&gt;&lt;wsp:rsid wsp:val=&quot;4A404346&quot;/&gt;&lt;wsp:rsid wsp:val=&quot;4A4060F4&quot;/&gt;&lt;wsp:rsid wsp:val=&quot;4A413C1A&quot;/&gt;&lt;wsp:rsid wsp:val=&quot;4A4200BE&quot;/&gt;&lt;wsp:rsid wsp:val=&quot;4A431740&quot;/&gt;&lt;wsp:rsid wsp:val=&quot;4A435BE4&quot;/&gt;&lt;wsp:rsid wsp:val=&quot;4A443E36&quot;/&gt;&lt;wsp:rsid wsp:val=&quot;4A45195C&quot;/&gt;&lt;wsp:rsid wsp:val=&quot;4A45370A&quot;/&gt;&lt;wsp:rsid wsp:val=&quot;4A477482&quot;/&gt;&lt;wsp:rsid wsp:val=&quot;4A497872&quot;/&gt;&lt;wsp:rsid wsp:val=&quot;4A4A0D02&quot;/&gt;&lt;wsp:rsid wsp:val=&quot;4A4D0811&quot;/&gt;&lt;wsp:rsid wsp:val=&quot;4A4E6A63&quot;/&gt;&lt;wsp:rsid wsp:val=&quot;4A4F6337&quot;/&gt;&lt;wsp:rsid wsp:val=&quot;4A504002&quot;/&gt;&lt;wsp:rsid wsp:val=&quot;4A510301&quot;/&gt;&lt;wsp:rsid wsp:val=&quot;4A513E5D&quot;/&gt;&lt;wsp:rsid wsp:val=&quot;4A534079&quot;/&gt;&lt;wsp:rsid wsp:val=&quot;4A54394D&quot;/&gt;&lt;wsp:rsid wsp:val=&quot;4A565917&quot;/&gt;&lt;wsp:rsid wsp:val=&quot;4A5673B8&quot;/&gt;&lt;wsp:rsid wsp:val=&quot;4A58168F&quot;/&gt;&lt;wsp:rsid wsp:val=&quot;4A5971B6&quot;/&gt;&lt;wsp:rsid wsp:val=&quot;4A5B4858&quot;/&gt;&lt;wsp:rsid wsp:val=&quot;4A5B4CDC&quot;/&gt;&lt;wsp:rsid wsp:val=&quot;4A5C2802&quot;/&gt;&lt;wsp:rsid wsp:val=&quot;4A5D7909&quot;/&gt;&lt;wsp:rsid wsp:val=&quot;4A5E47CC&quot;/&gt;&lt;wsp:rsid wsp:val=&quot;4A5F23F3&quot;/&gt;&lt;wsp:rsid wsp:val=&quot;4A5F4669&quot;/&gt;&lt;wsp:rsid wsp:val=&quot;4A5F7E10&quot;/&gt;&lt;wsp:rsid wsp:val=&quot;4A6022F2&quot;/&gt;&lt;wsp:rsid wsp:val=&quot;4A60274A&quot;/&gt;&lt;wsp:rsid wsp:val=&quot;4A606796&quot;/&gt;&lt;wsp:rsid wsp:val=&quot;4A616416&quot;/&gt;&lt;wsp:rsid wsp:val=&quot;4A653DAC&quot;/&gt;&lt;wsp:rsid wsp:val=&quot;4A655B5A&quot;/&gt;&lt;wsp:rsid wsp:val=&quot;4A657908&quot;/&gt;&lt;wsp:rsid wsp:val=&quot;4A6643F5&quot;/&gt;&lt;wsp:rsid wsp:val=&quot;4A680F8A&quot;/&gt;&lt;wsp:rsid wsp:val=&quot;4A6950C0&quot;/&gt;&lt;wsp:rsid wsp:val=&quot;4A6A177C&quot;/&gt;&lt;wsp:rsid wsp:val=&quot;4A6A7ED1&quot;/&gt;&lt;wsp:rsid wsp:val=&quot;4A6E2C61&quot;/&gt;&lt;wsp:rsid wsp:val=&quot;4A6F2535&quot;/&gt;&lt;wsp:rsid wsp:val=&quot;4A7144FF&quot;/&gt;&lt;wsp:rsid wsp:val=&quot;4A742241&quot;/&gt;&lt;wsp:rsid wsp:val=&quot;4A745D9D&quot;/&gt;&lt;wsp:rsid wsp:val=&quot;4A761B16&quot;/&gt;&lt;wsp:rsid wsp:val=&quot;4A77763C&quot;/&gt;&lt;wsp:rsid wsp:val=&quot;4A783AE0&quot;/&gt;&lt;wsp:rsid wsp:val=&quot;4A783D80&quot;/&gt;&lt;wsp:rsid wsp:val=&quot;4A791606&quot;/&gt;&lt;wsp:rsid wsp:val=&quot;4A7B576F&quot;/&gt;&lt;wsp:rsid wsp:val=&quot;4A7B715E&quot;/&gt;&lt;wsp:rsid wsp:val=&quot;4A7D10F6&quot;/&gt;&lt;wsp:rsid wsp:val=&quot;4A7D4C52&quot;/&gt;&lt;wsp:rsid wsp:val=&quot;4A7E09CA&quot;/&gt;&lt;wsp:rsid wsp:val=&quot;4A7E6C1C&quot;/&gt;&lt;wsp:rsid wsp:val=&quot;4A800BE6&quot;/&gt;&lt;wsp:rsid wsp:val=&quot;4A802994&quot;/&gt;&lt;wsp:rsid wsp:val=&quot;4A804742&quot;/&gt;&lt;wsp:rsid wsp:val=&quot;4A8050E2&quot;/&gt;&lt;wsp:rsid wsp:val=&quot;4A813BDE&quot;/&gt;&lt;wsp:rsid wsp:val=&quot;4A844A35&quot;/&gt;&lt;wsp:rsid wsp:val=&quot;4A867E13&quot;/&gt;&lt;wsp:rsid wsp:val=&quot;4A895CED&quot;/&gt;&lt;wsp:rsid wsp:val=&quot;4A8A3813&quot;/&gt;&lt;wsp:rsid wsp:val=&quot;4A8A55C1&quot;/&gt;&lt;wsp:rsid wsp:val=&quot;4A8A736F&quot;/&gt;&lt;wsp:rsid wsp:val=&quot;4A8B1862&quot;/&gt;&lt;wsp:rsid wsp:val=&quot;4A8B1C8F&quot;/&gt;&lt;wsp:rsid wsp:val=&quot;4A8E6E5F&quot;/&gt;&lt;wsp:rsid wsp:val=&quot;4A914BA1&quot;/&gt;&lt;wsp:rsid wsp:val=&quot;4A91694F&quot;/&gt;&lt;wsp:rsid wsp:val=&quot;4A9213FA&quot;/&gt;&lt;wsp:rsid wsp:val=&quot;4A934062&quot;/&gt;&lt;wsp:rsid wsp:val=&quot;4A934476&quot;/&gt;&lt;wsp:rsid wsp:val=&quot;4A9401EE&quot;/&gt;&lt;wsp:rsid wsp:val=&quot;4A960CB0&quot;/&gt;&lt;wsp:rsid wsp:val=&quot;4A9621B8&quot;/&gt;&lt;wsp:rsid wsp:val=&quot;4A97677A&quot;/&gt;&lt;wsp:rsid wsp:val=&quot;4A987CDE&quot;/&gt;&lt;wsp:rsid wsp:val=&quot;4A9B332A&quot;/&gt;&lt;wsp:rsid wsp:val=&quot;4A9B5A20&quot;/&gt;&lt;wsp:rsid wsp:val=&quot;4A9D460A&quot;/&gt;&lt;wsp:rsid wsp:val=&quot;4A9D518C&quot;/&gt;&lt;wsp:rsid wsp:val=&quot;4A9D52F4&quot;/&gt;&lt;wsp:rsid wsp:val=&quot;4A9F106C&quot;/&gt;&lt;wsp:rsid wsp:val=&quot;4AA07E96&quot;/&gt;&lt;wsp:rsid wsp:val=&quot;4AA85A47&quot;/&gt;&lt;wsp:rsid wsp:val=&quot;4AA91EEB&quot;/&gt;&lt;wsp:rsid wsp:val=&quot;4AAA17BF&quot;/&gt;&lt;wsp:rsid wsp:val=&quot;4AAA5C63&quot;/&gt;&lt;wsp:rsid wsp:val=&quot;4AAA7A11&quot;/&gt;&lt;wsp:rsid wsp:val=&quot;4AAF5028&quot;/&gt;&lt;wsp:rsid wsp:val=&quot;4AB12B4E&quot;/&gt;&lt;wsp:rsid wsp:val=&quot;4AB35907&quot;/&gt;&lt;wsp:rsid wsp:val=&quot;4AB44DF5&quot;/&gt;&lt;wsp:rsid wsp:val=&quot;4AB62678&quot;/&gt;&lt;wsp:rsid wsp:val=&quot;4AB750AA&quot;/&gt;&lt;wsp:rsid wsp:val=&quot;4AB8212E&quot;/&gt;&lt;wsp:rsid wsp:val=&quot;4ABB1C1E&quot;/&gt;&lt;wsp:rsid wsp:val=&quot;4ABD5996&quot;/&gt;&lt;wsp:rsid wsp:val=&quot;4ABE526B&quot;/&gt;&lt;wsp:rsid wsp:val=&quot;4AC24CA3&quot;/&gt;&lt;wsp:rsid wsp:val=&quot;4AC26B09&quot;/&gt;&lt;wsp:rsid wsp:val=&quot;4AC30B46&quot;/&gt;&lt;wsp:rsid wsp:val=&quot;4AC44249&quot;/&gt;&lt;wsp:rsid wsp:val=&quot;4AC5484B&quot;/&gt;&lt;wsp:rsid wsp:val=&quot;4AC72371&quot;/&gt;&lt;wsp:rsid wsp:val=&quot;4AC7411F&quot;/&gt;&lt;wsp:rsid wsp:val=&quot;4AC9433B&quot;/&gt;&lt;wsp:rsid wsp:val=&quot;4ACA3627&quot;/&gt;&lt;wsp:rsid wsp:val=&quot;4ACA3C0F&quot;/&gt;&lt;wsp:rsid wsp:val=&quot;4ACE54AE&quot;/&gt;&lt;wsp:rsid wsp:val=&quot;4ACE56FC&quot;/&gt;&lt;wsp:rsid wsp:val=&quot;4ACF1226&quot;/&gt;&lt;wsp:rsid wsp:val=&quot;4ACF7478&quot;/&gt;&lt;wsp:rsid wsp:val=&quot;4AD11442&quot;/&gt;&lt;wsp:rsid wsp:val=&quot;4AD131F0&quot;/&gt;&lt;wsp:rsid wsp:val=&quot;4AD36F68&quot;/&gt;&lt;wsp:rsid wsp:val=&quot;4AD4683C&quot;/&gt;&lt;wsp:rsid wsp:val=&quot;4AD52CE0&quot;/&gt;&lt;wsp:rsid wsp:val=&quot;4AD60806&quot;/&gt;&lt;wsp:rsid wsp:val=&quot;4AD66A58&quot;/&gt;&lt;wsp:rsid wsp:val=&quot;4AD93E52&quot;/&gt;&lt;wsp:rsid wsp:val=&quot;4ADA02F6&quot;/&gt;&lt;wsp:rsid wsp:val=&quot;4ADB406F&quot;/&gt;&lt;wsp:rsid wsp:val=&quot;4ADB414F&quot;/&gt;&lt;wsp:rsid wsp:val=&quot;4ADB7BCB&quot;/&gt;&lt;wsp:rsid wsp:val=&quot;4ADD7DE7&quot;/&gt;&lt;wsp:rsid wsp:val=&quot;4ADF3B5F&quot;/&gt;&lt;wsp:rsid wsp:val=&quot;4AE178D7&quot;/&gt;&lt;wsp:rsid wsp:val=&quot;4AE253FD&quot;/&gt;&lt;wsp:rsid wsp:val=&quot;4AE271AB&quot;/&gt;&lt;wsp:rsid wsp:val=&quot;4AE30FC1&quot;/&gt;&lt;wsp:rsid wsp:val=&quot;4AE3378D&quot;/&gt;&lt;wsp:rsid wsp:val=&quot;4AE42F23&quot;/&gt;&lt;wsp:rsid wsp:val=&quot;4AE46501&quot;/&gt;&lt;wsp:rsid wsp:val=&quot;4AE50A49&quot;/&gt;&lt;wsp:rsid wsp:val=&quot;4AE95F80&quot;/&gt;&lt;wsp:rsid wsp:val=&quot;4AE9678B&quot;/&gt;&lt;wsp:rsid wsp:val=&quot;4AEC002A&quot;/&gt;&lt;wsp:rsid wsp:val=&quot;4AEC627C&quot;/&gt;&lt;wsp:rsid wsp:val=&quot;4AEE3DA2&quot;/&gt;&lt;wsp:rsid wsp:val=&quot;4AF01215&quot;/&gt;&lt;wsp:rsid wsp:val=&quot;4AF02D41&quot;/&gt;&lt;wsp:rsid wsp:val=&quot;4AF15640&quot;/&gt;&lt;wsp:rsid wsp:val=&quot;4AF561A9&quot;/&gt;&lt;wsp:rsid wsp:val=&quot;4AF56EDE&quot;/&gt;&lt;wsp:rsid wsp:val=&quot;4AF6582B&quot;/&gt;&lt;wsp:rsid wsp:val=&quot;4AFC5895&quot;/&gt;&lt;wsp:rsid wsp:val=&quot;4AFC5CB6&quot;/&gt;&lt;wsp:rsid wsp:val=&quot;4AFD5D93&quot;/&gt;&lt;wsp:rsid wsp:val=&quot;4AFF7D5D&quot;/&gt;&lt;wsp:rsid wsp:val=&quot;4B00194F&quot;/&gt;&lt;wsp:rsid wsp:val=&quot;4B005883&quot;/&gt;&lt;wsp:rsid wsp:val=&quot;4B02784D&quot;/&gt;&lt;wsp:rsid wsp:val=&quot;4B040C90&quot;/&gt;&lt;wsp:rsid wsp:val=&quot;4B052E99&quot;/&gt;&lt;wsp:rsid wsp:val=&quot;4B06387A&quot;/&gt;&lt;wsp:rsid wsp:val=&quot;4B06733D&quot;/&gt;&lt;wsp:rsid wsp:val=&quot;4B07380E&quot;/&gt;&lt;wsp:rsid wsp:val=&quot;4B076C12&quot;/&gt;&lt;wsp:rsid wsp:val=&quot;4B090429&quot;/&gt;&lt;wsp:rsid wsp:val=&quot;4B094738&quot;/&gt;&lt;wsp:rsid wsp:val=&quot;4B0B1F4A&quot;/&gt;&lt;wsp:rsid wsp:val=&quot;4B0B4954&quot;/&gt;&lt;wsp:rsid wsp:val=&quot;4B0C247A&quot;/&gt;&lt;wsp:rsid wsp:val=&quot;4B0C3F0F&quot;/&gt;&lt;wsp:rsid wsp:val=&quot;4B0F492C&quot;/&gt;&lt;wsp:rsid wsp:val=&quot;4B105AC6&quot;/&gt;&lt;wsp:rsid wsp:val=&quot;4B11183E&quot;/&gt;&lt;wsp:rsid wsp:val=&quot;4B125CE2&quot;/&gt;&lt;wsp:rsid wsp:val=&quot;4B137364&quot;/&gt;&lt;wsp:rsid wsp:val=&quot;4B15132F&quot;/&gt;&lt;wsp:rsid wsp:val=&quot;4B161CE4&quot;/&gt;&lt;wsp:rsid wsp:val=&quot;4B1650A7&quot;/&gt;&lt;wsp:rsid wsp:val=&quot;4B1732F9&quot;/&gt;&lt;wsp:rsid wsp:val=&quot;4B185C8F&quot;/&gt;&lt;wsp:rsid wsp:val=&quot;4B1B446B&quot;/&gt;&lt;wsp:rsid wsp:val=&quot;4B1C090F&quot;/&gt;&lt;wsp:rsid wsp:val=&quot;4B1D6435&quot;/&gt;&lt;wsp:rsid wsp:val=&quot;4B1E1B01&quot;/&gt;&lt;wsp:rsid wsp:val=&quot;4B1F3F5B&quot;/&gt;&lt;wsp:rsid wsp:val=&quot;4B1F5D09&quot;/&gt;&lt;wsp:rsid wsp:val=&quot;4B1F69A1&quot;/&gt;&lt;wsp:rsid wsp:val=&quot;4B201A81&quot;/&gt;&lt;wsp:rsid wsp:val=&quot;4B215F25&quot;/&gt;&lt;wsp:rsid wsp:val=&quot;4B21711C&quot;/&gt;&lt;wsp:rsid wsp:val=&quot;4B217CD3&quot;/&gt;&lt;wsp:rsid wsp:val=&quot;4B2257F9&quot;/&gt;&lt;wsp:rsid wsp:val=&quot;4B245A16&quot;/&gt;&lt;wsp:rsid wsp:val=&quot;4B2477C4&quot;/&gt;&lt;wsp:rsid wsp:val=&quot;4B272E10&quot;/&gt;&lt;wsp:rsid wsp:val=&quot;4B29302C&quot;/&gt;&lt;wsp:rsid wsp:val=&quot;4B294DDA&quot;/&gt;&lt;wsp:rsid wsp:val=&quot;4B2B0B52&quot;/&gt;&lt;wsp:rsid wsp:val=&quot;4B2B6DA4&quot;/&gt;&lt;wsp:rsid wsp:val=&quot;4B2C0426&quot;/&gt;&lt;wsp:rsid wsp:val=&quot;4B2E23F0&quot;/&gt;&lt;wsp:rsid wsp:val=&quot;4B30713C&quot;/&gt;&lt;wsp:rsid wsp:val=&quot;4B3122A9&quot;/&gt;&lt;wsp:rsid wsp:val=&quot;4B325ABF&quot;/&gt;&lt;wsp:rsid wsp:val=&quot;4B3317B5&quot;/&gt;&lt;wsp:rsid wsp:val=&quot;4B33365D&quot;/&gt;&lt;wsp:rsid wsp:val=&quot;4B3519D1&quot;/&gt;&lt;wsp:rsid wsp:val=&quot;4B386DCB&quot;/&gt;&lt;wsp:rsid wsp:val=&quot;4B3A2B43&quot;/&gt;&lt;wsp:rsid wsp:val=&quot;4B3A3171&quot;/&gt;&lt;wsp:rsid wsp:val=&quot;4B3B68BB&quot;/&gt;&lt;wsp:rsid wsp:val=&quot;4B3D6AD7&quot;/&gt;&lt;wsp:rsid wsp:val=&quot;4B3F0E3A&quot;/&gt;&lt;wsp:rsid wsp:val=&quot;4B3F63AB&quot;/&gt;&lt;wsp:rsid wsp:val=&quot;4B412124&quot;/&gt;&lt;wsp:rsid wsp:val=&quot;4B413ED2&quot;/&gt;&lt;wsp:rsid wsp:val=&quot;4B4277BB&quot;/&gt;&lt;wsp:rsid wsp:val=&quot;4B4439C2&quot;/&gt;&lt;wsp:rsid wsp:val=&quot;4B45356B&quot;/&gt;&lt;wsp:rsid wsp:val=&quot;4B46773A&quot;/&gt;&lt;wsp:rsid wsp:val=&quot;4B4734B2&quot;/&gt;&lt;wsp:rsid wsp:val=&quot;4B475260&quot;/&gt;&lt;wsp:rsid wsp:val=&quot;4B4926F7&quot;/&gt;&lt;wsp:rsid wsp:val=&quot;4B49547C&quot;/&gt;&lt;wsp:rsid wsp:val=&quot;4B49722A&quot;/&gt;&lt;wsp:rsid wsp:val=&quot;4B4B2FA2&quot;/&gt;&lt;wsp:rsid wsp:val=&quot;4B4B4D50&quot;/&gt;&lt;wsp:rsid wsp:val=&quot;4B4C0598&quot;/&gt;&lt;wsp:rsid wsp:val=&quot;4B4D6D1A&quot;/&gt;&lt;wsp:rsid wsp:val=&quot;4B4E2A92&quot;/&gt;&lt;wsp:rsid wsp:val=&quot;4B4E47C2&quot;/&gt;&lt;wsp:rsid wsp:val=&quot;4B4E65EF&quot;/&gt;&lt;wsp:rsid wsp:val=&quot;4B501DBF&quot;/&gt;&lt;wsp:rsid wsp:val=&quot;4B504362&quot;/&gt;&lt;wsp:rsid wsp:val=&quot;4B5160DF&quot;/&gt;&lt;wsp:rsid wsp:val=&quot;4B517E8D&quot;/&gt;&lt;wsp:rsid wsp:val=&quot;4B553060&quot;/&gt;&lt;wsp:rsid wsp:val=&quot;4B577B99&quot;/&gt;&lt;wsp:rsid wsp:val=&quot;4B5A1437&quot;/&gt;&lt;wsp:rsid wsp:val=&quot;4B5A158C&quot;/&gt;&lt;wsp:rsid wsp:val=&quot;4B5A31E5&quot;/&gt;&lt;wsp:rsid wsp:val=&quot;4B5A4F93&quot;/&gt;&lt;wsp:rsid wsp:val=&quot;4B5C0462&quot;/&gt;&lt;wsp:rsid wsp:val=&quot;4B5D43C3&quot;/&gt;&lt;wsp:rsid wsp:val=&quot;4B5E0F27&quot;/&gt;&lt;wsp:rsid wsp:val=&quot;4B5E27BB&quot;/&gt;&lt;wsp:rsid wsp:val=&quot;4B5F07FC&quot;/&gt;&lt;wsp:rsid wsp:val=&quot;4B5F25AA&quot;/&gt;&lt;wsp:rsid wsp:val=&quot;4B5F4CCF&quot;/&gt;&lt;wsp:rsid wsp:val=&quot;4B5F6A4E&quot;/&gt;&lt;wsp:rsid wsp:val=&quot;4B6422B6&quot;/&gt;&lt;wsp:rsid wsp:val=&quot;4B645E12&quot;/&gt;&lt;wsp:rsid wsp:val=&quot;4B661B8A&quot;/&gt;&lt;wsp:rsid wsp:val=&quot;4B685902&quot;/&gt;&lt;wsp:rsid wsp:val=&quot;4B690F9E&quot;/&gt;&lt;wsp:rsid wsp:val=&quot;4B6978CC&quot;/&gt;&lt;wsp:rsid wsp:val=&quot;4B6C2A28&quot;/&gt;&lt;wsp:rsid wsp:val=&quot;4B6E6C91&quot;/&gt;&lt;wsp:rsid wsp:val=&quot;4B700C5B&quot;/&gt;&lt;wsp:rsid wsp:val=&quot;4B702839&quot;/&gt;&lt;wsp:rsid wsp:val=&quot;4B713CC9&quot;/&gt;&lt;wsp:rsid wsp:val=&quot;4B720F60&quot;/&gt;&lt;wsp:rsid wsp:val=&quot;4B726781&quot;/&gt;&lt;wsp:rsid wsp:val=&quot;4B731338&quot;/&gt;&lt;wsp:rsid wsp:val=&quot;4B75001F&quot;/&gt;&lt;wsp:rsid wsp:val=&quot;4B771FE9&quot;/&gt;&lt;wsp:rsid wsp:val=&quot;4B773D97&quot;/&gt;&lt;wsp:rsid wsp:val=&quot;4B775B45&quot;/&gt;&lt;wsp:rsid wsp:val=&quot;4B7763FA&quot;/&gt;&lt;wsp:rsid wsp:val=&quot;4B7818BD&quot;/&gt;&lt;wsp:rsid wsp:val=&quot;4B7A5635&quot;/&gt;&lt;wsp:rsid wsp:val=&quot;4B7C315C&quot;/&gt;&lt;wsp:rsid wsp:val=&quot;4B7D0C82&quot;/&gt;&lt;wsp:rsid wsp:val=&quot;4B7D6ED4&quot;/&gt;&lt;wsp:rsid wsp:val=&quot;4B7E5126&quot;/&gt;&lt;wsp:rsid wsp:val=&quot;4B7F0E9E&quot;/&gt;&lt;wsp:rsid wsp:val=&quot;4B7F49FA&quot;/&gt;&lt;wsp:rsid wsp:val=&quot;4B802B6C&quot;/&gt;&lt;wsp:rsid wsp:val=&quot;4B814C16&quot;/&gt;&lt;wsp:rsid wsp:val=&quot;4B8169C4&quot;/&gt;&lt;wsp:rsid wsp:val=&quot;4B840262&quot;/&gt;&lt;wsp:rsid wsp:val=&quot;4B840CAF&quot;/&gt;&lt;wsp:rsid wsp:val=&quot;4B865D88&quot;/&gt;&lt;wsp:rsid wsp:val=&quot;4B87246A&quot;/&gt;&lt;wsp:rsid wsp:val=&quot;4B8767C0&quot;/&gt;&lt;wsp:rsid wsp:val=&quot;4B877630&quot;/&gt;&lt;wsp:rsid wsp:val=&quot;4B885FA4&quot;/&gt;&lt;wsp:rsid wsp:val=&quot;4B887D52&quot;/&gt;&lt;wsp:rsid wsp:val=&quot;4B896A9B&quot;/&gt;&lt;wsp:rsid wsp:val=&quot;4B8A1D1C&quot;/&gt;&lt;wsp:rsid wsp:val=&quot;4B8B7843&quot;/&gt;&lt;wsp:rsid wsp:val=&quot;4B8E10E1&quot;/&gt;&lt;wsp:rsid wsp:val=&quot;4B8F4681&quot;/&gt;&lt;wsp:rsid wsp:val=&quot;4B8F7333&quot;/&gt;&lt;wsp:rsid wsp:val=&quot;4B92297F&quot;/&gt;&lt;wsp:rsid wsp:val=&quot;4B92472D&quot;/&gt;&lt;wsp:rsid wsp:val=&quot;4B9366F7&quot;/&gt;&lt;wsp:rsid wsp:val=&quot;4B941C34&quot;/&gt;&lt;wsp:rsid wsp:val=&quot;4B944949&quot;/&gt;&lt;wsp:rsid wsp:val=&quot;4B95421D&quot;/&gt;&lt;wsp:rsid wsp:val=&quot;4B971D44&quot;/&gt;&lt;wsp:rsid wsp:val=&quot;4B9761E7&quot;/&gt;&lt;wsp:rsid wsp:val=&quot;4B983D0E&quot;/&gt;&lt;wsp:rsid wsp:val=&quot;4B985ABC&quot;/&gt;&lt;wsp:rsid wsp:val=&quot;4B99071D&quot;/&gt;&lt;wsp:rsid wsp:val=&quot;4B991F60&quot;/&gt;&lt;wsp:rsid wsp:val=&quot;4B9A5CD8&quot;/&gt;&lt;wsp:rsid wsp:val=&quot;4B9C1A50&quot;/&gt;&lt;wsp:rsid wsp:val=&quot;4B9E1324&quot;/&gt;&lt;wsp:rsid wsp:val=&quot;4BA17066&quot;/&gt;&lt;wsp:rsid wsp:val=&quot;4BA206E8&quot;/&gt;&lt;wsp:rsid wsp:val=&quot;4BA21C67&quot;/&gt;&lt;wsp:rsid wsp:val=&quot;4BA33D39&quot;/&gt;&lt;wsp:rsid wsp:val=&quot;4BA40904&quot;/&gt;&lt;wsp:rsid wsp:val=&quot;4BA44460&quot;/&gt;&lt;wsp:rsid wsp:val=&quot;4BA52BB9&quot;/&gt;&lt;wsp:rsid wsp:val=&quot;4BA71C39&quot;/&gt;&lt;wsp:rsid wsp:val=&quot;4BA821A3&quot;/&gt;&lt;wsp:rsid wsp:val=&quot;4BA9153A&quot;/&gt;&lt;wsp:rsid wsp:val=&quot;4BA91A77&quot;/&gt;&lt;wsp:rsid wsp:val=&quot;4BA91AAB&quot;/&gt;&lt;wsp:rsid wsp:val=&quot;4BA970E3&quot;/&gt;&lt;wsp:rsid wsp:val=&quot;4BAD5EA2&quot;/&gt;&lt;wsp:rsid wsp:val=&quot;4BB02E05&quot;/&gt;&lt;wsp:rsid wsp:val=&quot;4BB30498&quot;/&gt;&lt;wsp:rsid wsp:val=&quot;4BB46D99&quot;/&gt;&lt;wsp:rsid wsp:val=&quot;4BB5511B&quot;/&gt;&lt;wsp:rsid wsp:val=&quot;4BB723E6&quot;/&gt;&lt;wsp:rsid wsp:val=&quot;4BB943B0&quot;/&gt;&lt;wsp:rsid wsp:val=&quot;4BBA1ED6&quot;/&gt;&lt;wsp:rsid wsp:val=&quot;4BBB2839&quot;/&gt;&lt;wsp:rsid wsp:val=&quot;4BBC369E&quot;/&gt;&lt;wsp:rsid wsp:val=&quot;4BBC79FC&quot;/&gt;&lt;wsp:rsid wsp:val=&quot;4BBF129A&quot;/&gt;&lt;wsp:rsid wsp:val=&quot;4BC114B6&quot;/&gt;&lt;wsp:rsid wsp:val=&quot;4BC13264&quot;/&gt;&lt;wsp:rsid wsp:val=&quot;4BC23325&quot;/&gt;&lt;wsp:rsid wsp:val=&quot;4BC44B03&quot;/&gt;&lt;wsp:rsid wsp:val=&quot;4BC52D55&quot;/&gt;&lt;wsp:rsid wsp:val=&quot;4BC61BE3&quot;/&gt;&lt;wsp:rsid wsp:val=&quot;4BC66ACD&quot;/&gt;&lt;wsp:rsid wsp:val=&quot;4BC82845&quot;/&gt;&lt;wsp:rsid wsp:val=&quot;4BCD39B7&quot;/&gt;&lt;wsp:rsid wsp:val=&quot;4BCE772F&quot;/&gt;&lt;wsp:rsid wsp:val=&quot;4BCF3BD3&quot;/&gt;&lt;wsp:rsid wsp:val=&quot;4BCF5981&quot;/&gt;&lt;wsp:rsid wsp:val=&quot;4BD016F9&quot;/&gt;&lt;wsp:rsid wsp:val=&quot;4BD034A7&quot;/&gt;&lt;wsp:rsid wsp:val=&quot;4BD25472&quot;/&gt;&lt;wsp:rsid wsp:val=&quot;4BD27220&quot;/&gt;&lt;wsp:rsid wsp:val=&quot;4BD411EA&quot;/&gt;&lt;wsp:rsid wsp:val=&quot;4BD55C61&quot;/&gt;&lt;wsp:rsid wsp:val=&quot;4BD72E77&quot;/&gt;&lt;wsp:rsid wsp:val=&quot;4BD76182&quot;/&gt;&lt;wsp:rsid wsp:val=&quot;4BDB2578&quot;/&gt;&lt;wsp:rsid wsp:val=&quot;4BDC1E4C&quot;/&gt;&lt;wsp:rsid wsp:val=&quot;4BDC3BFA&quot;/&gt;&lt;wsp:rsid wsp:val=&quot;4BDD789B&quot;/&gt;&lt;wsp:rsid wsp:val=&quot;4BDE0179&quot;/&gt;&lt;wsp:rsid wsp:val=&quot;4BE13124&quot;/&gt;&lt;wsp:rsid wsp:val=&quot;4BE156B5&quot;/&gt;&lt;wsp:rsid wsp:val=&quot;4BE16C8F&quot;/&gt;&lt;wsp:rsid wsp:val=&quot;4BE3142D&quot;/&gt;&lt;wsp:rsid wsp:val=&quot;4BE331DB&quot;/&gt;&lt;wsp:rsid wsp:val=&quot;4BE34F89&quot;/&gt;&lt;wsp:rsid wsp:val=&quot;4BE551A5&quot;/&gt;&lt;wsp:rsid wsp:val=&quot;4BE5547B&quot;/&gt;&lt;wsp:rsid wsp:val=&quot;4BE60F1D&quot;/&gt;&lt;wsp:rsid wsp:val=&quot;4BE807F1&quot;/&gt;&lt;wsp:rsid wsp:val=&quot;4BE8259F&quot;/&gt;&lt;wsp:rsid wsp:val=&quot;4BE86A43&quot;/&gt;&lt;wsp:rsid wsp:val=&quot;4BE965B6&quot;/&gt;&lt;wsp:rsid wsp:val=&quot;4BEA6BAD&quot;/&gt;&lt;wsp:rsid wsp:val=&quot;4BEB02E1&quot;/&gt;&lt;wsp:rsid wsp:val=&quot;4BEB208F&quot;/&gt;&lt;wsp:rsid wsp:val=&quot;4BEC2AF7&quot;/&gt;&lt;wsp:rsid wsp:val=&quot;4BED22AB&quot;/&gt;&lt;wsp:rsid wsp:val=&quot;4BED5E07&quot;/&gt;&lt;wsp:rsid wsp:val=&quot;4BEF7DD1&quot;/&gt;&lt;wsp:rsid wsp:val=&quot;4BF2341E&quot;/&gt;&lt;wsp:rsid wsp:val=&quot;4BF40CCA&quot;/&gt;&lt;wsp:rsid wsp:val=&quot;4BF43ADF&quot;/&gt;&lt;wsp:rsid wsp:val=&quot;4BF61160&quot;/&gt;&lt;wsp:rsid wsp:val=&quot;4BF663FF&quot;/&gt;&lt;wsp:rsid wsp:val=&quot;4BF70A34&quot;/&gt;&lt;wsp:rsid wsp:val=&quot;4BF9178D&quot;/&gt;&lt;wsp:rsid wsp:val=&quot;4BF929FE&quot;/&gt;&lt;wsp:rsid wsp:val=&quot;4BF947AC&quot;/&gt;&lt;wsp:rsid wsp:val=&quot;4BFA0524&quot;/&gt;&lt;wsp:rsid wsp:val=&quot;4BFA22D2&quot;/&gt;&lt;wsp:rsid wsp:val=&quot;4BFB6776&quot;/&gt;&lt;wsp:rsid wsp:val=&quot;4BFC29D2&quot;/&gt;&lt;wsp:rsid wsp:val=&quot;4BFF74B1&quot;/&gt;&lt;wsp:rsid wsp:val=&quot;4C001FDF&quot;/&gt;&lt;wsp:rsid wsp:val=&quot;4C013661&quot;/&gt;&lt;wsp:rsid wsp:val=&quot;4C017B05&quot;/&gt;&lt;wsp:rsid wsp:val=&quot;4C021DCA&quot;/&gt;&lt;wsp:rsid wsp:val=&quot;4C03387D&quot;/&gt;&lt;wsp:rsid wsp:val=&quot;4C03562B&quot;/&gt;&lt;wsp:rsid wsp:val=&quot;4C043151&quot;/&gt;&lt;wsp:rsid wsp:val=&quot;4C047F21&quot;/&gt;&lt;wsp:rsid wsp:val=&quot;4C0513A3&quot;/&gt;&lt;wsp:rsid wsp:val=&quot;4C0575F5&quot;/&gt;&lt;wsp:rsid wsp:val=&quot;4C066EC9&quot;/&gt;&lt;wsp:rsid wsp:val=&quot;4C075C03&quot;/&gt;&lt;wsp:rsid wsp:val=&quot;4C082C41&quot;/&gt;&lt;wsp:rsid wsp:val=&quot;4C0849EF&quot;/&gt;&lt;wsp:rsid wsp:val=&quot;4C0A5D05&quot;/&gt;&lt;wsp:rsid wsp:val=&quot;4C0A69B9&quot;/&gt;&lt;wsp:rsid wsp:val=&quot;4C0B44E0&quot;/&gt;&lt;wsp:rsid wsp:val=&quot;4C0D0258&quot;/&gt;&lt;wsp:rsid wsp:val=&quot;4C0D2006&quot;/&gt;&lt;wsp:rsid wsp:val=&quot;4C0F06E7&quot;/&gt;&lt;wsp:rsid wsp:val=&quot;4C1118B9&quot;/&gt;&lt;wsp:rsid wsp:val=&quot;4C123AC0&quot;/&gt;&lt;wsp:rsid wsp:val=&quot;4C15710C&quot;/&gt;&lt;wsp:rsid wsp:val=&quot;4C166E79&quot;/&gt;&lt;wsp:rsid wsp:val=&quot;4C1C493F&quot;/&gt;&lt;wsp:rsid wsp:val=&quot;4C1D417B&quot;/&gt;&lt;wsp:rsid wsp:val=&quot;4C213D03&quot;/&gt;&lt;wsp:rsid wsp:val=&quot;4C22541C&quot;/&gt;&lt;wsp:rsid wsp:val=&quot;4C231829&quot;/&gt;&lt;wsp:rsid wsp:val=&quot;4C2537F3&quot;/&gt;&lt;wsp:rsid wsp:val=&quot;4C26756B&quot;/&gt;&lt;wsp:rsid wsp:val=&quot;4C2757BD&quot;/&gt;&lt;wsp:rsid wsp:val=&quot;4C2B2638&quot;/&gt;&lt;wsp:rsid wsp:val=&quot;4C2B6930&quot;/&gt;&lt;wsp:rsid wsp:val=&quot;4C2B7D90&quot;/&gt;&lt;wsp:rsid wsp:val=&quot;4C2D08FA&quot;/&gt;&lt;wsp:rsid wsp:val=&quot;4C2D26A8&quot;/&gt;&lt;wsp:rsid wsp:val=&quot;4C2F6420&quot;/&gt;&lt;wsp:rsid wsp:val=&quot;4C312198&quot;/&gt;&lt;wsp:rsid wsp:val=&quot;4C32762D&quot;/&gt;&lt;wsp:rsid wsp:val=&quot;4C327CBE&quot;/&gt;&lt;wsp:rsid wsp:val=&quot;4C350CC1&quot;/&gt;&lt;wsp:rsid wsp:val=&quot;4C35155C&quot;/&gt;&lt;wsp:rsid wsp:val=&quot;4C386A69&quot;/&gt;&lt;wsp:rsid wsp:val=&quot;4C3954F1&quot;/&gt;&lt;wsp:rsid wsp:val=&quot;4C39729F&quot;/&gt;&lt;wsp:rsid wsp:val=&quot;4C3A4136&quot;/&gt;&lt;wsp:rsid wsp:val=&quot;4C3B4DC5&quot;/&gt;&lt;wsp:rsid wsp:val=&quot;4C3D7453&quot;/&gt;&lt;wsp:rsid wsp:val=&quot;4C3E48B5&quot;/&gt;&lt;wsp:rsid wsp:val=&quot;4C3F4944&quot;/&gt;&lt;wsp:rsid wsp:val=&quot;4C420F31&quot;/&gt;&lt;wsp:rsid wsp:val=&quot;4C4243A5&quot;/&gt;&lt;wsp:rsid wsp:val=&quot;4C42674D&quot;/&gt;&lt;wsp:rsid wsp:val=&quot;4C453E95&quot;/&gt;&lt;wsp:rsid wsp:val=&quot;4C4579F1&quot;/&gt;&lt;wsp:rsid wsp:val=&quot;4C4719BC&quot;/&gt;&lt;wsp:rsid wsp:val=&quot;4C481290&quot;/&gt;&lt;wsp:rsid wsp:val=&quot;4C487137&quot;/&gt;&lt;wsp:rsid wsp:val=&quot;4C4874E2&quot;/&gt;&lt;wsp:rsid wsp:val=&quot;4C4905C7&quot;/&gt;&lt;wsp:rsid wsp:val=&quot;4C4A0649&quot;/&gt;&lt;wsp:rsid wsp:val=&quot;4C4A5008&quot;/&gt;&lt;wsp:rsid wsp:val=&quot;4C4C4C60&quot;/&gt;&lt;wsp:rsid wsp:val=&quot;4C4C5224&quot;/&gt;&lt;wsp:rsid wsp:val=&quot;4C4C6FD2&quot;/&gt;&lt;wsp:rsid wsp:val=&quot;4C4D2D4A&quot;/&gt;&lt;wsp:rsid wsp:val=&quot;4C5145E8&quot;/&gt;&lt;wsp:rsid wsp:val=&quot;4C520360&quot;/&gt;&lt;wsp:rsid wsp:val=&quot;4C52192A&quot;/&gt;&lt;wsp:rsid wsp:val=&quot;4C545E87&quot;/&gt;&lt;wsp:rsid wsp:val=&quot;4C583BC9&quot;/&gt;&lt;wsp:rsid wsp:val=&quot;4C59524B&quot;/&gt;&lt;wsp:rsid wsp:val=&quot;4C5B0FC3&quot;/&gt;&lt;wsp:rsid wsp:val=&quot;4C5C30FA&quot;/&gt;&lt;wsp:rsid wsp:val=&quot;4C5C4D3B&quot;/&gt;&lt;wsp:rsid wsp:val=&quot;4C5D389F&quot;/&gt;&lt;wsp:rsid wsp:val=&quot;4C5E0AB3&quot;/&gt;&lt;wsp:rsid wsp:val=&quot;4C60511C&quot;/&gt;&lt;wsp:rsid wsp:val=&quot;4C612351&quot;/&gt;&lt;wsp:rsid wsp:val=&quot;4C61684E&quot;/&gt;&lt;wsp:rsid wsp:val=&quot;4C6351FA&quot;/&gt;&lt;wsp:rsid wsp:val=&quot;4C6360CA&quot;/&gt;&lt;wsp:rsid wsp:val=&quot;4C653BF0&quot;/&gt;&lt;wsp:rsid wsp:val=&quot;4C6629F9&quot;/&gt;&lt;wsp:rsid wsp:val=&quot;4C667968&quot;/&gt;&lt;wsp:rsid wsp:val=&quot;4C675BBA&quot;/&gt;&lt;wsp:rsid wsp:val=&quot;4C681932&quot;/&gt;&lt;wsp:rsid wsp:val=&quot;4C6836E0&quot;/&gt;&lt;wsp:rsid wsp:val=&quot;4C6875C8&quot;/&gt;&lt;wsp:rsid wsp:val=&quot;4C697BB1&quot;/&gt;&lt;wsp:rsid wsp:val=&quot;4C6A1A89&quot;/&gt;&lt;wsp:rsid wsp:val=&quot;4C6A38FC&quot;/&gt;&lt;wsp:rsid wsp:val=&quot;4C6A56AA&quot;/&gt;&lt;wsp:rsid wsp:val=&quot;4C6B6D2A&quot;/&gt;&lt;wsp:rsid wsp:val=&quot;4C6D6718&quot;/&gt;&lt;wsp:rsid wsp:val=&quot;4C6D75CC&quot;/&gt;&lt;wsp:rsid wsp:val=&quot;4C6F66CA&quot;/&gt;&lt;wsp:rsid wsp:val=&quot;4C7072A9&quot;/&gt;&lt;wsp:rsid wsp:val=&quot;4C7107E7&quot;/&gt;&lt;wsp:rsid wsp:val=&quot;4C716343&quot;/&gt;&lt;wsp:rsid wsp:val=&quot;4C7223A4&quot;/&gt;&lt;wsp:rsid wsp:val=&quot;4C72455F&quot;/&gt;&lt;wsp:rsid wsp:val=&quot;4C7327B1&quot;/&gt;&lt;wsp:rsid wsp:val=&quot;4C7402D7&quot;/&gt;&lt;wsp:rsid wsp:val=&quot;4C746529&quot;/&gt;&lt;wsp:rsid wsp:val=&quot;4C755810&quot;/&gt;&lt;wsp:rsid wsp:val=&quot;4C765DFD&quot;/&gt;&lt;wsp:rsid wsp:val=&quot;4C771B75&quot;/&gt;&lt;wsp:rsid wsp:val=&quot;4C787DC7&quot;/&gt;&lt;wsp:rsid wsp:val=&quot;4C7C3456&quot;/&gt;&lt;wsp:rsid wsp:val=&quot;4C7C718B&quot;/&gt;&lt;wsp:rsid wsp:val=&quot;4C7D53DD&quot;/&gt;&lt;wsp:rsid wsp:val=&quot;4C7E1155&quot;/&gt;&lt;wsp:rsid wsp:val=&quot;4C7E5ECA&quot;/&gt;&lt;wsp:rsid wsp:val=&quot;4C800A2A&quot;/&gt;&lt;wsp:rsid wsp:val=&quot;4C8229F4&quot;/&gt;&lt;wsp:rsid wsp:val=&quot;4C83051A&quot;/&gt;&lt;wsp:rsid wsp:val=&quot;4C830758&quot;/&gt;&lt;wsp:rsid wsp:val=&quot;4C83676C&quot;/&gt;&lt;wsp:rsid wsp:val=&quot;4C846497&quot;/&gt;&lt;wsp:rsid wsp:val=&quot;4C8524E4&quot;/&gt;&lt;wsp:rsid wsp:val=&quot;4C876AA5&quot;/&gt;&lt;wsp:rsid wsp:val=&quot;4C885B30&quot;/&gt;&lt;wsp:rsid wsp:val=&quot;4C8A18A8&quot;/&gt;&lt;wsp:rsid wsp:val=&quot;4C8A5D4C&quot;/&gt;&lt;wsp:rsid wsp:val=&quot;4C8C5620&quot;/&gt;&lt;wsp:rsid wsp:val=&quot;4C8C73CE&quot;/&gt;&lt;wsp:rsid wsp:val=&quot;4C8D1398&quot;/&gt;&lt;wsp:rsid wsp:val=&quot;4C8E1C01&quot;/&gt;&lt;wsp:rsid wsp:val=&quot;4C8E6385&quot;/&gt;&lt;wsp:rsid wsp:val=&quot;4C8E75EA&quot;/&gt;&lt;wsp:rsid wsp:val=&quot;4C8F3363&quot;/&gt;&lt;wsp:rsid wsp:val=&quot;4C8F5111&quot;/&gt;&lt;wsp:rsid wsp:val=&quot;4C910CDE&quot;/&gt;&lt;wsp:rsid wsp:val=&quot;4C912C37&quot;/&gt;&lt;wsp:rsid wsp:val=&quot;4C9149E5&quot;/&gt;&lt;wsp:rsid wsp:val=&quot;4C92075D&quot;/&gt;&lt;wsp:rsid wsp:val=&quot;4C96451A&quot;/&gt;&lt;wsp:rsid wsp:val=&quot;4C982217&quot;/&gt;&lt;wsp:rsid wsp:val=&quot;4C98712A&quot;/&gt;&lt;wsp:rsid wsp:val=&quot;4C9946C1&quot;/&gt;&lt;wsp:rsid wsp:val=&quot;4C9954BD&quot;/&gt;&lt;wsp:rsid wsp:val=&quot;4C995F8F&quot;/&gt;&lt;wsp:rsid wsp:val=&quot;4C9D782D&quot;/&gt;&lt;wsp:rsid wsp:val=&quot;4C9E5354&quot;/&gt;&lt;wsp:rsid wsp:val=&quot;4CA23096&quot;/&gt;&lt;wsp:rsid wsp:val=&quot;4CA3296A&quot;/&gt;&lt;wsp:rsid wsp:val=&quot;4CA46E0E&quot;/&gt;&lt;wsp:rsid wsp:val=&quot;4CA566E2&quot;/&gt;&lt;wsp:rsid wsp:val=&quot;4CA94424&quot;/&gt;&lt;wsp:rsid wsp:val=&quot;4CAA3CF8&quot;/&gt;&lt;wsp:rsid wsp:val=&quot;4CAA6CED&quot;/&gt;&lt;wsp:rsid wsp:val=&quot;4CAC1679&quot;/&gt;&lt;wsp:rsid wsp:val=&quot;4CAC7A71&quot;/&gt;&lt;wsp:rsid wsp:val=&quot;4CAF57B3&quot;/&gt;&lt;wsp:rsid wsp:val=&quot;4CB132D9&quot;/&gt;&lt;wsp:rsid wsp:val=&quot;4CB15087&quot;/&gt;&lt;wsp:rsid wsp:val=&quot;4CB16E35&quot;/&gt;&lt;wsp:rsid wsp:val=&quot;4CB22BAD&quot;/&gt;&lt;wsp:rsid wsp:val=&quot;4CB30DFF&quot;/&gt;&lt;wsp:rsid wsp:val=&quot;4CB42DC9&quot;/&gt;&lt;wsp:rsid wsp:val=&quot;4CB44B77&quot;/&gt;&lt;wsp:rsid wsp:val=&quot;4CB77211&quot;/&gt;&lt;wsp:rsid wsp:val=&quot;4CB86415&quot;/&gt;&lt;wsp:rsid wsp:val=&quot;4CB964AE&quot;/&gt;&lt;wsp:rsid wsp:val=&quot;4CBA03DF&quot;/&gt;&lt;wsp:rsid wsp:val=&quot;4CBA1E8E&quot;/&gt;&lt;wsp:rsid wsp:val=&quot;4CBB4158&quot;/&gt;&lt;wsp:rsid wsp:val=&quot;4CBB56D2&quot;/&gt;&lt;wsp:rsid wsp:val=&quot;4CBD1C7E&quot;/&gt;&lt;wsp:rsid wsp:val=&quot;4CC21042&quot;/&gt;&lt;wsp:rsid wsp:val=&quot;4CC254E6&quot;/&gt;&lt;wsp:rsid wsp:val=&quot;4CC27294&quot;/&gt;&lt;wsp:rsid wsp:val=&quot;4CC41C4C&quot;/&gt;&lt;wsp:rsid wsp:val=&quot;4CC530DC&quot;/&gt;&lt;wsp:rsid wsp:val=&quot;4CC56D84&quot;/&gt;&lt;wsp:rsid wsp:val=&quot;4CC759FC&quot;/&gt;&lt;wsp:rsid wsp:val=&quot;4CC76658&quot;/&gt;&lt;wsp:rsid wsp:val=&quot;4CCA6149&quot;/&gt;&lt;wsp:rsid wsp:val=&quot;4CCE5C39&quot;/&gt;&lt;wsp:rsid wsp:val=&quot;4CCE79E7&quot;/&gt;&lt;wsp:rsid wsp:val=&quot;4CD174D7&quot;/&gt;&lt;wsp:rsid wsp:val=&quot;4CD55219&quot;/&gt;&lt;wsp:rsid wsp:val=&quot;4CD75362&quot;/&gt;&lt;wsp:rsid wsp:val=&quot;4CD86981&quot;/&gt;&lt;wsp:rsid wsp:val=&quot;4CD945DE&quot;/&gt;&lt;wsp:rsid wsp:val=&quot;4CD9638C&quot;/&gt;&lt;wsp:rsid wsp:val=&quot;4CDA2830&quot;/&gt;&lt;wsp:rsid wsp:val=&quot;4CDB65A8&quot;/&gt;&lt;wsp:rsid wsp:val=&quot;4CDB69D9&quot;/&gt;&lt;wsp:rsid wsp:val=&quot;4CDF6854&quot;/&gt;&lt;wsp:rsid wsp:val=&quot;4CE0596C&quot;/&gt;&lt;wsp:rsid wsp:val=&quot;4CE0733C&quot;/&gt;&lt;wsp:rsid wsp:val=&quot;4CE0771A&quot;/&gt;&lt;wsp:rsid wsp:val=&quot;4CE16DED&quot;/&gt;&lt;wsp:rsid wsp:val=&quot;4CE216E4&quot;/&gt;&lt;wsp:rsid wsp:val=&quot;4CE27936&quot;/&gt;&lt;wsp:rsid wsp:val=&quot;4CE81E37&quot;/&gt;&lt;wsp:rsid wsp:val=&quot;4CE865CF&quot;/&gt;&lt;wsp:rsid wsp:val=&quot;4CE90CC5&quot;/&gt;&lt;wsp:rsid wsp:val=&quot;4CEA0599&quot;/&gt;&lt;wsp:rsid wsp:val=&quot;4CEC4311&quot;/&gt;&lt;wsp:rsid wsp:val=&quot;4CEC60BF&quot;/&gt;&lt;wsp:rsid wsp:val=&quot;4CEC79C8&quot;/&gt;&lt;wsp:rsid wsp:val=&quot;4CEE62DB&quot;/&gt;&lt;wsp:rsid wsp:val=&quot;4CEE7DBE&quot;/&gt;&lt;wsp:rsid wsp:val=&quot;4CEF795D&quot;/&gt;&lt;wsp:rsid wsp:val=&quot;4CF11927&quot;/&gt;&lt;wsp:rsid wsp:val=&quot;4CF13A14&quot;/&gt;&lt;wsp:rsid wsp:val=&quot;4CF3744D&quot;/&gt;&lt;wsp:rsid wsp:val=&quot;4CF46BEE&quot;/&gt;&lt;wsp:rsid wsp:val=&quot;4CF4713F&quot;/&gt;&lt;wsp:rsid wsp:val=&quot;4CF663D4&quot;/&gt;&lt;wsp:rsid wsp:val=&quot;4CF74ADB&quot;/&gt;&lt;wsp:rsid wsp:val=&quot;4CFB27A6&quot;/&gt;&lt;wsp:rsid wsp:val=&quot;4CFB6302&quot;/&gt;&lt;wsp:rsid wsp:val=&quot;4CFD1DDD&quot;/&gt;&lt;wsp:rsid wsp:val=&quot;4CFD720C&quot;/&gt;&lt;wsp:rsid wsp:val=&quot;4D001B6A&quot;/&gt;&lt;wsp:rsid wsp:val=&quot;4D023B34&quot;/&gt;&lt;wsp:rsid wsp:val=&quot;4D04165B&quot;/&gt;&lt;wsp:rsid wsp:val=&quot;4D04450E&quot;/&gt;&lt;wsp:rsid wsp:val=&quot;4D0478AD&quot;/&gt;&lt;wsp:rsid wsp:val=&quot;4D0A1ACF&quot;/&gt;&lt;wsp:rsid wsp:val=&quot;4D0A29E9&quot;/&gt;&lt;wsp:rsid wsp:val=&quot;4D0A5EC9&quot;/&gt;&lt;wsp:rsid wsp:val=&quot;4D0C4110&quot;/&gt;&lt;wsp:rsid wsp:val=&quot;4D0E00FB&quot;/&gt;&lt;wsp:rsid wsp:val=&quot;4D0E24D9&quot;/&gt;&lt;wsp:rsid wsp:val=&quot;4D111FCA&quot;/&gt;&lt;wsp:rsid wsp:val=&quot;4D115B26&quot;/&gt;&lt;wsp:rsid wsp:val=&quot;4D130759&quot;/&gt;&lt;wsp:rsid wsp:val=&quot;4D13189E&quot;/&gt;&lt;wsp:rsid wsp:val=&quot;4D135D42&quot;/&gt;&lt;wsp:rsid wsp:val=&quot;4D151ABA&quot;/&gt;&lt;wsp:rsid wsp:val=&quot;4D16138E&quot;/&gt;&lt;wsp:rsid wsp:val=&quot;4D16313C&quot;/&gt;&lt;wsp:rsid wsp:val=&quot;4D172984&quot;/&gt;&lt;wsp:rsid wsp:val=&quot;4D176606&quot;/&gt;&lt;wsp:rsid wsp:val=&quot;4D184E23&quot;/&gt;&lt;wsp:rsid wsp:val=&quot;4D186EB4&quot;/&gt;&lt;wsp:rsid wsp:val=&quot;4D197E75&quot;/&gt;&lt;wsp:rsid wsp:val=&quot;4D1A0E7E&quot;/&gt;&lt;wsp:rsid wsp:val=&quot;4D1B0752&quot;/&gt;&lt;wsp:rsid wsp:val=&quot;4D1B3ED6&quot;/&gt;&lt;wsp:rsid wsp:val=&quot;4D1B69A4&quot;/&gt;&lt;wsp:rsid wsp:val=&quot;4D1D271C&quot;/&gt;&lt;wsp:rsid wsp:val=&quot;4D1D44CA&quot;/&gt;&lt;wsp:rsid wsp:val=&quot;4D1E57A1&quot;/&gt;&lt;wsp:rsid wsp:val=&quot;4D225F85&quot;/&gt;&lt;wsp:rsid wsp:val=&quot;4D227D33&quot;/&gt;&lt;wsp:rsid wsp:val=&quot;4D232668&quot;/&gt;&lt;wsp:rsid wsp:val=&quot;4D241CFD&quot;/&gt;&lt;wsp:rsid wsp:val=&quot;4D243AAB&quot;/&gt;&lt;wsp:rsid wsp:val=&quot;4D2515D1&quot;/&gt;&lt;wsp:rsid wsp:val=&quot;4D27359B&quot;/&gt;&lt;wsp:rsid wsp:val=&quot;4D275349&quot;/&gt;&lt;wsp:rsid wsp:val=&quot;4D2910C1&quot;/&gt;&lt;wsp:rsid wsp:val=&quot;4D2A6BE7&quot;/&gt;&lt;wsp:rsid wsp:val=&quot;4D2C08F7&quot;/&gt;&lt;wsp:rsid wsp:val=&quot;4D2C0BB1&quot;/&gt;&lt;wsp:rsid wsp:val=&quot;4D2E2B7B&quot;/&gt;&lt;wsp:rsid wsp:val=&quot;4D2F41FE&quot;/&gt;&lt;wsp:rsid wsp:val=&quot;4D303567&quot;/&gt;&lt;wsp:rsid wsp:val=&quot;4D330192&quot;/&gt;&lt;wsp:rsid wsp:val=&quot;4D333CEE&quot;/&gt;&lt;wsp:rsid wsp:val=&quot;4D341EAC&quot;/&gt;&lt;wsp:rsid wsp:val=&quot;4D360ADE&quot;/&gt;&lt;wsp:rsid wsp:val=&quot;4D3637DE&quot;/&gt;&lt;wsp:rsid wsp:val=&quot;4D36558C&quot;/&gt;&lt;wsp:rsid wsp:val=&quot;4D371A30&quot;/&gt;&lt;wsp:rsid wsp:val=&quot;4D381304&quot;/&gt;&lt;wsp:rsid wsp:val=&quot;4D387556&quot;/&gt;&lt;wsp:rsid wsp:val=&quot;4D3A507C&quot;/&gt;&lt;wsp:rsid wsp:val=&quot;4D3A5CC6&quot;/&gt;&lt;wsp:rsid wsp:val=&quot;4D3D4B6D&quot;/&gt;&lt;wsp:rsid wsp:val=&quot;4D3F1034&quot;/&gt;&lt;wsp:rsid wsp:val=&quot;4D3F6B37&quot;/&gt;&lt;wsp:rsid wsp:val=&quot;4D4001B9&quot;/&gt;&lt;wsp:rsid wsp:val=&quot;4D41465D&quot;/&gt;&lt;wsp:rsid wsp:val=&quot;4D422183&quot;/&gt;&lt;wsp:rsid wsp:val=&quot;4D4372D2&quot;/&gt;&lt;wsp:rsid wsp:val=&quot;4D467EC5&quot;/&gt;&lt;wsp:rsid wsp:val=&quot;4D47054C&quot;/&gt;&lt;wsp:rsid wsp:val=&quot;4D471547&quot;/&gt;&lt;wsp:rsid wsp:val=&quot;4D4759EB&quot;/&gt;&lt;wsp:rsid wsp:val=&quot;4D477042&quot;/&gt;&lt;wsp:rsid wsp:val=&quot;4D482FBD&quot;/&gt;&lt;wsp:rsid wsp:val=&quot;4D493511&quot;/&gt;&lt;wsp:rsid wsp:val=&quot;4D4C15C3&quot;/&gt;&lt;wsp:rsid wsp:val=&quot;4D4C3002&quot;/&gt;&lt;wsp:rsid wsp:val=&quot;4D502B15&quot;/&gt;&lt;wsp:rsid wsp:val=&quot;4D510618&quot;/&gt;&lt;wsp:rsid wsp:val=&quot;4D5123C6&quot;/&gt;&lt;wsp:rsid wsp:val=&quot;4D5325E2&quot;/&gt;&lt;wsp:rsid wsp:val=&quot;4D534390&quot;/&gt;&lt;wsp:rsid wsp:val=&quot;4D551EB6&quot;/&gt;&lt;wsp:rsid wsp:val=&quot;4D5679DC&quot;/&gt;&lt;wsp:rsid wsp:val=&quot;4D5812A7&quot;/&gt;&lt;wsp:rsid wsp:val=&quot;4D5819A6&quot;/&gt;&lt;wsp:rsid wsp:val=&quot;4D583754&quot;/&gt;&lt;wsp:rsid wsp:val=&quot;4D595308&quot;/&gt;&lt;wsp:rsid wsp:val=&quot;4D5B4FF3&quot;/&gt;&lt;wsp:rsid wsp:val=&quot;4D5D0D6B&quot;/&gt;&lt;wsp:rsid wsp:val=&quot;4D5F4AE3&quot;/&gt;&lt;wsp:rsid wsp:val=&quot;4D602609&quot;/&gt;&lt;wsp:rsid wsp:val=&quot;4D622825&quot;/&gt;&lt;wsp:rsid wsp:val=&quot;4D6420F9&quot;/&gt;&lt;wsp:rsid wsp:val=&quot;4D64659D&quot;/&gt;&lt;wsp:rsid wsp:val=&quot;4D671BE9&quot;/&gt;&lt;wsp:rsid wsp:val=&quot;4D673998&quot;/&gt;&lt;wsp:rsid wsp:val=&quot;4D677E3B&quot;/&gt;&lt;wsp:rsid wsp:val=&quot;4D685965&quot;/&gt;&lt;wsp:rsid wsp:val=&quot;4D693BB4&quot;/&gt;&lt;wsp:rsid wsp:val=&quot;4D697710&quot;/&gt;&lt;wsp:rsid wsp:val=&quot;4D6A36BC&quot;/&gt;&lt;wsp:rsid wsp:val=&quot;4D6B16DA&quot;/&gt;&lt;wsp:rsid wsp:val=&quot;4D6B771C&quot;/&gt;&lt;wsp:rsid wsp:val=&quot;4D6C0FAE&quot;/&gt;&lt;wsp:rsid wsp:val=&quot;4D6D36A4&quot;/&gt;&lt;wsp:rsid wsp:val=&quot;4D6E34CC&quot;/&gt;&lt;wsp:rsid wsp:val=&quot;4D6E4D26&quot;/&gt;&lt;wsp:rsid wsp:val=&quot;4D6E5365&quot;/&gt;&lt;wsp:rsid wsp:val=&quot;4D6F076B&quot;/&gt;&lt;wsp:rsid wsp:val=&quot;4D6F25CD&quot;/&gt;&lt;wsp:rsid wsp:val=&quot;4D714816&quot;/&gt;&lt;wsp:rsid wsp:val=&quot;4D722A68&quot;/&gt;&lt;wsp:rsid wsp:val=&quot;4D735EAE&quot;/&gt;&lt;wsp:rsid wsp:val=&quot;4D754306&quot;/&gt;&lt;wsp:rsid wsp:val=&quot;4D761E2D&quot;/&gt;&lt;wsp:rsid wsp:val=&quot;4D7762D0&quot;/&gt;&lt;wsp:rsid wsp:val=&quot;4D782049&quot;/&gt;&lt;wsp:rsid wsp:val=&quot;4D7A31B0&quot;/&gt;&lt;wsp:rsid wsp:val=&quot;4D7A36CB&quot;/&gt;&lt;wsp:rsid wsp:val=&quot;4D7A7B6F&quot;/&gt;&lt;wsp:rsid wsp:val=&quot;4D7C5695&quot;/&gt;&lt;wsp:rsid wsp:val=&quot;4D7D1B31&quot;/&gt;&lt;wsp:rsid wsp:val=&quot;4D7E765F&quot;/&gt;&lt;wsp:rsid wsp:val=&quot;4D7F3A3B&quot;/&gt;&lt;wsp:rsid wsp:val=&quot;4D806341&quot;/&gt;&lt;wsp:rsid wsp:val=&quot;4D813481&quot;/&gt;&lt;wsp:rsid wsp:val=&quot;4D8207D1&quot;/&gt;&lt;wsp:rsid wsp:val=&quot;4D822DD2&quot;/&gt;&lt;wsp:rsid wsp:val=&quot;4D825583&quot;/&gt;&lt;wsp:rsid wsp:val=&quot;4D84279B&quot;/&gt;&lt;wsp:rsid wsp:val=&quot;4D852E94&quot;/&gt;&lt;wsp:rsid wsp:val=&quot;4D866514&quot;/&gt;&lt;wsp:rsid wsp:val=&quot;4D8B3B2A&quot;/&gt;&lt;wsp:rsid wsp:val=&quot;4D8B6D96&quot;/&gt;&lt;wsp:rsid wsp:val=&quot;4D8D78A2&quot;/&gt;&lt;wsp:rsid wsp:val=&quot;4D8E2F9D&quot;/&gt;&lt;wsp:rsid wsp:val=&quot;4D8E6015&quot;/&gt;&lt;wsp:rsid wsp:val=&quot;4D8F4CCD&quot;/&gt;&lt;wsp:rsid wsp:val=&quot;4D907392&quot;/&gt;&lt;wsp:rsid wsp:val=&quot;4D907FA7&quot;/&gt;&lt;wsp:rsid wsp:val=&quot;4D926C66&quot;/&gt;&lt;wsp:rsid wsp:val=&quot;4D970721&quot;/&gt;&lt;wsp:rsid wsp:val=&quot;4D9724CF&quot;/&gt;&lt;wsp:rsid wsp:val=&quot;4D987FF5&quot;/&gt;&lt;wsp:rsid wsp:val=&quot;4D9A1059&quot;/&gt;&lt;wsp:rsid wsp:val=&quot;4D9A1FBF&quot;/&gt;&lt;wsp:rsid wsp:val=&quot;4D9C1893&quot;/&gt;&lt;wsp:rsid wsp:val=&quot;4DA05427&quot;/&gt;&lt;wsp:rsid wsp:val=&quot;4DA10348&quot;/&gt;&lt;wsp:rsid wsp:val=&quot;4DA10F2C&quot;/&gt;&lt;wsp:rsid wsp:val=&quot;4DA1334D&quot;/&gt;&lt;wsp:rsid wsp:val=&quot;4DA347FE&quot;/&gt;&lt;wsp:rsid wsp:val=&quot;4DA42E3E&quot;/&gt;&lt;wsp:rsid wsp:val=&quot;4DA62712&quot;/&gt;&lt;wsp:rsid wsp:val=&quot;4DA8648A&quot;/&gt;&lt;wsp:rsid wsp:val=&quot;4DA90454&quot;/&gt;&lt;wsp:rsid wsp:val=&quot;4DA92202&quot;/&gt;&lt;wsp:rsid wsp:val=&quot;4DAB24E9&quot;/&gt;&lt;wsp:rsid wsp:val=&quot;4DAB7D28&quot;/&gt;&lt;wsp:rsid wsp:val=&quot;4DAE5A6A&quot;/&gt;&lt;wsp:rsid wsp:val=&quot;4DB12E65&quot;/&gt;&lt;wsp:rsid wsp:val=&quot;4DB43081&quot;/&gt;&lt;wsp:rsid wsp:val=&quot;4DB72B71&quot;/&gt;&lt;wsp:rsid wsp:val=&quot;4DB7491F&quot;/&gt;&lt;wsp:rsid wsp:val=&quot;4DB766CD&quot;/&gt;&lt;wsp:rsid wsp:val=&quot;4DBA440F&quot;/&gt;&lt;wsp:rsid wsp:val=&quot;4DBC3CE3&quot;/&gt;&lt;wsp:rsid wsp:val=&quot;4DBF37D4&quot;/&gt;&lt;wsp:rsid wsp:val=&quot;4DC02D74&quot;/&gt;&lt;wsp:rsid wsp:val=&quot;4DC1754C&quot;/&gt;&lt;wsp:rsid wsp:val=&quot;4DC40DEA&quot;/&gt;&lt;wsp:rsid wsp:val=&quot;4DC4528E&quot;/&gt;&lt;wsp:rsid wsp:val=&quot;4DC66910&quot;/&gt;&lt;wsp:rsid wsp:val=&quot;4DC808DA&quot;/&gt;&lt;wsp:rsid wsp:val=&quot;4DC87525&quot;/&gt;&lt;wsp:rsid wsp:val=&quot;4DC92B2E&quot;/&gt;&lt;wsp:rsid wsp:val=&quot;4DCA432E&quot;/&gt;&lt;wsp:rsid wsp:val=&quot;4DCB25E8&quot;/&gt;&lt;wsp:rsid wsp:val=&quot;4DCB2A58&quot;/&gt;&lt;wsp:rsid wsp:val=&quot;4DCB3F26&quot;/&gt;&lt;wsp:rsid wsp:val=&quot;4DCD4142&quot;/&gt;&lt;wsp:rsid wsp:val=&quot;4DCD5EF0&quot;/&gt;&lt;wsp:rsid wsp:val=&quot;4DCE3A17&quot;/&gt;&lt;wsp:rsid wsp:val=&quot;4DD03170&quot;/&gt;&lt;wsp:rsid wsp:val=&quot;4DD27D5A&quot;/&gt;&lt;wsp:rsid wsp:val=&quot;4DD31631&quot;/&gt;&lt;wsp:rsid wsp:val=&quot;4DD3727F&quot;/&gt;&lt;wsp:rsid wsp:val=&quot;4DD4267A&quot;/&gt;&lt;wsp:rsid wsp:val=&quot;4DD83BCC&quot;/&gt;&lt;wsp:rsid wsp:val=&quot;4DDA23BB&quot;/&gt;&lt;wsp:rsid wsp:val=&quot;4DDC6134&quot;/&gt;&lt;wsp:rsid wsp:val=&quot;4DDD390C&quot;/&gt;&lt;wsp:rsid wsp:val=&quot;4DDE00FE&quot;/&gt;&lt;wsp:rsid wsp:val=&quot;4DDE7A3E&quot;/&gt;&lt;wsp:rsid wsp:val=&quot;4DE1199C&quot;/&gt;&lt;wsp:rsid wsp:val=&quot;4DE30CDF&quot;/&gt;&lt;wsp:rsid wsp:val=&quot;4DE35714&quot;/&gt;&lt;wsp:rsid wsp:val=&quot;4DE66FB2&quot;/&gt;&lt;wsp:rsid wsp:val=&quot;4DE730E2&quot;/&gt;&lt;wsp:rsid wsp:val=&quot;4DE82D2A&quot;/&gt;&lt;wsp:rsid wsp:val=&quot;4DEA4CF4&quot;/&gt;&lt;wsp:rsid wsp:val=&quot;4DEB281B&quot;/&gt;&lt;wsp:rsid wsp:val=&quot;4DEC4FB0&quot;/&gt;&lt;wsp:rsid wsp:val=&quot;4DED6593&quot;/&gt;&lt;wsp:rsid wsp:val=&quot;4DF15EB4&quot;/&gt;&lt;wsp:rsid wsp:val=&quot;4DF257A0&quot;/&gt;&lt;wsp:rsid wsp:val=&quot;4DF55447&quot;/&gt;&lt;wsp:rsid wsp:val=&quot;4DF65033&quot;/&gt;&lt;wsp:rsid wsp:val=&quot;4DF711BF&quot;/&gt;&lt;wsp:rsid wsp:val=&quot;4DF72F6D&quot;/&gt;&lt;wsp:rsid wsp:val=&quot;4DF74D1B&quot;/&gt;&lt;wsp:rsid wsp:val=&quot;4DF94F37&quot;/&gt;&lt;wsp:rsid wsp:val=&quot;4DF96CE5&quot;/&gt;&lt;wsp:rsid wsp:val=&quot;4DF96ED8&quot;/&gt;&lt;wsp:rsid wsp:val=&quot;4DFA0CB0&quot;/&gt;&lt;wsp:rsid wsp:val=&quot;4DFE254E&quot;/&gt;&lt;wsp:rsid wsp:val=&quot;4DFE42FC&quot;/&gt;&lt;wsp:rsid wsp:val=&quot;4DFE60AA&quot;/&gt;&lt;wsp:rsid wsp:val=&quot;4E00603F&quot;/&gt;&lt;wsp:rsid wsp:val=&quot;4E0062C6&quot;/&gt;&lt;wsp:rsid wsp:val=&quot;4E01203E&quot;/&gt;&lt;wsp:rsid wsp:val=&quot;4E013DEC&quot;/&gt;&lt;wsp:rsid wsp:val=&quot;4E04568A&quot;/&gt;&lt;wsp:rsid wsp:val=&quot;4E047438&quot;/&gt;&lt;wsp:rsid wsp:val=&quot;4E05638D&quot;/&gt;&lt;wsp:rsid wsp:val=&quot;4E074D6D&quot;/&gt;&lt;wsp:rsid wsp:val=&quot;4E075D8A&quot;/&gt;&lt;wsp:rsid wsp:val=&quot;4E08517B&quot;/&gt;&lt;wsp:rsid wsp:val=&quot;4E0A0EF3&quot;/&gt;&lt;wsp:rsid wsp:val=&quot;4E0B07C7&quot;/&gt;&lt;wsp:rsid wsp:val=&quot;4E0B2B6A&quot;/&gt;&lt;wsp:rsid wsp:val=&quot;4E0B6A19&quot;/&gt;&lt;wsp:rsid wsp:val=&quot;4E102281&quot;/&gt;&lt;wsp:rsid wsp:val=&quot;4E11118C&quot;/&gt;&lt;wsp:rsid wsp:val=&quot;4E116CA7&quot;/&gt;&lt;wsp:rsid wsp:val=&quot;4E125FF9&quot;/&gt;&lt;wsp:rsid wsp:val=&quot;4E1458CD&quot;/&gt;&lt;wsp:rsid wsp:val=&quot;4E147B0D&quot;/&gt;&lt;wsp:rsid wsp:val=&quot;4E151645&quot;/&gt;&lt;wsp:rsid wsp:val=&quot;4E1526DE&quot;/&gt;&lt;wsp:rsid wsp:val=&quot;4E156373&quot;/&gt;&lt;wsp:rsid wsp:val=&quot;4E165AE9&quot;/&gt;&lt;wsp:rsid wsp:val=&quot;4E173884&quot;/&gt;&lt;wsp:rsid wsp:val=&quot;4E17716C&quot;/&gt;&lt;wsp:rsid wsp:val=&quot;4E191136&quot;/&gt;&lt;wsp:rsid wsp:val=&quot;4E192EE4&quot;/&gt;&lt;wsp:rsid wsp:val=&quot;4E1A6C5C&quot;/&gt;&lt;wsp:rsid wsp:val=&quot;4E1B3100&quot;/&gt;&lt;wsp:rsid wsp:val=&quot;4E1C0E70&quot;/&gt;&lt;wsp:rsid wsp:val=&quot;4E1C4782&quot;/&gt;&lt;wsp:rsid wsp:val=&quot;4E1D04AD&quot;/&gt;&lt;wsp:rsid wsp:val=&quot;4E1F24C4&quot;/&gt;&lt;wsp:rsid wsp:val=&quot;4E2023C2&quot;/&gt;&lt;wsp:rsid wsp:val=&quot;4E207E07&quot;/&gt;&lt;wsp:rsid wsp:val=&quot;4E217FEA&quot;/&gt;&lt;wsp:rsid wsp:val=&quot;4E231FB4&quot;/&gt;&lt;wsp:rsid wsp:val=&quot;4E24034F&quot;/&gt;&lt;wsp:rsid wsp:val=&quot;4E253FC7&quot;/&gt;&lt;wsp:rsid wsp:val=&quot;4E265601&quot;/&gt;&lt;wsp:rsid wsp:val=&quot;4E2817A0&quot;/&gt;&lt;wsp:rsid wsp:val=&quot;4E291FE4&quot;/&gt;&lt;wsp:rsid wsp:val=&quot;4E296E9F&quot;/&gt;&lt;wsp:rsid wsp:val=&quot;4E2C0965&quot;/&gt;&lt;wsp:rsid wsp:val=&quot;4E2D2E33&quot;/&gt;&lt;wsp:rsid wsp:val=&quot;4E2D4BE1&quot;/&gt;&lt;wsp:rsid wsp:val=&quot;4E2D5010&quot;/&gt;&lt;wsp:rsid wsp:val=&quot;4E2F2707&quot;/&gt;&lt;wsp:rsid wsp:val=&quot;4E2F6BAB&quot;/&gt;&lt;wsp:rsid wsp:val=&quot;4E30647F&quot;/&gt;&lt;wsp:rsid wsp:val=&quot;4E320449&quot;/&gt;&lt;wsp:rsid wsp:val=&quot;4E3247D7&quot;/&gt;&lt;wsp:rsid wsp:val=&quot;4E326481&quot;/&gt;&lt;wsp:rsid wsp:val=&quot;4E345F70&quot;/&gt;&lt;wsp:rsid wsp:val=&quot;4E3715BC&quot;/&gt;&lt;wsp:rsid wsp:val=&quot;4E375A60&quot;/&gt;&lt;wsp:rsid wsp:val=&quot;4E395334&quot;/&gt;&lt;wsp:rsid wsp:val=&quot;4E3A3A13&quot;/&gt;&lt;wsp:rsid wsp:val=&quot;4E3B5550&quot;/&gt;&lt;wsp:rsid wsp:val=&quot;4E3B72FE&quot;/&gt;&lt;wsp:rsid wsp:val=&quot;4E3C6BD2&quot;/&gt;&lt;wsp:rsid wsp:val=&quot;4E3E0B9C&quot;/&gt;&lt;wsp:rsid wsp:val=&quot;4E3E6DEE&quot;/&gt;&lt;wsp:rsid wsp:val=&quot;4E3F4E1B&quot;/&gt;&lt;wsp:rsid wsp:val=&quot;4E404914&quot;/&gt;&lt;wsp:rsid wsp:val=&quot;4E41243B&quot;/&gt;&lt;wsp:rsid wsp:val=&quot;4E453CD9&quot;/&gt;&lt;wsp:rsid wsp:val=&quot;4E473EF5&quot;/&gt;&lt;wsp:rsid wsp:val=&quot;4E4807D4&quot;/&gt;&lt;wsp:rsid wsp:val=&quot;4E4837C9&quot;/&gt;&lt;wsp:rsid wsp:val=&quot;4E4F3CFF&quot;/&gt;&lt;wsp:rsid wsp:val=&quot;4E50267E&quot;/&gt;&lt;wsp:rsid wsp:val=&quot;4E524648&quot;/&gt;&lt;wsp:rsid wsp:val=&quot;4E531F72&quot;/&gt;&lt;wsp:rsid wsp:val=&quot;4E555EE6&quot;/&gt;&lt;wsp:rsid wsp:val=&quot;4E557C94&quot;/&gt;&lt;wsp:rsid wsp:val=&quot;4E561001&quot;/&gt;&lt;wsp:rsid wsp:val=&quot;4E597982&quot;/&gt;&lt;wsp:rsid wsp:val=&quot;4E5A52AA&quot;/&gt;&lt;wsp:rsid wsp:val=&quot;4E5B34FC&quot;/&gt;&lt;wsp:rsid wsp:val=&quot;4E5E4D9B&quot;/&gt;&lt;wsp:rsid wsp:val=&quot;4E61488B&quot;/&gt;&lt;wsp:rsid wsp:val=&quot;4E637972&quot;/&gt;&lt;wsp:rsid wsp:val=&quot;4E65437B&quot;/&gt;&lt;wsp:rsid wsp:val=&quot;4E656129&quot;/&gt;&lt;wsp:rsid wsp:val=&quot;4E660AF6&quot;/&gt;&lt;wsp:rsid wsp:val=&quot;4E661EA1&quot;/&gt;&lt;wsp:rsid wsp:val=&quot;4E676345&quot;/&gt;&lt;wsp:rsid wsp:val=&quot;4E685C19&quot;/&gt;&lt;wsp:rsid wsp:val=&quot;4E695D36&quot;/&gt;&lt;wsp:rsid wsp:val=&quot;4E6B74B7&quot;/&gt;&lt;wsp:rsid wsp:val=&quot;4E6C3227&quot;/&gt;&lt;wsp:rsid wsp:val=&quot;4E704779&quot;/&gt;&lt;wsp:rsid wsp:val=&quot;4E704ACE&quot;/&gt;&lt;wsp:rsid wsp:val=&quot;4E713738&quot;/&gt;&lt;wsp:rsid wsp:val=&quot;4E720846&quot;/&gt;&lt;wsp:rsid wsp:val=&quot;4E72653C&quot;/&gt;&lt;wsp:rsid wsp:val=&quot;4E730547&quot;/&gt;&lt;wsp:rsid wsp:val=&quot;4E740A62&quot;/&gt;&lt;wsp:rsid wsp:val=&quot;4E742810&quot;/&gt;&lt;wsp:rsid wsp:val=&quot;4E7520E4&quot;/&gt;&lt;wsp:rsid wsp:val=&quot;4E766588&quot;/&gt;&lt;wsp:rsid wsp:val=&quot;4E775778&quot;/&gt;&lt;wsp:rsid wsp:val=&quot;4E797E26&quot;/&gt;&lt;wsp:rsid wsp:val=&quot;4E7B452B&quot;/&gt;&lt;wsp:rsid wsp:val=&quot;4E7E020D&quot;/&gt;&lt;wsp:rsid wsp:val=&quot;4E7E543D&quot;/&gt;&lt;wsp:rsid wsp:val=&quot;4E807407&quot;/&gt;&lt;wsp:rsid wsp:val=&quot;4E816CDB&quot;/&gt;&lt;wsp:rsid wsp:val=&quot;4E850579&quot;/&gt;&lt;wsp:rsid wsp:val=&quot;4E854A1D&quot;/&gt;&lt;wsp:rsid wsp:val=&quot;4E86139E&quot;/&gt;&lt;wsp:rsid wsp:val=&quot;4E86609F&quot;/&gt;&lt;wsp:rsid wsp:val=&quot;4E870795&quot;/&gt;&lt;wsp:rsid wsp:val=&quot;4E880069&quot;/&gt;&lt;wsp:rsid wsp:val=&quot;4E8939C6&quot;/&gt;&lt;wsp:rsid wsp:val=&quot;4E8B1908&quot;/&gt;&lt;wsp:rsid wsp:val=&quot;4E8C00BE&quot;/&gt;&lt;wsp:rsid wsp:val=&quot;4E8D38D2&quot;/&gt;&lt;wsp:rsid wsp:val=&quot;4E8D742E&quot;/&gt;&lt;wsp:rsid wsp:val=&quot;4E8E21DB&quot;/&gt;&lt;wsp:rsid wsp:val=&quot;4E8F31A6&quot;/&gt;&lt;wsp:rsid wsp:val=&quot;4E915170&quot;/&gt;&lt;wsp:rsid wsp:val=&quot;4E920EE8&quot;/&gt;&lt;wsp:rsid wsp:val=&quot;4E922C96&quot;/&gt;&lt;wsp:rsid wsp:val=&quot;4E932BF7&quot;/&gt;&lt;wsp:rsid wsp:val=&quot;4E944C60&quot;/&gt;&lt;wsp:rsid wsp:val=&quot;4E946A0E&quot;/&gt;&lt;wsp:rsid wsp:val=&quot;4E956EC4&quot;/&gt;&lt;wsp:rsid wsp:val=&quot;4E984750&quot;/&gt;&lt;wsp:rsid wsp:val=&quot;4E9904C8&quot;/&gt;&lt;wsp:rsid wsp:val=&quot;4E994E15&quot;/&gt;&lt;wsp:rsid wsp:val=&quot;4E9C3B15&quot;/&gt;&lt;wsp:rsid wsp:val=&quot;4E9D1D67&quot;/&gt;&lt;wsp:rsid wsp:val=&quot;4EA07161&quot;/&gt;&lt;wsp:rsid wsp:val=&quot;4EA2112B&quot;/&gt;&lt;wsp:rsid wsp:val=&quot;4EA330F5&quot;/&gt;&lt;wsp:rsid wsp:val=&quot;4EA36C51&quot;/&gt;&lt;wsp:rsid wsp:val=&quot;4EA74993&quot;/&gt;&lt;wsp:rsid wsp:val=&quot;4EA8070C&quot;/&gt;&lt;wsp:rsid wsp:val=&quot;4EA837C1&quot;/&gt;&lt;wsp:rsid wsp:val=&quot;4EA84268&quot;/&gt;&lt;wsp:rsid wsp:val=&quot;4EAA7FE0&quot;/&gt;&lt;wsp:rsid wsp:val=&quot;4EAB1D8D&quot;/&gt;&lt;wsp:rsid wsp:val=&quot;4EAC1FAA&quot;/&gt;&lt;wsp:rsid wsp:val=&quot;4EAC3D58&quot;/&gt;&lt;wsp:rsid wsp:val=&quot;4EAC667D&quot;/&gt;&lt;wsp:rsid wsp:val=&quot;4EAF3848&quot;/&gt;&lt;wsp:rsid wsp:val=&quot;4EAF55F6&quot;/&gt;&lt;wsp:rsid wsp:val=&quot;4EB1136E&quot;/&gt;&lt;wsp:rsid wsp:val=&quot;4EB15812&quot;/&gt;&lt;wsp:rsid wsp:val=&quot;4EB259BC&quot;/&gt;&lt;wsp:rsid wsp:val=&quot;4EB26E94&quot;/&gt;&lt;wsp:rsid wsp:val=&quot;4EB33338&quot;/&gt;&lt;wsp:rsid wsp:val=&quot;4EB470B0&quot;/&gt;&lt;wsp:rsid wsp:val=&quot;4EB66F0E&quot;/&gt;&lt;wsp:rsid wsp:val=&quot;4EB7039E&quot;/&gt;&lt;wsp:rsid wsp:val=&quot;4EB946C7&quot;/&gt;&lt;wsp:rsid wsp:val=&quot;4EBA57D9&quot;/&gt;&lt;wsp:rsid wsp:val=&quot;4EBD163F&quot;/&gt;&lt;wsp:rsid wsp:val=&quot;4EBE1CDD&quot;/&gt;&lt;wsp:rsid wsp:val=&quot;4EC00FAD&quot;/&gt;&lt;wsp:rsid wsp:val=&quot;4EC05A55&quot;/&gt;&lt;wsp:rsid wsp:val=&quot;4EC45545&quot;/&gt;&lt;wsp:rsid wsp:val=&quot;4ECA0682&quot;/&gt;&lt;wsp:rsid wsp:val=&quot;4ECA2430&quot;/&gt;&lt;wsp:rsid wsp:val=&quot;4ECA29D6&quot;/&gt;&lt;wsp:rsid wsp:val=&quot;4ECB6814&quot;/&gt;&lt;wsp:rsid wsp:val=&quot;4ECC43FA&quot;/&gt;&lt;wsp:rsid wsp:val=&quot;4ED02686&quot;/&gt;&lt;wsp:rsid wsp:val=&quot;4ED12890&quot;/&gt;&lt;wsp:rsid wsp:val=&quot;4ED137BE&quot;/&gt;&lt;wsp:rsid wsp:val=&quot;4ED201EE&quot;/&gt;&lt;wsp:rsid wsp:val=&quot;4ED27537&quot;/&gt;&lt;wsp:rsid wsp:val=&quot;4ED41501&quot;/&gt;&lt;wsp:rsid wsp:val=&quot;4ED45647&quot;/&gt;&lt;wsp:rsid wsp:val=&quot;4ED52497&quot;/&gt;&lt;wsp:rsid wsp:val=&quot;4ED67027&quot;/&gt;&lt;wsp:rsid wsp:val=&quot;4ED86EE7&quot;/&gt;&lt;wsp:rsid wsp:val=&quot;4ED908C5&quot;/&gt;&lt;wsp:rsid wsp:val=&quot;4ED90E06&quot;/&gt;&lt;wsp:rsid wsp:val=&quot;4ED92673&quot;/&gt;&lt;wsp:rsid wsp:val=&quot;4ED95B20&quot;/&gt;&lt;wsp:rsid wsp:val=&quot;4EDA44B8&quot;/&gt;&lt;wsp:rsid wsp:val=&quot;4EDB288F&quot;/&gt;&lt;wsp:rsid wsp:val=&quot;4EDE1FDD&quot;/&gt;&lt;wsp:rsid wsp:val=&quot;4EDE412D&quot;/&gt;&lt;wsp:rsid wsp:val=&quot;4EDF0835&quot;/&gt;&lt;wsp:rsid wsp:val=&quot;4EE044F1&quot;/&gt;&lt;wsp:rsid wsp:val=&quot;4EE05E69&quot;/&gt;&lt;wsp:rsid wsp:val=&quot;4EE473BA&quot;/&gt;&lt;wsp:rsid wsp:val=&quot;4EE51018&quot;/&gt;&lt;wsp:rsid wsp:val=&quot;4EE554BC&quot;/&gt;&lt;wsp:rsid wsp:val=&quot;4EE72FE2&quot;/&gt;&lt;wsp:rsid wsp:val=&quot;4EE74D90&quot;/&gt;&lt;wsp:rsid wsp:val=&quot;4EE818E9&quot;/&gt;&lt;wsp:rsid wsp:val=&quot;4EE96431&quot;/&gt;&lt;wsp:rsid wsp:val=&quot;4EE96D5A&quot;/&gt;&lt;wsp:rsid wsp:val=&quot;4EEA0D24&quot;/&gt;&lt;wsp:rsid wsp:val=&quot;4EEC4B8E&quot;/&gt;&lt;wsp:rsid wsp:val=&quot;4EEC684A&quot;/&gt;&lt;wsp:rsid wsp:val=&quot;4EEF1E97&quot;/&gt;&lt;wsp:rsid wsp:val=&quot;4EF120B3&quot;/&gt;&lt;wsp:rsid wsp:val=&quot;4EF15C0F&quot;/&gt;&lt;wsp:rsid wsp:val=&quot;4EF219BE&quot;/&gt;&lt;wsp:rsid wsp:val=&quot;4EF23735&quot;/&gt;&lt;wsp:rsid wsp:val=&quot;4EF31987&quot;/&gt;&lt;wsp:rsid wsp:val=&quot;4EF37BD9&quot;/&gt;&lt;wsp:rsid wsp:val=&quot;4EF61477&quot;/&gt;&lt;wsp:rsid wsp:val=&quot;4EFA0012&quot;/&gt;&lt;wsp:rsid wsp:val=&quot;4EFA4824&quot;/&gt;&lt;wsp:rsid wsp:val=&quot;4EFB083B&quot;/&gt;&lt;wsp:rsid wsp:val=&quot;4EFD2805&quot;/&gt;&lt;wsp:rsid wsp:val=&quot;4EFE20DA&quot;/&gt;&lt;wsp:rsid wsp:val=&quot;4EFE2B32&quot;/&gt;&lt;wsp:rsid wsp:val=&quot;4EFF657E&quot;/&gt;&lt;wsp:rsid wsp:val=&quot;4F003355&quot;/&gt;&lt;wsp:rsid wsp:val=&quot;4F02606E&quot;/&gt;&lt;wsp:rsid wsp:val=&quot;4F027E1C&quot;/&gt;&lt;wsp:rsid wsp:val=&quot;4F041DE6&quot;/&gt;&lt;wsp:rsid wsp:val=&quot;4F0516BA&quot;/&gt;&lt;wsp:rsid wsp:val=&quot;4F052BB4&quot;/&gt;&lt;wsp:rsid wsp:val=&quot;4F0A6CD0&quot;/&gt;&lt;wsp:rsid wsp:val=&quot;4F0B3174&quot;/&gt;&lt;wsp:rsid wsp:val=&quot;4F0C0C9A&quot;/&gt;&lt;wsp:rsid wsp:val=&quot;4F0C2A48&quot;/&gt;&lt;wsp:rsid wsp:val=&quot;4F0C47F7&quot;/&gt;&lt;wsp:rsid wsp:val=&quot;4F0E67C1&quot;/&gt;&lt;wsp:rsid wsp:val=&quot;4F0F101F&quot;/&gt;&lt;wsp:rsid wsp:val=&quot;4F1163D7&quot;/&gt;&lt;wsp:rsid wsp:val=&quot;4F12070E&quot;/&gt;&lt;wsp:rsid wsp:val=&quot;4F133DD7&quot;/&gt;&lt;wsp:rsid wsp:val=&quot;4F155DA1&quot;/&gt;&lt;wsp:rsid wsp:val=&quot;4F161B19&quot;/&gt;&lt;wsp:rsid wsp:val=&quot;4F194B69&quot;/&gt;&lt;wsp:rsid wsp:val=&quot;4F195165&quot;/&gt;&lt;wsp:rsid wsp:val=&quot;4F1A33B7&quot;/&gt;&lt;wsp:rsid wsp:val=&quot;4F1D07B2&quot;/&gt;&lt;wsp:rsid wsp:val=&quot;4F1D6A04&quot;/&gt;&lt;wsp:rsid wsp:val=&quot;4F1E46E2&quot;/&gt;&lt;wsp:rsid wsp:val=&quot;4F1F09CE&quot;/&gt;&lt;wsp:rsid wsp:val=&quot;4F2172E4&quot;/&gt;&lt;wsp:rsid wsp:val=&quot;4F235FB7&quot;/&gt;&lt;wsp:rsid wsp:val=&quot;4F245FE4&quot;/&gt;&lt;wsp:rsid wsp:val=&quot;4F253B0A&quot;/&gt;&lt;wsp:rsid wsp:val=&quot;4F255CDD&quot;/&gt;&lt;wsp:rsid wsp:val=&quot;4F2705FD&quot;/&gt;&lt;wsp:rsid wsp:val=&quot;4F270F69&quot;/&gt;&lt;wsp:rsid wsp:val=&quot;4F275AD4&quot;/&gt;&lt;wsp:rsid wsp:val=&quot;4F29184C&quot;/&gt;&lt;wsp:rsid wsp:val=&quot;4F2A7373&quot;/&gt;&lt;wsp:rsid wsp:val=&quot;4F2D446F&quot;/&gt;&lt;wsp:rsid wsp:val=&quot;4F2E04D0&quot;/&gt;&lt;wsp:rsid wsp:val=&quot;4F2E0C11&quot;/&gt;&lt;wsp:rsid wsp:val=&quot;4F302DF0&quot;/&gt;&lt;wsp:rsid wsp:val=&quot;4F337FD5&quot;/&gt;&lt;wsp:rsid wsp:val=&quot;4F361873&quot;/&gt;&lt;wsp:rsid wsp:val=&quot;4F365D17&quot;/&gt;&lt;wsp:rsid wsp:val=&quot;4F3673B2&quot;/&gt;&lt;wsp:rsid wsp:val=&quot;4F367AC5&quot;/&gt;&lt;wsp:rsid wsp:val=&quot;4F381582&quot;/&gt;&lt;wsp:rsid wsp:val=&quot;4F381A8F&quot;/&gt;&lt;wsp:rsid wsp:val=&quot;4F3855EC&quot;/&gt;&lt;wsp:rsid wsp:val=&quot;4F3B1580&quot;/&gt;&lt;wsp:rsid wsp:val=&quot;4F3B50DC&quot;/&gt;&lt;wsp:rsid wsp:val=&quot;4F3C4080&quot;/&gt;&lt;wsp:rsid wsp:val=&quot;4F3D70A6&quot;/&gt;&lt;wsp:rsid wsp:val=&quot;4F3E697A&quot;/&gt;&lt;wsp:rsid wsp:val=&quot;4F3F2A2A&quot;/&gt;&lt;wsp:rsid wsp:val=&quot;4F3F629F&quot;/&gt;&lt;wsp:rsid wsp:val=&quot;4F400A76&quot;/&gt;&lt;wsp:rsid wsp:val=&quot;4F402A31&quot;/&gt;&lt;wsp:rsid wsp:val=&quot;4F42290E&quot;/&gt;&lt;wsp:rsid wsp:val=&quot;4F4246BC&quot;/&gt;&lt;wsp:rsid wsp:val=&quot;4F441374&quot;/&gt;&lt;wsp:rsid wsp:val=&quot;4F4552C7&quot;/&gt;&lt;wsp:rsid wsp:val=&quot;4F4641AC&quot;/&gt;&lt;wsp:rsid wsp:val=&quot;4F473A81&quot;/&gt;&lt;wsp:rsid wsp:val=&quot;4F4A110D&quot;/&gt;&lt;wsp:rsid wsp:val=&quot;4F4A3571&quot;/&gt;&lt;wsp:rsid wsp:val=&quot;4F4A531F&quot;/&gt;&lt;wsp:rsid wsp:val=&quot;4F4C1097&quot;/&gt;&lt;wsp:rsid wsp:val=&quot;4F4F0B87&quot;/&gt;&lt;wsp:rsid wsp:val=&quot;4F506DD9&quot;/&gt;&lt;wsp:rsid wsp:val=&quot;4F5368C9&quot;/&gt;&lt;wsp:rsid wsp:val=&quot;4F552641&quot;/&gt;&lt;wsp:rsid wsp:val=&quot;4F5543EF&quot;/&gt;&lt;wsp:rsid wsp:val=&quot;4F56149D&quot;/&gt;&lt;wsp:rsid wsp:val=&quot;4F5776DC&quot;/&gt;&lt;wsp:rsid wsp:val=&quot;4F596466&quot;/&gt;&lt;wsp:rsid wsp:val=&quot;4F5B752C&quot;/&gt;&lt;wsp:rsid wsp:val=&quot;4F5C39D0&quot;/&gt;&lt;wsp:rsid wsp:val=&quot;4F5F1AFB&quot;/&gt;&lt;wsp:rsid wsp:val=&quot;4F5F526E&quot;/&gt;&lt;wsp:rsid wsp:val=&quot;4F5F701C&quot;/&gt;&lt;wsp:rsid wsp:val=&quot;4F604B42&quot;/&gt;&lt;wsp:rsid wsp:val=&quot;4F610FE6&quot;/&gt;&lt;wsp:rsid wsp:val=&quot;4F6247EF&quot;/&gt;&lt;wsp:rsid wsp:val=&quot;4F6463E1&quot;/&gt;&lt;wsp:rsid wsp:val=&quot;4F65059F&quot;/&gt;&lt;wsp:rsid wsp:val=&quot;4F665D41&quot;/&gt;&lt;wsp:rsid wsp:val=&quot;4F6771D1&quot;/&gt;&lt;wsp:rsid wsp:val=&quot;4F681AF1&quot;/&gt;&lt;wsp:rsid wsp:val=&quot;4F6B3C13&quot;/&gt;&lt;wsp:rsid wsp:val=&quot;4F6B59C1&quot;/&gt;&lt;wsp:rsid wsp:val=&quot;4F6C328C&quot;/&gt;&lt;wsp:rsid wsp:val=&quot;4F6D1960&quot;/&gt;&lt;wsp:rsid wsp:val=&quot;4F6E67C3&quot;/&gt;&lt;wsp:rsid wsp:val=&quot;4F6E725F&quot;/&gt;&lt;wsp:rsid wsp:val=&quot;4F6F6DF3&quot;/&gt;&lt;wsp:rsid wsp:val=&quot;4F702FD7&quot;/&gt;&lt;wsp:rsid wsp:val=&quot;4F716D4F&quot;/&gt;&lt;wsp:rsid wsp:val=&quot;4F72069B&quot;/&gt;&lt;wsp:rsid wsp:val=&quot;4F734876&quot;/&gt;&lt;wsp:rsid wsp:val=&quot;4F737646&quot;/&gt;&lt;wsp:rsid wsp:val=&quot;4F7505EE&quot;/&gt;&lt;wsp:rsid wsp:val=&quot;4F764366&quot;/&gt;&lt;wsp:rsid wsp:val=&quot;4F7B197C&quot;/&gt;&lt;wsp:rsid wsp:val=&quot;4F7C1DAB&quot;/&gt;&lt;wsp:rsid wsp:val=&quot;4F7C54AB&quot;/&gt;&lt;wsp:rsid wsp:val=&quot;4F7D3946&quot;/&gt;&lt;wsp:rsid wsp:val=&quot;4F7D74A2&quot;/&gt;&lt;wsp:rsid wsp:val=&quot;4F7F321A&quot;/&gt;&lt;wsp:rsid wsp:val=&quot;4F7F76BE&quot;/&gt;&lt;wsp:rsid wsp:val=&quot;4F806F93&quot;/&gt;&lt;wsp:rsid wsp:val=&quot;4F822D0B&quot;/&gt;&lt;wsp:rsid wsp:val=&quot;4F835269&quot;/&gt;&lt;wsp:rsid wsp:val=&quot;4F844CD5&quot;/&gt;&lt;wsp:rsid wsp:val=&quot;4F860A4D&quot;/&gt;&lt;wsp:rsid wsp:val=&quot;4F866437&quot;/&gt;&lt;wsp:rsid wsp:val=&quot;4F8A0E2A&quot;/&gt;&lt;wsp:rsid wsp:val=&quot;4F8B6063&quot;/&gt;&lt;wsp:rsid wsp:val=&quot;4F8C2AF0&quot;/&gt;&lt;wsp:rsid wsp:val=&quot;4F8D1DDB&quot;/&gt;&lt;wsp:rsid wsp:val=&quot;4F8D7C8F&quot;/&gt;&lt;wsp:rsid wsp:val=&quot;4F8E16AF&quot;/&gt;&lt;wsp:rsid wsp:val=&quot;4F90367A&quot;/&gt;&lt;wsp:rsid wsp:val=&quot;4F90786D&quot;/&gt;&lt;wsp:rsid wsp:val=&quot;4F9273F2&quot;/&gt;&lt;wsp:rsid wsp:val=&quot;4F9662F5&quot;/&gt;&lt;wsp:rsid wsp:val=&quot;4F980780&quot;/&gt;&lt;wsp:rsid wsp:val=&quot;4F9843DC&quot;/&gt;&lt;wsp:rsid wsp:val=&quot;4F9A0054&quot;/&gt;&lt;wsp:rsid wsp:val=&quot;4F9A091F&quot;/&gt;&lt;wsp:rsid wsp:val=&quot;4F9A62A6&quot;/&gt;&lt;wsp:rsid wsp:val=&quot;4F9C661B&quot;/&gt;&lt;wsp:rsid wsp:val=&quot;4F9D5D96&quot;/&gt;&lt;wsp:rsid wsp:val=&quot;4F9F42B5&quot;/&gt;&lt;wsp:rsid wsp:val=&quot;4FA33112&quot;/&gt;&lt;wsp:rsid wsp:val=&quot;4FA42C81&quot;/&gt;&lt;wsp:rsid wsp:val=&quot;4FA72771&quot;/&gt;&lt;wsp:rsid wsp:val=&quot;4FA90297&quot;/&gt;&lt;wsp:rsid wsp:val=&quot;4FA964E9&quot;/&gt;&lt;wsp:rsid wsp:val=&quot;4FAA2183&quot;/&gt;&lt;wsp:rsid wsp:val=&quot;4FAB04B3&quot;/&gt;&lt;wsp:rsid wsp:val=&quot;4FAB400F&quot;/&gt;&lt;wsp:rsid wsp:val=&quot;4FAD422B&quot;/&gt;&lt;wsp:rsid wsp:val=&quot;4FAE1D52&quot;/&gt;&lt;wsp:rsid wsp:val=&quot;4FAF1267&quot;/&gt;&lt;wsp:rsid wsp:val=&quot;4FB01626&quot;/&gt;&lt;wsp:rsid wsp:val=&quot;4FB235F0&quot;/&gt;&lt;wsp:rsid wsp:val=&quot;4FB55828&quot;/&gt;&lt;wsp:rsid wsp:val=&quot;4FB70C06&quot;/&gt;&lt;wsp:rsid wsp:val=&quot;4FB8672C&quot;/&gt;&lt;wsp:rsid wsp:val=&quot;4FBA6948&quot;/&gt;&lt;wsp:rsid wsp:val=&quot;4FC155E1&quot;/&gt;&lt;wsp:rsid wsp:val=&quot;4FC21359&quot;/&gt;&lt;wsp:rsid wsp:val=&quot;4FC55A47&quot;/&gt;&lt;wsp:rsid wsp:val=&quot;4FC57A53&quot;/&gt;&lt;wsp:rsid wsp:val=&quot;4FC62A8C&quot;/&gt;&lt;wsp:rsid wsp:val=&quot;4FC6709B&quot;/&gt;&lt;wsp:rsid wsp:val=&quot;4FC82E13&quot;/&gt;&lt;wsp:rsid wsp:val=&quot;4FC84CE8&quot;/&gt;&lt;wsp:rsid wsp:val=&quot;4FC926E8&quot;/&gt;&lt;wsp:rsid wsp:val=&quot;4FCA0E8E&quot;/&gt;&lt;wsp:rsid wsp:val=&quot;4FD03A76&quot;/&gt;&lt;wsp:rsid wsp:val=&quot;4FD23C92&quot;/&gt;&lt;wsp:rsid wsp:val=&quot;4FD277EE&quot;/&gt;&lt;wsp:rsid wsp:val=&quot;4FD30C51&quot;/&gt;&lt;wsp:rsid wsp:val=&quot;4FD317B8&quot;/&gt;&lt;wsp:rsid wsp:val=&quot;4FD33566&quot;/&gt;&lt;wsp:rsid wsp:val=&quot;4FD35314&quot;/&gt;&lt;wsp:rsid wsp:val=&quot;4FD40D50&quot;/&gt;&lt;wsp:rsid wsp:val=&quot;4FD55530&quot;/&gt;&lt;wsp:rsid wsp:val=&quot;4FD67A34&quot;/&gt;&lt;wsp:rsid wsp:val=&quot;4FD74E04&quot;/&gt;&lt;wsp:rsid wsp:val=&quot;4FD86DCF&quot;/&gt;&lt;wsp:rsid wsp:val=&quot;4FDA66A3&quot;/&gt;&lt;wsp:rsid wsp:val=&quot;4FDC241B&quot;/&gt;&lt;wsp:rsid wsp:val=&quot;4FDD43E5&quot;/&gt;&lt;wsp:rsid wsp:val=&quot;4FDE2637&quot;/&gt;&lt;wsp:rsid wsp:val=&quot;4FE15C83&quot;/&gt;&lt;wsp:rsid wsp:val=&quot;4FE20F0D&quot;/&gt;&lt;wsp:rsid wsp:val=&quot;4FE24F60&quot;/&gt;&lt;wsp:rsid wsp:val=&quot;4FE319FB&quot;/&gt;&lt;wsp:rsid wsp:val=&quot;4FE51552&quot;/&gt;&lt;wsp:rsid wsp:val=&quot;4FE63299&quot;/&gt;&lt;wsp:rsid wsp:val=&quot;4FE65048&quot;/&gt;&lt;wsp:rsid wsp:val=&quot;4FE70DC0&quot;/&gt;&lt;wsp:rsid wsp:val=&quot;4FE71E43&quot;/&gt;&lt;wsp:rsid wsp:val=&quot;4FE82F87&quot;/&gt;&lt;wsp:rsid wsp:val=&quot;4FE85264&quot;/&gt;&lt;wsp:rsid wsp:val=&quot;4FE87012&quot;/&gt;&lt;wsp:rsid wsp:val=&quot;4FE93487&quot;/&gt;&lt;wsp:rsid wsp:val=&quot;4FE970AD&quot;/&gt;&lt;wsp:rsid wsp:val=&quot;4FED31F9&quot;/&gt;&lt;wsp:rsid wsp:val=&quot;4FED4228&quot;/&gt;&lt;wsp:rsid wsp:val=&quot;4FED6DF9&quot;/&gt;&lt;wsp:rsid wsp:val=&quot;4FEE03A0&quot;/&gt;&lt;wsp:rsid wsp:val=&quot;4FEE214E&quot;/&gt;&lt;wsp:rsid wsp:val=&quot;4FEE65F2&quot;/&gt;&lt;wsp:rsid wsp:val=&quot;4FEF5362&quot;/&gt;&lt;wsp:rsid wsp:val=&quot;4FF02BA9&quot;/&gt;&lt;wsp:rsid wsp:val=&quot;4FF06A17&quot;/&gt;&lt;wsp:rsid wsp:val=&quot;4FF1419D&quot;/&gt;&lt;wsp:rsid wsp:val=&quot;4FF37764&quot;/&gt;&lt;wsp:rsid wsp:val=&quot;4FF529BA&quot;/&gt;&lt;wsp:rsid wsp:val=&quot;4FF534DD&quot;/&gt;&lt;wsp:rsid wsp:val=&quot;4FF754A7&quot;/&gt;&lt;wsp:rsid wsp:val=&quot;4FFA4F97&quot;/&gt;&lt;wsp:rsid wsp:val=&quot;4FFB7CBC&quot;/&gt;&lt;wsp:rsid wsp:val=&quot;4FFC0D0F&quot;/&gt;&lt;wsp:rsid wsp:val=&quot;4FFD0EF1&quot;/&gt;&lt;wsp:rsid wsp:val=&quot;4FFE6835&quot;/&gt;&lt;wsp:rsid wsp:val=&quot;50003B61&quot;/&gt;&lt;wsp:rsid wsp:val=&quot;50007ACD&quot;/&gt;&lt;wsp:rsid wsp:val=&quot;50016325&quot;/&gt;&lt;wsp:rsid wsp:val=&quot;5003209D&quot;/&gt;&lt;wsp:rsid wsp:val=&quot;500603CA&quot;/&gt;&lt;wsp:rsid wsp:val=&quot;50067498&quot;/&gt;&lt;wsp:rsid wsp:val=&quot;50071213&quot;/&gt;&lt;wsp:rsid wsp:val=&quot;5007625F&quot;/&gt;&lt;wsp:rsid wsp:val=&quot;500779A6&quot;/&gt;&lt;wsp:rsid wsp:val=&quot;500B5A77&quot;/&gt;&lt;wsp:rsid wsp:val=&quot;500E27F0&quot;/&gt;&lt;wsp:rsid wsp:val=&quot;501222E0&quot;/&gt;&lt;wsp:rsid wsp:val=&quot;50123466&quot;/&gt;&lt;wsp:rsid wsp:val=&quot;5012408F&quot;/&gt;&lt;wsp:rsid wsp:val=&quot;50125E3D&quot;/&gt;&lt;wsp:rsid wsp:val=&quot;50153B7F&quot;/&gt;&lt;wsp:rsid wsp:val=&quot;501716A5&quot;/&gt;&lt;wsp:rsid wsp:val=&quot;501734E8&quot;/&gt;&lt;wsp:rsid wsp:val=&quot;5017693A&quot;/&gt;&lt;wsp:rsid wsp:val=&quot;501A2F43&quot;/&gt;&lt;wsp:rsid wsp:val=&quot;501A73E7&quot;/&gt;&lt;wsp:rsid wsp:val=&quot;501C6CBB&quot;/&gt;&lt;wsp:rsid wsp:val=&quot;501E0C85&quot;/&gt;&lt;wsp:rsid wsp:val=&quot;501F0559&quot;/&gt;&lt;wsp:rsid wsp:val=&quot;50210776&quot;/&gt;&lt;wsp:rsid wsp:val=&quot;50212524&quot;/&gt;&lt;wsp:rsid wsp:val=&quot;502322A4&quot;/&gt;&lt;wsp:rsid wsp:val=&quot;502344EE&quot;/&gt;&lt;wsp:rsid wsp:val=&quot;502618E8&quot;/&gt;&lt;wsp:rsid wsp:val=&quot;50267B3A&quot;/&gt;&lt;wsp:rsid wsp:val=&quot;502838B2&quot;/&gt;&lt;wsp:rsid wsp:val=&quot;50285660&quot;/&gt;&lt;wsp:rsid wsp:val=&quot;502A1900&quot;/&gt;&lt;wsp:rsid wsp:val=&quot;502D2F07&quot;/&gt;&lt;wsp:rsid wsp:val=&quot;502D711A&quot;/&gt;&lt;wsp:rsid wsp:val=&quot;50306C0B&quot;/&gt;&lt;wsp:rsid wsp:val=&quot;5034567F&quot;/&gt;&lt;wsp:rsid wsp:val=&quot;50354221&quot;/&gt;&lt;wsp:rsid wsp:val=&quot;50355FCF&quot;/&gt;&lt;wsp:rsid wsp:val=&quot;50373AF5&quot;/&gt;&lt;wsp:rsid wsp:val=&quot;50395ABF&quot;/&gt;&lt;wsp:rsid wsp:val=&quot;5039786D&quot;/&gt;&lt;wsp:rsid wsp:val=&quot;503A3CBF&quot;/&gt;&lt;wsp:rsid wsp:val=&quot;503A5393&quot;/&gt;&lt;wsp:rsid wsp:val=&quot;503B4AE7&quot;/&gt;&lt;wsp:rsid wsp:val=&quot;503E4E84&quot;/&gt;&lt;wsp:rsid wsp:val=&quot;503E6C32&quot;/&gt;&lt;wsp:rsid wsp:val=&quot;503F0BFC&quot;/&gt;&lt;wsp:rsid wsp:val=&quot;50412BC6&quot;/&gt;&lt;wsp:rsid wsp:val=&quot;50414974&quot;/&gt;&lt;wsp:rsid wsp:val=&quot;504163F0&quot;/&gt;&lt;wsp:rsid wsp:val=&quot;50416722&quot;/&gt;&lt;wsp:rsid wsp:val=&quot;5043249A&quot;/&gt;&lt;wsp:rsid wsp:val=&quot;5043693E&quot;/&gt;&lt;wsp:rsid wsp:val=&quot;50447FC0&quot;/&gt;&lt;wsp:rsid wsp:val=&quot;504513F5&quot;/&gt;&lt;wsp:rsid wsp:val=&quot;504639A3&quot;/&gt;&lt;wsp:rsid wsp:val=&quot;50474E75&quot;/&gt;&lt;wsp:rsid wsp:val=&quot;50485D02&quot;/&gt;&lt;wsp:rsid wsp:val=&quot;50487AB0&quot;/&gt;&lt;wsp:rsid wsp:val=&quot;504908E4&quot;/&gt;&lt;wsp:rsid wsp:val=&quot;50497753&quot;/&gt;&lt;wsp:rsid wsp:val=&quot;504A7CCC&quot;/&gt;&lt;wsp:rsid wsp:val=&quot;504B75A0&quot;/&gt;&lt;wsp:rsid wsp:val=&quot;504C3CD5&quot;/&gt;&lt;wsp:rsid wsp:val=&quot;504D3319&quot;/&gt;&lt;wsp:rsid wsp:val=&quot;504D5BA8&quot;/&gt;&lt;wsp:rsid wsp:val=&quot;504F0E3F&quot;/&gt;&lt;wsp:rsid wsp:val=&quot;50504C4B&quot;/&gt;&lt;wsp:rsid wsp:val=&quot;50506965&quot;/&gt;&lt;wsp:rsid wsp:val=&quot;5051105B&quot;/&gt;&lt;wsp:rsid wsp:val=&quot;50522FDC&quot;/&gt;&lt;wsp:rsid wsp:val=&quot;50546455&quot;/&gt;&lt;wsp:rsid wsp:val=&quot;50566671&quot;/&gt;&lt;wsp:rsid wsp:val=&quot;50575F45&quot;/&gt;&lt;wsp:rsid wsp:val=&quot;50591CBD&quot;/&gt;&lt;wsp:rsid wsp:val=&quot;505A77E4&quot;/&gt;&lt;wsp:rsid wsp:val=&quot;505E1082&quot;/&gt;&lt;wsp:rsid wsp:val=&quot;5060304C&quot;/&gt;&lt;wsp:rsid wsp:val=&quot;50616DC4&quot;/&gt;&lt;wsp:rsid wsp:val=&quot;5066262C&quot;/&gt;&lt;wsp:rsid wsp:val=&quot;50665CDB&quot;/&gt;&lt;wsp:rsid wsp:val=&quot;50681F00&quot;/&gt;&lt;wsp:rsid wsp:val=&quot;506863A4&quot;/&gt;&lt;wsp:rsid wsp:val=&quot;506A211C&quot;/&gt;&lt;wsp:rsid wsp:val=&quot;506A3ECB&quot;/&gt;&lt;wsp:rsid wsp:val=&quot;506C28E5&quot;/&gt;&lt;wsp:rsid wsp:val=&quot;506D39BB&quot;/&gt;&lt;wsp:rsid wsp:val=&quot;506D5769&quot;/&gt;&lt;wsp:rsid wsp:val=&quot;506D7517&quot;/&gt;&lt;wsp:rsid wsp:val=&quot;506F14E1&quot;/&gt;&lt;wsp:rsid wsp:val=&quot;506F328F&quot;/&gt;&lt;wsp:rsid wsp:val=&quot;506F6F2A&quot;/&gt;&lt;wsp:rsid wsp:val=&quot;506F7733&quot;/&gt;&lt;wsp:rsid wsp:val=&quot;50715259&quot;/&gt;&lt;wsp:rsid wsp:val=&quot;50720FD1&quot;/&gt;&lt;wsp:rsid wsp:val=&quot;50722D7F&quot;/&gt;&lt;wsp:rsid wsp:val=&quot;50746AF7&quot;/&gt;&lt;wsp:rsid wsp:val=&quot;507552DF&quot;/&gt;&lt;wsp:rsid wsp:val=&quot;507629FF&quot;/&gt;&lt;wsp:rsid wsp:val=&quot;50772144&quot;/&gt;&lt;wsp:rsid wsp:val=&quot;50795EBC&quot;/&gt;&lt;wsp:rsid wsp:val=&quot;507C0FC7&quot;/&gt;&lt;wsp:rsid wsp:val=&quot;507C775A&quot;/&gt;&lt;wsp:rsid wsp:val=&quot;507E1724&quot;/&gt;&lt;wsp:rsid wsp:val=&quot;507E34D2&quot;/&gt;&lt;wsp:rsid wsp:val=&quot;507E6391&quot;/&gt;&lt;wsp:rsid wsp:val=&quot;507F4483&quot;/&gt;&lt;wsp:rsid wsp:val=&quot;507F7F57&quot;/&gt;&lt;wsp:rsid wsp:val=&quot;50811214&quot;/&gt;&lt;wsp:rsid wsp:val=&quot;50812FC2&quot;/&gt;&lt;wsp:rsid wsp:val=&quot;50824D12&quot;/&gt;&lt;wsp:rsid wsp:val=&quot;50844392&quot;/&gt;&lt;wsp:rsid wsp:val=&quot;50860E67&quot;/&gt;&lt;wsp:rsid wsp:val=&quot;50874A7C&quot;/&gt;&lt;wsp:rsid wsp:val=&quot;508807F5&quot;/&gt;&lt;wsp:rsid wsp:val=&quot;50884351&quot;/&gt;&lt;wsp:rsid wsp:val=&quot;508A00C9&quot;/&gt;&lt;wsp:rsid wsp:val=&quot;508A1E77&quot;/&gt;&lt;wsp:rsid wsp:val=&quot;508A631B&quot;/&gt;&lt;wsp:rsid wsp:val=&quot;50923421&quot;/&gt;&lt;wsp:rsid wsp:val=&quot;50925C97&quot;/&gt;&lt;wsp:rsid wsp:val=&quot;50940F47&quot;/&gt;&lt;wsp:rsid wsp:val=&quot;50966A6E&quot;/&gt;&lt;wsp:rsid wsp:val=&quot;50967405&quot;/&gt;&lt;wsp:rsid wsp:val=&quot;50974594&quot;/&gt;&lt;wsp:rsid wsp:val=&quot;50977F78&quot;/&gt;&lt;wsp:rsid wsp:val=&quot;509947B0&quot;/&gt;&lt;wsp:rsid wsp:val=&quot;509B4084&quot;/&gt;&lt;wsp:rsid wsp:val=&quot;509B6FFA&quot;/&gt;&lt;wsp:rsid wsp:val=&quot;509B7A53&quot;/&gt;&lt;wsp:rsid wsp:val=&quot;509C6E7C&quot;/&gt;&lt;wsp:rsid wsp:val=&quot;509D7DA2&quot;/&gt;&lt;wsp:rsid wsp:val=&quot;509F054C&quot;/&gt;&lt;wsp:rsid wsp:val=&quot;50A15412&quot;/&gt;&lt;wsp:rsid wsp:val=&quot;50A373DC&quot;/&gt;&lt;wsp:rsid wsp:val=&quot;50A46360&quot;/&gt;&lt;wsp:rsid wsp:val=&quot;50A52A93&quot;/&gt;&lt;wsp:rsid wsp:val=&quot;50A54F03&quot;/&gt;&lt;wsp:rsid wsp:val=&quot;50A82C45&quot;/&gt;&lt;wsp:rsid wsp:val=&quot;50AA2519&quot;/&gt;&lt;wsp:rsid wsp:val=&quot;50AA42C7&quot;/&gt;&lt;wsp:rsid wsp:val=&quot;50AD2009&quot;/&gt;&lt;wsp:rsid wsp:val=&quot;50AF18DD&quot;/&gt;&lt;wsp:rsid wsp:val=&quot;50AF7B2F&quot;/&gt;&lt;wsp:rsid wsp:val=&quot;50B0055B&quot;/&gt;&lt;wsp:rsid wsp:val=&quot;50B2258E&quot;/&gt;&lt;wsp:rsid wsp:val=&quot;50B415EA&quot;/&gt;&lt;wsp:rsid wsp:val=&quot;50B52C6C&quot;/&gt;&lt;wsp:rsid wsp:val=&quot;50B60EBE&quot;/&gt;&lt;wsp:rsid wsp:val=&quot;50B909AE&quot;/&gt;&lt;wsp:rsid wsp:val=&quot;50BD049E&quot;/&gt;&lt;wsp:rsid wsp:val=&quot;50BE5FC4&quot;/&gt;&lt;wsp:rsid wsp:val=&quot;50BE7D72&quot;/&gt;&lt;wsp:rsid wsp:val=&quot;50C02456&quot;/&gt;&lt;wsp:rsid wsp:val=&quot;50C11611&quot;/&gt;&lt;wsp:rsid wsp:val=&quot;50C138E6&quot;/&gt;&lt;wsp:rsid wsp:val=&quot;50C25AB5&quot;/&gt;&lt;wsp:rsid wsp:val=&quot;50C42A70&quot;/&gt;&lt;wsp:rsid wsp:val=&quot;50C44837&quot;/&gt;&lt;wsp:rsid wsp:val=&quot;50C45240&quot;/&gt;&lt;wsp:rsid wsp:val=&quot;50C64B87&quot;/&gt;&lt;wsp:rsid wsp:val=&quot;50C7131D&quot;/&gt;&lt;wsp:rsid wsp:val=&quot;50C75F2C&quot;/&gt;&lt;wsp:rsid wsp:val=&quot;50CC06E1&quot;/&gt;&lt;wsp:rsid wsp:val=&quot;50CC248F&quot;/&gt;&lt;wsp:rsid wsp:val=&quot;50CD1E89&quot;/&gt;&lt;wsp:rsid wsp:val=&quot;50CD4459&quot;/&gt;&lt;wsp:rsid wsp:val=&quot;50CE4754&quot;/&gt;&lt;wsp:rsid wsp:val=&quot;50CF01D2&quot;/&gt;&lt;wsp:rsid wsp:val=&quot;50CF1F80&quot;/&gt;&lt;wsp:rsid wsp:val=&quot;50D11C9A&quot;/&gt;&lt;wsp:rsid wsp:val=&quot;50D12F3C&quot;/&gt;&lt;wsp:rsid wsp:val=&quot;50D2312A&quot;/&gt;&lt;wsp:rsid wsp:val=&quot;50D35CFB&quot;/&gt;&lt;wsp:rsid wsp:val=&quot;50D40C8C&quot;/&gt;&lt;wsp:rsid wsp:val=&quot;50D41344&quot;/&gt;&lt;wsp:rsid wsp:val=&quot;50D4718B&quot;/&gt;&lt;wsp:rsid wsp:val=&quot;50D47596&quot;/&gt;&lt;wsp:rsid wsp:val=&quot;50D60C6A&quot;/&gt;&lt;wsp:rsid wsp:val=&quot;50D650BC&quot;/&gt;&lt;wsp:rsid wsp:val=&quot;50D65543&quot;/&gt;&lt;wsp:rsid wsp:val=&quot;50D75B0C&quot;/&gt;&lt;wsp:rsid wsp:val=&quot;50D852D8&quot;/&gt;&lt;wsp:rsid wsp:val=&quot;50D91050&quot;/&gt;&lt;wsp:rsid wsp:val=&quot;50D94BAC&quot;/&gt;&lt;wsp:rsid wsp:val=&quot;50D95830&quot;/&gt;&lt;wsp:rsid wsp:val=&quot;50DA183E&quot;/&gt;&lt;wsp:rsid wsp:val=&quot;50DB26D2&quot;/&gt;&lt;wsp:rsid wsp:val=&quot;50DB6B76&quot;/&gt;&lt;wsp:rsid wsp:val=&quot;50DE53F6&quot;/&gt;&lt;wsp:rsid wsp:val=&quot;50DF60FE&quot;/&gt;&lt;wsp:rsid wsp:val=&quot;50E05F3B&quot;/&gt;&lt;wsp:rsid wsp:val=&quot;50E21CB3&quot;/&gt;&lt;wsp:rsid wsp:val=&quot;50E341DB&quot;/&gt;&lt;wsp:rsid wsp:val=&quot;50E357F0&quot;/&gt;&lt;wsp:rsid wsp:val=&quot;50E377D9&quot;/&gt;&lt;wsp:rsid wsp:val=&quot;50E6588A&quot;/&gt;&lt;wsp:rsid wsp:val=&quot;50EA6DB9&quot;/&gt;&lt;wsp:rsid wsp:val=&quot;50EE063D&quot;/&gt;&lt;wsp:rsid wsp:val=&quot;50EE1C37&quot;/&gt;&lt;wsp:rsid wsp:val=&quot;50F10148&quot;/&gt;&lt;wsp:rsid wsp:val=&quot;50F1639A&quot;/&gt;&lt;wsp:rsid wsp:val=&quot;50F264F0&quot;/&gt;&lt;wsp:rsid wsp:val=&quot;50F2676D&quot;/&gt;&lt;wsp:rsid wsp:val=&quot;50F32112&quot;/&gt;&lt;wsp:rsid wsp:val=&quot;50F419E6&quot;/&gt;&lt;wsp:rsid wsp:val=&quot;50F55B1D&quot;/&gt;&lt;wsp:rsid wsp:val=&quot;50F6575E&quot;/&gt;&lt;wsp:rsid wsp:val=&quot;50F72166&quot;/&gt;&lt;wsp:rsid wsp:val=&quot;50F814D6&quot;/&gt;&lt;wsp:rsid wsp:val=&quot;50F96FFC&quot;/&gt;&lt;wsp:rsid wsp:val=&quot;50FB2D75&quot;/&gt;&lt;wsp:rsid wsp:val=&quot;50FD4618&quot;/&gt;&lt;wsp:rsid wsp:val=&quot;50FD4D3F&quot;/&gt;&lt;wsp:rsid wsp:val=&quot;50FE4613&quot;/&gt;&lt;wsp:rsid wsp:val=&quot;50FF65F4&quot;/&gt;&lt;wsp:rsid wsp:val=&quot;51002139&quot;/&gt;&lt;wsp:rsid wsp:val=&quot;510161A8&quot;/&gt;&lt;wsp:rsid wsp:val=&quot;51067449&quot;/&gt;&lt;wsp:rsid wsp:val=&quot;510734C7&quot;/&gt;&lt;wsp:rsid wsp:val=&quot;5108607B&quot;/&gt;&lt;wsp:rsid wsp:val=&quot;510861A6&quot;/&gt;&lt;wsp:rsid wsp:val=&quot;51087240&quot;/&gt;&lt;wsp:rsid wsp:val=&quot;510936E3&quot;/&gt;&lt;wsp:rsid wsp:val=&quot;51094EF2&quot;/&gt;&lt;wsp:rsid wsp:val=&quot;510C4F82&quot;/&gt;&lt;wsp:rsid wsp:val=&quot;510E07AC&quot;/&gt;&lt;wsp:rsid wsp:val=&quot;510F6820&quot;/&gt;&lt;wsp:rsid wsp:val=&quot;511107EA&quot;/&gt;&lt;wsp:rsid wsp:val=&quot;51112598&quot;/&gt;&lt;wsp:rsid wsp:val=&quot;51121E6C&quot;/&gt;&lt;wsp:rsid wsp:val=&quot;51131A4D&quot;/&gt;&lt;wsp:rsid wsp:val=&quot;51134562&quot;/&gt;&lt;wsp:rsid wsp:val=&quot;51145BE4&quot;/&gt;&lt;wsp:rsid wsp:val=&quot;5116195C&quot;/&gt;&lt;wsp:rsid wsp:val=&quot;51165E00&quot;/&gt;&lt;wsp:rsid wsp:val=&quot;51167BAE&quot;/&gt;&lt;wsp:rsid wsp:val=&quot;51174CCA&quot;/&gt;&lt;wsp:rsid wsp:val=&quot;511756C2&quot;/&gt;&lt;wsp:rsid wsp:val=&quot;51181B78&quot;/&gt;&lt;wsp:rsid wsp:val=&quot;5119144D&quot;/&gt;&lt;wsp:rsid wsp:val=&quot;5119769F&quot;/&gt;&lt;wsp:rsid wsp:val=&quot;511A77B1&quot;/&gt;&lt;wsp:rsid wsp:val=&quot;511B3417&quot;/&gt;&lt;wsp:rsid wsp:val=&quot;511B51C5&quot;/&gt;&lt;wsp:rsid wsp:val=&quot;511B6F73&quot;/&gt;&lt;wsp:rsid wsp:val=&quot;511D718F&quot;/&gt;&lt;wsp:rsid wsp:val=&quot;511E4CB5&quot;/&gt;&lt;wsp:rsid wsp:val=&quot;511F3F91&quot;/&gt;&lt;wsp:rsid wsp:val=&quot;512037C9&quot;/&gt;&lt;wsp:rsid wsp:val=&quot;51220301&quot;/&gt;&lt;wsp:rsid wsp:val=&quot;51234079&quot;/&gt;&lt;wsp:rsid wsp:val=&quot;5124051D&quot;/&gt;&lt;wsp:rsid wsp:val=&quot;512531C2&quot;/&gt;&lt;wsp:rsid wsp:val=&quot;51281690&quot;/&gt;&lt;wsp:rsid wsp:val=&quot;51295B34&quot;/&gt;&lt;wsp:rsid wsp:val=&quot;512978E2&quot;/&gt;&lt;wsp:rsid wsp:val=&quot;512A365A&quot;/&gt;&lt;wsp:rsid wsp:val=&quot;512A5408&quot;/&gt;&lt;wsp:rsid wsp:val=&quot;512C73D2&quot;/&gt;&lt;wsp:rsid wsp:val=&quot;512E091C&quot;/&gt;&lt;wsp:rsid wsp:val=&quot;512F2A1E&quot;/&gt;&lt;wsp:rsid wsp:val=&quot;512F6EC2&quot;/&gt;&lt;wsp:rsid wsp:val=&quot;51301FBE&quot;/&gt;&lt;wsp:rsid wsp:val=&quot;51305287&quot;/&gt;&lt;wsp:rsid wsp:val=&quot;51312C3A&quot;/&gt;&lt;wsp:rsid wsp:val=&quot;513242BC&quot;/&gt;&lt;wsp:rsid wsp:val=&quot;51330760&quot;/&gt;&lt;wsp:rsid wsp:val=&quot;51385D77&quot;/&gt;&lt;wsp:rsid wsp:val=&quot;5139389D&quot;/&gt;&lt;wsp:rsid wsp:val=&quot;513969CF&quot;/&gt;&lt;wsp:rsid wsp:val=&quot;513B13C3&quot;/&gt;&lt;wsp:rsid wsp:val=&quot;513C15BE&quot;/&gt;&lt;wsp:rsid wsp:val=&quot;513D513B&quot;/&gt;&lt;wsp:rsid wsp:val=&quot;513D755B&quot;/&gt;&lt;wsp:rsid wsp:val=&quot;513E2C61&quot;/&gt;&lt;wsp:rsid wsp:val=&quot;513F7105&quot;/&gt;&lt;wsp:rsid wsp:val=&quot;514209A3&quot;/&gt;&lt;wsp:rsid wsp:val=&quot;51422751&quot;/&gt;&lt;wsp:rsid wsp:val=&quot;51426BF5&quot;/&gt;&lt;wsp:rsid wsp:val=&quot;51433EC6&quot;/&gt;&lt;wsp:rsid wsp:val=&quot;5144296E&quot;/&gt;&lt;wsp:rsid wsp:val=&quot;51442FEA&quot;/&gt;&lt;wsp:rsid wsp:val=&quot;51450494&quot;/&gt;&lt;wsp:rsid wsp:val=&quot;51451AF4&quot;/&gt;&lt;wsp:rsid wsp:val=&quot;5147420C&quot;/&gt;&lt;wsp:rsid wsp:val=&quot;5148350E&quot;/&gt;&lt;wsp:rsid wsp:val=&quot;5149499E&quot;/&gt;&lt;wsp:rsid wsp:val=&quot;514A7062&quot;/&gt;&lt;wsp:rsid wsp:val=&quot;514B3CFC&quot;/&gt;&lt;wsp:rsid wsp:val=&quot;514C1822&quot;/&gt;&lt;wsp:rsid wsp:val=&quot;514F30C0&quot;/&gt;&lt;wsp:rsid wsp:val=&quot;51510332&quot;/&gt;&lt;wsp:rsid wsp:val=&quot;51510BE7&quot;/&gt;&lt;wsp:rsid wsp:val=&quot;51542485&quot;/&gt;&lt;wsp:rsid wsp:val=&quot;51570432&quot;/&gt;&lt;wsp:rsid wsp:val=&quot;51573196&quot;/&gt;&lt;wsp:rsid wsp:val=&quot;51586233&quot;/&gt;&lt;wsp:rsid wsp:val=&quot;51586419&quot;/&gt;&lt;wsp:rsid wsp:val=&quot;51595CED&quot;/&gt;&lt;wsp:rsid wsp:val=&quot;515A3F3F&quot;/&gt;&lt;wsp:rsid wsp:val=&quot;515B3DD2&quot;/&gt;&lt;wsp:rsid wsp:val=&quot;515D57DD&quot;/&gt;&lt;wsp:rsid wsp:val=&quot;515D758B&quot;/&gt;&lt;wsp:rsid wsp:val=&quot;515E2B63&quot;/&gt;&lt;wsp:rsid wsp:val=&quot;515F3303&quot;/&gt;&lt;wsp:rsid wsp:val=&quot;51600054&quot;/&gt;&lt;wsp:rsid wsp:val=&quot;5160707C&quot;/&gt;&lt;wsp:rsid wsp:val=&quot;5162104E&quot;/&gt;&lt;wsp:rsid wsp:val=&quot;51644DBE&quot;/&gt;&lt;wsp:rsid wsp:val=&quot;516642EA&quot;/&gt;&lt;wsp:rsid wsp:val=&quot;51666CAC&quot;/&gt;&lt;wsp:rsid wsp:val=&quot;5169153E&quot;/&gt;&lt;wsp:rsid wsp:val=&quot;516923D4&quot;/&gt;&lt;wsp:rsid wsp:val=&quot;51695F30&quot;/&gt;&lt;wsp:rsid wsp:val=&quot;51696558&quot;/&gt;&lt;wsp:rsid wsp:val=&quot;516B614C&quot;/&gt;&lt;wsp:rsid wsp:val=&quot;516C77CE&quot;/&gt;&lt;wsp:rsid wsp:val=&quot;516E1798&quot;/&gt;&lt;wsp:rsid wsp:val=&quot;51705511&quot;/&gt;&lt;wsp:rsid wsp:val=&quot;51713037&quot;/&gt;&lt;wsp:rsid wsp:val=&quot;51714DE5&quot;/&gt;&lt;wsp:rsid wsp:val=&quot;517174DB&quot;/&gt;&lt;wsp:rsid wsp:val=&quot;51725F12&quot;/&gt;&lt;wsp:rsid wsp:val=&quot;517364CA&quot;/&gt;&lt;wsp:rsid wsp:val=&quot;517372A6&quot;/&gt;&lt;wsp:rsid wsp:val=&quot;51756313&quot;/&gt;&lt;wsp:rsid wsp:val=&quot;51764AF1&quot;/&gt;&lt;wsp:rsid wsp:val=&quot;5176689F&quot;/&gt;&lt;wsp:rsid wsp:val=&quot;517862DB&quot;/&gt;&lt;wsp:rsid wsp:val=&quot;517A013D&quot;/&gt;&lt;wsp:rsid wsp:val=&quot;517A638F&quot;/&gt;&lt;wsp:rsid wsp:val=&quot;517D19DC&quot;/&gt;&lt;wsp:rsid wsp:val=&quot;517F7502&quot;/&gt;&lt;wsp:rsid wsp:val=&quot;51826FF2&quot;/&gt;&lt;wsp:rsid wsp:val=&quot;518412A6&quot;/&gt;&lt;wsp:rsid wsp:val=&quot;51845DE3&quot;/&gt;&lt;wsp:rsid wsp:val=&quot;5184720E&quot;/&gt;&lt;wsp:rsid wsp:val=&quot;51850890&quot;/&gt;&lt;wsp:rsid wsp:val=&quot;51851EB1&quot;/&gt;&lt;wsp:rsid wsp:val=&quot;51856AE2&quot;/&gt;&lt;wsp:rsid wsp:val=&quot;51863288&quot;/&gt;&lt;wsp:rsid wsp:val=&quot;51874608&quot;/&gt;&lt;wsp:rsid wsp:val=&quot;51890380&quot;/&gt;&lt;wsp:rsid wsp:val=&quot;518A40F8&quot;/&gt;&lt;wsp:rsid wsp:val=&quot;518A5EA7&quot;/&gt;&lt;wsp:rsid wsp:val=&quot;518B672F&quot;/&gt;&lt;wsp:rsid wsp:val=&quot;518C1C1F&quot;/&gt;&lt;wsp:rsid wsp:val=&quot;518C4C2B&quot;/&gt;&lt;wsp:rsid wsp:val=&quot;518C60C3&quot;/&gt;&lt;wsp:rsid wsp:val=&quot;519136D9&quot;/&gt;&lt;wsp:rsid wsp:val=&quot;5191557D&quot;/&gt;&lt;wsp:rsid wsp:val=&quot;51917235&quot;/&gt;&lt;wsp:rsid wsp:val=&quot;51932FAD&quot;/&gt;&lt;wsp:rsid wsp:val=&quot;51945ED0&quot;/&gt;&lt;wsp:rsid wsp:val=&quot;51954F77&quot;/&gt;&lt;wsp:rsid wsp:val=&quot;51956D25&quot;/&gt;&lt;wsp:rsid wsp:val=&quot;51976F41&quot;/&gt;&lt;wsp:rsid wsp:val=&quot;51984A67&quot;/&gt;&lt;wsp:rsid wsp:val=&quot;51986D55&quot;/&gt;&lt;wsp:rsid wsp:val=&quot;519B00B4&quot;/&gt;&lt;wsp:rsid wsp:val=&quot;519B2098&quot;/&gt;&lt;wsp:rsid wsp:val=&quot;519C4558&quot;/&gt;&lt;wsp:rsid wsp:val=&quot;519D3E2C&quot;/&gt;&lt;wsp:rsid wsp:val=&quot;519F1952&quot;/&gt;&lt;wsp:rsid wsp:val=&quot;519F2BF9&quot;/&gt;&lt;wsp:rsid wsp:val=&quot;519F5DF6&quot;/&gt;&lt;wsp:rsid wsp:val=&quot;51A0391C&quot;/&gt;&lt;wsp:rsid wsp:val=&quot;51A054E7&quot;/&gt;&lt;wsp:rsid wsp:val=&quot;51A229D8&quot;/&gt;&lt;wsp:rsid wsp:val=&quot;51A57EC9&quot;/&gt;&lt;wsp:rsid wsp:val=&quot;51A96C75&quot;/&gt;&lt;wsp:rsid wsp:val=&quot;51AB479B&quot;/&gt;&lt;wsp:rsid wsp:val=&quot;51B11685&quot;/&gt;&lt;wsp:rsid wsp:val=&quot;51B15B29&quot;/&gt;&lt;wsp:rsid wsp:val=&quot;51B178D7&quot;/&gt;&lt;wsp:rsid wsp:val=&quot;51B20588&quot;/&gt;&lt;wsp:rsid wsp:val=&quot;51B278FC&quot;/&gt;&lt;wsp:rsid wsp:val=&quot;51B318A1&quot;/&gt;&lt;wsp:rsid wsp:val=&quot;51B3364F&quot;/&gt;&lt;wsp:rsid wsp:val=&quot;51B353FD&quot;/&gt;&lt;wsp:rsid wsp:val=&quot;51B435EF&quot;/&gt;&lt;wsp:rsid wsp:val=&quot;51B72F48&quot;/&gt;&lt;wsp:rsid wsp:val=&quot;51B82A14&quot;/&gt;&lt;wsp:rsid wsp:val=&quot;51BA2C30&quot;/&gt;&lt;wsp:rsid wsp:val=&quot;51BA4ED9&quot;/&gt;&lt;wsp:rsid wsp:val=&quot;51BC0756&quot;/&gt;&lt;wsp:rsid wsp:val=&quot;51BC1A4F&quot;/&gt;&lt;wsp:rsid wsp:val=&quot;51BD75E0&quot;/&gt;&lt;wsp:rsid wsp:val=&quot;51BE390E&quot;/&gt;&lt;wsp:rsid wsp:val=&quot;51BE431A&quot;/&gt;&lt;wsp:rsid wsp:val=&quot;51BF0246&quot;/&gt;&lt;wsp:rsid wsp:val=&quot;51BF1FF4&quot;/&gt;&lt;wsp:rsid wsp:val=&quot;51C27D36&quot;/&gt;&lt;wsp:rsid wsp:val=&quot;51C30881&quot;/&gt;&lt;wsp:rsid wsp:val=&quot;51C32DEB&quot;/&gt;&lt;wsp:rsid wsp:val=&quot;51C413B8&quot;/&gt;&lt;wsp:rsid wsp:val=&quot;51C55131&quot;/&gt;&lt;wsp:rsid wsp:val=&quot;51C70EA9&quot;/&gt;&lt;wsp:rsid wsp:val=&quot;51C83E52&quot;/&gt;&lt;wsp:rsid wsp:val=&quot;51C8791B&quot;/&gt;&lt;wsp:rsid wsp:val=&quot;51C94C21&quot;/&gt;&lt;wsp:rsid wsp:val=&quot;51CB2747&quot;/&gt;&lt;wsp:rsid wsp:val=&quot;51CC27B3&quot;/&gt;&lt;wsp:rsid wsp:val=&quot;51CC3074&quot;/&gt;&lt;wsp:rsid wsp:val=&quot;51D3602E&quot;/&gt;&lt;wsp:rsid wsp:val=&quot;51D57A6A&quot;/&gt;&lt;wsp:rsid wsp:val=&quot;51D610EC&quot;/&gt;&lt;wsp:rsid wsp:val=&quot;51D6733E&quot;/&gt;&lt;wsp:rsid wsp:val=&quot;51D718C7&quot;/&gt;&lt;wsp:rsid wsp:val=&quot;51D75590&quot;/&gt;&lt;wsp:rsid wsp:val=&quot;51D81308&quot;/&gt;&lt;wsp:rsid wsp:val=&quot;51DA681B&quot;/&gt;&lt;wsp:rsid wsp:val=&quot;51DB6702&quot;/&gt;&lt;wsp:rsid wsp:val=&quot;51DF2696&quot;/&gt;&lt;wsp:rsid wsp:val=&quot;51DF6918&quot;/&gt;&lt;wsp:rsid wsp:val=&quot;51E11F6A&quot;/&gt;&lt;wsp:rsid wsp:val=&quot;51E1640E&quot;/&gt;&lt;wsp:rsid wsp:val=&quot;51E21056&quot;/&gt;&lt;wsp:rsid wsp:val=&quot;51E27A91&quot;/&gt;&lt;wsp:rsid wsp:val=&quot;51E37825&quot;/&gt;&lt;wsp:rsid wsp:val=&quot;51E43809&quot;/&gt;&lt;wsp:rsid wsp:val=&quot;51E4598F&quot;/&gt;&lt;wsp:rsid wsp:val=&quot;51E657D3&quot;/&gt;&lt;wsp:rsid wsp:val=&quot;51E732F9&quot;/&gt;&lt;wsp:rsid wsp:val=&quot;51E8779D&quot;/&gt;&lt;wsp:rsid wsp:val=&quot;51E90E1F&quot;/&gt;&lt;wsp:rsid wsp:val=&quot;51E93F9C&quot;/&gt;&lt;wsp:rsid wsp:val=&quot;51E952C3&quot;/&gt;&lt;wsp:rsid wsp:val=&quot;51EB4B97&quot;/&gt;&lt;wsp:rsid wsp:val=&quot;51EE0B2B&quot;/&gt;&lt;wsp:rsid wsp:val=&quot;51EE6435&quot;/&gt;&lt;wsp:rsid wsp:val=&quot;51F0145F&quot;/&gt;&lt;wsp:rsid wsp:val=&quot;51F06651&quot;/&gt;&lt;wsp:rsid wsp:val=&quot;51F31C9E&quot;/&gt;&lt;wsp:rsid wsp:val=&quot;51F36142&quot;/&gt;&lt;wsp:rsid wsp:val=&quot;51F37EF0&quot;/&gt;&lt;wsp:rsid wsp:val=&quot;51F55A16&quot;/&gt;&lt;wsp:rsid wsp:val=&quot;51F75BDF&quot;/&gt;&lt;wsp:rsid wsp:val=&quot;51F779E0&quot;/&gt;&lt;wsp:rsid wsp:val=&quot;51FD48CA&quot;/&gt;&lt;wsp:rsid wsp:val=&quot;51FE0D6E&quot;/&gt;&lt;wsp:rsid wsp:val=&quot;51FF6894&quot;/&gt;&lt;wsp:rsid wsp:val=&quot;5201085F&quot;/&gt;&lt;wsp:rsid wsp:val=&quot;5201260D&quot;/&gt;&lt;wsp:rsid wsp:val=&quot;52020133&quot;/&gt;&lt;wsp:rsid wsp:val=&quot;52036385&quot;/&gt;&lt;wsp:rsid wsp:val=&quot;52043EAB&quot;/&gt;&lt;wsp:rsid wsp:val=&quot;52045C59&quot;/&gt;&lt;wsp:rsid wsp:val=&quot;52053F6D&quot;/&gt;&lt;wsp:rsid wsp:val=&quot;52063512&quot;/&gt;&lt;wsp:rsid wsp:val=&quot;52065E75&quot;/&gt;&lt;wsp:rsid wsp:val=&quot;52067C23&quot;/&gt;&lt;wsp:rsid wsp:val=&quot;520774F7&quot;/&gt;&lt;wsp:rsid wsp:val=&quot;5208399B&quot;/&gt;&lt;wsp:rsid wsp:val=&quot;5209326F&quot;/&gt;&lt;wsp:rsid wsp:val=&quot;520D0FB1&quot;/&gt;&lt;wsp:rsid wsp:val=&quot;520D4567&quot;/&gt;&lt;wsp:rsid wsp:val=&quot;520E4D2A&quot;/&gt;&lt;wsp:rsid wsp:val=&quot;520E6AD8&quot;/&gt;&lt;wsp:rsid wsp:val=&quot;520F187D&quot;/&gt;&lt;wsp:rsid wsp:val=&quot;52100AA2&quot;/&gt;&lt;wsp:rsid wsp:val=&quot;521039DF&quot;/&gt;&lt;wsp:rsid wsp:val=&quot;521161D6&quot;/&gt;&lt;wsp:rsid wsp:val=&quot;5212481A&quot;/&gt;&lt;wsp:rsid wsp:val=&quot;521340EE&quot;/&gt;&lt;wsp:rsid wsp:val=&quot;52135808&quot;/&gt;&lt;wsp:rsid wsp:val=&quot;521560B8&quot;/&gt;&lt;wsp:rsid wsp:val=&quot;52157E66&quot;/&gt;&lt;wsp:rsid wsp:val=&quot;52171E30&quot;/&gt;&lt;wsp:rsid wsp:val=&quot;52173BDE&quot;/&gt;&lt;wsp:rsid wsp:val=&quot;5217598C&quot;/&gt;&lt;wsp:rsid wsp:val=&quot;52187956&quot;/&gt;&lt;wsp:rsid wsp:val=&quot;521C2FA3&quot;/&gt;&lt;wsp:rsid wsp:val=&quot;521C7446&quot;/&gt;&lt;wsp:rsid wsp:val=&quot;521D6D1B&quot;/&gt;&lt;wsp:rsid wsp:val=&quot;521F17D2&quot;/&gt;&lt;wsp:rsid wsp:val=&quot;521F2A93&quot;/&gt;&lt;wsp:rsid wsp:val=&quot;52207E0C&quot;/&gt;&lt;wsp:rsid wsp:val=&quot;52210308&quot;/&gt;&lt;wsp:rsid wsp:val=&quot;52224331&quot;/&gt;&lt;wsp:rsid wsp:val=&quot;522307D5&quot;/&gt;&lt;wsp:rsid wsp:val=&quot;522410D4&quot;/&gt;&lt;wsp:rsid wsp:val=&quot;522602C5&quot;/&gt;&lt;wsp:rsid wsp:val=&quot;52262073&quot;/&gt;&lt;wsp:rsid wsp:val=&quot;52263E21&quot;/&gt;&lt;wsp:rsid wsp:val=&quot;52275EA9&quot;/&gt;&lt;wsp:rsid wsp:val=&quot;52287B99&quot;/&gt;&lt;wsp:rsid wsp:val=&quot;52291B63&quot;/&gt;&lt;wsp:rsid wsp:val=&quot;522B58DB&quot;/&gt;&lt;wsp:rsid wsp:val=&quot;522B768A&quot;/&gt;&lt;wsp:rsid wsp:val=&quot;522C6459&quot;/&gt;&lt;wsp:rsid wsp:val=&quot;522E0F28&quot;/&gt;&lt;wsp:rsid wsp:val=&quot;52326C6A&quot;/&gt;&lt;wsp:rsid wsp:val=&quot;523302EC&quot;/&gt;&lt;wsp:rsid wsp:val=&quot;52344790&quot;/&gt;&lt;wsp:rsid wsp:val=&quot;523522B6&quot;/&gt;&lt;wsp:rsid wsp:val=&quot;523625A1&quot;/&gt;&lt;wsp:rsid wsp:val=&quot;52363773&quot;/&gt;&lt;wsp:rsid wsp:val=&quot;52374280&quot;/&gt;&lt;wsp:rsid wsp:val=&quot;523A167B&quot;/&gt;&lt;wsp:rsid wsp:val=&quot;523A2882&quot;/&gt;&lt;wsp:rsid wsp:val=&quot;523A5B1F&quot;/&gt;&lt;wsp:rsid wsp:val=&quot;523A78CD&quot;/&gt;&lt;wsp:rsid wsp:val=&quot;523E560F&quot;/&gt;&lt;wsp:rsid wsp:val=&quot;523E73BD&quot;/&gt;&lt;wsp:rsid wsp:val=&quot;523F4EE3&quot;/&gt;&lt;wsp:rsid wsp:val=&quot;52406284&quot;/&gt;&lt;wsp:rsid wsp:val=&quot;52412A09&quot;/&gt;&lt;wsp:rsid wsp:val=&quot;52432C25&quot;/&gt;&lt;wsp:rsid wsp:val=&quot;5245699D&quot;/&gt;&lt;wsp:rsid wsp:val=&quot;5246001F&quot;/&gt;&lt;wsp:rsid wsp:val=&quot;52462715&quot;/&gt;&lt;wsp:rsid wsp:val=&quot;5248054A&quot;/&gt;&lt;wsp:rsid wsp:val=&quot;52497B10&quot;/&gt;&lt;wsp:rsid wsp:val=&quot;524B1ADA&quot;/&gt;&lt;wsp:rsid wsp:val=&quot;524D28F9&quot;/&gt;&lt;wsp:rsid wsp:val=&quot;524D5852&quot;/&gt;&lt;wsp:rsid wsp:val=&quot;524D7600&quot;/&gt;&lt;wsp:rsid wsp:val=&quot;525070F0&quot;/&gt;&lt;wsp:rsid wsp:val=&quot;525377A0&quot;/&gt;&lt;wsp:rsid wsp:val=&quot;52552958&quot;/&gt;&lt;wsp:rsid wsp:val=&quot;525564B4&quot;/&gt;&lt;wsp:rsid wsp:val=&quot;52562EB1&quot;/&gt;&lt;wsp:rsid wsp:val=&quot;5257047F&quot;/&gt;&lt;wsp:rsid wsp:val=&quot;525766D1&quot;/&gt;&lt;wsp:rsid wsp:val=&quot;525941F7&quot;/&gt;&lt;wsp:rsid wsp:val=&quot;52595FA5&quot;/&gt;&lt;wsp:rsid wsp:val=&quot;525A7F6F&quot;/&gt;&lt;wsp:rsid wsp:val=&quot;525B7E1D&quot;/&gt;&lt;wsp:rsid wsp:val=&quot;525D5136&quot;/&gt;&lt;wsp:rsid wsp:val=&quot;525E180D&quot;/&gt;&lt;wsp:rsid wsp:val=&quot;525E5A85&quot;/&gt;&lt;wsp:rsid wsp:val=&quot;525F17E0&quot;/&gt;&lt;wsp:rsid wsp:val=&quot;525F7333&quot;/&gt;&lt;wsp:rsid wsp:val=&quot;52676E2D&quot;/&gt;&lt;wsp:rsid wsp:val=&quot;526B217C&quot;/&gt;&lt;wsp:rsid wsp:val=&quot;526D7CA2&quot;/&gt;&lt;wsp:rsid wsp:val=&quot;526F3A1A&quot;/&gt;&lt;wsp:rsid wsp:val=&quot;526F5AE9&quot;/&gt;&lt;wsp:rsid wsp:val=&quot;52701540&quot;/&gt;&lt;wsp:rsid wsp:val=&quot;52727066&quot;/&gt;&lt;wsp:rsid wsp:val=&quot;52741030&quot;/&gt;&lt;wsp:rsid wsp:val=&quot;52742DDF&quot;/&gt;&lt;wsp:rsid wsp:val=&quot;52750905&quot;/&gt;&lt;wsp:rsid wsp:val=&quot;527728CF&quot;/&gt;&lt;wsp:rsid wsp:val=&quot;52775881&quot;/&gt;&lt;wsp:rsid wsp:val=&quot;527821A3&quot;/&gt;&lt;wsp:rsid wsp:val=&quot;527949B6&quot;/&gt;&lt;wsp:rsid wsp:val=&quot;52796647&quot;/&gt;&lt;wsp:rsid wsp:val=&quot;527A5F1B&quot;/&gt;&lt;wsp:rsid wsp:val=&quot;527B23BF&quot;/&gt;&lt;wsp:rsid wsp:val=&quot;527C6137&quot;/&gt;&lt;wsp:rsid wsp:val=&quot;527C7EE5&quot;/&gt;&lt;wsp:rsid wsp:val=&quot;527E3C5D&quot;/&gt;&lt;wsp:rsid wsp:val=&quot;527E7E13&quot;/&gt;&lt;wsp:rsid wsp:val=&quot;527F3531&quot;/&gt;&lt;wsp:rsid wsp:val=&quot;528079D5&quot;/&gt;&lt;wsp:rsid wsp:val=&quot;52846D9A&quot;/&gt;&lt;wsp:rsid wsp:val=&quot;5285680A&quot;/&gt;&lt;wsp:rsid wsp:val=&quot;52860D64&quot;/&gt;&lt;wsp:rsid wsp:val=&quot;52880638&quot;/&gt;&lt;wsp:rsid wsp:val=&quot;52892D6A&quot;/&gt;&lt;wsp:rsid wsp:val=&quot;528943B0&quot;/&gt;&lt;wsp:rsid wsp:val=&quot;528A0854&quot;/&gt;&lt;wsp:rsid wsp:val=&quot;528B1ED6&quot;/&gt;&lt;wsp:rsid wsp:val=&quot;528D3EA0&quot;/&gt;&lt;wsp:rsid wsp:val=&quot;52911BE2&quot;/&gt;&lt;wsp:rsid wsp:val=&quot;529214B7&quot;/&gt;&lt;wsp:rsid wsp:val=&quot;529273E1&quot;/&gt;&lt;wsp:rsid wsp:val=&quot;529308D2&quot;/&gt;&lt;wsp:rsid wsp:val=&quot;5294522F&quot;/&gt;&lt;wsp:rsid wsp:val=&quot;52950FA7&quot;/&gt;&lt;wsp:rsid wsp:val=&quot;52972F71&quot;/&gt;&lt;wsp:rsid wsp:val=&quot;52974D1F&quot;/&gt;&lt;wsp:rsid wsp:val=&quot;52992845&quot;/&gt;&lt;wsp:rsid wsp:val=&quot;529945F3&quot;/&gt;&lt;wsp:rsid wsp:val=&quot;529A0DFF&quot;/&gt;&lt;wsp:rsid wsp:val=&quot;529C0587&quot;/&gt;&lt;wsp:rsid wsp:val=&quot;529C2335&quot;/&gt;&lt;wsp:rsid wsp:val=&quot;529D2670&quot;/&gt;&lt;wsp:rsid wsp:val=&quot;529E60AD&quot;/&gt;&lt;wsp:rsid wsp:val=&quot;529E7E5B&quot;/&gt;&lt;wsp:rsid wsp:val=&quot;52A00D5B&quot;/&gt;&lt;wsp:rsid wsp:val=&quot;52A15B9E&quot;/&gt;&lt;wsp:rsid wsp:val=&quot;52A30116&quot;/&gt;&lt;wsp:rsid wsp:val=&quot;52A336C4&quot;/&gt;&lt;wsp:rsid wsp:val=&quot;52A35472&quot;/&gt;&lt;wsp:rsid wsp:val=&quot;52A511EA&quot;/&gt;&lt;wsp:rsid wsp:val=&quot;52A66D10&quot;/&gt;&lt;wsp:rsid wsp:val=&quot;52A94F25&quot;/&gt;&lt;wsp:rsid wsp:val=&quot;52AB2578&quot;/&gt;&lt;wsp:rsid wsp:val=&quot;52AF3E17&quot;/&gt;&lt;wsp:rsid wsp:val=&quot;52B0193D&quot;/&gt;&lt;wsp:rsid wsp:val=&quot;52B14033&quot;/&gt;&lt;wsp:rsid wsp:val=&quot;52B15DE1&quot;/&gt;&lt;wsp:rsid wsp:val=&quot;52B17615&quot;/&gt;&lt;wsp:rsid wsp:val=&quot;52B22C17&quot;/&gt;&lt;wsp:rsid wsp:val=&quot;52B23907&quot;/&gt;&lt;wsp:rsid wsp:val=&quot;52B4767F&quot;/&gt;&lt;wsp:rsid wsp:val=&quot;52B6137F&quot;/&gt;&lt;wsp:rsid wsp:val=&quot;52B61649&quot;/&gt;&lt;wsp:rsid wsp:val=&quot;52B70F1D&quot;/&gt;&lt;wsp:rsid wsp:val=&quot;52B72CCB&quot;/&gt;&lt;wsp:rsid wsp:val=&quot;52B74753&quot;/&gt;&lt;wsp:rsid wsp:val=&quot;52B94C95&quot;/&gt;&lt;wsp:rsid wsp:val=&quot;52BA27BB&quot;/&gt;&lt;wsp:rsid wsp:val=&quot;52BB6C5F&quot;/&gt;&lt;wsp:rsid wsp:val=&quot;52BC29D7&quot;/&gt;&lt;wsp:rsid wsp:val=&quot;52BC7A43&quot;/&gt;&lt;wsp:rsid wsp:val=&quot;52C038CF&quot;/&gt;&lt;wsp:rsid wsp:val=&quot;52C27FEE&quot;/&gt;&lt;wsp:rsid wsp:val=&quot;52C33D66&quot;/&gt;&lt;wsp:rsid wsp:val=&quot;52C378C2&quot;/&gt;&lt;wsp:rsid wsp:val=&quot;52C5188C&quot;/&gt;&lt;wsp:rsid wsp:val=&quot;52C52FBD&quot;/&gt;&lt;wsp:rsid wsp:val=&quot;52C5363A&quot;/&gt;&lt;wsp:rsid wsp:val=&quot;52C55120&quot;/&gt;&lt;wsp:rsid wsp:val=&quot;52C6444D&quot;/&gt;&lt;wsp:rsid wsp:val=&quot;52C8137C&quot;/&gt;&lt;wsp:rsid wsp:val=&quot;52C901FD&quot;/&gt;&lt;wsp:rsid wsp:val=&quot;52C93C68&quot;/&gt;&lt;wsp:rsid wsp:val=&quot;52CA28B0&quot;/&gt;&lt;wsp:rsid wsp:val=&quot;52CA29FF&quot;/&gt;&lt;wsp:rsid wsp:val=&quot;52CA425E&quot;/&gt;&lt;wsp:rsid wsp:val=&quot;52CB49C9&quot;/&gt;&lt;wsp:rsid wsp:val=&quot;52CB56EE&quot;/&gt;&lt;wsp:rsid wsp:val=&quot;52CD28C8&quot;/&gt;&lt;wsp:rsid wsp:val=&quot;52CF270B&quot;/&gt;&lt;wsp:rsid wsp:val=&quot;52CF44B9&quot;/&gt;&lt;wsp:rsid wsp:val=&quot;52D03D8D&quot;/&gt;&lt;wsp:rsid wsp:val=&quot;52D05B9E&quot;/&gt;&lt;wsp:rsid wsp:val=&quot;52D10231&quot;/&gt;&lt;wsp:rsid wsp:val=&quot;52D23FA9&quot;/&gt;&lt;wsp:rsid wsp:val=&quot;52D27B05&quot;/&gt;&lt;wsp:rsid wsp:val=&quot;52D41ACF&quot;/&gt;&lt;wsp:rsid wsp:val=&quot;52D4387D&quot;/&gt;&lt;wsp:rsid wsp:val=&quot;52D61371&quot;/&gt;&lt;wsp:rsid wsp:val=&quot;52D715BF&quot;/&gt;&lt;wsp:rsid wsp:val=&quot;52D7336D&quot;/&gt;&lt;wsp:rsid wsp:val=&quot;52D824FC&quot;/&gt;&lt;wsp:rsid wsp:val=&quot;52D85640&quot;/&gt;&lt;wsp:rsid wsp:val=&quot;52D90E94&quot;/&gt;&lt;wsp:rsid wsp:val=&quot;52D94008&quot;/&gt;&lt;wsp:rsid wsp:val=&quot;52DA79A1&quot;/&gt;&lt;wsp:rsid wsp:val=&quot;52DB4C0C&quot;/&gt;&lt;wsp:rsid wsp:val=&quot;52DE294E&quot;/&gt;&lt;wsp:rsid wsp:val=&quot;52DF00AD&quot;/&gt;&lt;wsp:rsid wsp:val=&quot;52E07BC5&quot;/&gt;&lt;wsp:rsid wsp:val=&quot;52E15F9A&quot;/&gt;&lt;wsp:rsid wsp:val=&quot;52E34B56&quot;/&gt;&lt;wsp:rsid wsp:val=&quot;52E43DC1&quot;/&gt;&lt;wsp:rsid wsp:val=&quot;52E63A37&quot;/&gt;&lt;wsp:rsid wsp:val=&quot;52E837CD&quot;/&gt;&lt;wsp:rsid wsp:val=&quot;52EA0F57&quot;/&gt;&lt;wsp:rsid wsp:val=&quot;52EA4E4F&quot;/&gt;&lt;wsp:rsid wsp:val=&quot;52EC6E19&quot;/&gt;&lt;wsp:rsid wsp:val=&quot;52F04408&quot;/&gt;&lt;wsp:rsid wsp:val=&quot;52F061DD&quot;/&gt;&lt;wsp:rsid wsp:val=&quot;52F263F9&quot;/&gt;&lt;wsp:rsid wsp:val=&quot;52F65EE9&quot;/&gt;&lt;wsp:rsid wsp:val=&quot;52F83A10&quot;/&gt;&lt;wsp:rsid wsp:val=&quot;52F9532F&quot;/&gt;&lt;wsp:rsid wsp:val=&quot;52FB52AE&quot;/&gt;&lt;wsp:rsid wsp:val=&quot;52FC2DD4&quot;/&gt;&lt;wsp:rsid wsp:val=&quot;52FC4B82&quot;/&gt;&lt;wsp:rsid wsp:val=&quot;52FE6B4C&quot;/&gt;&lt;wsp:rsid wsp:val=&quot;52FF0F42&quot;/&gt;&lt;wsp:rsid wsp:val=&quot;53000B16&quot;/&gt;&lt;wsp:rsid wsp:val=&quot;530028C4&quot;/&gt;&lt;wsp:rsid wsp:val=&quot;5302488E&quot;/&gt;&lt;wsp:rsid wsp:val=&quot;53051C89&quot;/&gt;&lt;wsp:rsid wsp:val=&quot;53065A01&quot;/&gt;&lt;wsp:rsid wsp:val=&quot;53073C53&quot;/&gt;&lt;wsp:rsid wsp:val=&quot;530823C4&quot;/&gt;&lt;wsp:rsid wsp:val=&quot;530838D7&quot;/&gt;&lt;wsp:rsid wsp:val=&quot;53084200&quot;/&gt;&lt;wsp:rsid wsp:val=&quot;53095C1D&quot;/&gt;&lt;wsp:rsid wsp:val=&quot;530B580B&quot;/&gt;&lt;wsp:rsid wsp:val=&quot;530C7DF3&quot;/&gt;&lt;wsp:rsid wsp:val=&quot;530E2C43&quot;/&gt;&lt;wsp:rsid wsp:val=&quot;530F48B5&quot;/&gt;&lt;wsp:rsid wsp:val=&quot;53114AD1&quot;/&gt;&lt;wsp:rsid wsp:val=&quot;5312149E&quot;/&gt;&lt;wsp:rsid wsp:val=&quot;531225F7&quot;/&gt;&lt;wsp:rsid wsp:val=&quot;531243A6&quot;/&gt;&lt;wsp:rsid wsp:val=&quot;5314011E&quot;/&gt;&lt;wsp:rsid wsp:val=&quot;531533C5&quot;/&gt;&lt;wsp:rsid wsp:val=&quot;53163E96&quot;/&gt;&lt;wsp:rsid wsp:val=&quot;53184E30&quot;/&gt;&lt;wsp:rsid wsp:val=&quot;53185368&quot;/&gt;&lt;wsp:rsid wsp:val=&quot;53192DA1&quot;/&gt;&lt;wsp:rsid wsp:val=&quot;53193986&quot;/&gt;&lt;wsp:rsid wsp:val=&quot;531B6F3F&quot;/&gt;&lt;wsp:rsid wsp:val=&quot;531B76FE&quot;/&gt;&lt;wsp:rsid wsp:val=&quot;531C3B06&quot;/&gt;&lt;wsp:rsid wsp:val=&quot;531C6FD2&quot;/&gt;&lt;wsp:rsid wsp:val=&quot;531D3476&quot;/&gt;&lt;wsp:rsid wsp:val=&quot;531E0F9C&quot;/&gt;&lt;wsp:rsid wsp:val=&quot;531F6462&quot;/&gt;&lt;wsp:rsid wsp:val=&quot;532053C7&quot;/&gt;&lt;wsp:rsid wsp:val=&quot;5322283B&quot;/&gt;&lt;wsp:rsid wsp:val=&quot;53230361&quot;/&gt;&lt;wsp:rsid wsp:val=&quot;5325232B&quot;/&gt;&lt;wsp:rsid wsp:val=&quot;53267789&quot;/&gt;&lt;wsp:rsid wsp:val=&quot;532760A3&quot;/&gt;&lt;wsp:rsid wsp:val=&quot;53285977&quot;/&gt;&lt;wsp:rsid wsp:val=&quot;532A5B93&quot;/&gt;&lt;wsp:rsid wsp:val=&quot;532C190B&quot;/&gt;&lt;wsp:rsid wsp:val=&quot;532C36B9&quot;/&gt;&lt;wsp:rsid wsp:val=&quot;532C5467&quot;/&gt;&lt;wsp:rsid wsp:val=&quot;532D5299&quot;/&gt;&lt;wsp:rsid wsp:val=&quot;532E5683&quot;/&gt;&lt;wsp:rsid wsp:val=&quot;532E7431&quot;/&gt;&lt;wsp:rsid wsp:val=&quot;53301F7C&quot;/&gt;&lt;wsp:rsid wsp:val=&quot;53317258&quot;/&gt;&lt;wsp:rsid wsp:val=&quot;533267F6&quot;/&gt;&lt;wsp:rsid wsp:val=&quot;53332C9A&quot;/&gt;&lt;wsp:rsid wsp:val=&quot;53334A48&quot;/&gt;&lt;wsp:rsid wsp:val=&quot;533407C0&quot;/&gt;&lt;wsp:rsid wsp:val=&quot;533662E6&quot;/&gt;&lt;wsp:rsid wsp:val=&quot;53397B84&quot;/&gt;&lt;wsp:rsid wsp:val=&quot;533B1B4E&quot;/&gt;&lt;wsp:rsid wsp:val=&quot;533B56AA&quot;/&gt;&lt;wsp:rsid wsp:val=&quot;533B7DA0&quot;/&gt;&lt;wsp:rsid wsp:val=&quot;533C1422&quot;/&gt;&lt;wsp:rsid wsp:val=&quot;533D4580&quot;/&gt;&lt;wsp:rsid wsp:val=&quot;53402B31&quot;/&gt;&lt;wsp:rsid wsp:val=&quot;53422EDD&quot;/&gt;&lt;wsp:rsid wsp:val=&quot;534327B1&quot;/&gt;&lt;wsp:rsid wsp:val=&quot;534529CD&quot;/&gt;&lt;wsp:rsid wsp:val=&quot;5345477B&quot;/&gt;&lt;wsp:rsid wsp:val=&quot;53487DC7&quot;/&gt;&lt;wsp:rsid wsp:val=&quot;5349426B&quot;/&gt;&lt;wsp:rsid wsp:val=&quot;534F1156&quot;/&gt;&lt;wsp:rsid wsp:val=&quot;534F1A4B&quot;/&gt;&lt;wsp:rsid wsp:val=&quot;534F34A0&quot;/&gt;&lt;wsp:rsid wsp:val=&quot;534F55FA&quot;/&gt;&lt;wsp:rsid wsp:val=&quot;534F73A8&quot;/&gt;&lt;wsp:rsid wsp:val=&quot;535112B4&quot;/&gt;&lt;wsp:rsid wsp:val=&quot;53511372&quot;/&gt;&lt;wsp:rsid wsp:val=&quot;53541376&quot;/&gt;&lt;wsp:rsid wsp:val=&quot;53542C10&quot;/&gt;&lt;wsp:rsid wsp:val=&quot;53566988&quot;/&gt;&lt;wsp:rsid wsp:val=&quot;53580985&quot;/&gt;&lt;wsp:rsid wsp:val=&quot;535835B1&quot;/&gt;&lt;wsp:rsid wsp:val=&quot;53590226&quot;/&gt;&lt;wsp:rsid wsp:val=&quot;535B0F2F&quot;/&gt;&lt;wsp:rsid wsp:val=&quot;535B3F9E&quot;/&gt;&lt;wsp:rsid wsp:val=&quot;535B5D4C&quot;/&gt;&lt;wsp:rsid wsp:val=&quot;535B7AFB&quot;/&gt;&lt;wsp:rsid wsp:val=&quot;535D220F&quot;/&gt;&lt;wsp:rsid wsp:val=&quot;53603363&quot;/&gt;&lt;wsp:rsid wsp:val=&quot;53620E89&quot;/&gt;&lt;wsp:rsid wsp:val=&quot;536270DB&quot;/&gt;&lt;wsp:rsid wsp:val=&quot;536410A5&quot;/&gt;&lt;wsp:rsid wsp:val=&quot;53650979&quot;/&gt;&lt;wsp:rsid wsp:val=&quot;53654E1D&quot;/&gt;&lt;wsp:rsid wsp:val=&quot;53664C1B&quot;/&gt;&lt;wsp:rsid wsp:val=&quot;53670B95&quot;/&gt;&lt;wsp:rsid wsp:val=&quot;536760AB&quot;/&gt;&lt;wsp:rsid wsp:val=&quot;5367649F&quot;/&gt;&lt;wsp:rsid wsp:val=&quot;53682217&quot;/&gt;&lt;wsp:rsid wsp:val=&quot;5368753B&quot;/&gt;&lt;wsp:rsid wsp:val=&quot;536A40FE&quot;/&gt;&lt;wsp:rsid wsp:val=&quot;536B4A2C&quot;/&gt;&lt;wsp:rsid wsp:val=&quot;536B75FD&quot;/&gt;&lt;wsp:rsid wsp:val=&quot;536C7F5A&quot;/&gt;&lt;wsp:rsid wsp:val=&quot;536E3CD2&quot;/&gt;&lt;wsp:rsid wsp:val=&quot;536E5A80&quot;/&gt;&lt;wsp:rsid wsp:val=&quot;537137C2&quot;/&gt;&lt;wsp:rsid wsp:val=&quot;53715570&quot;/&gt;&lt;wsp:rsid wsp:val=&quot;53760DD8&quot;/&gt;&lt;wsp:rsid wsp:val=&quot;537868FE&quot;/&gt;&lt;wsp:rsid wsp:val=&quot;537961D3&quot;/&gt;&lt;wsp:rsid wsp:val=&quot;537A08C9&quot;/&gt;&lt;wsp:rsid wsp:val=&quot;537B019D&quot;/&gt;&lt;wsp:rsid wsp:val=&quot;537B63EF&quot;/&gt;&lt;wsp:rsid wsp:val=&quot;537D0B6D&quot;/&gt;&lt;wsp:rsid wsp:val=&quot;537D3F15&quot;/&gt;&lt;wsp:rsid wsp:val=&quot;537D4605&quot;/&gt;&lt;wsp:rsid wsp:val=&quot;537E1A3B&quot;/&gt;&lt;wsp:rsid wsp:val=&quot;53800393&quot;/&gt;&lt;wsp:rsid wsp:val=&quot;538057B3&quot;/&gt;&lt;wsp:rsid wsp:val=&quot;5382777D&quot;/&gt;&lt;wsp:rsid wsp:val=&quot;53837051&quot;/&gt;&lt;wsp:rsid wsp:val=&quot;538434F5&quot;/&gt;&lt;wsp:rsid wsp:val=&quot;53852DC9&quot;/&gt;&lt;wsp:rsid wsp:val=&quot;53872B84&quot;/&gt;&lt;wsp:rsid wsp:val=&quot;53874D93&quot;/&gt;&lt;wsp:rsid wsp:val=&quot;53876B42&quot;/&gt;&lt;wsp:rsid wsp:val=&quot;53897FB5&quot;/&gt;&lt;wsp:rsid wsp:val=&quot;538C5F06&quot;/&gt;&lt;wsp:rsid wsp:val=&quot;538C7FF0&quot;/&gt;&lt;wsp:rsid wsp:val=&quot;538E6122&quot;/&gt;&lt;wsp:rsid wsp:val=&quot;538E7ED0&quot;/&gt;&lt;wsp:rsid wsp:val=&quot;53901E9A&quot;/&gt;&lt;wsp:rsid wsp:val=&quot;53915C12&quot;/&gt;&lt;wsp:rsid wsp:val=&quot;539179C0&quot;/&gt;&lt;wsp:rsid wsp:val=&quot;5394125E&quot;/&gt;&lt;wsp:rsid wsp:val=&quot;53955611&quot;/&gt;&lt;wsp:rsid wsp:val=&quot;53955B21&quot;/&gt;&lt;wsp:rsid wsp:val=&quot;53956A7C&quot;/&gt;&lt;wsp:rsid wsp:val=&quot;53963229&quot;/&gt;&lt;wsp:rsid wsp:val=&quot;53980D4F&quot;/&gt;&lt;wsp:rsid wsp:val=&quot;539A4AC7&quot;/&gt;&lt;wsp:rsid wsp:val=&quot;539A6875&quot;/&gt;&lt;wsp:rsid wsp:val=&quot;539D0113&quot;/&gt;&lt;wsp:rsid wsp:val=&quot;539D6365&quot;/&gt;&lt;wsp:rsid wsp:val=&quot;539F21DB&quot;/&gt;&lt;wsp:rsid wsp:val=&quot;53A019B1&quot;/&gt;&lt;wsp:rsid wsp:val=&quot;53A039CC&quot;/&gt;&lt;wsp:rsid wsp:val=&quot;53A05E55&quot;/&gt;&lt;wsp:rsid wsp:val=&quot;53A1505A&quot;/&gt;&lt;wsp:rsid wsp:val=&quot;53A2397B&quot;/&gt;&lt;wsp:rsid wsp:val=&quot;53A30B5C&quot;/&gt;&lt;wsp:rsid wsp:val=&quot;53A414A2&quot;/&gt;&lt;wsp:rsid wsp:val=&quot;53A476F3&quot;/&gt;&lt;wsp:rsid wsp:val=&quot;53A478DD&quot;/&gt;&lt;wsp:rsid wsp:val=&quot;53A55E1D&quot;/&gt;&lt;wsp:rsid wsp:val=&quot;53A92F5C&quot;/&gt;&lt;wsp:rsid wsp:val=&quot;53A94D0A&quot;/&gt;&lt;wsp:rsid wsp:val=&quot;53AC0356&quot;/&gt;&lt;wsp:rsid wsp:val=&quot;53AC5F20&quot;/&gt;&lt;wsp:rsid wsp:val=&quot;53AC65A8&quot;/&gt;&lt;wsp:rsid wsp:val=&quot;53AF1CD0&quot;/&gt;&lt;wsp:rsid wsp:val=&quot;53B042EA&quot;/&gt;&lt;wsp:rsid wsp:val=&quot;53B12890&quot;/&gt;&lt;wsp:rsid wsp:val=&quot;53B20651&quot;/&gt;&lt;wsp:rsid wsp:val=&quot;53B37937&quot;/&gt;&lt;wsp:rsid wsp:val=&quot;53B4545D&quot;/&gt;&lt;wsp:rsid wsp:val=&quot;53B536AF&quot;/&gt;&lt;wsp:rsid wsp:val=&quot;53B54F6C&quot;/&gt;&lt;wsp:rsid wsp:val=&quot;53B611D5&quot;/&gt;&lt;wsp:rsid wsp:val=&quot;53B73292&quot;/&gt;&lt;wsp:rsid wsp:val=&quot;53B8319F&quot;/&gt;&lt;wsp:rsid wsp:val=&quot;53B83AC3&quot;/&gt;&lt;wsp:rsid wsp:val=&quot;53B84F4D&quot;/&gt;&lt;wsp:rsid wsp:val=&quot;53B86CFB&quot;/&gt;&lt;wsp:rsid wsp:val=&quot;53B92A73&quot;/&gt;&lt;wsp:rsid wsp:val=&quot;53BB19B4&quot;/&gt;&lt;wsp:rsid wsp:val=&quot;53BB4A3D&quot;/&gt;&lt;wsp:rsid wsp:val=&quot;53BB67EB&quot;/&gt;&lt;wsp:rsid wsp:val=&quot;53BD07B5&quot;/&gt;&lt;wsp:rsid wsp:val=&quot;53BD2563&quot;/&gt;&lt;wsp:rsid wsp:val=&quot;53BF34E9&quot;/&gt;&lt;wsp:rsid wsp:val=&quot;53BF62DB&quot;/&gt;&lt;wsp:rsid wsp:val=&quot;53C02053&quot;/&gt;&lt;wsp:rsid wsp:val=&quot;53C10883&quot;/&gt;&lt;wsp:rsid wsp:val=&quot;53C20950&quot;/&gt;&lt;wsp:rsid wsp:val=&quot;53C26F1E&quot;/&gt;&lt;wsp:rsid wsp:val=&quot;53C438F2&quot;/&gt;&lt;wsp:rsid wsp:val=&quot;53CD53C4&quot;/&gt;&lt;wsp:rsid wsp:val=&quot;53CD699A&quot;/&gt;&lt;wsp:rsid wsp:val=&quot;53CE29C2&quot;/&gt;&lt;wsp:rsid wsp:val=&quot;53CF08F5&quot;/&gt;&lt;wsp:rsid wsp:val=&quot;53D01589&quot;/&gt;&lt;wsp:rsid wsp:val=&quot;53D0673A&quot;/&gt;&lt;wsp:rsid wsp:val=&quot;53D46EE2&quot;/&gt;&lt;wsp:rsid wsp:val=&quot;53D55AFF&quot;/&gt;&lt;wsp:rsid wsp:val=&quot;53D578AD&quot;/&gt;&lt;wsp:rsid wsp:val=&quot;53DA1367&quot;/&gt;&lt;wsp:rsid wsp:val=&quot;53DC38BE&quot;/&gt;&lt;wsp:rsid wsp:val=&quot;53DD49B3&quot;/&gt;&lt;wsp:rsid wsp:val=&quot;53E06252&quot;/&gt;&lt;wsp:rsid wsp:val=&quot;53E126F6&quot;/&gt;&lt;wsp:rsid wsp:val=&quot;53E16415&quot;/&gt;&lt;wsp:rsid wsp:val=&quot;53E45D42&quot;/&gt;&lt;wsp:rsid wsp:val=&quot;53E47AF0&quot;/&gt;&lt;wsp:rsid wsp:val=&quot;53E709D1&quot;/&gt;&lt;wsp:rsid wsp:val=&quot;53E75832&quot;/&gt;&lt;wsp:rsid wsp:val=&quot;53E77541&quot;/&gt;&lt;wsp:rsid wsp:val=&quot;53E84895&quot;/&gt;&lt;wsp:rsid wsp:val=&quot;53E915AA&quot;/&gt;&lt;wsp:rsid wsp:val=&quot;53E93358&quot;/&gt;&lt;wsp:rsid wsp:val=&quot;53EA0E7E&quot;/&gt;&lt;wsp:rsid wsp:val=&quot;53EB70D0&quot;/&gt;&lt;wsp:rsid wsp:val=&quot;53EC33B3&quot;/&gt;&lt;wsp:rsid wsp:val=&quot;53EE4E13&quot;/&gt;&lt;wsp:rsid wsp:val=&quot;53EE6BC1&quot;/&gt;&lt;wsp:rsid wsp:val=&quot;53F00B8B&quot;/&gt;&lt;wsp:rsid wsp:val=&quot;53F15CD4&quot;/&gt;&lt;wsp:rsid wsp:val=&quot;53F341D7&quot;/&gt;&lt;wsp:rsid wsp:val=&quot;53F34990&quot;/&gt;&lt;wsp:rsid wsp:val=&quot;53F45247&quot;/&gt;&lt;wsp:rsid wsp:val=&quot;53F526AB&quot;/&gt;&lt;wsp:rsid wsp:val=&quot;53F64465&quot;/&gt;&lt;wsp:rsid wsp:val=&quot;53F73CC7&quot;/&gt;&lt;wsp:rsid wsp:val=&quot;53F975CD&quot;/&gt;&lt;wsp:rsid wsp:val=&quot;53FA5565&quot;/&gt;&lt;wsp:rsid wsp:val=&quot;53FB308C&quot;/&gt;&lt;wsp:rsid wsp:val=&quot;53FC752F&quot;/&gt;&lt;wsp:rsid wsp:val=&quot;54014B46&quot;/&gt;&lt;wsp:rsid wsp:val=&quot;540168F4&quot;/&gt;&lt;wsp:rsid wsp:val=&quot;5402441A&quot;/&gt;&lt;wsp:rsid wsp:val=&quot;540255D9&quot;/&gt;&lt;wsp:rsid wsp:val=&quot;540502DC&quot;/&gt;&lt;wsp:rsid wsp:val=&quot;5406215C&quot;/&gt;&lt;wsp:rsid wsp:val=&quot;54063909&quot;/&gt;&lt;wsp:rsid wsp:val=&quot;54063E08&quot;/&gt;&lt;wsp:rsid wsp:val=&quot;54063F0A&quot;/&gt;&lt;wsp:rsid wsp:val=&quot;54077C82&quot;/&gt;&lt;wsp:rsid wsp:val=&quot;54091C4C&quot;/&gt;&lt;wsp:rsid wsp:val=&quot;540939FA&quot;/&gt;&lt;wsp:rsid wsp:val=&quot;540A0A16&quot;/&gt;&lt;wsp:rsid wsp:val=&quot;540B1521&quot;/&gt;&lt;wsp:rsid wsp:val=&quot;540B7773&quot;/&gt;&lt;wsp:rsid wsp:val=&quot;540C7047&quot;/&gt;&lt;wsp:rsid wsp:val=&quot;540C7DCC&quot;/&gt;&lt;wsp:rsid wsp:val=&quot;540E52BD&quot;/&gt;&lt;wsp:rsid wsp:val=&quot;54102FDB&quot;/&gt;&lt;wsp:rsid wsp:val=&quot;541303D5&quot;/&gt;&lt;wsp:rsid wsp:val=&quot;54136627&quot;/&gt;&lt;wsp:rsid wsp:val=&quot;5415239F&quot;/&gt;&lt;wsp:rsid wsp:val=&quot;54161C73&quot;/&gt;&lt;wsp:rsid wsp:val=&quot;54176117&quot;/&gt;&lt;wsp:rsid wsp:val=&quot;54181E8F&quot;/&gt;&lt;wsp:rsid wsp:val=&quot;54183C3E&quot;/&gt;&lt;wsp:rsid wsp:val=&quot;54183C77&quot;/&gt;&lt;wsp:rsid wsp:val=&quot;541859EC&quot;/&gt;&lt;wsp:rsid wsp:val=&quot;541A79B6&quot;/&gt;&lt;wsp:rsid wsp:val=&quot;541C372E&quot;/&gt;&lt;wsp:rsid wsp:val=&quot;541C7A55&quot;/&gt;&lt;wsp:rsid wsp:val=&quot;541D3002&quot;/&gt;&lt;wsp:rsid wsp:val=&quot;541D74A6&quot;/&gt;&lt;wsp:rsid wsp:val=&quot;541E7BFA&quot;/&gt;&lt;wsp:rsid wsp:val=&quot;541F6242&quot;/&gt;&lt;wsp:rsid wsp:val=&quot;542057EF&quot;/&gt;&lt;wsp:rsid wsp:val=&quot;54212AF2&quot;/&gt;&lt;wsp:rsid wsp:val=&quot;542331A5&quot;/&gt;&lt;wsp:rsid wsp:val=&quot;54240834&quot;/&gt;&lt;wsp:rsid wsp:val=&quot;54260108&quot;/&gt;&lt;wsp:rsid wsp:val=&quot;5426635A&quot;/&gt;&lt;wsp:rsid wsp:val=&quot;542720D3&quot;/&gt;&lt;wsp:rsid wsp:val=&quot;54280325&quot;/&gt;&lt;wsp:rsid wsp:val=&quot;542A1C14&quot;/&gt;&lt;wsp:rsid wsp:val=&quot;542B3971&quot;/&gt;&lt;wsp:rsid wsp:val=&quot;542C2C98&quot;/&gt;&lt;wsp:rsid wsp:val=&quot;542D76E9&quot;/&gt;&lt;wsp:rsid wsp:val=&quot;54324CFF&quot;/&gt;&lt;wsp:rsid wsp:val=&quot;54332F77&quot;/&gt;&lt;wsp:rsid wsp:val=&quot;54336CC9&quot;/&gt;&lt;wsp:rsid wsp:val=&quot;543437E8&quot;/&gt;&lt;wsp:rsid wsp:val=&quot;54352A90&quot;/&gt;&lt;wsp:rsid wsp:val=&quot;543640C4&quot;/&gt;&lt;wsp:rsid wsp:val=&quot;54384218&quot;/&gt;&lt;wsp:rsid wsp:val=&quot;543842E0&quot;/&gt;&lt;wsp:rsid wsp:val=&quot;543A0058&quot;/&gt;&lt;wsp:rsid wsp:val=&quot;543A1E06&quot;/&gt;&lt;wsp:rsid wsp:val=&quot;543A3BB4&quot;/&gt;&lt;wsp:rsid wsp:val=&quot;543C16DA&quot;/&gt;&lt;wsp:rsid wsp:val=&quot;543F566E&quot;/&gt;&lt;wsp:rsid wsp:val=&quot;54414F42&quot;/&gt;&lt;wsp:rsid wsp:val=&quot;54420CBA&quot;/&gt;&lt;wsp:rsid wsp:val=&quot;54434A77&quot;/&gt;&lt;wsp:rsid wsp:val=&quot;54442C85&quot;/&gt;&lt;wsp:rsid wsp:val=&quot;5445140E&quot;/&gt;&lt;wsp:rsid wsp:val=&quot;544669FD&quot;/&gt;&lt;wsp:rsid wsp:val=&quot;54482775&quot;/&gt;&lt;wsp:rsid wsp:val=&quot;54483F0B&quot;/&gt;&lt;wsp:rsid wsp:val=&quot;54492049&quot;/&gt;&lt;wsp:rsid wsp:val=&quot;54493DF7&quot;/&gt;&lt;wsp:rsid wsp:val=&quot;544B7B6F&quot;/&gt;&lt;wsp:rsid wsp:val=&quot;544D1B39&quot;/&gt;&lt;wsp:rsid wsp:val=&quot;544E765F&quot;/&gt;&lt;wsp:rsid wsp:val=&quot;545033D7&quot;/&gt;&lt;wsp:rsid wsp:val=&quot;5451338D&quot;/&gt;&lt;wsp:rsid wsp:val=&quot;54520EFE&quot;/&gt;&lt;wsp:rsid wsp:val=&quot;5452714F&quot;/&gt;&lt;wsp:rsid wsp:val=&quot;545509EE&quot;/&gt;&lt;wsp:rsid wsp:val=&quot;545662D1&quot;/&gt;&lt;wsp:rsid wsp:val=&quot;545662D5&quot;/&gt;&lt;wsp:rsid wsp:val=&quot;54574766&quot;/&gt;&lt;wsp:rsid wsp:val=&quot;545A24A8&quot;/&gt;&lt;wsp:rsid wsp:val=&quot;545A4256&quot;/&gt;&lt;wsp:rsid wsp:val=&quot;545A4A0C&quot;/&gt;&lt;wsp:rsid wsp:val=&quot;545C3B2A&quot;/&gt;&lt;wsp:rsid wsp:val=&quot;545C7FCE&quot;/&gt;&lt;wsp:rsid wsp:val=&quot;545D61E4&quot;/&gt;&lt;wsp:rsid wsp:val=&quot;5461621D&quot;/&gt;&lt;wsp:rsid wsp:val=&quot;5463310B&quot;/&gt;&lt;wsp:rsid wsp:val=&quot;54661776&quot;/&gt;&lt;wsp:rsid wsp:val=&quot;54662BFB&quot;/&gt;&lt;wsp:rsid wsp:val=&quot;54694499&quot;/&gt;&lt;wsp:rsid wsp:val=&quot;546B0211&quot;/&gt;&lt;wsp:rsid wsp:val=&quot;546D21DB&quot;/&gt;&lt;wsp:rsid wsp:val=&quot;546D3F89&quot;/&gt;&lt;wsp:rsid wsp:val=&quot;546E05F9&quot;/&gt;&lt;wsp:rsid wsp:val=&quot;546E1AAF&quot;/&gt;&lt;wsp:rsid wsp:val=&quot;546E385E&quot;/&gt;&lt;wsp:rsid wsp:val=&quot;547161C0&quot;/&gt;&lt;wsp:rsid wsp:val=&quot;54720701&quot;/&gt;&lt;wsp:rsid wsp:val=&quot;547215A0&quot;/&gt;&lt;wsp:rsid wsp:val=&quot;547370C6&quot;/&gt;&lt;wsp:rsid wsp:val=&quot;54741EDD&quot;/&gt;&lt;wsp:rsid wsp:val=&quot;54752E3E&quot;/&gt;&lt;wsp:rsid wsp:val=&quot;54776BB6&quot;/&gt;&lt;wsp:rsid wsp:val=&quot;547926B1&quot;/&gt;&lt;wsp:rsid wsp:val=&quot;5479292E&quot;/&gt;&lt;wsp:rsid wsp:val=&quot;547938F9&quot;/&gt;&lt;wsp:rsid wsp:val=&quot;547A0454&quot;/&gt;&lt;wsp:rsid wsp:val=&quot;547A6B9C&quot;/&gt;&lt;wsp:rsid wsp:val=&quot;547C41CC&quot;/&gt;&lt;wsp:rsid wsp:val=&quot;547D1CF3&quot;/&gt;&lt;wsp:rsid wsp:val=&quot;547E469E&quot;/&gt;&lt;wsp:rsid wsp:val=&quot;547E6196&quot;/&gt;&lt;wsp:rsid wsp:val=&quot;547E7F44&quot;/&gt;&lt;wsp:rsid wsp:val=&quot;547F1F0F&quot;/&gt;&lt;wsp:rsid wsp:val=&quot;547F3CBD&quot;/&gt;&lt;wsp:rsid wsp:val=&quot;547F413A&quot;/&gt;&lt;wsp:rsid wsp:val=&quot;54837309&quot;/&gt;&lt;wsp:rsid wsp:val=&quot;54857525&quot;/&gt;&lt;wsp:rsid wsp:val=&quot;54866DF9&quot;/&gt;&lt;wsp:rsid wsp:val=&quot;54882B71&quot;/&gt;&lt;wsp:rsid wsp:val=&quot;548968E9&quot;/&gt;&lt;wsp:rsid wsp:val=&quot;548A4B3B&quot;/&gt;&lt;wsp:rsid wsp:val=&quot;548B08B3&quot;/&gt;&lt;wsp:rsid wsp:val=&quot;548B2661&quot;/&gt;&lt;wsp:rsid wsp:val=&quot;548B440F&quot;/&gt;&lt;wsp:rsid wsp:val=&quot;548B4E7B&quot;/&gt;&lt;wsp:rsid wsp:val=&quot;548D462B&quot;/&gt;&lt;wsp:rsid wsp:val=&quot;548F2152&quot;/&gt;&lt;wsp:rsid wsp:val=&quot;548F4B60&quot;/&gt;&lt;wsp:rsid wsp:val=&quot;54901A26&quot;/&gt;&lt;wsp:rsid wsp:val=&quot;54902503&quot;/&gt;&lt;wsp:rsid wsp:val=&quot;549051C8&quot;/&gt;&lt;wsp:rsid wsp:val=&quot;54913993&quot;/&gt;&lt;wsp:rsid wsp:val=&quot;54921C42&quot;/&gt;&lt;wsp:rsid wsp:val=&quot;549332C4&quot;/&gt;&lt;wsp:rsid wsp:val=&quot;54977258&quot;/&gt;&lt;wsp:rsid wsp:val=&quot;549A4653&quot;/&gt;&lt;wsp:rsid wsp:val=&quot;549C486F&quot;/&gt;&lt;wsp:rsid wsp:val=&quot;549D4996&quot;/&gt;&lt;wsp:rsid wsp:val=&quot;549E05E7&quot;/&gt;&lt;wsp:rsid wsp:val=&quot;549E1B63&quot;/&gt;&lt;wsp:rsid wsp:val=&quot;549E2395&quot;/&gt;&lt;wsp:rsid wsp:val=&quot;549F610D&quot;/&gt;&lt;wsp:rsid wsp:val=&quot;549F7EBB&quot;/&gt;&lt;wsp:rsid wsp:val=&quot;54A31759&quot;/&gt;&lt;wsp:rsid wsp:val=&quot;54A32989&quot;/&gt;&lt;wsp:rsid wsp:val=&quot;54A35BFD&quot;/&gt;&lt;wsp:rsid wsp:val=&quot;54A454D1&quot;/&gt;&lt;wsp:rsid wsp:val=&quot;54A50CCE&quot;/&gt;&lt;wsp:rsid wsp:val=&quot;54A5345E&quot;/&gt;&lt;wsp:rsid wsp:val=&quot;54A714C9&quot;/&gt;&lt;wsp:rsid wsp:val=&quot;54A83213&quot;/&gt;&lt;wsp:rsid wsp:val=&quot;54A84FC1&quot;/&gt;&lt;wsp:rsid wsp:val=&quot;54A86D6F&quot;/&gt;&lt;wsp:rsid wsp:val=&quot;54A87049&quot;/&gt;&lt;wsp:rsid wsp:val=&quot;54A9542E&quot;/&gt;&lt;wsp:rsid wsp:val=&quot;54AB6860&quot;/&gt;&lt;wsp:rsid wsp:val=&quot;54AC4C48&quot;/&gt;&lt;wsp:rsid wsp:val=&quot;54AD25D8&quot;/&gt;&lt;wsp:rsid wsp:val=&quot;54AD4386&quot;/&gt;&lt;wsp:rsid wsp:val=&quot;54AF6350&quot;/&gt;&lt;wsp:rsid wsp:val=&quot;54B0031A&quot;/&gt;&lt;wsp:rsid wsp:val=&quot;54B020C8&quot;/&gt;&lt;wsp:rsid wsp:val=&quot;54B03E76&quot;/&gt;&lt;wsp:rsid wsp:val=&quot;54B12F7D&quot;/&gt;&lt;wsp:rsid wsp:val=&quot;54B24092&quot;/&gt;&lt;wsp:rsid wsp:val=&quot;54B27BEE&quot;/&gt;&lt;wsp:rsid wsp:val=&quot;54B6421E&quot;/&gt;&lt;wsp:rsid wsp:val=&quot;54B756AE&quot;/&gt;&lt;wsp:rsid wsp:val=&quot;54BC281B&quot;/&gt;&lt;wsp:rsid wsp:val=&quot;54BC6CBF&quot;/&gt;&lt;wsp:rsid wsp:val=&quot;54BD4705&quot;/&gt;&lt;wsp:rsid wsp:val=&quot;54BF15CA&quot;/&gt;&lt;wsp:rsid wsp:val=&quot;54BF40B9&quot;/&gt;&lt;wsp:rsid wsp:val=&quot;54C0055D&quot;/&gt;&lt;wsp:rsid wsp:val=&quot;54C01A31&quot;/&gt;&lt;wsp:rsid wsp:val=&quot;54C17E31&quot;/&gt;&lt;wsp:rsid wsp:val=&quot;54C34414&quot;/&gt;&lt;wsp:rsid wsp:val=&quot;54C44F4A&quot;/&gt;&lt;wsp:rsid wsp:val=&quot;54C47921&quot;/&gt;&lt;wsp:rsid wsp:val=&quot;54C51C22&quot;/&gt;&lt;wsp:rsid wsp:val=&quot;54C53DC5&quot;/&gt;&lt;wsp:rsid wsp:val=&quot;54C55B73&quot;/&gt;&lt;wsp:rsid wsp:val=&quot;54C65448&quot;/&gt;&lt;wsp:rsid wsp:val=&quot;54C76D29&quot;/&gt;&lt;wsp:rsid wsp:val=&quot;54C77FF5&quot;/&gt;&lt;wsp:rsid wsp:val=&quot;54C85664&quot;/&gt;&lt;wsp:rsid wsp:val=&quot;54C86632&quot;/&gt;&lt;wsp:rsid wsp:val=&quot;54CA318A&quot;/&gt;&lt;wsp:rsid wsp:val=&quot;54CB6F02&quot;/&gt;&lt;wsp:rsid wsp:val=&quot;54CC1A7D&quot;/&gt;&lt;wsp:rsid wsp:val=&quot;54CC5154&quot;/&gt;&lt;wsp:rsid wsp:val=&quot;54CD4A28&quot;/&gt;&lt;wsp:rsid wsp:val=&quot;54CD67D6&quot;/&gt;&lt;wsp:rsid wsp:val=&quot;54CF329A&quot;/&gt;&lt;wsp:rsid wsp:val=&quot;54CF6505&quot;/&gt;&lt;wsp:rsid wsp:val=&quot;54CF69F2&quot;/&gt;&lt;wsp:rsid wsp:val=&quot;54D07B4B&quot;/&gt;&lt;wsp:rsid wsp:val=&quot;54D1276A&quot;/&gt;&lt;wsp:rsid wsp:val=&quot;54D20290&quot;/&gt;&lt;wsp:rsid wsp:val=&quot;54D45DB6&quot;/&gt;&lt;wsp:rsid wsp:val=&quot;54D70C0B&quot;/&gt;&lt;wsp:rsid wsp:val=&quot;54D758A7&quot;/&gt;&lt;wsp:rsid wsp:val=&quot;54D76C2B&quot;/&gt;&lt;wsp:rsid wsp:val=&quot;54D86127&quot;/&gt;&lt;wsp:rsid wsp:val=&quot;54DB4349&quot;/&gt;&lt;wsp:rsid wsp:val=&quot;54DC110F&quot;/&gt;&lt;wsp:rsid wsp:val=&quot;54DC2EBD&quot;/&gt;&lt;wsp:rsid wsp:val=&quot;54DE09E3&quot;/&gt;&lt;wsp:rsid wsp:val=&quot;54DE4E87&quot;/&gt;&lt;wsp:rsid wsp:val=&quot;54DE6C35&quot;/&gt;&lt;wsp:rsid wsp:val=&quot;54DF56A3&quot;/&gt;&lt;wsp:rsid wsp:val=&quot;54DF6509&quot;/&gt;&lt;wsp:rsid wsp:val=&quot;54E0475B&quot;/&gt;&lt;wsp:rsid wsp:val=&quot;54E35B29&quot;/&gt;&lt;wsp:rsid wsp:val=&quot;54E50F2B&quot;/&gt;&lt;wsp:rsid wsp:val=&quot;54E51D72&quot;/&gt;&lt;wsp:rsid wsp:val=&quot;54E844DB&quot;/&gt;&lt;wsp:rsid wsp:val=&quot;54EA382C&quot;/&gt;&lt;wsp:rsid wsp:val=&quot;54EA7388&quot;/&gt;&lt;wsp:rsid wsp:val=&quot;54EC4594&quot;/&gt;&lt;wsp:rsid wsp:val=&quot;54ED0C26&quot;/&gt;&lt;wsp:rsid wsp:val=&quot;54EF377C&quot;/&gt;&lt;wsp:rsid wsp:val=&quot;54F16CCE&quot;/&gt;&lt;wsp:rsid wsp:val=&quot;54F1782E&quot;/&gt;&lt;wsp:rsid wsp:val=&quot;54F2015E&quot;/&gt;&lt;wsp:rsid wsp:val=&quot;54F2448F&quot;/&gt;&lt;wsp:rsid wsp:val=&quot;54F25228&quot;/&gt;&lt;wsp:rsid wsp:val=&quot;54F2623D&quot;/&gt;&lt;wsp:rsid wsp:val=&quot;54F41FB5&quot;/&gt;&lt;wsp:rsid wsp:val=&quot;54F56767&quot;/&gt;&lt;wsp:rsid wsp:val=&quot;54F63F7F&quot;/&gt;&lt;wsp:rsid wsp:val=&quot;54F71AA5&quot;/&gt;&lt;wsp:rsid wsp:val=&quot;54F73313&quot;/&gt;&lt;wsp:rsid wsp:val=&quot;54F80955&quot;/&gt;&lt;wsp:rsid wsp:val=&quot;54F93A6F&quot;/&gt;&lt;wsp:rsid wsp:val=&quot;54FA3343&quot;/&gt;&lt;wsp:rsid wsp:val=&quot;54FA45B8&quot;/&gt;&lt;wsp:rsid wsp:val=&quot;54FC355F&quot;/&gt;&lt;wsp:rsid wsp:val=&quot;54FF095A&quot;/&gt;&lt;wsp:rsid wsp:val=&quot;55004560&quot;/&gt;&lt;wsp:rsid wsp:val=&quot;55004DFD&quot;/&gt;&lt;wsp:rsid wsp:val=&quot;55012924&quot;/&gt;&lt;wsp:rsid wsp:val=&quot;550146D2&quot;/&gt;&lt;wsp:rsid wsp:val=&quot;55020B76&quot;/&gt;&lt;wsp:rsid wsp:val=&quot;55021394&quot;/&gt;&lt;wsp:rsid wsp:val=&quot;5503044A&quot;/&gt;&lt;wsp:rsid wsp:val=&quot;55032824&quot;/&gt;&lt;wsp:rsid wsp:val=&quot;550348EE&quot;/&gt;&lt;wsp:rsid wsp:val=&quot;550565D4&quot;/&gt;&lt;wsp:rsid wsp:val=&quot;55057D15&quot;/&gt;&lt;wsp:rsid wsp:val=&quot;5507618C&quot;/&gt;&lt;wsp:rsid wsp:val=&quot;55097B6C&quot;/&gt;&lt;wsp:rsid wsp:val=&quot;550A17D8&quot;/&gt;&lt;wsp:rsid wsp:val=&quot;550B5550&quot;/&gt;&lt;wsp:rsid wsp:val=&quot;550F46F6&quot;/&gt;&lt;wsp:rsid wsp:val=&quot;55110AED&quot;/&gt;&lt;wsp:rsid wsp:val=&quot;5512068D&quot;/&gt;&lt;wsp:rsid wsp:val=&quot;55144405&quot;/&gt;&lt;wsp:rsid wsp:val=&quot;551663CF&quot;/&gt;&lt;wsp:rsid wsp:val=&quot;5517089B&quot;/&gt;&lt;wsp:rsid wsp:val=&quot;55172147&quot;/&gt;&lt;wsp:rsid wsp:val=&quot;55180399&quot;/&gt;&lt;wsp:rsid wsp:val=&quot;551835BA&quot;/&gt;&lt;wsp:rsid wsp:val=&quot;55197C6D&quot;/&gt;&lt;wsp:rsid wsp:val=&quot;551A6E19&quot;/&gt;&lt;wsp:rsid wsp:val=&quot;551B1C37&quot;/&gt;&lt;wsp:rsid wsp:val=&quot;551C150B&quot;/&gt;&lt;wsp:rsid wsp:val=&quot;551E34D6&quot;/&gt;&lt;wsp:rsid wsp:val=&quot;55202DAA&quot;/&gt;&lt;wsp:rsid wsp:val=&quot;5520724E&quot;/&gt;&lt;wsp:rsid wsp:val=&quot;55214D74&quot;/&gt;&lt;wsp:rsid wsp:val=&quot;55222FC6&quot;/&gt;&lt;wsp:rsid wsp:val=&quot;5524125E&quot;/&gt;&lt;wsp:rsid wsp:val=&quot;55254864&quot;/&gt;&lt;wsp:rsid wsp:val=&quot;55264138&quot;/&gt;&lt;wsp:rsid wsp:val=&quot;55284354&quot;/&gt;&lt;wsp:rsid wsp:val=&quot;552F0819&quot;/&gt;&lt;wsp:rsid wsp:val=&quot;55306D65&quot;/&gt;&lt;wsp:rsid wsp:val=&quot;5531074F&quot;/&gt;&lt;wsp:rsid wsp:val=&quot;55313209&quot;/&gt;&lt;wsp:rsid wsp:val=&quot;55322ADD&quot;/&gt;&lt;wsp:rsid wsp:val=&quot;55326F81&quot;/&gt;&lt;wsp:rsid wsp:val=&quot;5533209D&quot;/&gt;&lt;wsp:rsid wsp:val=&quot;55344AA7&quot;/&gt;&lt;wsp:rsid wsp:val=&quot;553535EC&quot;/&gt;&lt;wsp:rsid wsp:val=&quot;55366A71&quot;/&gt;&lt;wsp:rsid wsp:val=&quot;553920BD&quot;/&gt;&lt;wsp:rsid wsp:val=&quot;55393E6B&quot;/&gt;&lt;wsp:rsid wsp:val=&quot;553B0A10&quot;/&gt;&lt;wsp:rsid wsp:val=&quot;553B7BE4&quot;/&gt;&lt;wsp:rsid wsp:val=&quot;553C395C&quot;/&gt;&lt;wsp:rsid wsp:val=&quot;553C52A5&quot;/&gt;&lt;wsp:rsid wsp:val=&quot;553E1482&quot;/&gt;&lt;wsp:rsid wsp:val=&quot;553E4440&quot;/&gt;&lt;wsp:rsid wsp:val=&quot;553F6765&quot;/&gt;&lt;wsp:rsid wsp:val=&quot;5540344C&quot;/&gt;&lt;wsp:rsid wsp:val=&quot;55410F72&quot;/&gt;&lt;wsp:rsid wsp:val=&quot;55432F3C&quot;/&gt;&lt;wsp:rsid wsp:val=&quot;5543483E&quot;/&gt;&lt;wsp:rsid wsp:val=&quot;55434CEA&quot;/&gt;&lt;wsp:rsid wsp:val=&quot;55456CB4&quot;/&gt;&lt;wsp:rsid wsp:val=&quot;55482300&quot;/&gt;&lt;wsp:rsid wsp:val=&quot;554967A4&quot;/&gt;&lt;wsp:rsid wsp:val=&quot;554A6079&quot;/&gt;&lt;wsp:rsid wsp:val=&quot;554B05B2&quot;/&gt;&lt;wsp:rsid wsp:val=&quot;554C0043&quot;/&gt;&lt;wsp:rsid wsp:val=&quot;554C0D69&quot;/&gt;&lt;wsp:rsid wsp:val=&quot;554C1DF1&quot;/&gt;&lt;wsp:rsid wsp:val=&quot;554F18E1&quot;/&gt;&lt;wsp:rsid wsp:val=&quot;554F368F&quot;/&gt;&lt;wsp:rsid wsp:val=&quot;555016E8&quot;/&gt;&lt;wsp:rsid wsp:val=&quot;555076EA&quot;/&gt;&lt;wsp:rsid wsp:val=&quot;555170A7&quot;/&gt;&lt;wsp:rsid wsp:val=&quot;5555166D&quot;/&gt;&lt;wsp:rsid wsp:val=&quot;55564A1D&quot;/&gt;&lt;wsp:rsid wsp:val=&quot;555667CB&quot;/&gt;&lt;wsp:rsid wsp:val=&quot;55572544&quot;/&gt;&lt;wsp:rsid wsp:val=&quot;5559450E&quot;/&gt;&lt;wsp:rsid wsp:val=&quot;555A336D&quot;/&gt;&lt;wsp:rsid wsp:val=&quot;555D3FFE&quot;/&gt;&lt;wsp:rsid wsp:val=&quot;555E38D2&quot;/&gt;&lt;wsp:rsid wsp:val=&quot;5563538C&quot;/&gt;&lt;wsp:rsid wsp:val=&quot;556709D9&quot;/&gt;&lt;wsp:rsid wsp:val=&quot;556829A3&quot;/&gt;&lt;wsp:rsid wsp:val=&quot;556A04C9&quot;/&gt;&lt;wsp:rsid wsp:val=&quot;556A4C3B&quot;/&gt;&lt;wsp:rsid wsp:val=&quot;556C4241&quot;/&gt;&lt;wsp:rsid wsp:val=&quot;556C6C12&quot;/&gt;&lt;wsp:rsid wsp:val=&quot;556D4514&quot;/&gt;&lt;wsp:rsid wsp:val=&quot;556E5844&quot;/&gt;&lt;wsp:rsid wsp:val=&quot;556F5ADF&quot;/&gt;&lt;wsp:rsid wsp:val=&quot;55711857&quot;/&gt;&lt;wsp:rsid wsp:val=&quot;55713605&quot;/&gt;&lt;wsp:rsid wsp:val=&quot;5571466F&quot;/&gt;&lt;wsp:rsid wsp:val=&quot;5572737D&quot;/&gt;&lt;wsp:rsid wsp:val=&quot;55733821&quot;/&gt;&lt;wsp:rsid wsp:val=&quot;557355CF&quot;/&gt;&lt;wsp:rsid wsp:val=&quot;55735625&quot;/&gt;&lt;wsp:rsid wsp:val=&quot;55741347&quot;/&gt;&lt;wsp:rsid wsp:val=&quot;55747599&quot;/&gt;&lt;wsp:rsid wsp:val=&quot;55761405&quot;/&gt;&lt;wsp:rsid wsp:val=&quot;557650C0&quot;/&gt;&lt;wsp:rsid wsp:val=&quot;55772728&quot;/&gt;&lt;wsp:rsid wsp:val=&quot;55774994&quot;/&gt;&lt;wsp:rsid wsp:val=&quot;557815D1&quot;/&gt;&lt;wsp:rsid wsp:val=&quot;55793272&quot;/&gt;&lt;wsp:rsid wsp:val=&quot;55794BB0&quot;/&gt;&lt;wsp:rsid wsp:val=&quot;557B26D6&quot;/&gt;&lt;wsp:rsid wsp:val=&quot;557B326D&quot;/&gt;&lt;wsp:rsid wsp:val=&quot;557E2768&quot;/&gt;&lt;wsp:rsid wsp:val=&quot;557F2999&quot;/&gt;&lt;wsp:rsid wsp:val=&quot;55805088&quot;/&gt;&lt;wsp:rsid wsp:val=&quot;558149D7&quot;/&gt;&lt;wsp:rsid wsp:val=&quot;55822579&quot;/&gt;&lt;wsp:rsid wsp:val=&quot;55823A64&quot;/&gt;&lt;wsp:rsid wsp:val=&quot;5583321C&quot;/&gt;&lt;wsp:rsid wsp:val=&quot;55855303&quot;/&gt;&lt;wsp:rsid wsp:val=&quot;5587107B&quot;/&gt;&lt;wsp:rsid wsp:val=&quot;5587536D&quot;/&gt;&lt;wsp:rsid wsp:val=&quot;5588094F&quot;/&gt;&lt;wsp:rsid wsp:val=&quot;55881907&quot;/&gt;&lt;wsp:rsid wsp:val=&quot;55893CEF&quot;/&gt;&lt;wsp:rsid wsp:val=&quot;558D1B4C&quot;/&gt;&lt;wsp:rsid wsp:val=&quot;558E065B&quot;/&gt;&lt;wsp:rsid wsp:val=&quot;558F7F2F&quot;/&gt;&lt;wsp:rsid wsp:val=&quot;55911EF9&quot;/&gt;&lt;wsp:rsid wsp:val=&quot;55943798&quot;/&gt;&lt;wsp:rsid wsp:val=&quot;559467A4&quot;/&gt;&lt;wsp:rsid wsp:val=&quot;55983288&quot;/&gt;&lt;wsp:rsid wsp:val=&quot;559B174B&quot;/&gt;&lt;wsp:rsid wsp:val=&quot;559B68D4&quot;/&gt;&lt;wsp:rsid wsp:val=&quot;559D089E&quot;/&gt;&lt;wsp:rsid wsp:val=&quot;559E63C4&quot;/&gt;&lt;wsp:rsid wsp:val=&quot;55A0038E&quot;/&gt;&lt;wsp:rsid wsp:val=&quot;55A2025E&quot;/&gt;&lt;wsp:rsid wsp:val=&quot;55A25EB5&quot;/&gt;&lt;wsp:rsid wsp:val=&quot;55A439DB&quot;/&gt;&lt;wsp:rsid wsp:val=&quot;55A4470B&quot;/&gt;&lt;wsp:rsid wsp:val=&quot;55A55633&quot;/&gt;&lt;wsp:rsid wsp:val=&quot;55A559A5&quot;/&gt;&lt;wsp:rsid wsp:val=&quot;55A62EFF&quot;/&gt;&lt;wsp:rsid wsp:val=&quot;55A7354E&quot;/&gt;&lt;wsp:rsid wsp:val=&quot;55AA4D69&quot;/&gt;&lt;wsp:rsid wsp:val=&quot;55AA6B17&quot;/&gt;&lt;wsp:rsid wsp:val=&quot;55AD03B6&quot;/&gt;&lt;wsp:rsid wsp:val=&quot;55AD2413&quot;/&gt;&lt;wsp:rsid wsp:val=&quot;55AF7A72&quot;/&gt;&lt;wsp:rsid wsp:val=&quot;55B055F7&quot;/&gt;&lt;wsp:rsid wsp:val=&quot;55B22C42&quot;/&gt;&lt;wsp:rsid wsp:val=&quot;55B300C2&quot;/&gt;&lt;wsp:rsid wsp:val=&quot;55B31E70&quot;/&gt;&lt;wsp:rsid wsp:val=&quot;55B33C1E&quot;/&gt;&lt;wsp:rsid wsp:val=&quot;55B356DD&quot;/&gt;&lt;wsp:rsid wsp:val=&quot;55B41744&quot;/&gt;&lt;wsp:rsid wsp:val=&quot;55B47996&quot;/&gt;&lt;wsp:rsid wsp:val=&quot;55B728F9&quot;/&gt;&lt;wsp:rsid wsp:val=&quot;55B84B89&quot;/&gt;&lt;wsp:rsid wsp:val=&quot;55B92ADD&quot;/&gt;&lt;wsp:rsid wsp:val=&quot;55B94FAC&quot;/&gt;&lt;wsp:rsid wsp:val=&quot;55BA0EA3&quot;/&gt;&lt;wsp:rsid wsp:val=&quot;55BA1450&quot;/&gt;&lt;wsp:rsid wsp:val=&quot;55BB0D24&quot;/&gt;&lt;wsp:rsid wsp:val=&quot;55BD4A9D&quot;/&gt;&lt;wsp:rsid wsp:val=&quot;55BF6A67&quot;/&gt;&lt;wsp:rsid wsp:val=&quot;55C14A4F&quot;/&gt;&lt;wsp:rsid wsp:val=&quot;55C23E61&quot;/&gt;&lt;wsp:rsid wsp:val=&quot;55C24E3B&quot;/&gt;&lt;wsp:rsid wsp:val=&quot;55C51BA3&quot;/&gt;&lt;wsp:rsid wsp:val=&quot;55C67DF5&quot;/&gt;&lt;wsp:rsid wsp:val=&quot;55C776C9&quot;/&gt;&lt;wsp:rsid wsp:val=&quot;55C91693&quot;/&gt;&lt;wsp:rsid wsp:val=&quot;55CB317D&quot;/&gt;&lt;wsp:rsid wsp:val=&quot;55CC4CE0&quot;/&gt;&lt;wsp:rsid wsp:val=&quot;55CE0CF4&quot;/&gt;&lt;wsp:rsid wsp:val=&quot;55CF657E&quot;/&gt;&lt;wsp:rsid wsp:val=&quot;55CF6D84&quot;/&gt;&lt;wsp:rsid wsp:val=&quot;55D10548&quot;/&gt;&lt;wsp:rsid wsp:val=&quot;55D27501&quot;/&gt;&lt;wsp:rsid wsp:val=&quot;55D32512&quot;/&gt;&lt;wsp:rsid wsp:val=&quot;55D342C0&quot;/&gt;&lt;wsp:rsid wsp:val=&quot;55D45AE9&quot;/&gt;&lt;wsp:rsid wsp:val=&quot;55D46901&quot;/&gt;&lt;wsp:rsid wsp:val=&quot;55D512CD&quot;/&gt;&lt;wsp:rsid wsp:val=&quot;55D562C2&quot;/&gt;&lt;wsp:rsid wsp:val=&quot;55D64741&quot;/&gt;&lt;wsp:rsid wsp:val=&quot;55D6790C&quot;/&gt;&lt;wsp:rsid wsp:val=&quot;55D818D6&quot;/&gt;&lt;wsp:rsid wsp:val=&quot;55D83684&quot;/&gt;&lt;wsp:rsid wsp:val=&quot;55D87C9B&quot;/&gt;&lt;wsp:rsid wsp:val=&quot;55DA73FC&quot;/&gt;&lt;wsp:rsid wsp:val=&quot;55DC3184&quot;/&gt;&lt;wsp:rsid wsp:val=&quot;55DE467E&quot;/&gt;&lt;wsp:rsid wsp:val=&quot;55DE5AA4&quot;/&gt;&lt;wsp:rsid wsp:val=&quot;55DF4A13&quot;/&gt;&lt;wsp:rsid wsp:val=&quot;55E069DD&quot;/&gt;&lt;wsp:rsid wsp:val=&quot;55E24503&quot;/&gt;&lt;wsp:rsid wsp:val=&quot;55E4027B&quot;/&gt;&lt;wsp:rsid wsp:val=&quot;55E62245&quot;/&gt;&lt;wsp:rsid wsp:val=&quot;55E64236&quot;/&gt;&lt;wsp:rsid wsp:val=&quot;55E7202A&quot;/&gt;&lt;wsp:rsid wsp:val=&quot;55E738C7&quot;/&gt;&lt;wsp:rsid wsp:val=&quot;55E756C6&quot;/&gt;&lt;wsp:rsid wsp:val=&quot;55EC35D4&quot;/&gt;&lt;wsp:rsid wsp:val=&quot;55EE4C56&quot;/&gt;&lt;wsp:rsid wsp:val=&quot;55F06C20&quot;/&gt;&lt;wsp:rsid wsp:val=&quot;55F14746&quot;/&gt;&lt;wsp:rsid wsp:val=&quot;55F278B8&quot;/&gt;&lt;wsp:rsid wsp:val=&quot;55F3683A&quot;/&gt;&lt;wsp:rsid wsp:val=&quot;55F52488&quot;/&gt;&lt;wsp:rsid wsp:val=&quot;55F54236&quot;/&gt;&lt;wsp:rsid wsp:val=&quot;55F61D5C&quot;/&gt;&lt;wsp:rsid wsp:val=&quot;55F81F79&quot;/&gt;&lt;wsp:rsid wsp:val=&quot;55F8497D&quot;/&gt;&lt;wsp:rsid wsp:val=&quot;55F944C1&quot;/&gt;&lt;wsp:rsid wsp:val=&quot;55FA7A9F&quot;/&gt;&lt;wsp:rsid wsp:val=&quot;55FB55C5&quot;/&gt;&lt;wsp:rsid wsp:val=&quot;55FC3817&quot;/&gt;&lt;wsp:rsid wsp:val=&quot;55FD213A&quot;/&gt;&lt;wsp:rsid wsp:val=&quot;55FF3307&quot;/&gt;&lt;wsp:rsid wsp:val=&quot;5600249D&quot;/&gt;&lt;wsp:rsid wsp:val=&quot;56010E2D&quot;/&gt;&lt;wsp:rsid wsp:val=&quot;56010E3E&quot;/&gt;&lt;wsp:rsid wsp:val=&quot;56024BA5&quot;/&gt;&lt;wsp:rsid wsp:val=&quot;56025E33&quot;/&gt;&lt;wsp:rsid wsp:val=&quot;56033612&quot;/&gt;&lt;wsp:rsid wsp:val=&quot;56040F00&quot;/&gt;&lt;wsp:rsid wsp:val=&quot;560426CB&quot;/&gt;&lt;wsp:rsid wsp:val=&quot;56044479&quot;/&gt;&lt;wsp:rsid wsp:val=&quot;56054F8F&quot;/&gt;&lt;wsp:rsid wsp:val=&quot;56097CE2&quot;/&gt;&lt;wsp:rsid wsp:val=&quot;560E3442&quot;/&gt;&lt;wsp:rsid wsp:val=&quot;560E70A6&quot;/&gt;&lt;wsp:rsid wsp:val=&quot;56100618&quot;/&gt;&lt;wsp:rsid wsp:val=&quot;56101070&quot;/&gt;&lt;wsp:rsid wsp:val=&quot;56114DE8&quot;/&gt;&lt;wsp:rsid wsp:val=&quot;5612303A&quot;/&gt;&lt;wsp:rsid wsp:val=&quot;561437BA&quot;/&gt;&lt;wsp:rsid wsp:val=&quot;56150435&quot;/&gt;&lt;wsp:rsid wsp:val=&quot;56150744&quot;/&gt;&lt;wsp:rsid wsp:val=&quot;561548D9&quot;/&gt;&lt;wsp:rsid wsp:val=&quot;561909F7&quot;/&gt;&lt;wsp:rsid wsp:val=&quot;561A3C9D&quot;/&gt;&lt;wsp:rsid wsp:val=&quot;561A5A4B&quot;/&gt;&lt;wsp:rsid wsp:val=&quot;561B17C3&quot;/&gt;&lt;wsp:rsid wsp:val=&quot;561C7F60&quot;/&gt;&lt;wsp:rsid wsp:val=&quot;561D378D&quot;/&gt;&lt;wsp:rsid wsp:val=&quot;561F5757&quot;/&gt;&lt;wsp:rsid wsp:val=&quot;561F5B08&quot;/&gt;&lt;wsp:rsid wsp:val=&quot;56206DD9&quot;/&gt;&lt;wsp:rsid wsp:val=&quot;5621327D&quot;/&gt;&lt;wsp:rsid wsp:val=&quot;56220DA3&quot;/&gt;&lt;wsp:rsid wsp:val=&quot;56242D6E&quot;/&gt;&lt;wsp:rsid wsp:val=&quot;562543F0&quot;/&gt;&lt;wsp:rsid wsp:val=&quot;56262642&quot;/&gt;&lt;wsp:rsid wsp:val=&quot;56264FFB&quot;/&gt;&lt;wsp:rsid wsp:val=&quot;5626534E&quot;/&gt;&lt;wsp:rsid wsp:val=&quot;56293EE0&quot;/&gt;&lt;wsp:rsid wsp:val=&quot;562B40AB&quot;/&gt;&lt;wsp:rsid wsp:val=&quot;562B40FC&quot;/&gt;&lt;wsp:rsid wsp:val=&quot;562B5EAA&quot;/&gt;&lt;wsp:rsid wsp:val=&quot;562C010C&quot;/&gt;&lt;wsp:rsid wsp:val=&quot;562E599A&quot;/&gt;&lt;wsp:rsid wsp:val=&quot;562E7748&quot;/&gt;&lt;wsp:rsid wsp:val=&quot;5630526E&quot;/&gt;&lt;wsp:rsid wsp:val=&quot;56307F1D&quot;/&gt;&lt;wsp:rsid wsp:val=&quot;56310FE7&quot;/&gt;&lt;wsp:rsid wsp:val=&quot;5632548A&quot;/&gt;&lt;wsp:rsid wsp:val=&quot;5632692F&quot;/&gt;&lt;wsp:rsid wsp:val=&quot;56332FB1&quot;/&gt;&lt;wsp:rsid wsp:val=&quot;56336B0D&quot;/&gt;&lt;wsp:rsid wsp:val=&quot;5634689E&quot;/&gt;&lt;wsp:rsid wsp:val=&quot;56356D29&quot;/&gt;&lt;wsp:rsid wsp:val=&quot;56357908&quot;/&gt;&lt;wsp:rsid wsp:val=&quot;563665FD&quot;/&gt;&lt;wsp:rsid wsp:val=&quot;56372AA1&quot;/&gt;&lt;wsp:rsid wsp:val=&quot;56384123&quot;/&gt;&lt;wsp:rsid wsp:val=&quot;563A433F&quot;/&gt;&lt;wsp:rsid wsp:val=&quot;563A60ED&quot;/&gt;&lt;wsp:rsid wsp:val=&quot;563B3BA0&quot;/&gt;&lt;wsp:rsid wsp:val=&quot;563B3C13&quot;/&gt;&lt;wsp:rsid wsp:val=&quot;563C00B7&quot;/&gt;&lt;wsp:rsid wsp:val=&quot;563C3388&quot;/&gt;&lt;wsp:rsid wsp:val=&quot;563D0DFA&quot;/&gt;&lt;wsp:rsid wsp:val=&quot;563D5BDD&quot;/&gt;&lt;wsp:rsid wsp:val=&quot;563D798B&quot;/&gt;&lt;wsp:rsid wsp:val=&quot;563F3703&quot;/&gt;&lt;wsp:rsid wsp:val=&quot;56424FA2&quot;/&gt;&lt;wsp:rsid wsp:val=&quot;56446F6C&quot;/&gt;&lt;wsp:rsid wsp:val=&quot;56457822&quot;/&gt;&lt;wsp:rsid wsp:val=&quot;5647274D&quot;/&gt;&lt;wsp:rsid wsp:val=&quot;56490775&quot;/&gt;&lt;wsp:rsid wsp:val=&quot;56494582&quot;/&gt;&lt;wsp:rsid wsp:val=&quot;564B3E56&quot;/&gt;&lt;wsp:rsid wsp:val=&quot;564C5E20&quot;/&gt;&lt;wsp:rsid wsp:val=&quot;564D4072&quot;/&gt;&lt;wsp:rsid wsp:val=&quot;564E08D4&quot;/&gt;&lt;wsp:rsid wsp:val=&quot;564E3947&quot;/&gt;&lt;wsp:rsid wsp:val=&quot;564E7DEA&quot;/&gt;&lt;wsp:rsid wsp:val=&quot;564F0DA3&quot;/&gt;&lt;wsp:rsid wsp:val=&quot;565151E5&quot;/&gt;&lt;wsp:rsid wsp:val=&quot;56521689&quot;/&gt;&lt;wsp:rsid wsp:val=&quot;56521E26&quot;/&gt;&lt;wsp:rsid wsp:val=&quot;56530F5D&quot;/&gt;&lt;wsp:rsid wsp:val=&quot;565371AF&quot;/&gt;&lt;wsp:rsid wsp:val=&quot;56544185&quot;/&gt;&lt;wsp:rsid wsp:val=&quot;565458F7&quot;/&gt;&lt;wsp:rsid wsp:val=&quot;56574EF1&quot;/&gt;&lt;wsp:rsid wsp:val=&quot;56596875&quot;/&gt;&lt;wsp:rsid wsp:val=&quot;565C2507&quot;/&gt;&lt;wsp:rsid wsp:val=&quot;565C3800&quot;/&gt;&lt;wsp:rsid wsp:val=&quot;565C42B5&quot;/&gt;&lt;wsp:rsid wsp:val=&quot;565C6063&quot;/&gt;&lt;wsp:rsid wsp:val=&quot;565D002E&quot;/&gt;&lt;wsp:rsid wsp:val=&quot;565D1DDC&quot;/&gt;&lt;wsp:rsid wsp:val=&quot;565F3DA6&quot;/&gt;&lt;wsp:rsid wsp:val=&quot;566118CC&quot;/&gt;&lt;wsp:rsid wsp:val=&quot;5661367A&quot;/&gt;&lt;wsp:rsid wsp:val=&quot;56625644&quot;/&gt;&lt;wsp:rsid wsp:val=&quot;5664316A&quot;/&gt;&lt;wsp:rsid wsp:val=&quot;56666EE2&quot;/&gt;&lt;wsp:rsid wsp:val=&quot;56682C5A&quot;/&gt;&lt;wsp:rsid wsp:val=&quot;56690CC3&quot;/&gt;&lt;wsp:rsid wsp:val=&quot;566B44F9&quot;/&gt;&lt;wsp:rsid wsp:val=&quot;566B62A7&quot;/&gt;&lt;wsp:rsid wsp:val=&quot;566C201F&quot;/&gt;&lt;wsp:rsid wsp:val=&quot;566E5D97&quot;/&gt;&lt;wsp:rsid wsp:val=&quot;566E7EBE&quot;/&gt;&lt;wsp:rsid wsp:val=&quot;56705FB3&quot;/&gt;&lt;wsp:rsid wsp:val=&quot;56711106&quot;/&gt;&lt;wsp:rsid wsp:val=&quot;567333AD&quot;/&gt;&lt;wsp:rsid wsp:val=&quot;567372C9&quot;/&gt;&lt;wsp:rsid wsp:val=&quot;56755377&quot;/&gt;&lt;wsp:rsid wsp:val=&quot;567710EF&quot;/&gt;&lt;wsp:rsid wsp:val=&quot;56777341&quot;/&gt;&lt;wsp:rsid wsp:val=&quot;56786C15&quot;/&gt;&lt;wsp:rsid wsp:val=&quot;56794E67&quot;/&gt;&lt;wsp:rsid wsp:val=&quot;567A7B1E&quot;/&gt;&lt;wsp:rsid wsp:val=&quot;567C4958&quot;/&gt;&lt;wsp:rsid wsp:val=&quot;567D5FDA&quot;/&gt;&lt;wsp:rsid wsp:val=&quot;567E745B&quot;/&gt;&lt;wsp:rsid wsp:val=&quot;567F61F6&quot;/&gt;&lt;wsp:rsid wsp:val=&quot;567F7FA4&quot;/&gt;&lt;wsp:rsid wsp:val=&quot;568022D3&quot;/&gt;&lt;wsp:rsid wsp:val=&quot;56813D1C&quot;/&gt;&lt;wsp:rsid wsp:val=&quot;56821842&quot;/&gt;&lt;wsp:rsid wsp:val=&quot;568277C4&quot;/&gt;&lt;wsp:rsid wsp:val=&quot;568323BF&quot;/&gt;&lt;wsp:rsid wsp:val=&quot;568341A1&quot;/&gt;&lt;wsp:rsid wsp:val=&quot;56835CE6&quot;/&gt;&lt;wsp:rsid wsp:val=&quot;56836083&quot;/&gt;&lt;wsp:rsid wsp:val=&quot;56837A94&quot;/&gt;&lt;wsp:rsid wsp:val=&quot;5684380C&quot;/&gt;&lt;wsp:rsid wsp:val=&quot;56861332&quot;/&gt;&lt;wsp:rsid wsp:val=&quot;56867584&quot;/&gt;&lt;wsp:rsid wsp:val=&quot;56876E58&quot;/&gt;&lt;wsp:rsid wsp:val=&quot;568850AA&quot;/&gt;&lt;wsp:rsid wsp:val=&quot;56887019&quot;/&gt;&lt;wsp:rsid wsp:val=&quot;568A7075&quot;/&gt;&lt;wsp:rsid wsp:val=&quot;56903F5F&quot;/&gt;&lt;wsp:rsid wsp:val=&quot;56905D0D&quot;/&gt;&lt;wsp:rsid wsp:val=&quot;569272B9&quot;/&gt;&lt;wsp:rsid wsp:val=&quot;56927CD7&quot;/&gt;&lt;wsp:rsid wsp:val=&quot;56933A4F&quot;/&gt;&lt;wsp:rsid wsp:val=&quot;56941BD9&quot;/&gt;&lt;wsp:rsid wsp:val=&quot;569577C7&quot;/&gt;&lt;wsp:rsid wsp:val=&quot;5697479B&quot;/&gt;&lt;wsp:rsid wsp:val=&quot;5697709C&quot;/&gt;&lt;wsp:rsid wsp:val=&quot;56981066&quot;/&gt;&lt;wsp:rsid wsp:val=&quot;56982E14&quot;/&gt;&lt;wsp:rsid wsp:val=&quot;569972B8&quot;/&gt;&lt;wsp:rsid wsp:val=&quot;569A4DDE&quot;/&gt;&lt;wsp:rsid wsp:val=&quot;569C478A&quot;/&gt;&lt;wsp:rsid wsp:val=&quot;569D042A&quot;/&gt;&lt;wsp:rsid wsp:val=&quot;569E48CE&quot;/&gt;&lt;wsp:rsid wsp:val=&quot;569E585C&quot;/&gt;&lt;wsp:rsid wsp:val=&quot;569F0646&quot;/&gt;&lt;wsp:rsid wsp:val=&quot;569F22EA&quot;/&gt;&lt;wsp:rsid wsp:val=&quot;56A17F1A&quot;/&gt;&lt;wsp:rsid wsp:val=&quot;56A25A40&quot;/&gt;&lt;wsp:rsid wsp:val=&quot;56A3023E&quot;/&gt;&lt;wsp:rsid wsp:val=&quot;56A31EE4&quot;/&gt;&lt;wsp:rsid wsp:val=&quot;56A45C5C&quot;/&gt;&lt;wsp:rsid wsp:val=&quot;56A619D5&quot;/&gt;&lt;wsp:rsid wsp:val=&quot;56A63783&quot;/&gt;&lt;wsp:rsid wsp:val=&quot;56A874FB&quot;/&gt;&lt;wsp:rsid wsp:val=&quot;56A93273&quot;/&gt;&lt;wsp:rsid wsp:val=&quot;56AB2B47&quot;/&gt;&lt;wsp:rsid wsp:val=&quot;56AB528F&quot;/&gt;&lt;wsp:rsid wsp:val=&quot;56AB69D0&quot;/&gt;&lt;wsp:rsid wsp:val=&quot;56AE43DC&quot;/&gt;&lt;wsp:rsid wsp:val=&quot;56B0015D&quot;/&gt;&lt;wsp:rsid wsp:val=&quot;56B22A9C&quot;/&gt;&lt;wsp:rsid wsp:val=&quot;56B23ED5&quot;/&gt;&lt;wsp:rsid wsp:val=&quot;56B25162&quot;/&gt;&lt;wsp:rsid wsp:val=&quot;56B253B0&quot;/&gt;&lt;wsp:rsid wsp:val=&quot;56B37C4E&quot;/&gt;&lt;wsp:rsid wsp:val=&quot;56B51C18&quot;/&gt;&lt;wsp:rsid wsp:val=&quot;56B75990&quot;/&gt;&lt;wsp:rsid wsp:val=&quot;56BA722E&quot;/&gt;&lt;wsp:rsid wsp:val=&quot;56BC1D83&quot;/&gt;&lt;wsp:rsid wsp:val=&quot;56BC6B02&quot;/&gt;&lt;wsp:rsid wsp:val=&quot;56BD287A&quot;/&gt;&lt;wsp:rsid wsp:val=&quot;56BE0ACC&quot;/&gt;&lt;wsp:rsid wsp:val=&quot;56BE6D1E&quot;/&gt;&lt;wsp:rsid wsp:val=&quot;56BF65F2&quot;/&gt;&lt;wsp:rsid wsp:val=&quot;56C034A1&quot;/&gt;&lt;wsp:rsid wsp:val=&quot;56C34335&quot;/&gt;&lt;wsp:rsid wsp:val=&quot;56C360E3&quot;/&gt;&lt;wsp:rsid wsp:val=&quot;56C500AD&quot;/&gt;&lt;wsp:rsid wsp:val=&quot;56C63E25&quot;/&gt;&lt;wsp:rsid wsp:val=&quot;56C67981&quot;/&gt;&lt;wsp:rsid wsp:val=&quot;56C854A7&quot;/&gt;&lt;wsp:rsid wsp:val=&quot;56C9121F&quot;/&gt;&lt;wsp:rsid wsp:val=&quot;56CE0629&quot;/&gt;&lt;wsp:rsid wsp:val=&quot;56CE6835&quot;/&gt;&lt;wsp:rsid wsp:val=&quot;56CF0F2B&quot;/&gt;&lt;wsp:rsid wsp:val=&quot;56CF468A&quot;/&gt;&lt;wsp:rsid wsp:val=&quot;56D025AE&quot;/&gt;&lt;wsp:rsid wsp:val=&quot;56D06A51&quot;/&gt;&lt;wsp:rsid wsp:val=&quot;56D26326&quot;/&gt;&lt;wsp:rsid wsp:val=&quot;56D35BDC&quot;/&gt;&lt;wsp:rsid wsp:val=&quot;56D54068&quot;/&gt;&lt;wsp:rsid wsp:val=&quot;56D71B8E&quot;/&gt;&lt;wsp:rsid wsp:val=&quot;56D976B4&quot;/&gt;&lt;wsp:rsid wsp:val=&quot;56DA167E&quot;/&gt;&lt;wsp:rsid wsp:val=&quot;56DA342C&quot;/&gt;&lt;wsp:rsid wsp:val=&quot;56DB6848&quot;/&gt;&lt;wsp:rsid wsp:val=&quot;56DB78D0&quot;/&gt;&lt;wsp:rsid wsp:val=&quot;56DC0F52&quot;/&gt;&lt;wsp:rsid wsp:val=&quot;56DD0323&quot;/&gt;&lt;wsp:rsid wsp:val=&quot;56DD5B3B&quot;/&gt;&lt;wsp:rsid wsp:val=&quot;56DE2F1C&quot;/&gt;&lt;wsp:rsid wsp:val=&quot;56DF7E7E&quot;/&gt;&lt;wsp:rsid wsp:val=&quot;56E04EE6&quot;/&gt;&lt;wsp:rsid wsp:val=&quot;56E101E0&quot;/&gt;&lt;wsp:rsid wsp:val=&quot;56E147BB&quot;/&gt;&lt;wsp:rsid wsp:val=&quot;56E16569&quot;/&gt;&lt;wsp:rsid wsp:val=&quot;56E322E1&quot;/&gt;&lt;wsp:rsid wsp:val=&quot;56E36785&quot;/&gt;&lt;wsp:rsid wsp:val=&quot;56E60023&quot;/&gt;&lt;wsp:rsid wsp:val=&quot;56E83D9B&quot;/&gt;&lt;wsp:rsid wsp:val=&quot;56E9366F&quot;/&gt;&lt;wsp:rsid wsp:val=&quot;56EA7B13&quot;/&gt;&lt;wsp:rsid wsp:val=&quot;56EF3F4F&quot;/&gt;&lt;wsp:rsid wsp:val=&quot;56EF6ED8&quot;/&gt;&lt;wsp:rsid wsp:val=&quot;56F11165&quot;/&gt;&lt;wsp:rsid wsp:val=&quot;56F166AD&quot;/&gt;&lt;wsp:rsid wsp:val=&quot;56F20776&quot;/&gt;&lt;wsp:rsid wsp:val=&quot;56F42740&quot;/&gt;&lt;wsp:rsid wsp:val=&quot;56F52014&quot;/&gt;&lt;wsp:rsid wsp:val=&quot;56F61952&quot;/&gt;&lt;wsp:rsid wsp:val=&quot;56F73FDE&quot;/&gt;&lt;wsp:rsid wsp:val=&quot;56F919E5&quot;/&gt;&lt;wsp:rsid wsp:val=&quot;56F9720C&quot;/&gt;&lt;wsp:rsid wsp:val=&quot;56F97D56&quot;/&gt;&lt;wsp:rsid wsp:val=&quot;56F97D88&quot;/&gt;&lt;wsp:rsid wsp:val=&quot;56FA6119&quot;/&gt;&lt;wsp:rsid wsp:val=&quot;56FA61B6&quot;/&gt;&lt;wsp:rsid wsp:val=&quot;56FB0FB3&quot;/&gt;&lt;wsp:rsid wsp:val=&quot;56FB3ACE&quot;/&gt;&lt;wsp:rsid wsp:val=&quot;56FC15F5&quot;/&gt;&lt;wsp:rsid wsp:val=&quot;56FE536D&quot;/&gt;&lt;wsp:rsid wsp:val=&quot;56FF2E93&quot;/&gt;&lt;wsp:rsid wsp:val=&quot;570057F6&quot;/&gt;&lt;wsp:rsid wsp:val=&quot;570109B9&quot;/&gt;&lt;wsp:rsid wsp:val=&quot;57030BD5&quot;/&gt;&lt;wsp:rsid wsp:val=&quot;57032983&quot;/&gt;&lt;wsp:rsid wsp:val=&quot;570401BD&quot;/&gt;&lt;wsp:rsid wsp:val=&quot;570566FB&quot;/&gt;&lt;wsp:rsid wsp:val=&quot;570861EB&quot;/&gt;&lt;wsp:rsid wsp:val=&quot;5709481B&quot;/&gt;&lt;wsp:rsid wsp:val=&quot;570A1F63&quot;/&gt;&lt;wsp:rsid wsp:val=&quot;570B7A8A&quot;/&gt;&lt;wsp:rsid wsp:val=&quot;570E3BC9&quot;/&gt;&lt;wsp:rsid wsp:val=&quot;571050A0&quot;/&gt;&lt;wsp:rsid wsp:val=&quot;571061DA&quot;/&gt;&lt;wsp:rsid wsp:val=&quot;571450FA&quot;/&gt;&lt;wsp:rsid wsp:val=&quot;571526B6&quot;/&gt;&lt;wsp:rsid wsp:val=&quot;57174680&quot;/&gt;&lt;wsp:rsid wsp:val=&quot;5717642E&quot;/&gt;&lt;wsp:rsid wsp:val=&quot;571903F8&quot;/&gt;&lt;wsp:rsid wsp:val=&quot;57193F55&quot;/&gt;&lt;wsp:rsid wsp:val=&quot;571B1801&quot;/&gt;&lt;wsp:rsid wsp:val=&quot;571B2CA5&quot;/&gt;&lt;wsp:rsid wsp:val=&quot;571B5F1F&quot;/&gt;&lt;wsp:rsid wsp:val=&quot;571B7CCD&quot;/&gt;&lt;wsp:rsid wsp:val=&quot;571C57F3&quot;/&gt;&lt;wsp:rsid wsp:val=&quot;571E5A0F&quot;/&gt;&lt;wsp:rsid wsp:val=&quot;571E77BD&quot;/&gt;&lt;wsp:rsid wsp:val=&quot;5721105B&quot;/&gt;&lt;wsp:rsid wsp:val=&quot;572172AD&quot;/&gt;&lt;wsp:rsid wsp:val=&quot;57236B81&quot;/&gt;&lt;wsp:rsid wsp:val=&quot;57241783&quot;/&gt;&lt;wsp:rsid wsp:val=&quot;57250B4B&quot;/&gt;&lt;wsp:rsid wsp:val=&quot;57266671&quot;/&gt;&lt;wsp:rsid wsp:val=&quot;57277DA4&quot;/&gt;&lt;wsp:rsid wsp:val=&quot;57283E05&quot;/&gt;&lt;wsp:rsid wsp:val=&quot;57284198&quot;/&gt;&lt;wsp:rsid wsp:val=&quot;572A6162&quot;/&gt;&lt;wsp:rsid wsp:val=&quot;572B4C8E&quot;/&gt;&lt;wsp:rsid wsp:val=&quot;572E408F&quot;/&gt;&lt;wsp:rsid wsp:val=&quot;5730129E&quot;/&gt;&lt;wsp:rsid wsp:val=&quot;5732261A&quot;/&gt;&lt;wsp:rsid wsp:val=&quot;57322C5A&quot;/&gt;&lt;wsp:rsid wsp:val=&quot;573265F8&quot;/&gt;&lt;wsp:rsid wsp:val=&quot;57332B6E&quot;/&gt;&lt;wsp:rsid wsp:val=&quot;57346FE0&quot;/&gt;&lt;wsp:rsid wsp:val=&quot;573568B4&quot;/&gt;&lt;wsp:rsid wsp:val=&quot;57390153&quot;/&gt;&lt;wsp:rsid wsp:val=&quot;573A3ECB&quot;/&gt;&lt;wsp:rsid wsp:val=&quot;573B036F&quot;/&gt;&lt;wsp:rsid wsp:val=&quot;573C5E95&quot;/&gt;&lt;wsp:rsid wsp:val=&quot;573D1621&quot;/&gt;&lt;wsp:rsid wsp:val=&quot;573E1C0D&quot;/&gt;&lt;wsp:rsid wsp:val=&quot;573E39BB&quot;/&gt;&lt;wsp:rsid wsp:val=&quot;573E7E5F&quot;/&gt;&lt;wsp:rsid wsp:val=&quot;574134AB&quot;/&gt;&lt;wsp:rsid wsp:val=&quot;57430FD1&quot;/&gt;&lt;wsp:rsid wsp:val=&quot;57437223&quot;/&gt;&lt;wsp:rsid wsp:val=&quot;57462870&quot;/&gt;&lt;wsp:rsid wsp:val=&quot;574732BF&quot;/&gt;&lt;wsp:rsid wsp:val=&quot;57476D14&quot;/&gt;&lt;wsp:rsid wsp:val=&quot;574A05B2&quot;/&gt;&lt;wsp:rsid wsp:val=&quot;574B7E86&quot;/&gt;&lt;wsp:rsid wsp:val=&quot;574C0189&quot;/&gt;&lt;wsp:rsid wsp:val=&quot;574D00A2&quot;/&gt;&lt;wsp:rsid wsp:val=&quot;574D3BFE&quot;/&gt;&lt;wsp:rsid wsp:val=&quot;574F7976&quot;/&gt;&lt;wsp:rsid wsp:val=&quot;575256B8&quot;/&gt;&lt;wsp:rsid wsp:val=&quot;57527466&quot;/&gt;&lt;wsp:rsid wsp:val=&quot;57541431&quot;/&gt;&lt;wsp:rsid wsp:val=&quot;575431DF&quot;/&gt;&lt;wsp:rsid wsp:val=&quot;575435C7&quot;/&gt;&lt;wsp:rsid wsp:val=&quot;57550251&quot;/&gt;&lt;wsp:rsid wsp:val=&quot;575529A1&quot;/&gt;&lt;wsp:rsid wsp:val=&quot;57580F21&quot;/&gt;&lt;wsp:rsid wsp:val=&quot;575907F5&quot;/&gt;&lt;wsp:rsid wsp:val=&quot;575A60B2&quot;/&gt;&lt;wsp:rsid wsp:val=&quot;575B456D&quot;/&gt;&lt;wsp:rsid wsp:val=&quot;575C02E5&quot;/&gt;&lt;wsp:rsid wsp:val=&quot;575E13C4&quot;/&gt;&lt;wsp:rsid wsp:val=&quot;575E5E0B&quot;/&gt;&lt;wsp:rsid wsp:val=&quot;575F3ED4&quot;/&gt;&lt;wsp:rsid wsp:val=&quot;57601B83&quot;/&gt;&lt;wsp:rsid wsp:val=&quot;57603931&quot;/&gt;&lt;wsp:rsid wsp:val=&quot;576158FB&quot;/&gt;&lt;wsp:rsid wsp:val=&quot;57631674&quot;/&gt;&lt;wsp:rsid wsp:val=&quot;57647C5C&quot;/&gt;&lt;wsp:rsid wsp:val=&quot;576626E7&quot;/&gt;&lt;wsp:rsid wsp:val=&quot;576A47B0&quot;/&gt;&lt;wsp:rsid wsp:val=&quot;576B22D6&quot;/&gt;&lt;wsp:rsid wsp:val=&quot;576B5048&quot;/&gt;&lt;wsp:rsid wsp:val=&quot;576D5CD7&quot;/&gt;&lt;wsp:rsid wsp:val=&quot;576D604E&quot;/&gt;&lt;wsp:rsid wsp:val=&quot;576F626A&quot;/&gt;&lt;wsp:rsid wsp:val=&quot;57710EBA&quot;/&gt;&lt;wsp:rsid wsp:val=&quot;57711FE2&quot;/&gt;&lt;wsp:rsid wsp:val=&quot;57713D91&quot;/&gt;&lt;wsp:rsid wsp:val=&quot;57723665&quot;/&gt;&lt;wsp:rsid wsp:val=&quot;577613A7&quot;/&gt;&lt;wsp:rsid wsp:val=&quot;57763155&quot;/&gt;&lt;wsp:rsid wsp:val=&quot;577675F9&quot;/&gt;&lt;wsp:rsid wsp:val=&quot;57770C7B&quot;/&gt;&lt;wsp:rsid wsp:val=&quot;5778511F&quot;/&gt;&lt;wsp:rsid wsp:val=&quot;57790E97&quot;/&gt;&lt;wsp:rsid wsp:val=&quot;577A36AD&quot;/&gt;&lt;wsp:rsid wsp:val=&quot;577B5BFD&quot;/&gt;&lt;wsp:rsid wsp:val=&quot;577B69BD&quot;/&gt;&lt;wsp:rsid wsp:val=&quot;577C44E3&quot;/&gt;&lt;wsp:rsid wsp:val=&quot;577D2735&quot;/&gt;&lt;wsp:rsid wsp:val=&quot;577E025B&quot;/&gt;&lt;wsp:rsid wsp:val=&quot;57805D82&quot;/&gt;&lt;wsp:rsid wsp:val=&quot;57811AFA&quot;/&gt;&lt;wsp:rsid wsp:val=&quot;57821E3F&quot;/&gt;&lt;wsp:rsid wsp:val=&quot;57830D79&quot;/&gt;&lt;wsp:rsid wsp:val=&quot;57833AC4&quot;/&gt;&lt;wsp:rsid wsp:val=&quot;57835872&quot;/&gt;&lt;wsp:rsid wsp:val=&quot;57870EFC&quot;/&gt;&lt;wsp:rsid wsp:val=&quot;578735B4&quot;/&gt;&lt;wsp:rsid wsp:val=&quot;578810DA&quot;/&gt;&lt;wsp:rsid wsp:val=&quot;578A1A61&quot;/&gt;&lt;wsp:rsid wsp:val=&quot;578A30A4&quot;/&gt;&lt;wsp:rsid wsp:val=&quot;578A4715&quot;/&gt;&lt;wsp:rsid wsp:val=&quot;578C4726&quot;/&gt;&lt;wsp:rsid wsp:val=&quot;578F06BB&quot;/&gt;&lt;wsp:rsid wsp:val=&quot;57914433&quot;/&gt;&lt;wsp:rsid wsp:val=&quot;579201F3&quot;/&gt;&lt;wsp:rsid wsp:val=&quot;57923D07&quot;/&gt;&lt;wsp:rsid wsp:val=&quot;57925AB5&quot;/&gt;&lt;wsp:rsid wsp:val=&quot;57931F59&quot;/&gt;&lt;wsp:rsid wsp:val=&quot;57947A7F&quot;/&gt;&lt;wsp:rsid wsp:val=&quot;57947EDE&quot;/&gt;&lt;wsp:rsid wsp:val=&quot;579730CB&quot;/&gt;&lt;wsp:rsid wsp:val=&quot;57995095&quot;/&gt;&lt;wsp:rsid wsp:val=&quot;57996E43&quot;/&gt;&lt;wsp:rsid wsp:val=&quot;579B0E0D&quot;/&gt;&lt;wsp:rsid wsp:val=&quot;579B2BBB&quot;/&gt;&lt;wsp:rsid wsp:val=&quot;579B705F&quot;/&gt;&lt;wsp:rsid wsp:val=&quot;579E7AB9&quot;/&gt;&lt;wsp:rsid wsp:val=&quot;57A001D2&quot;/&gt;&lt;wsp:rsid wsp:val=&quot;57A027F7&quot;/&gt;&lt;wsp:rsid wsp:val=&quot;57A06424&quot;/&gt;&lt;wsp:rsid wsp:val=&quot;57A16858&quot;/&gt;&lt;wsp:rsid wsp:val=&quot;57A203EE&quot;/&gt;&lt;wsp:rsid wsp:val=&quot;57A23F4A&quot;/&gt;&lt;wsp:rsid wsp:val=&quot;57A31A70&quot;/&gt;&lt;wsp:rsid wsp:val=&quot;57A442FC&quot;/&gt;&lt;wsp:rsid wsp:val=&quot;57A66A3F&quot;/&gt;&lt;wsp:rsid wsp:val=&quot;57A71560&quot;/&gt;&lt;wsp:rsid wsp:val=&quot;57A8352A&quot;/&gt;&lt;wsp:rsid wsp:val=&quot;57A852D8&quot;/&gt;&lt;wsp:rsid wsp:val=&quot;57AA2DFF&quot;/&gt;&lt;wsp:rsid wsp:val=&quot;57AA72A2&quot;/&gt;&lt;wsp:rsid wsp:val=&quot;57AC4DC9&quot;/&gt;&lt;wsp:rsid wsp:val=&quot;57AC6B77&quot;/&gt;&lt;wsp:rsid wsp:val=&quot;57AE0B41&quot;/&gt;&lt;wsp:rsid wsp:val=&quot;57AF2B0B&quot;/&gt;&lt;wsp:rsid wsp:val=&quot;57AF6667&quot;/&gt;&lt;wsp:rsid wsp:val=&quot;57B40121&quot;/&gt;&lt;wsp:rsid wsp:val=&quot;57B41ECF&quot;/&gt;&lt;wsp:rsid wsp:val=&quot;57B679F5&quot;/&gt;&lt;wsp:rsid wsp:val=&quot;57B72A76&quot;/&gt;&lt;wsp:rsid wsp:val=&quot;57B94ADE&quot;/&gt;&lt;wsp:rsid wsp:val=&quot;57B95737&quot;/&gt;&lt;wsp:rsid wsp:val=&quot;57BB325E&quot;/&gt;&lt;wsp:rsid wsp:val=&quot;57BB500C&quot;/&gt;&lt;wsp:rsid wsp:val=&quot;57BB5B42&quot;/&gt;&lt;wsp:rsid wsp:val=&quot;57BC15F3&quot;/&gt;&lt;wsp:rsid wsp:val=&quot;57BD5228&quot;/&gt;&lt;wsp:rsid wsp:val=&quot;57BD68B0&quot;/&gt;&lt;wsp:rsid wsp:val=&quot;57BF2D4E&quot;/&gt;&lt;wsp:rsid wsp:val=&quot;57BF66C9&quot;/&gt;&lt;wsp:rsid wsp:val=&quot;57C06AC6&quot;/&gt;&lt;wsp:rsid wsp:val=&quot;57C32112&quot;/&gt;&lt;wsp:rsid wsp:val=&quot;57C32AA0&quot;/&gt;&lt;wsp:rsid wsp:val=&quot;57C3426C&quot;/&gt;&lt;wsp:rsid wsp:val=&quot;57C55E8A&quot;/&gt;&lt;wsp:rsid wsp:val=&quot;57C92E92&quot;/&gt;&lt;wsp:rsid wsp:val=&quot;57C945D3&quot;/&gt;&lt;wsp:rsid wsp:val=&quot;57CA34A1&quot;/&gt;&lt;wsp:rsid wsp:val=&quot;57CA524F&quot;/&gt;&lt;wsp:rsid wsp:val=&quot;57CC1813&quot;/&gt;&lt;wsp:rsid wsp:val=&quot;57CC546B&quot;/&gt;&lt;wsp:rsid wsp:val=&quot;57CC7219&quot;/&gt;&lt;wsp:rsid wsp:val=&quot;57CE1F93&quot;/&gt;&lt;wsp:rsid wsp:val=&quot;57CF2865&quot;/&gt;&lt;wsp:rsid wsp:val=&quot;57CF6D09&quot;/&gt;&lt;wsp:rsid wsp:val=&quot;57D07C3C&quot;/&gt;&lt;wsp:rsid wsp:val=&quot;57D12A81&quot;/&gt;&lt;wsp:rsid wsp:val=&quot;57D305A7&quot;/&gt;&lt;wsp:rsid wsp:val=&quot;57D60097&quot;/&gt;&lt;wsp:rsid wsp:val=&quot;57D63BF4&quot;/&gt;&lt;wsp:rsid wsp:val=&quot;57D73675&quot;/&gt;&lt;wsp:rsid wsp:val=&quot;57D83DB7&quot;/&gt;&lt;wsp:rsid wsp:val=&quot;57D91936&quot;/&gt;&lt;wsp:rsid wsp:val=&quot;57D936E4&quot;/&gt;&lt;wsp:rsid wsp:val=&quot;57D93F92&quot;/&gt;&lt;wsp:rsid wsp:val=&quot;57DA0118&quot;/&gt;&lt;wsp:rsid wsp:val=&quot;57DA69E8&quot;/&gt;&lt;wsp:rsid wsp:val=&quot;57DB3900&quot;/&gt;&lt;wsp:rsid wsp:val=&quot;57DB56AE&quot;/&gt;&lt;wsp:rsid wsp:val=&quot;57DD1426&quot;/&gt;&lt;wsp:rsid wsp:val=&quot;57DF519E&quot;/&gt;&lt;wsp:rsid wsp:val=&quot;57E00F16&quot;/&gt;&lt;wsp:rsid wsp:val=&quot;57E079C3&quot;/&gt;&lt;wsp:rsid wsp:val=&quot;57E2517A&quot;/&gt;&lt;wsp:rsid wsp:val=&quot;57E44A19&quot;/&gt;&lt;wsp:rsid wsp:val=&quot;57E47E65&quot;/&gt;&lt;wsp:rsid wsp:val=&quot;57E51FFC&quot;/&gt;&lt;wsp:rsid wsp:val=&quot;57E73521&quot;/&gt;&lt;wsp:rsid wsp:val=&quot;57E74053&quot;/&gt;&lt;wsp:rsid wsp:val=&quot;57E7641B&quot;/&gt;&lt;wsp:rsid wsp:val=&quot;57E85B73&quot;/&gt;&lt;wsp:rsid wsp:val=&quot;57E95BB6&quot;/&gt;&lt;wsp:rsid wsp:val=&quot;57E9601D&quot;/&gt;&lt;wsp:rsid wsp:val=&quot;57EA3B43&quot;/&gt;&lt;wsp:rsid wsp:val=&quot;57EA3E47&quot;/&gt;&lt;wsp:rsid wsp:val=&quot;57EE3633&quot;/&gt;&lt;wsp:rsid wsp:val=&quot;57F0777E&quot;/&gt;&lt;wsp:rsid wsp:val=&quot;57F10A2D&quot;/&gt;&lt;wsp:rsid wsp:val=&quot;57F30C49&quot;/&gt;&lt;wsp:rsid wsp:val=&quot;57F41A29&quot;/&gt;&lt;wsp:rsid wsp:val=&quot;57F4758F&quot;/&gt;&lt;wsp:rsid wsp:val=&quot;57F56770&quot;/&gt;&lt;wsp:rsid wsp:val=&quot;57F66044&quot;/&gt;&lt;wsp:rsid wsp:val=&quot;57F95B34&quot;/&gt;&lt;wsp:rsid wsp:val=&quot;57FA1FD8&quot;/&gt;&lt;wsp:rsid wsp:val=&quot;57FA3D86&quot;/&gt;&lt;wsp:rsid wsp:val=&quot;57FB5D50&quot;/&gt;&lt;wsp:rsid wsp:val=&quot;57FB7AFE&quot;/&gt;&lt;wsp:rsid wsp:val=&quot;57FD3876&quot;/&gt;&lt;wsp:rsid wsp:val=&quot;57FD73D2&quot;/&gt;&lt;wsp:rsid wsp:val=&quot;57FE314A&quot;/&gt;&lt;wsp:rsid wsp:val=&quot;57FF2DC9&quot;/&gt;&lt;wsp:rsid wsp:val=&quot;58001984&quot;/&gt;&lt;wsp:rsid wsp:val=&quot;58022C3B&quot;/&gt;&lt;wsp:rsid wsp:val=&quot;580469B3&quot;/&gt;&lt;wsp:rsid wsp:val=&quot;580538F1&quot;/&gt;&lt;wsp:rsid wsp:val=&quot;580746F5&quot;/&gt;&lt;wsp:rsid wsp:val=&quot;58091E72&quot;/&gt;&lt;wsp:rsid wsp:val=&quot;580A1AEF&quot;/&gt;&lt;wsp:rsid wsp:val=&quot;580C3AB9&quot;/&gt;&lt;wsp:rsid wsp:val=&quot;580D5C0C&quot;/&gt;&lt;wsp:rsid wsp:val=&quot;580E5A83&quot;/&gt;&lt;wsp:rsid wsp:val=&quot;580E7831&quot;/&gt;&lt;wsp:rsid wsp:val=&quot;58107BCF&quot;/&gt;&lt;wsp:rsid wsp:val=&quot;581110D0&quot;/&gt;&lt;wsp:rsid wsp:val=&quot;581356E9&quot;/&gt;&lt;wsp:rsid wsp:val=&quot;58136BF6&quot;/&gt;&lt;wsp:rsid wsp:val=&quot;58146308&quot;/&gt;&lt;wsp:rsid wsp:val=&quot;58150BC0&quot;/&gt;&lt;wsp:rsid wsp:val=&quot;581653E5&quot;/&gt;&lt;wsp:rsid wsp:val=&quot;58171A35&quot;/&gt;&lt;wsp:rsid wsp:val=&quot;5818420C&quot;/&gt;&lt;wsp:rsid wsp:val=&quot;5818698A&quot;/&gt;&lt;wsp:rsid wsp:val=&quot;581A12AA&quot;/&gt;&lt;wsp:rsid wsp:val=&quot;581B5AAA&quot;/&gt;&lt;wsp:rsid wsp:val=&quot;581D1822&quot;/&gt;&lt;wsp:rsid wsp:val=&quot;581D5CC6&quot;/&gt;&lt;wsp:rsid wsp:val=&quot;581E05CE&quot;/&gt;&lt;wsp:rsid wsp:val=&quot;581E5996&quot;/&gt;&lt;wsp:rsid wsp:val=&quot;581F28A3&quot;/&gt;&lt;wsp:rsid wsp:val=&quot;58201313&quot;/&gt;&lt;wsp:rsid wsp:val=&quot;582157B7&quot;/&gt;&lt;wsp:rsid wsp:val=&quot;582165AC&quot;/&gt;&lt;wsp:rsid wsp:val=&quot;5822508B&quot;/&gt;&lt;wsp:rsid wsp:val=&quot;5824666E&quot;/&gt;&lt;wsp:rsid wsp:val=&quot;58256929&quot;/&gt;&lt;wsp:rsid wsp:val=&quot;58260F8E&quot;/&gt;&lt;wsp:rsid wsp:val=&quot;582634BF&quot;/&gt;&lt;wsp:rsid wsp:val=&quot;58264EAA&quot;/&gt;&lt;wsp:rsid wsp:val=&quot;582708F3&quot;/&gt;&lt;wsp:rsid wsp:val=&quot;582726A1&quot;/&gt;&lt;wsp:rsid wsp:val=&quot;582B03E3&quot;/&gt;&lt;wsp:rsid wsp:val=&quot;582B2191&quot;/&gt;&lt;wsp:rsid wsp:val=&quot;582E1C82&quot;/&gt;&lt;wsp:rsid wsp:val=&quot;582E4FF3&quot;/&gt;&lt;wsp:rsid wsp:val=&quot;583077A8&quot;/&gt;&lt;wsp:rsid wsp:val=&quot;583152CE&quot;/&gt;&lt;wsp:rsid wsp:val=&quot;58353010&quot;/&gt;&lt;wsp:rsid wsp:val=&quot;58357612&quot;/&gt;&lt;wsp:rsid wsp:val=&quot;58360B36&quot;/&gt;&lt;wsp:rsid wsp:val=&quot;583628E4&quot;/&gt;&lt;wsp:rsid wsp:val=&quot;58371F07&quot;/&gt;&lt;wsp:rsid wsp:val=&quot;583848AE&quot;/&gt;&lt;wsp:rsid wsp:val=&quot;583A0894&quot;/&gt;&lt;wsp:rsid wsp:val=&quot;583A3465&quot;/&gt;&lt;wsp:rsid wsp:val=&quot;583A6878&quot;/&gt;&lt;wsp:rsid wsp:val=&quot;583B1003&quot;/&gt;&lt;wsp:rsid wsp:val=&quot;583C3675&quot;/&gt;&lt;wsp:rsid wsp:val=&quot;583C439E&quot;/&gt;&lt;wsp:rsid wsp:val=&quot;583E1DE6&quot;/&gt;&lt;wsp:rsid wsp:val=&quot;583F79EB&quot;/&gt;&lt;wsp:rsid wsp:val=&quot;5842572D&quot;/&gt;&lt;wsp:rsid wsp:val=&quot;584274DB&quot;/&gt;&lt;wsp:rsid wsp:val=&quot;58443253&quot;/&gt;&lt;wsp:rsid wsp:val=&quot;58466FCB&quot;/&gt;&lt;wsp:rsid wsp:val=&quot;58476637&quot;/&gt;&lt;wsp:rsid wsp:val=&quot;58484328&quot;/&gt;&lt;wsp:rsid wsp:val=&quot;58487836&quot;/&gt;&lt;wsp:rsid wsp:val=&quot;58496ABB&quot;/&gt;&lt;wsp:rsid wsp:val=&quot;584B2834&quot;/&gt;&lt;wsp:rsid wsp:val=&quot;584C2108&quot;/&gt;&lt;wsp:rsid wsp:val=&quot;58507E4A&quot;/&gt;&lt;wsp:rsid wsp:val=&quot;5851771E&quot;/&gt;&lt;wsp:rsid wsp:val=&quot;585316E8&quot;/&gt;&lt;wsp:rsid wsp:val=&quot;58550FBC&quot;/&gt;&lt;wsp:rsid wsp:val=&quot;5855720E&quot;/&gt;&lt;wsp:rsid wsp:val=&quot;5856065B&quot;/&gt;&lt;wsp:rsid wsp:val=&quot;58561460&quot;/&gt;&lt;wsp:rsid wsp:val=&quot;58584F50&quot;/&gt;&lt;wsp:rsid wsp:val=&quot;58586CFE&quot;/&gt;&lt;wsp:rsid wsp:val=&quot;585969EE&quot;/&gt;&lt;wsp:rsid wsp:val=&quot;585A4D2D&quot;/&gt;&lt;wsp:rsid wsp:val=&quot;585A65D3&quot;/&gt;&lt;wsp:rsid wsp:val=&quot;585A6730&quot;/&gt;&lt;wsp:rsid wsp:val=&quot;585A7E7E&quot;/&gt;&lt;wsp:rsid wsp:val=&quot;585B059D&quot;/&gt;&lt;wsp:rsid wsp:val=&quot;585D2567&quot;/&gt;&lt;wsp:rsid wsp:val=&quot;585D4315&quot;/&gt;&lt;wsp:rsid wsp:val=&quot;585D50BE&quot;/&gt;&lt;wsp:rsid wsp:val=&quot;585E7C8F&quot;/&gt;&lt;wsp:rsid wsp:val=&quot;58615BB3&quot;/&gt;&lt;wsp:rsid wsp:val=&quot;5862192B&quot;/&gt;&lt;wsp:rsid wsp:val=&quot;58627B7D&quot;/&gt;&lt;wsp:rsid wsp:val=&quot;58632671&quot;/&gt;&lt;wsp:rsid wsp:val=&quot;58637281&quot;/&gt;&lt;wsp:rsid wsp:val=&quot;58653994&quot;/&gt;&lt;wsp:rsid wsp:val=&quot;5866141B&quot;/&gt;&lt;wsp:rsid wsp:val=&quot;5866766D&quot;/&gt;&lt;wsp:rsid wsp:val=&quot;58675193&quot;/&gt;&lt;wsp:rsid wsp:val=&quot;58676F42&quot;/&gt;&lt;wsp:rsid wsp:val=&quot;58681E74&quot;/&gt;&lt;wsp:rsid wsp:val=&quot;58694A68&quot;/&gt;&lt;wsp:rsid wsp:val=&quot;586B07E0&quot;/&gt;&lt;wsp:rsid wsp:val=&quot;586B76C2&quot;/&gt;&lt;wsp:rsid wsp:val=&quot;586C6306&quot;/&gt;&lt;wsp:rsid wsp:val=&quot;586E207E&quot;/&gt;&lt;wsp:rsid wsp:val=&quot;58704048&quot;/&gt;&lt;wsp:rsid wsp:val=&quot;58716105&quot;/&gt;&lt;wsp:rsid wsp:val=&quot;58733B38&quot;/&gt;&lt;wsp:rsid wsp:val=&quot;58773629&quot;/&gt;&lt;wsp:rsid wsp:val=&quot;587753D7&quot;/&gt;&lt;wsp:rsid wsp:val=&quot;58781CC6&quot;/&gt;&lt;wsp:rsid wsp:val=&quot;58782EFD&quot;/&gt;&lt;wsp:rsid wsp:val=&quot;58791FDE&quot;/&gt;&lt;wsp:rsid wsp:val=&quot;587949A8&quot;/&gt;&lt;wsp:rsid wsp:val=&quot;587A116F&quot;/&gt;&lt;wsp:rsid wsp:val=&quot;587A4EC7&quot;/&gt;&lt;wsp:rsid wsp:val=&quot;587C0C3F&quot;/&gt;&lt;wsp:rsid wsp:val=&quot;587C29ED&quot;/&gt;&lt;wsp:rsid wsp:val=&quot;587C3671&quot;/&gt;&lt;wsp:rsid wsp:val=&quot;587E5B38&quot;/&gt;&lt;wsp:rsid wsp:val=&quot;587F0709&quot;/&gt;&lt;wsp:rsid wsp:val=&quot;587F072F&quot;/&gt;&lt;wsp:rsid wsp:val=&quot;58825B29&quot;/&gt;&lt;wsp:rsid wsp:val=&quot;588418A2&quot;/&gt;&lt;wsp:rsid wsp:val=&quot;58847AF3&quot;/&gt;&lt;wsp:rsid wsp:val=&quot;58856367&quot;/&gt;&lt;wsp:rsid wsp:val=&quot;588743D1&quot;/&gt;&lt;wsp:rsid wsp:val=&quot;5887701A&quot;/&gt;&lt;wsp:rsid wsp:val=&quot;5889510A&quot;/&gt;&lt;wsp:rsid wsp:val=&quot;588B0E82&quot;/&gt;&lt;wsp:rsid wsp:val=&quot;588C013C&quot;/&gt;&lt;wsp:rsid wsp:val=&quot;588E7DA0&quot;/&gt;&lt;wsp:rsid wsp:val=&quot;58913FBE&quot;/&gt;&lt;wsp:rsid wsp:val=&quot;58920462&quot;/&gt;&lt;wsp:rsid wsp:val=&quot;58931AE5&quot;/&gt;&lt;wsp:rsid wsp:val=&quot;58935F89&quot;/&gt;&lt;wsp:rsid wsp:val=&quot;58960B14&quot;/&gt;&lt;wsp:rsid wsp:val=&quot;58975A79&quot;/&gt;&lt;wsp:rsid wsp:val=&quot;5898534D&quot;/&gt;&lt;wsp:rsid wsp:val=&quot;589A2E73&quot;/&gt;&lt;wsp:rsid wsp:val=&quot;589D0BB5&quot;/&gt;&lt;wsp:rsid wsp:val=&quot;589D2963&quot;/&gt;&lt;wsp:rsid wsp:val=&quot;589F0489&quot;/&gt;&lt;wsp:rsid wsp:val=&quot;589F66DB&quot;/&gt;&lt;wsp:rsid wsp:val=&quot;58A02613&quot;/&gt;&lt;wsp:rsid wsp:val=&quot;58A12453&quot;/&gt;&lt;wsp:rsid wsp:val=&quot;58A261CC&quot;/&gt;&lt;wsp:rsid wsp:val=&quot;58A43CF2&quot;/&gt;&lt;wsp:rsid wsp:val=&quot;58A67A6A&quot;/&gt;&lt;wsp:rsid wsp:val=&quot;58A91308&quot;/&gt;&lt;wsp:rsid wsp:val=&quot;58AD0DF8&quot;/&gt;&lt;wsp:rsid wsp:val=&quot;58AD136C&quot;/&gt;&lt;wsp:rsid wsp:val=&quot;58AD786A&quot;/&gt;&lt;wsp:rsid wsp:val=&quot;58AE4B70&quot;/&gt;&lt;wsp:rsid wsp:val=&quot;58AE691E&quot;/&gt;&lt;wsp:rsid wsp:val=&quot;58AF77DD&quot;/&gt;&lt;wsp:rsid wsp:val=&quot;58B008E9&quot;/&gt;&lt;wsp:rsid wsp:val=&quot;58B06B3A&quot;/&gt;&lt;wsp:rsid wsp:val=&quot;58B313F3&quot;/&gt;&lt;wsp:rsid wsp:val=&quot;58B33CCF&quot;/&gt;&lt;wsp:rsid wsp:val=&quot;58B33F35&quot;/&gt;&lt;wsp:rsid wsp:val=&quot;58B41D6C&quot;/&gt;&lt;wsp:rsid wsp:val=&quot;58B54151&quot;/&gt;&lt;wsp:rsid wsp:val=&quot;58B55EFF&quot;/&gt;&lt;wsp:rsid wsp:val=&quot;58B731C9&quot;/&gt;&lt;wsp:rsid wsp:val=&quot;58B77EC9&quot;/&gt;&lt;wsp:rsid wsp:val=&quot;58B8154B&quot;/&gt;&lt;wsp:rsid wsp:val=&quot;58BA52C3&quot;/&gt;&lt;wsp:rsid wsp:val=&quot;58BD4DB3&quot;/&gt;&lt;wsp:rsid wsp:val=&quot;58BD4E3B&quot;/&gt;&lt;wsp:rsid wsp:val=&quot;58BF0B2C&quot;/&gt;&lt;wsp:rsid wsp:val=&quot;58BF5B9C&quot;/&gt;&lt;wsp:rsid wsp:val=&quot;58BF6D7E&quot;/&gt;&lt;wsp:rsid wsp:val=&quot;58C3061C&quot;/&gt;&lt;wsp:rsid wsp:val=&quot;58C3686E&quot;/&gt;&lt;wsp:rsid wsp:val=&quot;58C57CDC&quot;/&gt;&lt;wsp:rsid wsp:val=&quot;58C6010C&quot;/&gt;&lt;wsp:rsid wsp:val=&quot;58C85C32&quot;/&gt;&lt;wsp:rsid wsp:val=&quot;58C919AA&quot;/&gt;&lt;wsp:rsid wsp:val=&quot;58CB413F&quot;/&gt;&lt;wsp:rsid wsp:val=&quot;58CD3249&quot;/&gt;&lt;wsp:rsid wsp:val=&quot;58CF1137&quot;/&gt;&lt;wsp:rsid wsp:val=&quot;58D20E82&quot;/&gt;&lt;wsp:rsid wsp:val=&quot;58D228D1&quot;/&gt;&lt;wsp:rsid wsp:val=&quot;58D26AB1&quot;/&gt;&lt;wsp:rsid wsp:val=&quot;58D42829&quot;/&gt;&lt;wsp:rsid wsp:val=&quot;58D75E75&quot;/&gt;&lt;wsp:rsid wsp:val=&quot;58D77C23&quot;/&gt;&lt;wsp:rsid wsp:val=&quot;58D97E3F&quot;/&gt;&lt;wsp:rsid wsp:val=&quot;58DA3BB7&quot;/&gt;&lt;wsp:rsid wsp:val=&quot;58DA5965&quot;/&gt;&lt;wsp:rsid wsp:val=&quot;58DA6644&quot;/&gt;&lt;wsp:rsid wsp:val=&quot;58DA7713&quot;/&gt;&lt;wsp:rsid wsp:val=&quot;58DD4CD1&quot;/&gt;&lt;wsp:rsid wsp:val=&quot;58DE7204&quot;/&gt;&lt;wsp:rsid wsp:val=&quot;58DF1E3B&quot;/&gt;&lt;wsp:rsid wsp:val=&quot;58DF2F7C&quot;/&gt;&lt;wsp:rsid wsp:val=&quot;58DF4D2A&quot;/&gt;&lt;wsp:rsid wsp:val=&quot;58E16365&quot;/&gt;&lt;wsp:rsid wsp:val=&quot;58E3481A&quot;/&gt;&lt;wsp:rsid wsp:val=&quot;58E40592&quot;/&gt;&lt;wsp:rsid wsp:val=&quot;58E467E4&quot;/&gt;&lt;wsp:rsid wsp:val=&quot;58E6255C&quot;/&gt;&lt;wsp:rsid wsp:val=&quot;58E6430A&quot;/&gt;&lt;wsp:rsid wsp:val=&quot;58E660B8&quot;/&gt;&lt;wsp:rsid wsp:val=&quot;58E76756&quot;/&gt;&lt;wsp:rsid wsp:val=&quot;58EB1921&quot;/&gt;&lt;wsp:rsid wsp:val=&quot;58EB36CF&quot;/&gt;&lt;wsp:rsid wsp:val=&quot;58EB7B73&quot;/&gt;&lt;wsp:rsid wsp:val=&quot;58EC1B0F&quot;/&gt;&lt;wsp:rsid wsp:val=&quot;58EC6049&quot;/&gt;&lt;wsp:rsid wsp:val=&quot;58ED74D9&quot;/&gt;&lt;wsp:rsid wsp:val=&quot;58EF3C35&quot;/&gt;&lt;wsp:rsid wsp:val=&quot;58F00CE5&quot;/&gt;&lt;wsp:rsid wsp:val=&quot;58F0569F&quot;/&gt;&lt;wsp:rsid wsp:val=&quot;58F06F37&quot;/&gt;&lt;wsp:rsid wsp:val=&quot;58F307D5&quot;/&gt;&lt;wsp:rsid wsp:val=&quot;58F4190E&quot;/&gt;&lt;wsp:rsid wsp:val=&quot;58F42F66&quot;/&gt;&lt;wsp:rsid wsp:val=&quot;58F46BA2&quot;/&gt;&lt;wsp:rsid wsp:val=&quot;58F5279F&quot;/&gt;&lt;wsp:rsid wsp:val=&quot;58F702C5&quot;/&gt;&lt;wsp:rsid wsp:val=&quot;58F72073&quot;/&gt;&lt;wsp:rsid wsp:val=&quot;58F85DEC&quot;/&gt;&lt;wsp:rsid wsp:val=&quot;58F96265&quot;/&gt;&lt;wsp:rsid wsp:val=&quot;58F971BD&quot;/&gt;&lt;wsp:rsid wsp:val=&quot;58FC3B2E&quot;/&gt;&lt;wsp:rsid wsp:val=&quot;58FD3402&quot;/&gt;&lt;wsp:rsid wsp:val=&quot;58FD417F&quot;/&gt;&lt;wsp:rsid wsp:val=&quot;58FE74CE&quot;/&gt;&lt;wsp:rsid wsp:val=&quot;58FF53CC&quot;/&gt;&lt;wsp:rsid wsp:val=&quot;58FF7619&quot;/&gt;&lt;wsp:rsid wsp:val=&quot;5900361E&quot;/&gt;&lt;wsp:rsid wsp:val=&quot;59011144&quot;/&gt;&lt;wsp:rsid wsp:val=&quot;59012EF2&quot;/&gt;&lt;wsp:rsid wsp:val=&quot;590518BF&quot;/&gt;&lt;wsp:rsid wsp:val=&quot;59080725&quot;/&gt;&lt;wsp:rsid wsp:val=&quot;59091DA7&quot;/&gt;&lt;wsp:rsid wsp:val=&quot;59096ED1&quot;/&gt;&lt;wsp:rsid wsp:val=&quot;590A630B&quot;/&gt;&lt;wsp:rsid wsp:val=&quot;590B3D71&quot;/&gt;&lt;wsp:rsid wsp:val=&quot;590C2A62&quot;/&gt;&lt;wsp:rsid wsp:val=&quot;590E6812&quot;/&gt;&lt;wsp:rsid wsp:val=&quot;590F3861&quot;/&gt;&lt;wsp:rsid wsp:val=&quot;59103135&quot;/&gt;&lt;wsp:rsid wsp:val=&quot;59154BEF&quot;/&gt;&lt;wsp:rsid wsp:val=&quot;591620AE&quot;/&gt;&lt;wsp:rsid wsp:val=&quot;59172716&quot;/&gt;&lt;wsp:rsid wsp:val=&quot;5919023C&quot;/&gt;&lt;wsp:rsid wsp:val=&quot;591B0458&quot;/&gt;&lt;wsp:rsid wsp:val=&quot;591E5852&quot;/&gt;&lt;wsp:rsid wsp:val=&quot;591F1B00&quot;/&gt;&lt;wsp:rsid wsp:val=&quot;59215342&quot;/&gt;&lt;wsp:rsid wsp:val=&quot;5923730C&quot;/&gt;&lt;wsp:rsid wsp:val=&quot;59246BE1&quot;/&gt;&lt;wsp:rsid wsp:val=&quot;59260BAB&quot;/&gt;&lt;wsp:rsid wsp:val=&quot;59282B75&quot;/&gt;&lt;wsp:rsid wsp:val=&quot;59284CA9&quot;/&gt;&lt;wsp:rsid wsp:val=&quot;592A2449&quot;/&gt;&lt;wsp:rsid wsp:val=&quot;592B61C1&quot;/&gt;&lt;wsp:rsid wsp:val=&quot;592D3CE7&quot;/&gt;&lt;wsp:rsid wsp:val=&quot;592E180D&quot;/&gt;&lt;wsp:rsid wsp:val=&quot;592E7BFA&quot;/&gt;&lt;wsp:rsid wsp:val=&quot;592F728C&quot;/&gt;&lt;wsp:rsid wsp:val=&quot;59301A29&quot;/&gt;&lt;wsp:rsid wsp:val=&quot;593162FA&quot;/&gt;&lt;wsp:rsid wsp:val=&quot;593212FE&quot;/&gt;&lt;wsp:rsid wsp:val=&quot;5932754F&quot;/&gt;&lt;wsp:rsid wsp:val=&quot;59345076&quot;/&gt;&lt;wsp:rsid wsp:val=&quot;59352B9C&quot;/&gt;&lt;wsp:rsid wsp:val=&quot;59374B66&quot;/&gt;&lt;wsp:rsid wsp:val=&quot;593A439E&quot;/&gt;&lt;wsp:rsid wsp:val=&quot;593A6404&quot;/&gt;&lt;wsp:rsid wsp:val=&quot;593A768F&quot;/&gt;&lt;wsp:rsid wsp:val=&quot;593B28A8&quot;/&gt;&lt;wsp:rsid wsp:val=&quot;593C03CE&quot;/&gt;&lt;wsp:rsid wsp:val=&quot;593C0B52&quot;/&gt;&lt;wsp:rsid wsp:val=&quot;593C3F2A&quot;/&gt;&lt;wsp:rsid wsp:val=&quot;593C4479&quot;/&gt;&lt;wsp:rsid wsp:val=&quot;593C54D3&quot;/&gt;&lt;wsp:rsid wsp:val=&quot;59405C8C&quot;/&gt;&lt;wsp:rsid wsp:val=&quot;594228A6&quot;/&gt;&lt;wsp:rsid wsp:val=&quot;594352B9&quot;/&gt;&lt;wsp:rsid wsp:val=&quot;59436B91&quot;/&gt;&lt;wsp:rsid wsp:val=&quot;59445A94&quot;/&gt;&lt;wsp:rsid wsp:val=&quot;59452BF2&quot;/&gt;&lt;wsp:rsid wsp:val=&quot;59462FFB&quot;/&gt;&lt;wsp:rsid wsp:val=&quot;59464DA9&quot;/&gt;&lt;wsp:rsid wsp:val=&quot;594700E3&quot;/&gt;&lt;wsp:rsid wsp:val=&quot;59480B21&quot;/&gt;&lt;wsp:rsid wsp:val=&quot;594828CF&quot;/&gt;&lt;wsp:rsid wsp:val=&quot;59492735&quot;/&gt;&lt;wsp:rsid wsp:val=&quot;594B0AC4&quot;/&gt;&lt;wsp:rsid wsp:val=&quot;594C7EF4&quot;/&gt;&lt;wsp:rsid wsp:val=&quot;594D6137&quot;/&gt;&lt;wsp:rsid wsp:val=&quot;594E53E5&quot;/&gt;&lt;wsp:rsid wsp:val=&quot;594F2016&quot;/&gt;&lt;wsp:rsid wsp:val=&quot;594F370E&quot;/&gt;&lt;wsp:rsid wsp:val=&quot;594F3C5E&quot;/&gt;&lt;wsp:rsid wsp:val=&quot;595079D6&quot;/&gt;&lt;wsp:rsid wsp:val=&quot;59513E7A&quot;/&gt;&lt;wsp:rsid wsp:val=&quot;595219A0&quot;/&gt;&lt;wsp:rsid wsp:val=&quot;5954396A&quot;/&gt;&lt;wsp:rsid wsp:val=&quot;59561490&quot;/&gt;&lt;wsp:rsid wsp:val=&quot;59594ADC&quot;/&gt;&lt;wsp:rsid wsp:val=&quot;595B4CF8&quot;/&gt;&lt;wsp:rsid wsp:val=&quot;595E4EDA&quot;/&gt;&lt;wsp:rsid wsp:val=&quot;595E6596&quot;/&gt;&lt;wsp:rsid wsp:val=&quot;59633BAD&quot;/&gt;&lt;wsp:rsid wsp:val=&quot;5963595B&quot;/&gt;&lt;wsp:rsid wsp:val=&quot;59641B83&quot;/&gt;&lt;wsp:rsid wsp:val=&quot;59684D1F&quot;/&gt;&lt;wsp:rsid wsp:val=&quot;596A34DE&quot;/&gt;&lt;wsp:rsid wsp:val=&quot;596C0CB3&quot;/&gt;&lt;wsp:rsid wsp:val=&quot;596F2552&quot;/&gt;&lt;wsp:rsid wsp:val=&quot;5971077F&quot;/&gt;&lt;wsp:rsid wsp:val=&quot;597162CA&quot;/&gt;&lt;wsp:rsid wsp:val=&quot;59722042&quot;/&gt;&lt;wsp:rsid wsp:val=&quot;59725B9E&quot;/&gt;&lt;wsp:rsid wsp:val=&quot;5974452F&quot;/&gt;&lt;wsp:rsid wsp:val=&quot;597467F0&quot;/&gt;&lt;wsp:rsid wsp:val=&quot;5975743C&quot;/&gt;&lt;wsp:rsid wsp:val=&quot;597638E0&quot;/&gt;&lt;wsp:rsid wsp:val=&quot;597731B4&quot;/&gt;&lt;wsp:rsid wsp:val=&quot;597933D0&quot;/&gt;&lt;wsp:rsid wsp:val=&quot;597A3BB3&quot;/&gt;&lt;wsp:rsid wsp:val=&quot;597B2CA5&quot;/&gt;&lt;wsp:rsid wsp:val=&quot;597C6A1D&quot;/&gt;&lt;wsp:rsid wsp:val=&quot;597D0E01&quot;/&gt;&lt;wsp:rsid wsp:val=&quot;597D4C6F&quot;/&gt;&lt;wsp:rsid wsp:val=&quot;597D7FB6&quot;/&gt;&lt;wsp:rsid wsp:val=&quot;597E09E7&quot;/&gt;&lt;wsp:rsid wsp:val=&quot;597E2795&quot;/&gt;&lt;wsp:rsid wsp:val=&quot;59815DE1&quot;/&gt;&lt;wsp:rsid wsp:val=&quot;59851D75&quot;/&gt;&lt;wsp:rsid wsp:val=&quot;598633F7&quot;/&gt;&lt;wsp:rsid wsp:val=&quot;5988716F&quot;/&gt;&lt;wsp:rsid wsp:val=&quot;598962AA&quot;/&gt;&lt;wsp:rsid wsp:val=&quot;598A113A&quot;/&gt;&lt;wsp:rsid wsp:val=&quot;598A550B&quot;/&gt;&lt;wsp:rsid wsp:val=&quot;598B6C60&quot;/&gt;&lt;wsp:rsid wsp:val=&quot;598C4EB2&quot;/&gt;&lt;wsp:rsid wsp:val=&quot;598D0473&quot;/&gt;&lt;wsp:rsid wsp:val=&quot;598F36EC&quot;/&gt;&lt;wsp:rsid wsp:val=&quot;598F6750&quot;/&gt;&lt;wsp:rsid wsp:val=&quot;59904667&quot;/&gt;&lt;wsp:rsid wsp:val=&quot;599124C8&quot;/&gt;&lt;wsp:rsid wsp:val=&quot;59922E34&quot;/&gt;&lt;wsp:rsid wsp:val=&quot;59933B19&quot;/&gt;&lt;wsp:rsid wsp:val=&quot;59934492&quot;/&gt;&lt;wsp:rsid wsp:val=&quot;59943D66&quot;/&gt;&lt;wsp:rsid wsp:val=&quot;5999137D&quot;/&gt;&lt;wsp:rsid wsp:val=&quot;5999312B&quot;/&gt;&lt;wsp:rsid wsp:val=&quot;59995821&quot;/&gt;&lt;wsp:rsid wsp:val=&quot;599E2FD8&quot;/&gt;&lt;wsp:rsid wsp:val=&quot;59A0270B&quot;/&gt;&lt;wsp:rsid wsp:val=&quot;59A10231&quot;/&gt;&lt;wsp:rsid wsp:val=&quot;59A57D21&quot;/&gt;&lt;wsp:rsid wsp:val=&quot;59A631F0&quot;/&gt;&lt;wsp:rsid wsp:val=&quot;59A65848&quot;/&gt;&lt;wsp:rsid wsp:val=&quot;59A73043&quot;/&gt;&lt;wsp:rsid wsp:val=&quot;59A73A9A&quot;/&gt;&lt;wsp:rsid wsp:val=&quot;59A91713&quot;/&gt;&lt;wsp:rsid wsp:val=&quot;59AA17DC&quot;/&gt;&lt;wsp:rsid wsp:val=&quot;59AB6B3D&quot;/&gt;&lt;wsp:rsid wsp:val=&quot;59AC10B0&quot;/&gt;&lt;wsp:rsid wsp:val=&quot;59AC3230&quot;/&gt;&lt;wsp:rsid wsp:val=&quot;59AF0BA0&quot;/&gt;&lt;wsp:rsid wsp:val=&quot;59B144D1&quot;/&gt;&lt;wsp:rsid wsp:val=&quot;59B14918&quot;/&gt;&lt;wsp:rsid wsp:val=&quot;59B241EC&quot;/&gt;&lt;wsp:rsid wsp:val=&quot;59B30690&quot;/&gt;&lt;wsp:rsid wsp:val=&quot;59B461B6&quot;/&gt;&lt;wsp:rsid wsp:val=&quot;59B61F2F&quot;/&gt;&lt;wsp:rsid wsp:val=&quot;59B63CDD&quot;/&gt;&lt;wsp:rsid wsp:val=&quot;59B70343&quot;/&gt;&lt;wsp:rsid wsp:val=&quot;59B91A1F&quot;/&gt;&lt;wsp:rsid wsp:val=&quot;59B9557B&quot;/&gt;&lt;wsp:rsid wsp:val=&quot;59BA5B29&quot;/&gt;&lt;wsp:rsid wsp:val=&quot;59BC0878&quot;/&gt;&lt;wsp:rsid wsp:val=&quot;59BC506B&quot;/&gt;&lt;wsp:rsid wsp:val=&quot;59BD2407&quot;/&gt;&lt;wsp:rsid wsp:val=&quot;59BF7C35&quot;/&gt;&lt;wsp:rsid wsp:val=&quot;59C0439F&quot;/&gt;&lt;wsp:rsid wsp:val=&quot;59C12681&quot;/&gt;&lt;wsp:rsid wsp:val=&quot;59C3464B&quot;/&gt;&lt;wsp:rsid wsp:val=&quot;59C414B7&quot;/&gt;&lt;wsp:rsid wsp:val=&quot;59C77E38&quot;/&gt;&lt;wsp:rsid wsp:val=&quot;59C81C62&quot;/&gt;&lt;wsp:rsid wsp:val=&quot;59CA3C2C&quot;/&gt;&lt;wsp:rsid wsp:val=&quot;59CA7788&quot;/&gt;&lt;wsp:rsid wsp:val=&quot;59CC1752&quot;/&gt;&lt;wsp:rsid wsp:val=&quot;59CD1026&quot;/&gt;&lt;wsp:rsid wsp:val=&quot;59CF1242&quot;/&gt;&lt;wsp:rsid wsp:val=&quot;59CF57B7&quot;/&gt;&lt;wsp:rsid wsp:val=&quot;59D13ABB&quot;/&gt;&lt;wsp:rsid wsp:val=&quot;59D423B5&quot;/&gt;&lt;wsp:rsid wsp:val=&quot;59D625D1&quot;/&gt;&lt;wsp:rsid wsp:val=&quot;59D6612D&quot;/&gt;&lt;wsp:rsid wsp:val=&quot;59D979CB&quot;/&gt;&lt;wsp:rsid wsp:val=&quot;59DB3743&quot;/&gt;&lt;wsp:rsid wsp:val=&quot;59DC1F2E&quot;/&gt;&lt;wsp:rsid wsp:val=&quot;59DD74BB&quot;/&gt;&lt;wsp:rsid wsp:val=&quot;59DE1485&quot;/&gt;&lt;wsp:rsid wsp:val=&quot;59DE3B00&quot;/&gt;&lt;wsp:rsid wsp:val=&quot;59E00D5A&quot;/&gt;&lt;wsp:rsid wsp:val=&quot;59E22D24&quot;/&gt;&lt;wsp:rsid wsp:val=&quot;59E25F3A&quot;/&gt;&lt;wsp:rsid wsp:val=&quot;59E30AA1&quot;/&gt;&lt;wsp:rsid wsp:val=&quot;59E31FE6&quot;/&gt;&lt;wsp:rsid wsp:val=&quot;59E52814&quot;/&gt;&lt;wsp:rsid wsp:val=&quot;59E720E8&quot;/&gt;&lt;wsp:rsid wsp:val=&quot;59E85E60&quot;/&gt;&lt;wsp:rsid wsp:val=&quot;59E940B2&quot;/&gt;&lt;wsp:rsid wsp:val=&quot;59EA1BD8&quot;/&gt;&lt;wsp:rsid wsp:val=&quot;59EA6CCF&quot;/&gt;&lt;wsp:rsid wsp:val=&quot;59EA7E2A&quot;/&gt;&lt;wsp:rsid wsp:val=&quot;59EC3BA2&quot;/&gt;&lt;wsp:rsid wsp:val=&quot;59EC3E95&quot;/&gt;&lt;wsp:rsid wsp:val=&quot;59EC76FE&quot;/&gt;&lt;wsp:rsid wsp:val=&quot;59ED3476&quot;/&gt;&lt;wsp:rsid wsp:val=&quot;59EE2013&quot;/&gt;&lt;wsp:rsid wsp:val=&quot;59EF3692&quot;/&gt;&lt;wsp:rsid wsp:val=&quot;59EF5441&quot;/&gt;&lt;wsp:rsid wsp:val=&quot;59EF5DF4&quot;/&gt;&lt;wsp:rsid wsp:val=&quot;59EF71EF&quot;/&gt;&lt;wsp:rsid wsp:val=&quot;59F01C15&quot;/&gt;&lt;wsp:rsid wsp:val=&quot;59F04B44&quot;/&gt;&lt;wsp:rsid wsp:val=&quot;59F14D15&quot;/&gt;&lt;wsp:rsid wsp:val=&quot;59F20A8D&quot;/&gt;&lt;wsp:rsid wsp:val=&quot;59F6057D&quot;/&gt;&lt;wsp:rsid wsp:val=&quot;59F667CF&quot;/&gt;&lt;wsp:rsid wsp:val=&quot;59FB2037&quot;/&gt;&lt;wsp:rsid wsp:val=&quot;59FB5B93&quot;/&gt;&lt;wsp:rsid wsp:val=&quot;59FD3560&quot;/&gt;&lt;wsp:rsid wsp:val=&quot;59FE5684&quot;/&gt;&lt;wsp:rsid wsp:val=&quot;5A007FC9&quot;/&gt;&lt;wsp:rsid wsp:val=&quot;5A0233C6&quot;/&gt;&lt;wsp:rsid wsp:val=&quot;5A025174&quot;/&gt;&lt;wsp:rsid wsp:val=&quot;5A040EEC&quot;/&gt;&lt;wsp:rsid wsp:val=&quot;5A04713E&quot;/&gt;&lt;wsp:rsid wsp:val=&quot;5A0507C0&quot;/&gt;&lt;wsp:rsid wsp:val=&quot;5A074538&quot;/&gt;&lt;wsp:rsid wsp:val=&quot;5A0802B0&quot;/&gt;&lt;wsp:rsid wsp:val=&quot;5A0A227A&quot;/&gt;&lt;wsp:rsid wsp:val=&quot;5A0A4028&quot;/&gt;&lt;wsp:rsid wsp:val=&quot;5A0A5DD6&quot;/&gt;&lt;wsp:rsid wsp:val=&quot;5A0B48A1&quot;/&gt;&lt;wsp:rsid wsp:val=&quot;5A0C1B4F&quot;/&gt;&lt;wsp:rsid wsp:val=&quot;5A0C7DA1&quot;/&gt;&lt;wsp:rsid wsp:val=&quot;5A0D79FC&quot;/&gt;&lt;wsp:rsid wsp:val=&quot;5A0E25CD&quot;/&gt;&lt;wsp:rsid wsp:val=&quot;5A0F163F&quot;/&gt;&lt;wsp:rsid wsp:val=&quot;5A0F7891&quot;/&gt;&lt;wsp:rsid wsp:val=&quot;5A105AE3&quot;/&gt;&lt;wsp:rsid wsp:val=&quot;5A150D5F&quot;/&gt;&lt;wsp:rsid wsp:val=&quot;5A1530F9&quot;/&gt;&lt;wsp:rsid wsp:val=&quot;5A1629CD&quot;/&gt;&lt;wsp:rsid wsp:val=&quot;5A166E71&quot;/&gt;&lt;wsp:rsid wsp:val=&quot;5A17353D&quot;/&gt;&lt;wsp:rsid wsp:val=&quot;5A1D0200&quot;/&gt;&lt;wsp:rsid wsp:val=&quot;5A1D0C32&quot;/&gt;&lt;wsp:rsid wsp:val=&quot;5A1D3E97&quot;/&gt;&lt;wsp:rsid wsp:val=&quot;5A1D5B0A&quot;/&gt;&lt;wsp:rsid wsp:val=&quot;5A1E5F89&quot;/&gt;&lt;wsp:rsid wsp:val=&quot;5A225816&quot;/&gt;&lt;wsp:rsid wsp:val=&quot;5A2275C4&quot;/&gt;&lt;wsp:rsid wsp:val=&quot;5A2450EA&quot;/&gt;&lt;wsp:rsid wsp:val=&quot;5A272E2C&quot;/&gt;&lt;wsp:rsid wsp:val=&quot;5A274BDA&quot;/&gt;&lt;wsp:rsid wsp:val=&quot;5A292701&quot;/&gt;&lt;wsp:rsid wsp:val=&quot;5A2A6479&quot;/&gt;&lt;wsp:rsid wsp:val=&quot;5A2C11B4&quot;/&gt;&lt;wsp:rsid wsp:val=&quot;5A2C3F9F&quot;/&gt;&lt;wsp:rsid wsp:val=&quot;5A2E0476&quot;/&gt;&lt;wsp:rsid wsp:val=&quot;5A2E2FAF&quot;/&gt;&lt;wsp:rsid wsp:val=&quot;5A2E3047&quot;/&gt;&lt;wsp:rsid wsp:val=&quot;5A2F1CE1&quot;/&gt;&lt;wsp:rsid wsp:val=&quot;5A30337A&quot;/&gt;&lt;wsp:rsid wsp:val=&quot;5A307F33&quot;/&gt;&lt;wsp:rsid wsp:val=&quot;5A3115B5&quot;/&gt;&lt;wsp:rsid wsp:val=&quot;5A315A59&quot;/&gt;&lt;wsp:rsid wsp:val=&quot;5A362E88&quot;/&gt;&lt;wsp:rsid wsp:val=&quot;5A366BCB&quot;/&gt;&lt;wsp:rsid wsp:val=&quot;5A382944&quot;/&gt;&lt;wsp:rsid wsp:val=&quot;5A3840F9&quot;/&gt;&lt;wsp:rsid wsp:val=&quot;5A385205&quot;/&gt;&lt;wsp:rsid wsp:val=&quot;5A3966BC&quot;/&gt;&lt;wsp:rsid wsp:val=&quot;5A396D82&quot;/&gt;&lt;wsp:rsid wsp:val=&quot;5A3A2B60&quot;/&gt;&lt;wsp:rsid wsp:val=&quot;5A3A490E&quot;/&gt;&lt;wsp:rsid wsp:val=&quot;5A3B0686&quot;/&gt;&lt;wsp:rsid wsp:val=&quot;5A3D43FE&quot;/&gt;&lt;wsp:rsid wsp:val=&quot;5A3F0176&quot;/&gt;&lt;wsp:rsid wsp:val=&quot;5A3F1F24&quot;/&gt;&lt;wsp:rsid wsp:val=&quot;5A407A4A&quot;/&gt;&lt;wsp:rsid wsp:val=&quot;5A41632E&quot;/&gt;&lt;wsp:rsid wsp:val=&quot;5A4232B6&quot;/&gt;&lt;wsp:rsid wsp:val=&quot;5A4237C2&quot;/&gt;&lt;wsp:rsid wsp:val=&quot;5A44753A&quot;/&gt;&lt;wsp:rsid wsp:val=&quot;5A4532B2&quot;/&gt;&lt;wsp:rsid wsp:val=&quot;5A461504&quot;/&gt;&lt;wsp:rsid wsp:val=&quot;5A47702B&quot;/&gt;&lt;wsp:rsid wsp:val=&quot;5A4B6B1B&quot;/&gt;&lt;wsp:rsid wsp:val=&quot;5A4C3186&quot;/&gt;&lt;wsp:rsid wsp:val=&quot;5A4E03B9&quot;/&gt;&lt;wsp:rsid wsp:val=&quot;5A4E660B&quot;/&gt;&lt;wsp:rsid wsp:val=&quot;5A4F5EDF&quot;/&gt;&lt;wsp:rsid wsp:val=&quot;5A513A05&quot;/&gt;&lt;wsp:rsid wsp:val=&quot;5A5A0B0C&quot;/&gt;&lt;wsp:rsid wsp:val=&quot;5A5A76B3&quot;/&gt;&lt;wsp:rsid wsp:val=&quot;5A5B2AD6&quot;/&gt;&lt;wsp:rsid wsp:val=&quot;5A5D684E&quot;/&gt;&lt;wsp:rsid wsp:val=&quot;5A5F1E75&quot;/&gt;&lt;wsp:rsid wsp:val=&quot;5A5F25C6&quot;/&gt;&lt;wsp:rsid wsp:val=&quot;5A5F770D&quot;/&gt;&lt;wsp:rsid wsp:val=&quot;5A601E9A&quot;/&gt;&lt;wsp:rsid wsp:val=&quot;5A614795&quot;/&gt;&lt;wsp:rsid wsp:val=&quot;5A6279C1&quot;/&gt;&lt;wsp:rsid wsp:val=&quot;5A6307F6&quot;/&gt;&lt;wsp:rsid wsp:val=&quot;5A643739&quot;/&gt;&lt;wsp:rsid wsp:val=&quot;5A644677&quot;/&gt;&lt;wsp:rsid wsp:val=&quot;5A647BDD&quot;/&gt;&lt;wsp:rsid wsp:val=&quot;5A655703&quot;/&gt;&lt;wsp:rsid wsp:val=&quot;5A6574B1&quot;/&gt;&lt;wsp:rsid wsp:val=&quot;5A6776CD&quot;/&gt;&lt;wsp:rsid wsp:val=&quot;5A6951F3&quot;/&gt;&lt;wsp:rsid wsp:val=&quot;5A696FA1&quot;/&gt;&lt;wsp:rsid wsp:val=&quot;5A6A3F7A&quot;/&gt;&lt;wsp:rsid wsp:val=&quot;5A6C083F&quot;/&gt;&lt;wsp:rsid wsp:val=&quot;5A6C691B&quot;/&gt;&lt;wsp:rsid wsp:val=&quot;5A6E0A5B&quot;/&gt;&lt;wsp:rsid wsp:val=&quot;5A70032F&quot;/&gt;&lt;wsp:rsid wsp:val=&quot;5A7122F9&quot;/&gt;&lt;wsp:rsid wsp:val=&quot;5A71428A&quot;/&gt;&lt;wsp:rsid wsp:val=&quot;5A736072&quot;/&gt;&lt;wsp:rsid wsp:val=&quot;5A7661FB&quot;/&gt;&lt;wsp:rsid wsp:val=&quot;5A767910&quot;/&gt;&lt;wsp:rsid wsp:val=&quot;5A785436&quot;/&gt;&lt;wsp:rsid wsp:val=&quot;5A7A7400&quot;/&gt;&lt;wsp:rsid wsp:val=&quot;5A7B0A82&quot;/&gt;&lt;wsp:rsid wsp:val=&quot;5A7B6CD4&quot;/&gt;&lt;wsp:rsid wsp:val=&quot;5A7C35E5&quot;/&gt;&lt;wsp:rsid wsp:val=&quot;5A7D1AFD&quot;/&gt;&lt;wsp:rsid wsp:val=&quot;5A7D47FA&quot;/&gt;&lt;wsp:rsid wsp:val=&quot;5A8111AE&quot;/&gt;&lt;wsp:rsid wsp:val=&quot;5A820063&quot;/&gt;&lt;wsp:rsid wsp:val=&quot;5A843DDB&quot;/&gt;&lt;wsp:rsid wsp:val=&quot;5A845B89&quot;/&gt;&lt;wsp:rsid wsp:val=&quot;5A851901&quot;/&gt;&lt;wsp:rsid wsp:val=&quot;5A867B53&quot;/&gt;&lt;wsp:rsid wsp:val=&quot;5A881081&quot;/&gt;&lt;wsp:rsid wsp:val=&quot;5A8913F1&quot;/&gt;&lt;wsp:rsid wsp:val=&quot;5A8B33BB&quot;/&gt;&lt;wsp:rsid wsp:val=&quot;5A8B4E31&quot;/&gt;&lt;wsp:rsid wsp:val=&quot;5A8C0EE1&quot;/&gt;&lt;wsp:rsid wsp:val=&quot;5A8D7133&quot;/&gt;&lt;wsp:rsid wsp:val=&quot;5A8E4C59&quot;/&gt;&lt;wsp:rsid wsp:val=&quot;5A8E4EF3&quot;/&gt;&lt;wsp:rsid wsp:val=&quot;5A8F55FB&quot;/&gt;&lt;wsp:rsid wsp:val=&quot;5A902780&quot;/&gt;&lt;wsp:rsid wsp:val=&quot;5A905A12&quot;/&gt;&lt;wsp:rsid wsp:val=&quot;5A910CA3&quot;/&gt;&lt;wsp:rsid wsp:val=&quot;5A932270&quot;/&gt;&lt;wsp:rsid wsp:val=&quot;5A93401E&quot;/&gt;&lt;wsp:rsid wsp:val=&quot;5A9421F5&quot;/&gt;&lt;wsp:rsid wsp:val=&quot;5A957D96&quot;/&gt;&lt;wsp:rsid wsp:val=&quot;5A963B0E&quot;/&gt;&lt;wsp:rsid wsp:val=&quot;5A96705E&quot;/&gt;&lt;wsp:rsid wsp:val=&quot;5A9D018C&quot;/&gt;&lt;wsp:rsid wsp:val=&quot;5A9D30EE&quot;/&gt;&lt;wsp:rsid wsp:val=&quot;5A9D6C4B&quot;/&gt;&lt;wsp:rsid wsp:val=&quot;5A9F6E67&quot;/&gt;&lt;wsp:rsid wsp:val=&quot;5AA150A9&quot;/&gt;&lt;wsp:rsid wsp:val=&quot;5AA1673B&quot;/&gt;&lt;wsp:rsid wsp:val=&quot;5AA20705&quot;/&gt;&lt;wsp:rsid wsp:val=&quot;5AA247F9&quot;/&gt;&lt;wsp:rsid wsp:val=&quot;5AA35C89&quot;/&gt;&lt;wsp:rsid wsp:val=&quot;5AA75D1B&quot;/&gt;&lt;wsp:rsid wsp:val=&quot;5AA77AC9&quot;/&gt;&lt;wsp:rsid wsp:val=&quot;5AA91A93&quot;/&gt;&lt;wsp:rsid wsp:val=&quot;5AA93841&quot;/&gt;&lt;wsp:rsid wsp:val=&quot;5AA955EF&quot;/&gt;&lt;wsp:rsid wsp:val=&quot;5AAB75B9&quot;/&gt;&lt;wsp:rsid wsp:val=&quot;5AAC50E0&quot;/&gt;&lt;wsp:rsid wsp:val=&quot;5AAD1584&quot;/&gt;&lt;wsp:rsid wsp:val=&quot;5AAE0E58&quot;/&gt;&lt;wsp:rsid wsp:val=&quot;5AB02E22&quot;/&gt;&lt;wsp:rsid wsp:val=&quot;5AB0697E&quot;/&gt;&lt;wsp:rsid wsp:val=&quot;5AB126F6&quot;/&gt;&lt;wsp:rsid wsp:val=&quot;5AB26B9A&quot;/&gt;&lt;wsp:rsid wsp:val=&quot;5AB3021C&quot;/&gt;&lt;wsp:rsid wsp:val=&quot;5AB50438&quot;/&gt;&lt;wsp:rsid wsp:val=&quot;5AB62A7A&quot;/&gt;&lt;wsp:rsid wsp:val=&quot;5AB650D6&quot;/&gt;&lt;wsp:rsid wsp:val=&quot;5ABA3CA0&quot;/&gt;&lt;wsp:rsid wsp:val=&quot;5ABA3F0F&quot;/&gt;&lt;wsp:rsid wsp:val=&quot;5ABA5A4E&quot;/&gt;&lt;wsp:rsid wsp:val=&quot;5ABA77FD&quot;/&gt;&lt;wsp:rsid wsp:val=&quot;5ABB5323&quot;/&gt;&lt;wsp:rsid wsp:val=&quot;5ABD109B&quot;/&gt;&lt;wsp:rsid wsp:val=&quot;5ABD72ED&quot;/&gt;&lt;wsp:rsid wsp:val=&quot;5ABE2233&quot;/&gt;&lt;wsp:rsid wsp:val=&quot;5ABF316C&quot;/&gt;&lt;wsp:rsid wsp:val=&quot;5ABF408D&quot;/&gt;&lt;wsp:rsid wsp:val=&quot;5AC104C5&quot;/&gt;&lt;wsp:rsid wsp:val=&quot;5AC15DCF&quot;/&gt;&lt;wsp:rsid wsp:val=&quot;5AC23B1A&quot;/&gt;&lt;wsp:rsid wsp:val=&quot;5AC97A40&quot;/&gt;&lt;wsp:rsid wsp:val=&quot;5ACB1A0A&quot;/&gt;&lt;wsp:rsid wsp:val=&quot;5ACB37B8&quot;/&gt;&lt;wsp:rsid wsp:val=&quot;5ACD5782&quot;/&gt;&lt;wsp:rsid wsp:val=&quot;5ACD7F2B&quot;/&gt;&lt;wsp:rsid wsp:val=&quot;5ACE14FA&quot;/&gt;&lt;wsp:rsid wsp:val=&quot;5ACE32A8&quot;/&gt;&lt;wsp:rsid wsp:val=&quot;5AD50B17&quot;/&gt;&lt;wsp:rsid wsp:val=&quot;5AD557D9&quot;/&gt;&lt;wsp:rsid wsp:val=&quot;5AD703AE&quot;/&gt;&lt;wsp:rsid wsp:val=&quot;5AD73A98&quot;/&gt;&lt;wsp:rsid wsp:val=&quot;5AD92379&quot;/&gt;&lt;wsp:rsid wsp:val=&quot;5ADA34F9&quot;/&gt;&lt;wsp:rsid wsp:val=&quot;5ADC3C17&quot;/&gt;&lt;wsp:rsid wsp:val=&quot;5ADC59C5&quot;/&gt;&lt;wsp:rsid wsp:val=&quot;5ADD34EB&quot;/&gt;&lt;wsp:rsid wsp:val=&quot;5ADF1011&quot;/&gt;&lt;wsp:rsid wsp:val=&quot;5ADF54B5&quot;/&gt;&lt;wsp:rsid wsp:val=&quot;5ADF7263&quot;/&gt;&lt;wsp:rsid wsp:val=&quot;5AE40D1D&quot;/&gt;&lt;wsp:rsid wsp:val=&quot;5AE42ACB&quot;/&gt;&lt;wsp:rsid wsp:val=&quot;5AE435F6&quot;/&gt;&lt;wsp:rsid wsp:val=&quot;5AE44879&quot;/&gt;&lt;wsp:rsid wsp:val=&quot;5AE62E65&quot;/&gt;&lt;wsp:rsid wsp:val=&quot;5AE66844&quot;/&gt;&lt;wsp:rsid wsp:val=&quot;5AE71390&quot;/&gt;&lt;wsp:rsid wsp:val=&quot;5AE74E31&quot;/&gt;&lt;wsp:rsid wsp:val=&quot;5AE76118&quot;/&gt;&lt;wsp:rsid wsp:val=&quot;5AE825BC&quot;/&gt;&lt;wsp:rsid wsp:val=&quot;5AE85AFD&quot;/&gt;&lt;wsp:rsid wsp:val=&quot;5AE91E90&quot;/&gt;&lt;wsp:rsid wsp:val=&quot;5AEC2D3D&quot;/&gt;&lt;wsp:rsid wsp:val=&quot;5AED1980&quot;/&gt;&lt;wsp:rsid wsp:val=&quot;5AEE56F8&quot;/&gt;&lt;wsp:rsid wsp:val=&quot;5AEF0AF8&quot;/&gt;&lt;wsp:rsid wsp:val=&quot;5AF34ABD&quot;/&gt;&lt;wsp:rsid wsp:val=&quot;5AF820D3&quot;/&gt;&lt;wsp:rsid wsp:val=&quot;5AFC5403&quot;/&gt;&lt;wsp:rsid wsp:val=&quot;5AFF16B3&quot;/&gt;&lt;wsp:rsid wsp:val=&quot;5AFF3461&quot;/&gt;&lt;wsp:rsid wsp:val=&quot;5B04316E&quot;/&gt;&lt;wsp:rsid wsp:val=&quot;5B062A42&quot;/&gt;&lt;wsp:rsid wsp:val=&quot;5B0647F0&quot;/&gt;&lt;wsp:rsid wsp:val=&quot;5B070DD5&quot;/&gt;&lt;wsp:rsid wsp:val=&quot;5B072DD0&quot;/&gt;&lt;wsp:rsid wsp:val=&quot;5B0818FB&quot;/&gt;&lt;wsp:rsid wsp:val=&quot;5B0867BA&quot;/&gt;&lt;wsp:rsid wsp:val=&quot;5B092532&quot;/&gt;&lt;wsp:rsid wsp:val=&quot;5B0942E0&quot;/&gt;&lt;wsp:rsid wsp:val=&quot;5B0A0784&quot;/&gt;&lt;wsp:rsid wsp:val=&quot;5B0E5A07&quot;/&gt;&lt;wsp:rsid wsp:val=&quot;5B1038C0&quot;/&gt;&lt;wsp:rsid wsp:val=&quot;5B123195&quot;/&gt;&lt;wsp:rsid wsp:val=&quot;5B12588A&quot;/&gt;&lt;wsp:rsid wsp:val=&quot;5B127639&quot;/&gt;&lt;wsp:rsid wsp:val=&quot;5B184523&quot;/&gt;&lt;wsp:rsid wsp:val=&quot;5B1909C7&quot;/&gt;&lt;wsp:rsid wsp:val=&quot;5B1A473F&quot;/&gt;&lt;wsp:rsid wsp:val=&quot;5B1A64ED&quot;/&gt;&lt;wsp:rsid wsp:val=&quot;5B1C06DB&quot;/&gt;&lt;wsp:rsid wsp:val=&quot;5B1C7924&quot;/&gt;&lt;wsp:rsid wsp:val=&quot;5B1E422F&quot;/&gt;&lt;wsp:rsid wsp:val=&quot;5B1F0772&quot;/&gt;&lt;wsp:rsid wsp:val=&quot;5B21454D&quot;/&gt;&lt;wsp:rsid wsp:val=&quot;5B215ACE&quot;/&gt;&lt;wsp:rsid wsp:val=&quot;5B264E92&quot;/&gt;&lt;wsp:rsid wsp:val=&quot;5B280C0A&quot;/&gt;&lt;wsp:rsid wsp:val=&quot;5B293D6B&quot;/&gt;&lt;wsp:rsid wsp:val=&quot;5B294982&quot;/&gt;&lt;wsp:rsid wsp:val=&quot;5B296730&quot;/&gt;&lt;wsp:rsid wsp:val=&quot;5B2D2AF0&quot;/&gt;&lt;wsp:rsid wsp:val=&quot;5B2D4472&quot;/&gt;&lt;wsp:rsid wsp:val=&quot;5B2D7FCE&quot;/&gt;&lt;wsp:rsid wsp:val=&quot;5B2E68CB&quot;/&gt;&lt;wsp:rsid wsp:val=&quot;5B3255E5&quot;/&gt;&lt;wsp:rsid wsp:val=&quot;5B345801&quot;/&gt;&lt;wsp:rsid wsp:val=&quot;5B370E4D&quot;/&gt;&lt;wsp:rsid wsp:val=&quot;5B372BFB&quot;/&gt;&lt;wsp:rsid wsp:val=&quot;5B374C33&quot;/&gt;&lt;wsp:rsid wsp:val=&quot;5B386973&quot;/&gt;&lt;wsp:rsid wsp:val=&quot;5B3C2907&quot;/&gt;&lt;wsp:rsid wsp:val=&quot;5B3C41A8&quot;/&gt;&lt;wsp:rsid wsp:val=&quot;5B3E21DC&quot;/&gt;&lt;wsp:rsid wsp:val=&quot;5B3F5F54&quot;/&gt;&lt;wsp:rsid wsp:val=&quot;5B3F7D02&quot;/&gt;&lt;wsp:rsid wsp:val=&quot;5B4041A6&quot;/&gt;&lt;wsp:rsid wsp:val=&quot;5B413A7A&quot;/&gt;&lt;wsp:rsid wsp:val=&quot;5B4223F6&quot;/&gt;&lt;wsp:rsid wsp:val=&quot;5B435A44&quot;/&gt;&lt;wsp:rsid wsp:val=&quot;5B436BBA&quot;/&gt;&lt;wsp:rsid wsp:val=&quot;5B44356A&quot;/&gt;&lt;wsp:rsid wsp:val=&quot;5B445318&quot;/&gt;&lt;wsp:rsid wsp:val=&quot;5B4812AC&quot;/&gt;&lt;wsp:rsid wsp:val=&quot;5B484E08&quot;/&gt;&lt;wsp:rsid wsp:val=&quot;5B490B80&quot;/&gt;&lt;wsp:rsid wsp:val=&quot;5B4B66A7&quot;/&gt;&lt;wsp:rsid wsp:val=&quot;5B4D241F&quot;/&gt;&lt;wsp:rsid wsp:val=&quot;5B557525&quot;/&gt;&lt;wsp:rsid wsp:val=&quot;5B5949C4&quot;/&gt;&lt;wsp:rsid wsp:val=&quot;5B595267&quot;/&gt;&lt;wsp:rsid wsp:val=&quot;5B5A2D8E&quot;/&gt;&lt;wsp:rsid wsp:val=&quot;5B5C4D58&quot;/&gt;&lt;wsp:rsid wsp:val=&quot;5B5F03A4&quot;/&gt;&lt;wsp:rsid wsp:val=&quot;5B6065F6&quot;/&gt;&lt;wsp:rsid wsp:val=&quot;5B61236E&quot;/&gt;&lt;wsp:rsid wsp:val=&quot;5B61411C&quot;/&gt;&lt;wsp:rsid wsp:val=&quot;5B652FF7&quot;/&gt;&lt;wsp:rsid wsp:val=&quot;5B6676B2&quot;/&gt;&lt;wsp:rsid wsp:val=&quot;5B694D7F&quot;/&gt;&lt;wsp:rsid wsp:val=&quot;5B6A1223&quot;/&gt;&lt;wsp:rsid wsp:val=&quot;5B6A2D43&quot;/&gt;&lt;wsp:rsid wsp:val=&quot;5B6B4F9B&quot;/&gt;&lt;wsp:rsid wsp:val=&quot;5B6B6D49&quot;/&gt;&lt;wsp:rsid wsp:val=&quot;5B6D644F&quot;/&gt;&lt;wsp:rsid wsp:val=&quot;5B6D7095&quot;/&gt;&lt;wsp:rsid wsp:val=&quot;5B6F05E7&quot;/&gt;&lt;wsp:rsid wsp:val=&quot;5B7200D7&quot;/&gt;&lt;wsp:rsid wsp:val=&quot;5B726329&quot;/&gt;&lt;wsp:rsid wsp:val=&quot;5B733E67&quot;/&gt;&lt;wsp:rsid wsp:val=&quot;5B735536&quot;/&gt;&lt;wsp:rsid wsp:val=&quot;5B74073A&quot;/&gt;&lt;wsp:rsid wsp:val=&quot;5B743C65&quot;/&gt;&lt;wsp:rsid wsp:val=&quot;5B743E4F&quot;/&gt;&lt;wsp:rsid wsp:val=&quot;5B745BFD&quot;/&gt;&lt;wsp:rsid wsp:val=&quot;5B7A6F8C&quot;/&gt;&lt;wsp:rsid wsp:val=&quot;5B7B1DEA&quot;/&gt;&lt;wsp:rsid wsp:val=&quot;5B7B51DE&quot;/&gt;&lt;wsp:rsid wsp:val=&quot;5B7E5A57&quot;/&gt;&lt;wsp:rsid wsp:val=&quot;5B7F2398&quot;/&gt;&lt;wsp:rsid wsp:val=&quot;5B8147BE&quot;/&gt;&lt;wsp:rsid wsp:val=&quot;5B835E40&quot;/&gt;&lt;wsp:rsid wsp:val=&quot;5B880665&quot;/&gt;&lt;wsp:rsid wsp:val=&quot;5B8862CC&quot;/&gt;&lt;wsp:rsid wsp:val=&quot;5B8B1199&quot;/&gt;&lt;wsp:rsid wsp:val=&quot;5B8C73EB&quot;/&gt;&lt;wsp:rsid wsp:val=&quot;5B8D6CBF&quot;/&gt;&lt;wsp:rsid wsp:val=&quot;5B8F2A37&quot;/&gt;&lt;wsp:rsid wsp:val=&quot;5B904A5E&quot;/&gt;&lt;wsp:rsid wsp:val=&quot;5B914A01&quot;/&gt;&lt;wsp:rsid wsp:val=&quot;5B94004E&quot;/&gt;&lt;wsp:rsid wsp:val=&quot;5B962018&quot;/&gt;&lt;wsp:rsid wsp:val=&quot;5B96750E&quot;/&gt;&lt;wsp:rsid wsp:val=&quot;5B995664&quot;/&gt;&lt;wsp:rsid wsp:val=&quot;5B9A33D5&quot;/&gt;&lt;wsp:rsid wsp:val=&quot;5B9B13DC&quot;/&gt;&lt;wsp:rsid wsp:val=&quot;5B9B5880&quot;/&gt;&lt;wsp:rsid wsp:val=&quot;5B9B762E&quot;/&gt;&lt;wsp:rsid wsp:val=&quot;5B9C33A6&quot;/&gt;&lt;wsp:rsid wsp:val=&quot;5B9C6F02&quot;/&gt;&lt;wsp:rsid wsp:val=&quot;5B9D42BD&quot;/&gt;&lt;wsp:rsid wsp:val=&quot;5B9D6A33&quot;/&gt;&lt;wsp:rsid wsp:val=&quot;5B9D7062&quot;/&gt;&lt;wsp:rsid wsp:val=&quot;5B9E5921&quot;/&gt;&lt;wsp:rsid wsp:val=&quot;5BA04C44&quot;/&gt;&lt;wsp:rsid wsp:val=&quot;5BA069F2&quot;/&gt;&lt;wsp:rsid wsp:val=&quot;5BA504AD&quot;/&gt;&lt;wsp:rsid wsp:val=&quot;5BA72CE5&quot;/&gt;&lt;wsp:rsid wsp:val=&quot;5BA741CE&quot;/&gt;&lt;wsp:rsid wsp:val=&quot;5BA74225&quot;/&gt;&lt;wsp:rsid wsp:val=&quot;5BA81D4B&quot;/&gt;&lt;wsp:rsid wsp:val=&quot;5BA95B6E&quot;/&gt;&lt;wsp:rsid wsp:val=&quot;5BAA161F&quot;/&gt;&lt;wsp:rsid wsp:val=&quot;5BAA5AC3&quot;/&gt;&lt;wsp:rsid wsp:val=&quot;5BAD10FA&quot;/&gt;&lt;wsp:rsid wsp:val=&quot;5BAE7FE7&quot;/&gt;&lt;wsp:rsid wsp:val=&quot;5BAF079E&quot;/&gt;&lt;wsp:rsid wsp:val=&quot;5BAF30D9&quot;/&gt;&lt;wsp:rsid wsp:val=&quot;5BAF4E87&quot;/&gt;&lt;wsp:rsid wsp:val=&quot;5BAF6C35&quot;/&gt;&lt;wsp:rsid wsp:val=&quot;5BB02907&quot;/&gt;&lt;wsp:rsid wsp:val=&quot;5BB029AE&quot;/&gt;&lt;wsp:rsid wsp:val=&quot;5BB13D97&quot;/&gt;&lt;wsp:rsid wsp:val=&quot;5BB22BCA&quot;/&gt;&lt;wsp:rsid wsp:val=&quot;5BB41802&quot;/&gt;&lt;wsp:rsid wsp:val=&quot;5BB4249E&quot;/&gt;&lt;wsp:rsid wsp:val=&quot;5BB57FC4&quot;/&gt;&lt;wsp:rsid wsp:val=&quot;5BB93F58&quot;/&gt;&lt;wsp:rsid wsp:val=&quot;5BBB1A7E&quot;/&gt;&lt;wsp:rsid wsp:val=&quot;5BBD57F6&quot;/&gt;&lt;wsp:rsid wsp:val=&quot;5BC00E43&quot;/&gt;&lt;wsp:rsid wsp:val=&quot;5BC16969&quot;/&gt;&lt;wsp:rsid wsp:val=&quot;5BC22E0D&quot;/&gt;&lt;wsp:rsid wsp:val=&quot;5BC30933&quot;/&gt;&lt;wsp:rsid wsp:val=&quot;5BC340FB&quot;/&gt;&lt;wsp:rsid wsp:val=&quot;5BC36B85&quot;/&gt;&lt;wsp:rsid wsp:val=&quot;5BC459C9&quot;/&gt;&lt;wsp:rsid wsp:val=&quot;5BC528FD&quot;/&gt;&lt;wsp:rsid wsp:val=&quot;5BC56459&quot;/&gt;&lt;wsp:rsid wsp:val=&quot;5BC621D1&quot;/&gt;&lt;wsp:rsid wsp:val=&quot;5BC8419B&quot;/&gt;&lt;wsp:rsid wsp:val=&quot;5BC87CF7&quot;/&gt;&lt;wsp:rsid wsp:val=&quot;5BCA1CC1&quot;/&gt;&lt;wsp:rsid wsp:val=&quot;5BCA7F13&quot;/&gt;&lt;wsp:rsid wsp:val=&quot;5BCC5A39&quot;/&gt;&lt;wsp:rsid wsp:val=&quot;5BCD355F&quot;/&gt;&lt;wsp:rsid wsp:val=&quot;5BCF552A&quot;/&gt;&lt;wsp:rsid wsp:val=&quot;5BCF72D8&quot;/&gt;&lt;wsp:rsid wsp:val=&quot;5BD20B76&quot;/&gt;&lt;wsp:rsid wsp:val=&quot;5BD26DC8&quot;/&gt;&lt;wsp:rsid wsp:val=&quot;5BD3501A&quot;/&gt;&lt;wsp:rsid wsp:val=&quot;5BD40D92&quot;/&gt;&lt;wsp:rsid wsp:val=&quot;5BD946E4&quot;/&gt;&lt;wsp:rsid wsp:val=&quot;5BDB68E4&quot;/&gt;&lt;wsp:rsid wsp:val=&quot;5BDB6ED0&quot;/&gt;&lt;wsp:rsid wsp:val=&quot;5BDC19F5&quot;/&gt;&lt;wsp:rsid wsp:val=&quot;5BDE05F0&quot;/&gt;&lt;wsp:rsid wsp:val=&quot;5BDE39BF&quot;/&gt;&lt;wsp:rsid wsp:val=&quot;5BDE576D&quot;/&gt;&lt;wsp:rsid wsp:val=&quot;5BDE751B&quot;/&gt;&lt;wsp:rsid wsp:val=&quot;5BDE7648&quot;/&gt;&lt;wsp:rsid wsp:val=&quot;5BDF5D95&quot;/&gt;&lt;wsp:rsid wsp:val=&quot;5BE018CB&quot;/&gt;&lt;wsp:rsid wsp:val=&quot;5BE10DB9&quot;/&gt;&lt;wsp:rsid wsp:val=&quot;5BE11735&quot;/&gt;&lt;wsp:rsid wsp:val=&quot;5BE228E5&quot;/&gt;&lt;wsp:rsid wsp:val=&quot;5BE30FD5&quot;/&gt;&lt;wsp:rsid wsp:val=&quot;5BE417F7&quot;/&gt;&lt;wsp:rsid wsp:val=&quot;5BE54D4D&quot;/&gt;&lt;wsp:rsid wsp:val=&quot;5BE82147&quot;/&gt;&lt;wsp:rsid wsp:val=&quot;5BE86A37&quot;/&gt;&lt;wsp:rsid wsp:val=&quot;5BEA3F28&quot;/&gt;&lt;wsp:rsid wsp:val=&quot;5BEA4111&quot;/&gt;&lt;wsp:rsid wsp:val=&quot;5BEC1C38&quot;/&gt;&lt;wsp:rsid wsp:val=&quot;5BED775E&quot;/&gt;&lt;wsp:rsid wsp:val=&quot;5BEE547A&quot;/&gt;&lt;wsp:rsid wsp:val=&quot;5BEF34D6&quot;/&gt;&lt;wsp:rsid wsp:val=&quot;5BF1122A&quot;/&gt;&lt;wsp:rsid wsp:val=&quot;5BF154A0&quot;/&gt;&lt;wsp:rsid wsp:val=&quot;5BF22FC6&quot;/&gt;&lt;wsp:rsid wsp:val=&quot;5BF31218&quot;/&gt;&lt;wsp:rsid wsp:val=&quot;5BF46D3E&quot;/&gt;&lt;wsp:rsid wsp:val=&quot;5BF474D4&quot;/&gt;&lt;wsp:rsid wsp:val=&quot;5BF60D08&quot;/&gt;&lt;wsp:rsid wsp:val=&quot;5BF62AB6&quot;/&gt;&lt;wsp:rsid wsp:val=&quot;5BF75F2D&quot;/&gt;&lt;wsp:rsid wsp:val=&quot;5BF907F8&quot;/&gt;&lt;wsp:rsid wsp:val=&quot;5BFB1E7B&quot;/&gt;&lt;wsp:rsid wsp:val=&quot;5BFC7A7E&quot;/&gt;&lt;wsp:rsid wsp:val=&quot;5BFD239E&quot;/&gt;&lt;wsp:rsid wsp:val=&quot;5BFD3E45&quot;/&gt;&lt;wsp:rsid wsp:val=&quot;5BFE7528&quot;/&gt;&lt;wsp:rsid wsp:val=&quot;5BFF3339&quot;/&gt;&lt;wsp:rsid wsp:val=&quot;5C001B87&quot;/&gt;&lt;wsp:rsid wsp:val=&quot;5C007491&quot;/&gt;&lt;wsp:rsid wsp:val=&quot;5C013209&quot;/&gt;&lt;wsp:rsid wsp:val=&quot;5C036210&quot;/&gt;&lt;wsp:rsid wsp:val=&quot;5C043425&quot;/&gt;&lt;wsp:rsid wsp:val=&quot;5C050F4B&quot;/&gt;&lt;wsp:rsid wsp:val=&quot;5C05719D&quot;/&gt;&lt;wsp:rsid wsp:val=&quot;5C074730&quot;/&gt;&lt;wsp:rsid wsp:val=&quot;5C074B91&quot;/&gt;&lt;wsp:rsid wsp:val=&quot;5C086021&quot;/&gt;&lt;wsp:rsid wsp:val=&quot;5C0A0310&quot;/&gt;&lt;wsp:rsid wsp:val=&quot;5C0A3512&quot;/&gt;&lt;wsp:rsid wsp:val=&quot;5C0A47B4&quot;/&gt;&lt;wsp:rsid wsp:val=&quot;5C0D1BAE&quot;/&gt;&lt;wsp:rsid wsp:val=&quot;5C0D7E00&quot;/&gt;&lt;wsp:rsid wsp:val=&quot;5C0E6052&quot;/&gt;&lt;wsp:rsid wsp:val=&quot;5C121CA4&quot;/&gt;&lt;wsp:rsid wsp:val=&quot;5C1318BA&quot;/&gt;&lt;wsp:rsid wsp:val=&quot;5C131C1F&quot;/&gt;&lt;wsp:rsid wsp:val=&quot;5C137D9F&quot;/&gt;&lt;wsp:rsid wsp:val=&quot;5C142F3C&quot;/&gt;&lt;wsp:rsid wsp:val=&quot;5C163158&quot;/&gt;&lt;wsp:rsid wsp:val=&quot;5C1774FA&quot;/&gt;&lt;wsp:rsid wsp:val=&quot;5C183CFC&quot;/&gt;&lt;wsp:rsid wsp:val=&quot;5C186619&quot;/&gt;&lt;wsp:rsid wsp:val=&quot;5C186FA6&quot;/&gt;&lt;wsp:rsid wsp:val=&quot;5C1A5E4D&quot;/&gt;&lt;wsp:rsid wsp:val=&quot;5C1B251D&quot;/&gt;&lt;wsp:rsid wsp:val=&quot;5C1C5927&quot;/&gt;&lt;wsp:rsid wsp:val=&quot;5C1E5055&quot;/&gt;&lt;wsp:rsid wsp:val=&quot;5C207B33&quot;/&gt;&lt;wsp:rsid wsp:val=&quot;5C2238AB&quot;/&gt;&lt;wsp:rsid wsp:val=&quot;5C25339C&quot;/&gt;&lt;wsp:rsid wsp:val=&quot;5C270EC2&quot;/&gt;&lt;wsp:rsid wsp:val=&quot;5C2A09B2&quot;/&gt;&lt;wsp:rsid wsp:val=&quot;5C2A2760&quot;/&gt;&lt;wsp:rsid wsp:val=&quot;5C2C0286&quot;/&gt;&lt;wsp:rsid wsp:val=&quot;5C2C64D8&quot;/&gt;&lt;wsp:rsid wsp:val=&quot;5C2D3FFE&quot;/&gt;&lt;wsp:rsid wsp:val=&quot;5C2E04A2&quot;/&gt;&lt;wsp:rsid wsp:val=&quot;5C322223&quot;/&gt;&lt;wsp:rsid wsp:val=&quot;5C335AB8&quot;/&gt;&lt;wsp:rsid wsp:val=&quot;5C341831&quot;/&gt;&lt;wsp:rsid wsp:val=&quot;5C361105&quot;/&gt;&lt;wsp:rsid wsp:val=&quot;5C37252E&quot;/&gt;&lt;wsp:rsid wsp:val=&quot;5C381321&quot;/&gt;&lt;wsp:rsid wsp:val=&quot;5C3929A3&quot;/&gt;&lt;wsp:rsid wsp:val=&quot;5C3A5B1E&quot;/&gt;&lt;wsp:rsid wsp:val=&quot;5C3B671B&quot;/&gt;&lt;wsp:rsid wsp:val=&quot;5C3E620B&quot;/&gt;&lt;wsp:rsid wsp:val=&quot;5C3F3891&quot;/&gt;&lt;wsp:rsid wsp:val=&quot;5C3F445D&quot;/&gt;&lt;wsp:rsid wsp:val=&quot;5C410E57&quot;/&gt;&lt;wsp:rsid wsp:val=&quot;5C423F4D&quot;/&gt;&lt;wsp:rsid wsp:val=&quot;5C433822&quot;/&gt;&lt;wsp:rsid wsp:val=&quot;5C441A74&quot;/&gt;&lt;wsp:rsid wsp:val=&quot;5C45759A&quot;/&gt;&lt;wsp:rsid wsp:val=&quot;5C480700&quot;/&gt;&lt;wsp:rsid wsp:val=&quot;5C4A4BB0&quot;/&gt;&lt;wsp:rsid wsp:val=&quot;5C4B1054&quot;/&gt;&lt;wsp:rsid wsp:val=&quot;5C4C0928&quot;/&gt;&lt;wsp:rsid wsp:val=&quot;5C4C26D6&quot;/&gt;&lt;wsp:rsid wsp:val=&quot;5C4C6B7A&quot;/&gt;&lt;wsp:rsid wsp:val=&quot;5C4D6FFA&quot;/&gt;&lt;wsp:rsid wsp:val=&quot;5C4E5963&quot;/&gt;&lt;wsp:rsid wsp:val=&quot;5C4E644E&quot;/&gt;&lt;wsp:rsid wsp:val=&quot;5C515F3F&quot;/&gt;&lt;wsp:rsid wsp:val=&quot;5C541A56&quot;/&gt;&lt;wsp:rsid wsp:val=&quot;5C5423ED&quot;/&gt;&lt;wsp:rsid wsp:val=&quot;5C5477DD&quot;/&gt;&lt;wsp:rsid wsp:val=&quot;5C5513E4&quot;/&gt;&lt;wsp:rsid wsp:val=&quot;5C583771&quot;/&gt;&lt;wsp:rsid wsp:val=&quot;5C58551F&quot;/&gt;&lt;wsp:rsid wsp:val=&quot;5C5907FE&quot;/&gt;&lt;wsp:rsid wsp:val=&quot;5C593045&quot;/&gt;&lt;wsp:rsid wsp:val=&quot;5C594DF3&quot;/&gt;&lt;wsp:rsid wsp:val=&quot;5C5A1297&quot;/&gt;&lt;wsp:rsid wsp:val=&quot;5C5A6D58&quot;/&gt;&lt;wsp:rsid wsp:val=&quot;5C5B500F&quot;/&gt;&lt;wsp:rsid wsp:val=&quot;5C5D2B35&quot;/&gt;&lt;wsp:rsid wsp:val=&quot;5C5D48E3&quot;/&gt;&lt;wsp:rsid wsp:val=&quot;5C5F065B&quot;/&gt;&lt;wsp:rsid wsp:val=&quot;5C602626&quot;/&gt;&lt;wsp:rsid wsp:val=&quot;5C606182&quot;/&gt;&lt;wsp:rsid wsp:val=&quot;5C614E33&quot;/&gt;&lt;wsp:rsid wsp:val=&quot;5C621EFA&quot;/&gt;&lt;wsp:rsid wsp:val=&quot;5C62639E&quot;/&gt;&lt;wsp:rsid wsp:val=&quot;5C6739B4&quot;/&gt;&lt;wsp:rsid wsp:val=&quot;5C675762&quot;/&gt;&lt;wsp:rsid wsp:val=&quot;5C686185&quot;/&gt;&lt;wsp:rsid wsp:val=&quot;5C6914DA&quot;/&gt;&lt;wsp:rsid wsp:val=&quot;5C69772C&quot;/&gt;&lt;wsp:rsid wsp:val=&quot;5C6A7000&quot;/&gt;&lt;wsp:rsid wsp:val=&quot;5C6B34A4&quot;/&gt;&lt;wsp:rsid wsp:val=&quot;5C6C2D78&quot;/&gt;&lt;wsp:rsid wsp:val=&quot;5C6C4B26&quot;/&gt;&lt;wsp:rsid wsp:val=&quot;5C703C88&quot;/&gt;&lt;wsp:rsid wsp:val=&quot;5C71085E&quot;/&gt;&lt;wsp:rsid wsp:val=&quot;5C7165E1&quot;/&gt;&lt;wsp:rsid wsp:val=&quot;5C726994&quot;/&gt;&lt;wsp:rsid wsp:val=&quot;5C735EB5&quot;/&gt;&lt;wsp:rsid wsp:val=&quot;5C746D31&quot;/&gt;&lt;wsp:rsid wsp:val=&quot;5C761E49&quot;/&gt;&lt;wsp:rsid wsp:val=&quot;5C764DF0&quot;/&gt;&lt;wsp:rsid wsp:val=&quot;5C78171D&quot;/&gt;&lt;wsp:rsid wsp:val=&quot;5C78194C&quot;/&gt;&lt;wsp:rsid wsp:val=&quot;5C797243&quot;/&gt;&lt;wsp:rsid wsp:val=&quot;5C7A36E7&quot;/&gt;&lt;wsp:rsid wsp:val=&quot;5C7B7517&quot;/&gt;&lt;wsp:rsid wsp:val=&quot;5C7B77D2&quot;/&gt;&lt;wsp:rsid wsp:val=&quot;5C7D31D8&quot;/&gt;&lt;wsp:rsid wsp:val=&quot;5C7D4F86&quot;/&gt;&lt;wsp:rsid wsp:val=&quot;5C7F0D24&quot;/&gt;&lt;wsp:rsid wsp:val=&quot;5C7F2AAC&quot;/&gt;&lt;wsp:rsid wsp:val=&quot;5C8005D2&quot;/&gt;&lt;wsp:rsid wsp:val=&quot;5C806824&quot;/&gt;&lt;wsp:rsid wsp:val=&quot;5C814A76&quot;/&gt;&lt;wsp:rsid wsp:val=&quot;5C824AD4&quot;/&gt;&lt;wsp:rsid wsp:val=&quot;5C841E70&quot;/&gt;&lt;wsp:rsid wsp:val=&quot;5C844566&quot;/&gt;&lt;wsp:rsid wsp:val=&quot;5C86208C&quot;/&gt;&lt;wsp:rsid wsp:val=&quot;5C8648E5&quot;/&gt;&lt;wsp:rsid wsp:val=&quot;5C877BB2&quot;/&gt;&lt;wsp:rsid wsp:val=&quot;5C884E70&quot;/&gt;&lt;wsp:rsid wsp:val=&quot;5C89392A&quot;/&gt;&lt;wsp:rsid wsp:val=&quot;5C8956D8&quot;/&gt;&lt;wsp:rsid wsp:val=&quot;5C8A31FF&quot;/&gt;&lt;wsp:rsid wsp:val=&quot;5C8B72C7&quot;/&gt;&lt;wsp:rsid wsp:val=&quot;5C8B76A2&quot;/&gt;&lt;wsp:rsid wsp:val=&quot;5C8C341B&quot;/&gt;&lt;wsp:rsid wsp:val=&quot;5C952F0A&quot;/&gt;&lt;wsp:rsid wsp:val=&quot;5C967DF5&quot;/&gt;&lt;wsp:rsid wsp:val=&quot;5C97586A&quot;/&gt;&lt;wsp:rsid wsp:val=&quot;5C983B6D&quot;/&gt;&lt;wsp:rsid wsp:val=&quot;5C98591B&quot;/&gt;&lt;wsp:rsid wsp:val=&quot;5C9A5B38&quot;/&gt;&lt;wsp:rsid wsp:val=&quot;5C9B154D&quot;/&gt;&lt;wsp:rsid wsp:val=&quot;5C9B365E&quot;/&gt;&lt;wsp:rsid wsp:val=&quot;5C9B540C&quot;/&gt;&lt;wsp:rsid wsp:val=&quot;5C9C05B9&quot;/&gt;&lt;wsp:rsid wsp:val=&quot;5C9D16DC&quot;/&gt;&lt;wsp:rsid wsp:val=&quot;5C9D73D6&quot;/&gt;&lt;wsp:rsid wsp:val=&quot;5C9E6468&quot;/&gt;&lt;wsp:rsid wsp:val=&quot;5C9F314E&quot;/&gt;&lt;wsp:rsid wsp:val=&quot;5CA02A22&quot;/&gt;&lt;wsp:rsid wsp:val=&quot;5CA2679A&quot;/&gt;&lt;wsp:rsid wsp:val=&quot;5CA35125&quot;/&gt;&lt;wsp:rsid wsp:val=&quot;5CA35DAD&quot;/&gt;&lt;wsp:rsid wsp:val=&quot;5CA42512&quot;/&gt;&lt;wsp:rsid wsp:val=&quot;5CA644DC&quot;/&gt;&lt;wsp:rsid wsp:val=&quot;5CA72002&quot;/&gt;&lt;wsp:rsid wsp:val=&quot;5CA73DB1&quot;/&gt;&lt;wsp:rsid wsp:val=&quot;5CA93FCD&quot;/&gt;&lt;wsp:rsid wsp:val=&quot;5CA97B29&quot;/&gt;&lt;wsp:rsid wsp:val=&quot;5CAB38A1&quot;/&gt;&lt;wsp:rsid wsp:val=&quot;5CAC13C7&quot;/&gt;&lt;wsp:rsid wsp:val=&quot;5CAC586B&quot;/&gt;&lt;wsp:rsid wsp:val=&quot;5CAC7619&quot;/&gt;&lt;wsp:rsid wsp:val=&quot;5CAE513F&quot;/&gt;&lt;wsp:rsid wsp:val=&quot;5CAF2C65&quot;/&gt;&lt;wsp:rsid wsp:val=&quot;5CB12E81&quot;/&gt;&lt;wsp:rsid wsp:val=&quot;5CB14C2F&quot;/&gt;&lt;wsp:rsid wsp:val=&quot;5CB52971&quot;/&gt;&lt;wsp:rsid wsp:val=&quot;5CB5471F&quot;/&gt;&lt;wsp:rsid wsp:val=&quot;5CB62246&quot;/&gt;&lt;wsp:rsid wsp:val=&quot;5CB63FF4&quot;/&gt;&lt;wsp:rsid wsp:val=&quot;5CB65E6A&quot;/&gt;&lt;wsp:rsid wsp:val=&quot;5CB85FBE&quot;/&gt;&lt;wsp:rsid wsp:val=&quot;5CB87D6C&quot;/&gt;&lt;wsp:rsid wsp:val=&quot;5CBF10FA&quot;/&gt;&lt;wsp:rsid wsp:val=&quot;5CC22998&quot;/&gt;&lt;wsp:rsid wsp:val=&quot;5CC2508E&quot;/&gt;&lt;wsp:rsid wsp:val=&quot;5CC42BB4&quot;/&gt;&lt;wsp:rsid wsp:val=&quot;5CC44962&quot;/&gt;&lt;wsp:rsid wsp:val=&quot;5CC46711&quot;/&gt;&lt;wsp:rsid wsp:val=&quot;5CC508E8&quot;/&gt;&lt;wsp:rsid wsp:val=&quot;5CC77165&quot;/&gt;&lt;wsp:rsid wsp:val=&quot;5CCA2516&quot;/&gt;&lt;wsp:rsid wsp:val=&quot;5CCA30ED&quot;/&gt;&lt;wsp:rsid wsp:val=&quot;5CCA7946&quot;/&gt;&lt;wsp:rsid wsp:val=&quot;5CCB7A9F&quot;/&gt;&lt;wsp:rsid wsp:val=&quot;5CCC3817&quot;/&gt;&lt;wsp:rsid wsp:val=&quot;5CCC52A0&quot;/&gt;&lt;wsp:rsid wsp:val=&quot;5CCD2A21&quot;/&gt;&lt;wsp:rsid wsp:val=&quot;5CCE758F&quot;/&gt;&lt;wsp:rsid wsp:val=&quot;5CCF2529&quot;/&gt;&lt;wsp:rsid wsp:val=&quot;5CD01559&quot;/&gt;&lt;wsp:rsid wsp:val=&quot;5CD252D1&quot;/&gt;&lt;wsp:rsid wsp:val=&quot;5CD3463B&quot;/&gt;&lt;wsp:rsid wsp:val=&quot;5CD728E8&quot;/&gt;&lt;wsp:rsid wsp:val=&quot;5CD72CFD&quot;/&gt;&lt;wsp:rsid wsp:val=&quot;5CD821BC&quot;/&gt;&lt;wsp:rsid wsp:val=&quot;5CD86660&quot;/&gt;&lt;wsp:rsid wsp:val=&quot;5CDC56DF&quot;/&gt;&lt;wsp:rsid wsp:val=&quot;5CDD43A4&quot;/&gt;&lt;wsp:rsid wsp:val=&quot;5CDD5A24&quot;/&gt;&lt;wsp:rsid wsp:val=&quot;5CDF179C&quot;/&gt;&lt;wsp:rsid wsp:val=&quot;5CE10AF8&quot;/&gt;&lt;wsp:rsid wsp:val=&quot;5CE13766&quot;/&gt;&lt;wsp:rsid wsp:val=&quot;5CE172C2&quot;/&gt;&lt;wsp:rsid wsp:val=&quot;5CE2128D&quot;/&gt;&lt;wsp:rsid wsp:val=&quot;5CE21551&quot;/&gt;&lt;wsp:rsid wsp:val=&quot;5CE2303B&quot;/&gt;&lt;wsp:rsid wsp:val=&quot;5CE4447B&quot;/&gt;&lt;wsp:rsid wsp:val=&quot;5CE515C0&quot;/&gt;&lt;wsp:rsid wsp:val=&quot;5CE62B2B&quot;/&gt;&lt;wsp:rsid wsp:val=&quot;5CE84AF5&quot;/&gt;&lt;wsp:rsid wsp:val=&quot;5CE9261B&quot;/&gt;&lt;wsp:rsid wsp:val=&quot;5CEB0141&quot;/&gt;&lt;wsp:rsid wsp:val=&quot;5CEB2603&quot;/&gt;&lt;wsp:rsid wsp:val=&quot;5CED210B&quot;/&gt;&lt;wsp:rsid wsp:val=&quot;5CED3EB9&quot;/&gt;&lt;wsp:rsid wsp:val=&quot;5CEE7AF4&quot;/&gt;&lt;wsp:rsid wsp:val=&quot;5CF039A9&quot;/&gt;&lt;wsp:rsid wsp:val=&quot;5CF05758&quot;/&gt;&lt;wsp:rsid wsp:val=&quot;5CF07506&quot;/&gt;&lt;wsp:rsid wsp:val=&quot;5CF27722&quot;/&gt;&lt;wsp:rsid wsp:val=&quot;5CF457A7&quot;/&gt;&lt;wsp:rsid wsp:val=&quot;5CF474D5&quot;/&gt;&lt;wsp:rsid wsp:val=&quot;5CF54B1C&quot;/&gt;&lt;wsp:rsid wsp:val=&quot;5CF60894&quot;/&gt;&lt;wsp:rsid wsp:val=&quot;5CF67716&quot;/&gt;&lt;wsp:rsid wsp:val=&quot;5CF70718&quot;/&gt;&lt;wsp:rsid wsp:val=&quot;5CF75A0F&quot;/&gt;&lt;wsp:rsid wsp:val=&quot;5CF76AE6&quot;/&gt;&lt;wsp:rsid wsp:val=&quot;5CF80AB0&quot;/&gt;&lt;wsp:rsid wsp:val=&quot;5CFA03D2&quot;/&gt;&lt;wsp:rsid wsp:val=&quot;5CFA65D6&quot;/&gt;&lt;wsp:rsid wsp:val=&quot;5CFB5EAA&quot;/&gt;&lt;wsp:rsid wsp:val=&quot;5CFC40FC&quot;/&gt;&lt;wsp:rsid wsp:val=&quot;5CFD1C22&quot;/&gt;&lt;wsp:rsid wsp:val=&quot;5D016DFC&quot;/&gt;&lt;wsp:rsid wsp:val=&quot;5D017965&quot;/&gt;&lt;wsp:rsid wsp:val=&quot;5D02548B&quot;/&gt;&lt;wsp:rsid wsp:val=&quot;5D0336DD&quot;/&gt;&lt;wsp:rsid wsp:val=&quot;5D0379F9&quot;/&gt;&lt;wsp:rsid wsp:val=&quot;5D041203&quot;/&gt;&lt;wsp:rsid wsp:val=&quot;5D042FB1&quot;/&gt;&lt;wsp:rsid wsp:val=&quot;5D055D7B&quot;/&gt;&lt;wsp:rsid wsp:val=&quot;5D07484F&quot;/&gt;&lt;wsp:rsid wsp:val=&quot;5D080CF3&quot;/&gt;&lt;wsp:rsid wsp:val=&quot;5D086F45&quot;/&gt;&lt;wsp:rsid wsp:val=&quot;5D0905C7&quot;/&gt;&lt;wsp:rsid wsp:val=&quot;5D0B433F&quot;/&gt;&lt;wsp:rsid wsp:val=&quot;5D0C1301&quot;/&gt;&lt;wsp:rsid wsp:val=&quot;5D0E3E30&quot;/&gt;&lt;wsp:rsid wsp:val=&quot;5D0E5BDE&quot;/&gt;&lt;wsp:rsid wsp:val=&quot;5D0F6E2D&quot;/&gt;&lt;wsp:rsid wsp:val=&quot;5D101956&quot;/&gt;&lt;wsp:rsid wsp:val=&quot;5D156F6C&quot;/&gt;&lt;wsp:rsid wsp:val=&quot;5D186A5C&quot;/&gt;&lt;wsp:rsid wsp:val=&quot;5D192F00&quot;/&gt;&lt;wsp:rsid wsp:val=&quot;5D1A27D4&quot;/&gt;&lt;wsp:rsid wsp:val=&quot;5D1B2729&quot;/&gt;&lt;wsp:rsid wsp:val=&quot;5D1C02FB&quot;/&gt;&lt;wsp:rsid wsp:val=&quot;5D1C479E&quot;/&gt;&lt;wsp:rsid wsp:val=&quot;5D1D22C5&quot;/&gt;&lt;wsp:rsid wsp:val=&quot;5D1D4073&quot;/&gt;&lt;wsp:rsid wsp:val=&quot;5D1E3B0E&quot;/&gt;&lt;wsp:rsid wsp:val=&quot;5D1F428F&quot;/&gt;&lt;wsp:rsid wsp:val=&quot;5D215911&quot;/&gt;&lt;wsp:rsid wsp:val=&quot;5D221689&quot;/&gt;&lt;wsp:rsid wsp:val=&quot;5D23054D&quot;/&gt;&lt;wsp:rsid wsp:val=&quot;5D235B2D&quot;/&gt;&lt;wsp:rsid wsp:val=&quot;5D2418A5&quot;/&gt;&lt;wsp:rsid wsp:val=&quot;5D276C9F&quot;/&gt;&lt;wsp:rsid wsp:val=&quot;5D283143&quot;/&gt;&lt;wsp:rsid wsp:val=&quot;5D284EF1&quot;/&gt;&lt;wsp:rsid wsp:val=&quot;5D290C69&quot;/&gt;&lt;wsp:rsid wsp:val=&quot;5D292A17&quot;/&gt;&lt;wsp:rsid wsp:val=&quot;5D2B2C34&quot;/&gt;&lt;wsp:rsid wsp:val=&quot;5D2E6280&quot;/&gt;&lt;wsp:rsid wsp:val=&quot;5D2F62FF&quot;/&gt;&lt;wsp:rsid wsp:val=&quot;5D303DA6&quot;/&gt;&lt;wsp:rsid wsp:val=&quot;5D325D70&quot;/&gt;&lt;wsp:rsid wsp:val=&quot;5D327B1E&quot;/&gt;&lt;wsp:rsid wsp:val=&quot;5D347D3A&quot;/&gt;&lt;wsp:rsid wsp:val=&quot;5D3715D8&quot;/&gt;&lt;wsp:rsid wsp:val=&quot;5D37764E&quot;/&gt;&lt;wsp:rsid wsp:val=&quot;5D380EAD&quot;/&gt;&lt;wsp:rsid wsp:val=&quot;5D3A3358&quot;/&gt;&lt;wsp:rsid wsp:val=&quot;5D3C274B&quot;/&gt;&lt;wsp:rsid wsp:val=&quot;5D3F048D&quot;/&gt;&lt;wsp:rsid wsp:val=&quot;5D3F66DF&quot;/&gt;&lt;wsp:rsid wsp:val=&quot;5D445AA3&quot;/&gt;&lt;wsp:rsid wsp:val=&quot;5D447851&quot;/&gt;&lt;wsp:rsid wsp:val=&quot;5D46181B&quot;/&gt;&lt;wsp:rsid wsp:val=&quot;5D466025&quot;/&gt;&lt;wsp:rsid wsp:val=&quot;5D4806FF&quot;/&gt;&lt;wsp:rsid wsp:val=&quot;5D4810F0&quot;/&gt;&lt;wsp:rsid wsp:val=&quot;5D487342&quot;/&gt;&lt;wsp:rsid wsp:val=&quot;5D49044E&quot;/&gt;&lt;wsp:rsid wsp:val=&quot;5D4930A8&quot;/&gt;&lt;wsp:rsid wsp:val=&quot;5D494E68&quot;/&gt;&lt;wsp:rsid wsp:val=&quot;5D4B44AF&quot;/&gt;&lt;wsp:rsid wsp:val=&quot;5D4D2BAA&quot;/&gt;&lt;wsp:rsid wsp:val=&quot;5D504448&quot;/&gt;&lt;wsp:rsid wsp:val=&quot;5D505070&quot;/&gt;&lt;wsp:rsid wsp:val=&quot;5D513680&quot;/&gt;&lt;wsp:rsid wsp:val=&quot;5D562CB2&quot;/&gt;&lt;wsp:rsid wsp:val=&quot;5D577585&quot;/&gt;&lt;wsp:rsid wsp:val=&quot;5D5850AB&quot;/&gt;&lt;wsp:rsid wsp:val=&quot;5D59154F&quot;/&gt;&lt;wsp:rsid wsp:val=&quot;5D5932FD&quot;/&gt;&lt;wsp:rsid wsp:val=&quot;5D5C2DED&quot;/&gt;&lt;wsp:rsid wsp:val=&quot;5D5C4B9B&quot;/&gt;&lt;wsp:rsid wsp:val=&quot;5D5E46D6&quot;/&gt;&lt;wsp:rsid wsp:val=&quot;5D610403&quot;/&gt;&lt;wsp:rsid wsp:val=&quot;5D616655&quot;/&gt;&lt;wsp:rsid wsp:val=&quot;5D635F29&quot;/&gt;&lt;wsp:rsid wsp:val=&quot;5D647EF4&quot;/&gt;&lt;wsp:rsid wsp:val=&quot;5D665A1A&quot;/&gt;&lt;wsp:rsid wsp:val=&quot;5D6677C8&quot;/&gt;&lt;wsp:rsid wsp:val=&quot;5D6B1282&quot;/&gt;&lt;wsp:rsid wsp:val=&quot;5D6B3030&quot;/&gt;&lt;wsp:rsid wsp:val=&quot;5D6C63B9&quot;/&gt;&lt;wsp:rsid wsp:val=&quot;5D6C66E6&quot;/&gt;&lt;wsp:rsid wsp:val=&quot;5D6D0F8A&quot;/&gt;&lt;wsp:rsid wsp:val=&quot;5D6D6DA8&quot;/&gt;&lt;wsp:rsid wsp:val=&quot;5D6D7849&quot;/&gt;&lt;wsp:rsid wsp:val=&quot;5D6E48CE&quot;/&gt;&lt;wsp:rsid wsp:val=&quot;5D6F0D72&quot;/&gt;&lt;wsp:rsid wsp:val=&quot;5D7243BE&quot;/&gt;&lt;wsp:rsid wsp:val=&quot;5D740137&quot;/&gt;&lt;wsp:rsid wsp:val=&quot;5D753EAF&quot;/&gt;&lt;wsp:rsid wsp:val=&quot;5D7719D5&quot;/&gt;&lt;wsp:rsid wsp:val=&quot;5D78495C&quot;/&gt;&lt;wsp:rsid wsp:val=&quot;5D796328&quot;/&gt;&lt;wsp:rsid wsp:val=&quot;5D7A7717&quot;/&gt;&lt;wsp:rsid wsp:val=&quot;5D7C348F&quot;/&gt;&lt;wsp:rsid wsp:val=&quot;5D7C6FEB&quot;/&gt;&lt;wsp:rsid wsp:val=&quot;5D7E07CE&quot;/&gt;&lt;wsp:rsid wsp:val=&quot;5D7E0FB5&quot;/&gt;&lt;wsp:rsid wsp:val=&quot;5D7F4944&quot;/&gt;&lt;wsp:rsid wsp:val=&quot;5D810AA5&quot;/&gt;&lt;wsp:rsid wsp:val=&quot;5D814602&quot;/&gt;&lt;wsp:rsid wsp:val=&quot;5D845EA0&quot;/&gt;&lt;wsp:rsid wsp:val=&quot;5D852344&quot;/&gt;&lt;wsp:rsid wsp:val=&quot;5D8660BC&quot;/&gt;&lt;wsp:rsid wsp:val=&quot;5D8A795A&quot;/&gt;&lt;wsp:rsid wsp:val=&quot;5D8B722E&quot;/&gt;&lt;wsp:rsid wsp:val=&quot;5D8C2B4C&quot;/&gt;&lt;wsp:rsid wsp:val=&quot;5D8D11F8&quot;/&gt;&lt;wsp:rsid wsp:val=&quot;5D8F1753&quot;/&gt;&lt;wsp:rsid wsp:val=&quot;5D8F31C2&quot;/&gt;&lt;wsp:rsid wsp:val=&quot;5D8F6D1E&quot;/&gt;&lt;wsp:rsid wsp:val=&quot;5D916F3A&quot;/&gt;&lt;wsp:rsid wsp:val=&quot;5D924A61&quot;/&gt;&lt;wsp:rsid wsp:val=&quot;5D92680F&quot;/&gt;&lt;wsp:rsid wsp:val=&quot;5D9978C0&quot;/&gt;&lt;wsp:rsid wsp:val=&quot;5D997B9D&quot;/&gt;&lt;wsp:rsid wsp:val=&quot;5D9B28C6&quot;/&gt;&lt;wsp:rsid wsp:val=&quot;5D9C143B&quot;/&gt;&lt;wsp:rsid wsp:val=&quot;5D9E3405&quot;/&gt;&lt;wsp:rsid wsp:val=&quot;5D9F0F2C&quot;/&gt;&lt;wsp:rsid wsp:val=&quot;5DA0717E&quot;/&gt;&lt;wsp:rsid wsp:val=&quot;5DA24FF7&quot;/&gt;&lt;wsp:rsid wsp:val=&quot;5DA32799&quot;/&gt;&lt;wsp:rsid wsp:val=&quot;5DA327CA&quot;/&gt;&lt;wsp:rsid wsp:val=&quot;5DA402F0&quot;/&gt;&lt;wsp:rsid wsp:val=&quot;5DA463E6&quot;/&gt;&lt;wsp:rsid wsp:val=&quot;5DA53978&quot;/&gt;&lt;wsp:rsid wsp:val=&quot;5DA70E69&quot;/&gt;&lt;wsp:rsid wsp:val=&quot;5DA757FB&quot;/&gt;&lt;wsp:rsid wsp:val=&quot;5DAA7A9B&quot;/&gt;&lt;wsp:rsid wsp:val=&quot;5DAB5B22&quot;/&gt;&lt;wsp:rsid wsp:val=&quot;5DAB78D0&quot;/&gt;&lt;wsp:rsid wsp:val=&quot;5DAD189A&quot;/&gt;&lt;wsp:rsid wsp:val=&quot;5DAD53F7&quot;/&gt;&lt;wsp:rsid wsp:val=&quot;5DAF5613&quot;/&gt;&lt;wsp:rsid wsp:val=&quot;5DAF73C1&quot;/&gt;&lt;wsp:rsid wsp:val=&quot;5DB20C5F&quot;/&gt;&lt;wsp:rsid wsp:val=&quot;5DB42C29&quot;/&gt;&lt;wsp:rsid wsp:val=&quot;5DB46785&quot;/&gt;&lt;wsp:rsid wsp:val=&quot;5DB524FD&quot;/&gt;&lt;wsp:rsid wsp:val=&quot;5DB6074F&quot;/&gt;&lt;wsp:rsid wsp:val=&quot;5DB9023F&quot;/&gt;&lt;wsp:rsid wsp:val=&quot;5DB91684&quot;/&gt;&lt;wsp:rsid wsp:val=&quot;5DBA7B13&quot;/&gt;&lt;wsp:rsid wsp:val=&quot;5DBB1FBD&quot;/&gt;&lt;wsp:rsid wsp:val=&quot;5DBB5D65&quot;/&gt;&lt;wsp:rsid wsp:val=&quot;5DBC388C&quot;/&gt;&lt;wsp:rsid wsp:val=&quot;5DBE5856&quot;/&gt;&lt;wsp:rsid wsp:val=&quot;5DBF512A&quot;/&gt;&lt;wsp:rsid wsp:val=&quot;5DC32E6C&quot;/&gt;&lt;wsp:rsid wsp:val=&quot;5DC34C1A&quot;/&gt;&lt;wsp:rsid wsp:val=&quot;5DC56BE4&quot;/&gt;&lt;wsp:rsid wsp:val=&quot;5DC57AFA&quot;/&gt;&lt;wsp:rsid wsp:val=&quot;5DC82230&quot;/&gt;&lt;wsp:rsid wsp:val=&quot;5DC9056B&quot;/&gt;&lt;wsp:rsid wsp:val=&quot;5DCA244C&quot;/&gt;&lt;wsp:rsid wsp:val=&quot;5DCA7D57&quot;/&gt;&lt;wsp:rsid wsp:val=&quot;5DCB1D21&quot;/&gt;&lt;wsp:rsid wsp:val=&quot;5DCB3ACF&quot;/&gt;&lt;wsp:rsid wsp:val=&quot;5DCC7F73&quot;/&gt;&lt;wsp:rsid wsp:val=&quot;5DCD2F93&quot;/&gt;&lt;wsp:rsid wsp:val=&quot;5DCD7847&quot;/&gt;&lt;wsp:rsid wsp:val=&quot;5DCF35BF&quot;/&gt;&lt;wsp:rsid wsp:val=&quot;5DCF7A63&quot;/&gt;&lt;wsp:rsid wsp:val=&quot;5DD07337&quot;/&gt;&lt;wsp:rsid wsp:val=&quot;5DD230AF&quot;/&gt;&lt;wsp:rsid wsp:val=&quot;5DD34186&quot;/&gt;&lt;wsp:rsid wsp:val=&quot;5DD706C5&quot;/&gt;&lt;wsp:rsid wsp:val=&quot;5DD91A5B&quot;/&gt;&lt;wsp:rsid wsp:val=&quot;5DD92690&quot;/&gt;&lt;wsp:rsid wsp:val=&quot;5DDA20F9&quot;/&gt;&lt;wsp:rsid wsp:val=&quot;5DDD2180&quot;/&gt;&lt;wsp:rsid wsp:val=&quot;5DE057CC&quot;/&gt;&lt;wsp:rsid wsp:val=&quot;5DE132F2&quot;/&gt;&lt;wsp:rsid wsp:val=&quot;5DE60909&quot;/&gt;&lt;wsp:rsid wsp:val=&quot;5DE77A3D&quot;/&gt;&lt;wsp:rsid wsp:val=&quot;5DE84681&quot;/&gt;&lt;wsp:rsid wsp:val=&quot;5DE97CB3&quot;/&gt;&lt;wsp:rsid wsp:val=&quot;5DEC23C3&quot;/&gt;&lt;wsp:rsid wsp:val=&quot;5DED5CFC&quot;/&gt;&lt;wsp:rsid wsp:val=&quot;5DEE6257&quot;/&gt;&lt;wsp:rsid wsp:val=&quot;5DEF1EB3&quot;/&gt;&lt;wsp:rsid wsp:val=&quot;5DF00658&quot;/&gt;&lt;wsp:rsid wsp:val=&quot;5DF10E34&quot;/&gt;&lt;wsp:rsid wsp:val=&quot;5DF11787&quot;/&gt;&lt;wsp:rsid wsp:val=&quot;5DF159A8&quot;/&gt;&lt;wsp:rsid wsp:val=&quot;5DF47470&quot;/&gt;&lt;wsp:rsid wsp:val=&quot;5DF474C9&quot;/&gt;&lt;wsp:rsid wsp:val=&quot;5DF63241&quot;/&gt;&lt;wsp:rsid wsp:val=&quot;5DF64FF0&quot;/&gt;&lt;wsp:rsid wsp:val=&quot;5DF9688E&quot;/&gt;&lt;wsp:rsid wsp:val=&quot;5DFB0858&quot;/&gt;&lt;wsp:rsid wsp:val=&quot;5DFC1EDA&quot;/&gt;&lt;wsp:rsid wsp:val=&quot;5DFC59C2&quot;/&gt;&lt;wsp:rsid wsp:val=&quot;5DFD637E&quot;/&gt;&lt;wsp:rsid wsp:val=&quot;5DFE20F6&quot;/&gt;&lt;wsp:rsid wsp:val=&quot;5DFE5C52&quot;/&gt;&lt;wsp:rsid wsp:val=&quot;5E0019CA&quot;/&gt;&lt;wsp:rsid wsp:val=&quot;5E015742&quot;/&gt;&lt;wsp:rsid wsp:val=&quot;5E0170BB&quot;/&gt;&lt;wsp:rsid wsp:val=&quot;5E0314BA&quot;/&gt;&lt;wsp:rsid wsp:val=&quot;5E034394&quot;/&gt;&lt;wsp:rsid wsp:val=&quot;5E03459C&quot;/&gt;&lt;wsp:rsid wsp:val=&quot;5E035AD5&quot;/&gt;&lt;wsp:rsid wsp:val=&quot;5E044B93&quot;/&gt;&lt;wsp:rsid wsp:val=&quot;5E055781&quot;/&gt;&lt;wsp:rsid wsp:val=&quot;5E056FE1&quot;/&gt;&lt;wsp:rsid wsp:val=&quot;5E062D59&quot;/&gt;&lt;wsp:rsid wsp:val=&quot;5E0736C9&quot;/&gt;&lt;wsp:rsid wsp:val=&quot;5E0771FD&quot;/&gt;&lt;wsp:rsid wsp:val=&quot;5E082F75&quot;/&gt;&lt;wsp:rsid wsp:val=&quot;5E0A693F&quot;/&gt;&lt;wsp:rsid wsp:val=&quot;5E0D2339&quot;/&gt;&lt;wsp:rsid wsp:val=&quot;5E0D31DF&quot;/&gt;&lt;wsp:rsid wsp:val=&quot;5E0D40E7&quot;/&gt;&lt;wsp:rsid wsp:val=&quot;5E0E2BE8&quot;/&gt;&lt;wsp:rsid wsp:val=&quot;5E105508&quot;/&gt;&lt;wsp:rsid wsp:val=&quot;5E1100D9&quot;/&gt;&lt;wsp:rsid wsp:val=&quot;5E120BD4&quot;/&gt;&lt;wsp:rsid wsp:val=&quot;5E1216FE&quot;/&gt;&lt;wsp:rsid wsp:val=&quot;5E125E49&quot;/&gt;&lt;wsp:rsid wsp:val=&quot;5E14191A&quot;/&gt;&lt;wsp:rsid wsp:val=&quot;5E1436C8&quot;/&gt;&lt;wsp:rsid wsp:val=&quot;5E183C9A&quot;/&gt;&lt;wsp:rsid wsp:val=&quot;5E1B2CA8&quot;/&gt;&lt;wsp:rsid wsp:val=&quot;5E1B4A56&quot;/&gt;&lt;wsp:rsid wsp:val=&quot;5E1B6804&quot;/&gt;&lt;wsp:rsid wsp:val=&quot;5E1C257C&quot;/&gt;&lt;wsp:rsid wsp:val=&quot;5E1E00A2&quot;/&gt;&lt;wsp:rsid wsp:val=&quot;5E1E4546&quot;/&gt;&lt;wsp:rsid wsp:val=&quot;5E1E62F4&quot;/&gt;&lt;wsp:rsid wsp:val=&quot;5E20206C&quot;/&gt;&lt;wsp:rsid wsp:val=&quot;5E203E1A&quot;/&gt;&lt;wsp:rsid wsp:val=&quot;5E224037&quot;/&gt;&lt;wsp:rsid wsp:val=&quot;5E2301EB&quot;/&gt;&lt;wsp:rsid wsp:val=&quot;5E23390B&quot;/&gt;&lt;wsp:rsid wsp:val=&quot;5E2467F1&quot;/&gt;&lt;wsp:rsid wsp:val=&quot;5E27164D&quot;/&gt;&lt;wsp:rsid wsp:val=&quot;5E2751A9&quot;/&gt;&lt;wsp:rsid wsp:val=&quot;5E28030B&quot;/&gt;&lt;wsp:rsid wsp:val=&quot;5E287173&quot;/&gt;&lt;wsp:rsid wsp:val=&quot;5E2A4C99&quot;/&gt;&lt;wsp:rsid wsp:val=&quot;5E2A782D&quot;/&gt;&lt;wsp:rsid wsp:val=&quot;5E2B60EE&quot;/&gt;&lt;wsp:rsid wsp:val=&quot;5E2C0A11&quot;/&gt;&lt;wsp:rsid wsp:val=&quot;5E2F405E&quot;/&gt;&lt;wsp:rsid wsp:val=&quot;5E300CA7&quot;/&gt;&lt;wsp:rsid wsp:val=&quot;5E301A5C&quot;/&gt;&lt;wsp:rsid wsp:val=&quot;5E30583F&quot;/&gt;&lt;wsp:rsid wsp:val=&quot;5E321FE3&quot;/&gt;&lt;wsp:rsid wsp:val=&quot;5E3304DB&quot;/&gt;&lt;wsp:rsid wsp:val=&quot;5E334442&quot;/&gt;&lt;wsp:rsid wsp:val=&quot;5E341674&quot;/&gt;&lt;wsp:rsid wsp:val=&quot;5E343D6A&quot;/&gt;&lt;wsp:rsid wsp:val=&quot;5E344903&quot;/&gt;&lt;wsp:rsid wsp:val=&quot;5E361890&quot;/&gt;&lt;wsp:rsid wsp:val=&quot;5E36363E&quot;/&gt;&lt;wsp:rsid wsp:val=&quot;5E394EDC&quot;/&gt;&lt;wsp:rsid wsp:val=&quot;5E3D313F&quot;/&gt;&lt;wsp:rsid wsp:val=&quot;5E3E0745&quot;/&gt;&lt;wsp:rsid wsp:val=&quot;5E40270F&quot;/&gt;&lt;wsp:rsid wsp:val=&quot;5E4044BD&quot;/&gt;&lt;wsp:rsid wsp:val=&quot;5E40626B&quot;/&gt;&lt;wsp:rsid wsp:val=&quot;5E413D91&quot;/&gt;&lt;wsp:rsid wsp:val=&quot;5E421FE3&quot;/&gt;&lt;wsp:rsid wsp:val=&quot;5E47584B&quot;/&gt;&lt;wsp:rsid wsp:val=&quot;5E483371&quot;/&gt;&lt;wsp:rsid wsp:val=&quot;5E4A6B29&quot;/&gt;&lt;wsp:rsid wsp:val=&quot;5E4C2E61&quot;/&gt;&lt;wsp:rsid wsp:val=&quot;5E4D3CA8&quot;/&gt;&lt;wsp:rsid wsp:val=&quot;5E4E4E2C&quot;/&gt;&lt;wsp:rsid wsp:val=&quot;5E4F14E0&quot;/&gt;&lt;wsp:rsid wsp:val=&quot;5E4F64AE&quot;/&gt;&lt;wsp:rsid wsp:val=&quot;5E5166CA&quot;/&gt;&lt;wsp:rsid wsp:val=&quot;5E531CE2&quot;/&gt;&lt;wsp:rsid wsp:val=&quot;5E5341F0&quot;/&gt;&lt;wsp:rsid wsp:val=&quot;5E543AC4&quot;/&gt;&lt;wsp:rsid wsp:val=&quot;5E55537D&quot;/&gt;&lt;wsp:rsid wsp:val=&quot;5E56783C&quot;/&gt;&lt;wsp:rsid wsp:val=&quot;5E587A58&quot;/&gt;&lt;wsp:rsid wsp:val=&quot;5E5A37D0&quot;/&gt;&lt;wsp:rsid wsp:val=&quot;5E5B6A7F&quot;/&gt;&lt;wsp:rsid wsp:val=&quot;5E5C0A2E&quot;/&gt;&lt;wsp:rsid wsp:val=&quot;5E6006BB&quot;/&gt;&lt;wsp:rsid wsp:val=&quot;5E604B5F&quot;/&gt;&lt;wsp:rsid wsp:val=&quot;5E624433&quot;/&gt;&lt;wsp:rsid wsp:val=&quot;5E631F59&quot;/&gt;&lt;wsp:rsid wsp:val=&quot;5E635C5B&quot;/&gt;&lt;wsp:rsid wsp:val=&quot;5E6463FD&quot;/&gt;&lt;wsp:rsid wsp:val=&quot;5E654E72&quot;/&gt;&lt;wsp:rsid wsp:val=&quot;5E655CD1&quot;/&gt;&lt;wsp:rsid wsp:val=&quot;5E667A07&quot;/&gt;&lt;wsp:rsid wsp:val=&quot;5E6737F7&quot;/&gt;&lt;wsp:rsid wsp:val=&quot;5E68756F&quot;/&gt;&lt;wsp:rsid wsp:val=&quot;5E693A13&quot;/&gt;&lt;wsp:rsid wsp:val=&quot;5E6A153A&quot;/&gt;&lt;wsp:rsid wsp:val=&quot;5E6C6845&quot;/&gt;&lt;wsp:rsid wsp:val=&quot;5E6C7060&quot;/&gt;&lt;wsp:rsid wsp:val=&quot;5E6F4DA2&quot;/&gt;&lt;wsp:rsid wsp:val=&quot;5E71702C&quot;/&gt;&lt;wsp:rsid wsp:val=&quot;5E7423B8&quot;/&gt;&lt;wsp:rsid wsp:val=&quot;5E752625&quot;/&gt;&lt;wsp:rsid wsp:val=&quot;5E761C8C&quot;/&gt;&lt;wsp:rsid wsp:val=&quot;5E766130&quot;/&gt;&lt;wsp:rsid wsp:val=&quot;5E767EDE&quot;/&gt;&lt;wsp:rsid wsp:val=&quot;5E781EA8&quot;/&gt;&lt;wsp:rsid wsp:val=&quot;5E783C56&quot;/&gt;&lt;wsp:rsid wsp:val=&quot;5E79352B&quot;/&gt;&lt;wsp:rsid wsp:val=&quot;5E7A44C7&quot;/&gt;&lt;wsp:rsid wsp:val=&quot;5E7A5C21&quot;/&gt;&lt;wsp:rsid wsp:val=&quot;5E7E0D08&quot;/&gt;&lt;wsp:rsid wsp:val=&quot;5E8048B9&quot;/&gt;&lt;wsp:rsid wsp:val=&quot;5E810661&quot;/&gt;&lt;wsp:rsid wsp:val=&quot;5E820631&quot;/&gt;&lt;wsp:rsid wsp:val=&quot;5E8445BE&quot;/&gt;&lt;wsp:rsid wsp:val=&quot;5E873E9A&quot;/&gt;&lt;wsp:rsid wsp:val=&quot;5E8B6B8D&quot;/&gt;&lt;wsp:rsid wsp:val=&quot;5E8C001D&quot;/&gt;&lt;wsp:rsid wsp:val=&quot;5E8D5DEC&quot;/&gt;&lt;wsp:rsid wsp:val=&quot;5E8F0FA0&quot;/&gt;&lt;wsp:rsid wsp:val=&quot;5E912F6A&quot;/&gt;&lt;wsp:rsid wsp:val=&quot;5E914D18&quot;/&gt;&lt;wsp:rsid wsp:val=&quot;5E92274E&quot;/&gt;&lt;wsp:rsid wsp:val=&quot;5E945177&quot;/&gt;&lt;wsp:rsid wsp:val=&quot;5E960581&quot;/&gt;&lt;wsp:rsid wsp:val=&quot;5E9640DD&quot;/&gt;&lt;wsp:rsid wsp:val=&quot;5E987E55&quot;/&gt;&lt;wsp:rsid wsp:val=&quot;5E993BCD&quot;/&gt;&lt;wsp:rsid wsp:val=&quot;5E9B512E&quot;/&gt;&lt;wsp:rsid wsp:val=&quot;5E9B5B97&quot;/&gt;&lt;wsp:rsid wsp:val=&quot;5E9D4750&quot;/&gt;&lt;wsp:rsid wsp:val=&quot;5E9E2432&quot;/&gt;&lt;wsp:rsid wsp:val=&quot;5E9F7435&quot;/&gt;&lt;wsp:rsid wsp:val=&quot;5EA06D09&quot;/&gt;&lt;wsp:rsid wsp:val=&quot;5EA26F25&quot;/&gt;&lt;wsp:rsid wsp:val=&quot;5EA507C4&quot;/&gt;&lt;wsp:rsid wsp:val=&quot;5EA50BC4&quot;/&gt;&lt;wsp:rsid wsp:val=&quot;5EA670A6&quot;/&gt;&lt;wsp:rsid wsp:val=&quot;5EA70098&quot;/&gt;&lt;wsp:rsid wsp:val=&quot;5EAA63C1&quot;/&gt;&lt;wsp:rsid wsp:val=&quot;5EAA7B88&quot;/&gt;&lt;wsp:rsid wsp:val=&quot;5EAB4A36&quot;/&gt;&lt;wsp:rsid wsp:val=&quot;5EAC1B52&quot;/&gt;&lt;wsp:rsid wsp:val=&quot;5EAC3900&quot;/&gt;&lt;wsp:rsid wsp:val=&quot;5EAD1F27&quot;/&gt;&lt;wsp:rsid wsp:val=&quot;5EAE1426&quot;/&gt;&lt;wsp:rsid wsp:val=&quot;5EAE58CA&quot;/&gt;&lt;wsp:rsid wsp:val=&quot;5EB10F16&quot;/&gt;&lt;wsp:rsid wsp:val=&quot;5EB21E57&quot;/&gt;&lt;wsp:rsid wsp:val=&quot;5EB32EE1&quot;/&gt;&lt;wsp:rsid wsp:val=&quot;5EB34C8F&quot;/&gt;&lt;wsp:rsid wsp:val=&quot;5EB41A42&quot;/&gt;&lt;wsp:rsid wsp:val=&quot;5EB629D1&quot;/&gt;&lt;wsp:rsid wsp:val=&quot;5EB86749&quot;/&gt;&lt;wsp:rsid wsp:val=&quot;5EBA601D&quot;/&gt;&lt;wsp:rsid wsp:val=&quot;5EBB1D95&quot;/&gt;&lt;wsp:rsid wsp:val=&quot;5EBB3B43&quot;/&gt;&lt;wsp:rsid wsp:val=&quot;5EBB5591&quot;/&gt;&lt;wsp:rsid wsp:val=&quot;5EBC40CD&quot;/&gt;&lt;wsp:rsid wsp:val=&quot;5EC073AC&quot;/&gt;&lt;wsp:rsid wsp:val=&quot;5EC155FD&quot;/&gt;&lt;wsp:rsid wsp:val=&quot;5EC165E7&quot;/&gt;&lt;wsp:rsid wsp:val=&quot;5EC16C5C&quot;/&gt;&lt;wsp:rsid wsp:val=&quot;5EC24ED2&quot;/&gt;&lt;wsp:rsid wsp:val=&quot;5EC56A6D&quot;/&gt;&lt;wsp:rsid wsp:val=&quot;5EC642D2&quot;/&gt;&lt;wsp:rsid wsp:val=&quot;5EC7073A&quot;/&gt;&lt;wsp:rsid wsp:val=&quot;5EC724E8&quot;/&gt;&lt;wsp:rsid wsp:val=&quot;5EC92704&quot;/&gt;&lt;wsp:rsid wsp:val=&quot;5ECA1FD8&quot;/&gt;&lt;wsp:rsid wsp:val=&quot;5ECA3D86&quot;/&gt;&lt;wsp:rsid wsp:val=&quot;5ECB647C&quot;/&gt;&lt;wsp:rsid wsp:val=&quot;5ECC5D50&quot;/&gt;&lt;wsp:rsid wsp:val=&quot;5ECE7DD0&quot;/&gt;&lt;wsp:rsid wsp:val=&quot;5ECE7EF9&quot;/&gt;&lt;wsp:rsid wsp:val=&quot;5ECF79AB&quot;/&gt;&lt;wsp:rsid wsp:val=&quot;5ED115B9&quot;/&gt;&lt;wsp:rsid wsp:val=&quot;5ED13367&quot;/&gt;&lt;wsp:rsid wsp:val=&quot;5ED2780B&quot;/&gt;&lt;wsp:rsid wsp:val=&quot;5ED370DF&quot;/&gt;&lt;wsp:rsid wsp:val=&quot;5ED545B3&quot;/&gt;&lt;wsp:rsid wsp:val=&quot;5ED667E8&quot;/&gt;&lt;wsp:rsid wsp:val=&quot;5ED66BCF&quot;/&gt;&lt;wsp:rsid wsp:val=&quot;5ED679F2&quot;/&gt;&lt;wsp:rsid wsp:val=&quot;5ED846F5&quot;/&gt;&lt;wsp:rsid wsp:val=&quot;5ED864A3&quot;/&gt;&lt;wsp:rsid wsp:val=&quot;5EDA66BF&quot;/&gt;&lt;wsp:rsid wsp:val=&quot;5EDB41E5&quot;/&gt;&lt;wsp:rsid wsp:val=&quot;5EDC2827&quot;/&gt;&lt;wsp:rsid wsp:val=&quot;5EDD4C6D&quot;/&gt;&lt;wsp:rsid wsp:val=&quot;5EDF4663&quot;/&gt;&lt;wsp:rsid wsp:val=&quot;5EE02BC4&quot;/&gt;&lt;wsp:rsid wsp:val=&quot;5EE222A7&quot;/&gt;&lt;wsp:rsid wsp:val=&quot;5EE44E48&quot;/&gt;&lt;wsp:rsid wsp:val=&quot;5EE70977&quot;/&gt;&lt;wsp:rsid wsp:val=&quot;5EE720B8&quot;/&gt;&lt;wsp:rsid wsp:val=&quot;5EE74938&quot;/&gt;&lt;wsp:rsid wsp:val=&quot;5EE975A9&quot;/&gt;&lt;wsp:rsid wsp:val=&quot;5EEC1F4F&quot;/&gt;&lt;wsp:rsid wsp:val=&quot;5EEE5CC7&quot;/&gt;&lt;wsp:rsid wsp:val=&quot;5EF26718&quot;/&gt;&lt;wsp:rsid wsp:val=&quot;5EF332DD&quot;/&gt;&lt;wsp:rsid wsp:val=&quot;5EF35C6C&quot;/&gt;&lt;wsp:rsid wsp:val=&quot;5EF7101F&quot;/&gt;&lt;wsp:rsid wsp:val=&quot;5EF808F3&quot;/&gt;&lt;wsp:rsid wsp:val=&quot;5EF944CD&quot;/&gt;&lt;wsp:rsid wsp:val=&quot;5EF9708D&quot;/&gt;&lt;wsp:rsid wsp:val=&quot;5EFA052E&quot;/&gt;&lt;wsp:rsid wsp:val=&quot;5EFA466C&quot;/&gt;&lt;wsp:rsid wsp:val=&quot;5EFB19BE&quot;/&gt;&lt;wsp:rsid wsp:val=&quot;5EFC2E4E&quot;/&gt;&lt;wsp:rsid wsp:val=&quot;5EFD415C&quot;/&gt;&lt;wsp:rsid wsp:val=&quot;5EFE7149&quot;/&gt;&lt;wsp:rsid wsp:val=&quot;5F0059FA&quot;/&gt;&lt;wsp:rsid wsp:val=&quot;5F011E9E&quot;/&gt;&lt;wsp:rsid wsp:val=&quot;5F0279C4&quot;/&gt;&lt;wsp:rsid wsp:val=&quot;5F034C6F&quot;/&gt;&lt;wsp:rsid wsp:val=&quot;5F0454EA&quot;/&gt;&lt;wsp:rsid wsp:val=&quot;5F04649D&quot;/&gt;&lt;wsp:rsid wsp:val=&quot;5F090814&quot;/&gt;&lt;wsp:rsid wsp:val=&quot;5F090D52&quot;/&gt;&lt;wsp:rsid wsp:val=&quot;5F092B01&quot;/&gt;&lt;wsp:rsid wsp:val=&quot;5F0A712A&quot;/&gt;&lt;wsp:rsid wsp:val=&quot;5F0B4827&quot;/&gt;&lt;wsp:rsid wsp:val=&quot;5F0F3ED5&quot;/&gt;&lt;wsp:rsid wsp:val=&quot;5F103E8F&quot;/&gt;&lt;wsp:rsid wsp:val=&quot;5F1059FA&quot;/&gt;&lt;wsp:rsid wsp:val=&quot;5F105C3D&quot;/&gt;&lt;wsp:rsid wsp:val=&quot;5F137E9E&quot;/&gt;&lt;wsp:rsid wsp:val=&quot;5F140576&quot;/&gt;&lt;wsp:rsid wsp:val=&quot;5F144214&quot;/&gt;&lt;wsp:rsid wsp:val=&quot;5F1539F4&quot;/&gt;&lt;wsp:rsid wsp:val=&quot;5F155949&quot;/&gt;&lt;wsp:rsid wsp:val=&quot;5F1576F7&quot;/&gt;&lt;wsp:rsid wsp:val=&quot;5F157F77&quot;/&gt;&lt;wsp:rsid wsp:val=&quot;5F16521D&quot;/&gt;&lt;wsp:rsid wsp:val=&quot;5F182D44&quot;/&gt;&lt;wsp:rsid wsp:val=&quot;5F1871E8&quot;/&gt;&lt;wsp:rsid wsp:val=&quot;5F1A2B43&quot;/&gt;&lt;wsp:rsid wsp:val=&quot;5F1A2F60&quot;/&gt;&lt;wsp:rsid wsp:val=&quot;5F1C0A86&quot;/&gt;&lt;wsp:rsid wsp:val=&quot;5F1C6CD8&quot;/&gt;&lt;wsp:rsid wsp:val=&quot;5F1D65AC&quot;/&gt;&lt;wsp:rsid wsp:val=&quot;5F1E2676&quot;/&gt;&lt;wsp:rsid wsp:val=&quot;5F1E4D57&quot;/&gt;&lt;wsp:rsid wsp:val=&quot;5F200DE7&quot;/&gt;&lt;wsp:rsid wsp:val=&quot;5F217E4A&quot;/&gt;&lt;wsp:rsid wsp:val=&quot;5F221E14&quot;/&gt;&lt;wsp:rsid wsp:val=&quot;5F223BC2&quot;/&gt;&lt;wsp:rsid wsp:val=&quot;5F225970&quot;/&gt;&lt;wsp:rsid wsp:val=&quot;5F2356B6&quot;/&gt;&lt;wsp:rsid wsp:val=&quot;5F265461&quot;/&gt;&lt;wsp:rsid wsp:val=&quot;5F2711D9&quot;/&gt;&lt;wsp:rsid wsp:val=&quot;5F27635C&quot;/&gt;&lt;wsp:rsid wsp:val=&quot;5F27742B&quot;/&gt;&lt;wsp:rsid wsp:val=&quot;5F2A6503&quot;/&gt;&lt;wsp:rsid wsp:val=&quot;5F2B0CC9&quot;/&gt;&lt;wsp:rsid wsp:val=&quot;5F2C01C7&quot;/&gt;&lt;wsp:rsid wsp:val=&quot;5F2D4A41&quot;/&gt;&lt;wsp:rsid wsp:val=&quot;5F2E484C&quot;/&gt;&lt;wsp:rsid wsp:val=&quot;5F30008D&quot;/&gt;&lt;wsp:rsid wsp:val=&quot;5F3202A9&quot;/&gt;&lt;wsp:rsid wsp:val=&quot;5F322057&quot;/&gt;&lt;wsp:rsid wsp:val=&quot;5F322F1C&quot;/&gt;&lt;wsp:rsid wsp:val=&quot;5F3439F6&quot;/&gt;&lt;wsp:rsid wsp:val=&quot;5F357D99&quot;/&gt;&lt;wsp:rsid wsp:val=&quot;5F372DE1&quot;/&gt;&lt;wsp:rsid wsp:val=&quot;5F3758C0&quot;/&gt;&lt;wsp:rsid wsp:val=&quot;5F37766E&quot;/&gt;&lt;wsp:rsid wsp:val=&quot;5F381638&quot;/&gt;&lt;wsp:rsid wsp:val=&quot;5F3861E3&quot;/&gt;&lt;wsp:rsid wsp:val=&quot;5F387474&quot;/&gt;&lt;wsp:rsid wsp:val=&quot;5F3A0F0C&quot;/&gt;&lt;wsp:rsid wsp:val=&quot;5F3C1D4C&quot;/&gt;&lt;wsp:rsid wsp:val=&quot;5F3D09FC&quot;/&gt;&lt;wsp:rsid wsp:val=&quot;5F3F29C6&quot;/&gt;&lt;wsp:rsid wsp:val=&quot;5F434264&quot;/&gt;&lt;wsp:rsid wsp:val=&quot;5F443B39&quot;/&gt;&lt;wsp:rsid wsp:val=&quot;5F465B03&quot;/&gt;&lt;wsp:rsid wsp:val=&quot;5F4678B1&quot;/&gt;&lt;wsp:rsid wsp:val=&quot;5F48187B&quot;/&gt;&lt;wsp:rsid wsp:val=&quot;5F4A0903&quot;/&gt;&lt;wsp:rsid wsp:val=&quot;5F4B136B&quot;/&gt;&lt;wsp:rsid wsp:val=&quot;5F503032&quot;/&gt;&lt;wsp:rsid wsp:val=&quot;5F5226F9&quot;/&gt;&lt;wsp:rsid wsp:val=&quot;5F531FCE&quot;/&gt;&lt;wsp:rsid wsp:val=&quot;5F5521EA&quot;/&gt;&lt;wsp:rsid wsp:val=&quot;5F577D10&quot;/&gt;&lt;wsp:rsid wsp:val=&quot;5F597808&quot;/&gt;&lt;wsp:rsid wsp:val=&quot;5F5A15AE&quot;/&gt;&lt;wsp:rsid wsp:val=&quot;5F5C0E82&quot;/&gt;&lt;wsp:rsid wsp:val=&quot;5F5F0972&quot;/&gt;&lt;wsp:rsid wsp:val=&quot;5F5F6BC4&quot;/&gt;&lt;wsp:rsid wsp:val=&quot;5F63217C&quot;/&gt;&lt;wsp:rsid wsp:val=&quot;5F6366B5&quot;/&gt;&lt;wsp:rsid wsp:val=&quot;5F645F89&quot;/&gt;&lt;wsp:rsid wsp:val=&quot;5F66666A&quot;/&gt;&lt;wsp:rsid wsp:val=&quot;5F667F53&quot;/&gt;&lt;wsp:rsid wsp:val=&quot;5F683CCB&quot;/&gt;&lt;wsp:rsid wsp:val=&quot;5F697A43&quot;/&gt;&lt;wsp:rsid wsp:val=&quot;5F6B47EE&quot;/&gt;&lt;wsp:rsid wsp:val=&quot;5F6B5569&quot;/&gt;&lt;wsp:rsid wsp:val=&quot;5F6D308F&quot;/&gt;&lt;wsp:rsid wsp:val=&quot;5F6D7533&quot;/&gt;&lt;wsp:rsid wsp:val=&quot;5F6E316F&quot;/&gt;&lt;wsp:rsid wsp:val=&quot;5F6F21A7&quot;/&gt;&lt;wsp:rsid wsp:val=&quot;5F700DD2&quot;/&gt;&lt;wsp:rsid wsp:val=&quot;5F702B80&quot;/&gt;&lt;wsp:rsid wsp:val=&quot;5F713021&quot;/&gt;&lt;wsp:rsid wsp:val=&quot;5F73441E&quot;/&gt;&lt;wsp:rsid wsp:val=&quot;5F761901&quot;/&gt;&lt;wsp:rsid wsp:val=&quot;5F767385&quot;/&gt;&lt;wsp:rsid wsp:val=&quot;5F784221&quot;/&gt;&lt;wsp:rsid wsp:val=&quot;5F7A1C50&quot;/&gt;&lt;wsp:rsid wsp:val=&quot;5F7A2817&quot;/&gt;&lt;wsp:rsid wsp:val=&quot;5F7A39FE&quot;/&gt;&lt;wsp:rsid wsp:val=&quot;5F7A755A&quot;/&gt;&lt;wsp:rsid wsp:val=&quot;5F7D704B&quot;/&gt;&lt;wsp:rsid wsp:val=&quot;5F7F2DC3&quot;/&gt;&lt;wsp:rsid wsp:val=&quot;5F800C39&quot;/&gt;&lt;wsp:rsid wsp:val=&quot;5F8108E9&quot;/&gt;&lt;wsp:rsid wsp:val=&quot;5F812FDF&quot;/&gt;&lt;wsp:rsid wsp:val=&quot;5F814D8D&quot;/&gt;&lt;wsp:rsid wsp:val=&quot;5F830B05&quot;/&gt;&lt;wsp:rsid wsp:val=&quot;5F8403D9&quot;/&gt;&lt;wsp:rsid wsp:val=&quot;5F84662B&quot;/&gt;&lt;wsp:rsid wsp:val=&quot;5F8605F5&quot;/&gt;&lt;wsp:rsid wsp:val=&quot;5F8623A3&quot;/&gt;&lt;wsp:rsid wsp:val=&quot;5F864151&quot;/&gt;&lt;wsp:rsid wsp:val=&quot;5F883D16&quot;/&gt;&lt;wsp:rsid wsp:val=&quot;5F8960B6&quot;/&gt;&lt;wsp:rsid wsp:val=&quot;5F8A1E93&quot;/&gt;&lt;wsp:rsid wsp:val=&quot;5F8A5A57&quot;/&gt;&lt;wsp:rsid wsp:val=&quot;5F8D54E0&quot;/&gt;&lt;wsp:rsid wsp:val=&quot;5F904FD0&quot;/&gt;&lt;wsp:rsid wsp:val=&quot;5F920A6A&quot;/&gt;&lt;wsp:rsid wsp:val=&quot;5F920D48&quot;/&gt;&lt;wsp:rsid wsp:val=&quot;5F922AF6&quot;/&gt;&lt;wsp:rsid wsp:val=&quot;5F940EF3&quot;/&gt;&lt;wsp:rsid wsp:val=&quot;5F942D12&quot;/&gt;&lt;wsp:rsid wsp:val=&quot;5F9439FA&quot;/&gt;&lt;wsp:rsid wsp:val=&quot;5F961351&quot;/&gt;&lt;wsp:rsid wsp:val=&quot;5F97237B&quot;/&gt;&lt;wsp:rsid wsp:val=&quot;5F9C1BC7&quot;/&gt;&lt;wsp:rsid wsp:val=&quot;5F9E76ED&quot;/&gt;&lt;wsp:rsid wsp:val=&quot;5F9F3465&quot;/&gt;&lt;wsp:rsid wsp:val=&quot;5F9F5213&quot;/&gt;&lt;wsp:rsid wsp:val=&quot;5FA32F55&quot;/&gt;&lt;wsp:rsid wsp:val=&quot;5FA36AB1&quot;/&gt;&lt;wsp:rsid wsp:val=&quot;5FA42829&quot;/&gt;&lt;wsp:rsid wsp:val=&quot;5FA6034F&quot;/&gt;&lt;wsp:rsid wsp:val=&quot;5FA647F3&quot;/&gt;&lt;wsp:rsid wsp:val=&quot;5FA6729F&quot;/&gt;&lt;wsp:rsid wsp:val=&quot;5FA72F90&quot;/&gt;&lt;wsp:rsid wsp:val=&quot;5FA8056B&quot;/&gt;&lt;wsp:rsid wsp:val=&quot;5FA937A9&quot;/&gt;&lt;wsp:rsid wsp:val=&quot;5FA94790&quot;/&gt;&lt;wsp:rsid wsp:val=&quot;5FA97E40&quot;/&gt;&lt;wsp:rsid wsp:val=&quot;5FAA6092&quot;/&gt;&lt;wsp:rsid wsp:val=&quot;5FAA7620&quot;/&gt;&lt;wsp:rsid wsp:val=&quot;5FAB1E0A&quot;/&gt;&lt;wsp:rsid wsp:val=&quot;5FAC3111&quot;/&gt;&lt;wsp:rsid wsp:val=&quot;5FAD16DE&quot;/&gt;&lt;wsp:rsid wsp:val=&quot;5FAD269E&quot;/&gt;&lt;wsp:rsid wsp:val=&quot;5FAD5B82&quot;/&gt;&lt;wsp:rsid wsp:val=&quot;5FAD7930&quot;/&gt;&lt;wsp:rsid wsp:val=&quot;5FAE51AE&quot;/&gt;&lt;wsp:rsid wsp:val=&quot;5FAF36A8&quot;/&gt;&lt;wsp:rsid wsp:val=&quot;5FB20AF9&quot;/&gt;&lt;wsp:rsid wsp:val=&quot;5FB47151&quot;/&gt;&lt;wsp:rsid wsp:val=&quot;5FB567E4&quot;/&gt;&lt;wsp:rsid wsp:val=&quot;5FB641C3&quot;/&gt;&lt;wsp:rsid wsp:val=&quot;5FB7255D&quot;/&gt;&lt;wsp:rsid wsp:val=&quot;5FB76A00&quot;/&gt;&lt;wsp:rsid wsp:val=&quot;5FB837BB&quot;/&gt;&lt;wsp:rsid wsp:val=&quot;5FB8795D&quot;/&gt;&lt;wsp:rsid wsp:val=&quot;5FB92779&quot;/&gt;&lt;wsp:rsid wsp:val=&quot;5FB94285&quot;/&gt;&lt;wsp:rsid wsp:val=&quot;5FB94527&quot;/&gt;&lt;wsp:rsid wsp:val=&quot;5FB962D5&quot;/&gt;&lt;wsp:rsid wsp:val=&quot;5FBA7980&quot;/&gt;&lt;wsp:rsid wsp:val=&quot;5FBB3CC2&quot;/&gt;&lt;wsp:rsid wsp:val=&quot;5FBC14C5&quot;/&gt;&lt;wsp:rsid wsp:val=&quot;5FBC4017&quot;/&gt;&lt;wsp:rsid wsp:val=&quot;5FBC5DC5&quot;/&gt;&lt;wsp:rsid wsp:val=&quot;5FBD4096&quot;/&gt;&lt;wsp:rsid wsp:val=&quot;5FBF1411&quot;/&gt;&lt;wsp:rsid wsp:val=&quot;5FC14B14&quot;/&gt;&lt;wsp:rsid wsp:val=&quot;5FC27D70&quot;/&gt;&lt;wsp:rsid wsp:val=&quot;5FC37153&quot;/&gt;&lt;wsp:rsid wsp:val=&quot;5FC627A0&quot;/&gt;&lt;wsp:rsid wsp:val=&quot;5FCB425A&quot;/&gt;&lt;wsp:rsid wsp:val=&quot;5FCB604A&quot;/&gt;&lt;wsp:rsid wsp:val=&quot;5FCD1D80&quot;/&gt;&lt;wsp:rsid wsp:val=&quot;5FCD7FD2&quot;/&gt;&lt;wsp:rsid wsp:val=&quot;5FCF3D4A&quot;/&gt;&lt;wsp:rsid wsp:val=&quot;5FD0047F&quot;/&gt;&lt;wsp:rsid wsp:val=&quot;5FD026F7&quot;/&gt;&lt;wsp:rsid wsp:val=&quot;5FD21144&quot;/&gt;&lt;wsp:rsid wsp:val=&quot;5FD2383A&quot;/&gt;&lt;wsp:rsid wsp:val=&quot;5FD255E8&quot;/&gt;&lt;wsp:rsid wsp:val=&quot;5FD4310E&quot;/&gt;&lt;wsp:rsid wsp:val=&quot;5FD454B8&quot;/&gt;&lt;wsp:rsid wsp:val=&quot;5FD50BDC&quot;/&gt;&lt;wsp:rsid wsp:val=&quot;5FD50C35&quot;/&gt;&lt;wsp:rsid wsp:val=&quot;5FD51606&quot;/&gt;&lt;wsp:rsid wsp:val=&quot;5FD87822&quot;/&gt;&lt;wsp:rsid wsp:val=&quot;5FD924D3&quot;/&gt;&lt;wsp:rsid wsp:val=&quot;5FDA624B&quot;/&gt;&lt;wsp:rsid wsp:val=&quot;5FDB26EF&quot;/&gt;&lt;wsp:rsid wsp:val=&quot;5FDC1FC3&quot;/&gt;&lt;wsp:rsid wsp:val=&quot;5FDC6467&quot;/&gt;&lt;wsp:rsid wsp:val=&quot;5FDE3F8D&quot;/&gt;&lt;wsp:rsid wsp:val=&quot;5FE04C08&quot;/&gt;&lt;wsp:rsid wsp:val=&quot;5FE07430&quot;/&gt;&lt;wsp:rsid wsp:val=&quot;5FE07D05&quot;/&gt;&lt;wsp:rsid wsp:val=&quot;5FE13A7D&quot;/&gt;&lt;wsp:rsid wsp:val=&quot;5FE1582B&quot;/&gt;&lt;wsp:rsid wsp:val=&quot;5FE175D9&quot;/&gt;&lt;wsp:rsid wsp:val=&quot;5FE17AD8&quot;/&gt;&lt;wsp:rsid wsp:val=&quot;5FE315A4&quot;/&gt;&lt;wsp:rsid wsp:val=&quot;5FE52D7F&quot;/&gt;&lt;wsp:rsid wsp:val=&quot;5FE62E42&quot;/&gt;&lt;wsp:rsid wsp:val=&quot;5FE64BF0&quot;/&gt;&lt;wsp:rsid wsp:val=&quot;5FE80968&quot;/&gt;&lt;wsp:rsid wsp:val=&quot;5FE84E0C&quot;/&gt;&lt;wsp:rsid wsp:val=&quot;5FE86BBA&quot;/&gt;&lt;wsp:rsid wsp:val=&quot;5FEB2206&quot;/&gt;&lt;wsp:rsid wsp:val=&quot;5FEC05A4&quot;/&gt;&lt;wsp:rsid wsp:val=&quot;5FED0D8A&quot;/&gt;&lt;wsp:rsid wsp:val=&quot;5FED5F7E&quot;/&gt;&lt;wsp:rsid wsp:val=&quot;5FF501C6&quot;/&gt;&lt;wsp:rsid wsp:val=&quot;5FF56C7C&quot;/&gt;&lt;wsp:rsid wsp:val=&quot;5FF7504F&quot;/&gt;&lt;wsp:rsid wsp:val=&quot;5FF90DC7&quot;/&gt;&lt;wsp:rsid wsp:val=&quot;5FFC2FA7&quot;/&gt;&lt;wsp:rsid wsp:val=&quot;5FFC4413&quot;/&gt;&lt;wsp:rsid wsp:val=&quot;5FFD572B&quot;/&gt;&lt;wsp:rsid wsp:val=&quot;5FFE26E6&quot;/&gt;&lt;wsp:rsid wsp:val=&quot;60003F04&quot;/&gt;&lt;wsp:rsid wsp:val=&quot;60011A2A&quot;/&gt;&lt;wsp:rsid wsp:val=&quot;6005282E&quot;/&gt;&lt;wsp:rsid wsp:val=&quot;600532C8&quot;/&gt;&lt;wsp:rsid wsp:val=&quot;60057804&quot;/&gt;&lt;wsp:rsid wsp:val=&quot;6008100A&quot;/&gt;&lt;wsp:rsid wsp:val=&quot;600B28A8&quot;/&gt;&lt;wsp:rsid wsp:val=&quot;600B4656&quot;/&gt;&lt;wsp:rsid wsp:val=&quot;600C6FB6&quot;/&gt;&lt;wsp:rsid wsp:val=&quot;600D03CE&quot;/&gt;&lt;wsp:rsid wsp:val=&quot;600F4147&quot;/&gt;&lt;wsp:rsid wsp:val=&quot;601107A2&quot;/&gt;&lt;wsp:rsid wsp:val=&quot;60114363&quot;/&gt;&lt;wsp:rsid wsp:val=&quot;60116111&quot;/&gt;&lt;wsp:rsid wsp:val=&quot;6014175D&quot;/&gt;&lt;wsp:rsid wsp:val=&quot;60143F17&quot;/&gt;&lt;wsp:rsid wsp:val=&quot;60173560&quot;/&gt;&lt;wsp:rsid wsp:val=&quot;601847EC&quot;/&gt;&lt;wsp:rsid wsp:val=&quot;60193217&quot;/&gt;&lt;wsp:rsid wsp:val=&quot;60196D73&quot;/&gt;&lt;wsp:rsid wsp:val=&quot;601B2AEB&quot;/&gt;&lt;wsp:rsid wsp:val=&quot;601D2D07&quot;/&gt;&lt;wsp:rsid wsp:val=&quot;601D6342&quot;/&gt;&lt;wsp:rsid wsp:val=&quot;601E082E&quot;/&gt;&lt;wsp:rsid wsp:val=&quot;601F5B30&quot;/&gt;&lt;wsp:rsid wsp:val=&quot;60206354&quot;/&gt;&lt;wsp:rsid wsp:val=&quot;60213E7A&quot;/&gt;&lt;wsp:rsid wsp:val=&quot;60225083&quot;/&gt;&lt;wsp:rsid wsp:val=&quot;60233110&quot;/&gt;&lt;wsp:rsid wsp:val=&quot;6025396A&quot;/&gt;&lt;wsp:rsid wsp:val=&quot;60255718&quot;/&gt;&lt;wsp:rsid wsp:val=&quot;60285208&quot;/&gt;&lt;wsp:rsid wsp:val=&quot;602A0F80&quot;/&gt;&lt;wsp:rsid wsp:val=&quot;602A71D2&quot;/&gt;&lt;wsp:rsid wsp:val=&quot;602C4CF9&quot;/&gt;&lt;wsp:rsid wsp:val=&quot;602F2A3B&quot;/&gt;&lt;wsp:rsid wsp:val=&quot;602F6597&quot;/&gt;&lt;wsp:rsid wsp:val=&quot;6031230F&quot;/&gt;&lt;wsp:rsid wsp:val=&quot;60327E35&quot;/&gt;&lt;wsp:rsid wsp:val=&quot;60341DFF&quot;/&gt;&lt;wsp:rsid wsp:val=&quot;60343BAD&quot;/&gt;&lt;wsp:rsid wsp:val=&quot;6035022A&quot;/&gt;&lt;wsp:rsid wsp:val=&quot;6037369D&quot;/&gt;&lt;wsp:rsid wsp:val=&quot;603B13E0&quot;/&gt;&lt;wsp:rsid wsp:val=&quot;603B14CB&quot;/&gt;&lt;wsp:rsid wsp:val=&quot;603B318E&quot;/&gt;&lt;wsp:rsid wsp:val=&quot;603B4F3C&quot;/&gt;&lt;wsp:rsid wsp:val=&quot;603C522D&quot;/&gt;&lt;wsp:rsid wsp:val=&quot;603E2C7E&quot;/&gt;&lt;wsp:rsid wsp:val=&quot;603F3EAD&quot;/&gt;&lt;wsp:rsid wsp:val=&quot;604007A4&quot;/&gt;&lt;wsp:rsid wsp:val=&quot;60402552&quot;/&gt;&lt;wsp:rsid wsp:val=&quot;604128AE&quot;/&gt;&lt;wsp:rsid wsp:val=&quot;60432042&quot;/&gt;&lt;wsp:rsid wsp:val=&quot;6043466C&quot;/&gt;&lt;wsp:rsid wsp:val=&quot;604364E6&quot;/&gt;&lt;wsp:rsid wsp:val=&quot;60450D7A&quot;/&gt;&lt;wsp:rsid wsp:val=&quot;6045400C&quot;/&gt;&lt;wsp:rsid wsp:val=&quot;60455DBA&quot;/&gt;&lt;wsp:rsid wsp:val=&quot;60471B32&quot;/&gt;&lt;wsp:rsid wsp:val=&quot;604765C1&quot;/&gt;&lt;wsp:rsid wsp:val=&quot;6048238E&quot;/&gt;&lt;wsp:rsid wsp:val=&quot;60483AFC&quot;/&gt;&lt;wsp:rsid wsp:val=&quot;604858AA&quot;/&gt;&lt;wsp:rsid wsp:val=&quot;604A33D1&quot;/&gt;&lt;wsp:rsid wsp:val=&quot;604C0EF7&quot;/&gt;&lt;wsp:rsid wsp:val=&quot;604C539B&quot;/&gt;&lt;wsp:rsid wsp:val=&quot;604E6200&quot;/&gt;&lt;wsp:rsid wsp:val=&quot;604F6C39&quot;/&gt;&lt;wsp:rsid wsp:val=&quot;60502261&quot;/&gt;&lt;wsp:rsid wsp:val=&quot;6051650D&quot;/&gt;&lt;wsp:rsid wsp:val=&quot;60536729&quot;/&gt;&lt;wsp:rsid wsp:val=&quot;605424A1&quot;/&gt;&lt;wsp:rsid wsp:val=&quot;60543D2E&quot;/&gt;&lt;wsp:rsid wsp:val=&quot;60545FFD&quot;/&gt;&lt;wsp:rsid wsp:val=&quot;60554EEF&quot;/&gt;&lt;wsp:rsid wsp:val=&quot;60575AEE&quot;/&gt;&lt;wsp:rsid wsp:val=&quot;6057789C&quot;/&gt;&lt;wsp:rsid wsp:val=&quot;60583D40&quot;/&gt;&lt;wsp:rsid wsp:val=&quot;60591866&quot;/&gt;&lt;wsp:rsid wsp:val=&quot;605B55DE&quot;/&gt;&lt;wsp:rsid wsp:val=&quot;605C4EB2&quot;/&gt;&lt;wsp:rsid wsp:val=&quot;605D1356&quot;/&gt;&lt;wsp:rsid wsp:val=&quot;605D41C0&quot;/&gt;&lt;wsp:rsid wsp:val=&quot;605D4865&quot;/&gt;&lt;wsp:rsid wsp:val=&quot;605E0C2A&quot;/&gt;&lt;wsp:rsid wsp:val=&quot;60603D90&quot;/&gt;&lt;wsp:rsid wsp:val=&quot;60625B06&quot;/&gt;&lt;wsp:rsid wsp:val=&quot;6063192E&quot;/&gt;&lt;wsp:rsid wsp:val=&quot;60640C85&quot;/&gt;&lt;wsp:rsid wsp:val=&quot;60651FB9&quot;/&gt;&lt;wsp:rsid wsp:val=&quot;6065645C&quot;/&gt;&lt;wsp:rsid wsp:val=&quot;60667058&quot;/&gt;&lt;wsp:rsid wsp:val=&quot;60673F26&quot;/&gt;&lt;wsp:rsid wsp:val=&quot;60683065&quot;/&gt;&lt;wsp:rsid wsp:val=&quot;606B6ED9&quot;/&gt;&lt;wsp:rsid wsp:val=&quot;606C77EB&quot;/&gt;&lt;wsp:rsid wsp:val=&quot;606E3563&quot;/&gt;&lt;wsp:rsid wsp:val=&quot;606F1089&quot;/&gt;&lt;wsp:rsid wsp:val=&quot;606F4BE5&quot;/&gt;&lt;wsp:rsid wsp:val=&quot;6070184B&quot;/&gt;&lt;wsp:rsid wsp:val=&quot;60716BAF&quot;/&gt;&lt;wsp:rsid wsp:val=&quot;607271D5&quot;/&gt;&lt;wsp:rsid wsp:val=&quot;60732927&quot;/&gt;&lt;wsp:rsid wsp:val=&quot;607448F1&quot;/&gt;&lt;wsp:rsid wsp:val=&quot;607466A0&quot;/&gt;&lt;wsp:rsid wsp:val=&quot;607641C6&quot;/&gt;&lt;wsp:rsid wsp:val=&quot;60771CEC&quot;/&gt;&lt;wsp:rsid wsp:val=&quot;60786190&quot;/&gt;&lt;wsp:rsid wsp:val=&quot;60787F3E&quot;/&gt;&lt;wsp:rsid wsp:val=&quot;60791F08&quot;/&gt;&lt;wsp:rsid wsp:val=&quot;607A5BA6&quot;/&gt;&lt;wsp:rsid wsp:val=&quot;607B21B4&quot;/&gt;&lt;wsp:rsid wsp:val=&quot;607B521D&quot;/&gt;&lt;wsp:rsid wsp:val=&quot;607C5DEE&quot;/&gt;&lt;wsp:rsid wsp:val=&quot;607C641A&quot;/&gt;&lt;wsp:rsid wsp:val=&quot;60807BFF&quot;/&gt;&lt;wsp:rsid wsp:val=&quot;608151BE&quot;/&gt;&lt;wsp:rsid wsp:val=&quot;60822B6A&quot;/&gt;&lt;wsp:rsid wsp:val=&quot;60830691&quot;/&gt;&lt;wsp:rsid wsp:val=&quot;60844B35&quot;/&gt;&lt;wsp:rsid wsp:val=&quot;6085265B&quot;/&gt;&lt;wsp:rsid wsp:val=&quot;60854409&quot;/&gt;&lt;wsp:rsid wsp:val=&quot;60885CA7&quot;/&gt;&lt;wsp:rsid wsp:val=&quot;6089214B&quot;/&gt;&lt;wsp:rsid wsp:val=&quot;608923C4&quot;/&gt;&lt;wsp:rsid wsp:val=&quot;608A06B3&quot;/&gt;&lt;wsp:rsid wsp:val=&quot;608A1A1F&quot;/&gt;&lt;wsp:rsid wsp:val=&quot;608A3882&quot;/&gt;&lt;wsp:rsid wsp:val=&quot;608A427B&quot;/&gt;&lt;wsp:rsid wsp:val=&quot;608C39E9&quot;/&gt;&lt;wsp:rsid wsp:val=&quot;608C5797&quot;/&gt;&lt;wsp:rsid wsp:val=&quot;608D150F&quot;/&gt;&lt;wsp:rsid wsp:val=&quot;608E7761&quot;/&gt;&lt;wsp:rsid wsp:val=&quot;60912DAE&quot;/&gt;&lt;wsp:rsid wsp:val=&quot;60917251&quot;/&gt;&lt;wsp:rsid wsp:val=&quot;60924BE4&quot;/&gt;&lt;wsp:rsid wsp:val=&quot;60934D78&quot;/&gt;&lt;wsp:rsid wsp:val=&quot;6094289E&quot;/&gt;&lt;wsp:rsid wsp:val=&quot;60956D42&quot;/&gt;&lt;wsp:rsid wsp:val=&quot;60964868&quot;/&gt;&lt;wsp:rsid wsp:val=&quot;60966616&quot;/&gt;&lt;wsp:rsid wsp:val=&quot;609741B5&quot;/&gt;&lt;wsp:rsid wsp:val=&quot;6098238E&quot;/&gt;&lt;wsp:rsid wsp:val=&quot;60994DBA&quot;/&gt;&lt;wsp:rsid wsp:val=&quot;60996106&quot;/&gt;&lt;wsp:rsid wsp:val=&quot;609B508E&quot;/&gt;&lt;wsp:rsid wsp:val=&quot;609C5C96&quot;/&gt;&lt;wsp:rsid wsp:val=&quot;609E371C&quot;/&gt;&lt;wsp:rsid wsp:val=&quot;609F196E&quot;/&gt;&lt;wsp:rsid wsp:val=&quot;609F27FF&quot;/&gt;&lt;wsp:rsid wsp:val=&quot;60A01D65&quot;/&gt;&lt;wsp:rsid wsp:val=&quot;60A056E7&quot;/&gt;&lt;wsp:rsid wsp:val=&quot;60A05AA7&quot;/&gt;&lt;wsp:rsid wsp:val=&quot;60A07495&quot;/&gt;&lt;wsp:rsid wsp:val=&quot;60A1148A&quot;/&gt;&lt;wsp:rsid wsp:val=&quot;60A2320D&quot;/&gt;&lt;wsp:rsid wsp:val=&quot;60A46625&quot;/&gt;&lt;wsp:rsid wsp:val=&quot;60A46F85&quot;/&gt;&lt;wsp:rsid wsp:val=&quot;60A56859&quot;/&gt;&lt;wsp:rsid wsp:val=&quot;60A90FEE&quot;/&gt;&lt;wsp:rsid wsp:val=&quot;60A919DB&quot;/&gt;&lt;wsp:rsid wsp:val=&quot;60AA20C1&quot;/&gt;&lt;wsp:rsid wsp:val=&quot;60AC62E9&quot;/&gt;&lt;wsp:rsid wsp:val=&quot;60AD570E&quot;/&gt;&lt;wsp:rsid wsp:val=&quot;60AE1BB1&quot;/&gt;&lt;wsp:rsid wsp:val=&quot;60AF592A&quot;/&gt;&lt;wsp:rsid wsp:val=&quot;60B151FE&quot;/&gt;&lt;wsp:rsid wsp:val=&quot;60B60A66&quot;/&gt;&lt;wsp:rsid wsp:val=&quot;60B62814&quot;/&gt;&lt;wsp:rsid wsp:val=&quot;60B66CB8&quot;/&gt;&lt;wsp:rsid wsp:val=&quot;60B847DE&quot;/&gt;&lt;wsp:rsid wsp:val=&quot;60BA0556&quot;/&gt;&lt;wsp:rsid wsp:val=&quot;60BB607C&quot;/&gt;&lt;wsp:rsid wsp:val=&quot;60BD1DF5&quot;/&gt;&lt;wsp:rsid wsp:val=&quot;60BD3BA3&quot;/&gt;&lt;wsp:rsid wsp:val=&quot;60BE791B&quot;/&gt;&lt;wsp:rsid wsp:val=&quot;60BF3DBF&quot;/&gt;&lt;wsp:rsid wsp:val=&quot;60BF5826&quot;/&gt;&lt;wsp:rsid wsp:val=&quot;60C018E5&quot;/&gt;&lt;wsp:rsid wsp:val=&quot;60C07C62&quot;/&gt;&lt;wsp:rsid wsp:val=&quot;60C22582&quot;/&gt;&lt;wsp:rsid wsp:val=&quot;60C34F31&quot;/&gt;&lt;wsp:rsid wsp:val=&quot;60C44EA2&quot;/&gt;&lt;wsp:rsid wsp:val=&quot;60C703C2&quot;/&gt;&lt;wsp:rsid wsp:val=&quot;60C767CF&quot;/&gt;&lt;wsp:rsid wsp:val=&quot;60CA3479&quot;/&gt;&lt;wsp:rsid wsp:val=&quot;60CA62C0&quot;/&gt;&lt;wsp:rsid wsp:val=&quot;60CB21A4&quot;/&gt;&lt;wsp:rsid wsp:val=&quot;60CC405A&quot;/&gt;&lt;wsp:rsid wsp:val=&quot;60CD6505&quot;/&gt;&lt;wsp:rsid wsp:val=&quot;60CE5DB0&quot;/&gt;&lt;wsp:rsid wsp:val=&quot;60CF38D6&quot;/&gt;&lt;wsp:rsid wsp:val=&quot;60D13B11&quot;/&gt;&lt;wsp:rsid wsp:val=&quot;60D158A0&quot;/&gt;&lt;wsp:rsid wsp:val=&quot;60D1764E&quot;/&gt;&lt;wsp:rsid wsp:val=&quot;60D20D76&quot;/&gt;&lt;wsp:rsid wsp:val=&quot;60D2370C&quot;/&gt;&lt;wsp:rsid wsp:val=&quot;60D31618&quot;/&gt;&lt;wsp:rsid wsp:val=&quot;60D333C6&quot;/&gt;&lt;wsp:rsid wsp:val=&quot;60D550A2&quot;/&gt;&lt;wsp:rsid wsp:val=&quot;60D55390&quot;/&gt;&lt;wsp:rsid wsp:val=&quot;60D73318&quot;/&gt;&lt;wsp:rsid wsp:val=&quot;60D75B37&quot;/&gt;&lt;wsp:rsid wsp:val=&quot;60D809DC&quot;/&gt;&lt;wsp:rsid wsp:val=&quot;60D847A8&quot;/&gt;&lt;wsp:rsid wsp:val=&quot;60DA0BF8&quot;/&gt;&lt;wsp:rsid wsp:val=&quot;60DA2890&quot;/&gt;&lt;wsp:rsid wsp:val=&quot;60DA29A7&quot;/&gt;&lt;wsp:rsid wsp:val=&quot;60DB04CD&quot;/&gt;&lt;wsp:rsid wsp:val=&quot;60DB227B&quot;/&gt;&lt;wsp:rsid wsp:val=&quot;60DD3C0F&quot;/&gt;&lt;wsp:rsid wsp:val=&quot;60DD4245&quot;/&gt;&lt;wsp:rsid wsp:val=&quot;60DD5FF3&quot;/&gt;&lt;wsp:rsid wsp:val=&quot;60E03D35&quot;/&gt;&lt;wsp:rsid wsp:val=&quot;60E05AE3&quot;/&gt;&lt;wsp:rsid wsp:val=&quot;60E2185B&quot;/&gt;&lt;wsp:rsid wsp:val=&quot;60E42D4B&quot;/&gt;&lt;wsp:rsid wsp:val=&quot;60E455D3&quot;/&gt;&lt;wsp:rsid wsp:val=&quot;60E530F9&quot;/&gt;&lt;wsp:rsid wsp:val=&quot;60E750C3&quot;/&gt;&lt;wsp:rsid wsp:val=&quot;60E80369&quot;/&gt;&lt;wsp:rsid wsp:val=&quot;60E92BEA&quot;/&gt;&lt;wsp:rsid wsp:val=&quot;60EA0710&quot;/&gt;&lt;wsp:rsid wsp:val=&quot;60EA6962&quot;/&gt;&lt;wsp:rsid wsp:val=&quot;60EB4BB4&quot;/&gt;&lt;wsp:rsid wsp:val=&quot;60EC6236&quot;/&gt;&lt;wsp:rsid wsp:val=&quot;60ED40AE&quot;/&gt;&lt;wsp:rsid wsp:val=&quot;60EE2705&quot;/&gt;&lt;wsp:rsid wsp:val=&quot;60EE6452&quot;/&gt;&lt;wsp:rsid wsp:val=&quot;60EF5D26&quot;/&gt;&lt;wsp:rsid wsp:val=&quot;60F00BC5&quot;/&gt;&lt;wsp:rsid wsp:val=&quot;60F03F78&quot;/&gt;&lt;wsp:rsid wsp:val=&quot;60F07B25&quot;/&gt;&lt;wsp:rsid wsp:val=&quot;60F11A9E&quot;/&gt;&lt;wsp:rsid wsp:val=&quot;60F24707&quot;/&gt;&lt;wsp:rsid wsp:val=&quot;60F313B0&quot;/&gt;&lt;wsp:rsid wsp:val=&quot;60F33A68&quot;/&gt;&lt;wsp:rsid wsp:val=&quot;60F34B13&quot;/&gt;&lt;wsp:rsid wsp:val=&quot;60F375C4&quot;/&gt;&lt;wsp:rsid wsp:val=&quot;60F4333C&quot;/&gt;&lt;wsp:rsid wsp:val=&quot;60F5158E&quot;/&gt;&lt;wsp:rsid wsp:val=&quot;60F63558&quot;/&gt;&lt;wsp:rsid wsp:val=&quot;60F664B8&quot;/&gt;&lt;wsp:rsid wsp:val=&quot;60F670B5&quot;/&gt;&lt;wsp:rsid wsp:val=&quot;60F730F7&quot;/&gt;&lt;wsp:rsid wsp:val=&quot;60F8107F&quot;/&gt;&lt;wsp:rsid wsp:val=&quot;60FA6BA5&quot;/&gt;&lt;wsp:rsid wsp:val=&quot;60FB291D&quot;/&gt;&lt;wsp:rsid wsp:val=&quot;60FD6695&quot;/&gt;&lt;wsp:rsid wsp:val=&quot;60FE64C3&quot;/&gt;&lt;wsp:rsid wsp:val=&quot;61023CAB&quot;/&gt;&lt;wsp:rsid wsp:val=&quot;61073070&quot;/&gt;&lt;wsp:rsid wsp:val=&quot;61077514&quot;/&gt;&lt;wsp:rsid wsp:val=&quot;61096DE8&quot;/&gt;&lt;wsp:rsid wsp:val=&quot;610A2B60&quot;/&gt;&lt;wsp:rsid wsp:val=&quot;610B0DB2&quot;/&gt;&lt;wsp:rsid wsp:val=&quot;610B0F9A&quot;/&gt;&lt;wsp:rsid wsp:val=&quot;610B4DAD&quot;/&gt;&lt;wsp:rsid wsp:val=&quot;610C0686&quot;/&gt;&lt;wsp:rsid wsp:val=&quot;610C3698&quot;/&gt;&lt;wsp:rsid wsp:val=&quot;610C68D8&quot;/&gt;&lt;wsp:rsid wsp:val=&quot;610F75D9&quot;/&gt;&lt;wsp:rsid wsp:val=&quot;611063C8&quot;/&gt;&lt;wsp:rsid wsp:val=&quot;61112140&quot;/&gt;&lt;wsp:rsid wsp:val=&quot;61113EEE&quot;/&gt;&lt;wsp:rsid wsp:val=&quot;61131A15&quot;/&gt;&lt;wsp:rsid wsp:val=&quot;61151C31&quot;/&gt;&lt;wsp:rsid wsp:val=&quot;61152F7C&quot;/&gt;&lt;wsp:rsid wsp:val=&quot;611834CF&quot;/&gt;&lt;wsp:rsid wsp:val=&quot;611D6D37&quot;/&gt;&lt;wsp:rsid wsp:val=&quot;611F27A3&quot;/&gt;&lt;wsp:rsid wsp:val=&quot;612105D5&quot;/&gt;&lt;wsp:rsid wsp:val=&quot;61226A41&quot;/&gt;&lt;wsp:rsid wsp:val=&quot;61241E74&quot;/&gt;&lt;wsp:rsid wsp:val=&quot;6126423F&quot;/&gt;&lt;wsp:rsid wsp:val=&quot;61273712&quot;/&gt;&lt;wsp:rsid wsp:val=&quot;61291238&quot;/&gt;&lt;wsp:rsid wsp:val=&quot;612B3202&quot;/&gt;&lt;wsp:rsid wsp:val=&quot;612C0D28&quot;/&gt;&lt;wsp:rsid wsp:val=&quot;612C6F7A&quot;/&gt;&lt;wsp:rsid wsp:val=&quot;61300818&quot;/&gt;&lt;wsp:rsid wsp:val=&quot;61304D5B&quot;/&gt;&lt;wsp:rsid wsp:val=&quot;6131379E&quot;/&gt;&lt;wsp:rsid wsp:val=&quot;61330105&quot;/&gt;&lt;wsp:rsid wsp:val=&quot;613320B7&quot;/&gt;&lt;wsp:rsid wsp:val=&quot;613528A4&quot;/&gt;&lt;wsp:rsid wsp:val=&quot;61354081&quot;/&gt;&lt;wsp:rsid wsp:val=&quot;61355E2F&quot;/&gt;&lt;wsp:rsid wsp:val=&quot;61363955&quot;/&gt;&lt;wsp:rsid wsp:val=&quot;61371BA7&quot;/&gt;&lt;wsp:rsid wsp:val=&quot;613A3445&quot;/&gt;&lt;wsp:rsid wsp:val=&quot;613C71BD&quot;/&gt;&lt;wsp:rsid wsp:val=&quot;613D2F35&quot;/&gt;&lt;wsp:rsid wsp:val=&quot;613F6CAD&quot;/&gt;&lt;wsp:rsid wsp:val=&quot;61412A26&quot;/&gt;&lt;wsp:rsid wsp:val=&quot;614442C4&quot;/&gt;&lt;wsp:rsid wsp:val=&quot;61475B62&quot;/&gt;&lt;wsp:rsid wsp:val=&quot;61477910&quot;/&gt;&lt;wsp:rsid wsp:val=&quot;61493688&quot;/&gt;&lt;wsp:rsid wsp:val=&quot;614C3178&quot;/&gt;&lt;wsp:rsid wsp:val=&quot;614C4F26&quot;/&gt;&lt;wsp:rsid wsp:val=&quot;614D0B2B&quot;/&gt;&lt;wsp:rsid wsp:val=&quot;614E5143&quot;/&gt;&lt;wsp:rsid wsp:val=&quot;61502C69&quot;/&gt;&lt;wsp:rsid wsp:val=&quot;6151078F&quot;/&gt;&lt;wsp:rsid wsp:val=&quot;6151253D&quot;/&gt;&lt;wsp:rsid wsp:val=&quot;61534507&quot;/&gt;&lt;wsp:rsid wsp:val=&quot;6155027F&quot;/&gt;&lt;wsp:rsid wsp:val=&quot;61572249&quot;/&gt;&lt;wsp:rsid wsp:val=&quot;61573FF7&quot;/&gt;&lt;wsp:rsid wsp:val=&quot;615838CB&quot;/&gt;&lt;wsp:rsid wsp:val=&quot;61587D6F&quot;/&gt;&lt;wsp:rsid wsp:val=&quot;6159055E&quot;/&gt;&lt;wsp:rsid wsp:val=&quot;615B69F6&quot;/&gt;&lt;wsp:rsid wsp:val=&quot;615D5386&quot;/&gt;&lt;wsp:rsid wsp:val=&quot;615D7134&quot;/&gt;&lt;wsp:rsid wsp:val=&quot;615E35D8&quot;/&gt;&lt;wsp:rsid wsp:val=&quot;61607856&quot;/&gt;&lt;wsp:rsid wsp:val=&quot;616109D2&quot;/&gt;&lt;wsp:rsid wsp:val=&quot;61616C24&quot;/&gt;&lt;wsp:rsid wsp:val=&quot;61620180&quot;/&gt;&lt;wsp:rsid wsp:val=&quot;6162474A&quot;/&gt;&lt;wsp:rsid wsp:val=&quot;616606D1&quot;/&gt;&lt;wsp:rsid wsp:val=&quot;6166324A&quot;/&gt;&lt;wsp:rsid wsp:val=&quot;6166423A&quot;/&gt;&lt;wsp:rsid wsp:val=&quot;61667493&quot;/&gt;&lt;wsp:rsid wsp:val=&quot;61672B62&quot;/&gt;&lt;wsp:rsid wsp:val=&quot;61695AD8&quot;/&gt;&lt;wsp:rsid wsp:val=&quot;616B1851&quot;/&gt;&lt;wsp:rsid wsp:val=&quot;616C7377&quot;/&gt;&lt;wsp:rsid wsp:val=&quot;616E1341&quot;/&gt;&lt;wsp:rsid wsp:val=&quot;616F65A9&quot;/&gt;&lt;wsp:rsid wsp:val=&quot;6170330B&quot;/&gt;&lt;wsp:rsid wsp:val=&quot;61706E67&quot;/&gt;&lt;wsp:rsid wsp:val=&quot;61750921&quot;/&gt;&lt;wsp:rsid wsp:val=&quot;617701F5&quot;/&gt;&lt;wsp:rsid wsp:val=&quot;61785D1C&quot;/&gt;&lt;wsp:rsid wsp:val=&quot;617D4D88&quot;/&gt;&lt;wsp:rsid wsp:val=&quot;617F6000&quot;/&gt;&lt;wsp:rsid wsp:val=&quot;617F70AA&quot;/&gt;&lt;wsp:rsid wsp:val=&quot;61826B9A&quot;/&gt;&lt;wsp:rsid wsp:val=&quot;61834DEC&quot;/&gt;&lt;wsp:rsid wsp:val=&quot;61840B64&quot;/&gt;&lt;wsp:rsid wsp:val=&quot;618648DC&quot;/&gt;&lt;wsp:rsid wsp:val=&quot;6186668A&quot;/&gt;&lt;wsp:rsid wsp:val=&quot;61872477&quot;/&gt;&lt;wsp:rsid wsp:val=&quot;618748BD&quot;/&gt;&lt;wsp:rsid wsp:val=&quot;6189617B&quot;/&gt;&lt;wsp:rsid wsp:val=&quot;6189763D&quot;/&gt;&lt;wsp:rsid wsp:val=&quot;618B1E56&quot;/&gt;&lt;wsp:rsid wsp:val=&quot;618D744E&quot;/&gt;&lt;wsp:rsid wsp:val=&quot;618E2A59&quot;/&gt;&lt;wsp:rsid wsp:val=&quot;618E3791&quot;/&gt;&lt;wsp:rsid wsp:val=&quot;618F19E3&quot;/&gt;&lt;wsp:rsid wsp:val=&quot;61907509&quot;/&gt;&lt;wsp:rsid wsp:val=&quot;61921A34&quot;/&gt;&lt;wsp:rsid wsp:val=&quot;619306EF&quot;/&gt;&lt;wsp:rsid wsp:val=&quot;61930DA7&quot;/&gt;&lt;wsp:rsid wsp:val=&quot;61954B1F&quot;/&gt;&lt;wsp:rsid wsp:val=&quot;61963666&quot;/&gt;&lt;wsp:rsid wsp:val=&quot;619667CA&quot;/&gt;&lt;wsp:rsid wsp:val=&quot;61970898&quot;/&gt;&lt;wsp:rsid wsp:val=&quot;619743F4&quot;/&gt;&lt;wsp:rsid wsp:val=&quot;619863BE&quot;/&gt;&lt;wsp:rsid wsp:val=&quot;619A2136&quot;/&gt;&lt;wsp:rsid wsp:val=&quot;619A2D73&quot;/&gt;&lt;wsp:rsid wsp:val=&quot;619A3EE4&quot;/&gt;&lt;wsp:rsid wsp:val=&quot;619B3FD0&quot;/&gt;&lt;wsp:rsid wsp:val=&quot;619C1A0A&quot;/&gt;&lt;wsp:rsid wsp:val=&quot;619D5782&quot;/&gt;&lt;wsp:rsid wsp:val=&quot;619F2ADA&quot;/&gt;&lt;wsp:rsid wsp:val=&quot;619F599E&quot;/&gt;&lt;wsp:rsid wsp:val=&quot;619F774C&quot;/&gt;&lt;wsp:rsid wsp:val=&quot;61A30FEA&quot;/&gt;&lt;wsp:rsid wsp:val=&quot;61A34870&quot;/&gt;&lt;wsp:rsid wsp:val=&quot;61A3723C&quot;/&gt;&lt;wsp:rsid wsp:val=&quot;61A46B11&quot;/&gt;&lt;wsp:rsid wsp:val=&quot;61B01959&quot;/&gt;&lt;wsp:rsid wsp:val=&quot;61B03707&quot;/&gt;&lt;wsp:rsid wsp:val=&quot;61B17A3F&quot;/&gt;&lt;wsp:rsid wsp:val=&quot;61B2122D&quot;/&gt;&lt;wsp:rsid wsp:val=&quot;61B336CF&quot;/&gt;&lt;wsp:rsid wsp:val=&quot;61B50D1E&quot;/&gt;&lt;wsp:rsid wsp:val=&quot;61B551C2&quot;/&gt;&lt;wsp:rsid wsp:val=&quot;61B56F70&quot;/&gt;&lt;wsp:rsid wsp:val=&quot;61B72CE8&quot;/&gt;&lt;wsp:rsid wsp:val=&quot;61B80F7A&quot;/&gt;&lt;wsp:rsid wsp:val=&quot;61B9080E&quot;/&gt;&lt;wsp:rsid wsp:val=&quot;61B96A60&quot;/&gt;&lt;wsp:rsid wsp:val=&quot;61BA27D8&quot;/&gt;&lt;wsp:rsid wsp:val=&quot;61BA4586&quot;/&gt;&lt;wsp:rsid wsp:val=&quot;61BA6334&quot;/&gt;&lt;wsp:rsid wsp:val=&quot;61BC02FE&quot;/&gt;&lt;wsp:rsid wsp:val=&quot;61BC24CC&quot;/&gt;&lt;wsp:rsid wsp:val=&quot;61BD7BD2&quot;/&gt;&lt;wsp:rsid wsp:val=&quot;61BE4076&quot;/&gt;&lt;wsp:rsid wsp:val=&quot;61C0178A&quot;/&gt;&lt;wsp:rsid wsp:val=&quot;61C15914&quot;/&gt;&lt;wsp:rsid wsp:val=&quot;61C176C2&quot;/&gt;&lt;wsp:rsid wsp:val=&quot;61C251E9&quot;/&gt;&lt;wsp:rsid wsp:val=&quot;61C3343B&quot;/&gt;&lt;wsp:rsid wsp:val=&quot;61C40F61&quot;/&gt;&lt;wsp:rsid wsp:val=&quot;61C5764C&quot;/&gt;&lt;wsp:rsid wsp:val=&quot;61C62F2B&quot;/&gt;&lt;wsp:rsid wsp:val=&quot;61C8409B&quot;/&gt;&lt;wsp:rsid wsp:val=&quot;61C86CA3&quot;/&gt;&lt;wsp:rsid wsp:val=&quot;61C96577&quot;/&gt;&lt;wsp:rsid wsp:val=&quot;61CA5CBF&quot;/&gt;&lt;wsp:rsid wsp:val=&quot;61CA657B&quot;/&gt;&lt;wsp:rsid wsp:val=&quot;61CB6793&quot;/&gt;&lt;wsp:rsid wsp:val=&quot;61CF0031&quot;/&gt;&lt;wsp:rsid wsp:val=&quot;61D11B21&quot;/&gt;&lt;wsp:rsid wsp:val=&quot;61D218D0&quot;/&gt;&lt;wsp:rsid wsp:val=&quot;61D27B22&quot;/&gt;&lt;wsp:rsid wsp:val=&quot;61D4389A&quot;/&gt;&lt;wsp:rsid wsp:val=&quot;61D54F1C&quot;/&gt;&lt;wsp:rsid wsp:val=&quot;61D6007B&quot;/&gt;&lt;wsp:rsid wsp:val=&quot;61D90EB0&quot;/&gt;&lt;wsp:rsid wsp:val=&quot;61D94A0C&quot;/&gt;&lt;wsp:rsid wsp:val=&quot;61E00186&quot;/&gt;&lt;wsp:rsid wsp:val=&quot;61E17D65&quot;/&gt;&lt;wsp:rsid wsp:val=&quot;61E215D8&quot;/&gt;&lt;wsp:rsid wsp:val=&quot;61E6537B&quot;/&gt;&lt;wsp:rsid wsp:val=&quot;61E84C4F&quot;/&gt;&lt;wsp:rsid wsp:val=&quot;61EB2991&quot;/&gt;&lt;wsp:rsid wsp:val=&quot;61EB473F&quot;/&gt;&lt;wsp:rsid wsp:val=&quot;61EC7CB3&quot;/&gt;&lt;wsp:rsid wsp:val=&quot;61ED04B8&quot;/&gt;&lt;wsp:rsid wsp:val=&quot;61ED12FA&quot;/&gt;&lt;wsp:rsid wsp:val=&quot;61EE237D&quot;/&gt;&lt;wsp:rsid wsp:val=&quot;61EF4230&quot;/&gt;&lt;wsp:rsid wsp:val=&quot;61EF4C53&quot;/&gt;&lt;wsp:rsid wsp:val=&quot;61F2259B&quot;/&gt;&lt;wsp:rsid wsp:val=&quot;61F335F4&quot;/&gt;&lt;wsp:rsid wsp:val=&quot;61F33CE1&quot;/&gt;&lt;wsp:rsid wsp:val=&quot;61F44EBB&quot;/&gt;&lt;wsp:rsid wsp:val=&quot;61F53810&quot;/&gt;&lt;wsp:rsid wsp:val=&quot;61F71336&quot;/&gt;&lt;wsp:rsid wsp:val=&quot;61F730E4&quot;/&gt;&lt;wsp:rsid wsp:val=&quot;61F93300&quot;/&gt;&lt;wsp:rsid wsp:val=&quot;61F95704&quot;/&gt;&lt;wsp:rsid wsp:val=&quot;61FA2BD4&quot;/&gt;&lt;wsp:rsid wsp:val=&quot;61FA4982&quot;/&gt;&lt;wsp:rsid wsp:val=&quot;61FB21BD&quot;/&gt;&lt;wsp:rsid wsp:val=&quot;61FB4D8E&quot;/&gt;&lt;wsp:rsid wsp:val=&quot;61FC622B&quot;/&gt;&lt;wsp:rsid wsp:val=&quot;62045801&quot;/&gt;&lt;wsp:rsid wsp:val=&quot;62053A53&quot;/&gt;&lt;wsp:rsid wsp:val=&quot;62092E18&quot;/&gt;&lt;wsp:rsid wsp:val=&quot;620A1069&quot;/&gt;&lt;wsp:rsid wsp:val=&quot;620B2183&quot;/&gt;&lt;wsp:rsid wsp:val=&quot;620B41EB&quot;/&gt;&lt;wsp:rsid wsp:val=&quot;620C3034&quot;/&gt;&lt;wsp:rsid wsp:val=&quot;620C5D12&quot;/&gt;&lt;wsp:rsid wsp:val=&quot;620D0B5A&quot;/&gt;&lt;wsp:rsid wsp:val=&quot;620F48D2&quot;/&gt;&lt;wsp:rsid wsp:val=&quot;62141908&quot;/&gt;&lt;wsp:rsid wsp:val=&quot;62141EE8&quot;/&gt;&lt;wsp:rsid wsp:val=&quot;62143C96&quot;/&gt;&lt;wsp:rsid wsp:val=&quot;621517BC&quot;/&gt;&lt;wsp:rsid wsp:val=&quot;62165C60&quot;/&gt;&lt;wsp:rsid wsp:val=&quot;621718F7&quot;/&gt;&lt;wsp:rsid wsp:val=&quot;62173786&quot;/&gt;&lt;wsp:rsid wsp:val=&quot;621842B5&quot;/&gt;&lt;wsp:rsid wsp:val=&quot;62195750&quot;/&gt;&lt;wsp:rsid wsp:val=&quot;621B3775&quot;/&gt;&lt;wsp:rsid wsp:val=&quot;621D41B6&quot;/&gt;&lt;wsp:rsid wsp:val=&quot;621E4B15&quot;/&gt;&lt;wsp:rsid wsp:val=&quot;621E68C3&quot;/&gt;&lt;wsp:rsid wsp:val=&quot;621F43E9&quot;/&gt;&lt;wsp:rsid wsp:val=&quot;6220088D&quot;/&gt;&lt;wsp:rsid wsp:val=&quot;6220263B&quot;/&gt;&lt;wsp:rsid wsp:val=&quot;62206ADF&quot;/&gt;&lt;wsp:rsid wsp:val=&quot;622163B3&quot;/&gt;&lt;wsp:rsid wsp:val=&quot;622201F3&quot;/&gt;&lt;wsp:rsid wsp:val=&quot;62226E43&quot;/&gt;&lt;wsp:rsid wsp:val=&quot;62227C87&quot;/&gt;&lt;wsp:rsid wsp:val=&quot;6223037D&quot;/&gt;&lt;wsp:rsid wsp:val=&quot;62231F9D&quot;/&gt;&lt;wsp:rsid wsp:val=&quot;6223212B&quot;/&gt;&lt;wsp:rsid wsp:val=&quot;62257C51&quot;/&gt;&lt;wsp:rsid wsp:val=&quot;62261C1B&quot;/&gt;&lt;wsp:rsid wsp:val=&quot;62265778&quot;/&gt;&lt;wsp:rsid wsp:val=&quot;62266801&quot;/&gt;&lt;wsp:rsid wsp:val=&quot;622814F0&quot;/&gt;&lt;wsp:rsid wsp:val=&quot;622A34BA&quot;/&gt;&lt;wsp:rsid wsp:val=&quot;622C2AF7&quot;/&gt;&lt;wsp:rsid wsp:val=&quot;622D2FAA&quot;/&gt;&lt;wsp:rsid wsp:val=&quot;622D6B06&quot;/&gt;&lt;wsp:rsid wsp:val=&quot;622F0AD0&quot;/&gt;&lt;wsp:rsid wsp:val=&quot;622F287E&quot;/&gt;&lt;wsp:rsid wsp:val=&quot;622F6D22&quot;/&gt;&lt;wsp:rsid wsp:val=&quot;623065F6&quot;/&gt;&lt;wsp:rsid wsp:val=&quot;623600B0&quot;/&gt;&lt;wsp:rsid wsp:val=&quot;62360F7F&quot;/&gt;&lt;wsp:rsid wsp:val=&quot;62364782&quot;/&gt;&lt;wsp:rsid wsp:val=&quot;62377985&quot;/&gt;&lt;wsp:rsid wsp:val=&quot;6239194F&quot;/&gt;&lt;wsp:rsid wsp:val=&quot;62392789&quot;/&gt;&lt;wsp:rsid wsp:val=&quot;623936FD&quot;/&gt;&lt;wsp:rsid wsp:val=&quot;623954AB&quot;/&gt;&lt;wsp:rsid wsp:val=&quot;62397BA1&quot;/&gt;&lt;wsp:rsid wsp:val=&quot;623A0D90&quot;/&gt;&lt;wsp:rsid wsp:val=&quot;623E51B7&quot;/&gt;&lt;wsp:rsid wsp:val=&quot;623E6F65&quot;/&gt;&lt;wsp:rsid wsp:val=&quot;623F6839&quot;/&gt;&lt;wsp:rsid wsp:val=&quot;6240165B&quot;/&gt;&lt;wsp:rsid wsp:val=&quot;62404A8B&quot;/&gt;&lt;wsp:rsid wsp:val=&quot;624520A2&quot;/&gt;&lt;wsp:rsid wsp:val=&quot;62457B6A&quot;/&gt;&lt;wsp:rsid wsp:val=&quot;62465E1A&quot;/&gt;&lt;wsp:rsid wsp:val=&quot;62471F04&quot;/&gt;&lt;wsp:rsid wsp:val=&quot;6247406C&quot;/&gt;&lt;wsp:rsid wsp:val=&quot;624A590A&quot;/&gt;&lt;wsp:rsid wsp:val=&quot;624B7144&quot;/&gt;&lt;wsp:rsid wsp:val=&quot;624C31A5&quot;/&gt;&lt;wsp:rsid wsp:val=&quot;624D3FDD&quot;/&gt;&lt;wsp:rsid wsp:val=&quot;624D53FA&quot;/&gt;&lt;wsp:rsid wsp:val=&quot;624F1B26&quot;/&gt;&lt;wsp:rsid wsp:val=&quot;62515B87&quot;/&gt;&lt;wsp:rsid wsp:val=&quot;625255ED&quot;/&gt;&lt;wsp:rsid wsp:val=&quot;6252656D&quot;/&gt;&lt;wsp:rsid wsp:val=&quot;62540537&quot;/&gt;&lt;wsp:rsid wsp:val=&quot;62555001&quot;/&gt;&lt;wsp:rsid wsp:val=&quot;62570027&quot;/&gt;&lt;wsp:rsid wsp:val=&quot;625702B8&quot;/&gt;&lt;wsp:rsid wsp:val=&quot;62571DD5&quot;/&gt;&lt;wsp:rsid wsp:val=&quot;625966A2&quot;/&gt;&lt;wsp:rsid wsp:val=&quot;625B7B17&quot;/&gt;&lt;wsp:rsid wsp:val=&quot;625C563D&quot;/&gt;&lt;wsp:rsid wsp:val=&quot;625D388F&quot;/&gt;&lt;wsp:rsid wsp:val=&quot;625E3163&quot;/&gt;&lt;wsp:rsid wsp:val=&quot;625E55BA&quot;/&gt;&lt;wsp:rsid wsp:val=&quot;6260512D&quot;/&gt;&lt;wsp:rsid wsp:val=&quot;626224BF&quot;/&gt;&lt;wsp:rsid wsp:val=&quot;626253CB&quot;/&gt;&lt;wsp:rsid wsp:val=&quot;62634C1E&quot;/&gt;&lt;wsp:rsid wsp:val=&quot;6267026A&quot;/&gt;&lt;wsp:rsid wsp:val=&quot;626744AF&quot;/&gt;&lt;wsp:rsid wsp:val=&quot;62677DAD&quot;/&gt;&lt;wsp:rsid wsp:val=&quot;62682234&quot;/&gt;&lt;wsp:rsid wsp:val=&quot;626C3AD2&quot;/&gt;&lt;wsp:rsid wsp:val=&quot;626C5880&quot;/&gt;&lt;wsp:rsid wsp:val=&quot;626D15F8&quot;/&gt;&lt;wsp:rsid wsp:val=&quot;62704626&quot;/&gt;&lt;wsp:rsid wsp:val=&quot;627110E9&quot;/&gt;&lt;wsp:rsid wsp:val=&quot;62724E61&quot;/&gt;&lt;wsp:rsid wsp:val=&quot;62726C0F&quot;/&gt;&lt;wsp:rsid wsp:val=&quot;62732B60&quot;/&gt;&lt;wsp:rsid wsp:val=&quot;62740BD9&quot;/&gt;&lt;wsp:rsid wsp:val=&quot;62775FD3&quot;/&gt;&lt;wsp:rsid wsp:val=&quot;62776161&quot;/&gt;&lt;wsp:rsid wsp:val=&quot;62791D4B&quot;/&gt;&lt;wsp:rsid wsp:val=&quot;62797F9D&quot;/&gt;&lt;wsp:rsid wsp:val=&quot;627B2649&quot;/&gt;&lt;wsp:rsid wsp:val=&quot;627D432D&quot;/&gt;&lt;wsp:rsid wsp:val=&quot;628030DA&quot;/&gt;&lt;wsp:rsid wsp:val=&quot;6280757E&quot;/&gt;&lt;wsp:rsid wsp:val=&quot;62811AFD&quot;/&gt;&lt;wsp:rsid wsp:val=&quot;6283706E&quot;/&gt;&lt;wsp:rsid wsp:val=&quot;628726BA&quot;/&gt;&lt;wsp:rsid wsp:val=&quot;62894684&quot;/&gt;&lt;wsp:rsid wsp:val=&quot;628A3147&quot;/&gt;&lt;wsp:rsid wsp:val=&quot;628C1A7E&quot;/&gt;&lt;wsp:rsid wsp:val=&quot;628C5F22&quot;/&gt;&lt;wsp:rsid wsp:val=&quot;628D3A49&quot;/&gt;&lt;wsp:rsid wsp:val=&quot;628E2F58&quot;/&gt;&lt;wsp:rsid wsp:val=&quot;628F156F&quot;/&gt;&lt;wsp:rsid wsp:val=&quot;629152E7&quot;/&gt;&lt;wsp:rsid wsp:val=&quot;6292105F&quot;/&gt;&lt;wsp:rsid wsp:val=&quot;62922E0D&quot;/&gt;&lt;wsp:rsid wsp:val=&quot;62950A77&quot;/&gt;&lt;wsp:rsid wsp:val=&quot;62953FE3&quot;/&gt;&lt;wsp:rsid wsp:val=&quot;62960B4F&quot;/&gt;&lt;wsp:rsid wsp:val=&quot;62970423&quot;/&gt;&lt;wsp:rsid wsp:val=&quot;62976675&quot;/&gt;&lt;wsp:rsid wsp:val=&quot;629923ED&quot;/&gt;&lt;wsp:rsid wsp:val=&quot;629A2C3C&quot;/&gt;&lt;wsp:rsid wsp:val=&quot;629B4C6D&quot;/&gt;&lt;wsp:rsid wsp:val=&quot;629D15BD&quot;/&gt;&lt;wsp:rsid wsp:val=&quot;629D2462&quot;/&gt;&lt;wsp:rsid wsp:val=&quot;629E1CF3&quot;/&gt;&lt;wsp:rsid wsp:val=&quot;629E52B8&quot;/&gt;&lt;wsp:rsid wsp:val=&quot;62A0552A&quot;/&gt;&lt;wsp:rsid wsp:val=&quot;62A212A2&quot;/&gt;&lt;wsp:rsid wsp:val=&quot;62A25746&quot;/&gt;&lt;wsp:rsid wsp:val=&quot;62A3326C&quot;/&gt;&lt;wsp:rsid wsp:val=&quot;62A3501A&quot;/&gt;&lt;wsp:rsid wsp:val=&quot;62A36DC8&quot;/&gt;&lt;wsp:rsid wsp:val=&quot;62A4089F&quot;/&gt;&lt;wsp:rsid wsp:val=&quot;62A50D92&quot;/&gt;&lt;wsp:rsid wsp:val=&quot;62A5630D&quot;/&gt;&lt;wsp:rsid wsp:val=&quot;62A57D4F&quot;/&gt;&lt;wsp:rsid wsp:val=&quot;62A73AFF&quot;/&gt;&lt;wsp:rsid wsp:val=&quot;62A74B0A&quot;/&gt;&lt;wsp:rsid wsp:val=&quot;62A768B8&quot;/&gt;&lt;wsp:rsid wsp:val=&quot;62A96AD4&quot;/&gt;&lt;wsp:rsid wsp:val=&quot;62AA0157&quot;/&gt;&lt;wsp:rsid wsp:val=&quot;62AA63A9&quot;/&gt;&lt;wsp:rsid wsp:val=&quot;62AB5051&quot;/&gt;&lt;wsp:rsid wsp:val=&quot;62AB5B07&quot;/&gt;&lt;wsp:rsid wsp:val=&quot;62AC2121&quot;/&gt;&lt;wsp:rsid wsp:val=&quot;62AE0E01&quot;/&gt;&lt;wsp:rsid wsp:val=&quot;62AE40EB&quot;/&gt;&lt;wsp:rsid wsp:val=&quot;62AF39BF&quot;/&gt;&lt;wsp:rsid wsp:val=&quot;62B1428E&quot;/&gt;&lt;wsp:rsid wsp:val=&quot;62B34B26&quot;/&gt;&lt;wsp:rsid wsp:val=&quot;62B45479&quot;/&gt;&lt;wsp:rsid wsp:val=&quot;62B47227&quot;/&gt;&lt;wsp:rsid wsp:val=&quot;62B611F1&quot;/&gt;&lt;wsp:rsid wsp:val=&quot;62BC7E8A&quot;/&gt;&lt;wsp:rsid wsp:val=&quot;62BD3DDA&quot;/&gt;&lt;wsp:rsid wsp:val=&quot;62BD432E&quot;/&gt;&lt;wsp:rsid wsp:val=&quot;62BD60DC&quot;/&gt;&lt;wsp:rsid wsp:val=&quot;62BF00A6&quot;/&gt;&lt;wsp:rsid wsp:val=&quot;62C03E1E&quot;/&gt;&lt;wsp:rsid wsp:val=&quot;62C0797A&quot;/&gt;&lt;wsp:rsid wsp:val=&quot;62C332D8&quot;/&gt;&lt;wsp:rsid wsp:val=&quot;62C43D91&quot;/&gt;&lt;wsp:rsid wsp:val=&quot;62C456BC&quot;/&gt;&lt;wsp:rsid wsp:val=&quot;62C51434&quot;/&gt;&lt;wsp:rsid wsp:val=&quot;62C54F90&quot;/&gt;&lt;wsp:rsid wsp:val=&quot;62C84C3C&quot;/&gt;&lt;wsp:rsid wsp:val=&quot;62CA05DA&quot;/&gt;&lt;wsp:rsid wsp:val=&quot;62CA07F9&quot;/&gt;&lt;wsp:rsid wsp:val=&quot;62CA6A4B&quot;/&gt;&lt;wsp:rsid wsp:val=&quot;62CC27C3&quot;/&gt;&lt;wsp:rsid wsp:val=&quot;62CD70A4&quot;/&gt;&lt;wsp:rsid wsp:val=&quot;62CE090B&quot;/&gt;&lt;wsp:rsid wsp:val=&quot;62CE653B&quot;/&gt;&lt;wsp:rsid wsp:val=&quot;62CF4061&quot;/&gt;&lt;wsp:rsid wsp:val=&quot;62CF7BBD&quot;/&gt;&lt;wsp:rsid wsp:val=&quot;62D11B87&quot;/&gt;&lt;wsp:rsid wsp:val=&quot;62D12A63&quot;/&gt;&lt;wsp:rsid wsp:val=&quot;62D13935&quot;/&gt;&lt;wsp:rsid wsp:val=&quot;62D13BE4&quot;/&gt;&lt;wsp:rsid wsp:val=&quot;62D358FF&quot;/&gt;&lt;wsp:rsid wsp:val=&quot;62D43425&quot;/&gt;&lt;wsp:rsid wsp:val=&quot;62DA4EE0&quot;/&gt;&lt;wsp:rsid wsp:val=&quot;62DB0C58&quot;/&gt;&lt;wsp:rsid wsp:val=&quot;62DB2A06&quot;/&gt;&lt;wsp:rsid wsp:val=&quot;62DD22DA&quot;/&gt;&lt;wsp:rsid wsp:val=&quot;62DD657A&quot;/&gt;&lt;wsp:rsid wsp:val=&quot;62DD677E&quot;/&gt;&lt;wsp:rsid wsp:val=&quot;62DD7F00&quot;/&gt;&lt;wsp:rsid wsp:val=&quot;62DE42A4&quot;/&gt;&lt;wsp:rsid wsp:val=&quot;62DF24F6&quot;/&gt;&lt;wsp:rsid wsp:val=&quot;62E25B42&quot;/&gt;&lt;wsp:rsid wsp:val=&quot;62E32561&quot;/&gt;&lt;wsp:rsid wsp:val=&quot;62E33669&quot;/&gt;&lt;wsp:rsid wsp:val=&quot;62E418BB&quot;/&gt;&lt;wsp:rsid wsp:val=&quot;62E47B0C&quot;/&gt;&lt;wsp:rsid wsp:val=&quot;62E53885&quot;/&gt;&lt;wsp:rsid wsp:val=&quot;62E6028B&quot;/&gt;&lt;wsp:rsid wsp:val=&quot;62E713AB&quot;/&gt;&lt;wsp:rsid wsp:val=&quot;62E71689&quot;/&gt;&lt;wsp:rsid wsp:val=&quot;62E73159&quot;/&gt;&lt;wsp:rsid wsp:val=&quot;62E94565&quot;/&gt;&lt;wsp:rsid wsp:val=&quot;62E95123&quot;/&gt;&lt;wsp:rsid wsp:val=&quot;62E95A0A&quot;/&gt;&lt;wsp:rsid wsp:val=&quot;62EA0E9B&quot;/&gt;&lt;wsp:rsid wsp:val=&quot;62EA49F7&quot;/&gt;&lt;wsp:rsid wsp:val=&quot;62EC076F&quot;/&gt;&lt;wsp:rsid wsp:val=&quot;62EC69C1&quot;/&gt;&lt;wsp:rsid wsp:val=&quot;62EE098B&quot;/&gt;&lt;wsp:rsid wsp:val=&quot;62EF0E65&quot;/&gt;&lt;wsp:rsid wsp:val=&quot;62EF1E79&quot;/&gt;&lt;wsp:rsid wsp:val=&quot;62EF200D&quot;/&gt;&lt;wsp:rsid wsp:val=&quot;62EF2532&quot;/&gt;&lt;wsp:rsid wsp:val=&quot;62F04EC6&quot;/&gt;&lt;wsp:rsid wsp:val=&quot;62F0766A&quot;/&gt;&lt;wsp:rsid wsp:val=&quot;62F13FD7&quot;/&gt;&lt;wsp:rsid wsp:val=&quot;62F16356&quot;/&gt;&lt;wsp:rsid wsp:val=&quot;62F615EE&quot;/&gt;&lt;wsp:rsid wsp:val=&quot;62F6339C&quot;/&gt;&lt;wsp:rsid wsp:val=&quot;62F72908&quot;/&gt;&lt;wsp:rsid wsp:val=&quot;62F92E8C&quot;/&gt;&lt;wsp:rsid wsp:val=&quot;62F93315&quot;/&gt;&lt;wsp:rsid wsp:val=&quot;62FA7330&quot;/&gt;&lt;wsp:rsid wsp:val=&quot;62FD0BCE&quot;/&gt;&lt;wsp:rsid wsp:val=&quot;62FD297C&quot;/&gt;&lt;wsp:rsid wsp:val=&quot;62FF66F4&quot;/&gt;&lt;wsp:rsid wsp:val=&quot;630006BE&quot;/&gt;&lt;wsp:rsid wsp:val=&quot;63021D41&quot;/&gt;&lt;wsp:rsid wsp:val=&quot;63043DEE&quot;/&gt;&lt;wsp:rsid wsp:val=&quot;630755A9&quot;/&gt;&lt;wsp:rsid wsp:val=&quot;630759AB&quot;/&gt;&lt;wsp:rsid wsp:val=&quot;630A5099&quot;/&gt;&lt;wsp:rsid wsp:val=&quot;630C7063&quot;/&gt;&lt;wsp:rsid wsp:val=&quot;630E06AB&quot;/&gt;&lt;wsp:rsid wsp:val=&quot;630E2DDB&quot;/&gt;&lt;wsp:rsid wsp:val=&quot;630E6937&quot;/&gt;&lt;wsp:rsid wsp:val=&quot;630F24DE&quot;/&gt;&lt;wsp:rsid wsp:val=&quot;63100901&quot;/&gt;&lt;wsp:rsid wsp:val=&quot;63101B7A&quot;/&gt;&lt;wsp:rsid wsp:val=&quot;63106007&quot;/&gt;&lt;wsp:rsid wsp:val=&quot;631101D6&quot;/&gt;&lt;wsp:rsid wsp:val=&quot;6312568F&quot;/&gt;&lt;wsp:rsid wsp:val=&quot;631400CC&quot;/&gt;&lt;wsp:rsid wsp:val=&quot;6315416A&quot;/&gt;&lt;wsp:rsid wsp:val=&quot;63155479&quot;/&gt;&lt;wsp:rsid wsp:val=&quot;63155F18&quot;/&gt;&lt;wsp:rsid wsp:val=&quot;63181501&quot;/&gt;&lt;wsp:rsid wsp:val=&quot;63185A08&quot;/&gt;&lt;wsp:rsid wsp:val=&quot;631877B6&quot;/&gt;&lt;wsp:rsid wsp:val=&quot;631A16A8&quot;/&gt;&lt;wsp:rsid wsp:val=&quot;631A52DC&quot;/&gt;&lt;wsp:rsid wsp:val=&quot;631C5D81&quot;/&gt;&lt;wsp:rsid wsp:val=&quot;631D3892&quot;/&gt;&lt;wsp:rsid wsp:val=&quot;631D4DCC&quot;/&gt;&lt;wsp:rsid wsp:val=&quot;631D6B7A&quot;/&gt;&lt;wsp:rsid wsp:val=&quot;632223E3&quot;/&gt;&lt;wsp:rsid wsp:val=&quot;63233877&quot;/&gt;&lt;wsp:rsid wsp:val=&quot;632443AD&quot;/&gt;&lt;wsp:rsid wsp:val=&quot;6324615B&quot;/&gt;&lt;wsp:rsid wsp:val=&quot;63251ED3&quot;/&gt;&lt;wsp:rsid wsp:val=&quot;63273CB8&quot;/&gt;&lt;wsp:rsid wsp:val=&quot;63275C4B&quot;/&gt;&lt;wsp:rsid wsp:val=&quot;632779F9&quot;/&gt;&lt;wsp:rsid wsp:val=&quot;63293771&quot;/&gt;&lt;wsp:rsid wsp:val=&quot;632C14B3&quot;/&gt;&lt;wsp:rsid wsp:val=&quot;632C3261&quot;/&gt;&lt;wsp:rsid wsp:val=&quot;632D2297&quot;/&gt;&lt;wsp:rsid wsp:val=&quot;632D2FE1&quot;/&gt;&lt;wsp:rsid wsp:val=&quot;632F68AE&quot;/&gt;&lt;wsp:rsid wsp:val=&quot;63323318&quot;/&gt;&lt;wsp:rsid wsp:val=&quot;63343EC4&quot;/&gt;&lt;wsp:rsid wsp:val=&quot;63350368&quot;/&gt;&lt;wsp:rsid wsp:val=&quot;633635FA&quot;/&gt;&lt;wsp:rsid wsp:val=&quot;63367C3C&quot;/&gt;&lt;wsp:rsid wsp:val=&quot;633A597E&quot;/&gt;&lt;wsp:rsid wsp:val=&quot;633A772C&quot;/&gt;&lt;wsp:rsid wsp:val=&quot;633B746C&quot;/&gt;&lt;wsp:rsid wsp:val=&quot;633B7E21&quot;/&gt;&lt;wsp:rsid wsp:val=&quot;633D721D&quot;/&gt;&lt;wsp:rsid wsp:val=&quot;633F4D43&quot;/&gt;&lt;wsp:rsid wsp:val=&quot;63400ABB&quot;/&gt;&lt;wsp:rsid wsp:val=&quot;63402869&quot;/&gt;&lt;wsp:rsid wsp:val=&quot;634033DE&quot;/&gt;&lt;wsp:rsid wsp:val=&quot;63405B3C&quot;/&gt;&lt;wsp:rsid wsp:val=&quot;63422A85&quot;/&gt;&lt;wsp:rsid wsp:val=&quot;634405AB&quot;/&gt;&lt;wsp:rsid wsp:val=&quot;63442359&quot;/&gt;&lt;wsp:rsid wsp:val=&quot;6344708E&quot;/&gt;&lt;wsp:rsid wsp:val=&quot;634560D1&quot;/&gt;&lt;wsp:rsid wsp:val=&quot;634619AE&quot;/&gt;&lt;wsp:rsid wsp:val=&quot;63472E3E&quot;/&gt;&lt;wsp:rsid wsp:val=&quot;63473BF7&quot;/&gt;&lt;wsp:rsid wsp:val=&quot;63495077&quot;/&gt;&lt;wsp:rsid wsp:val=&quot;634B193A&quot;/&gt;&lt;wsp:rsid wsp:val=&quot;634C3904&quot;/&gt;&lt;wsp:rsid wsp:val=&quot;634C56B2&quot;/&gt;&lt;wsp:rsid wsp:val=&quot;63521E02&quot;/&gt;&lt;wsp:rsid wsp:val=&quot;6353259C&quot;/&gt;&lt;wsp:rsid wsp:val=&quot;635400F5&quot;/&gt;&lt;wsp:rsid wsp:val=&quot;63550013&quot;/&gt;&lt;wsp:rsid wsp:val=&quot;63554566&quot;/&gt;&lt;wsp:rsid wsp:val=&quot;63564760&quot;/&gt;&lt;wsp:rsid wsp:val=&quot;63576530&quot;/&gt;&lt;wsp:rsid wsp:val=&quot;63584057&quot;/&gt;&lt;wsp:rsid wsp:val=&quot;63595888&quot;/&gt;&lt;wsp:rsid wsp:val=&quot;635D64B4&quot;/&gt;&lt;wsp:rsid wsp:val=&quot;63604299&quot;/&gt;&lt;wsp:rsid wsp:val=&quot;636109F6&quot;/&gt;&lt;wsp:rsid wsp:val=&quot;63612F0B&quot;/&gt;&lt;wsp:rsid wsp:val=&quot;63622617&quot;/&gt;&lt;wsp:rsid wsp:val=&quot;63657B08&quot;/&gt;&lt;wsp:rsid wsp:val=&quot;63666773&quot;/&gt;&lt;wsp:rsid wsp:val=&quot;63676CDA&quot;/&gt;&lt;wsp:rsid wsp:val=&quot;636B5B38&quot;/&gt;&lt;wsp:rsid wsp:val=&quot;636C18B0&quot;/&gt;&lt;wsp:rsid wsp:val=&quot;636D5D54&quot;/&gt;&lt;wsp:rsid wsp:val=&quot;637034DA&quot;/&gt;&lt;wsp:rsid wsp:val=&quot;637118D5&quot;/&gt;&lt;wsp:rsid wsp:val=&quot;6372336A&quot;/&gt;&lt;wsp:rsid wsp:val=&quot;6372753B&quot;/&gt;&lt;wsp:rsid wsp:val=&quot;63750765&quot;/&gt;&lt;wsp:rsid wsp:val=&quot;63780255&quot;/&gt;&lt;wsp:rsid wsp:val=&quot;637864A7&quot;/&gt;&lt;wsp:rsid wsp:val=&quot;637A089E&quot;/&gt;&lt;wsp:rsid wsp:val=&quot;637A5D7B&quot;/&gt;&lt;wsp:rsid wsp:val=&quot;637B0BF4&quot;/&gt;&lt;wsp:rsid wsp:val=&quot;637C4FE4&quot;/&gt;&lt;wsp:rsid wsp:val=&quot;637D5B70&quot;/&gt;&lt;wsp:rsid wsp:val=&quot;637D74A2&quot;/&gt;&lt;wsp:rsid wsp:val=&quot;6381535B&quot;/&gt;&lt;wsp:rsid wsp:val=&quot;63844E4C&quot;/&gt;&lt;wsp:rsid wsp:val=&quot;63846BFA&quot;/&gt;&lt;wsp:rsid wsp:val=&quot;63864720&quot;/&gt;&lt;wsp:rsid wsp:val=&quot;6388493C&quot;/&gt;&lt;wsp:rsid wsp:val=&quot;638906B4&quot;/&gt;&lt;wsp:rsid wsp:val=&quot;63894210&quot;/&gt;&lt;wsp:rsid wsp:val=&quot;638A0244&quot;/&gt;&lt;wsp:rsid wsp:val=&quot;638D15D3&quot;/&gt;&lt;wsp:rsid wsp:val=&quot;639332E1&quot;/&gt;&lt;wsp:rsid wsp:val=&quot;6393508F&quot;/&gt;&lt;wsp:rsid wsp:val=&quot;6394356A&quot;/&gt;&lt;wsp:rsid wsp:val=&quot;63947179&quot;/&gt;&lt;wsp:rsid wsp:val=&quot;63950E07&quot;/&gt;&lt;wsp:rsid wsp:val=&quot;63971BF0&quot;/&gt;&lt;wsp:rsid wsp:val=&quot;6397692D&quot;/&gt;&lt;wsp:rsid wsp:val=&quot;639808F7&quot;/&gt;&lt;wsp:rsid wsp:val=&quot;639D5F0D&quot;/&gt;&lt;wsp:rsid wsp:val=&quot;639F3A33&quot;/&gt;&lt;wsp:rsid wsp:val=&quot;639F57E1&quot;/&gt;&lt;wsp:rsid wsp:val=&quot;63A1155A&quot;/&gt;&lt;wsp:rsid wsp:val=&quot;63A177AC&quot;/&gt;&lt;wsp:rsid wsp:val=&quot;63A23524&quot;/&gt;&lt;wsp:rsid wsp:val=&quot;63A30F39&quot;/&gt;&lt;wsp:rsid wsp:val=&quot;63A6642A&quot;/&gt;&lt;wsp:rsid wsp:val=&quot;63A70B3A&quot;/&gt;&lt;wsp:rsid wsp:val=&quot;63A728E8&quot;/&gt;&lt;wsp:rsid wsp:val=&quot;63A86BDE&quot;/&gt;&lt;wsp:rsid wsp:val=&quot;63AA739B&quot;/&gt;&lt;wsp:rsid wsp:val=&quot;63AE1EC8&quot;/&gt;&lt;wsp:rsid wsp:val=&quot;63AE7DF4&quot;/&gt;&lt;wsp:rsid wsp:val=&quot;63B2759E&quot;/&gt;&lt;wsp:rsid wsp:val=&quot;63B30A2E&quot;/&gt;&lt;wsp:rsid wsp:val=&quot;63B35731&quot;/&gt;&lt;wsp:rsid wsp:val=&quot;63B374DF&quot;/&gt;&lt;wsp:rsid wsp:val=&quot;63B52B0E&quot;/&gt;&lt;wsp:rsid wsp:val=&quot;63B53322&quot;/&gt;&lt;wsp:rsid wsp:val=&quot;63B55005&quot;/&gt;&lt;wsp:rsid wsp:val=&quot;63B55D20&quot;/&gt;&lt;wsp:rsid wsp:val=&quot;63B61BC6&quot;/&gt;&lt;wsp:rsid wsp:val=&quot;63B70D7D&quot;/&gt;&lt;wsp:rsid wsp:val=&quot;63B75221&quot;/&gt;&lt;wsp:rsid wsp:val=&quot;63B76FCF&quot;/&gt;&lt;wsp:rsid wsp:val=&quot;63B868A3&quot;/&gt;&lt;wsp:rsid wsp:val=&quot;63B919F1&quot;/&gt;&lt;wsp:rsid wsp:val=&quot;63BD210C&quot;/&gt;&lt;wsp:rsid wsp:val=&quot;63BE2F70&quot;/&gt;&lt;wsp:rsid wsp:val=&quot;63BF40D6&quot;/&gt;&lt;wsp:rsid wsp:val=&quot;63C139AA&quot;/&gt;&lt;wsp:rsid wsp:val=&quot;63C15078&quot;/&gt;&lt;wsp:rsid wsp:val=&quot;63C17E4E&quot;/&gt;&lt;wsp:rsid wsp:val=&quot;63C2075B&quot;/&gt;&lt;wsp:rsid wsp:val=&quot;63C27722&quot;/&gt;&lt;wsp:rsid wsp:val=&quot;63C40272&quot;/&gt;&lt;wsp:rsid wsp:val=&quot;63C41852&quot;/&gt;&lt;wsp:rsid wsp:val=&quot;63C60FC0&quot;/&gt;&lt;wsp:rsid wsp:val=&quot;63C61B2C&quot;/&gt;&lt;wsp:rsid wsp:val=&quot;63C65464&quot;/&gt;&lt;wsp:rsid wsp:val=&quot;63C70334&quot;/&gt;&lt;wsp:rsid wsp:val=&quot;63C70EAE&quot;/&gt;&lt;wsp:rsid wsp:val=&quot;63C74D38&quot;/&gt;&lt;wsp:rsid wsp:val=&quot;63C801D9&quot;/&gt;&lt;wsp:rsid wsp:val=&quot;63C811DC&quot;/&gt;&lt;wsp:rsid wsp:val=&quot;63C82F8A&quot;/&gt;&lt;wsp:rsid wsp:val=&quot;63C84053&quot;/&gt;&lt;wsp:rsid wsp:val=&quot;63C94F54&quot;/&gt;&lt;wsp:rsid wsp:val=&quot;63C96D02&quot;/&gt;&lt;wsp:rsid wsp:val=&quot;63CB4828&quot;/&gt;&lt;wsp:rsid wsp:val=&quot;63CB5574&quot;/&gt;&lt;wsp:rsid wsp:val=&quot;63CD585D&quot;/&gt;&lt;wsp:rsid wsp:val=&quot;63CE69D8&quot;/&gt;&lt;wsp:rsid wsp:val=&quot;63CF256B&quot;/&gt;&lt;wsp:rsid wsp:val=&quot;63CF3EF5&quot;/&gt;&lt;wsp:rsid wsp:val=&quot;63D00091&quot;/&gt;&lt;wsp:rsid wsp:val=&quot;63D17BC5&quot;/&gt;&lt;wsp:rsid wsp:val=&quot;63D17BFA&quot;/&gt;&lt;wsp:rsid wsp:val=&quot;63D22876&quot;/&gt;&lt;wsp:rsid wsp:val=&quot;63D23E09&quot;/&gt;&lt;wsp:rsid wsp:val=&quot;63D336DD&quot;/&gt;&lt;wsp:rsid wsp:val=&quot;63D368D7&quot;/&gt;&lt;wsp:rsid wsp:val=&quot;63D40BE9&quot;/&gt;&lt;wsp:rsid wsp:val=&quot;63D47B81&quot;/&gt;&lt;wsp:rsid wsp:val=&quot;63D511F7&quot;/&gt;&lt;wsp:rsid wsp:val=&quot;63D538F9&quot;/&gt;&lt;wsp:rsid wsp:val=&quot;63D556A7&quot;/&gt;&lt;wsp:rsid wsp:val=&quot;63D5650B&quot;/&gt;&lt;wsp:rsid wsp:val=&quot;63D77671&quot;/&gt;&lt;wsp:rsid wsp:val=&quot;63D80CF3&quot;/&gt;&lt;wsp:rsid wsp:val=&quot;63D86F45&quot;/&gt;&lt;wsp:rsid wsp:val=&quot;63D95197&quot;/&gt;&lt;wsp:rsid wsp:val=&quot;63DA3640&quot;/&gt;&lt;wsp:rsid wsp:val=&quot;63DB65C3&quot;/&gt;&lt;wsp:rsid wsp:val=&quot;63DC4C88&quot;/&gt;&lt;wsp:rsid wsp:val=&quot;63DF02D4&quot;/&gt;&lt;wsp:rsid wsp:val=&quot;63DF2082&quot;/&gt;&lt;wsp:rsid wsp:val=&quot;63DF6BCB&quot;/&gt;&lt;wsp:rsid wsp:val=&quot;63E2236B&quot;/&gt;&lt;wsp:rsid wsp:val=&quot;63E31B72&quot;/&gt;&lt;wsp:rsid wsp:val=&quot;63E37DC4&quot;/&gt;&lt;wsp:rsid wsp:val=&quot;63E8362C&quot;/&gt;&lt;wsp:rsid wsp:val=&quot;63E91153&quot;/&gt;&lt;wsp:rsid wsp:val=&quot;63E94CAF&quot;/&gt;&lt;wsp:rsid wsp:val=&quot;63EA73A4&quot;/&gt;&lt;wsp:rsid wsp:val=&quot;63EB4C62&quot;/&gt;&lt;wsp:rsid wsp:val=&quot;63EB4ECB&quot;/&gt;&lt;wsp:rsid wsp:val=&quot;63ED204F&quot;/&gt;&lt;wsp:rsid wsp:val=&quot;63EE6769&quot;/&gt;&lt;wsp:rsid wsp:val=&quot;63F0603D&quot;/&gt;&lt;wsp:rsid wsp:val=&quot;63F20007&quot;/&gt;&lt;wsp:rsid wsp:val=&quot;63F26259&quot;/&gt;&lt;wsp:rsid wsp:val=&quot;63F55D49&quot;/&gt;&lt;wsp:rsid wsp:val=&quot;63F7561D&quot;/&gt;&lt;wsp:rsid wsp:val=&quot;63F773CC&quot;/&gt;&lt;wsp:rsid wsp:val=&quot;63F91396&quot;/&gt;&lt;wsp:rsid wsp:val=&quot;63F975E8&quot;/&gt;&lt;wsp:rsid wsp:val=&quot;63FD075A&quot;/&gt;&lt;wsp:rsid wsp:val=&quot;63FF44D2&quot;/&gt;&lt;wsp:rsid wsp:val=&quot;63FF4772&quot;/&gt;&lt;wsp:rsid wsp:val=&quot;63FF5EE3&quot;/&gt;&lt;wsp:rsid wsp:val=&quot;6401649C&quot;/&gt;&lt;wsp:rsid wsp:val=&quot;64030466&quot;/&gt;&lt;wsp:rsid wsp:val=&quot;64032214&quot;/&gt;&lt;wsp:rsid wsp:val=&quot;64055F8C&quot;/&gt;&lt;wsp:rsid wsp:val=&quot;64061766&quot;/&gt;&lt;wsp:rsid wsp:val=&quot;64061D04&quot;/&gt;&lt;wsp:rsid wsp:val=&quot;64063AB3&quot;/&gt;&lt;wsp:rsid wsp:val=&quot;64065FA7&quot;/&gt;&lt;wsp:rsid wsp:val=&quot;6408782B&quot;/&gt;&lt;wsp:rsid wsp:val=&quot;640970FF&quot;/&gt;&lt;wsp:rsid wsp:val=&quot;640B10C9&quot;/&gt;&lt;wsp:rsid wsp:val=&quot;640B731B&quot;/&gt;&lt;wsp:rsid wsp:val=&quot;6410048D&quot;/&gt;&lt;wsp:rsid wsp:val=&quot;64102431&quot;/&gt;&lt;wsp:rsid wsp:val=&quot;64104931&quot;/&gt;&lt;wsp:rsid wsp:val=&quot;64106469&quot;/&gt;&lt;wsp:rsid wsp:val=&quot;641206A9&quot;/&gt;&lt;wsp:rsid wsp:val=&quot;64133D6A&quot;/&gt;&lt;wsp:rsid wsp:val=&quot;641362A1&quot;/&gt;&lt;wsp:rsid wsp:val=&quot;64144421&quot;/&gt;&lt;wsp:rsid wsp:val=&quot;64151F48&quot;/&gt;&lt;wsp:rsid wsp:val=&quot;64155AA4&quot;/&gt;&lt;wsp:rsid wsp:val=&quot;6416019A&quot;/&gt;&lt;wsp:rsid wsp:val=&quot;6416578E&quot;/&gt;&lt;wsp:rsid wsp:val=&quot;64167F7B&quot;/&gt;&lt;wsp:rsid wsp:val=&quot;64175CC0&quot;/&gt;&lt;wsp:rsid wsp:val=&quot;64177A6E&quot;/&gt;&lt;wsp:rsid wsp:val=&quot;641937E6&quot;/&gt;&lt;wsp:rsid wsp:val=&quot;641A755E&quot;/&gt;&lt;wsp:rsid wsp:val=&quot;641B57B0&quot;/&gt;&lt;wsp:rsid wsp:val=&quot;641C6E32&quot;/&gt;&lt;wsp:rsid wsp:val=&quot;641E0DFC&quot;/&gt;&lt;wsp:rsid wsp:val=&quot;64216B3E&quot;/&gt;&lt;wsp:rsid wsp:val=&quot;642277FE&quot;/&gt;&lt;wsp:rsid wsp:val=&quot;64234664&quot;/&gt;&lt;wsp:rsid wsp:val=&quot;64234D3C&quot;/&gt;&lt;wsp:rsid wsp:val=&quot;6424218B&quot;/&gt;&lt;wsp:rsid wsp:val=&quot;64252510&quot;/&gt;&lt;wsp:rsid wsp:val=&quot;642730B8&quot;/&gt;&lt;wsp:rsid wsp:val=&quot;64287ECD&quot;/&gt;&lt;wsp:rsid wsp:val=&quot;642D7291&quot;/&gt;&lt;wsp:rsid wsp:val=&quot;642E6B65&quot;/&gt;&lt;wsp:rsid wsp:val=&quot;642E7465&quot;/&gt;&lt;wsp:rsid wsp:val=&quot;642F125B&quot;/&gt;&lt;wsp:rsid wsp:val=&quot;642F1BE3&quot;/&gt;&lt;wsp:rsid wsp:val=&quot;642F4DB7&quot;/&gt;&lt;wsp:rsid wsp:val=&quot;643028DD&quot;/&gt;&lt;wsp:rsid wsp:val=&quot;64303292&quot;/&gt;&lt;wsp:rsid wsp:val=&quot;64340620&quot;/&gt;&lt;wsp:rsid wsp:val=&quot;64357EF4&quot;/&gt;&lt;wsp:rsid wsp:val=&quot;64370594&quot;/&gt;&lt;wsp:rsid wsp:val=&quot;64373C6C&quot;/&gt;&lt;wsp:rsid wsp:val=&quot;64395A85&quot;/&gt;&lt;wsp:rsid wsp:val=&quot;64395C36&quot;/&gt;&lt;wsp:rsid wsp:val=&quot;643B19AE&quot;/&gt;&lt;wsp:rsid wsp:val=&quot;643B64F1&quot;/&gt;&lt;wsp:rsid wsp:val=&quot;643C1282&quot;/&gt;&lt;wsp:rsid wsp:val=&quot;643E324C&quot;/&gt;&lt;wsp:rsid wsp:val=&quot;643E5896&quot;/&gt;&lt;wsp:rsid wsp:val=&quot;64405216&quot;/&gt;&lt;wsp:rsid wsp:val=&quot;64406FC4&quot;/&gt;&lt;wsp:rsid wsp:val=&quot;64426DE8&quot;/&gt;&lt;wsp:rsid wsp:val=&quot;64430863&quot;/&gt;&lt;wsp:rsid wsp:val=&quot;64451A7E&quot;/&gt;&lt;wsp:rsid wsp:val=&quot;64451BDD&quot;/&gt;&lt;wsp:rsid wsp:val=&quot;644545DB&quot;/&gt;&lt;wsp:rsid wsp:val=&quot;6446790D&quot;/&gt;&lt;wsp:rsid wsp:val=&quot;6448479B&quot;/&gt;&lt;wsp:rsid wsp:val=&quot;64487C27&quot;/&gt;&lt;wsp:rsid wsp:val=&quot;644B4E0B&quot;/&gt;&lt;wsp:rsid wsp:val=&quot;644B5969&quot;/&gt;&lt;wsp:rsid wsp:val=&quot;644D16E1&quot;/&gt;&lt;wsp:rsid wsp:val=&quot;644F0FB6&quot;/&gt;&lt;wsp:rsid wsp:val=&quot;64520AA6&quot;/&gt;&lt;wsp:rsid wsp:val=&quot;6452474A&quot;/&gt;&lt;wsp:rsid wsp:val=&quot;64550596&quot;/&gt;&lt;wsp:rsid wsp:val=&quot;645646AB&quot;/&gt;&lt;wsp:rsid wsp:val=&quot;645A795A&quot;/&gt;&lt;wsp:rsid wsp:val=&quot;645B3DFE&quot;/&gt;&lt;wsp:rsid wsp:val=&quot;645B7E78&quot;/&gt;&lt;wsp:rsid wsp:val=&quot;645C2560&quot;/&gt;&lt;wsp:rsid wsp:val=&quot;645C43B0&quot;/&gt;&lt;wsp:rsid wsp:val=&quot;645D6540&quot;/&gt;&lt;wsp:rsid wsp:val=&quot;645E569D&quot;/&gt;&lt;wsp:rsid wsp:val=&quot;645F013B&quot;/&gt;&lt;wsp:rsid wsp:val=&quot;64614447&quot;/&gt;&lt;wsp:rsid wsp:val=&quot;6461518D&quot;/&gt;&lt;wsp:rsid wsp:val=&quot;646507D9&quot;/&gt;&lt;wsp:rsid wsp:val=&quot;64654C7D&quot;/&gt;&lt;wsp:rsid wsp:val=&quot;64664551&quot;/&gt;&lt;wsp:rsid wsp:val=&quot;646709F5&quot;/&gt;&lt;wsp:rsid wsp:val=&quot;646802C9&quot;/&gt;&lt;wsp:rsid wsp:val=&quot;64682077&quot;/&gt;&lt;wsp:rsid wsp:val=&quot;646B6B0C&quot;/&gt;&lt;wsp:rsid wsp:val=&quot;646B7DB9&quot;/&gt;&lt;wsp:rsid wsp:val=&quot;646C600B&quot;/&gt;&lt;wsp:rsid wsp:val=&quot;646F1658&quot;/&gt;&lt;wsp:rsid wsp:val=&quot;646F78AA&quot;/&gt;&lt;wsp:rsid wsp:val=&quot;6472739A&quot;/&gt;&lt;wsp:rsid wsp:val=&quot;64747186&quot;/&gt;&lt;wsp:rsid wsp:val=&quot;64764597&quot;/&gt;&lt;wsp:rsid wsp:val=&quot;64764DFE&quot;/&gt;&lt;wsp:rsid wsp:val=&quot;647924D6&quot;/&gt;&lt;wsp:rsid wsp:val=&quot;647A1DAB&quot;/&gt;&lt;wsp:rsid wsp:val=&quot;647B173E&quot;/&gt;&lt;wsp:rsid wsp:val=&quot;647B5838&quot;/&gt;&lt;wsp:rsid wsp:val=&quot;647B624F&quot;/&gt;&lt;wsp:rsid wsp:val=&quot;647B7FFD&quot;/&gt;&lt;wsp:rsid wsp:val=&quot;647C1FC7&quot;/&gt;&lt;wsp:rsid wsp:val=&quot;647C3D75&quot;/&gt;&lt;wsp:rsid wsp:val=&quot;647C6CC8&quot;/&gt;&lt;wsp:rsid wsp:val=&quot;647D29C9&quot;/&gt;&lt;wsp:rsid wsp:val=&quot;64805613&quot;/&gt;&lt;wsp:rsid wsp:val=&quot;64805649&quot;/&gt;&lt;wsp:rsid wsp:val=&quot;64805BFE&quot;/&gt;&lt;wsp:rsid wsp:val=&quot;648275DD&quot;/&gt;&lt;wsp:rsid wsp:val=&quot;64835103&quot;/&gt;&lt;wsp:rsid wsp:val=&quot;64850E7B&quot;/&gt;&lt;wsp:rsid wsp:val=&quot;648614BB&quot;/&gt;&lt;wsp:rsid wsp:val=&quot;64882719&quot;/&gt;&lt;wsp:rsid wsp:val=&quot;648844C8&quot;/&gt;&lt;wsp:rsid wsp:val=&quot;6489157D&quot;/&gt;&lt;wsp:rsid wsp:val=&quot;648A0240&quot;/&gt;&lt;wsp:rsid wsp:val=&quot;648A3E9D&quot;/&gt;&lt;wsp:rsid wsp:val=&quot;648A446A&quot;/&gt;&lt;wsp:rsid wsp:val=&quot;648B3FB8&quot;/&gt;&lt;wsp:rsid wsp:val=&quot;648C045C&quot;/&gt;&lt;wsp:rsid wsp:val=&quot;648D1ADE&quot;/&gt;&lt;wsp:rsid wsp:val=&quot;648D7D30&quot;/&gt;&lt;wsp:rsid wsp:val=&quot;649317EA&quot;/&gt;&lt;wsp:rsid wsp:val=&quot;649461BE&quot;/&gt;&lt;wsp:rsid wsp:val=&quot;64950FB0&quot;/&gt;&lt;wsp:rsid wsp:val=&quot;64983A60&quot;/&gt;&lt;wsp:rsid wsp:val=&quot;64986E00&quot;/&gt;&lt;wsp:rsid wsp:val=&quot;64994927&quot;/&gt;&lt;wsp:rsid wsp:val=&quot;649B069F&quot;/&gt;&lt;wsp:rsid wsp:val=&quot;649E018F&quot;/&gt;&lt;wsp:rsid wsp:val=&quot;64A01811&quot;/&gt;&lt;wsp:rsid wsp:val=&quot;64A07A63&quot;/&gt;&lt;wsp:rsid wsp:val=&quot;64A10C94&quot;/&gt;&lt;wsp:rsid wsp:val=&quot;64A21A2D&quot;/&gt;&lt;wsp:rsid wsp:val=&quot;64A33930&quot;/&gt;&lt;wsp:rsid wsp:val=&quot;64A5243A&quot;/&gt;&lt;wsp:rsid wsp:val=&quot;64A55079&quot;/&gt;&lt;wsp:rsid wsp:val=&quot;64AA2690&quot;/&gt;&lt;wsp:rsid wsp:val=&quot;64AA6B34&quot;/&gt;&lt;wsp:rsid wsp:val=&quot;64AC31D6&quot;/&gt;&lt;wsp:rsid wsp:val=&quot;64AC55EF&quot;/&gt;&lt;wsp:rsid wsp:val=&quot;64AC6408&quot;/&gt;&lt;wsp:rsid wsp:val=&quot;64AD3F2E&quot;/&gt;&lt;wsp:rsid wsp:val=&quot;64B17EC2&quot;/&gt;&lt;wsp:rsid wsp:val=&quot;64B21544&quot;/&gt;&lt;wsp:rsid wsp:val=&quot;64B21B87&quot;/&gt;&lt;wsp:rsid wsp:val=&quot;64B41760&quot;/&gt;&lt;wsp:rsid wsp:val=&quot;64B452BD&quot;/&gt;&lt;wsp:rsid wsp:val=&quot;64B61035&quot;/&gt;&lt;wsp:rsid wsp:val=&quot;64B74DAD&quot;/&gt;&lt;wsp:rsid wsp:val=&quot;64B82FFF&quot;/&gt;&lt;wsp:rsid wsp:val=&quot;64B957DA&quot;/&gt;&lt;wsp:rsid wsp:val=&quot;64BB2AEF&quot;/&gt;&lt;wsp:rsid wsp:val=&quot;64BC58BD&quot;/&gt;&lt;wsp:rsid wsp:val=&quot;64BD0615&quot;/&gt;&lt;wsp:rsid wsp:val=&quot;64BE2D8D&quot;/&gt;&lt;wsp:rsid wsp:val=&quot;64BE438D&quot;/&gt;&lt;wsp:rsid wsp:val=&quot;64BF1012&quot;/&gt;&lt;wsp:rsid wsp:val=&quot;64BF17B2&quot;/&gt;&lt;wsp:rsid wsp:val=&quot;64C00105&quot;/&gt;&lt;wsp:rsid wsp:val=&quot;64C03C61&quot;/&gt;&lt;wsp:rsid wsp:val=&quot;64C179D9&quot;/&gt;&lt;wsp:rsid wsp:val=&quot;64C33752&quot;/&gt;&lt;wsp:rsid wsp:val=&quot;64C3600D&quot;/&gt;&lt;wsp:rsid wsp:val=&quot;64C5571C&quot;/&gt;&lt;wsp:rsid wsp:val=&quot;64C67DDE&quot;/&gt;&lt;wsp:rsid wsp:val=&quot;64C71494&quot;/&gt;&lt;wsp:rsid wsp:val=&quot;64C934FE&quot;/&gt;&lt;wsp:rsid wsp:val=&quot;64CA0F84&quot;/&gt;&lt;wsp:rsid wsp:val=&quot;64CA2D32&quot;/&gt;&lt;wsp:rsid wsp:val=&quot;64CA4AE0&quot;/&gt;&lt;wsp:rsid wsp:val=&quot;64CB56F9&quot;/&gt;&lt;wsp:rsid wsp:val=&quot;64CC3C50&quot;/&gt;&lt;wsp:rsid wsp:val=&quot;64CE2822&quot;/&gt;&lt;wsp:rsid wsp:val=&quot;64D140C0&quot;/&gt;&lt;wsp:rsid wsp:val=&quot;64D21BE7&quot;/&gt;&lt;wsp:rsid wsp:val=&quot;64D4018C&quot;/&gt;&lt;wsp:rsid wsp:val=&quot;64D4368D&quot;/&gt;&lt;wsp:rsid wsp:val=&quot;64D43BB1&quot;/&gt;&lt;wsp:rsid wsp:val=&quot;64D4595F&quot;/&gt;&lt;wsp:rsid wsp:val=&quot;64D4770D&quot;/&gt;&lt;wsp:rsid wsp:val=&quot;64D67929&quot;/&gt;&lt;wsp:rsid wsp:val=&quot;64D70FAB&quot;/&gt;&lt;wsp:rsid wsp:val=&quot;64D771FD&quot;/&gt;&lt;wsp:rsid wsp:val=&quot;64D836A1&quot;/&gt;&lt;wsp:rsid wsp:val=&quot;64D8723F&quot;/&gt;&lt;wsp:rsid wsp:val=&quot;64DA2C7F&quot;/&gt;&lt;wsp:rsid wsp:val=&quot;64DB0A9B&quot;/&gt;&lt;wsp:rsid wsp:val=&quot;64DB6CED&quot;/&gt;&lt;wsp:rsid wsp:val=&quot;64DC3A26&quot;/&gt;&lt;wsp:rsid wsp:val=&quot;64DD08C1&quot;/&gt;&lt;wsp:rsid wsp:val=&quot;64DD2A65&quot;/&gt;&lt;wsp:rsid wsp:val=&quot;64DE2339&quot;/&gt;&lt;wsp:rsid wsp:val=&quot;64E02555&quot;/&gt;&lt;wsp:rsid wsp:val=&quot;64E04304&quot;/&gt;&lt;wsp:rsid wsp:val=&quot;64E149E6&quot;/&gt;&lt;wsp:rsid wsp:val=&quot;64E24CD0&quot;/&gt;&lt;wsp:rsid wsp:val=&quot;64E35106&quot;/&gt;&lt;wsp:rsid wsp:val=&quot;64E35BA2&quot;/&gt;&lt;wsp:rsid wsp:val=&quot;64E70858&quot;/&gt;&lt;wsp:rsid wsp:val=&quot;64E835EB&quot;/&gt;&lt;wsp:rsid wsp:val=&quot;64E9765C&quot;/&gt;&lt;wsp:rsid wsp:val=&quot;64EA33D4&quot;/&gt;&lt;wsp:rsid wsp:val=&quot;64EE0C2F&quot;/&gt;&lt;wsp:rsid wsp:val=&quot;64EE4C72&quot;/&gt;&lt;wsp:rsid wsp:val=&quot;64EE6A20&quot;/&gt;&lt;wsp:rsid wsp:val=&quot;64EF4547&quot;/&gt;&lt;wsp:rsid wsp:val=&quot;64F1206D&quot;/&gt;&lt;wsp:rsid wsp:val=&quot;64F14763&quot;/&gt;&lt;wsp:rsid wsp:val=&quot;64F16511&quot;/&gt;&lt;wsp:rsid wsp:val=&quot;64F223F4&quot;/&gt;&lt;wsp:rsid wsp:val=&quot;64F31CDE&quot;/&gt;&lt;wsp:rsid wsp:val=&quot;64F41B5D&quot;/&gt;&lt;wsp:rsid wsp:val=&quot;64F47DAF&quot;/&gt;&lt;wsp:rsid wsp:val=&quot;64F531DE&quot;/&gt;&lt;wsp:rsid wsp:val=&quot;64F658D5&quot;/&gt;&lt;wsp:rsid wsp:val=&quot;64F8164D&quot;/&gt;&lt;wsp:rsid wsp:val=&quot;64F93617&quot;/&gt;&lt;wsp:rsid wsp:val=&quot;64FA3156&quot;/&gt;&lt;wsp:rsid wsp:val=&quot;64FD6C64&quot;/&gt;&lt;wsp:rsid wsp:val=&quot;64FE6262&quot;/&gt;&lt;wsp:rsid wsp:val=&quot;650049A6&quot;/&gt;&lt;wsp:rsid wsp:val=&quot;650224CC&quot;/&gt;&lt;wsp:rsid wsp:val=&quot;65046244&quot;/&gt;&lt;wsp:rsid wsp:val=&quot;65046EDB&quot;/&gt;&lt;wsp:rsid wsp:val=&quot;65047D7F&quot;/&gt;&lt;wsp:rsid wsp:val=&quot;65050F77&quot;/&gt;&lt;wsp:rsid wsp:val=&quot;65051FBC&quot;/&gt;&lt;wsp:rsid wsp:val=&quot;65052950&quot;/&gt;&lt;wsp:rsid wsp:val=&quot;650575AA&quot;/&gt;&lt;wsp:rsid wsp:val=&quot;65067DF9&quot;/&gt;&lt;wsp:rsid wsp:val=&quot;650700DC&quot;/&gt;&lt;wsp:rsid wsp:val=&quot;65075D34&quot;/&gt;&lt;wsp:rsid wsp:val=&quot;6509385A&quot;/&gt;&lt;wsp:rsid wsp:val=&quot;650A1380&quot;/&gt;&lt;wsp:rsid wsp:val=&quot;650A312E&quot;/&gt;&lt;wsp:rsid wsp:val=&quot;650A5824&quot;/&gt;&lt;wsp:rsid wsp:val=&quot;650B0753&quot;/&gt;&lt;wsp:rsid wsp:val=&quot;650C0660&quot;/&gt;&lt;wsp:rsid wsp:val=&quot;650C334B&quot;/&gt;&lt;wsp:rsid wsp:val=&quot;650D2572&quot;/&gt;&lt;wsp:rsid wsp:val=&quot;650D2C1F&quot;/&gt;&lt;wsp:rsid wsp:val=&quot;650E70C3&quot;/&gt;&lt;wsp:rsid wsp:val=&quot;650F4BE9&quot;/&gt;&lt;wsp:rsid wsp:val=&quot;650F65D3&quot;/&gt;&lt;wsp:rsid wsp:val=&quot;65130235&quot;/&gt;&lt;wsp:rsid wsp:val=&quot;65167D25&quot;/&gt;&lt;wsp:rsid wsp:val=&quot;65197815&quot;/&gt;&lt;wsp:rsid wsp:val=&quot;651A3869&quot;/&gt;&lt;wsp:rsid wsp:val=&quot;651D10B4&quot;/&gt;&lt;wsp:rsid wsp:val=&quot;651D2E62&quot;/&gt;&lt;wsp:rsid wsp:val=&quot;651E4C38&quot;/&gt;&lt;wsp:rsid wsp:val=&quot;651E4E2C&quot;/&gt;&lt;wsp:rsid wsp:val=&quot;651F307E&quot;/&gt;&lt;wsp:rsid wsp:val=&quot;65206DF6&quot;/&gt;&lt;wsp:rsid wsp:val=&quot;65222B6E&quot;/&gt;&lt;wsp:rsid wsp:val=&quot;6522491C&quot;/&gt;&lt;wsp:rsid wsp:val=&quot;652561BA&quot;/&gt;&lt;wsp:rsid wsp:val=&quot;65257F68&quot;/&gt;&lt;wsp:rsid wsp:val=&quot;65270472&quot;/&gt;&lt;wsp:rsid wsp:val=&quot;65271F32&quot;/&gt;&lt;wsp:rsid wsp:val=&quot;65283023&quot;/&gt;&lt;wsp:rsid wsp:val=&quot;6529060A&quot;/&gt;&lt;wsp:rsid wsp:val=&quot;65297A59&quot;/&gt;&lt;wsp:rsid wsp:val=&quot;652A37D1&quot;/&gt;&lt;wsp:rsid wsp:val=&quot;653105BE&quot;/&gt;&lt;wsp:rsid wsp:val=&quot;65314B5F&quot;/&gt;&lt;wsp:rsid wsp:val=&quot;6534475C&quot;/&gt;&lt;wsp:rsid wsp:val=&quot;653463FD&quot;/&gt;&lt;wsp:rsid wsp:val=&quot;6535464F&quot;/&gt;&lt;wsp:rsid wsp:val=&quot;653603C7&quot;/&gt;&lt;wsp:rsid wsp:val=&quot;65363F24&quot;/&gt;&lt;wsp:rsid wsp:val=&quot;65366619&quot;/&gt;&lt;wsp:rsid wsp:val=&quot;65373578&quot;/&gt;&lt;wsp:rsid wsp:val=&quot;65385EEE&quot;/&gt;&lt;wsp:rsid wsp:val=&quot;653A252B&quot;/&gt;&lt;wsp:rsid wsp:val=&quot;653B3C30&quot;/&gt;&lt;wsp:rsid wsp:val=&quot;653B59DE&quot;/&gt;&lt;wsp:rsid wsp:val=&quot;653D6AD9&quot;/&gt;&lt;wsp:rsid wsp:val=&quot;653E102A&quot;/&gt;&lt;wsp:rsid wsp:val=&quot;653F36D2&quot;/&gt;&lt;wsp:rsid wsp:val=&quot;653F54CE&quot;/&gt;&lt;wsp:rsid wsp:val=&quot;65401246&quot;/&gt;&lt;wsp:rsid wsp:val=&quot;65411462&quot;/&gt;&lt;wsp:rsid wsp:val=&quot;65436640&quot;/&gt;&lt;wsp:rsid wsp:val=&quot;65444892&quot;/&gt;&lt;wsp:rsid wsp:val=&quot;654523B9&quot;/&gt;&lt;wsp:rsid wsp:val=&quot;6546685C&quot;/&gt;&lt;wsp:rsid wsp:val=&quot;654725D5&quot;/&gt;&lt;wsp:rsid wsp:val=&quot;65476131&quot;/&gt;&lt;wsp:rsid wsp:val=&quot;6548255E&quot;/&gt;&lt;wsp:rsid wsp:val=&quot;654C1999&quot;/&gt;&lt;wsp:rsid wsp:val=&quot;654C6575&quot;/&gt;&lt;wsp:rsid wsp:val=&quot;654C7BEB&quot;/&gt;&lt;wsp:rsid wsp:val=&quot;654D5E54&quot;/&gt;&lt;wsp:rsid wsp:val=&quot;654E3187&quot;/&gt;&lt;wsp:rsid wsp:val=&quot;654F3237&quot;/&gt;&lt;wsp:rsid wsp:val=&quot;65533877&quot;/&gt;&lt;wsp:rsid wsp:val=&quot;65534AD5&quot;/&gt;&lt;wsp:rsid wsp:val=&quot;6555563A&quot;/&gt;&lt;wsp:rsid wsp:val=&quot;65562818&quot;/&gt;&lt;wsp:rsid wsp:val=&quot;65566374&quot;/&gt;&lt;wsp:rsid wsp:val=&quot;65577A76&quot;/&gt;&lt;wsp:rsid wsp:val=&quot;655A5107&quot;/&gt;&lt;wsp:rsid wsp:val=&quot;655B398A&quot;/&gt;&lt;wsp:rsid wsp:val=&quot;655D5954&quot;/&gt;&lt;wsp:rsid wsp:val=&quot;655F1E1A&quot;/&gt;&lt;wsp:rsid wsp:val=&quot;655F791E&quot;/&gt;&lt;wsp:rsid wsp:val=&quot;65605444&quot;/&gt;&lt;wsp:rsid wsp:val=&quot;6565085D&quot;/&gt;&lt;wsp:rsid wsp:val=&quot;65652A5B&quot;/&gt;&lt;wsp:rsid wsp:val=&quot;65654809&quot;/&gt;&lt;wsp:rsid wsp:val=&quot;65660CAD&quot;/&gt;&lt;wsp:rsid wsp:val=&quot;6569254B&quot;/&gt;&lt;wsp:rsid wsp:val=&quot;656B46CF&quot;/&gt;&lt;wsp:rsid wsp:val=&quot;656C203B&quot;/&gt;&lt;wsp:rsid wsp:val=&quot;656C5B5F&quot;/&gt;&lt;wsp:rsid wsp:val=&quot;656C5B97&quot;/&gt;&lt;wsp:rsid wsp:val=&quot;65702D9F&quot;/&gt;&lt;wsp:rsid wsp:val=&quot;65717652&quot;/&gt;&lt;wsp:rsid wsp:val=&quot;65735178&quot;/&gt;&lt;wsp:rsid wsp:val=&quot;65744A4C&quot;/&gt;&lt;wsp:rsid wsp:val=&quot;65752C9E&quot;/&gt;&lt;wsp:rsid wsp:val=&quot;65770F9E&quot;/&gt;&lt;wsp:rsid wsp:val=&quot;65784102&quot;/&gt;&lt;wsp:rsid wsp:val=&quot;657A02B4&quot;/&gt;&lt;wsp:rsid wsp:val=&quot;657A6506&quot;/&gt;&lt;wsp:rsid wsp:val=&quot;657D5FF6&quot;/&gt;&lt;wsp:rsid wsp:val=&quot;657E2F39&quot;/&gt;&lt;wsp:rsid wsp:val=&quot;65817895&quot;/&gt;&lt;wsp:rsid wsp:val=&quot;65866706&quot;/&gt;&lt;wsp:rsid wsp:val=&quot;65876AF7&quot;/&gt;&lt;wsp:rsid wsp:val=&quot;65876E75&quot;/&gt;&lt;wsp:rsid wsp:val=&quot;65881026&quot;/&gt;&lt;wsp:rsid wsp:val=&quot;6589499B&quot;/&gt;&lt;wsp:rsid wsp:val=&quot;658A7C58&quot;/&gt;&lt;wsp:rsid wsp:val=&quot;658E1FB1&quot;/&gt;&lt;wsp:rsid wsp:val=&quot;658E3D60&quot;/&gt;&lt;wsp:rsid wsp:val=&quot;658E7A69&quot;/&gt;&lt;wsp:rsid wsp:val=&quot;65904F5A&quot;/&gt;&lt;wsp:rsid wsp:val=&quot;65913850&quot;/&gt;&lt;wsp:rsid wsp:val=&quot;659155FE&quot;/&gt;&lt;wsp:rsid wsp:val=&quot;659163EA&quot;/&gt;&lt;wsp:rsid wsp:val=&quot;65930B2B&quot;/&gt;&lt;wsp:rsid wsp:val=&quot;65956E9C&quot;/&gt;&lt;wsp:rsid wsp:val=&quot;6597262F&quot;/&gt;&lt;wsp:rsid wsp:val=&quot;65982E30&quot;/&gt;&lt;wsp:rsid wsp:val=&quot;659A0C16&quot;/&gt;&lt;wsp:rsid wsp:val=&quot;659A2704&quot;/&gt;&lt;wsp:rsid wsp:val=&quot;659B206D&quot;/&gt;&lt;wsp:rsid wsp:val=&quot;659B5909&quot;/&gt;&lt;wsp:rsid wsp:val=&quot;659D0447&quot;/&gt;&lt;wsp:rsid wsp:val=&quot;659D1DBC&quot;/&gt;&lt;wsp:rsid wsp:val=&quot;65A11CE5&quot;/&gt;&lt;wsp:rsid wsp:val=&quot;65A215B9&quot;/&gt;&lt;wsp:rsid wsp:val=&quot;65A417D5&quot;/&gt;&lt;wsp:rsid wsp:val=&quot;65A44A7B&quot;/&gt;&lt;wsp:rsid wsp:val=&quot;65A45331&quot;/&gt;&lt;wsp:rsid wsp:val=&quot;65A6554D&quot;/&gt;&lt;wsp:rsid wsp:val=&quot;65A74D5F&quot;/&gt;&lt;wsp:rsid wsp:val=&quot;65A75A3F&quot;/&gt;&lt;wsp:rsid wsp:val=&quot;65A803C6&quot;/&gt;&lt;wsp:rsid wsp:val=&quot;65A90B99&quot;/&gt;&lt;wsp:rsid wsp:val=&quot;65AC2438&quot;/&gt;&lt;wsp:rsid wsp:val=&quot;65B25CA0&quot;/&gt;&lt;wsp:rsid wsp:val=&quot;65B337C6&quot;/&gt;&lt;wsp:rsid wsp:val=&quot;65B44217&quot;/&gt;&lt;wsp:rsid wsp:val=&quot;65B65064&quot;/&gt;&lt;wsp:rsid wsp:val=&quot;65BC6272&quot;/&gt;&lt;wsp:rsid wsp:val=&quot;65BD2897&quot;/&gt;&lt;wsp:rsid wsp:val=&quot;65BD3F77&quot;/&gt;&lt;wsp:rsid wsp:val=&quot;65BE21B3&quot;/&gt;&lt;wsp:rsid wsp:val=&quot;65BE7A9A&quot;/&gt;&lt;wsp:rsid wsp:val=&quot;65C07C91&quot;/&gt;&lt;wsp:rsid wsp:val=&quot;65C15EE3&quot;/&gt;&lt;wsp:rsid wsp:val=&quot;65C22647&quot;/&gt;&lt;wsp:rsid wsp:val=&quot;65C37EAD&quot;/&gt;&lt;wsp:rsid wsp:val=&quot;65C43C25&quot;/&gt;&lt;wsp:rsid wsp:val=&quot;65C634F9&quot;/&gt;&lt;wsp:rsid wsp:val=&quot;65C6799D&quot;/&gt;&lt;wsp:rsid wsp:val=&quot;65C82D60&quot;/&gt;&lt;wsp:rsid wsp:val=&quot;65C854C3&quot;/&gt;&lt;wsp:rsid wsp:val=&quot;65C92FEA&quot;/&gt;&lt;wsp:rsid wsp:val=&quot;65C96FBC&quot;/&gt;&lt;wsp:rsid wsp:val=&quot;65CB6D62&quot;/&gt;&lt;wsp:rsid wsp:val=&quot;65CD0D2C&quot;/&gt;&lt;wsp:rsid wsp:val=&quot;65D1748D&quot;/&gt;&lt;wsp:rsid wsp:val=&quot;65D35C16&quot;/&gt;&lt;wsp:rsid wsp:val=&quot;65D3619D&quot;/&gt;&lt;wsp:rsid wsp:val=&quot;65D379C4&quot;/&gt;&lt;wsp:rsid wsp:val=&quot;65D50ABD&quot;/&gt;&lt;wsp:rsid wsp:val=&quot;65D75707&quot;/&gt;&lt;wsp:rsid wsp:val=&quot;65DA0D53&quot;/&gt;&lt;wsp:rsid wsp:val=&quot;65DA51F7&quot;/&gt;&lt;wsp:rsid wsp:val=&quot;65DA6FA5&quot;/&gt;&lt;wsp:rsid wsp:val=&quot;65DB484A&quot;/&gt;&lt;wsp:rsid wsp:val=&quot;65DD6A95&quot;/&gt;&lt;wsp:rsid wsp:val=&quot;65DF280D&quot;/&gt;&lt;wsp:rsid wsp:val=&quot;65E05BD0&quot;/&gt;&lt;wsp:rsid wsp:val=&quot;65E120E1&quot;/&gt;&lt;wsp:rsid wsp:val=&quot;65E6594A&quot;/&gt;&lt;wsp:rsid wsp:val=&quot;65E676F8&quot;/&gt;&lt;wsp:rsid wsp:val=&quot;65E816C2&quot;/&gt;&lt;wsp:rsid wsp:val=&quot;65EE2A50&quot;/&gt;&lt;wsp:rsid wsp:val=&quot;65EE47FE&quot;/&gt;&lt;wsp:rsid wsp:val=&quot;65F10513&quot;/&gt;&lt;wsp:rsid wsp:val=&quot;65F22BB6&quot;/&gt;&lt;wsp:rsid wsp:val=&quot;65F35787&quot;/&gt;&lt;wsp:rsid wsp:val=&quot;65F8567D&quot;/&gt;&lt;wsp:rsid wsp:val=&quot;65F870F1&quot;/&gt;&lt;wsp:rsid wsp:val=&quot;65F9692B&quot;/&gt;&lt;wsp:rsid wsp:val=&quot;65F97EB8&quot;/&gt;&lt;wsp:rsid wsp:val=&quot;65FA31A3&quot;/&gt;&lt;wsp:rsid wsp:val=&quot;65FA7647&quot;/&gt;&lt;wsp:rsid wsp:val=&quot;65FC516D&quot;/&gt;&lt;wsp:rsid wsp:val=&quot;65FC6EF7&quot;/&gt;&lt;wsp:rsid wsp:val=&quot;65FC6F1B&quot;/&gt;&lt;wsp:rsid wsp:val=&quot;66012783&quot;/&gt;&lt;wsp:rsid wsp:val=&quot;66041731&quot;/&gt;&lt;wsp:rsid wsp:val=&quot;66053E26&quot;/&gt;&lt;wsp:rsid wsp:val=&quot;66063E90&quot;/&gt;&lt;wsp:rsid wsp:val=&quot;66065FEC&quot;/&gt;&lt;wsp:rsid wsp:val=&quot;66066425&quot;/&gt;&lt;wsp:rsid wsp:val=&quot;6607435A&quot;/&gt;&lt;wsp:rsid wsp:val=&quot;66091638&quot;/&gt;&lt;wsp:rsid wsp:val=&quot;66096324&quot;/&gt;&lt;wsp:rsid wsp:val=&quot;660B3602&quot;/&gt;&lt;wsp:rsid wsp:val=&quot;660B3A0E&quot;/&gt;&lt;wsp:rsid wsp:val=&quot;660B53B0&quot;/&gt;&lt;wsp:rsid wsp:val=&quot;660C1021&quot;/&gt;&lt;wsp:rsid wsp:val=&quot;660D1128&quot;/&gt;&lt;wsp:rsid wsp:val=&quot;660E4EA0&quot;/&gt;&lt;wsp:rsid wsp:val=&quot;660F30F2&quot;/&gt;&lt;wsp:rsid wsp:val=&quot;6611613F&quot;/&gt;&lt;wsp:rsid wsp:val=&quot;66141EEF&quot;/&gt;&lt;wsp:rsid wsp:val=&quot;66154481&quot;/&gt;&lt;wsp:rsid wsp:val=&quot;66155F50&quot;/&gt;&lt;wsp:rsid wsp:val=&quot;6615622F&quot;/&gt;&lt;wsp:rsid wsp:val=&quot;66157FDD&quot;/&gt;&lt;wsp:rsid wsp:val=&quot;661673E0&quot;/&gt;&lt;wsp:rsid wsp:val=&quot;6618187B&quot;/&gt;&lt;wsp:rsid wsp:val=&quot;66187ACD&quot;/&gt;&lt;wsp:rsid wsp:val=&quot;661A1A97&quot;/&gt;&lt;wsp:rsid wsp:val=&quot;661B3A5F&quot;/&gt;&lt;wsp:rsid wsp:val=&quot;661C580F&quot;/&gt;&lt;wsp:rsid wsp:val=&quot;661C75BD&quot;/&gt;&lt;wsp:rsid wsp:val=&quot;661E50E3&quot;/&gt;&lt;wsp:rsid wsp:val=&quot;66257C5E&quot;/&gt;&lt;wsp:rsid wsp:val=&quot;6626043C&quot;/&gt;&lt;wsp:rsid wsp:val=&quot;662621EA&quot;/&gt;&lt;wsp:rsid wsp:val=&quot;66263F98&quot;/&gt;&lt;wsp:rsid wsp:val=&quot;662841B4&quot;/&gt;&lt;wsp:rsid wsp:val=&quot;6628494E&quot;/&gt;&lt;wsp:rsid wsp:val=&quot;66291CDA&quot;/&gt;&lt;wsp:rsid wsp:val=&quot;66293A88&quot;/&gt;&lt;wsp:rsid wsp:val=&quot;662B15AE&quot;/&gt;&lt;wsp:rsid wsp:val=&quot;662C2D47&quot;/&gt;&lt;wsp:rsid wsp:val=&quot;662F16C8&quot;/&gt;&lt;wsp:rsid wsp:val=&quot;662F5543&quot;/&gt;&lt;wsp:rsid wsp:val=&quot;66302B58&quot;/&gt;&lt;wsp:rsid wsp:val=&quot;663150E3&quot;/&gt;&lt;wsp:rsid wsp:val=&quot;663629CA&quot;/&gt;&lt;wsp:rsid wsp:val=&quot;663761A5&quot;/&gt;&lt;wsp:rsid wsp:val=&quot;66383CCB&quot;/&gt;&lt;wsp:rsid wsp:val=&quot;663859C3&quot;/&gt;&lt;wsp:rsid wsp:val=&quot;66391F1D&quot;/&gt;&lt;wsp:rsid wsp:val=&quot;663C7C5F&quot;/&gt;&lt;wsp:rsid wsp:val=&quot;663D12E2&quot;/&gt;&lt;wsp:rsid wsp:val=&quot;663E7D2D&quot;/&gt;&lt;wsp:rsid wsp:val=&quot;663F505A&quot;/&gt;&lt;wsp:rsid wsp:val=&quot;66415276&quot;/&gt;&lt;wsp:rsid wsp:val=&quot;66434B4A&quot;/&gt;&lt;wsp:rsid wsp:val=&quot;66467226&quot;/&gt;&lt;wsp:rsid wsp:val=&quot;66481DB3&quot;/&gt;&lt;wsp:rsid wsp:val=&quot;66482160&quot;/&gt;&lt;wsp:rsid wsp:val=&quot;66495ED8&quot;/&gt;&lt;wsp:rsid wsp:val=&quot;664A237C&quot;/&gt;&lt;wsp:rsid wsp:val=&quot;664B7EA3&quot;/&gt;&lt;wsp:rsid wsp:val=&quot;664E34EF&quot;/&gt;&lt;wsp:rsid wsp:val=&quot;664F7993&quot;/&gt;&lt;wsp:rsid wsp:val=&quot;66501015&quot;/&gt;&lt;wsp:rsid wsp:val=&quot;66507267&quot;/&gt;&lt;wsp:rsid wsp:val=&quot;66544FA9&quot;/&gt;&lt;wsp:rsid wsp:val=&quot;66546D57&quot;/&gt;&lt;wsp:rsid wsp:val=&quot;6655487D&quot;/&gt;&lt;wsp:rsid wsp:val=&quot;66560D21&quot;/&gt;&lt;wsp:rsid wsp:val=&quot;66576847&quot;/&gt;&lt;wsp:rsid wsp:val=&quot;665808D4&quot;/&gt;&lt;wsp:rsid wsp:val=&quot;665925BF&quot;/&gt;&lt;wsp:rsid wsp:val=&quot;665931F4&quot;/&gt;&lt;wsp:rsid wsp:val=&quot;66594935&quot;/&gt;&lt;wsp:rsid wsp:val=&quot;665C20B0&quot;/&gt;&lt;wsp:rsid wsp:val=&quot;665C3E5E&quot;/&gt;&lt;wsp:rsid wsp:val=&quot;665E07E4&quot;/&gt;&lt;wsp:rsid wsp:val=&quot;665E3732&quot;/&gt;&lt;wsp:rsid wsp:val=&quot;665F74AA&quot;/&gt;&lt;wsp:rsid wsp:val=&quot;66623C97&quot;/&gt;&lt;wsp:rsid wsp:val=&quot;66644AC0&quot;/&gt;&lt;wsp:rsid wsp:val=&quot;66650F64&quot;/&gt;&lt;wsp:rsid wsp:val=&quot;66666A8A&quot;/&gt;&lt;wsp:rsid wsp:val=&quot;666A4179&quot;/&gt;&lt;wsp:rsid wsp:val=&quot;666B22F3&quot;/&gt;&lt;wsp:rsid wsp:val=&quot;666D7E19&quot;/&gt;&lt;wsp:rsid wsp:val=&quot;666F3B91&quot;/&gt;&lt;wsp:rsid wsp:val=&quot;66704F4C&quot;/&gt;&lt;wsp:rsid wsp:val=&quot;6672542F&quot;/&gt;&lt;wsp:rsid wsp:val=&quot;667271DD&quot;/&gt;&lt;wsp:rsid wsp:val=&quot;667473F9&quot;/&gt;&lt;wsp:rsid wsp:val=&quot;66756CCD&quot;/&gt;&lt;wsp:rsid wsp:val=&quot;66781110&quot;/&gt;&lt;wsp:rsid wsp:val=&quot;66783C17&quot;/&gt;&lt;wsp:rsid wsp:val=&quot;6679056C&quot;/&gt;&lt;wsp:rsid wsp:val=&quot;66794A10&quot;/&gt;&lt;wsp:rsid wsp:val=&quot;667A42E4&quot;/&gt;&lt;wsp:rsid wsp:val=&quot;667C4500&quot;/&gt;&lt;wsp:rsid wsp:val=&quot;667D2745&quot;/&gt;&lt;wsp:rsid wsp:val=&quot;667E2026&quot;/&gt;&lt;wsp:rsid wsp:val=&quot;667F18FA&quot;/&gt;&lt;wsp:rsid wsp:val=&quot;66815672&quot;/&gt;&lt;wsp:rsid wsp:val=&quot;66824BFA&quot;/&gt;&lt;wsp:rsid wsp:val=&quot;66833198&quot;/&gt;&lt;wsp:rsid wsp:val=&quot;66846F11&quot;/&gt;&lt;wsp:rsid wsp:val=&quot;66855163&quot;/&gt;&lt;wsp:rsid wsp:val=&quot;6688057E&quot;/&gt;&lt;wsp:rsid wsp:val=&quot;668A4527&quot;/&gt;&lt;wsp:rsid wsp:val=&quot;668B029F&quot;/&gt;&lt;wsp:rsid wsp:val=&quot;668D4017&quot;/&gt;&lt;wsp:rsid wsp:val=&quot;668E7F43&quot;/&gt;&lt;wsp:rsid wsp:val=&quot;668F5FE1&quot;/&gt;&lt;wsp:rsid wsp:val=&quot;669075D4&quot;/&gt;&lt;wsp:rsid wsp:val=&quot;6694184A&quot;/&gt;&lt;wsp:rsid wsp:val=&quot;66961D05&quot;/&gt;&lt;wsp:rsid wsp:val=&quot;669748D6&quot;/&gt;&lt;wsp:rsid wsp:val=&quot;66975BC3&quot;/&gt;&lt;wsp:rsid wsp:val=&quot;66975E95&quot;/&gt;&lt;wsp:rsid wsp:val=&quot;66990C0E&quot;/&gt;&lt;wsp:rsid wsp:val=&quot;66991DC7&quot;/&gt;&lt;wsp:rsid wsp:val=&quot;66993733&quot;/&gt;&lt;wsp:rsid wsp:val=&quot;669B2BD8&quot;/&gt;&lt;wsp:rsid wsp:val=&quot;669C06FE&quot;/&gt;&lt;wsp:rsid wsp:val=&quot;669C24AC&quot;/&gt;&lt;wsp:rsid wsp:val=&quot;669E6224&quot;/&gt;&lt;wsp:rsid wsp:val=&quot;66A03D4A&quot;/&gt;&lt;wsp:rsid wsp:val=&quot;66A11C6C&quot;/&gt;&lt;wsp:rsid wsp:val=&quot;66A14EEF&quot;/&gt;&lt;wsp:rsid wsp:val=&quot;66A25987&quot;/&gt;&lt;wsp:rsid wsp:val=&quot;66A31A8D&quot;/&gt;&lt;wsp:rsid wsp:val=&quot;66A32B8D&quot;/&gt;&lt;wsp:rsid wsp:val=&quot;66A3383B&quot;/&gt;&lt;wsp:rsid wsp:val=&quot;66A617FA&quot;/&gt;&lt;wsp:rsid wsp:val=&quot;66A650D9&quot;/&gt;&lt;wsp:rsid wsp:val=&quot;66A852F5&quot;/&gt;&lt;wsp:rsid wsp:val=&quot;66A870A3&quot;/&gt;&lt;wsp:rsid wsp:val=&quot;66AA6977&quot;/&gt;&lt;wsp:rsid wsp:val=&quot;66AD290B&quot;/&gt;&lt;wsp:rsid wsp:val=&quot;66AF3F8D&quot;/&gt;&lt;wsp:rsid wsp:val=&quot;66B07D06&quot;/&gt;&lt;wsp:rsid wsp:val=&quot;66B15F58&quot;/&gt;&lt;wsp:rsid wsp:val=&quot;66B1691C&quot;/&gt;&lt;wsp:rsid wsp:val=&quot;66B23A7E&quot;/&gt;&lt;wsp:rsid wsp:val=&quot;66B43DFE&quot;/&gt;&lt;wsp:rsid wsp:val=&quot;66B477F6&quot;/&gt;&lt;wsp:rsid wsp:val=&quot;66B50BA4&quot;/&gt;&lt;wsp:rsid wsp:val=&quot;66B617C0&quot;/&gt;&lt;wsp:rsid wsp:val=&quot;66B6356E&quot;/&gt;&lt;wsp:rsid wsp:val=&quot;66B754CF&quot;/&gt;&lt;wsp:rsid wsp:val=&quot;66B772E6&quot;/&gt;&lt;wsp:rsid wsp:val=&quot;66B8128A&quot;/&gt;&lt;wsp:rsid wsp:val=&quot;66B867E0&quot;/&gt;&lt;wsp:rsid wsp:val=&quot;66B9305E&quot;/&gt;&lt;wsp:rsid wsp:val=&quot;66BB5028&quot;/&gt;&lt;wsp:rsid wsp:val=&quot;66BC2B4E&quot;/&gt;&lt;wsp:rsid wsp:val=&quot;66C0263F&quot;/&gt;&lt;wsp:rsid wsp:val=&quot;66C04F72&quot;/&gt;&lt;wsp:rsid wsp:val=&quot;66C13CC1&quot;/&gt;&lt;wsp:rsid wsp:val=&quot;66C51A03&quot;/&gt;&lt;wsp:rsid wsp:val=&quot;66C551E2&quot;/&gt;&lt;wsp:rsid wsp:val=&quot;66C7577B&quot;/&gt;&lt;wsp:rsid wsp:val=&quot;66C91D02&quot;/&gt;&lt;wsp:rsid wsp:val=&quot;66C97765&quot;/&gt;&lt;wsp:rsid wsp:val=&quot;66CA5709&quot;/&gt;&lt;wsp:rsid wsp:val=&quot;66CC0D83&quot;/&gt;&lt;wsp:rsid wsp:val=&quot;66CE7576&quot;/&gt;&lt;wsp:rsid wsp:val=&quot;66CF2882&quot;/&gt;&lt;wsp:rsid wsp:val=&quot;66CF4630&quot;/&gt;&lt;wsp:rsid wsp:val=&quot;66D103A8&quot;/&gt;&lt;wsp:rsid wsp:val=&quot;66D20057&quot;/&gt;&lt;wsp:rsid wsp:val=&quot;66D32372&quot;/&gt;&lt;wsp:rsid wsp:val=&quot;66D71736&quot;/&gt;&lt;wsp:rsid wsp:val=&quot;66D87988&quot;/&gt;&lt;wsp:rsid wsp:val=&quot;66D95E57&quot;/&gt;&lt;wsp:rsid wsp:val=&quot;66D9725C&quot;/&gt;&lt;wsp:rsid wsp:val=&quot;66DB5200&quot;/&gt;&lt;wsp:rsid wsp:val=&quot;66DE0D17&quot;/&gt;&lt;wsp:rsid wsp:val=&quot;66E005EB&quot;/&gt;&lt;wsp:rsid wsp:val=&quot;66E02DA4&quot;/&gt;&lt;wsp:rsid wsp:val=&quot;66E20A12&quot;/&gt;&lt;wsp:rsid wsp:val=&quot;66E300DB&quot;/&gt;&lt;wsp:rsid wsp:val=&quot;66E61FFF&quot;/&gt;&lt;wsp:rsid wsp:val=&quot;66E621C0&quot;/&gt;&lt;wsp:rsid wsp:val=&quot;66E75E1D&quot;/&gt;&lt;wsp:rsid wsp:val=&quot;66E77BCB&quot;/&gt;&lt;wsp:rsid wsp:val=&quot;66E815AD&quot;/&gt;&lt;wsp:rsid wsp:val=&quot;66E83943&quot;/&gt;&lt;wsp:rsid wsp:val=&quot;66E92A3D&quot;/&gt;&lt;wsp:rsid wsp:val=&quot;66EB24C9&quot;/&gt;&lt;wsp:rsid wsp:val=&quot;66EC6F90&quot;/&gt;&lt;wsp:rsid wsp:val=&quot;66ED0F5A&quot;/&gt;&lt;wsp:rsid wsp:val=&quot;66ED4AB6&quot;/&gt;&lt;wsp:rsid wsp:val=&quot;66EE13A4&quot;/&gt;&lt;wsp:rsid wsp:val=&quot;66EF4CD2&quot;/&gt;&lt;wsp:rsid wsp:val=&quot;66EF6A80&quot;/&gt;&lt;wsp:rsid wsp:val=&quot;66F41291&quot;/&gt;&lt;wsp:rsid wsp:val=&quot;66F422E8&quot;/&gt;&lt;wsp:rsid wsp:val=&quot;66F44096&quot;/&gt;&lt;wsp:rsid wsp:val=&quot;66F81DD8&quot;/&gt;&lt;wsp:rsid wsp:val=&quot;66F83B86&quot;/&gt;&lt;wsp:rsid wsp:val=&quot;66FA6CD3&quot;/&gt;&lt;wsp:rsid wsp:val=&quot;66FC5818&quot;/&gt;&lt;wsp:rsid wsp:val=&quot;66FD119D&quot;/&gt;&lt;wsp:rsid wsp:val=&quot;66FE4F15&quot;/&gt;&lt;wsp:rsid wsp:val=&quot;66FE6CC3&quot;/&gt;&lt;wsp:rsid wsp:val=&quot;66FF0F75&quot;/&gt;&lt;wsp:rsid wsp:val=&quot;67000C8D&quot;/&gt;&lt;wsp:rsid wsp:val=&quot;67006EDF&quot;/&gt;&lt;wsp:rsid wsp:val=&quot;67010561&quot;/&gt;&lt;wsp:rsid wsp:val=&quot;67011AE9&quot;/&gt;&lt;wsp:rsid wsp:val=&quot;67017C22&quot;/&gt;&lt;wsp:rsid wsp:val=&quot;67030D86&quot;/&gt;&lt;wsp:rsid wsp:val=&quot;6707201B&quot;/&gt;&lt;wsp:rsid wsp:val=&quot;67072E52&quot;/&gt;&lt;wsp:rsid wsp:val=&quot;67077D99&quot;/&gt;&lt;wsp:rsid wsp:val=&quot;670818F0&quot;/&gt;&lt;wsp:rsid wsp:val=&quot;67087745&quot;/&gt;&lt;wsp:rsid wsp:val=&quot;67087B42&quot;/&gt;&lt;wsp:rsid wsp:val=&quot;670A38BA&quot;/&gt;&lt;wsp:rsid wsp:val=&quot;670C13E0&quot;/&gt;&lt;wsp:rsid wsp:val=&quot;670C7632&quot;/&gt;&lt;wsp:rsid wsp:val=&quot;670E33AA&quot;/&gt;&lt;wsp:rsid wsp:val=&quot;670F0ED0&quot;/&gt;&lt;wsp:rsid wsp:val=&quot;67114C48&quot;/&gt;&lt;wsp:rsid wsp:val=&quot;671169F6&quot;/&gt;&lt;wsp:rsid wsp:val=&quot;6712276E&quot;/&gt;&lt;wsp:rsid wsp:val=&quot;67135CAA&quot;/&gt;&lt;wsp:rsid wsp:val=&quot;67136C12&quot;/&gt;&lt;wsp:rsid wsp:val=&quot;671505CA&quot;/&gt;&lt;wsp:rsid wsp:val=&quot;6716225F&quot;/&gt;&lt;wsp:rsid wsp:val=&quot;67191C1F&quot;/&gt;&lt;wsp:rsid wsp:val=&quot;67191D4F&quot;/&gt;&lt;wsp:rsid wsp:val=&quot;671966A8&quot;/&gt;&lt;wsp:rsid wsp:val=&quot;671B5AC7&quot;/&gt;&lt;wsp:rsid wsp:val=&quot;671B7875&quot;/&gt;&lt;wsp:rsid wsp:val=&quot;671C1B08&quot;/&gt;&lt;wsp:rsid wsp:val=&quot;671D183F&quot;/&gt;&lt;wsp:rsid wsp:val=&quot;671E1113&quot;/&gt;&lt;wsp:rsid wsp:val=&quot;671F124A&quot;/&gt;&lt;wsp:rsid wsp:val=&quot;671F55B7&quot;/&gt;&lt;wsp:rsid wsp:val=&quot;67204E8B&quot;/&gt;&lt;wsp:rsid wsp:val=&quot;67206C39&quot;/&gt;&lt;wsp:rsid wsp:val=&quot;67241800&quot;/&gt;&lt;wsp:rsid wsp:val=&quot;67244F5F&quot;/&gt;&lt;wsp:rsid wsp:val=&quot;67255C66&quot;/&gt;&lt;wsp:rsid wsp:val=&quot;67256946&quot;/&gt;&lt;wsp:rsid wsp:val=&quot;67257BC4&quot;/&gt;&lt;wsp:rsid wsp:val=&quot;6727446C&quot;/&gt;&lt;wsp:rsid wsp:val=&quot;67277FC8&quot;/&gt;&lt;wsp:rsid wsp:val=&quot;67286A40&quot;/&gt;&lt;wsp:rsid wsp:val=&quot;672901E4&quot;/&gt;&lt;wsp:rsid wsp:val=&quot;672B56F4&quot;/&gt;&lt;wsp:rsid wsp:val=&quot;672C0A07&quot;/&gt;&lt;wsp:rsid wsp:val=&quot;672C7CD4&quot;/&gt;&lt;wsp:rsid wsp:val=&quot;672E28B2&quot;/&gt;&lt;wsp:rsid wsp:val=&quot;672E57FA&quot;/&gt;&lt;wsp:rsid wsp:val=&quot;672F3320&quot;/&gt;&lt;wsp:rsid wsp:val=&quot;673114E2&quot;/&gt;&lt;wsp:rsid wsp:val=&quot;673152EA&quot;/&gt;&lt;wsp:rsid wsp:val=&quot;67332E10&quot;/&gt;&lt;wsp:rsid wsp:val=&quot;67334BBF&quot;/&gt;&lt;wsp:rsid wsp:val=&quot;67346B89&quot;/&gt;&lt;wsp:rsid wsp:val=&quot;673512D8&quot;/&gt;&lt;wsp:rsid wsp:val=&quot;67367682&quot;/&gt;&lt;wsp:rsid wsp:val=&quot;67380427&quot;/&gt;&lt;wsp:rsid wsp:val=&quot;67383032&quot;/&gt;&lt;wsp:rsid wsp:val=&quot;6739419F&quot;/&gt;&lt;wsp:rsid wsp:val=&quot;67394B42&quot;/&gt;&lt;wsp:rsid wsp:val=&quot;67395F4D&quot;/&gt;&lt;wsp:rsid wsp:val=&quot;673B1CC5&quot;/&gt;&lt;wsp:rsid wsp:val=&quot;673F6A54&quot;/&gt;&lt;wsp:rsid wsp:val=&quot;673F7A07&quot;/&gt;&lt;wsp:rsid wsp:val=&quot;67401089&quot;/&gt;&lt;wsp:rsid wsp:val=&quot;6741564F&quot;/&gt;&lt;wsp:rsid wsp:val=&quot;67430B7A&quot;/&gt;&lt;wsp:rsid wsp:val=&quot;6747066A&quot;/&gt;&lt;wsp:rsid wsp:val=&quot;674848E9&quot;/&gt;&lt;wsp:rsid wsp:val=&quot;674A015A&quot;/&gt;&lt;wsp:rsid wsp:val=&quot;674A63AC&quot;/&gt;&lt;wsp:rsid wsp:val=&quot;674B0ED2&quot;/&gt;&lt;wsp:rsid wsp:val=&quot;674B143B&quot;/&gt;&lt;wsp:rsid wsp:val=&quot;674C13C9&quot;/&gt;&lt;wsp:rsid wsp:val=&quot;674C3ED2&quot;/&gt;&lt;wsp:rsid wsp:val=&quot;674E72A6&quot;/&gt;&lt;wsp:rsid wsp:val=&quot;6750022D&quot;/&gt;&lt;wsp:rsid wsp:val=&quot;675114E9&quot;/&gt;&lt;wsp:rsid wsp:val=&quot;67515045&quot;/&gt;&lt;wsp:rsid wsp:val=&quot;6751773B&quot;/&gt;&lt;wsp:rsid wsp:val=&quot;6753700F&quot;/&gt;&lt;wsp:rsid wsp:val=&quot;67542D87&quot;/&gt;&lt;wsp:rsid wsp:val=&quot;675445CD&quot;/&gt;&lt;wsp:rsid wsp:val=&quot;67566AFF&quot;/&gt;&lt;wsp:rsid wsp:val=&quot;67572F4E&quot;/&gt;&lt;wsp:rsid wsp:val=&quot;67580AC9&quot;/&gt;&lt;wsp:rsid wsp:val=&quot;67582877&quot;/&gt;&lt;wsp:rsid wsp:val=&quot;6759214B&quot;/&gt;&lt;wsp:rsid wsp:val=&quot;675A1C36&quot;/&gt;&lt;wsp:rsid wsp:val=&quot;675B2367&quot;/&gt;&lt;wsp:rsid wsp:val=&quot;675B2D5F&quot;/&gt;&lt;wsp:rsid wsp:val=&quot;6760172C&quot;/&gt;&lt;wsp:rsid wsp:val=&quot;676034DA&quot;/&gt;&lt;wsp:rsid wsp:val=&quot;6760797E&quot;/&gt;&lt;wsp:rsid wsp:val=&quot;676254A4&quot;/&gt;&lt;wsp:rsid wsp:val=&quot;6762658C&quot;/&gt;&lt;wsp:rsid wsp:val=&quot;67636EB6&quot;/&gt;&lt;wsp:rsid wsp:val=&quot;67650123&quot;/&gt;&lt;wsp:rsid wsp:val=&quot;676669E2&quot;/&gt;&lt;wsp:rsid wsp:val=&quot;67670484&quot;/&gt;&lt;wsp:rsid wsp:val=&quot;67672ABA&quot;/&gt;&lt;wsp:rsid wsp:val=&quot;676905E0&quot;/&gt;&lt;wsp:rsid wsp:val=&quot;67696832&quot;/&gt;&lt;wsp:rsid wsp:val=&quot;676A4358&quot;/&gt;&lt;wsp:rsid wsp:val=&quot;676A6106&quot;/&gt;&lt;wsp:rsid wsp:val=&quot;676B07FC&quot;/&gt;&lt;wsp:rsid wsp:val=&quot;676C00D0&quot;/&gt;&lt;wsp:rsid wsp:val=&quot;676F11D5&quot;/&gt;&lt;wsp:rsid wsp:val=&quot;676F196F&quot;/&gt;&lt;wsp:rsid wsp:val=&quot;67705236&quot;/&gt;&lt;wsp:rsid wsp:val=&quot;677403BA&quot;/&gt;&lt;wsp:rsid wsp:val=&quot;67746F85&quot;/&gt;&lt;wsp:rsid wsp:val=&quot;67753429&quot;/&gt;&lt;wsp:rsid wsp:val=&quot;677551D7&quot;/&gt;&lt;wsp:rsid wsp:val=&quot;67797A29&quot;/&gt;&lt;wsp:rsid wsp:val=&quot;677A33C6&quot;/&gt;&lt;wsp:rsid wsp:val=&quot;677B0314&quot;/&gt;&lt;wsp:rsid wsp:val=&quot;677B47B7&quot;/&gt;&lt;wsp:rsid wsp:val=&quot;677C605D&quot;/&gt;&lt;wsp:rsid wsp:val=&quot;677D22DE&quot;/&gt;&lt;wsp:rsid wsp:val=&quot;677D408C&quot;/&gt;&lt;wsp:rsid wsp:val=&quot;677F1C8E&quot;/&gt;&lt;wsp:rsid wsp:val=&quot;677F7E04&quot;/&gt;&lt;wsp:rsid wsp:val=&quot;6780592A&quot;/&gt;&lt;wsp:rsid wsp:val=&quot;6784541A&quot;/&gt;&lt;wsp:rsid wsp:val=&quot;67860D92&quot;/&gt;&lt;wsp:rsid wsp:val=&quot;678673E4&quot;/&gt;&lt;wsp:rsid wsp:val=&quot;6787315C&quot;/&gt;&lt;wsp:rsid wsp:val=&quot;67883263&quot;/&gt;&lt;wsp:rsid wsp:val=&quot;678834BD&quot;/&gt;&lt;wsp:rsid wsp:val=&quot;67892A30&quot;/&gt;&lt;wsp:rsid wsp:val=&quot;678A67A9&quot;/&gt;&lt;wsp:rsid wsp:val=&quot;678B49FB&quot;/&gt;&lt;wsp:rsid wsp:val=&quot;678E252D&quot;/&gt;&lt;wsp:rsid wsp:val=&quot;67902011&quot;/&gt;&lt;wsp:rsid wsp:val=&quot;679127AC&quot;/&gt;&lt;wsp:rsid wsp:val=&quot;67915D89&quot;/&gt;&lt;wsp:rsid wsp:val=&quot;679413D5&quot;/&gt;&lt;wsp:rsid wsp:val=&quot;679531A0&quot;/&gt;&lt;wsp:rsid wsp:val=&quot;6796514D&quot;/&gt;&lt;wsp:rsid wsp:val=&quot;67987117&quot;/&gt;&lt;wsp:rsid wsp:val=&quot;679A4C3E&quot;/&gt;&lt;wsp:rsid wsp:val=&quot;679A69EC&quot;/&gt;&lt;wsp:rsid wsp:val=&quot;679B1F3D&quot;/&gt;&lt;wsp:rsid wsp:val=&quot;679C2DC3&quot;/&gt;&lt;wsp:rsid wsp:val=&quot;679C6C08&quot;/&gt;&lt;wsp:rsid wsp:val=&quot;679D028A&quot;/&gt;&lt;wsp:rsid wsp:val=&quot;679D472E&quot;/&gt;&lt;wsp:rsid wsp:val=&quot;679D64DC&quot;/&gt;&lt;wsp:rsid wsp:val=&quot;679F02B4&quot;/&gt;&lt;wsp:rsid wsp:val=&quot;67A122A9&quot;/&gt;&lt;wsp:rsid wsp:val=&quot;67A127C2&quot;/&gt;&lt;wsp:rsid wsp:val=&quot;67A23AF2&quot;/&gt;&lt;wsp:rsid wsp:val=&quot;67A45ABC&quot;/&gt;&lt;wsp:rsid wsp:val=&quot;67A555B6&quot;/&gt;&lt;wsp:rsid wsp:val=&quot;67A61834&quot;/&gt;&lt;wsp:rsid wsp:val=&quot;67A84660&quot;/&gt;&lt;wsp:rsid wsp:val=&quot;67A91325&quot;/&gt;&lt;wsp:rsid wsp:val=&quot;67AA29A7&quot;/&gt;&lt;wsp:rsid wsp:val=&quot;67AC1177&quot;/&gt;&lt;wsp:rsid wsp:val=&quot;67AE1C1C&quot;/&gt;&lt;wsp:rsid wsp:val=&quot;67AE2497&quot;/&gt;&lt;wsp:rsid wsp:val=&quot;67AF1239&quot;/&gt;&lt;wsp:rsid wsp:val=&quot;67B0620F&quot;/&gt;&lt;wsp:rsid wsp:val=&quot;67B11F87&quot;/&gt;&lt;wsp:rsid wsp:val=&quot;67B51A77&quot;/&gt;&lt;wsp:rsid wsp:val=&quot;67B524DA&quot;/&gt;&lt;wsp:rsid wsp:val=&quot;67B6134C&quot;/&gt;&lt;wsp:rsid wsp:val=&quot;67B83777&quot;/&gt;&lt;wsp:rsid wsp:val=&quot;67B850C4&quot;/&gt;&lt;wsp:rsid wsp:val=&quot;67B918F5&quot;/&gt;&lt;wsp:rsid wsp:val=&quot;67BB4BB4&quot;/&gt;&lt;wsp:rsid wsp:val=&quot;67BC2E06&quot;/&gt;&lt;wsp:rsid wsp:val=&quot;67BF6452&quot;/&gt;&lt;wsp:rsid wsp:val=&quot;67C10A7D&quot;/&gt;&lt;wsp:rsid wsp:val=&quot;67C223E6&quot;/&gt;&lt;wsp:rsid wsp:val=&quot;67C43A69&quot;/&gt;&lt;wsp:rsid wsp:val=&quot;67C47F0C&quot;/&gt;&lt;wsp:rsid wsp:val=&quot;67C5088E&quot;/&gt;&lt;wsp:rsid wsp:val=&quot;67C61B84&quot;/&gt;&lt;wsp:rsid wsp:val=&quot;67C717AB&quot;/&gt;&lt;wsp:rsid wsp:val=&quot;67C8720F&quot;/&gt;&lt;wsp:rsid wsp:val=&quot;67CA3C10&quot;/&gt;&lt;wsp:rsid wsp:val=&quot;67CA4DF7&quot;/&gt;&lt;wsp:rsid wsp:val=&quot;67CB3049&quot;/&gt;&lt;wsp:rsid wsp:val=&quot;67CD770E&quot;/&gt;&lt;wsp:rsid wsp:val=&quot;67CE0D8B&quot;/&gt;&lt;wsp:rsid wsp:val=&quot;67CF405C&quot;/&gt;&lt;wsp:rsid wsp:val=&quot;67CF4511&quot;/&gt;&lt;wsp:rsid wsp:val=&quot;67CF5C52&quot;/&gt;&lt;wsp:rsid wsp:val=&quot;67D0065F&quot;/&gt;&lt;wsp:rsid wsp:val=&quot;67D22A2B&quot;/&gt;&lt;wsp:rsid wsp:val=&quot;67D35195&quot;/&gt;&lt;wsp:rsid wsp:val=&quot;67D35A63&quot;/&gt;&lt;wsp:rsid wsp:val=&quot;67D363A2&quot;/&gt;&lt;wsp:rsid wsp:val=&quot;67D87514&quot;/&gt;&lt;wsp:rsid wsp:val=&quot;67DA1624&quot;/&gt;&lt;wsp:rsid wsp:val=&quot;67DB0DB2&quot;/&gt;&lt;wsp:rsid wsp:val=&quot;67DD0FCE&quot;/&gt;&lt;wsp:rsid wsp:val=&quot;67E05496&quot;/&gt;&lt;wsp:rsid wsp:val=&quot;67E16926&quot;/&gt;&lt;wsp:rsid wsp:val=&quot;67E20393&quot;/&gt;&lt;wsp:rsid wsp:val=&quot;67E265E5&quot;/&gt;&lt;wsp:rsid wsp:val=&quot;67E4235D&quot;/&gt;&lt;wsp:rsid wsp:val=&quot;67E46F50&quot;/&gt;&lt;wsp:rsid wsp:val=&quot;67E51A4D&quot;/&gt;&lt;wsp:rsid wsp:val=&quot;67E57A45&quot;/&gt;&lt;wsp:rsid wsp:val=&quot;67E73BFB&quot;/&gt;&lt;wsp:rsid wsp:val=&quot;67E934CF&quot;/&gt;&lt;wsp:rsid wsp:val=&quot;67E97C88&quot;/&gt;&lt;wsp:rsid wsp:val=&quot;67EB36EB&quot;/&gt;&lt;wsp:rsid wsp:val=&quot;67EE31DB&quot;/&gt;&lt;wsp:rsid wsp:val=&quot;67EE4F89&quot;/&gt;&lt;wsp:rsid wsp:val=&quot;67F2247B&quot;/&gt;&lt;wsp:rsid wsp:val=&quot;67F22877&quot;/&gt;&lt;wsp:rsid wsp:val=&quot;67F51E74&quot;/&gt;&lt;wsp:rsid wsp:val=&quot;67F87BB6&quot;/&gt;&lt;wsp:rsid wsp:val=&quot;67FA3534&quot;/&gt;&lt;wsp:rsid wsp:val=&quot;67FA392E&quot;/&gt;&lt;wsp:rsid wsp:val=&quot;67FA56DC&quot;/&gt;&lt;wsp:rsid wsp:val=&quot;67FC76A6&quot;/&gt;&lt;wsp:rsid wsp:val=&quot;67FD6F7B&quot;/&gt;&lt;wsp:rsid wsp:val=&quot;67FF0F45&quot;/&gt;&lt;wsp:rsid wsp:val=&quot;67FF7197&quot;/&gt;&lt;wsp:rsid wsp:val=&quot;68012F0F&quot;/&gt;&lt;wsp:rsid wsp:val=&quot;680227E3&quot;/&gt;&lt;wsp:rsid wsp:val=&quot;6803682D&quot;/&gt;&lt;wsp:rsid wsp:val=&quot;68064081&quot;/&gt;&lt;wsp:rsid wsp:val=&quot;68071BA7&quot;/&gt;&lt;wsp:rsid wsp:val=&quot;68086659&quot;/&gt;&lt;wsp:rsid wsp:val=&quot;68091DC3&quot;/&gt;&lt;wsp:rsid wsp:val=&quot;68093B71&quot;/&gt;&lt;wsp:rsid wsp:val=&quot;68095B31&quot;/&gt;&lt;wsp:rsid wsp:val=&quot;680B78E9&quot;/&gt;&lt;wsp:rsid wsp:val=&quot;680C5410&quot;/&gt;&lt;wsp:rsid wsp:val=&quot;68104F00&quot;/&gt;&lt;wsp:rsid wsp:val=&quot;68120C78&quot;/&gt;&lt;wsp:rsid wsp:val=&quot;68126ECA&quot;/&gt;&lt;wsp:rsid wsp:val=&quot;68150768&quot;/&gt;&lt;wsp:rsid wsp:val=&quot;68172BC2&quot;/&gt;&lt;wsp:rsid wsp:val=&quot;681744E0&quot;/&gt;&lt;wsp:rsid wsp:val=&quot;68182006&quot;/&gt;&lt;wsp:rsid wsp:val=&quot;68183DB4&quot;/&gt;&lt;wsp:rsid wsp:val=&quot;681A7B2C&quot;/&gt;&lt;wsp:rsid wsp:val=&quot;681F3395&quot;/&gt;&lt;wsp:rsid wsp:val=&quot;681F6961&quot;/&gt;&lt;wsp:rsid wsp:val=&quot;6820312D&quot;/&gt;&lt;wsp:rsid wsp:val=&quot;68216989&quot;/&gt;&lt;wsp:rsid wsp:val=&quot;68224C33&quot;/&gt;&lt;wsp:rsid wsp:val=&quot;68246BFD&quot;/&gt;&lt;wsp:rsid wsp:val=&quot;6826129E&quot;/&gt;&lt;wsp:rsid wsp:val=&quot;68262FBC&quot;/&gt;&lt;wsp:rsid wsp:val=&quot;68264723&quot;/&gt;&lt;wsp:rsid wsp:val=&quot;68273FF7&quot;/&gt;&lt;wsp:rsid wsp:val=&quot;68282249&quot;/&gt;&lt;wsp:rsid wsp:val=&quot;68294213&quot;/&gt;&lt;wsp:rsid wsp:val=&quot;682A7955&quot;/&gt;&lt;wsp:rsid wsp:val=&quot;682B3AE8&quot;/&gt;&lt;wsp:rsid wsp:val=&quot;682B7A3B&quot;/&gt;&lt;wsp:rsid wsp:val=&quot;682C1C8B&quot;/&gt;&lt;wsp:rsid wsp:val=&quot;682D5AB2&quot;/&gt;&lt;wsp:rsid wsp:val=&quot;682D7860&quot;/&gt;&lt;wsp:rsid wsp:val=&quot;683055A2&quot;/&gt;&lt;wsp:rsid wsp:val=&quot;683243DC&quot;/&gt;&lt;wsp:rsid wsp:val=&quot;68334284&quot;/&gt;&lt;wsp:rsid wsp:val=&quot;683344CF&quot;/&gt;&lt;wsp:rsid wsp:val=&quot;68352BB8&quot;/&gt;&lt;wsp:rsid wsp:val=&quot;683536BE&quot;/&gt;&lt;wsp:rsid wsp:val=&quot;68354966&quot;/&gt;&lt;wsp:rsid wsp:val=&quot;68376930&quot;/&gt;&lt;wsp:rsid wsp:val=&quot;68394457&quot;/&gt;&lt;wsp:rsid wsp:val=&quot;683A1F7D&quot;/&gt;&lt;wsp:rsid wsp:val=&quot;683A3D2B&quot;/&gt;&lt;wsp:rsid wsp:val=&quot;683B7530&quot;/&gt;&lt;wsp:rsid wsp:val=&quot;683C7AA3&quot;/&gt;&lt;wsp:rsid wsp:val=&quot;683D06E9&quot;/&gt;&lt;wsp:rsid wsp:val=&quot;683E1A6D&quot;/&gt;&lt;wsp:rsid wsp:val=&quot;683E7CBF&quot;/&gt;&lt;wsp:rsid wsp:val=&quot;683F3A37&quot;/&gt;&lt;wsp:rsid wsp:val=&quot;683F57E5&quot;/&gt;&lt;wsp:rsid wsp:val=&quot;6841330B&quot;/&gt;&lt;wsp:rsid wsp:val=&quot;68420E31&quot;/&gt;&lt;wsp:rsid wsp:val=&quot;684352D5&quot;/&gt;&lt;wsp:rsid wsp:val=&quot;6844104D&quot;/&gt;&lt;wsp:rsid wsp:val=&quot;68442DFB&quot;/&gt;&lt;wsp:rsid wsp:val=&quot;68444BA9&quot;/&gt;&lt;wsp:rsid wsp:val=&quot;68464DC5&quot;/&gt;&lt;wsp:rsid wsp:val=&quot;68465D84&quot;/&gt;&lt;wsp:rsid wsp:val=&quot;6848194D&quot;/&gt;&lt;wsp:rsid wsp:val=&quot;684828EC&quot;/&gt;&lt;wsp:rsid wsp:val=&quot;6848469A&quot;/&gt;&lt;wsp:rsid wsp:val=&quot;68490DD6&quot;/&gt;&lt;wsp:rsid wsp:val=&quot;684B23DC&quot;/&gt;&lt;wsp:rsid wsp:val=&quot;684B418A&quot;/&gt;&lt;wsp:rsid wsp:val=&quot;684D2FFA&quot;/&gt;&lt;wsp:rsid wsp:val=&quot;6853303E&quot;/&gt;&lt;wsp:rsid wsp:val=&quot;68594AF9&quot;/&gt;&lt;wsp:rsid wsp:val=&quot;685968A7&quot;/&gt;&lt;wsp:rsid wsp:val=&quot;685C1945&quot;/&gt;&lt;wsp:rsid wsp:val=&quot;685F7F2A&quot;/&gt;&lt;wsp:rsid wsp:val=&quot;68610A2F&quot;/&gt;&lt;wsp:rsid wsp:val=&quot;6861575B&quot;/&gt;&lt;wsp:rsid wsp:val=&quot;686314D3&quot;/&gt;&lt;wsp:rsid wsp:val=&quot;68637725&quot;/&gt;&lt;wsp:rsid wsp:val=&quot;6865349E&quot;/&gt;&lt;wsp:rsid wsp:val=&quot;68660FC4&quot;/&gt;&lt;wsp:rsid wsp:val=&quot;686B1B0F&quot;/&gt;&lt;wsp:rsid wsp:val=&quot;686C7991&quot;/&gt;&lt;wsp:rsid wsp:val=&quot;686F7E78&quot;/&gt;&lt;wsp:rsid wsp:val=&quot;687215ED&quot;/&gt;&lt;wsp:rsid wsp:val=&quot;687409E3&quot;/&gt;&lt;wsp:rsid wsp:val=&quot;68751207&quot;/&gt;&lt;wsp:rsid wsp:val=&quot;68784853&quot;/&gt;&lt;wsp:rsid wsp:val=&quot;687C07E7&quot;/&gt;&lt;wsp:rsid wsp:val=&quot;687C4343&quot;/&gt;&lt;wsp:rsid wsp:val=&quot;687E455F&quot;/&gt;&lt;wsp:rsid wsp:val=&quot;687F20A7&quot;/&gt;&lt;wsp:rsid wsp:val=&quot;68805514&quot;/&gt;&lt;wsp:rsid wsp:val=&quot;6881195A&quot;/&gt;&lt;wsp:rsid wsp:val=&quot;68862E7C&quot;/&gt;&lt;wsp:rsid wsp:val=&quot;68880F3A&quot;/&gt;&lt;wsp:rsid wsp:val=&quot;68896A60&quot;/&gt;&lt;wsp:rsid wsp:val=&quot;688A1A85&quot;/&gt;&lt;wsp:rsid wsp:val=&quot;688A2F04&quot;/&gt;&lt;wsp:rsid wsp:val=&quot;688B0A2A&quot;/&gt;&lt;wsp:rsid wsp:val=&quot;688D02FE&quot;/&gt;&lt;wsp:rsid wsp:val=&quot;688D47A2&quot;/&gt;&lt;wsp:rsid wsp:val=&quot;688D6550&quot;/&gt;&lt;wsp:rsid wsp:val=&quot;688F37C9&quot;/&gt;&lt;wsp:rsid wsp:val=&quot;688F6A1C&quot;/&gt;&lt;wsp:rsid wsp:val=&quot;68910A8B&quot;/&gt;&lt;wsp:rsid wsp:val=&quot;68923B67&quot;/&gt;&lt;wsp:rsid wsp:val=&quot;68945B31&quot;/&gt;&lt;wsp:rsid wsp:val=&quot;68946CAB&quot;/&gt;&lt;wsp:rsid wsp:val=&quot;68953657&quot;/&gt;&lt;wsp:rsid wsp:val=&quot;68955405&quot;/&gt;&lt;wsp:rsid wsp:val=&quot;6896419C&quot;/&gt;&lt;wsp:rsid wsp:val=&quot;68975621&quot;/&gt;&lt;wsp:rsid wsp:val=&quot;68996CA3&quot;/&gt;&lt;wsp:rsid wsp:val=&quot;689E42BA&quot;/&gt;&lt;wsp:rsid wsp:val=&quot;689E7704&quot;/&gt;&lt;wsp:rsid wsp:val=&quot;68A044D6&quot;/&gt;&lt;wsp:rsid wsp:val=&quot;68A1024E&quot;/&gt;&lt;wsp:rsid wsp:val=&quot;68A11FFC&quot;/&gt;&lt;wsp:rsid wsp:val=&quot;68A338A0&quot;/&gt;&lt;wsp:rsid wsp:val=&quot;68A35D74&quot;/&gt;&lt;wsp:rsid wsp:val=&quot;68A43D86&quot;/&gt;&lt;wsp:rsid wsp:val=&quot;68A51AEC&quot;/&gt;&lt;wsp:rsid wsp:val=&quot;68A613C0&quot;/&gt;&lt;wsp:rsid wsp:val=&quot;68AB69D7&quot;/&gt;&lt;wsp:rsid wsp:val=&quot;68AF296B&quot;/&gt;&lt;wsp:rsid wsp:val=&quot;68AF32AA&quot;/&gt;&lt;wsp:rsid wsp:val=&quot;68AF4719&quot;/&gt;&lt;wsp:rsid wsp:val=&quot;68B00491&quot;/&gt;&lt;wsp:rsid wsp:val=&quot;68B166E3&quot;/&gt;&lt;wsp:rsid wsp:val=&quot;68B16EE8&quot;/&gt;&lt;wsp:rsid wsp:val=&quot;68B27D65&quot;/&gt;&lt;wsp:rsid wsp:val=&quot;68B63F43&quot;/&gt;&lt;wsp:rsid wsp:val=&quot;68B65AA7&quot;/&gt;&lt;wsp:rsid wsp:val=&quot;68B834D5&quot;/&gt;&lt;wsp:rsid wsp:val=&quot;68B84965&quot;/&gt;&lt;wsp:rsid wsp:val=&quot;68B95597&quot;/&gt;&lt;wsp:rsid wsp:val=&quot;68B95DF5&quot;/&gt;&lt;wsp:rsid wsp:val=&quot;68B97345&quot;/&gt;&lt;wsp:rsid wsp:val=&quot;68BA4E6C&quot;/&gt;&lt;wsp:rsid wsp:val=&quot;68BB30BE&quot;/&gt;&lt;wsp:rsid wsp:val=&quot;68BC0BE4&quot;/&gt;&lt;wsp:rsid wsp:val=&quot;68BC32E6&quot;/&gt;&lt;wsp:rsid wsp:val=&quot;68BC5088&quot;/&gt;&lt;wsp:rsid wsp:val=&quot;68BC531B&quot;/&gt;&lt;wsp:rsid wsp:val=&quot;68BC6E36&quot;/&gt;&lt;wsp:rsid wsp:val=&quot;68BE2BAE&quot;/&gt;&lt;wsp:rsid wsp:val=&quot;68BF2482&quot;/&gt;&lt;wsp:rsid wsp:val=&quot;68C06926&quot;/&gt;&lt;wsp:rsid wsp:val=&quot;68C36416&quot;/&gt;&lt;wsp:rsid wsp:val=&quot;68C57892&quot;/&gt;&lt;wsp:rsid wsp:val=&quot;68C74A62&quot;/&gt;&lt;wsp:rsid wsp:val=&quot;68C81889&quot;/&gt;&lt;wsp:rsid wsp:val=&quot;68CB194B&quot;/&gt;&lt;wsp:rsid wsp:val=&quot;68CC52CB&quot;/&gt;&lt;wsp:rsid wsp:val=&quot;68CD1043&quot;/&gt;&lt;wsp:rsid wsp:val=&quot;68CF4DBB&quot;/&gt;&lt;wsp:rsid wsp:val=&quot;68CF6B69&quot;/&gt;&lt;wsp:rsid wsp:val=&quot;68CF6B8B&quot;/&gt;&lt;wsp:rsid wsp:val=&quot;68D128E1&quot;/&gt;&lt;wsp:rsid wsp:val=&quot;68D16026&quot;/&gt;&lt;wsp:rsid wsp:val=&quot;68D20407&quot;/&gt;&lt;wsp:rsid wsp:val=&quot;68D221B5&quot;/&gt;&lt;wsp:rsid wsp:val=&quot;68D2550C&quot;/&gt;&lt;wsp:rsid wsp:val=&quot;68D423D1&quot;/&gt;&lt;wsp:rsid wsp:val=&quot;68D66149&quot;/&gt;&lt;wsp:rsid wsp:val=&quot;68D67EF7&quot;/&gt;&lt;wsp:rsid wsp:val=&quot;68D83F4F&quot;/&gt;&lt;wsp:rsid wsp:val=&quot;68D93544&quot;/&gt;&lt;wsp:rsid wsp:val=&quot;68DB3760&quot;/&gt;&lt;wsp:rsid wsp:val=&quot;68DB550E&quot;/&gt;&lt;wsp:rsid wsp:val=&quot;68DB72BC&quot;/&gt;&lt;wsp:rsid wsp:val=&quot;68DC1286&quot;/&gt;&lt;wsp:rsid wsp:val=&quot;68DC4DE2&quot;/&gt;&lt;wsp:rsid wsp:val=&quot;68DD3D60&quot;/&gt;&lt;wsp:rsid wsp:val=&quot;68DE0B5A&quot;/&gt;&lt;wsp:rsid wsp:val=&quot;68E1064A&quot;/&gt;&lt;wsp:rsid wsp:val=&quot;68E1689C&quot;/&gt;&lt;wsp:rsid wsp:val=&quot;68E320A9&quot;/&gt;&lt;wsp:rsid wsp:val=&quot;68E343C2&quot;/&gt;&lt;wsp:rsid wsp:val=&quot;68E5013A&quot;/&gt;&lt;wsp:rsid wsp:val=&quot;68E51EE8&quot;/&gt;&lt;wsp:rsid wsp:val=&quot;68EA39A3&quot;/&gt;&lt;wsp:rsid wsp:val=&quot;68EC771B&quot;/&gt;&lt;wsp:rsid wsp:val=&quot;68ED3493&quot;/&gt;&lt;wsp:rsid wsp:val=&quot;68EF08E9&quot;/&gt;&lt;wsp:rsid wsp:val=&quot;68EF4B15&quot;/&gt;&lt;wsp:rsid wsp:val=&quot;68EF720B&quot;/&gt;&lt;wsp:rsid wsp:val=&quot;68F03A70&quot;/&gt;&lt;wsp:rsid wsp:val=&quot;68F16ADF&quot;/&gt;&lt;wsp:rsid wsp:val=&quot;68F31B06&quot;/&gt;&lt;wsp:rsid wsp:val=&quot;68F34846&quot;/&gt;&lt;wsp:rsid wsp:val=&quot;68F35F86&quot;/&gt;&lt;wsp:rsid wsp:val=&quot;68F47416&quot;/&gt;&lt;wsp:rsid wsp:val=&quot;68F55EA4&quot;/&gt;&lt;wsp:rsid wsp:val=&quot;68F66048&quot;/&gt;&lt;wsp:rsid wsp:val=&quot;68F71B4A&quot;/&gt;&lt;wsp:rsid wsp:val=&quot;68F800AA&quot;/&gt;&lt;wsp:rsid wsp:val=&quot;68F91E38&quot;/&gt;&lt;wsp:rsid wsp:val=&quot;68FB170C&quot;/&gt;&lt;wsp:rsid wsp:val=&quot;68FB5BB0&quot;/&gt;&lt;wsp:rsid wsp:val=&quot;68FD36D6&quot;/&gt;&lt;wsp:rsid wsp:val=&quot;69012A9A&quot;/&gt;&lt;wsp:rsid wsp:val=&quot;6903064C&quot;/&gt;&lt;wsp:rsid wsp:val=&quot;69036813&quot;/&gt;&lt;wsp:rsid wsp:val=&quot;6905258B&quot;/&gt;&lt;wsp:rsid wsp:val=&quot;690600B1&quot;/&gt;&lt;wsp:rsid wsp:val=&quot;69076303&quot;/&gt;&lt;wsp:rsid wsp:val=&quot;69076D25&quot;/&gt;&lt;wsp:rsid wsp:val=&quot;6908207B&quot;/&gt;&lt;wsp:rsid wsp:val=&quot;690E58E3&quot;/&gt;&lt;wsp:rsid wsp:val=&quot;690F3409&quot;/&gt;&lt;wsp:rsid wsp:val=&quot;690F401E&quot;/&gt;&lt;wsp:rsid wsp:val=&quot;69110F2F&quot;/&gt;&lt;wsp:rsid wsp:val=&quot;69112693&quot;/&gt;&lt;wsp:rsid wsp:val=&quot;69112CDD&quot;/&gt;&lt;wsp:rsid wsp:val=&quot;69126A56&quot;/&gt;&lt;wsp:rsid wsp:val=&quot;691722BE&quot;/&gt;&lt;wsp:rsid wsp:val=&quot;6917406C&quot;/&gt;&lt;wsp:rsid wsp:val=&quot;69174D42&quot;/&gt;&lt;wsp:rsid wsp:val=&quot;69197DE4&quot;/&gt;&lt;wsp:rsid wsp:val=&quot;691E2683&quot;/&gt;&lt;wsp:rsid wsp:val=&quot;691E5254&quot;/&gt;&lt;wsp:rsid wsp:val=&quot;691E6DF0&quot;/&gt;&lt;wsp:rsid wsp:val=&quot;692073C4&quot;/&gt;&lt;wsp:rsid wsp:val=&quot;69216C99&quot;/&gt;&lt;wsp:rsid wsp:val=&quot;69236EB5&quot;/&gt;&lt;wsp:rsid wsp:val=&quot;69256789&quot;/&gt;&lt;wsp:rsid wsp:val=&quot;69260A8E&quot;/&gt;&lt;wsp:rsid wsp:val=&quot;692613ED&quot;/&gt;&lt;wsp:rsid wsp:val=&quot;69270753&quot;/&gt;&lt;wsp:rsid wsp:val=&quot;692844CB&quot;/&gt;&lt;wsp:rsid wsp:val=&quot;69286279&quot;/&gt;&lt;wsp:rsid wsp:val=&quot;692A1FF1&quot;/&gt;&lt;wsp:rsid wsp:val=&quot;692C3FBB&quot;/&gt;&lt;wsp:rsid wsp:val=&quot;692C6117&quot;/&gt;&lt;wsp:rsid wsp:val=&quot;692C7B17&quot;/&gt;&lt;wsp:rsid wsp:val=&quot;692D4EA0&quot;/&gt;&lt;wsp:rsid wsp:val=&quot;692E7D33&quot;/&gt;&lt;wsp:rsid wsp:val=&quot;692F7608&quot;/&gt;&lt;wsp:rsid wsp:val=&quot;69303AE6&quot;/&gt;&lt;wsp:rsid wsp:val=&quot;69307669&quot;/&gt;&lt;wsp:rsid wsp:val=&quot;693115D2&quot;/&gt;&lt;wsp:rsid wsp:val=&quot;69316E2F&quot;/&gt;&lt;wsp:rsid wsp:val=&quot;6933184E&quot;/&gt;&lt;wsp:rsid wsp:val=&quot;6933450B&quot;/&gt;&lt;wsp:rsid wsp:val=&quot;693370F8&quot;/&gt;&lt;wsp:rsid wsp:val=&quot;693469CC&quot;/&gt;&lt;wsp:rsid wsp:val=&quot;693571DC&quot;/&gt;&lt;wsp:rsid wsp:val=&quot;6936536D&quot;/&gt;&lt;wsp:rsid wsp:val=&quot;69366BE8&quot;/&gt;&lt;wsp:rsid wsp:val=&quot;69390486&quot;/&gt;&lt;wsp:rsid wsp:val=&quot;6939645A&quot;/&gt;&lt;wsp:rsid wsp:val=&quot;693C3AD3&quot;/&gt;&lt;wsp:rsid wsp:val=&quot;693D1D24&quot;/&gt;&lt;wsp:rsid wsp:val=&quot;693D7F76&quot;/&gt;&lt;wsp:rsid wsp:val=&quot;693E5A9D&quot;/&gt;&lt;wsp:rsid wsp:val=&quot;694035C3&quot;/&gt;&lt;wsp:rsid wsp:val=&quot;6942558D&quot;/&gt;&lt;wsp:rsid wsp:val=&quot;694330B3&quot;/&gt;&lt;wsp:rsid wsp:val=&quot;69442264&quot;/&gt;&lt;wsp:rsid wsp:val=&quot;6945507D&quot;/&gt;&lt;wsp:rsid wsp:val=&quot;69456E2B&quot;/&gt;&lt;wsp:rsid wsp:val=&quot;69457813&quot;/&gt;&lt;wsp:rsid wsp:val=&quot;69474951&quot;/&gt;&lt;wsp:rsid wsp:val=&quot;69482477&quot;/&gt;&lt;wsp:rsid wsp:val=&quot;69484834&quot;/&gt;&lt;wsp:rsid wsp:val=&quot;694876AE&quot;/&gt;&lt;wsp:rsid wsp:val=&quot;6949691B&quot;/&gt;&lt;wsp:rsid wsp:val=&quot;694A2693&quot;/&gt;&lt;wsp:rsid wsp:val=&quot;694B4F8E&quot;/&gt;&lt;wsp:rsid wsp:val=&quot;694C1F68&quot;/&gt;&lt;wsp:rsid wsp:val=&quot;694C3FC0&quot;/&gt;&lt;wsp:rsid wsp:val=&quot;694C5DD3&quot;/&gt;&lt;wsp:rsid wsp:val=&quot;694E000D&quot;/&gt;&lt;wsp:rsid wsp:val=&quot;694E2071&quot;/&gt;&lt;wsp:rsid wsp:val=&quot;694F1A58&quot;/&gt;&lt;wsp:rsid wsp:val=&quot;694F334A&quot;/&gt;&lt;wsp:rsid wsp:val=&quot;694F4082&quot;/&gt;&lt;wsp:rsid wsp:val=&quot;69531548&quot;/&gt;&lt;wsp:rsid wsp:val=&quot;6953779A&quot;/&gt;&lt;wsp:rsid wsp:val=&quot;69562DE6&quot;/&gt;&lt;wsp:rsid wsp:val=&quot;69564B94&quot;/&gt;&lt;wsp:rsid wsp:val=&quot;69584DB0&quot;/&gt;&lt;wsp:rsid wsp:val=&quot;69586450&quot;/&gt;&lt;wsp:rsid wsp:val=&quot;69586B5E&quot;/&gt;&lt;wsp:rsid wsp:val=&quot;695928D6&quot;/&gt;&lt;wsp:rsid wsp:val=&quot;69594684&quot;/&gt;&lt;wsp:rsid wsp:val=&quot;69597D05&quot;/&gt;&lt;wsp:rsid wsp:val=&quot;695B03FD&quot;/&gt;&lt;wsp:rsid wsp:val=&quot;695B1E07&quot;/&gt;&lt;wsp:rsid wsp:val=&quot;695B664F&quot;/&gt;&lt;wsp:rsid wsp:val=&quot;695D23C7&quot;/&gt;&lt;wsp:rsid wsp:val=&quot;695E1C9B&quot;/&gt;&lt;wsp:rsid wsp:val=&quot;695E7EED&quot;/&gt;&lt;wsp:rsid wsp:val=&quot;69623539&quot;/&gt;&lt;wsp:rsid wsp:val=&quot;69624685&quot;/&gt;&lt;wsp:rsid wsp:val=&quot;69627926&quot;/&gt;&lt;wsp:rsid wsp:val=&quot;69635503&quot;/&gt;&lt;wsp:rsid wsp:val=&quot;69646650&quot;/&gt;&lt;wsp:rsid wsp:val=&quot;69670B4F&quot;/&gt;&lt;wsp:rsid wsp:val=&quot;69676DA1&quot;/&gt;&lt;wsp:rsid wsp:val=&quot;696848C8&quot;/&gt;&lt;wsp:rsid wsp:val=&quot;69692B1A&quot;/&gt;&lt;wsp:rsid wsp:val=&quot;696C204E&quot;/&gt;&lt;wsp:rsid wsp:val=&quot;696D617A&quot;/&gt;&lt;wsp:rsid wsp:val=&quot;696E0130&quot;/&gt;&lt;wsp:rsid wsp:val=&quot;696E6382&quot;/&gt;&lt;wsp:rsid wsp:val=&quot;696F5C56&quot;/&gt;&lt;wsp:rsid wsp:val=&quot;697119CE&quot;/&gt;&lt;wsp:rsid wsp:val=&quot;69717C20&quot;/&gt;&lt;wsp:rsid wsp:val=&quot;697414BE&quot;/&gt;&lt;wsp:rsid wsp:val=&quot;6974326C&quot;/&gt;&lt;wsp:rsid wsp:val=&quot;69747710&quot;/&gt;&lt;wsp:rsid wsp:val=&quot;69754EBD&quot;/&gt;&lt;wsp:rsid wsp:val=&quot;69766163&quot;/&gt;&lt;wsp:rsid wsp:val=&quot;697706BC&quot;/&gt;&lt;wsp:rsid wsp:val=&quot;69780FAF&quot;/&gt;&lt;wsp:rsid wsp:val=&quot;69787200&quot;/&gt;&lt;wsp:rsid wsp:val=&quot;69790883&quot;/&gt;&lt;wsp:rsid wsp:val=&quot;697A3B33&quot;/&gt;&lt;wsp:rsid wsp:val=&quot;697B1C0E&quot;/&gt;&lt;wsp:rsid wsp:val=&quot;697B3329&quot;/&gt;&lt;wsp:rsid wsp:val=&quot;697B45FB&quot;/&gt;&lt;wsp:rsid wsp:val=&quot;697D0373&quot;/&gt;&lt;wsp:rsid wsp:val=&quot;698060B5&quot;/&gt;&lt;wsp:rsid wsp:val=&quot;69823BDB&quot;/&gt;&lt;wsp:rsid wsp:val=&quot;698257CF&quot;/&gt;&lt;wsp:rsid wsp:val=&quot;69841830&quot;/&gt;&lt;wsp:rsid wsp:val=&quot;69847FBD&quot;/&gt;&lt;wsp:rsid wsp:val=&quot;69877444&quot;/&gt;&lt;wsp:rsid wsp:val=&quot;698931BC&quot;/&gt;&lt;wsp:rsid wsp:val=&quot;69894F6A&quot;/&gt;&lt;wsp:rsid wsp:val=&quot;698A2A90&quot;/&gt;&lt;wsp:rsid wsp:val=&quot;698C05B6&quot;/&gt;&lt;wsp:rsid wsp:val=&quot;698E432E&quot;/&gt;&lt;wsp:rsid wsp:val=&quot;69933ADF&quot;/&gt;&lt;wsp:rsid wsp:val=&quot;6994390F&quot;/&gt;&lt;wsp:rsid wsp:val=&quot;69967687&quot;/&gt;&lt;wsp:rsid wsp:val=&quot;69990F25&quot;/&gt;&lt;wsp:rsid wsp:val=&quot;69992CD3&quot;/&gt;&lt;wsp:rsid wsp:val=&quot;699B4C9D&quot;/&gt;&lt;wsp:rsid wsp:val=&quot;699C0FE7&quot;/&gt;&lt;wsp:rsid wsp:val=&quot;699C1B1D&quot;/&gt;&lt;wsp:rsid wsp:val=&quot;699C25E5&quot;/&gt;&lt;wsp:rsid wsp:val=&quot;699D27C3&quot;/&gt;&lt;wsp:rsid wsp:val=&quot;699E7ECE&quot;/&gt;&lt;wsp:rsid wsp:val=&quot;69A022B3&quot;/&gt;&lt;wsp:rsid wsp:val=&quot;69A04061&quot;/&gt;&lt;wsp:rsid wsp:val=&quot;69A1303B&quot;/&gt;&lt;wsp:rsid wsp:val=&quot;69A51678&quot;/&gt;&lt;wsp:rsid wsp:val=&quot;69A52045&quot;/&gt;&lt;wsp:rsid wsp:val=&quot;69A62E9E&quot;/&gt;&lt;wsp:rsid wsp:val=&quot;69A73255&quot;/&gt;&lt;wsp:rsid wsp:val=&quot;69A73642&quot;/&gt;&lt;wsp:rsid wsp:val=&quot;69A91168&quot;/&gt;&lt;wsp:rsid wsp:val=&quot;69AA4EE0&quot;/&gt;&lt;wsp:rsid wsp:val=&quot;69AC2A06&quot;/&gt;&lt;wsp:rsid wsp:val=&quot;69AD1ECC&quot;/&gt;&lt;wsp:rsid wsp:val=&quot;69AE2C22&quot;/&gt;&lt;wsp:rsid wsp:val=&quot;69AE677E&quot;/&gt;&lt;wsp:rsid wsp:val=&quot;69AF24F6&quot;/&gt;&lt;wsp:rsid wsp:val=&quot;69B23F98&quot;/&gt;&lt;wsp:rsid wsp:val=&quot;69B41D9F&quot;/&gt;&lt;wsp:rsid wsp:val=&quot;69B47B0D&quot;/&gt;&lt;wsp:rsid wsp:val=&quot;69B61AD7&quot;/&gt;&lt;wsp:rsid wsp:val=&quot;69B63885&quot;/&gt;&lt;wsp:rsid wsp:val=&quot;69B875FD&quot;/&gt;&lt;wsp:rsid wsp:val=&quot;69BC1994&quot;/&gt;&lt;wsp:rsid wsp:val=&quot;69BC5AB8&quot;/&gt;&lt;wsp:rsid wsp:val=&quot;69BD4C13&quot;/&gt;&lt;wsp:rsid wsp:val=&quot;69BE2739&quot;/&gt;&lt;wsp:rsid wsp:val=&quot;69BE5A22&quot;/&gt;&lt;wsp:rsid wsp:val=&quot;69C02956&quot;/&gt;&lt;wsp:rsid wsp:val=&quot;69C2222A&quot;/&gt;&lt;wsp:rsid wsp:val=&quot;69C45FA2&quot;/&gt;&lt;wsp:rsid wsp:val=&quot;69C51D1A&quot;/&gt;&lt;wsp:rsid wsp:val=&quot;69C537C3&quot;/&gt;&lt;wsp:rsid wsp:val=&quot;69C62FCC&quot;/&gt;&lt;wsp:rsid wsp:val=&quot;69C67F6C&quot;/&gt;&lt;wsp:rsid wsp:val=&quot;69C80215&quot;/&gt;&lt;wsp:rsid wsp:val=&quot;69C9180A&quot;/&gt;&lt;wsp:rsid wsp:val=&quot;69C935B8&quot;/&gt;&lt;wsp:rsid wsp:val=&quot;69CA13F4&quot;/&gt;&lt;wsp:rsid wsp:val=&quot;69CA7330&quot;/&gt;&lt;wsp:rsid wsp:val=&quot;69CB5582&quot;/&gt;&lt;wsp:rsid wsp:val=&quot;69CC30A8&quot;/&gt;&lt;wsp:rsid wsp:val=&quot;69CC4E56&quot;/&gt;&lt;wsp:rsid wsp:val=&quot;69CC6A0F&quot;/&gt;&lt;wsp:rsid wsp:val=&quot;69CD5CFD&quot;/&gt;&lt;wsp:rsid wsp:val=&quot;69CE5072&quot;/&gt;&lt;wsp:rsid wsp:val=&quot;69D02B99&quot;/&gt;&lt;wsp:rsid wsp:val=&quot;69D23E98&quot;/&gt;&lt;wsp:rsid wsp:val=&quot;69D361E5&quot;/&gt;&lt;wsp:rsid wsp:val=&quot;69D41F5D&quot;/&gt;&lt;wsp:rsid wsp:val=&quot;69D44760&quot;/&gt;&lt;wsp:rsid wsp:val=&quot;69D56401&quot;/&gt;&lt;wsp:rsid wsp:val=&quot;69D57C48&quot;/&gt;&lt;wsp:rsid wsp:val=&quot;69D739F8&quot;/&gt;&lt;wsp:rsid wsp:val=&quot;69D837FB&quot;/&gt;&lt;wsp:rsid wsp:val=&quot;69D87C9F&quot;/&gt;&lt;wsp:rsid wsp:val=&quot;69D92DC0&quot;/&gt;&lt;wsp:rsid wsp:val=&quot;69DA2D2B&quot;/&gt;&lt;wsp:rsid wsp:val=&quot;69DA7573&quot;/&gt;&lt;wsp:rsid wsp:val=&quot;69DC2968&quot;/&gt;&lt;wsp:rsid wsp:val=&quot;69DD52B6&quot;/&gt;&lt;wsp:rsid wsp:val=&quot;69DF38CB&quot;/&gt;&lt;wsp:rsid wsp:val=&quot;69E043AA&quot;/&gt;&lt;wsp:rsid wsp:val=&quot;69E228CC&quot;/&gt;&lt;wsp:rsid wsp:val=&quot;69E41409&quot;/&gt;&lt;wsp:rsid wsp:val=&quot;69E421A0&quot;/&gt;&lt;wsp:rsid wsp:val=&quot;69E44896&quot;/&gt;&lt;wsp:rsid wsp:val=&quot;69E55F18&quot;/&gt;&lt;wsp:rsid wsp:val=&quot;69E76134&quot;/&gt;&lt;wsp:rsid wsp:val=&quot;69E860BE&quot;/&gt;&lt;wsp:rsid wsp:val=&quot;69E91EAC&quot;/&gt;&lt;wsp:rsid wsp:val=&quot;69E9754E&quot;/&gt;&lt;wsp:rsid wsp:val=&quot;69EB36E1&quot;/&gt;&lt;wsp:rsid wsp:val=&quot;69EC32FE&quot;/&gt;&lt;wsp:rsid wsp:val=&quot;69EC374B&quot;/&gt;&lt;wsp:rsid wsp:val=&quot;69EC72A7&quot;/&gt;&lt;wsp:rsid wsp:val=&quot;69EE07EF&quot;/&gt;&lt;wsp:rsid wsp:val=&quot;69EE301F&quot;/&gt;&lt;wsp:rsid wsp:val=&quot;69F04FE9&quot;/&gt;&lt;wsp:rsid wsp:val=&quot;69F12B0F&quot;/&gt;&lt;wsp:rsid wsp:val=&quot;69F34AD9&quot;/&gt;&lt;wsp:rsid wsp:val=&quot;69F36887&quot;/&gt;&lt;wsp:rsid wsp:val=&quot;69F37393&quot;/&gt;&lt;wsp:rsid wsp:val=&quot;69F50851&quot;/&gt;&lt;wsp:rsid wsp:val=&quot;69F60125&quot;/&gt;&lt;wsp:rsid wsp:val=&quot;69F66377&quot;/&gt;&lt;wsp:rsid wsp:val=&quot;69F745C9&quot;/&gt;&lt;wsp:rsid wsp:val=&quot;69FA0715&quot;/&gt;&lt;wsp:rsid wsp:val=&quot;69FB0ACA&quot;/&gt;&lt;wsp:rsid wsp:val=&quot;69FB2DF3&quot;/&gt;&lt;wsp:rsid wsp:val=&quot;69FB573C&quot;/&gt;&lt;wsp:rsid wsp:val=&quot;69FC4283&quot;/&gt;&lt;wsp:rsid wsp:val=&quot;69FD14B4&quot;/&gt;&lt;wsp:rsid wsp:val=&quot;69FD7706&quot;/&gt;&lt;wsp:rsid wsp:val=&quot;69FF347E&quot;/&gt;&lt;wsp:rsid wsp:val=&quot;69FF522C&quot;/&gt;&lt;wsp:rsid wsp:val=&quot;69FF6FDA&quot;/&gt;&lt;wsp:rsid wsp:val=&quot;6A002C04&quot;/&gt;&lt;wsp:rsid wsp:val=&quot;6A002C61&quot;/&gt;&lt;wsp:rsid wsp:val=&quot;6A002D52&quot;/&gt;&lt;wsp:rsid wsp:val=&quot;6A022F6E&quot;/&gt;&lt;wsp:rsid wsp:val=&quot;6A026ACA&quot;/&gt;&lt;wsp:rsid wsp:val=&quot;6A0445F0&quot;/&gt;&lt;wsp:rsid wsp:val=&quot;6A0665BA&quot;/&gt;&lt;wsp:rsid wsp:val=&quot;6A0740E0&quot;/&gt;&lt;wsp:rsid wsp:val=&quot;6A0942FC&quot;/&gt;&lt;wsp:rsid wsp:val=&quot;6A097E59&quot;/&gt;&lt;wsp:rsid wsp:val=&quot;6A0A597F&quot;/&gt;&lt;wsp:rsid wsp:val=&quot;6A0E1913&quot;/&gt;&lt;wsp:rsid wsp:val=&quot;6A0E36C1&quot;/&gt;&lt;wsp:rsid wsp:val=&quot;6A0E7063&quot;/&gt;&lt;wsp:rsid wsp:val=&quot;6A102F95&quot;/&gt;&lt;wsp:rsid wsp:val=&quot;6A1052CA&quot;/&gt;&lt;wsp:rsid wsp:val=&quot;6A136F29&quot;/&gt;&lt;wsp:rsid wsp:val=&quot;6A154A4F&quot;/&gt;&lt;wsp:rsid wsp:val=&quot;6A162576&quot;/&gt;&lt;wsp:rsid wsp:val=&quot;6A1707C7&quot;/&gt;&lt;wsp:rsid wsp:val=&quot;6A18009C&quot;/&gt;&lt;wsp:rsid wsp:val=&quot;6A1A02B8&quot;/&gt;&lt;wsp:rsid wsp:val=&quot;6A1A2066&quot;/&gt;&lt;wsp:rsid wsp:val=&quot;6A1C5DDE&quot;/&gt;&lt;wsp:rsid wsp:val=&quot;6A1D6ADE&quot;/&gt;&lt;wsp:rsid wsp:val=&quot;6A1F652A&quot;/&gt;&lt;wsp:rsid wsp:val=&quot;6A203D51&quot;/&gt;&lt;wsp:rsid wsp:val=&quot;6A204463&quot;/&gt;&lt;wsp:rsid wsp:val=&quot;6A2048FC&quot;/&gt;&lt;wsp:rsid wsp:val=&quot;6A2151A2&quot;/&gt;&lt;wsp:rsid wsp:val=&quot;6A215566&quot;/&gt;&lt;wsp:rsid wsp:val=&quot;6A233AA2&quot;/&gt;&lt;wsp:rsid wsp:val=&quot;6A242EE4&quot;/&gt;&lt;wsp:rsid wsp:val=&quot;6A244C92&quot;/&gt;&lt;wsp:rsid wsp:val=&quot;6A246A40&quot;/&gt;&lt;wsp:rsid wsp:val=&quot;6A255214&quot;/&gt;&lt;wsp:rsid wsp:val=&quot;6A2922A9&quot;/&gt;&lt;wsp:rsid wsp:val=&quot;6A2B4273&quot;/&gt;&lt;wsp:rsid wsp:val=&quot;6A2E5C82&quot;/&gt;&lt;wsp:rsid wsp:val=&quot;6A303637&quot;/&gt;&lt;wsp:rsid wsp:val=&quot;6A314661&quot;/&gt;&lt;wsp:rsid wsp:val=&quot;6A315D44&quot;/&gt;&lt;wsp:rsid wsp:val=&quot;6A325601&quot;/&gt;&lt;wsp:rsid wsp:val=&quot;6A3273AF&quot;/&gt;&lt;wsp:rsid wsp:val=&quot;6A330664&quot;/&gt;&lt;wsp:rsid wsp:val=&quot;6A342511&quot;/&gt;&lt;wsp:rsid wsp:val=&quot;6A372C18&quot;/&gt;&lt;wsp:rsid wsp:val=&quot;6A3749C6&quot;/&gt;&lt;wsp:rsid wsp:val=&quot;6A39656C&quot;/&gt;&lt;wsp:rsid wsp:val=&quot;6A3A2708&quot;/&gt;&lt;wsp:rsid wsp:val=&quot;6A3B3D8A&quot;/&gt;&lt;wsp:rsid wsp:val=&quot;6A3C6480&quot;/&gt;&lt;wsp:rsid wsp:val=&quot;6A3D3FA6&quot;/&gt;&lt;wsp:rsid wsp:val=&quot;6A3F387A&quot;/&gt;&lt;wsp:rsid wsp:val=&quot;6A3F7D1E&quot;/&gt;&lt;wsp:rsid wsp:val=&quot;6A4175F2&quot;/&gt;&lt;wsp:rsid wsp:val=&quot;6A42336B&quot;/&gt;&lt;wsp:rsid wsp:val=&quot;6A4315BC&quot;/&gt;&lt;wsp:rsid wsp:val=&quot;6A4610AD&quot;/&gt;&lt;wsp:rsid wsp:val=&quot;6A486BD3&quot;/&gt;&lt;wsp:rsid wsp:val=&quot;6A4964A7&quot;/&gt;&lt;wsp:rsid wsp:val=&quot;6A4B47ED&quot;/&gt;&lt;wsp:rsid wsp:val=&quot;6A4B68EB&quot;/&gt;&lt;wsp:rsid wsp:val=&quot;6A4C5F97&quot;/&gt;&lt;wsp:rsid wsp:val=&quot;6A4D243B&quot;/&gt;&lt;wsp:rsid wsp:val=&quot;6A4D41E9&quot;/&gt;&lt;wsp:rsid wsp:val=&quot;6A4E79CD&quot;/&gt;&lt;wsp:rsid wsp:val=&quot;6A4E7F61&quot;/&gt;&lt;wsp:rsid wsp:val=&quot;6A4F7217&quot;/&gt;&lt;wsp:rsid wsp:val=&quot;6A507835&quot;/&gt;&lt;wsp:rsid wsp:val=&quot;6A520EC7&quot;/&gt;&lt;wsp:rsid wsp:val=&quot;6A535578&quot;/&gt;&lt;wsp:rsid wsp:val=&quot;6A550E2D&quot;/&gt;&lt;wsp:rsid wsp:val=&quot;6A570BC4&quot;/&gt;&lt;wsp:rsid wsp:val=&quot;6A571163&quot;/&gt;&lt;wsp:rsid wsp:val=&quot;6A575068&quot;/&gt;&lt;wsp:rsid wsp:val=&quot;6A58493C&quot;/&gt;&lt;wsp:rsid wsp:val=&quot;6A586EF6&quot;/&gt;&lt;wsp:rsid wsp:val=&quot;6A5A06B4&quot;/&gt;&lt;wsp:rsid wsp:val=&quot;6A5A6906&quot;/&gt;&lt;wsp:rsid wsp:val=&quot;6A5C612F&quot;/&gt;&lt;wsp:rsid wsp:val=&quot;6A615EE7&quot;/&gt;&lt;wsp:rsid wsp:val=&quot;6A6257BB&quot;/&gt;&lt;wsp:rsid wsp:val=&quot;6A633A0D&quot;/&gt;&lt;wsp:rsid wsp:val=&quot;6A6652AB&quot;/&gt;&lt;wsp:rsid wsp:val=&quot;6A667059&quot;/&gt;&lt;wsp:rsid wsp:val=&quot;6A682DD1&quot;/&gt;&lt;wsp:rsid wsp:val=&quot;6A6908F7&quot;/&gt;&lt;wsp:rsid wsp:val=&quot;6A6B28C1&quot;/&gt;&lt;wsp:rsid wsp:val=&quot;6A6B3CAB&quot;/&gt;&lt;wsp:rsid wsp:val=&quot;6A6D488B&quot;/&gt;&lt;wsp:rsid wsp:val=&quot;6A6D6639&quot;/&gt;&lt;wsp:rsid wsp:val=&quot;6A6F5AC6&quot;/&gt;&lt;wsp:rsid wsp:val=&quot;6A701C86&quot;/&gt;&lt;wsp:rsid wsp:val=&quot;6A70612A&quot;/&gt;&lt;wsp:rsid wsp:val=&quot;6A723956&quot;/&gt;&lt;wsp:rsid wsp:val=&quot;6A73288F&quot;/&gt;&lt;wsp:rsid wsp:val=&quot;6A752FE8&quot;/&gt;&lt;wsp:rsid wsp:val=&quot;6A764478&quot;/&gt;&lt;wsp:rsid wsp:val=&quot;6A771266&quot;/&gt;&lt;wsp:rsid wsp:val=&quot;6A7774B8&quot;/&gt;&lt;wsp:rsid wsp:val=&quot;6A791969&quot;/&gt;&lt;wsp:rsid wsp:val=&quot;6A793230&quot;/&gt;&lt;wsp:rsid wsp:val=&quot;6A794FDE&quot;/&gt;&lt;wsp:rsid wsp:val=&quot;6A7A6FA8&quot;/&gt;&lt;wsp:rsid wsp:val=&quot;6A7C4ACE&quot;/&gt;&lt;wsp:rsid wsp:val=&quot;6A7C687C&quot;/&gt;&lt;wsp:rsid wsp:val=&quot;6A7F636D&quot;/&gt;&lt;wsp:rsid wsp:val=&quot;6A7F77C4&quot;/&gt;&lt;wsp:rsid wsp:val=&quot;6A815C41&quot;/&gt;&lt;wsp:rsid wsp:val=&quot;6A8219B9&quot;/&gt;&lt;wsp:rsid wsp:val=&quot;6A835D38&quot;/&gt;&lt;wsp:rsid wsp:val=&quot;6A841BD5&quot;/&gt;&lt;wsp:rsid wsp:val=&quot;6A842057&quot;/&gt;&lt;wsp:rsid wsp:val=&quot;6A88688D&quot;/&gt;&lt;wsp:rsid wsp:val=&quot;6A8A71EB&quot;/&gt;&lt;wsp:rsid wsp:val=&quot;6A8B2F63&quot;/&gt;&lt;wsp:rsid wsp:val=&quot;6A8C669E&quot;/&gt;&lt;wsp:rsid wsp:val=&quot;6A8D6A57&quot;/&gt;&lt;wsp:rsid wsp:val=&quot;6A8D6CDC&quot;/&gt;&lt;wsp:rsid wsp:val=&quot;6A8E035E&quot;/&gt;&lt;wsp:rsid wsp:val=&quot;6A8F4802&quot;/&gt;&lt;wsp:rsid wsp:val=&quot;6A8F6E4D&quot;/&gt;&lt;wsp:rsid wsp:val=&quot;6A901ED2&quot;/&gt;&lt;wsp:rsid wsp:val=&quot;6A9040D6&quot;/&gt;&lt;wsp:rsid wsp:val=&quot;6A9260A0&quot;/&gt;&lt;wsp:rsid wsp:val=&quot;6A9516EC&quot;/&gt;&lt;wsp:rsid wsp:val=&quot;6A96674C&quot;/&gt;&lt;wsp:rsid wsp:val=&quot;6A971908&quot;/&gt;&lt;wsp:rsid wsp:val=&quot;6A9736B6&quot;/&gt;&lt;wsp:rsid wsp:val=&quot;6A974EF2&quot;/&gt;&lt;wsp:rsid wsp:val=&quot;6A99742E&quot;/&gt;&lt;wsp:rsid wsp:val=&quot;6A9A353A&quot;/&gt;&lt;wsp:rsid wsp:val=&quot;6A9A4F55&quot;/&gt;&lt;wsp:rsid wsp:val=&quot;6A9E0AB3&quot;/&gt;&lt;wsp:rsid wsp:val=&quot;6A9E2C97&quot;/&gt;&lt;wsp:rsid wsp:val=&quot;6A9E4A45&quot;/&gt;&lt;wsp:rsid wsp:val=&quot;6AA15FA4&quot;/&gt;&lt;wsp:rsid wsp:val=&quot;6AA208C4&quot;/&gt;&lt;wsp:rsid wsp:val=&quot;6AA3205B&quot;/&gt;&lt;wsp:rsid wsp:val=&quot;6AA45DD3&quot;/&gt;&lt;wsp:rsid wsp:val=&quot;6AA47B81&quot;/&gt;&lt;wsp:rsid wsp:val=&quot;6AA61B4B&quot;/&gt;&lt;wsp:rsid wsp:val=&quot;6AA72CE0&quot;/&gt;&lt;wsp:rsid wsp:val=&quot;6AA858C3&quot;/&gt;&lt;wsp:rsid wsp:val=&quot;6AA87672&quot;/&gt;&lt;wsp:rsid wsp:val=&quot;6AA933EA&quot;/&gt;&lt;wsp:rsid wsp:val=&quot;6AAB0F10&quot;/&gt;&lt;wsp:rsid wsp:val=&quot;6AAB7162&quot;/&gt;&lt;wsp:rsid wsp:val=&quot;6AAE1120&quot;/&gt;&lt;wsp:rsid wsp:val=&quot;6AAF6C52&quot;/&gt;&lt;wsp:rsid wsp:val=&quot;6AB2229E&quot;/&gt;&lt;wsp:rsid wsp:val=&quot;6AB26742&quot;/&gt;&lt;wsp:rsid wsp:val=&quot;6AB3133E&quot;/&gt;&lt;wsp:rsid wsp:val=&quot;6AB37DC4&quot;/&gt;&lt;wsp:rsid wsp:val=&quot;6AB53B3C&quot;/&gt;&lt;wsp:rsid wsp:val=&quot;6AB57FE0&quot;/&gt;&lt;wsp:rsid wsp:val=&quot;6AB73D58&quot;/&gt;&lt;wsp:rsid wsp:val=&quot;6AB778B5&quot;/&gt;&lt;wsp:rsid wsp:val=&quot;6AB853DB&quot;/&gt;&lt;wsp:rsid wsp:val=&quot;6AB9187F&quot;/&gt;&lt;wsp:rsid wsp:val=&quot;6AB9362D&quot;/&gt;&lt;wsp:rsid wsp:val=&quot;6ABA73A5&quot;/&gt;&lt;wsp:rsid wsp:val=&quot;6ABE0C43&quot;/&gt;&lt;wsp:rsid wsp:val=&quot;6ABF49BB&quot;/&gt;&lt;wsp:rsid wsp:val=&quot;6AC00E5F&quot;/&gt;&lt;wsp:rsid wsp:val=&quot;6AC020D7&quot;/&gt;&lt;wsp:rsid wsp:val=&quot;6AC029BD&quot;/&gt;&lt;wsp:rsid wsp:val=&quot;6AC10733&quot;/&gt;&lt;wsp:rsid wsp:val=&quot;6AC2155B&quot;/&gt;&lt;wsp:rsid wsp:val=&quot;6AC3133E&quot;/&gt;&lt;wsp:rsid wsp:val=&quot;6AC344AB&quot;/&gt;&lt;wsp:rsid wsp:val=&quot;6AC36259&quot;/&gt;&lt;wsp:rsid wsp:val=&quot;6AC50223&quot;/&gt;&lt;wsp:rsid wsp:val=&quot;6AC63F9C&quot;/&gt;&lt;wsp:rsid wsp:val=&quot;6AC65D4A&quot;/&gt;&lt;wsp:rsid wsp:val=&quot;6AC87D14&quot;/&gt;&lt;wsp:rsid wsp:val=&quot;6AC975E8&quot;/&gt;&lt;wsp:rsid wsp:val=&quot;6ACA3A8C&quot;/&gt;&lt;wsp:rsid wsp:val=&quot;6ACA5C60&quot;/&gt;&lt;wsp:rsid wsp:val=&quot;6ACB15B2&quot;/&gt;&lt;wsp:rsid wsp:val=&quot;6ACC3B31&quot;/&gt;&lt;wsp:rsid wsp:val=&quot;6ACD532A&quot;/&gt;&lt;wsp:rsid wsp:val=&quot;6ACD70D8&quot;/&gt;&lt;wsp:rsid wsp:val=&quot;6AD05083&quot;/&gt;&lt;wsp:rsid wsp:val=&quot;6AD06BC8&quot;/&gt;&lt;wsp:rsid wsp:val=&quot;6AD13942&quot;/&gt;&lt;wsp:rsid wsp:val=&quot;6AD211B1&quot;/&gt;&lt;wsp:rsid wsp:val=&quot;6AD263C3&quot;/&gt;&lt;wsp:rsid wsp:val=&quot;6AD40467&quot;/&gt;&lt;wsp:rsid wsp:val=&quot;6AD411D9&quot;/&gt;&lt;wsp:rsid wsp:val=&quot;6AD541DF&quot;/&gt;&lt;wsp:rsid wsp:val=&quot;6AD55F8D&quot;/&gt;&lt;wsp:rsid wsp:val=&quot;6AD66324&quot;/&gt;&lt;wsp:rsid wsp:val=&quot;6AD77F57&quot;/&gt;&lt;wsp:rsid wsp:val=&quot;6ADA17F5&quot;/&gt;&lt;wsp:rsid wsp:val=&quot;6ADA35A3&quot;/&gt;&lt;wsp:rsid wsp:val=&quot;6ADC556D&quot;/&gt;&lt;wsp:rsid wsp:val=&quot;6ADD2FCC&quot;/&gt;&lt;wsp:rsid wsp:val=&quot;6ADE12E5&quot;/&gt;&lt;wsp:rsid wsp:val=&quot;6ADE3093&quot;/&gt;&lt;wsp:rsid wsp:val=&quot;6ADE7537&quot;/&gt;&lt;wsp:rsid wsp:val=&quot;6ADF0BB9&quot;/&gt;&lt;wsp:rsid wsp:val=&quot;6ADF127C&quot;/&gt;&lt;wsp:rsid wsp:val=&quot;6AE01C3A&quot;/&gt;&lt;wsp:rsid wsp:val=&quot;6AE01FA6&quot;/&gt;&lt;wsp:rsid wsp:val=&quot;6AE0505D&quot;/&gt;&lt;wsp:rsid wsp:val=&quot;6AE1287C&quot;/&gt;&lt;wsp:rsid wsp:val=&quot;6AE12B83&quot;/&gt;&lt;wsp:rsid wsp:val=&quot;6AE14931&quot;/&gt;&lt;wsp:rsid wsp:val=&quot;6AE306AA&quot;/&gt;&lt;wsp:rsid wsp:val=&quot;6AE508C6&quot;/&gt;&lt;wsp:rsid wsp:val=&quot;6AE52674&quot;/&gt;&lt;wsp:rsid wsp:val=&quot;6AE54422&quot;/&gt;&lt;wsp:rsid wsp:val=&quot;6AE6019A&quot;/&gt;&lt;wsp:rsid wsp:val=&quot;6AE70738&quot;/&gt;&lt;wsp:rsid wsp:val=&quot;6AE83F12&quot;/&gt;&lt;wsp:rsid wsp:val=&quot;6AE96852&quot;/&gt;&lt;wsp:rsid wsp:val=&quot;6AEA6B50&quot;/&gt;&lt;wsp:rsid wsp:val=&quot;6AEB3A02&quot;/&gt;&lt;wsp:rsid wsp:val=&quot;6AEB755E&quot;/&gt;&lt;wsp:rsid wsp:val=&quot;6AED19D9&quot;/&gt;&lt;wsp:rsid wsp:val=&quot;6AED78BD&quot;/&gt;&lt;wsp:rsid wsp:val=&quot;6AF01018&quot;/&gt;&lt;wsp:rsid wsp:val=&quot;6AF26B3F&quot;/&gt;&lt;wsp:rsid wsp:val=&quot;6AF36CDB&quot;/&gt;&lt;wsp:rsid wsp:val=&quot;6AF4016B&quot;/&gt;&lt;wsp:rsid wsp:val=&quot;6AF40B09&quot;/&gt;&lt;wsp:rsid wsp:val=&quot;6AF44665&quot;/&gt;&lt;wsp:rsid wsp:val=&quot;6AF503DD&quot;/&gt;&lt;wsp:rsid wsp:val=&quot;6AF6662F&quot;/&gt;&lt;wsp:rsid wsp:val=&quot;6AF87E20&quot;/&gt;&lt;wsp:rsid wsp:val=&quot;6AF944CC&quot;/&gt;&lt;wsp:rsid wsp:val=&quot;6AF9611F&quot;/&gt;&lt;wsp:rsid wsp:val=&quot;6AFA59F3&quot;/&gt;&lt;wsp:rsid wsp:val=&quot;6AFF2C57&quot;/&gt;&lt;wsp:rsid wsp:val=&quot;6AFF300A&quot;/&gt;&lt;wsp:rsid wsp:val=&quot;6AFF671E&quot;/&gt;&lt;wsp:rsid wsp:val=&quot;6B036F9E&quot;/&gt;&lt;wsp:rsid wsp:val=&quot;6B054AC4&quot;/&gt;&lt;wsp:rsid wsp:val=&quot;6B0625EA&quot;/&gt;&lt;wsp:rsid wsp:val=&quot;6B064398&quot;/&gt;&lt;wsp:rsid wsp:val=&quot;6B07083C&quot;/&gt;&lt;wsp:rsid wsp:val=&quot;6B0B7C00&quot;/&gt;&lt;wsp:rsid wsp:val=&quot;6B0C451A&quot;/&gt;&lt;wsp:rsid wsp:val=&quot;6B0C5E52&quot;/&gt;&lt;wsp:rsid wsp:val=&quot;6B0D5727&quot;/&gt;&lt;wsp:rsid wsp:val=&quot;6B0E5024&quot;/&gt;&lt;wsp:rsid wsp:val=&quot;6B105217&quot;/&gt;&lt;wsp:rsid wsp:val=&quot;6B1116BB&quot;/&gt;&lt;wsp:rsid wsp:val=&quot;6B120F8F&quot;/&gt;&lt;wsp:rsid wsp:val=&quot;6B15282D&quot;/&gt;&lt;wsp:rsid wsp:val=&quot;6B1637B6&quot;/&gt;&lt;wsp:rsid wsp:val=&quot;6B1765A5&quot;/&gt;&lt;wsp:rsid wsp:val=&quot;6B182A49&quot;/&gt;&lt;wsp:rsid wsp:val=&quot;6B187579&quot;/&gt;&lt;wsp:rsid wsp:val=&quot;6B19056F&quot;/&gt;&lt;wsp:rsid wsp:val=&quot;6B1940CB&quot;/&gt;&lt;wsp:rsid wsp:val=&quot;6B1B6095&quot;/&gt;&lt;wsp:rsid wsp:val=&quot;6B1B793F&quot;/&gt;&lt;wsp:rsid wsp:val=&quot;6B1C27D3&quot;/&gt;&lt;wsp:rsid wsp:val=&quot;6B1C3BBC&quot;/&gt;&lt;wsp:rsid wsp:val=&quot;6B1D005F&quot;/&gt;&lt;wsp:rsid wsp:val=&quot;6B1E7934&quot;/&gt;&lt;wsp:rsid wsp:val=&quot;6B223384&quot;/&gt;&lt;wsp:rsid wsp:val=&quot;6B250CC2&quot;/&gt;&lt;wsp:rsid wsp:val=&quot;6B272C8C&quot;/&gt;&lt;wsp:rsid wsp:val=&quot;6B2807B2&quot;/&gt;&lt;wsp:rsid wsp:val=&quot;6B282560&quot;/&gt;&lt;wsp:rsid wsp:val=&quot;6B283627&quot;/&gt;&lt;wsp:rsid wsp:val=&quot;6B291D9C&quot;/&gt;&lt;wsp:rsid wsp:val=&quot;6B2A0087&quot;/&gt;&lt;wsp:rsid wsp:val=&quot;6B2A277C&quot;/&gt;&lt;wsp:rsid wsp:val=&quot;6B2A501B&quot;/&gt;&lt;wsp:rsid wsp:val=&quot;6B2B460C&quot;/&gt;&lt;wsp:rsid wsp:val=&quot;6B2C2051&quot;/&gt;&lt;wsp:rsid wsp:val=&quot;6B2C59DC&quot;/&gt;&lt;wsp:rsid wsp:val=&quot;6B2E02FC&quot;/&gt;&lt;wsp:rsid wsp:val=&quot;6B2F38EF&quot;/&gt;&lt;wsp:rsid wsp:val=&quot;6B2F7D93&quot;/&gt;&lt;wsp:rsid wsp:val=&quot;6B321631&quot;/&gt;&lt;wsp:rsid wsp:val=&quot;6B322639&quot;/&gt;&lt;wsp:rsid wsp:val=&quot;6B32518D&quot;/&gt;&lt;wsp:rsid wsp:val=&quot;6B361121&quot;/&gt;&lt;wsp:rsid wsp:val=&quot;6B36165F&quot;/&gt;&lt;wsp:rsid wsp:val=&quot;6B3727A3&quot;/&gt;&lt;wsp:rsid wsp:val=&quot;6B383103&quot;/&gt;&lt;wsp:rsid wsp:val=&quot;6B396213&quot;/&gt;&lt;wsp:rsid wsp:val=&quot;6B39651C&quot;/&gt;&lt;wsp:rsid wsp:val=&quot;6B3B6738&quot;/&gt;&lt;wsp:rsid wsp:val=&quot;6B3C600C&quot;/&gt;&lt;wsp:rsid wsp:val=&quot;6B3D425E&quot;/&gt;&lt;wsp:rsid wsp:val=&quot;6B3E7FD6&quot;/&gt;&lt;wsp:rsid wsp:val=&quot;6B404453&quot;/&gt;&lt;wsp:rsid wsp:val=&quot;6B421D71&quot;/&gt;&lt;wsp:rsid wsp:val=&quot;6B4227D3&quot;/&gt;&lt;wsp:rsid wsp:val=&quot;6B451364&quot;/&gt;&lt;wsp:rsid wsp:val=&quot;6B4725E4&quot;/&gt;&lt;wsp:rsid wsp:val=&quot;6B482C03&quot;/&gt;&lt;wsp:rsid wsp:val=&quot;6B4A24D7&quot;/&gt;&lt;wsp:rsid wsp:val=&quot;6B4A697B&quot;/&gt;&lt;wsp:rsid wsp:val=&quot;6B4B3B36&quot;/&gt;&lt;wsp:rsid wsp:val=&quot;6B4C26F3&quot;/&gt;&lt;wsp:rsid wsp:val=&quot;6B4C44A1&quot;/&gt;&lt;wsp:rsid wsp:val=&quot;6B4D1FC7&quot;/&gt;&lt;wsp:rsid wsp:val=&quot;6B4E646B&quot;/&gt;&lt;wsp:rsid wsp:val=&quot;6B525ADE&quot;/&gt;&lt;wsp:rsid wsp:val=&quot;6B5275DD&quot;/&gt;&lt;wsp:rsid wsp:val=&quot;6B530B87&quot;/&gt;&lt;wsp:rsid wsp:val=&quot;6B533A81&quot;/&gt;&lt;wsp:rsid wsp:val=&quot;6B5415A7&quot;/&gt;&lt;wsp:rsid wsp:val=&quot;6B56531F&quot;/&gt;&lt;wsp:rsid wsp:val=&quot;6B5670CE&quot;/&gt;&lt;wsp:rsid wsp:val=&quot;6B594E10&quot;/&gt;&lt;wsp:rsid wsp:val=&quot;6B596BBE&quot;/&gt;&lt;wsp:rsid wsp:val=&quot;6B5C045C&quot;/&gt;&lt;wsp:rsid wsp:val=&quot;6B607F4C&quot;/&gt;&lt;wsp:rsid wsp:val=&quot;6B61607B&quot;/&gt;&lt;wsp:rsid wsp:val=&quot;6B623CC4&quot;/&gt;&lt;wsp:rsid wsp:val=&quot;6B625A72&quot;/&gt;&lt;wsp:rsid wsp:val=&quot;6B6317EA&quot;/&gt;&lt;wsp:rsid wsp:val=&quot;6B6537B4&quot;/&gt;&lt;wsp:rsid wsp:val=&quot;6B6663C0&quot;/&gt;&lt;wsp:rsid wsp:val=&quot;6B67752D&quot;/&gt;&lt;wsp:rsid wsp:val=&quot;6B685053&quot;/&gt;&lt;wsp:rsid wsp:val=&quot;6B6932A5&quot;/&gt;&lt;wsp:rsid wsp:val=&quot;6B6A0DCB&quot;/&gt;&lt;wsp:rsid wsp:val=&quot;6B6B029E&quot;/&gt;&lt;wsp:rsid wsp:val=&quot;6B6B6B6D&quot;/&gt;&lt;wsp:rsid wsp:val=&quot;6B6C069F&quot;/&gt;&lt;wsp:rsid wsp:val=&quot;6B6C68F1&quot;/&gt;&lt;wsp:rsid wsp:val=&quot;6B6D2669&quot;/&gt;&lt;wsp:rsid wsp:val=&quot;6B6E31C9&quot;/&gt;&lt;wsp:rsid wsp:val=&quot;6B6F018F&quot;/&gt;&lt;wsp:rsid wsp:val=&quot;6B713F07&quot;/&gt;&lt;wsp:rsid wsp:val=&quot;6B714110&quot;/&gt;&lt;wsp:rsid wsp:val=&quot;6B715CB5&quot;/&gt;&lt;wsp:rsid wsp:val=&quot;6B7215AE&quot;/&gt;&lt;wsp:rsid wsp:val=&quot;6B7255A0&quot;/&gt;&lt;wsp:rsid wsp:val=&quot;6B741C4A&quot;/&gt;&lt;wsp:rsid wsp:val=&quot;6B767770&quot;/&gt;&lt;wsp:rsid wsp:val=&quot;6B777044&quot;/&gt;&lt;wsp:rsid wsp:val=&quot;6B7B2FD8&quot;/&gt;&lt;wsp:rsid wsp:val=&quot;6B7B6B34&quot;/&gt;&lt;wsp:rsid wsp:val=&quot;6B7C2CD8&quot;/&gt;&lt;wsp:rsid wsp:val=&quot;6B7D28AC&quot;/&gt;&lt;wsp:rsid wsp:val=&quot;6B8005EE&quot;/&gt;&lt;wsp:rsid wsp:val=&quot;6B80414A&quot;/&gt;&lt;wsp:rsid wsp:val=&quot;6B81194E&quot;/&gt;&lt;wsp:rsid wsp:val=&quot;6B811C71&quot;/&gt;&lt;wsp:rsid wsp:val=&quot;6B826114&quot;/&gt;&lt;wsp:rsid wsp:val=&quot;6B841E8D&quot;/&gt;&lt;wsp:rsid wsp:val=&quot;6B855FC9&quot;/&gt;&lt;wsp:rsid wsp:val=&quot;6B8579B3&quot;/&gt;&lt;wsp:rsid wsp:val=&quot;6B8754D9&quot;/&gt;&lt;wsp:rsid wsp:val=&quot;6B882FFF&quot;/&gt;&lt;wsp:rsid wsp:val=&quot;6B8A321B&quot;/&gt;&lt;wsp:rsid wsp:val=&quot;6B8C0D41&quot;/&gt;&lt;wsp:rsid wsp:val=&quot;6B8D0FF1&quot;/&gt;&lt;wsp:rsid wsp:val=&quot;6B8E2D0B&quot;/&gt;&lt;wsp:rsid wsp:val=&quot;6B8F438D&quot;/&gt;&lt;wsp:rsid wsp:val=&quot;6B910106&quot;/&gt;&lt;wsp:rsid wsp:val=&quot;6B93163B&quot;/&gt;&lt;wsp:rsid wsp:val=&quot;6B934FA4&quot;/&gt;&lt;wsp:rsid wsp:val=&quot;6B946AC1&quot;/&gt;&lt;wsp:rsid wsp:val=&quot;6B947BF6&quot;/&gt;&lt;wsp:rsid wsp:val=&quot;6B95409A&quot;/&gt;&lt;wsp:rsid wsp:val=&quot;6B9611C2&quot;/&gt;&lt;wsp:rsid wsp:val=&quot;6B96571C&quot;/&gt;&lt;wsp:rsid wsp:val=&quot;6B99520C&quot;/&gt;&lt;wsp:rsid wsp:val=&quot;6B995C5F&quot;/&gt;&lt;wsp:rsid wsp:val=&quot;6B9A06A5&quot;/&gt;&lt;wsp:rsid wsp:val=&quot;6B9A5EED&quot;/&gt;&lt;wsp:rsid wsp:val=&quot;6B9B16D8&quot;/&gt;&lt;wsp:rsid wsp:val=&quot;6B9D6AAA&quot;/&gt;&lt;wsp:rsid wsp:val=&quot;6B9E7389&quot;/&gt;&lt;wsp:rsid wsp:val=&quot;6BA047ED&quot;/&gt;&lt;wsp:rsid wsp:val=&quot;6BA25323&quot;/&gt;&lt;wsp:rsid wsp:val=&quot;6BA270AA&quot;/&gt;&lt;wsp:rsid wsp:val=&quot;6BA442DD&quot;/&gt;&lt;wsp:rsid wsp:val=&quot;6BA55A78&quot;/&gt;&lt;wsp:rsid wsp:val=&quot;6BA625AC&quot;/&gt;&lt;wsp:rsid wsp:val=&quot;6BA73DCD&quot;/&gt;&lt;wsp:rsid wsp:val=&quot;6BA8544F&quot;/&gt;&lt;wsp:rsid wsp:val=&quot;6BA936A1&quot;/&gt;&lt;wsp:rsid wsp:val=&quot;6BAA7419&quot;/&gt;&lt;wsp:rsid wsp:val=&quot;6BAF67DE&quot;/&gt;&lt;wsp:rsid wsp:val=&quot;6BB00113&quot;/&gt;&lt;wsp:rsid wsp:val=&quot;6BB35604&quot;/&gt;&lt;wsp:rsid wsp:val=&quot;6BB42046&quot;/&gt;&lt;wsp:rsid wsp:val=&quot;6BB64010&quot;/&gt;&lt;wsp:rsid wsp:val=&quot;6BB65DBE&quot;/&gt;&lt;wsp:rsid wsp:val=&quot;6BB86C0A&quot;/&gt;&lt;wsp:rsid wsp:val=&quot;6BB87D88&quot;/&gt;&lt;wsp:rsid wsp:val=&quot;6BB92554&quot;/&gt;&lt;wsp:rsid wsp:val=&quot;6BBA6E3D&quot;/&gt;&lt;wsp:rsid wsp:val=&quot;6BBB33D4&quot;/&gt;&lt;wsp:rsid wsp:val=&quot;6BBD714D&quot;/&gt;&lt;wsp:rsid wsp:val=&quot;6BC009EB&quot;/&gt;&lt;wsp:rsid wsp:val=&quot;6BC32289&quot;/&gt;&lt;wsp:rsid wsp:val=&quot;6BC404DB&quot;/&gt;&lt;wsp:rsid wsp:val=&quot;6BC95AF1&quot;/&gt;&lt;wsp:rsid wsp:val=&quot;6BCC4CAB&quot;/&gt;&lt;wsp:rsid wsp:val=&quot;6BCE3108&quot;/&gt;&lt;wsp:rsid wsp:val=&quot;6BCE4EB6&quot;/&gt;&lt;wsp:rsid wsp:val=&quot;6BCF0C2E&quot;/&gt;&lt;wsp:rsid wsp:val=&quot;6BCF6E80&quot;/&gt;&lt;wsp:rsid wsp:val=&quot;6BD01E2A&quot;/&gt;&lt;wsp:rsid wsp:val=&quot;6BD051C5&quot;/&gt;&lt;wsp:rsid wsp:val=&quot;6BD06690&quot;/&gt;&lt;wsp:rsid wsp:val=&quot;6BD2201D&quot;/&gt;&lt;wsp:rsid wsp:val=&quot;6BD2767D&quot;/&gt;&lt;wsp:rsid wsp:val=&quot;6BD334AD&quot;/&gt;&lt;wsp:rsid wsp:val=&quot;6BD526E8&quot;/&gt;&lt;wsp:rsid wsp:val=&quot;6BD55A96&quot;/&gt;&lt;wsp:rsid wsp:val=&quot;6BD61FBC&quot;/&gt;&lt;wsp:rsid wsp:val=&quot;6BD821D8&quot;/&gt;&lt;wsp:rsid wsp:val=&quot;6BD83F86&quot;/&gt;&lt;wsp:rsid wsp:val=&quot;6BD91AAD&quot;/&gt;&lt;wsp:rsid wsp:val=&quot;6BD9385B&quot;/&gt;&lt;wsp:rsid wsp:val=&quot;6BD951E1&quot;/&gt;&lt;wsp:rsid wsp:val=&quot;6BDA7CFF&quot;/&gt;&lt;wsp:rsid wsp:val=&quot;6BDB3A77&quot;/&gt;&lt;wsp:rsid wsp:val=&quot;6BDB5825&quot;/&gt;&lt;wsp:rsid wsp:val=&quot;6BDD159D&quot;/&gt;&lt;wsp:rsid wsp:val=&quot;6BE04BE9&quot;/&gt;&lt;wsp:rsid wsp:val=&quot;6BE24E05&quot;/&gt;&lt;wsp:rsid wsp:val=&quot;6BE40B7D&quot;/&gt;&lt;wsp:rsid wsp:val=&quot;6BE50451&quot;/&gt;&lt;wsp:rsid wsp:val=&quot;6BE566A3&quot;/&gt;&lt;wsp:rsid wsp:val=&quot;6BE6092A&quot;/&gt;&lt;wsp:rsid wsp:val=&quot;6BE84243&quot;/&gt;&lt;wsp:rsid wsp:val=&quot;6BE96194&quot;/&gt;&lt;wsp:rsid wsp:val=&quot;6BEA5A68&quot;/&gt;&lt;wsp:rsid wsp:val=&quot;6BEB1F0C&quot;/&gt;&lt;wsp:rsid wsp:val=&quot;6BEB5CFD&quot;/&gt;&lt;wsp:rsid wsp:val=&quot;6BEC17E0&quot;/&gt;&lt;wsp:rsid wsp:val=&quot;6BEC7A32&quot;/&gt;&lt;wsp:rsid wsp:val=&quot;6BED447B&quot;/&gt;&lt;wsp:rsid wsp:val=&quot;6BEE37AA&quot;/&gt;&lt;wsp:rsid wsp:val=&quot;6BF012D0&quot;/&gt;&lt;wsp:rsid wsp:val=&quot;6BF1329A&quot;/&gt;&lt;wsp:rsid wsp:val=&quot;6BF6265F&quot;/&gt;&lt;wsp:rsid wsp:val=&quot;6BF863D7&quot;/&gt;&lt;wsp:rsid wsp:val=&quot;6BF95CAB&quot;/&gt;&lt;wsp:rsid wsp:val=&quot;6BFA1229&quot;/&gt;&lt;wsp:rsid wsp:val=&quot;6BFA1456&quot;/&gt;&lt;wsp:rsid wsp:val=&quot;6BFA214F&quot;/&gt;&lt;wsp:rsid wsp:val=&quot;6BFB1A23&quot;/&gt;&lt;wsp:rsid wsp:val=&quot;6BFD1C3F&quot;/&gt;&lt;wsp:rsid wsp:val=&quot;6C00528B&quot;/&gt;&lt;wsp:rsid wsp:val=&quot;6C007039&quot;/&gt;&lt;wsp:rsid wsp:val=&quot;6C012059&quot;/&gt;&lt;wsp:rsid wsp:val=&quot;6C022C8A&quot;/&gt;&lt;wsp:rsid wsp:val=&quot;6C027255&quot;/&gt;&lt;wsp:rsid wsp:val=&quot;6C042FCD&quot;/&gt;&lt;wsp:rsid wsp:val=&quot;6C0528A2&quot;/&gt;&lt;wsp:rsid wsp:val=&quot;6C0703C8&quot;/&gt;&lt;wsp:rsid wsp:val=&quot;6C07486C&quot;/&gt;&lt;wsp:rsid wsp:val=&quot;6C094140&quot;/&gt;&lt;wsp:rsid wsp:val=&quot;6C0A55FF&quot;/&gt;&lt;wsp:rsid wsp:val=&quot;6C0A7EB8&quot;/&gt;&lt;wsp:rsid wsp:val=&quot;6C0B21AE&quot;/&gt;&lt;wsp:rsid wsp:val=&quot;6C0C3C30&quot;/&gt;&lt;wsp:rsid wsp:val=&quot;6C0D38BE&quot;/&gt;&lt;wsp:rsid wsp:val=&quot;6C0E1756&quot;/&gt;&lt;wsp:rsid wsp:val=&quot;6C156F89&quot;/&gt;&lt;wsp:rsid wsp:val=&quot;6C172D01&quot;/&gt;&lt;wsp:rsid wsp:val=&quot;6C1A634D&quot;/&gt;&lt;wsp:rsid wsp:val=&quot;6C1B0562&quot;/&gt;&lt;wsp:rsid wsp:val=&quot;6C1D5E3D&quot;/&gt;&lt;wsp:rsid wsp:val=&quot;6C1F3963&quot;/&gt;&lt;wsp:rsid wsp:val=&quot;6C1F5711&quot;/&gt;&lt;wsp:rsid wsp:val=&quot;6C1F64E1&quot;/&gt;&lt;wsp:rsid wsp:val=&quot;6C2076DB&quot;/&gt;&lt;wsp:rsid wsp:val=&quot;6C222D40&quot;/&gt;&lt;wsp:rsid wsp:val=&quot;6C225202&quot;/&gt;&lt;wsp:rsid wsp:val=&quot;6C2365FB&quot;/&gt;&lt;wsp:rsid wsp:val=&quot;6C254CF9&quot;/&gt;&lt;wsp:rsid wsp:val=&quot;6C256AA0&quot;/&gt;&lt;wsp:rsid wsp:val=&quot;6C262F44&quot;/&gt;&lt;wsp:rsid wsp:val=&quot;6C266DB6&quot;/&gt;&lt;wsp:rsid wsp:val=&quot;6C272818&quot;/&gt;&lt;wsp:rsid wsp:val=&quot;6C2816D6&quot;/&gt;&lt;wsp:rsid wsp:val=&quot;6C2C42D2&quot;/&gt;&lt;wsp:rsid wsp:val=&quot;6C2E004A&quot;/&gt;&lt;wsp:rsid wsp:val=&quot;6C2F0A11&quot;/&gt;&lt;wsp:rsid wsp:val=&quot;6C303DC2&quot;/&gt;&lt;wsp:rsid wsp:val=&quot;6C3118E9&quot;/&gt;&lt;wsp:rsid wsp:val=&quot;6C315445&quot;/&gt;&lt;wsp:rsid wsp:val=&quot;6C323B8B&quot;/&gt;&lt;wsp:rsid wsp:val=&quot;6C33740F&quot;/&gt;&lt;wsp:rsid wsp:val=&quot;6C337F2A&quot;/&gt;&lt;wsp:rsid wsp:val=&quot;6C353187&quot;/&gt;&lt;wsp:rsid wsp:val=&quot;6C353CDA&quot;/&gt;&lt;wsp:rsid wsp:val=&quot;6C355B2F&quot;/&gt;&lt;wsp:rsid wsp:val=&quot;6C376EFF&quot;/&gt;&lt;wsp:rsid wsp:val=&quot;6C3A079D&quot;/&gt;&lt;wsp:rsid wsp:val=&quot;6C3A69EF&quot;/&gt;&lt;wsp:rsid wsp:val=&quot;6C3B62C3&quot;/&gt;&lt;wsp:rsid wsp:val=&quot;6C3D028D&quot;/&gt;&lt;wsp:rsid wsp:val=&quot;6C3D246C&quot;/&gt;&lt;wsp:rsid wsp:val=&quot;6C3F4006&quot;/&gt;&lt;wsp:rsid wsp:val=&quot;6C411B2C&quot;/&gt;&lt;wsp:rsid wsp:val=&quot;6C4433CA&quot;/&gt;&lt;wsp:rsid wsp:val=&quot;6C44786E&quot;/&gt;&lt;wsp:rsid wsp:val=&quot;6C465394&quot;/&gt;&lt;wsp:rsid wsp:val=&quot;6C492150&quot;/&gt;&lt;wsp:rsid wsp:val=&quot;6C49442A&quot;/&gt;&lt;wsp:rsid wsp:val=&quot;6C4A5B71&quot;/&gt;&lt;wsp:rsid wsp:val=&quot;6C4B6506&quot;/&gt;&lt;wsp:rsid wsp:val=&quot;6C4D6722&quot;/&gt;&lt;wsp:rsid wsp:val=&quot;6C4E249B&quot;/&gt;&lt;wsp:rsid wsp:val=&quot;6C4E72B1&quot;/&gt;&lt;wsp:rsid wsp:val=&quot;6C4F7452&quot;/&gt;&lt;wsp:rsid wsp:val=&quot;6C515AE7&quot;/&gt;&lt;wsp:rsid wsp:val=&quot;6C517895&quot;/&gt;&lt;wsp:rsid wsp:val=&quot;6C525C70&quot;/&gt;&lt;wsp:rsid wsp:val=&quot;6C533118&quot;/&gt;&lt;wsp:rsid wsp:val=&quot;6C537AB1&quot;/&gt;&lt;wsp:rsid wsp:val=&quot;6C553829&quot;/&gt;&lt;wsp:rsid wsp:val=&quot;6C557385&quot;/&gt;&lt;wsp:rsid wsp:val=&quot;6C567B8C&quot;/&gt;&lt;wsp:rsid wsp:val=&quot;6C5775A1&quot;/&gt;&lt;wsp:rsid wsp:val=&quot;6C594EFB&quot;/&gt;&lt;wsp:rsid wsp:val=&quot;6C5A066F&quot;/&gt;&lt;wsp:rsid wsp:val=&quot;6C5A499B&quot;/&gt;&lt;wsp:rsid wsp:val=&quot;6C5A72D1&quot;/&gt;&lt;wsp:rsid wsp:val=&quot;6C5C6966&quot;/&gt;&lt;wsp:rsid wsp:val=&quot;6C5D1A55&quot;/&gt;&lt;wsp:rsid wsp:val=&quot;6C5D26DE&quot;/&gt;&lt;wsp:rsid wsp:val=&quot;6C5D448C&quot;/&gt;&lt;wsp:rsid wsp:val=&quot;6C5E0930&quot;/&gt;&lt;wsp:rsid wsp:val=&quot;6C5E5AB6&quot;/&gt;&lt;wsp:rsid wsp:val=&quot;6C5F1FB2&quot;/&gt;&lt;wsp:rsid wsp:val=&quot;6C5F6456&quot;/&gt;&lt;wsp:rsid wsp:val=&quot;6C635F46&quot;/&gt;&lt;wsp:rsid wsp:val=&quot;6C636C38&quot;/&gt;&lt;wsp:rsid wsp:val=&quot;6C643A6C&quot;/&gt;&lt;wsp:rsid wsp:val=&quot;6C6475C8&quot;/&gt;&lt;wsp:rsid wsp:val=&quot;6C661592&quot;/&gt;&lt;wsp:rsid wsp:val=&quot;6C67530A&quot;/&gt;&lt;wsp:rsid wsp:val=&quot;6C68710C&quot;/&gt;&lt;wsp:rsid wsp:val=&quot;6C691082&quot;/&gt;&lt;wsp:rsid wsp:val=&quot;6C692E30&quot;/&gt;&lt;wsp:rsid wsp:val=&quot;6C6972D4&quot;/&gt;&lt;wsp:rsid wsp:val=&quot;6C6C0C5A&quot;/&gt;&lt;wsp:rsid wsp:val=&quot;6C6E0447&quot;/&gt;&lt;wsp:rsid wsp:val=&quot;6C6E6699&quot;/&gt;&lt;wsp:rsid wsp:val=&quot;6C6F3E6A&quot;/&gt;&lt;wsp:rsid wsp:val=&quot;6C711CE5&quot;/&gt;&lt;wsp:rsid wsp:val=&quot;6C727F37&quot;/&gt;&lt;wsp:rsid wsp:val=&quot;6C731F01&quot;/&gt;&lt;wsp:rsid wsp:val=&quot;6C735A5D&quot;/&gt;&lt;wsp:rsid wsp:val=&quot;6C7543F7&quot;/&gt;&lt;wsp:rsid wsp:val=&quot;6C75594E&quot;/&gt;&lt;wsp:rsid wsp:val=&quot;6C755C79&quot;/&gt;&lt;wsp:rsid wsp:val=&quot;6C757A27&quot;/&gt;&lt;wsp:rsid wsp:val=&quot;6C762F55&quot;/&gt;&lt;wsp:rsid wsp:val=&quot;6C7669B4&quot;/&gt;&lt;wsp:rsid wsp:val=&quot;6C77379F&quot;/&gt;&lt;wsp:rsid wsp:val=&quot;6C77554D&quot;/&gt;&lt;wsp:rsid wsp:val=&quot;6C7812C6&quot;/&gt;&lt;wsp:rsid wsp:val=&quot;6C7C0DB6&quot;/&gt;&lt;wsp:rsid wsp:val=&quot;6C7D068A&quot;/&gt;&lt;wsp:rsid wsp:val=&quot;6C7E0D8E&quot;/&gt;&lt;wsp:rsid wsp:val=&quot;6C7F08A6&quot;/&gt;&lt;wsp:rsid wsp:val=&quot;6C7F4402&quot;/&gt;&lt;wsp:rsid wsp:val=&quot;6C7F4E9A&quot;/&gt;&lt;wsp:rsid wsp:val=&quot;6C81461E&quot;/&gt;&lt;wsp:rsid wsp:val=&quot;6C823EF2&quot;/&gt;&lt;wsp:rsid wsp:val=&quot;6C830396&quot;/&gt;&lt;wsp:rsid wsp:val=&quot;6C832144&quot;/&gt;&lt;wsp:rsid wsp:val=&quot;6C845EBC&quot;/&gt;&lt;wsp:rsid wsp:val=&quot;6C8620F1&quot;/&gt;&lt;wsp:rsid wsp:val=&quot;6C866D48&quot;/&gt;&lt;wsp:rsid wsp:val=&quot;6C88141A&quot;/&gt;&lt;wsp:rsid wsp:val=&quot;6C89702F&quot;/&gt;&lt;wsp:rsid wsp:val=&quot;6C8B2DA7&quot;/&gt;&lt;wsp:rsid wsp:val=&quot;6C8B46C6&quot;/&gt;&lt;wsp:rsid wsp:val=&quot;6C8B5575&quot;/&gt;&lt;wsp:rsid wsp:val=&quot;6C8C2600&quot;/&gt;&lt;wsp:rsid wsp:val=&quot;6C8D2FC3&quot;/&gt;&lt;wsp:rsid wsp:val=&quot;6C8D73F3&quot;/&gt;&lt;wsp:rsid wsp:val=&quot;6C8E21D0&quot;/&gt;&lt;wsp:rsid wsp:val=&quot;6C8E2897&quot;/&gt;&lt;wsp:rsid wsp:val=&quot;6C9205D9&quot;/&gt;&lt;wsp:rsid wsp:val=&quot;6C922387&quot;/&gt;&lt;wsp:rsid wsp:val=&quot;6C937EAD&quot;/&gt;&lt;wsp:rsid wsp:val=&quot;6C951E77&quot;/&gt;&lt;wsp:rsid wsp:val=&quot;6C961BE6&quot;/&gt;&lt;wsp:rsid wsp:val=&quot;6C97799E&quot;/&gt;&lt;wsp:rsid wsp:val=&quot;6C991968&quot;/&gt;&lt;wsp:rsid wsp:val=&quot;6C9A56E0&quot;/&gt;&lt;wsp:rsid wsp:val=&quot;6C9A737F&quot;/&gt;&lt;wsp:rsid wsp:val=&quot;6C9C1458&quot;/&gt;&lt;wsp:rsid wsp:val=&quot;6C9C3206&quot;/&gt;&lt;wsp:rsid wsp:val=&quot;6C9C4FB4&quot;/&gt;&lt;wsp:rsid wsp:val=&quot;6C9E6F7E&quot;/&gt;&lt;wsp:rsid wsp:val=&quot;6C9F2CF6&quot;/&gt;&lt;wsp:rsid wsp:val=&quot;6CA34594&quot;/&gt;&lt;wsp:rsid wsp:val=&quot;6CA36342&quot;/&gt;&lt;wsp:rsid wsp:val=&quot;6CA40EF3&quot;/&gt;&lt;wsp:rsid wsp:val=&quot;6CA67BE1&quot;/&gt;&lt;wsp:rsid wsp:val=&quot;6CA75A03&quot;/&gt;&lt;wsp:rsid wsp:val=&quot;6CA83959&quot;/&gt;&lt;wsp:rsid wsp:val=&quot;6CAB297C&quot;/&gt;&lt;wsp:rsid wsp:val=&quot;6CAB3479&quot;/&gt;&lt;wsp:rsid wsp:val=&quot;6CAB51F7&quot;/&gt;&lt;wsp:rsid wsp:val=&quot;6CAD0F6F&quot;/&gt;&lt;wsp:rsid wsp:val=&quot;6CAE084F&quot;/&gt;&lt;wsp:rsid wsp:val=&quot;6CAE2F39&quot;/&gt;&lt;wsp:rsid wsp:val=&quot;6CAF118B&quot;/&gt;&lt;wsp:rsid wsp:val=&quot;6CB00A5F&quot;/&gt;&lt;wsp:rsid wsp:val=&quot;6CB27C7E&quot;/&gt;&lt;wsp:rsid wsp:val=&quot;6CB5251A&quot;/&gt;&lt;wsp:rsid wsp:val=&quot;6CB542C8&quot;/&gt;&lt;wsp:rsid wsp:val=&quot;6CB70040&quot;/&gt;&lt;wsp:rsid wsp:val=&quot;6CB93DB8&quot;/&gt;&lt;wsp:rsid wsp:val=&quot;6CBA7B30&quot;/&gt;&lt;wsp:rsid wsp:val=&quot;6CBB0C5F&quot;/&gt;&lt;wsp:rsid wsp:val=&quot;6CBE13CE&quot;/&gt;&lt;wsp:rsid wsp:val=&quot;6CBE15D4&quot;/&gt;&lt;wsp:rsid wsp:val=&quot;6CBE317C&quot;/&gt;&lt;wsp:rsid wsp:val=&quot;6CBE3BC9&quot;/&gt;&lt;wsp:rsid wsp:val=&quot;6CBF18B4&quot;/&gt;&lt;wsp:rsid wsp:val=&quot;6CBF32F2&quot;/&gt;&lt;wsp:rsid wsp:val=&quot;6CBF47ED&quot;/&gt;&lt;wsp:rsid wsp:val=&quot;6CC00209&quot;/&gt;&lt;wsp:rsid wsp:val=&quot;6CC14A1B&quot;/&gt;&lt;wsp:rsid wsp:val=&quot;6CC24BA2&quot;/&gt;&lt;wsp:rsid wsp:val=&quot;6CC25CE0&quot;/&gt;&lt;wsp:rsid wsp:val=&quot;6CC30793&quot;/&gt;&lt;wsp:rsid wsp:val=&quot;6CC4275D&quot;/&gt;&lt;wsp:rsid wsp:val=&quot;6CC60283&quot;/&gt;&lt;wsp:rsid wsp:val=&quot;6CC61C99&quot;/&gt;&lt;wsp:rsid wsp:val=&quot;6CC8224D&quot;/&gt;&lt;wsp:rsid wsp:val=&quot;6CC83FFB&quot;/&gt;&lt;wsp:rsid wsp:val=&quot;6CC85DA9&quot;/&gt;&lt;wsp:rsid wsp:val=&quot;6CC928F5&quot;/&gt;&lt;wsp:rsid wsp:val=&quot;6CCB584C&quot;/&gt;&lt;wsp:rsid wsp:val=&quot;6CCB5899&quot;/&gt;&lt;wsp:rsid wsp:val=&quot;6CCB7647&quot;/&gt;&lt;wsp:rsid wsp:val=&quot;6CCC3665&quot;/&gt;&lt;wsp:rsid wsp:val=&quot;6CCD1611&quot;/&gt;&lt;wsp:rsid wsp:val=&quot;6CCD33BF&quot;/&gt;&lt;wsp:rsid wsp:val=&quot;6CCE7137&quot;/&gt;&lt;wsp:rsid wsp:val=&quot;6CCF08E7&quot;/&gt;&lt;wsp:rsid wsp:val=&quot;6CD25B27&quot;/&gt;&lt;wsp:rsid wsp:val=&quot;6CD25F52&quot;/&gt;&lt;wsp:rsid wsp:val=&quot;6CD26C28&quot;/&gt;&lt;wsp:rsid wsp:val=&quot;6CD408C1&quot;/&gt;&lt;wsp:rsid wsp:val=&quot;6CD40BF2&quot;/&gt;&lt;wsp:rsid wsp:val=&quot;6CD52274&quot;/&gt;&lt;wsp:rsid wsp:val=&quot;6CD96208&quot;/&gt;&lt;wsp:rsid wsp:val=&quot;6CDE580B&quot;/&gt;&lt;wsp:rsid wsp:val=&quot;6CDF2E4F&quot;/&gt;&lt;wsp:rsid wsp:val=&quot;6CDF30F3&quot;/&gt;&lt;wsp:rsid wsp:val=&quot;6CE10C19&quot;/&gt;&lt;wsp:rsid wsp:val=&quot;6CE16E6B&quot;/&gt;&lt;wsp:rsid wsp:val=&quot;6CE30E35&quot;/&gt;&lt;wsp:rsid wsp:val=&quot;6CE626D3&quot;/&gt;&lt;wsp:rsid wsp:val=&quot;6CE7542D&quot;/&gt;&lt;wsp:rsid wsp:val=&quot;6CE801F9&quot;/&gt;&lt;wsp:rsid wsp:val=&quot;6CE8644B&quot;/&gt;&lt;wsp:rsid wsp:val=&quot;6CEA54EF&quot;/&gt;&lt;wsp:rsid wsp:val=&quot;6CEB1A97&quot;/&gt;&lt;wsp:rsid wsp:val=&quot;6CEB7E0F&quot;/&gt;&lt;wsp:rsid wsp:val=&quot;6CED06BA&quot;/&gt;&lt;wsp:rsid wsp:val=&quot;6CED5810&quot;/&gt;&lt;wsp:rsid wsp:val=&quot;6CEF1588&quot;/&gt;&lt;wsp:rsid wsp:val=&quot;6CF06332&quot;/&gt;&lt;wsp:rsid wsp:val=&quot;6CF21078&quot;/&gt;&lt;wsp:rsid wsp:val=&quot;6CF272CA&quot;/&gt;&lt;wsp:rsid wsp:val=&quot;6CF41A63&quot;/&gt;&lt;wsp:rsid wsp:val=&quot;6CF546C4&quot;/&gt;&lt;wsp:rsid wsp:val=&quot;6CF7043C&quot;/&gt;&lt;wsp:rsid wsp:val=&quot;6CF92406&quot;/&gt;&lt;wsp:rsid wsp:val=&quot;6CFA1CDB&quot;/&gt;&lt;wsp:rsid wsp:val=&quot;6CFA617E&quot;/&gt;&lt;wsp:rsid wsp:val=&quot;6CFC5A53&quot;/&gt;&lt;wsp:rsid wsp:val=&quot;6D06058D&quot;/&gt;&lt;wsp:rsid wsp:val=&quot;6D062D75&quot;/&gt;&lt;wsp:rsid wsp:val=&quot;6D0668D1&quot;/&gt;&lt;wsp:rsid wsp:val=&quot;6D08089B&quot;/&gt;&lt;wsp:rsid wsp:val=&quot;6D082649&quot;/&gt;&lt;wsp:rsid wsp:val=&quot;6D087F43&quot;/&gt;&lt;wsp:rsid wsp:val=&quot;6D094E33&quot;/&gt;&lt;wsp:rsid wsp:val=&quot;6D0B213A&quot;/&gt;&lt;wsp:rsid wsp:val=&quot;6D0B3EE8&quot;/&gt;&lt;wsp:rsid wsp:val=&quot;6D0C5E17&quot;/&gt;&lt;wsp:rsid wsp:val=&quot;6D0D1A0E&quot;/&gt;&lt;wsp:rsid wsp:val=&quot;6D0D5EB2&quot;/&gt;&lt;wsp:rsid wsp:val=&quot;6D0D75F0&quot;/&gt;&lt;wsp:rsid wsp:val=&quot;6D0D7B7C&quot;/&gt;&lt;wsp:rsid wsp:val=&quot;6D0D7C60&quot;/&gt;&lt;wsp:rsid wsp:val=&quot;6D106FB1&quot;/&gt;&lt;wsp:rsid wsp:val=&quot;6D107750&quot;/&gt;&lt;wsp:rsid wsp:val=&quot;6D1128EF&quot;/&gt;&lt;wsp:rsid wsp:val=&quot;6D115E07&quot;/&gt;&lt;wsp:rsid wsp:val=&quot;6D125276&quot;/&gt;&lt;wsp:rsid wsp:val=&quot;6D142D9C&quot;/&gt;&lt;wsp:rsid wsp:val=&quot;6D147240&quot;/&gt;&lt;wsp:rsid wsp:val=&quot;6D156B14&quot;/&gt;&lt;wsp:rsid wsp:val=&quot;6D176D30&quot;/&gt;&lt;wsp:rsid wsp:val=&quot;6D1A237D&quot;/&gt;&lt;wsp:rsid wsp:val=&quot;6D1E00BF&quot;/&gt;&lt;wsp:rsid wsp:val=&quot;6D1E1E6D&quot;/&gt;&lt;wsp:rsid wsp:val=&quot;6D20018F&quot;/&gt;&lt;wsp:rsid wsp:val=&quot;6D203E37&quot;/&gt;&lt;wsp:rsid wsp:val=&quot;6D216E91&quot;/&gt;&lt;wsp:rsid wsp:val=&quot;6D260D22&quot;/&gt;&lt;wsp:rsid wsp:val=&quot;6D264001&quot;/&gt;&lt;wsp:rsid wsp:val=&quot;6D2A0812&quot;/&gt;&lt;wsp:rsid wsp:val=&quot;6D2A25C0&quot;/&gt;&lt;wsp:rsid wsp:val=&quot;6D2A6A64&quot;/&gt;&lt;wsp:rsid wsp:val=&quot;6D2B4915&quot;/&gt;&lt;wsp:rsid wsp:val=&quot;6D2D0302&quot;/&gt;&lt;wsp:rsid wsp:val=&quot;6D2D3E5E&quot;/&gt;&lt;wsp:rsid wsp:val=&quot;6D301BA0&quot;/&gt;&lt;wsp:rsid wsp:val=&quot;6D30394E&quot;/&gt;&lt;wsp:rsid wsp:val=&quot;6D317DF2&quot;/&gt;&lt;wsp:rsid wsp:val=&quot;6D323B6A&quot;/&gt;&lt;wsp:rsid wsp:val=&quot;6D333A34&quot;/&gt;&lt;wsp:rsid wsp:val=&quot;6D3B2A1F&quot;/&gt;&lt;wsp:rsid wsp:val=&quot;6D3B47CD&quot;/&gt;&lt;wsp:rsid wsp:val=&quot;6D3C22F3&quot;/&gt;&lt;wsp:rsid wsp:val=&quot;6D3E250F&quot;/&gt;&lt;wsp:rsid wsp:val=&quot;6D3E42BD&quot;/&gt;&lt;wsp:rsid wsp:val=&quot;6D3E606B&quot;/&gt;&lt;wsp:rsid wsp:val=&quot;6D3F3718&quot;/&gt;&lt;wsp:rsid wsp:val=&quot;6D415B5B&quot;/&gt;&lt;wsp:rsid wsp:val=&quot;6D45389E&quot;/&gt;&lt;wsp:rsid wsp:val=&quot;6D45564C&quot;/&gt;&lt;wsp:rsid wsp:val=&quot;6D455E49&quot;/&gt;&lt;wsp:rsid wsp:val=&quot;6D4573FA&quot;/&gt;&lt;wsp:rsid wsp:val=&quot;6D464F20&quot;/&gt;&lt;wsp:rsid wsp:val=&quot;6D48513C&quot;/&gt;&lt;wsp:rsid wsp:val=&quot;6D486EEA&quot;/&gt;&lt;wsp:rsid wsp:val=&quot;6D492422&quot;/&gt;&lt;wsp:rsid wsp:val=&quot;6D49739B&quot;/&gt;&lt;wsp:rsid wsp:val=&quot;6D4A4A10&quot;/&gt;&lt;wsp:rsid wsp:val=&quot;6D4B0788&quot;/&gt;&lt;wsp:rsid wsp:val=&quot;6D4B1CBB&quot;/&gt;&lt;wsp:rsid wsp:val=&quot;6D4B2536&quot;/&gt;&lt;wsp:rsid wsp:val=&quot;6D4C4C2C&quot;/&gt;&lt;wsp:rsid wsp:val=&quot;6D4D2752&quot;/&gt;&lt;wsp:rsid wsp:val=&quot;6D4F2026&quot;/&gt;&lt;wsp:rsid wsp:val=&quot;6D513FF0&quot;/&gt;&lt;wsp:rsid wsp:val=&quot;6D515B2D&quot;/&gt;&lt;wsp:rsid wsp:val=&quot;6D525A65&quot;/&gt;&lt;wsp:rsid wsp:val=&quot;6D543AE1&quot;/&gt;&lt;wsp:rsid wsp:val=&quot;6D5533B5&quot;/&gt;&lt;wsp:rsid wsp:val=&quot;6D561A4E&quot;/&gt;&lt;wsp:rsid wsp:val=&quot;6D567859&quot;/&gt;&lt;wsp:rsid wsp:val=&quot;6D57537F&quot;/&gt;&lt;wsp:rsid wsp:val=&quot;6D5910F7&quot;/&gt;&lt;wsp:rsid wsp:val=&quot;6D5B6C1D&quot;/&gt;&lt;wsp:rsid wsp:val=&quot;6D5D6CA1&quot;/&gt;&lt;wsp:rsid wsp:val=&quot;6D5E2269&quot;/&gt;&lt;wsp:rsid wsp:val=&quot;6D5E495F&quot;/&gt;&lt;wsp:rsid wsp:val=&quot;6D611D5A&quot;/&gt;&lt;wsp:rsid wsp:val=&quot;6D611E86&quot;/&gt;&lt;wsp:rsid wsp:val=&quot;6D620976&quot;/&gt;&lt;wsp:rsid wsp:val=&quot;6D6261FE&quot;/&gt;&lt;wsp:rsid wsp:val=&quot;6D642862&quot;/&gt;&lt;wsp:rsid wsp:val=&quot;6D655CEE&quot;/&gt;&lt;wsp:rsid wsp:val=&quot;6D665378&quot;/&gt;&lt;wsp:rsid wsp:val=&quot;6D667370&quot;/&gt;&lt;wsp:rsid wsp:val=&quot;6D6830E8&quot;/&gt;&lt;wsp:rsid wsp:val=&quot;6D6860B5&quot;/&gt;&lt;wsp:rsid wsp:val=&quot;6D686F3E&quot;/&gt;&lt;wsp:rsid wsp:val=&quot;6D68758C&quot;/&gt;&lt;wsp:rsid wsp:val=&quot;6D6B4986&quot;/&gt;&lt;wsp:rsid wsp:val=&quot;6D6C2BD8&quot;/&gt;&lt;wsp:rsid wsp:val=&quot;6D6C3BC5&quot;/&gt;&lt;wsp:rsid wsp:val=&quot;6D6D6950&quot;/&gt;&lt;wsp:rsid wsp:val=&quot;6D6F45CA&quot;/&gt;&lt;wsp:rsid wsp:val=&quot;6D702546&quot;/&gt;&lt;wsp:rsid wsp:val=&quot;6D7054EE&quot;/&gt;&lt;wsp:rsid wsp:val=&quot;6D7139D6&quot;/&gt;&lt;wsp:rsid wsp:val=&quot;6D725D15&quot;/&gt;&lt;wsp:rsid wsp:val=&quot;6D7777CF&quot;/&gt;&lt;wsp:rsid wsp:val=&quot;6D794D39&quot;/&gt;&lt;wsp:rsid wsp:val=&quot;6D7952F5&quot;/&gt;&lt;wsp:rsid wsp:val=&quot;6D7970A3&quot;/&gt;&lt;wsp:rsid wsp:val=&quot;6D7A524D&quot;/&gt;&lt;wsp:rsid wsp:val=&quot;6D7B40DA&quot;/&gt;&lt;wsp:rsid wsp:val=&quot;6D7B72BF&quot;/&gt;&lt;wsp:rsid wsp:val=&quot;6D7C6B93&quot;/&gt;&lt;wsp:rsid wsp:val=&quot;6D7D3037&quot;/&gt;&lt;wsp:rsid wsp:val=&quot;6D7D46B3&quot;/&gt;&lt;wsp:rsid wsp:val=&quot;6D7E2D8E&quot;/&gt;&lt;wsp:rsid wsp:val=&quot;6D7E5FDA&quot;/&gt;&lt;wsp:rsid wsp:val=&quot;6D7F17B7&quot;/&gt;&lt;wsp:rsid wsp:val=&quot;6D800432&quot;/&gt;&lt;wsp:rsid wsp:val=&quot;6D80557B&quot;/&gt;&lt;wsp:rsid wsp:val=&quot;6D806684&quot;/&gt;&lt;wsp:rsid wsp:val=&quot;6D8141AA&quot;/&gt;&lt;wsp:rsid wsp:val=&quot;6D8343C6&quot;/&gt;&lt;wsp:rsid wsp:val=&quot;6D836174&quot;/&gt;&lt;wsp:rsid wsp:val=&quot;6D842C2A&quot;/&gt;&lt;wsp:rsid wsp:val=&quot;6D854A1D&quot;/&gt;&lt;wsp:rsid wsp:val=&quot;6D8656F8&quot;/&gt;&lt;wsp:rsid wsp:val=&quot;6D8A5EA7&quot;/&gt;&lt;wsp:rsid wsp:val=&quot;6D8A7502&quot;/&gt;&lt;wsp:rsid wsp:val=&quot;6D8C5028&quot;/&gt;&lt;wsp:rsid wsp:val=&quot;6D8D0DA1&quot;/&gt;&lt;wsp:rsid wsp:val=&quot;6D8F4B19&quot;/&gt;&lt;wsp:rsid wsp:val=&quot;6D9070B3&quot;/&gt;&lt;wsp:rsid wsp:val=&quot;6D9143ED&quot;/&gt;&lt;wsp:rsid wsp:val=&quot;6D920165&quot;/&gt;&lt;wsp:rsid wsp:val=&quot;6D9263B7&quot;/&gt;&lt;wsp:rsid wsp:val=&quot;6D940200&quot;/&gt;&lt;wsp:rsid wsp:val=&quot;6D965EA7&quot;/&gt;&lt;wsp:rsid wsp:val=&quot;6D997745&quot;/&gt;&lt;wsp:rsid wsp:val=&quot;6D9B34BE&quot;/&gt;&lt;wsp:rsid wsp:val=&quot;6D9D2BF3&quot;/&gt;&lt;wsp:rsid wsp:val=&quot;6D9E4D5C&quot;/&gt;&lt;wsp:rsid wsp:val=&quot;6D9F7350&quot;/&gt;&lt;wsp:rsid wsp:val=&quot;6DA02882&quot;/&gt;&lt;wsp:rsid wsp:val=&quot;6DA22804&quot;/&gt;&lt;wsp:rsid wsp:val=&quot;6DA2484C&quot;/&gt;&lt;wsp:rsid wsp:val=&quot;6DA265FA&quot;/&gt;&lt;wsp:rsid wsp:val=&quot;6DA32372&quot;/&gt;&lt;wsp:rsid wsp:val=&quot;6DA5562E&quot;/&gt;&lt;wsp:rsid wsp:val=&quot;6DA560EA&quot;/&gt;&lt;wsp:rsid wsp:val=&quot;6DA700B4&quot;/&gt;&lt;wsp:rsid wsp:val=&quot;6DA73066&quot;/&gt;&lt;wsp:rsid wsp:val=&quot;6DA73C10&quot;/&gt;&lt;wsp:rsid wsp:val=&quot;6DA85BDA&quot;/&gt;&lt;wsp:rsid wsp:val=&quot;6DAA3701&quot;/&gt;&lt;wsp:rsid wsp:val=&quot;6DAA3B67&quot;/&gt;&lt;wsp:rsid wsp:val=&quot;6DAA54AF&quot;/&gt;&lt;wsp:rsid wsp:val=&quot;6DAC7BC8&quot;/&gt;&lt;wsp:rsid wsp:val=&quot;6DAF0D17&quot;/&gt;&lt;wsp:rsid wsp:val=&quot;6DAF6F69&quot;/&gt;&lt;wsp:rsid wsp:val=&quot;6DB0319F&quot;/&gt;&lt;wsp:rsid wsp:val=&quot;6DB12CE1&quot;/&gt;&lt;wsp:rsid wsp:val=&quot;6DB1683D&quot;/&gt;&lt;wsp:rsid wsp:val=&quot;6DB2571B&quot;/&gt;&lt;wsp:rsid wsp:val=&quot;6DB30807&quot;/&gt;&lt;wsp:rsid wsp:val=&quot;6DB34098&quot;/&gt;&lt;wsp:rsid wsp:val=&quot;6DB36A59&quot;/&gt;&lt;wsp:rsid wsp:val=&quot;6DB477EA&quot;/&gt;&lt;wsp:rsid wsp:val=&quot;6DB545B6&quot;/&gt;&lt;wsp:rsid wsp:val=&quot;6DB602F7&quot;/&gt;&lt;wsp:rsid wsp:val=&quot;6DB620A5&quot;/&gt;&lt;wsp:rsid wsp:val=&quot;6DB63E53&quot;/&gt;&lt;wsp:rsid wsp:val=&quot;6DB66549&quot;/&gt;&lt;wsp:rsid wsp:val=&quot;6DB77BCC&quot;/&gt;&lt;wsp:rsid wsp:val=&quot;6DB8406F&quot;/&gt;&lt;wsp:rsid wsp:val=&quot;6DB85E1E&quot;/&gt;&lt;wsp:rsid wsp:val=&quot;6DB91B96&quot;/&gt;&lt;wsp:rsid wsp:val=&quot;6DBB590E&quot;/&gt;&lt;wsp:rsid wsp:val=&quot;6DBB76BC&quot;/&gt;&lt;wsp:rsid wsp:val=&quot;6DBD3434&quot;/&gt;&lt;wsp:rsid wsp:val=&quot;6DBE71AC&quot;/&gt;&lt;wsp:rsid wsp:val=&quot;6DBF603E&quot;/&gt;&lt;wsp:rsid wsp:val=&quot;6DC10FAB&quot;/&gt;&lt;wsp:rsid wsp:val=&quot;6DC11FEB&quot;/&gt;&lt;wsp:rsid wsp:val=&quot;6DC24EEE&quot;/&gt;&lt;wsp:rsid wsp:val=&quot;6DC36570&quot;/&gt;&lt;wsp:rsid wsp:val=&quot;6DC42A14&quot;/&gt;&lt;wsp:rsid wsp:val=&quot;6DC522E8&quot;/&gt;&lt;wsp:rsid wsp:val=&quot;6DC72505&quot;/&gt;&lt;wsp:rsid wsp:val=&quot;6DC742B3&quot;/&gt;&lt;wsp:rsid wsp:val=&quot;6DC9002B&quot;/&gt;&lt;wsp:rsid wsp:val=&quot;6DC9057F&quot;/&gt;&lt;wsp:rsid wsp:val=&quot;6DCA3DA3&quot;/&gt;&lt;wsp:rsid wsp:val=&quot;6DCA5B51&quot;/&gt;&lt;wsp:rsid wsp:val=&quot;6DCC7B1B&quot;/&gt;&lt;wsp:rsid wsp:val=&quot;6DCE3893&quot;/&gt;&lt;wsp:rsid wsp:val=&quot;6DCF4F15&quot;/&gt;&lt;wsp:rsid wsp:val=&quot;6DCF760B&quot;/&gt;&lt;wsp:rsid wsp:val=&quot;6DD025FD&quot;/&gt;&lt;wsp:rsid wsp:val=&quot;6DD10452&quot;/&gt;&lt;wsp:rsid wsp:val=&quot;6DD14B25&quot;/&gt;&lt;wsp:rsid wsp:val=&quot;6DD15131&quot;/&gt;&lt;wsp:rsid wsp:val=&quot;6DD24A05&quot;/&gt;&lt;wsp:rsid wsp:val=&quot;6DD30EA9&quot;/&gt;&lt;wsp:rsid wsp:val=&quot;6DD4077E&quot;/&gt;&lt;wsp:rsid wsp:val=&quot;6DD86BE4&quot;/&gt;&lt;wsp:rsid wsp:val=&quot;6DD9425F&quot;/&gt;&lt;wsp:rsid wsp:val=&quot;6DD94A2A&quot;/&gt;&lt;wsp:rsid wsp:val=&quot;6DD95D94&quot;/&gt;&lt;wsp:rsid wsp:val=&quot;6DDB7D5E&quot;/&gt;&lt;wsp:rsid wsp:val=&quot;6DDD3AD6&quot;/&gt;&lt;wsp:rsid wsp:val=&quot;6DDD7632&quot;/&gt;&lt;wsp:rsid wsp:val=&quot;6DDE1315&quot;/&gt;&lt;wsp:rsid wsp:val=&quot;6DDE7486&quot;/&gt;&lt;wsp:rsid wsp:val=&quot;6DDF6574&quot;/&gt;&lt;wsp:rsid wsp:val=&quot;6DE02FB4&quot;/&gt;&lt;wsp:rsid wsp:val=&quot;6DE10C0B&quot;/&gt;&lt;wsp:rsid wsp:val=&quot;6DE13E96&quot;/&gt;&lt;wsp:rsid wsp:val=&quot;6DE17F47&quot;/&gt;&lt;wsp:rsid wsp:val=&quot;6DE21E3D&quot;/&gt;&lt;wsp:rsid wsp:val=&quot;6DE22E9A&quot;/&gt;&lt;wsp:rsid wsp:val=&quot;6DE309C1&quot;/&gt;&lt;wsp:rsid wsp:val=&quot;6DE54739&quot;/&gt;&lt;wsp:rsid wsp:val=&quot;6DE6283F&quot;/&gt;&lt;wsp:rsid wsp:val=&quot;6DE72678&quot;/&gt;&lt;wsp:rsid wsp:val=&quot;6DE76703&quot;/&gt;&lt;wsp:rsid wsp:val=&quot;6DEA0FF9&quot;/&gt;&lt;wsp:rsid wsp:val=&quot;6DEC134B&quot;/&gt;&lt;wsp:rsid wsp:val=&quot;6DEC1F6B&quot;/&gt;&lt;wsp:rsid wsp:val=&quot;6DEC3D19&quot;/&gt;&lt;wsp:rsid wsp:val=&quot;6DED1CA3&quot;/&gt;&lt;wsp:rsid wsp:val=&quot;6DEE7A91&quot;/&gt;&lt;wsp:rsid wsp:val=&quot;6DF024BC&quot;/&gt;&lt;wsp:rsid wsp:val=&quot;6DF130DE&quot;/&gt;&lt;wsp:rsid wsp:val=&quot;6DF332FA&quot;/&gt;&lt;wsp:rsid wsp:val=&quot;6DF350A8&quot;/&gt;&lt;wsp:rsid wsp:val=&quot;6DF64B98&quot;/&gt;&lt;wsp:rsid wsp:val=&quot;6DF76735&quot;/&gt;&lt;wsp:rsid wsp:val=&quot;6DF93F3F&quot;/&gt;&lt;wsp:rsid wsp:val=&quot;6DFA4688&quot;/&gt;&lt;wsp:rsid wsp:val=&quot;6DFB0400&quot;/&gt;&lt;wsp:rsid wsp:val=&quot;6DFB56B9&quot;/&gt;&lt;wsp:rsid wsp:val=&quot;6DFD7CD4&quot;/&gt;&lt;wsp:rsid wsp:val=&quot;6DFF1C9E&quot;/&gt;&lt;wsp:rsid wsp:val=&quot;6DFF3D69&quot;/&gt;&lt;wsp:rsid wsp:val=&quot;6E005A16&quot;/&gt;&lt;wsp:rsid wsp:val=&quot;6E013993&quot;/&gt;&lt;wsp:rsid wsp:val=&quot;6E027280&quot;/&gt;&lt;wsp:rsid wsp:val=&quot;6E0472B5&quot;/&gt;&lt;wsp:rsid wsp:val=&quot;6E053030&quot;/&gt;&lt;wsp:rsid wsp:val=&quot;6E070B53&quot;/&gt;&lt;wsp:rsid wsp:val=&quot;6E076DA5&quot;/&gt;&lt;wsp:rsid wsp:val=&quot;6E080427&quot;/&gt;&lt;wsp:rsid wsp:val=&quot;6E090116&quot;/&gt;&lt;wsp:rsid wsp:val=&quot;6E0A3477&quot;/&gt;&lt;wsp:rsid wsp:val=&quot;6E0A7146&quot;/&gt;&lt;wsp:rsid wsp:val=&quot;6E0C43BB&quot;/&gt;&lt;wsp:rsid wsp:val=&quot;6E0C7F17&quot;/&gt;&lt;wsp:rsid wsp:val=&quot;6E0F17B6&quot;/&gt;&lt;wsp:rsid wsp:val=&quot;6E0F36C1&quot;/&gt;&lt;wsp:rsid wsp:val=&quot;6E105C5A&quot;/&gt;&lt;wsp:rsid wsp:val=&quot;6E1535B9&quot;/&gt;&lt;wsp:rsid wsp:val=&quot;6E162B44&quot;/&gt;&lt;wsp:rsid wsp:val=&quot;6E182D60&quot;/&gt;&lt;wsp:rsid wsp:val=&quot;6E1950AD&quot;/&gt;&lt;wsp:rsid wsp:val=&quot;6E1B45FE&quot;/&gt;&lt;wsp:rsid wsp:val=&quot;6E1B63AC&quot;/&gt;&lt;wsp:rsid wsp:val=&quot;6E1D2124&quot;/&gt;&lt;wsp:rsid wsp:val=&quot;6E1E7093&quot;/&gt;&lt;wsp:rsid wsp:val=&quot;6E1F3234&quot;/&gt;&lt;wsp:rsid wsp:val=&quot;6E1F7C4B&quot;/&gt;&lt;wsp:rsid wsp:val=&quot;6E2039C3&quot;/&gt;&lt;wsp:rsid wsp:val=&quot;6E217E67&quot;/&gt;&lt;wsp:rsid wsp:val=&quot;6E225129&quot;/&gt;&lt;wsp:rsid wsp:val=&quot;6E22598D&quot;/&gt;&lt;wsp:rsid wsp:val=&quot;6E260A53&quot;/&gt;&lt;wsp:rsid wsp:val=&quot;6E274D51&quot;/&gt;&lt;wsp:rsid wsp:val=&quot;6E277F63&quot;/&gt;&lt;wsp:rsid wsp:val=&quot;6E2A07E5&quot;/&gt;&lt;wsp:rsid wsp:val=&quot;6E2C0FA1&quot;/&gt;&lt;wsp:rsid wsp:val=&quot;6E2E7E8E&quot;/&gt;&lt;wsp:rsid wsp:val=&quot;6E33002A&quot;/&gt;&lt;wsp:rsid wsp:val=&quot;6E331948&quot;/&gt;&lt;wsp:rsid wsp:val=&quot;6E34753E&quot;/&gt;&lt;wsp:rsid wsp:val=&quot;6E3556C0&quot;/&gt;&lt;wsp:rsid wsp:val=&quot;6E35746E&quot;/&gt;&lt;wsp:rsid wsp:val=&quot;6E380FA9&quot;/&gt;&lt;wsp:rsid wsp:val=&quot;6E394AF1&quot;/&gt;&lt;wsp:rsid wsp:val=&quot;6E3A2CD6&quot;/&gt;&lt;wsp:rsid wsp:val=&quot;6E3A6CA9&quot;/&gt;&lt;wsp:rsid wsp:val=&quot;6E3B07FD&quot;/&gt;&lt;wsp:rsid wsp:val=&quot;6E3B25AB&quot;/&gt;&lt;wsp:rsid wsp:val=&quot;6E3C2BCA&quot;/&gt;&lt;wsp:rsid wsp:val=&quot;6E3D3C72&quot;/&gt;&lt;wsp:rsid wsp:val=&quot;6E3D4575&quot;/&gt;&lt;wsp:rsid wsp:val=&quot;6E3F02ED&quot;/&gt;&lt;wsp:rsid wsp:val=&quot;6E3F209B&quot;/&gt;&lt;wsp:rsid wsp:val=&quot;6E40502B&quot;/&gt;&lt;wsp:rsid wsp:val=&quot;6E414065&quot;/&gt;&lt;wsp:rsid wsp:val=&quot;6E4476B1&quot;/&gt;&lt;wsp:rsid wsp:val=&quot;6E454B50&quot;/&gt;&lt;wsp:rsid wsp:val=&quot;6E476B79&quot;/&gt;&lt;wsp:rsid wsp:val=&quot;6E493180&quot;/&gt;&lt;wsp:rsid wsp:val=&quot;6E4A0A40&quot;/&gt;&lt;wsp:rsid wsp:val=&quot;6E4B0D18&quot;/&gt;&lt;wsp:rsid wsp:val=&quot;6E4B6747&quot;/&gt;&lt;wsp:rsid wsp:val=&quot;6E4E67EA&quot;/&gt;&lt;wsp:rsid wsp:val=&quot;6E4F0C06&quot;/&gt;&lt;wsp:rsid wsp:val=&quot;6E5024FA&quot;/&gt;&lt;wsp:rsid wsp:val=&quot;6E510020&quot;/&gt;&lt;wsp:rsid wsp:val=&quot;6E514CED&quot;/&gt;&lt;wsp:rsid wsp:val=&quot;6E526272&quot;/&gt;&lt;wsp:rsid wsp:val=&quot;6E533D98&quot;/&gt;&lt;wsp:rsid wsp:val=&quot;6E5518BE&quot;/&gt;&lt;wsp:rsid wsp:val=&quot;6E58315D&quot;/&gt;&lt;wsp:rsid wsp:val=&quot;6E587601&quot;/&gt;&lt;wsp:rsid wsp:val=&quot;6E5A5127&quot;/&gt;&lt;wsp:rsid wsp:val=&quot;6E5B52BA&quot;/&gt;&lt;wsp:rsid wsp:val=&quot;6E5D0662&quot;/&gt;&lt;wsp:rsid wsp:val=&quot;6E5E05F4&quot;/&gt;&lt;wsp:rsid wsp:val=&quot;6E5E53C9&quot;/&gt;&lt;wsp:rsid wsp:val=&quot;6E5F098F&quot;/&gt;&lt;wsp:rsid wsp:val=&quot;6E5F44EB&quot;/&gt;&lt;wsp:rsid wsp:val=&quot;6E600263&quot;/&gt;&lt;wsp:rsid wsp:val=&quot;6E61112C&quot;/&gt;&lt;wsp:rsid wsp:val=&quot;6E661D1D&quot;/&gt;&lt;wsp:rsid wsp:val=&quot;6E666DD7&quot;/&gt;&lt;wsp:rsid wsp:val=&quot;6E6935BC&quot;/&gt;&lt;wsp:rsid wsp:val=&quot;6E6B10E2&quot;/&gt;&lt;wsp:rsid wsp:val=&quot;6E6C4E5A&quot;/&gt;&lt;wsp:rsid wsp:val=&quot;6E6D58F0&quot;/&gt;&lt;wsp:rsid wsp:val=&quot;6E6E2980&quot;/&gt;&lt;wsp:rsid wsp:val=&quot;6E6E472E&quot;/&gt;&lt;wsp:rsid wsp:val=&quot;6E707791&quot;/&gt;&lt;wsp:rsid wsp:val=&quot;6E716558&quot;/&gt;&lt;wsp:rsid wsp:val=&quot;6E7206C2&quot;/&gt;&lt;wsp:rsid wsp:val=&quot;6E733541&quot;/&gt;&lt;wsp:rsid wsp:val=&quot;6E737F96&quot;/&gt;&lt;wsp:rsid wsp:val=&quot;6E742C1A&quot;/&gt;&lt;wsp:rsid wsp:val=&quot;6E7469C7&quot;/&gt;&lt;wsp:rsid wsp:val=&quot;6E7475A2&quot;/&gt;&lt;wsp:rsid wsp:val=&quot;6E752083&quot;/&gt;&lt;wsp:rsid wsp:val=&quot;6E755ABD&quot;/&gt;&lt;wsp:rsid wsp:val=&quot;6E761835&quot;/&gt;&lt;wsp:rsid wsp:val=&quot;6E770482&quot;/&gt;&lt;wsp:rsid wsp:val=&quot;6E781A51&quot;/&gt;&lt;wsp:rsid wsp:val=&quot;6E7A30D3&quot;/&gt;&lt;wsp:rsid wsp:val=&quot;6E7A38D9&quot;/&gt;&lt;wsp:rsid wsp:val=&quot;6E7A7577&quot;/&gt;&lt;wsp:rsid wsp:val=&quot;6E7B6E4B&quot;/&gt;&lt;wsp:rsid wsp:val=&quot;6E7D2BC3&quot;/&gt;&lt;wsp:rsid wsp:val=&quot;6E7D7067&quot;/&gt;&lt;wsp:rsid wsp:val=&quot;6E7F06E9&quot;/&gt;&lt;wsp:rsid wsp:val=&quot;6E804461&quot;/&gt;&lt;wsp:rsid wsp:val=&quot;6E810905&quot;/&gt;&lt;wsp:rsid wsp:val=&quot;6E82642B&quot;/&gt;&lt;wsp:rsid wsp:val=&quot;6E874588&quot;/&gt;&lt;wsp:rsid wsp:val=&quot;6E8842D7&quot;/&gt;&lt;wsp:rsid wsp:val=&quot;6E890338&quot;/&gt;&lt;wsp:rsid wsp:val=&quot;6E8961B8&quot;/&gt;&lt;wsp:rsid wsp:val=&quot;6E896EA8&quot;/&gt;&lt;wsp:rsid wsp:val=&quot;6E8A5340&quot;/&gt;&lt;wsp:rsid wsp:val=&quot;6E8C2E06&quot;/&gt;&lt;wsp:rsid wsp:val=&quot;6E8D72AA&quot;/&gt;&lt;wsp:rsid wsp:val=&quot;6E8F5B5F&quot;/&gt;&lt;wsp:rsid wsp:val=&quot;6E900879&quot;/&gt;&lt;wsp:rsid wsp:val=&quot;6E922B12&quot;/&gt;&lt;wsp:rsid wsp:val=&quot;6E9323E7&quot;/&gt;&lt;wsp:rsid wsp:val=&quot;6E9422B2&quot;/&gt;&lt;wsp:rsid wsp:val=&quot;6E9A19C7&quot;/&gt;&lt;wsp:rsid wsp:val=&quot;6E9C74ED&quot;/&gt;&lt;wsp:rsid wsp:val=&quot;6E9E14B7&quot;/&gt;&lt;wsp:rsid wsp:val=&quot;6E9F6FDD&quot;/&gt;&lt;wsp:rsid wsp:val=&quot;6EA136DF&quot;/&gt;&lt;wsp:rsid wsp:val=&quot;6EA2087C&quot;/&gt;&lt;wsp:rsid wsp:val=&quot;6EA2262A&quot;/&gt;&lt;wsp:rsid wsp:val=&quot;6EA36ACE&quot;/&gt;&lt;wsp:rsid wsp:val=&quot;6EA42846&quot;/&gt;&lt;wsp:rsid wsp:val=&quot;6EA75E92&quot;/&gt;&lt;wsp:rsid wsp:val=&quot;6EA939B8&quot;/&gt;&lt;wsp:rsid wsp:val=&quot;6EA97E5C&quot;/&gt;&lt;wsp:rsid wsp:val=&quot;6EAB7671&quot;/&gt;&lt;wsp:rsid wsp:val=&quot;6EAC5256&quot;/&gt;&lt;wsp:rsid wsp:val=&quot;6EAD684E&quot;/&gt;&lt;wsp:rsid wsp:val=&quot;6EAE5472&quot;/&gt;&lt;wsp:rsid wsp:val=&quot;6EAE733F&quot;/&gt;&lt;wsp:rsid wsp:val=&quot;6EAF2053&quot;/&gt;&lt;wsp:rsid wsp:val=&quot;6EB011EB&quot;/&gt;&lt;wsp:rsid wsp:val=&quot;6EB365E5&quot;/&gt;&lt;wsp:rsid wsp:val=&quot;6EB42BD3&quot;/&gt;&lt;wsp:rsid wsp:val=&quot;6EB5235D&quot;/&gt;&lt;wsp:rsid wsp:val=&quot;6EB563D5&quot;/&gt;&lt;wsp:rsid wsp:val=&quot;6EB62DE8&quot;/&gt;&lt;wsp:rsid wsp:val=&quot;6EB81E4D&quot;/&gt;&lt;wsp:rsid wsp:val=&quot;6EB83BFB&quot;/&gt;&lt;wsp:rsid wsp:val=&quot;6EBC193D&quot;/&gt;&lt;wsp:rsid wsp:val=&quot;6EC0089A&quot;/&gt;&lt;wsp:rsid wsp:val=&quot;6EC16F54&quot;/&gt;&lt;wsp:rsid wsp:val=&quot;6EC24A7A&quot;/&gt;&lt;wsp:rsid wsp:val=&quot;6EC46A44&quot;/&gt;&lt;wsp:rsid wsp:val=&quot;6EC627BC&quot;/&gt;&lt;wsp:rsid wsp:val=&quot;6EC922AC&quot;/&gt;&lt;wsp:rsid wsp:val=&quot;6EC95E08&quot;/&gt;&lt;wsp:rsid wsp:val=&quot;6ECA39AD&quot;/&gt;&lt;wsp:rsid wsp:val=&quot;6ECB392F&quot;/&gt;&lt;wsp:rsid wsp:val=&quot;6ECB66B8&quot;/&gt;&lt;wsp:rsid wsp:val=&quot;6ECC3C23&quot;/&gt;&lt;wsp:rsid wsp:val=&quot;6ECF78C3&quot;/&gt;&lt;wsp:rsid wsp:val=&quot;6ED0239E&quot;/&gt;&lt;wsp:rsid wsp:val=&quot;6ED07197&quot;/&gt;&lt;wsp:rsid wsp:val=&quot;6ED0761A&quot;/&gt;&lt;wsp:rsid wsp:val=&quot;6ED13F5D&quot;/&gt;&lt;wsp:rsid wsp:val=&quot;6ED21161&quot;/&gt;&lt;wsp:rsid wsp:val=&quot;6ED3687D&quot;/&gt;&lt;wsp:rsid wsp:val=&quot;6ED50C51&quot;/&gt;&lt;wsp:rsid wsp:val=&quot;6ED529FF&quot;/&gt;&lt;wsp:rsid wsp:val=&quot;6ED70525&quot;/&gt;&lt;wsp:rsid wsp:val=&quot;6ED749C9&quot;/&gt;&lt;wsp:rsid wsp:val=&quot;6ED8604B&quot;/&gt;&lt;wsp:rsid wsp:val=&quot;6ED92677&quot;/&gt;&lt;wsp:rsid wsp:val=&quot;6ED9678D&quot;/&gt;&lt;wsp:rsid wsp:val=&quot;6EDA0016&quot;/&gt;&lt;wsp:rsid wsp:val=&quot;6EDC1FE0&quot;/&gt;&lt;wsp:rsid wsp:val=&quot;6EDC5B3C&quot;/&gt;&lt;wsp:rsid wsp:val=&quot;6EDD056B&quot;/&gt;&lt;wsp:rsid wsp:val=&quot;6EDD3662&quot;/&gt;&lt;wsp:rsid wsp:val=&quot;6EDD6664&quot;/&gt;&lt;wsp:rsid wsp:val=&quot;6EDF73DA&quot;/&gt;&lt;wsp:rsid wsp:val=&quot;6EE05E54&quot;/&gt;&lt;wsp:rsid wsp:val=&quot;6EE175F6&quot;/&gt;&lt;wsp:rsid wsp:val=&quot;6EE42C42&quot;/&gt;&lt;wsp:rsid wsp:val=&quot;6EE449F0&quot;/&gt;&lt;wsp:rsid wsp:val=&quot;6EE507FF&quot;/&gt;&lt;wsp:rsid wsp:val=&quot;6EE60768&quot;/&gt;&lt;wsp:rsid wsp:val=&quot;6EE64C0C&quot;/&gt;&lt;wsp:rsid wsp:val=&quot;6EE669BA&quot;/&gt;&lt;wsp:rsid wsp:val=&quot;6EE80984&quot;/&gt;&lt;wsp:rsid wsp:val=&quot;6EE90259&quot;/&gt;&lt;wsp:rsid wsp:val=&quot;6EE964AB&quot;/&gt;&lt;wsp:rsid wsp:val=&quot;6EEB3FD1&quot;/&gt;&lt;wsp:rsid wsp:val=&quot;6EEB76D5&quot;/&gt;&lt;wsp:rsid wsp:val=&quot;6EEF1974&quot;/&gt;&lt;wsp:rsid wsp:val=&quot;6EF03395&quot;/&gt;&lt;wsp:rsid wsp:val=&quot;6EF07839&quot;/&gt;&lt;wsp:rsid wsp:val=&quot;6EF32E85&quot;/&gt;&lt;wsp:rsid wsp:val=&quot;6EF410D7&quot;/&gt;&lt;wsp:rsid wsp:val=&quot;6EF44042&quot;/&gt;&lt;wsp:rsid wsp:val=&quot;6EF56BFD&quot;/&gt;&lt;wsp:rsid wsp:val=&quot;6EF72976&quot;/&gt;&lt;wsp:rsid wsp:val=&quot;6EF8049C&quot;/&gt;&lt;wsp:rsid wsp:val=&quot;6EF87108&quot;/&gt;&lt;wsp:rsid wsp:val=&quot;6EF966EE&quot;/&gt;&lt;wsp:rsid wsp:val=&quot;6EFB71CA&quot;/&gt;&lt;wsp:rsid wsp:val=&quot;6EFF182A&quot;/&gt;&lt;wsp:rsid wsp:val=&quot;6F03131A&quot;/&gt;&lt;wsp:rsid wsp:val=&quot;6F06705D&quot;/&gt;&lt;wsp:rsid wsp:val=&quot;6F076EA4&quot;/&gt;&lt;wsp:rsid wsp:val=&quot;6F0917CE&quot;/&gt;&lt;wsp:rsid wsp:val=&quot;6F0A08FB&quot;/&gt;&lt;wsp:rsid wsp:val=&quot;6F0B4673&quot;/&gt;&lt;wsp:rsid wsp:val=&quot;6F0C55FA&quot;/&gt;&lt;wsp:rsid wsp:val=&quot;6F0E2CEA&quot;/&gt;&lt;wsp:rsid wsp:val=&quot;6F0F5F11&quot;/&gt;&lt;wsp:rsid wsp:val=&quot;6F10216C&quot;/&gt;&lt;wsp:rsid wsp:val=&quot;6F1057E5&quot;/&gt;&lt;wsp:rsid wsp:val=&quot;6F107F60&quot;/&gt;&lt;wsp:rsid wsp:val=&quot;6F12311E&quot;/&gt;&lt;wsp:rsid wsp:val=&quot;6F125A01&quot;/&gt;&lt;wsp:rsid wsp:val=&quot;6F14379C&quot;/&gt;&lt;wsp:rsid wsp:val=&quot;6F152DFC&quot;/&gt;&lt;wsp:rsid wsp:val=&quot;6F1866F2&quot;/&gt;&lt;wsp:rsid wsp:val=&quot;6F190B3E&quot;/&gt;&lt;wsp:rsid wsp:val=&quot;6F194749&quot;/&gt;&lt;wsp:rsid wsp:val=&quot;6F1A6664&quot;/&gt;&lt;wsp:rsid wsp:val=&quot;6F1C23DC&quot;/&gt;&lt;wsp:rsid wsp:val=&quot;6F1E7F02&quot;/&gt;&lt;wsp:rsid wsp:val=&quot;6F225983&quot;/&gt;&lt;wsp:rsid wsp:val=&quot;6F233805&quot;/&gt;&lt;wsp:rsid wsp:val=&quot;6F235519&quot;/&gt;&lt;wsp:rsid wsp:val=&quot;6F241291&quot;/&gt;&lt;wsp:rsid wsp:val=&quot;6F2474E3&quot;/&gt;&lt;wsp:rsid wsp:val=&quot;6F26325B&quot;/&gt;&lt;wsp:rsid wsp:val=&quot;6F265009&quot;/&gt;&lt;wsp:rsid wsp:val=&quot;6F280D81&quot;/&gt;&lt;wsp:rsid wsp:val=&quot;6F282B2F&quot;/&gt;&lt;wsp:rsid wsp:val=&quot;6F2968A7&quot;/&gt;&lt;wsp:rsid wsp:val=&quot;6F2A2D4B&quot;/&gt;&lt;wsp:rsid wsp:val=&quot;6F2B6AC3&quot;/&gt;&lt;wsp:rsid wsp:val=&quot;6F2C3427&quot;/&gt;&lt;wsp:rsid wsp:val=&quot;6F2D0768&quot;/&gt;&lt;wsp:rsid wsp:val=&quot;6F2D283B&quot;/&gt;&lt;wsp:rsid wsp:val=&quot;6F2D45E9&quot;/&gt;&lt;wsp:rsid wsp:val=&quot;6F2E2059&quot;/&gt;&lt;wsp:rsid wsp:val=&quot;6F2F0361&quot;/&gt;&lt;wsp:rsid wsp:val=&quot;6F2F657B&quot;/&gt;&lt;wsp:rsid wsp:val=&quot;6F304979&quot;/&gt;&lt;wsp:rsid wsp:val=&quot;6F321C00&quot;/&gt;&lt;wsp:rsid wsp:val=&quot;6F327E52&quot;/&gt;&lt;wsp:rsid wsp:val=&quot;6F343B4A&quot;/&gt;&lt;wsp:rsid wsp:val=&quot;6F35349E&quot;/&gt;&lt;wsp:rsid wsp:val=&quot;6F377216&quot;/&gt;&lt;wsp:rsid wsp:val=&quot;6F3911E0&quot;/&gt;&lt;wsp:rsid wsp:val=&quot;6F39203E&quot;/&gt;&lt;wsp:rsid wsp:val=&quot;6F394D3C&quot;/&gt;&lt;wsp:rsid wsp:val=&quot;6F3A05FC&quot;/&gt;&lt;wsp:rsid wsp:val=&quot;6F3A119B&quot;/&gt;&lt;wsp:rsid wsp:val=&quot;6F40256E&quot;/&gt;&lt;wsp:rsid wsp:val=&quot;6F410095&quot;/&gt;&lt;wsp:rsid wsp:val=&quot;6F413BF1&quot;/&gt;&lt;wsp:rsid wsp:val=&quot;6F433E0D&quot;/&gt;&lt;wsp:rsid wsp:val=&quot;6F433F5B&quot;/&gt;&lt;wsp:rsid wsp:val=&quot;6F435BBB&quot;/&gt;&lt;wsp:rsid wsp:val=&quot;6F4427B8&quot;/&gt;&lt;wsp:rsid wsp:val=&quot;6F4656AB&quot;/&gt;&lt;wsp:rsid wsp:val=&quot;6F481423&quot;/&gt;&lt;wsp:rsid wsp:val=&quot;6F484F7F&quot;/&gt;&lt;wsp:rsid wsp:val=&quot;6F490CF7&quot;/&gt;&lt;wsp:rsid wsp:val=&quot;6F49605B&quot;/&gt;&lt;wsp:rsid wsp:val=&quot;6F4A00F0&quot;/&gt;&lt;wsp:rsid wsp:val=&quot;6F4A69AF&quot;/&gt;&lt;wsp:rsid wsp:val=&quot;6F4A6F49&quot;/&gt;&lt;wsp:rsid wsp:val=&quot;6F4B0F13&quot;/&gt;&lt;wsp:rsid wsp:val=&quot;6F4B3922&quot;/&gt;&lt;wsp:rsid wsp:val=&quot;6F4B4A6F&quot;/&gt;&lt;wsp:rsid wsp:val=&quot;6F4F4560&quot;/&gt;&lt;wsp:rsid wsp:val=&quot;6F4F630E&quot;/&gt;&lt;wsp:rsid wsp:val=&quot;6F5222A2&quot;/&gt;&lt;wsp:rsid wsp:val=&quot;6F525DFE&quot;/&gt;&lt;wsp:rsid wsp:val=&quot;6F5558EE&quot;/&gt;&lt;wsp:rsid wsp:val=&quot;6F5953DE&quot;/&gt;&lt;wsp:rsid wsp:val=&quot;6F596922&quot;/&gt;&lt;wsp:rsid wsp:val=&quot;6F5B73A8&quot;/&gt;&lt;wsp:rsid wsp:val=&quot;6F5C0A2B&quot;/&gt;&lt;wsp:rsid wsp:val=&quot;6F5C4ECE&quot;/&gt;&lt;wsp:rsid wsp:val=&quot;6F5C6C7D&quot;/&gt;&lt;wsp:rsid wsp:val=&quot;6F5D357D&quot;/&gt;&lt;wsp:rsid wsp:val=&quot;6F5E0C47&quot;/&gt;&lt;wsp:rsid wsp:val=&quot;6F60051B&quot;/&gt;&lt;wsp:rsid wsp:val=&quot;6F602316&quot;/&gt;&lt;wsp:rsid wsp:val=&quot;6F6049BF&quot;/&gt;&lt;wsp:rsid wsp:val=&quot;6F60676D&quot;/&gt;&lt;wsp:rsid wsp:val=&quot;6F616041&quot;/&gt;&lt;wsp:rsid wsp:val=&quot;6F624C36&quot;/&gt;&lt;wsp:rsid wsp:val=&quot;6F6417C4&quot;/&gt;&lt;wsp:rsid wsp:val=&quot;6F655B31&quot;/&gt;&lt;wsp:rsid wsp:val=&quot;6F6A1399&quot;/&gt;&lt;wsp:rsid wsp:val=&quot;6F6B5112&quot;/&gt;&lt;wsp:rsid wsp:val=&quot;6F6D2C38&quot;/&gt;&lt;wsp:rsid wsp:val=&quot;6F6D49E6&quot;/&gt;&lt;wsp:rsid wsp:val=&quot;6F6F075E&quot;/&gt;&lt;wsp:rsid wsp:val=&quot;6F6F58B2&quot;/&gt;&lt;wsp:rsid wsp:val=&quot;6F712728&quot;/&gt;&lt;wsp:rsid wsp:val=&quot;6F71329B&quot;/&gt;&lt;wsp:rsid wsp:val=&quot;6F7264A0&quot;/&gt;&lt;wsp:rsid wsp:val=&quot;6F767D3E&quot;/&gt;&lt;wsp:rsid wsp:val=&quot;6F7B35A7&quot;/&gt;&lt;wsp:rsid wsp:val=&quot;6F7C731F&quot;/&gt;&lt;wsp:rsid wsp:val=&quot;6F7C7F24&quot;/&gt;&lt;wsp:rsid wsp:val=&quot;6F7F4719&quot;/&gt;&lt;wsp:rsid wsp:val=&quot;6F800BBD&quot;/&gt;&lt;wsp:rsid wsp:val=&quot;6F806E0F&quot;/&gt;&lt;wsp:rsid wsp:val=&quot;6F810491&quot;/&gt;&lt;wsp:rsid wsp:val=&quot;6F8166E3&quot;/&gt;&lt;wsp:rsid wsp:val=&quot;6F854425&quot;/&gt;&lt;wsp:rsid wsp:val=&quot;6F8561D3&quot;/&gt;&lt;wsp:rsid wsp:val=&quot;6F857F81&quot;/&gt;&lt;wsp:rsid wsp:val=&quot;6F881820&quot;/&gt;&lt;wsp:rsid wsp:val=&quot;6F885CC3&quot;/&gt;&lt;wsp:rsid wsp:val=&quot;6F8B6A13&quot;/&gt;&lt;wsp:rsid wsp:val=&quot;6F8D5088&quot;/&gt;&lt;wsp:rsid wsp:val=&quot;6F8F0E00&quot;/&gt;&lt;wsp:rsid wsp:val=&quot;6F904979&quot;/&gt;&lt;wsp:rsid wsp:val=&quot;6F906926&quot;/&gt;&lt;wsp:rsid wsp:val=&quot;6F91461B&quot;/&gt;&lt;wsp:rsid wsp:val=&quot;6F916CF4&quot;/&gt;&lt;wsp:rsid wsp:val=&quot;6F936635&quot;/&gt;&lt;wsp:rsid wsp:val=&quot;6F975F07&quot;/&gt;&lt;wsp:rsid wsp:val=&quot;6F983FC7&quot;/&gt;&lt;wsp:rsid wsp:val=&quot;6F9B1553&quot;/&gt;&lt;wsp:rsid wsp:val=&quot;6F9B3C2B&quot;/&gt;&lt;wsp:rsid wsp:val=&quot;6F9B77A5&quot;/&gt;&lt;wsp:rsid wsp:val=&quot;6F9E1043&quot;/&gt;&lt;wsp:rsid wsp:val=&quot;6F9E54E7&quot;/&gt;&lt;wsp:rsid wsp:val=&quot;6FA0300D&quot;/&gt;&lt;wsp:rsid wsp:val=&quot;6FA04DBB&quot;/&gt;&lt;wsp:rsid wsp:val=&quot;6FA128E1&quot;/&gt;&lt;wsp:rsid wsp:val=&quot;6FA36659&quot;/&gt;&lt;wsp:rsid wsp:val=&quot;6FA50623&quot;/&gt;&lt;wsp:rsid wsp:val=&quot;6FA523D2&quot;/&gt;&lt;wsp:rsid wsp:val=&quot;6FA61EDA&quot;/&gt;&lt;wsp:rsid wsp:val=&quot;6FA7614A&quot;/&gt;&lt;wsp:rsid wsp:val=&quot;6FA81EC2&quot;/&gt;&lt;wsp:rsid wsp:val=&quot;6FAA79E8&quot;/&gt;&lt;wsp:rsid wsp:val=&quot;6FAC19B2&quot;/&gt;&lt;wsp:rsid wsp:val=&quot;6FAD1286&quot;/&gt;&lt;wsp:rsid wsp:val=&quot;6FAE13CB&quot;/&gt;&lt;wsp:rsid wsp:val=&quot;6FAF46CD&quot;/&gt;&lt;wsp:rsid wsp:val=&quot;6FAF4FFE&quot;/&gt;&lt;wsp:rsid wsp:val=&quot;6FB01F63&quot;/&gt;&lt;wsp:rsid wsp:val=&quot;6FB029E4&quot;/&gt;&lt;wsp:rsid wsp:val=&quot;6FB16FC8&quot;/&gt;&lt;wsp:rsid wsp:val=&quot;6FB22D40&quot;/&gt;&lt;wsp:rsid wsp:val=&quot;6FB46AB9&quot;/&gt;&lt;wsp:rsid wsp:val=&quot;6FB563EA&quot;/&gt;&lt;wsp:rsid wsp:val=&quot;6FB62831&quot;/&gt;&lt;wsp:rsid wsp:val=&quot;6FB645DF&quot;/&gt;&lt;wsp:rsid wsp:val=&quot;6FB75A30&quot;/&gt;&lt;wsp:rsid wsp:val=&quot;6FB97C2B&quot;/&gt;&lt;wsp:rsid wsp:val=&quot;6FBB7E47&quot;/&gt;&lt;wsp:rsid wsp:val=&quot;6FBC5841&quot;/&gt;&lt;wsp:rsid wsp:val=&quot;6FC050A5&quot;/&gt;&lt;wsp:rsid wsp:val=&quot;6FC211D5&quot;/&gt;&lt;wsp:rsid wsp:val=&quot;6FC34F4E&quot;/&gt;&lt;wsp:rsid wsp:val=&quot;6FC50CC6&quot;/&gt;&lt;wsp:rsid wsp:val=&quot;6FC54822&quot;/&gt;&lt;wsp:rsid wsp:val=&quot;6FC61E8F&quot;/&gt;&lt;wsp:rsid wsp:val=&quot;6FC84312&quot;/&gt;&lt;wsp:rsid wsp:val=&quot;6FCA62DC&quot;/&gt;&lt;wsp:rsid wsp:val=&quot;6FCC33F2&quot;/&gt;&lt;wsp:rsid wsp:val=&quot;6FCD1397&quot;/&gt;&lt;wsp:rsid wsp:val=&quot;6FCD43FB&quot;/&gt;&lt;wsp:rsid wsp:val=&quot;6FCF3CB7&quot;/&gt;&lt;wsp:rsid wsp:val=&quot;6FCF56A0&quot;/&gt;&lt;wsp:rsid wsp:val=&quot;6FD131C7&quot;/&gt;&lt;wsp:rsid wsp:val=&quot;6FD1766A&quot;/&gt;&lt;wsp:rsid wsp:val=&quot;6FD3397A&quot;/&gt;&lt;wsp:rsid wsp:val=&quot;6FD607DD&quot;/&gt;&lt;wsp:rsid wsp:val=&quot;6FD902CD&quot;/&gt;&lt;wsp:rsid wsp:val=&quot;6FD9207B&quot;/&gt;&lt;wsp:rsid wsp:val=&quot;6FD9651F&quot;/&gt;&lt;wsp:rsid wsp:val=&quot;6FDD552B&quot;/&gt;&lt;wsp:rsid wsp:val=&quot;6FDE42DA&quot;/&gt;&lt;wsp:rsid wsp:val=&quot;6FDE7692&quot;/&gt;&lt;wsp:rsid wsp:val=&quot;6FDF48FC&quot;/&gt;&lt;wsp:rsid wsp:val=&quot;6FDF7BD8&quot;/&gt;&lt;wsp:rsid wsp:val=&quot;6FE27182&quot;/&gt;&lt;wsp:rsid wsp:val=&quot;6FE32EFA&quot;/&gt;&lt;wsp:rsid wsp:val=&quot;6FE44A4D&quot;/&gt;&lt;wsp:rsid wsp:val=&quot;6FE733CE&quot;/&gt;&lt;wsp:rsid wsp:val=&quot;6FE80510&quot;/&gt;&lt;wsp:rsid wsp:val=&quot;6FE86762&quot;/&gt;&lt;wsp:rsid wsp:val=&quot;6FEC0000&quot;/&gt;&lt;wsp:rsid wsp:val=&quot;6FED3D79&quot;/&gt;&lt;wsp:rsid wsp:val=&quot;6FEE06D0&quot;/&gt;&lt;wsp:rsid wsp:val=&quot;6FEE1FCA&quot;/&gt;&lt;wsp:rsid wsp:val=&quot;6FEF7AF1&quot;/&gt;&lt;wsp:rsid wsp:val=&quot;6FF15617&quot;/&gt;&lt;wsp:rsid wsp:val=&quot;6FF2313D&quot;/&gt;&lt;wsp:rsid wsp:val=&quot;6FF36706&quot;/&gt;&lt;wsp:rsid wsp:val=&quot;6FF45107&quot;/&gt;&lt;wsp:rsid wsp:val=&quot;6FF60E7F&quot;/&gt;&lt;wsp:rsid wsp:val=&quot;6FF84BF7&quot;/&gt;&lt;wsp:rsid wsp:val=&quot;6FFB1D32&quot;/&gt;&lt;wsp:rsid wsp:val=&quot;6FFB46E7&quot;/&gt;&lt;wsp:rsid wsp:val=&quot;6FFB6495&quot;/&gt;&lt;wsp:rsid wsp:val=&quot;6FFC5590&quot;/&gt;&lt;wsp:rsid wsp:val=&quot;6FFD220E&quot;/&gt;&lt;wsp:rsid wsp:val=&quot;6FFD3FBC&quot;/&gt;&lt;wsp:rsid wsp:val=&quot;7000585A&quot;/&gt;&lt;wsp:rsid wsp:val=&quot;70025A76&quot;/&gt;&lt;wsp:rsid wsp:val=&quot;7004359C&quot;/&gt;&lt;wsp:rsid wsp:val=&quot;70045690&quot;/&gt;&lt;wsp:rsid wsp:val=&quot;70052E70&quot;/&gt;&lt;wsp:rsid wsp:val=&quot;70057314&quot;/&gt;&lt;wsp:rsid wsp:val=&quot;70074E3A&quot;/&gt;&lt;wsp:rsid wsp:val=&quot;70097B7B&quot;/&gt;&lt;wsp:rsid wsp:val=&quot;700A492A&quot;/&gt;&lt;wsp:rsid wsp:val=&quot;700E225C&quot;/&gt;&lt;wsp:rsid wsp:val=&quot;700F3CEF&quot;/&gt;&lt;wsp:rsid wsp:val=&quot;70100F70&quot;/&gt;&lt;wsp:rsid wsp:val=&quot;70117A67&quot;/&gt;&lt;wsp:rsid wsp:val=&quot;70123113&quot;/&gt;&lt;wsp:rsid wsp:val=&quot;701231C2&quot;/&gt;&lt;wsp:rsid wsp:val=&quot;701337DF&quot;/&gt;&lt;wsp:rsid wsp:val=&quot;701557A9&quot;/&gt;&lt;wsp:rsid wsp:val=&quot;701660F1&quot;/&gt;&lt;wsp:rsid wsp:val=&quot;701778DC&quot;/&gt;&lt;wsp:rsid wsp:val=&quot;701A2DBF&quot;/&gt;&lt;wsp:rsid wsp:val=&quot;701C3816&quot;/&gt;&lt;wsp:rsid wsp:val=&quot;701D28B0&quot;/&gt;&lt;wsp:rsid wsp:val=&quot;701D640C&quot;/&gt;&lt;wsp:rsid wsp:val=&quot;70205EFC&quot;/&gt;&lt;wsp:rsid wsp:val=&quot;70207CAA&quot;/&gt;&lt;wsp:rsid wsp:val=&quot;702208C9&quot;/&gt;&lt;wsp:rsid wsp:val=&quot;7023779A&quot;/&gt;&lt;wsp:rsid wsp:val=&quot;70246FB7&quot;/&gt;&lt;wsp:rsid wsp:val=&quot;7024730F&quot;/&gt;&lt;wsp:rsid wsp:val=&quot;70252028&quot;/&gt;&lt;wsp:rsid wsp:val=&quot;702A0B29&quot;/&gt;&lt;wsp:rsid wsp:val=&quot;702C664F&quot;/&gt;&lt;wsp:rsid wsp:val=&quot;702E23C7&quot;/&gt;&lt;wsp:rsid wsp:val=&quot;702E6455&quot;/&gt;&lt;wsp:rsid wsp:val=&quot;702F4391&quot;/&gt;&lt;wsp:rsid wsp:val=&quot;70311EB7&quot;/&gt;&lt;wsp:rsid wsp:val=&quot;703270B5&quot;/&gt;&lt;wsp:rsid wsp:val=&quot;70343755&quot;/&gt;&lt;wsp:rsid wsp:val=&quot;70357BF9&quot;/&gt;&lt;wsp:rsid wsp:val=&quot;7036127C&quot;/&gt;&lt;wsp:rsid wsp:val=&quot;703642F5&quot;/&gt;&lt;wsp:rsid wsp:val=&quot;7036571F&quot;/&gt;&lt;wsp:rsid wsp:val=&quot;703674CE&quot;/&gt;&lt;wsp:rsid wsp:val=&quot;70390D6C&quot;/&gt;&lt;wsp:rsid wsp:val=&quot;70392C76&quot;/&gt;&lt;wsp:rsid wsp:val=&quot;703B0F88&quot;/&gt;&lt;wsp:rsid wsp:val=&quot;703B2D36&quot;/&gt;&lt;wsp:rsid wsp:val=&quot;703D085C&quot;/&gt;&lt;wsp:rsid wsp:val=&quot;703D3F4C&quot;/&gt;&lt;wsp:rsid wsp:val=&quot;703D6AAE&quot;/&gt;&lt;wsp:rsid wsp:val=&quot;703F2826&quot;/&gt;&lt;wsp:rsid wsp:val=&quot;703F5309&quot;/&gt;&lt;wsp:rsid wsp:val=&quot;703F6E9D&quot;/&gt;&lt;wsp:rsid wsp:val=&quot;7040714E&quot;/&gt;&lt;wsp:rsid wsp:val=&quot;704240C4&quot;/&gt;&lt;wsp:rsid wsp:val=&quot;704265C0&quot;/&gt;&lt;wsp:rsid wsp:val=&quot;70436AA7&quot;/&gt;&lt;wsp:rsid wsp:val=&quot;704812DB&quot;/&gt;&lt;wsp:rsid wsp:val=&quot;70497201&quot;/&gt;&lt;wsp:rsid wsp:val=&quot;704A2F79&quot;/&gt;&lt;wsp:rsid wsp:val=&quot;704C4F43&quot;/&gt;&lt;wsp:rsid wsp:val=&quot;704C7C5C&quot;/&gt;&lt;wsp:rsid wsp:val=&quot;704E23DE&quot;/&gt;&lt;wsp:rsid wsp:val=&quot;704E4817&quot;/&gt;&lt;wsp:rsid wsp:val=&quot;704F233D&quot;/&gt;&lt;wsp:rsid wsp:val=&quot;704F4E9C&quot;/&gt;&lt;wsp:rsid wsp:val=&quot;70512559&quot;/&gt;&lt;wsp:rsid wsp:val=&quot;70514307&quot;/&gt;&lt;wsp:rsid wsp:val=&quot;70514CF5&quot;/&gt;&lt;wsp:rsid wsp:val=&quot;7053007F&quot;/&gt;&lt;wsp:rsid wsp:val=&quot;70531E2E&quot;/&gt;&lt;wsp:rsid wsp:val=&quot;70545BA6&quot;/&gt;&lt;wsp:rsid wsp:val=&quot;705636CC&quot;/&gt;&lt;wsp:rsid wsp:val=&quot;70567B70&quot;/&gt;&lt;wsp:rsid wsp:val=&quot;705838E8&quot;/&gt;&lt;wsp:rsid wsp:val=&quot;70585414&quot;/&gt;&lt;wsp:rsid wsp:val=&quot;705858AD&quot;/&gt;&lt;wsp:rsid wsp:val=&quot;70587444&quot;/&gt;&lt;wsp:rsid wsp:val=&quot;705D0EFE&quot;/&gt;&lt;wsp:rsid wsp:val=&quot;706109EE&quot;/&gt;&lt;wsp:rsid wsp:val=&quot;706109F2&quot;/&gt;&lt;wsp:rsid wsp:val=&quot;70621E82&quot;/&gt;&lt;wsp:rsid wsp:val=&quot;70626515&quot;/&gt;&lt;wsp:rsid wsp:val=&quot;7064228D&quot;/&gt;&lt;wsp:rsid wsp:val=&quot;7065282C&quot;/&gt;&lt;wsp:rsid wsp:val=&quot;70665935&quot;/&gt;&lt;wsp:rsid wsp:val=&quot;70671D7D&quot;/&gt;&lt;wsp:rsid wsp:val=&quot;70691651&quot;/&gt;&lt;wsp:rsid wsp:val=&quot;706A7177&quot;/&gt;&lt;wsp:rsid wsp:val=&quot;706B361B&quot;/&gt;&lt;wsp:rsid wsp:val=&quot;706C06D6&quot;/&gt;&lt;wsp:rsid wsp:val=&quot;706C2EEF&quot;/&gt;&lt;wsp:rsid wsp:val=&quot;706D1DD0&quot;/&gt;&lt;wsp:rsid wsp:val=&quot;706E0425&quot;/&gt;&lt;wsp:rsid wsp:val=&quot;706E487B&quot;/&gt;&lt;wsp:rsid wsp:val=&quot;706F478E&quot;/&gt;&lt;wsp:rsid wsp:val=&quot;706F509D&quot;/&gt;&lt;wsp:rsid wsp:val=&quot;707029DF&quot;/&gt;&lt;wsp:rsid wsp:val=&quot;7073427E&quot;/&gt;&lt;wsp:rsid wsp:val=&quot;70761788&quot;/&gt;&lt;wsp:rsid wsp:val=&quot;70761FC0&quot;/&gt;&lt;wsp:rsid wsp:val=&quot;707A385E&quot;/&gt;&lt;wsp:rsid wsp:val=&quot;707A560C&quot;/&gt;&lt;wsp:rsid wsp:val=&quot;707B3132&quot;/&gt;&lt;wsp:rsid wsp:val=&quot;707B75D6&quot;/&gt;&lt;wsp:rsid wsp:val=&quot;707D334E&quot;/&gt;&lt;wsp:rsid wsp:val=&quot;707F13AA&quot;/&gt;&lt;wsp:rsid wsp:val=&quot;707F70C6&quot;/&gt;&lt;wsp:rsid wsp:val=&quot;7080699B&quot;/&gt;&lt;wsp:rsid wsp:val=&quot;70822713&quot;/&gt;&lt;wsp:rsid wsp:val=&quot;708244C1&quot;/&gt;&lt;wsp:rsid wsp:val=&quot;7082717F&quot;/&gt;&lt;wsp:rsid wsp:val=&quot;70856B87&quot;/&gt;&lt;wsp:rsid wsp:val=&quot;70877D29&quot;/&gt;&lt;wsp:rsid wsp:val=&quot;70886657&quot;/&gt;&lt;wsp:rsid wsp:val=&quot;7089584F&quot;/&gt;&lt;wsp:rsid wsp:val=&quot;708B5A6B&quot;/&gt;&lt;wsp:rsid wsp:val=&quot;708E10B8&quot;/&gt;&lt;wsp:rsid wsp:val=&quot;708E25E0&quot;/&gt;&lt;wsp:rsid wsp:val=&quot;708E2E66&quot;/&gt;&lt;wsp:rsid wsp:val=&quot;708F6BDE&quot;/&gt;&lt;wsp:rsid wsp:val=&quot;70912956&quot;/&gt;&lt;wsp:rsid wsp:val=&quot;7093565C&quot;/&gt;&lt;wsp:rsid wsp:val=&quot;709541F4&quot;/&gt;&lt;wsp:rsid wsp:val=&quot;709661BE&quot;/&gt;&lt;wsp:rsid wsp:val=&quot;70967F6C&quot;/&gt;&lt;wsp:rsid wsp:val=&quot;70980188&quot;/&gt;&lt;wsp:rsid wsp:val=&quot;709A7A5C&quot;/&gt;&lt;wsp:rsid wsp:val=&quot;709D12FB&quot;/&gt;&lt;wsp:rsid wsp:val=&quot;709D579F&quot;/&gt;&lt;wsp:rsid wsp:val=&quot;709D754D&quot;/&gt;&lt;wsp:rsid wsp:val=&quot;709E1FE6&quot;/&gt;&lt;wsp:rsid wsp:val=&quot;709F1E24&quot;/&gt;&lt;wsp:rsid wsp:val=&quot;709F3565&quot;/&gt;&lt;wsp:rsid wsp:val=&quot;709F441D&quot;/&gt;&lt;wsp:rsid wsp:val=&quot;709F5073&quot;/&gt;&lt;wsp:rsid wsp:val=&quot;70A00DEB&quot;/&gt;&lt;wsp:rsid wsp:val=&quot;70A22DB5&quot;/&gt;&lt;wsp:rsid wsp:val=&quot;70A408C8&quot;/&gt;&lt;wsp:rsid wsp:val=&quot;70A42689&quot;/&gt;&lt;wsp:rsid wsp:val=&quot;70A650C3&quot;/&gt;&lt;wsp:rsid wsp:val=&quot;70A72179&quot;/&gt;&lt;wsp:rsid wsp:val=&quot;70A73F27&quot;/&gt;&lt;wsp:rsid wsp:val=&quot;70A804DF&quot;/&gt;&lt;wsp:rsid wsp:val=&quot;70A95EF1&quot;/&gt;&lt;wsp:rsid wsp:val=&quot;70AC59E2&quot;/&gt;&lt;wsp:rsid wsp:val=&quot;70AE3508&quot;/&gt;&lt;wsp:rsid wsp:val=&quot;70B16AF4&quot;/&gt;&lt;wsp:rsid wsp:val=&quot;70B30B1E&quot;/&gt;&lt;wsp:rsid wsp:val=&quot;70B328CC&quot;/&gt;&lt;wsp:rsid wsp:val=&quot;70B8153B&quot;/&gt;&lt;wsp:rsid wsp:val=&quot;70B84386&quot;/&gt;&lt;wsp:rsid wsp:val=&quot;70BA00FF&quot;/&gt;&lt;wsp:rsid wsp:val=&quot;70BA4F67&quot;/&gt;&lt;wsp:rsid wsp:val=&quot;70BB6F1C&quot;/&gt;&lt;wsp:rsid wsp:val=&quot;70BB79D3&quot;/&gt;&lt;wsp:rsid wsp:val=&quot;70BF3967&quot;/&gt;&lt;wsp:rsid wsp:val=&quot;70C0289D&quot;/&gt;&lt;wsp:rsid wsp:val=&quot;70C1323B&quot;/&gt;&lt;wsp:rsid wsp:val=&quot;70C251BD&quot;/&gt;&lt;wsp:rsid wsp:val=&quot;70C25205&quot;/&gt;&lt;wsp:rsid wsp:val=&quot;70C40F7D&quot;/&gt;&lt;wsp:rsid wsp:val=&quot;70C44AD9&quot;/&gt;&lt;wsp:rsid wsp:val=&quot;70C66AA3&quot;/&gt;&lt;wsp:rsid wsp:val=&quot;70C71B7C&quot;/&gt;&lt;wsp:rsid wsp:val=&quot;70C76378&quot;/&gt;&lt;wsp:rsid wsp:val=&quot;70C85E27&quot;/&gt;&lt;wsp:rsid wsp:val=&quot;70C90342&quot;/&gt;&lt;wsp:rsid wsp:val=&quot;70C920F0&quot;/&gt;&lt;wsp:rsid wsp:val=&quot;70CA394F&quot;/&gt;&lt;wsp:rsid wsp:val=&quot;70CB230C&quot;/&gt;&lt;wsp:rsid wsp:val=&quot;70CB5E68&quot;/&gt;&lt;wsp:rsid wsp:val=&quot;70CB652E&quot;/&gt;&lt;wsp:rsid wsp:val=&quot;70CC398E&quot;/&gt;&lt;wsp:rsid wsp:val=&quot;70CD6084&quot;/&gt;&lt;wsp:rsid wsp:val=&quot;70D10655&quot;/&gt;&lt;wsp:rsid wsp:val=&quot;70D21A8E&quot;/&gt;&lt;wsp:rsid wsp:val=&quot;70D25448&quot;/&gt;&lt;wsp:rsid wsp:val=&quot;70D32F6E&quot;/&gt;&lt;wsp:rsid wsp:val=&quot;70D475D2&quot;/&gt;&lt;wsp:rsid wsp:val=&quot;70D50A94&quot;/&gt;&lt;wsp:rsid wsp:val=&quot;70D527EE&quot;/&gt;&lt;wsp:rsid wsp:val=&quot;70D54F38&quot;/&gt;&lt;wsp:rsid wsp:val=&quot;70D56CE6&quot;/&gt;&lt;wsp:rsid wsp:val=&quot;70D72A5F&quot;/&gt;&lt;wsp:rsid wsp:val=&quot;70D77694&quot;/&gt;&lt;wsp:rsid wsp:val=&quot;70D80585&quot;/&gt;&lt;wsp:rsid wsp:val=&quot;70DA6015&quot;/&gt;&lt;wsp:rsid wsp:val=&quot;70DE203F&quot;/&gt;&lt;wsp:rsid wsp:val=&quot;70DF36C1&quot;/&gt;&lt;wsp:rsid wsp:val=&quot;70E138DD&quot;/&gt;&lt;wsp:rsid wsp:val=&quot;70E4517B&quot;/&gt;&lt;wsp:rsid wsp:val=&quot;70E46F2A&quot;/&gt;&lt;wsp:rsid wsp:val=&quot;70E60EF4&quot;/&gt;&lt;wsp:rsid wsp:val=&quot;70E64A50&quot;/&gt;&lt;wsp:rsid wsp:val=&quot;70E76A1A&quot;/&gt;&lt;wsp:rsid wsp:val=&quot;70E84C6C&quot;/&gt;&lt;wsp:rsid wsp:val=&quot;70E909E4&quot;/&gt;&lt;wsp:rsid wsp:val=&quot;70EA43C9&quot;/&gt;&lt;wsp:rsid wsp:val=&quot;70ED4030&quot;/&gt;&lt;wsp:rsid wsp:val=&quot;70ED448B&quot;/&gt;&lt;wsp:rsid wsp:val=&quot;70EE1B56&quot;/&gt;&lt;wsp:rsid wsp:val=&quot;70EE5F9E&quot;/&gt;&lt;wsp:rsid wsp:val=&quot;70EE5FFA&quot;/&gt;&lt;wsp:rsid wsp:val=&quot;70F01D72&quot;/&gt;&lt;wsp:rsid wsp:val=&quot;70F03B20&quot;/&gt;&lt;wsp:rsid wsp:val=&quot;70F2429C&quot;/&gt;&lt;wsp:rsid wsp:val=&quot;70F2563F&quot;/&gt;&lt;wsp:rsid wsp:val=&quot;70F52EE5&quot;/&gt;&lt;wsp:rsid wsp:val=&quot;70F57389&quot;/&gt;&lt;wsp:rsid wsp:val=&quot;70F74EAF&quot;/&gt;&lt;wsp:rsid wsp:val=&quot;70F86D26&quot;/&gt;&lt;wsp:rsid wsp:val=&quot;70F8771B&quot;/&gt;&lt;wsp:rsid wsp:val=&quot;70FA04FB&quot;/&gt;&lt;wsp:rsid wsp:val=&quot;70FC0717&quot;/&gt;&lt;wsp:rsid wsp:val=&quot;70FC24C5&quot;/&gt;&lt;wsp:rsid wsp:val=&quot;70FC4273&quot;/&gt;&lt;wsp:rsid wsp:val=&quot;70FF3D63&quot;/&gt;&lt;wsp:rsid wsp:val=&quot;70FF5B11&quot;/&gt;&lt;wsp:rsid wsp:val=&quot;70FF68A0&quot;/&gt;&lt;wsp:rsid wsp:val=&quot;71033854&quot;/&gt;&lt;wsp:rsid wsp:val=&quot;7104120B&quot;/&gt;&lt;wsp:rsid wsp:val=&quot;71044B32&quot;/&gt;&lt;wsp:rsid wsp:val=&quot;710475CC&quot;/&gt;&lt;wsp:rsid wsp:val=&quot;7105665F&quot;/&gt;&lt;wsp:rsid wsp:val=&quot;71077A7F&quot;/&gt;&lt;wsp:rsid wsp:val=&quot;71080E6A&quot;/&gt;&lt;wsp:rsid wsp:val=&quot;71094BE2&quot;/&gt;&lt;wsp:rsid wsp:val=&quot;710B095A&quot;/&gt;&lt;wsp:rsid wsp:val=&quot;710B19BB&quot;/&gt;&lt;wsp:rsid wsp:val=&quot;710C5CDD&quot;/&gt;&lt;wsp:rsid wsp:val=&quot;710D46D2&quot;/&gt;&lt;wsp:rsid wsp:val=&quot;710E21F8&quot;/&gt;&lt;wsp:rsid wsp:val=&quot;710F6395&quot;/&gt;&lt;wsp:rsid wsp:val=&quot;7110326C&quot;/&gt;&lt;wsp:rsid wsp:val=&quot;71107D1F&quot;/&gt;&lt;wsp:rsid wsp:val=&quot;71121CE9&quot;/&gt;&lt;wsp:rsid wsp:val=&quot;71123A97&quot;/&gt;&lt;wsp:rsid wsp:val=&quot;711315BD&quot;/&gt;&lt;wsp:rsid wsp:val=&quot;71135446&quot;/&gt;&lt;wsp:rsid wsp:val=&quot;71144A65&quot;/&gt;&lt;wsp:rsid wsp:val=&quot;71145A61&quot;/&gt;&lt;wsp:rsid wsp:val=&quot;71174B27&quot;/&gt;&lt;wsp:rsid wsp:val=&quot;711B5D6B&quot;/&gt;&lt;wsp:rsid wsp:val=&quot;711C2B67&quot;/&gt;&lt;wsp:rsid wsp:val=&quot;711C66C3&quot;/&gt;&lt;wsp:rsid wsp:val=&quot;711D3091&quot;/&gt;&lt;wsp:rsid wsp:val=&quot;711D41EA&quot;/&gt;&lt;wsp:rsid wsp:val=&quot;711E1E29&quot;/&gt;&lt;wsp:rsid wsp:val=&quot;711E68DF&quot;/&gt;&lt;wsp:rsid wsp:val=&quot;71202D96&quot;/&gt;&lt;wsp:rsid wsp:val=&quot;712107AA&quot;/&gt;&lt;wsp:rsid wsp:val=&quot;71213CDA&quot;/&gt;&lt;wsp:rsid wsp:val=&quot;71225601&quot;/&gt;&lt;wsp:rsid wsp:val=&quot;71237A52&quot;/&gt;&lt;wsp:rsid wsp:val=&quot;71257C6E&quot;/&gt;&lt;wsp:rsid wsp:val=&quot;71274B5F&quot;/&gt;&lt;wsp:rsid wsp:val=&quot;712B3716&quot;/&gt;&lt;wsp:rsid wsp:val=&quot;712C417C&quot;/&gt;&lt;wsp:rsid wsp:val=&quot;713056CE&quot;/&gt;&lt;wsp:rsid wsp:val=&quot;71324139&quot;/&gt;&lt;wsp:rsid wsp:val=&quot;71333A0D&quot;/&gt;&lt;wsp:rsid wsp:val=&quot;7134404F&quot;/&gt;&lt;wsp:rsid wsp:val=&quot;71347EB1&quot;/&gt;&lt;wsp:rsid wsp:val=&quot;71353C29&quot;/&gt;&lt;wsp:rsid wsp:val=&quot;71357785&quot;/&gt;&lt;wsp:rsid wsp:val=&quot;713779A1&quot;/&gt;&lt;wsp:rsid wsp:val=&quot;713C0B14&quot;/&gt;&lt;wsp:rsid wsp:val=&quot;713C657E&quot;/&gt;&lt;wsp:rsid wsp:val=&quot;713C6D66&quot;/&gt;&lt;wsp:rsid wsp:val=&quot;713F6856&quot;/&gt;&lt;wsp:rsid wsp:val=&quot;7141437C&quot;/&gt;&lt;wsp:rsid wsp:val=&quot;71415FD9&quot;/&gt;&lt;wsp:rsid wsp:val=&quot;71424DA3&quot;/&gt;&lt;wsp:rsid wsp:val=&quot;71444FD4&quot;/&gt;&lt;wsp:rsid wsp:val=&quot;714479C8&quot;/&gt;&lt;wsp:rsid wsp:val=&quot;714517AD&quot;/&gt;&lt;wsp:rsid wsp:val=&quot;71453E6C&quot;/&gt;&lt;wsp:rsid wsp:val=&quot;714632C2&quot;/&gt;&lt;wsp:rsid wsp:val=&quot;71467BE4&quot;/&gt;&lt;wsp:rsid wsp:val=&quot;71486FF1&quot;/&gt;&lt;wsp:rsid wsp:val=&quot;71493231&quot;/&gt;&lt;wsp:rsid wsp:val=&quot;714B0D57&quot;/&gt;&lt;wsp:rsid wsp:val=&quot;714B6FA9&quot;/&gt;&lt;wsp:rsid wsp:val=&quot;714E7896&quot;/&gt;&lt;wsp:rsid wsp:val=&quot;714F4CEB&quot;/&gt;&lt;wsp:rsid wsp:val=&quot;714F6A99&quot;/&gt;&lt;wsp:rsid wsp:val=&quot;71500A63&quot;/&gt;&lt;wsp:rsid wsp:val=&quot;715028AC&quot;/&gt;&lt;wsp:rsid wsp:val=&quot;7150636D&quot;/&gt;&lt;wsp:rsid wsp:val=&quot;71516148&quot;/&gt;&lt;wsp:rsid wsp:val=&quot;71526589&quot;/&gt;&lt;wsp:rsid wsp:val=&quot;71535E5D&quot;/&gt;&lt;wsp:rsid wsp:val=&quot;71542301&quot;/&gt;&lt;wsp:rsid wsp:val=&quot;71546D9B&quot;/&gt;&lt;wsp:rsid wsp:val=&quot;71551BD5&quot;/&gt;&lt;wsp:rsid wsp:val=&quot;7157594D&quot;/&gt;&lt;wsp:rsid wsp:val=&quot;715776FB&quot;/&gt;&lt;wsp:rsid wsp:val=&quot;715A543E&quot;/&gt;&lt;wsp:rsid wsp:val=&quot;715A71EC&quot;/&gt;&lt;wsp:rsid wsp:val=&quot;715B5300&quot;/&gt;&lt;wsp:rsid wsp:val=&quot;715C11B6&quot;/&gt;&lt;wsp:rsid wsp:val=&quot;715C2F64&quot;/&gt;&lt;wsp:rsid wsp:val=&quot;715D30C9&quot;/&gt;&lt;wsp:rsid wsp:val=&quot;715D46EB&quot;/&gt;&lt;wsp:rsid wsp:val=&quot;715E6CDC&quot;/&gt;&lt;wsp:rsid wsp:val=&quot;71614A1E&quot;/&gt;&lt;wsp:rsid wsp:val=&quot;71663DE2&quot;/&gt;&lt;wsp:rsid wsp:val=&quot;71687B5B&quot;/&gt;&lt;wsp:rsid wsp:val=&quot;7169742F&quot;/&gt;&lt;wsp:rsid wsp:val=&quot;716A585F&quot;/&gt;&lt;wsp:rsid wsp:val=&quot;716B13F9&quot;/&gt;&lt;wsp:rsid wsp:val=&quot;716C160F&quot;/&gt;&lt;wsp:rsid wsp:val=&quot;716F0EE9&quot;/&gt;&lt;wsp:rsid wsp:val=&quot;717007BD&quot;/&gt;&lt;wsp:rsid wsp:val=&quot;71702B61&quot;/&gt;&lt;wsp:rsid wsp:val=&quot;71706A0F&quot;/&gt;&lt;wsp:rsid wsp:val=&quot;717402AD&quot;/&gt;&lt;wsp:rsid wsp:val=&quot;717464FF&quot;/&gt;&lt;wsp:rsid wsp:val=&quot;717679C7&quot;/&gt;&lt;wsp:rsid wsp:val=&quot;71775FF0&quot;/&gt;&lt;wsp:rsid wsp:val=&quot;71777D9E&quot;/&gt;&lt;wsp:rsid wsp:val=&quot;717812F3&quot;/&gt;&lt;wsp:rsid wsp:val=&quot;717A3C13&quot;/&gt;&lt;wsp:rsid wsp:val=&quot;717B5AE0&quot;/&gt;&lt;wsp:rsid wsp:val=&quot;717C1858&quot;/&gt;&lt;wsp:rsid wsp:val=&quot;717C7162&quot;/&gt;&lt;wsp:rsid wsp:val=&quot;717E354C&quot;/&gt;&lt;wsp:rsid wsp:val=&quot;717E737E&quot;/&gt;&lt;wsp:rsid wsp:val=&quot;717F372C&quot;/&gt;&lt;wsp:rsid wsp:val=&quot;71802656&quot;/&gt;&lt;wsp:rsid wsp:val=&quot;718304F0&quot;/&gt;&lt;wsp:rsid wsp:val=&quot;71866233&quot;/&gt;&lt;wsp:rsid wsp:val=&quot;71867FE1&quot;/&gt;&lt;wsp:rsid wsp:val=&quot;71893C8D&quot;/&gt;&lt;wsp:rsid wsp:val=&quot;718A5D23&quot;/&gt;&lt;wsp:rsid wsp:val=&quot;718A7127&quot;/&gt;&lt;wsp:rsid wsp:val=&quot;718C1A9B&quot;/&gt;&lt;wsp:rsid wsp:val=&quot;718C3BCF&quot;/&gt;&lt;wsp:rsid wsp:val=&quot;718D136F&quot;/&gt;&lt;wsp:rsid wsp:val=&quot;718F6BAA&quot;/&gt;&lt;wsp:rsid wsp:val=&quot;718F6E95&quot;/&gt;&lt;wsp:rsid wsp:val=&quot;719170B1&quot;/&gt;&lt;wsp:rsid wsp:val=&quot;71922E29&quot;/&gt;&lt;wsp:rsid wsp:val=&quot;719426FE&quot;/&gt;&lt;wsp:rsid wsp:val=&quot;71950224&quot;/&gt;&lt;wsp:rsid wsp:val=&quot;719646C8&quot;/&gt;&lt;wsp:rsid wsp:val=&quot;719721EE&quot;/&gt;&lt;wsp:rsid wsp:val=&quot;71997D14&quot;/&gt;&lt;wsp:rsid wsp:val=&quot;719C06EE&quot;/&gt;&lt;wsp:rsid wsp:val=&quot;719E474F&quot;/&gt;&lt;wsp:rsid wsp:val=&quot;719F16DB&quot;/&gt;&lt;wsp:rsid wsp:val=&quot;71A05546&quot;/&gt;&lt;wsp:rsid wsp:val=&quot;71A14E1B&quot;/&gt;&lt;wsp:rsid wsp:val=&quot;71A16BC9&quot;/&gt;&lt;wsp:rsid wsp:val=&quot;71A52B5D&quot;/&gt;&lt;wsp:rsid wsp:val=&quot;71A87F57&quot;/&gt;&lt;wsp:rsid wsp:val=&quot;71A90121&quot;/&gt;&lt;wsp:rsid wsp:val=&quot;71A91862&quot;/&gt;&lt;wsp:rsid wsp:val=&quot;71A96411&quot;/&gt;&lt;wsp:rsid wsp:val=&quot;71AA3CCF&quot;/&gt;&lt;wsp:rsid wsp:val=&quot;71AB6CD0&quot;/&gt;&lt;wsp:rsid wsp:val=&quot;71AF12E6&quot;/&gt;&lt;wsp:rsid wsp:val=&quot;71B20480&quot;/&gt;&lt;wsp:rsid wsp:val=&quot;71B66B18&quot;/&gt;&lt;wsp:rsid wsp:val=&quot;71B72890&quot;/&gt;&lt;wsp:rsid wsp:val=&quot;71B763EC&quot;/&gt;&lt;wsp:rsid wsp:val=&quot;71B84A16&quot;/&gt;&lt;wsp:rsid wsp:val=&quot;71B96608&quot;/&gt;&lt;wsp:rsid wsp:val=&quot;71BA7C8A&quot;/&gt;&lt;wsp:rsid wsp:val=&quot;71BB412E&quot;/&gt;&lt;wsp:rsid wsp:val=&quot;71BC1C54&quot;/&gt;&lt;wsp:rsid wsp:val=&quot;71BC7CD8&quot;/&gt;&lt;wsp:rsid wsp:val=&quot;71C01745&quot;/&gt;&lt;wsp:rsid wsp:val=&quot;71C11019&quot;/&gt;&lt;wsp:rsid wsp:val=&quot;71C1726B&quot;/&gt;&lt;wsp:rsid wsp:val=&quot;71C254BD&quot;/&gt;&lt;wsp:rsid wsp:val=&quot;71C25AD2&quot;/&gt;&lt;wsp:rsid wsp:val=&quot;71C32FE3&quot;/&gt;&lt;wsp:rsid wsp:val=&quot;71C4751B&quot;/&gt;&lt;wsp:rsid wsp:val=&quot;71C70D25&quot;/&gt;&lt;wsp:rsid wsp:val=&quot;71C72AD3&quot;/&gt;&lt;wsp:rsid wsp:val=&quot;71CA25C3&quot;/&gt;&lt;wsp:rsid wsp:val=&quot;71CA4371&quot;/&gt;&lt;wsp:rsid wsp:val=&quot;71CA55E3&quot;/&gt;&lt;wsp:rsid wsp:val=&quot;71CC2394&quot;/&gt;&lt;wsp:rsid wsp:val=&quot;71CC34BB&quot;/&gt;&lt;wsp:rsid wsp:val=&quot;71CC5D92&quot;/&gt;&lt;wsp:rsid wsp:val=&quot;71CD20B4&quot;/&gt;&lt;wsp:rsid wsp:val=&quot;71CE0425&quot;/&gt;&lt;wsp:rsid wsp:val=&quot;71CF53DA&quot;/&gt;&lt;wsp:rsid wsp:val=&quot;71D115FD&quot;/&gt;&lt;wsp:rsid wsp:val=&quot;71D23226&quot;/&gt;&lt;wsp:rsid wsp:val=&quot;71D27F8A&quot;/&gt;&lt;wsp:rsid wsp:val=&quot;71D376CA&quot;/&gt;&lt;wsp:rsid wsp:val=&quot;71D46F9E&quot;/&gt;&lt;wsp:rsid wsp:val=&quot;71D6157A&quot;/&gt;&lt;wsp:rsid wsp:val=&quot;71D7083C&quot;/&gt;&lt;wsp:rsid wsp:val=&quot;71D7319F&quot;/&gt;&lt;wsp:rsid wsp:val=&quot;71D84CE0&quot;/&gt;&lt;wsp:rsid wsp:val=&quot;71D90A58&quot;/&gt;&lt;wsp:rsid wsp:val=&quot;71D92806&quot;/&gt;&lt;wsp:rsid wsp:val=&quot;71DA23B6&quot;/&gt;&lt;wsp:rsid wsp:val=&quot;71DA669B&quot;/&gt;&lt;wsp:rsid wsp:val=&quot;71DB032D&quot;/&gt;&lt;wsp:rsid wsp:val=&quot;71DB657E&quot;/&gt;&lt;wsp:rsid wsp:val=&quot;71DD22F7&quot;/&gt;&lt;wsp:rsid wsp:val=&quot;71DE1BCB&quot;/&gt;&lt;wsp:rsid wsp:val=&quot;71DE606F&quot;/&gt;&lt;wsp:rsid wsp:val=&quot;71E03B95&quot;/&gt;&lt;wsp:rsid wsp:val=&quot;71E05943&quot;/&gt;&lt;wsp:rsid wsp:val=&quot;71E116BB&quot;/&gt;&lt;wsp:rsid wsp:val=&quot;71E13469&quot;/&gt;&lt;wsp:rsid wsp:val=&quot;71E33685&quot;/&gt;&lt;wsp:rsid wsp:val=&quot;71E371E1&quot;/&gt;&lt;wsp:rsid wsp:val=&quot;71E573FD&quot;/&gt;&lt;wsp:rsid wsp:val=&quot;71E72C94&quot;/&gt;&lt;wsp:rsid wsp:val=&quot;71E73175&quot;/&gt;&lt;wsp:rsid wsp:val=&quot;71E74F23&quot;/&gt;&lt;wsp:rsid wsp:val=&quot;71E754CD&quot;/&gt;&lt;wsp:rsid wsp:val=&quot;71E76CD1&quot;/&gt;&lt;wsp:rsid wsp:val=&quot;71E80C9B&quot;/&gt;&lt;wsp:rsid wsp:val=&quot;71E84124&quot;/&gt;&lt;wsp:rsid wsp:val=&quot;71EA0570&quot;/&gt;&lt;wsp:rsid wsp:val=&quot;71EA6A44&quot;/&gt;&lt;wsp:rsid wsp:val=&quot;71EC21EE&quot;/&gt;&lt;wsp:rsid wsp:val=&quot;71ED23ED&quot;/&gt;&lt;wsp:rsid wsp:val=&quot;71ED62B2&quot;/&gt;&lt;wsp:rsid wsp:val=&quot;71EF202A&quot;/&gt;&lt;wsp:rsid wsp:val=&quot;71F118FE&quot;/&gt;&lt;wsp:rsid wsp:val=&quot;71F15DA2&quot;/&gt;&lt;wsp:rsid wsp:val=&quot;71F17B50&quot;/&gt;&lt;wsp:rsid wsp:val=&quot;71F24F18&quot;/&gt;&lt;wsp:rsid wsp:val=&quot;71F25676&quot;/&gt;&lt;wsp:rsid wsp:val=&quot;71F4319C&quot;/&gt;&lt;wsp:rsid wsp:val=&quot;71F633B8&quot;/&gt;&lt;wsp:rsid wsp:val=&quot;71F72C8D&quot;/&gt;&lt;wsp:rsid wsp:val=&quot;71F80EDE&quot;/&gt;&lt;wsp:rsid wsp:val=&quot;71F87130&quot;/&gt;&lt;wsp:rsid wsp:val=&quot;71F96A05&quot;/&gt;&lt;wsp:rsid wsp:val=&quot;71FB09CF&quot;/&gt;&lt;wsp:rsid wsp:val=&quot;71FB452B&quot;/&gt;&lt;wsp:rsid wsp:val=&quot;72007D93&quot;/&gt;&lt;wsp:rsid wsp:val=&quot;72021099&quot;/&gt;&lt;wsp:rsid wsp:val=&quot;720336C8&quot;/&gt;&lt;wsp:rsid wsp:val=&quot;72071122&quot;/&gt;&lt;wsp:rsid wsp:val=&quot;72077373&quot;/&gt;&lt;wsp:rsid wsp:val=&quot;7208345D&quot;/&gt;&lt;wsp:rsid wsp:val=&quot;72084977&quot;/&gt;&lt;wsp:rsid wsp:val=&quot;72084E9A&quot;/&gt;&lt;wsp:rsid wsp:val=&quot;720A29C0&quot;/&gt;&lt;wsp:rsid wsp:val=&quot;720A602E&quot;/&gt;&lt;wsp:rsid wsp:val=&quot;720C2BDC&quot;/&gt;&lt;wsp:rsid wsp:val=&quot;720C6738&quot;/&gt;&lt;wsp:rsid wsp:val=&quot;720E0702&quot;/&gt;&lt;wsp:rsid wsp:val=&quot;720F6228&quot;/&gt;&lt;wsp:rsid wsp:val=&quot;72111FA0&quot;/&gt;&lt;wsp:rsid wsp:val=&quot;72113D4E&quot;/&gt;&lt;wsp:rsid wsp:val=&quot;72121874&quot;/&gt;&lt;wsp:rsid wsp:val=&quot;72127391&quot;/&gt;&lt;wsp:rsid wsp:val=&quot;72135D18&quot;/&gt;&lt;wsp:rsid wsp:val=&quot;721573F6&quot;/&gt;&lt;wsp:rsid wsp:val=&quot;7216333F&quot;/&gt;&lt;wsp:rsid wsp:val=&quot;721671A2&quot;/&gt;&lt;wsp:rsid wsp:val=&quot;721675B7&quot;/&gt;&lt;wsp:rsid wsp:val=&quot;72181581&quot;/&gt;&lt;wsp:rsid wsp:val=&quot;72194693&quot;/&gt;&lt;wsp:rsid wsp:val=&quot;721A1B3C&quot;/&gt;&lt;wsp:rsid wsp:val=&quot;721B16E4&quot;/&gt;&lt;wsp:rsid wsp:val=&quot;721B1B84&quot;/&gt;&lt;wsp:rsid wsp:val=&quot;721B697B&quot;/&gt;&lt;wsp:rsid wsp:val=&quot;721E646B&quot;/&gt;&lt;wsp:rsid wsp:val=&quot;721F290F&quot;/&gt;&lt;wsp:rsid wsp:val=&quot;721F4534&quot;/&gt;&lt;wsp:rsid wsp:val=&quot;722021E3&quot;/&gt;&lt;wsp:rsid wsp:val=&quot;72203F91&quot;/&gt;&lt;wsp:rsid wsp:val=&quot;722241AD&quot;/&gt;&lt;wsp:rsid wsp:val=&quot;72233A82&quot;/&gt;&lt;wsp:rsid wsp:val=&quot;72235642&quot;/&gt;&lt;wsp:rsid wsp:val=&quot;72247F25&quot;/&gt;&lt;wsp:rsid wsp:val=&quot;72253C9E&quot;/&gt;&lt;wsp:rsid wsp:val=&quot;722577FA&quot;/&gt;&lt;wsp:rsid wsp:val=&quot;722640C6&quot;/&gt;&lt;wsp:rsid wsp:val=&quot;72266C97&quot;/&gt;&lt;wsp:rsid wsp:val=&quot;722717C4&quot;/&gt;&lt;wsp:rsid wsp:val=&quot;72273572&quot;/&gt;&lt;wsp:rsid wsp:val=&quot;72283D07&quot;/&gt;&lt;wsp:rsid wsp:val=&quot;722A12B4&quot;/&gt;&lt;wsp:rsid wsp:val=&quot;722B17DF&quot;/&gt;&lt;wsp:rsid wsp:val=&quot;722C13C8&quot;/&gt;&lt;wsp:rsid wsp:val=&quot;722C2B09&quot;/&gt;&lt;wsp:rsid wsp:val=&quot;722F0678&quot;/&gt;&lt;wsp:rsid wsp:val=&quot;722F2426&quot;/&gt;&lt;wsp:rsid wsp:val=&quot;72335BC4&quot;/&gt;&lt;wsp:rsid wsp:val=&quot;7234129A&quot;/&gt;&lt;wsp:rsid wsp:val=&quot;72343EE1&quot;/&gt;&lt;wsp:rsid wsp:val=&quot;72347A3D&quot;/&gt;&lt;wsp:rsid wsp:val=&quot;7238577F&quot;/&gt;&lt;wsp:rsid wsp:val=&quot;7238752D&quot;/&gt;&lt;wsp:rsid wsp:val=&quot;723932A5&quot;/&gt;&lt;wsp:rsid wsp:val=&quot;723A71F6&quot;/&gt;&lt;wsp:rsid wsp:val=&quot;723B0DCB&quot;/&gt;&lt;wsp:rsid wsp:val=&quot;723B443F&quot;/&gt;&lt;wsp:rsid wsp:val=&quot;723B526F&quot;/&gt;&lt;wsp:rsid wsp:val=&quot;723B701D&quot;/&gt;&lt;wsp:rsid wsp:val=&quot;72402885&quot;/&gt;&lt;wsp:rsid wsp:val=&quot;724072F8&quot;/&gt;&lt;wsp:rsid wsp:val=&quot;72410CCD&quot;/&gt;&lt;wsp:rsid wsp:val=&quot;72421D2B&quot;/&gt;&lt;wsp:rsid wsp:val=&quot;72435ED2&quot;/&gt;&lt;wsp:rsid wsp:val=&quot;724759C2&quot;/&gt;&lt;wsp:rsid wsp:val=&quot;72475FCF&quot;/&gt;&lt;wsp:rsid wsp:val=&quot;72477770&quot;/&gt;&lt;wsp:rsid wsp:val=&quot;72483102&quot;/&gt;&lt;wsp:rsid wsp:val=&quot;72497CB5&quot;/&gt;&lt;wsp:rsid wsp:val=&quot;724A1184&quot;/&gt;&lt;wsp:rsid wsp:val=&quot;724A7260&quot;/&gt;&lt;wsp:rsid wsp:val=&quot;724B263C&quot;/&gt;&lt;wsp:rsid wsp:val=&quot;724C2FD8&quot;/&gt;&lt;wsp:rsid wsp:val=&quot;724D022D&quot;/&gt;&lt;wsp:rsid wsp:val=&quot;724E4B0C&quot;/&gt;&lt;wsp:rsid wsp:val=&quot;72505075&quot;/&gt;&lt;wsp:rsid wsp:val=&quot;72514A93&quot;/&gt;&lt;wsp:rsid wsp:val=&quot;725325B9&quot;/&gt;&lt;wsp:rsid wsp:val=&quot;72534367&quot;/&gt;&lt;wsp:rsid wsp:val=&quot;72543F0C&quot;/&gt;&lt;wsp:rsid wsp:val=&quot;72547143&quot;/&gt;&lt;wsp:rsid wsp:val=&quot;72553024&quot;/&gt;&lt;wsp:rsid wsp:val=&quot;72556331&quot;/&gt;&lt;wsp:rsid wsp:val=&quot;72563E57&quot;/&gt;&lt;wsp:rsid wsp:val=&quot;72565C05&quot;/&gt;&lt;wsp:rsid wsp:val=&quot;7258197D&quot;/&gt;&lt;wsp:rsid wsp:val=&quot;725956F5&quot;/&gt;&lt;wsp:rsid wsp:val=&quot;725A5559&quot;/&gt;&lt;wsp:rsid wsp:val=&quot;725B4D57&quot;/&gt;&lt;wsp:rsid wsp:val=&quot;725D3437&quot;/&gt;&lt;wsp:rsid wsp:val=&quot;725E4ABA&quot;/&gt;&lt;wsp:rsid wsp:val=&quot;72600832&quot;/&gt;&lt;wsp:rsid wsp:val=&quot;72615AD0&quot;/&gt;&lt;wsp:rsid wsp:val=&quot;726227FC&quot;/&gt;&lt;wsp:rsid wsp:val=&quot;72640310&quot;/&gt;&lt;wsp:rsid wsp:val=&quot;72640322&quot;/&gt;&lt;wsp:rsid wsp:val=&quot;72646574&quot;/&gt;&lt;wsp:rsid wsp:val=&quot;72651AFE&quot;/&gt;&lt;wsp:rsid wsp:val=&quot;726522EC&quot;/&gt;&lt;wsp:rsid wsp:val=&quot;72671BC0&quot;/&gt;&lt;wsp:rsid wsp:val=&quot;726A16B0&quot;/&gt;&lt;wsp:rsid wsp:val=&quot;726A7902&quot;/&gt;&lt;wsp:rsid wsp:val=&quot;726B5B54&quot;/&gt;&lt;wsp:rsid wsp:val=&quot;726C50C5&quot;/&gt;&lt;wsp:rsid wsp:val=&quot;726C5A82&quot;/&gt;&lt;wsp:rsid wsp:val=&quot;726E11A1&quot;/&gt;&lt;wsp:rsid wsp:val=&quot;726E28BB&quot;/&gt;&lt;wsp:rsid wsp:val=&quot;726E2F4F&quot;/&gt;&lt;wsp:rsid wsp:val=&quot;726F4F19&quot;/&gt;&lt;wsp:rsid wsp:val=&quot;72702893&quot;/&gt;&lt;wsp:rsid wsp:val=&quot;7270316B&quot;/&gt;&lt;wsp:rsid wsp:val=&quot;7271034C&quot;/&gt;&lt;wsp:rsid wsp:val=&quot;72730565&quot;/&gt;&lt;wsp:rsid wsp:val=&quot;727442DD&quot;/&gt;&lt;wsp:rsid wsp:val=&quot;727646A3&quot;/&gt;&lt;wsp:rsid wsp:val=&quot;72783DCD&quot;/&gt;&lt;wsp:rsid wsp:val=&quot;72785B7B&quot;/&gt;&lt;wsp:rsid wsp:val=&quot;727A7B45&quot;/&gt;&lt;wsp:rsid wsp:val=&quot;727B1B10&quot;/&gt;&lt;wsp:rsid wsp:val=&quot;727C559D&quot;/&gt;&lt;wsp:rsid wsp:val=&quot;727F33AE&quot;/&gt;&lt;wsp:rsid wsp:val=&quot;72800ED4&quot;/&gt;&lt;wsp:rsid wsp:val=&quot;72802C82&quot;/&gt;&lt;wsp:rsid wsp:val=&quot;728323FB&quot;/&gt;&lt;wsp:rsid wsp:val=&quot;72834520&quot;/&gt;&lt;wsp:rsid wsp:val=&quot;72842772&quot;/&gt;&lt;wsp:rsid wsp:val=&quot;72850298&quot;/&gt;&lt;wsp:rsid wsp:val=&quot;7285473C&quot;/&gt;&lt;wsp:rsid wsp:val=&quot;728704B4&quot;/&gt;&lt;wsp:rsid wsp:val=&quot;72895FDA&quot;/&gt;&lt;wsp:rsid wsp:val=&quot;728A58AF&quot;/&gt;&lt;wsp:rsid wsp:val=&quot;728B1D53&quot;/&gt;&lt;wsp:rsid wsp:val=&quot;728B49B4&quot;/&gt;&lt;wsp:rsid wsp:val=&quot;728E1843&quot;/&gt;&lt;wsp:rsid wsp:val=&quot;728E35F1&quot;/&gt;&lt;wsp:rsid wsp:val=&quot;728E539F&quot;/&gt;&lt;wsp:rsid wsp:val=&quot;728F21C0&quot;/&gt;&lt;wsp:rsid wsp:val=&quot;72903084&quot;/&gt;&lt;wsp:rsid wsp:val=&quot;72907369&quot;/&gt;&lt;wsp:rsid wsp:val=&quot;72916C3D&quot;/&gt;&lt;wsp:rsid wsp:val=&quot;72930C07&quot;/&gt;&lt;wsp:rsid wsp:val=&quot;72961AC7&quot;/&gt;&lt;wsp:rsid wsp:val=&quot;72964253&quot;/&gt;&lt;wsp:rsid wsp:val=&quot;72987EF6&quot;/&gt;&lt;wsp:rsid wsp:val=&quot;72990C1E&quot;/&gt;&lt;wsp:rsid wsp:val=&quot;729A3D44&quot;/&gt;&lt;wsp:rsid wsp:val=&quot;729B5D0E&quot;/&gt;&lt;wsp:rsid wsp:val=&quot;729D1A86&quot;/&gt;&lt;wsp:rsid wsp:val=&quot;729D3834&quot;/&gt;&lt;wsp:rsid wsp:val=&quot;729F135A&quot;/&gt;&lt;wsp:rsid wsp:val=&quot;72A02B79&quot;/&gt;&lt;wsp:rsid wsp:val=&quot;72A050D2&quot;/&gt;&lt;wsp:rsid wsp:val=&quot;72A1574A&quot;/&gt;&lt;wsp:rsid wsp:val=&quot;72A5093A&quot;/&gt;&lt;wsp:rsid wsp:val=&quot;72A746B3&quot;/&gt;&lt;wsp:rsid wsp:val=&quot;72AA7CFF&quot;/&gt;&lt;wsp:rsid wsp:val=&quot;72AC285D&quot;/&gt;&lt;wsp:rsid wsp:val=&quot;72AC7F1B&quot;/&gt;&lt;wsp:rsid wsp:val=&quot;72AD517D&quot;/&gt;&lt;wsp:rsid wsp:val=&quot;72AE77EF&quot;/&gt;&lt;wsp:rsid wsp:val=&quot;72AF2E9B&quot;/&gt;&lt;wsp:rsid wsp:val=&quot;72AF5315&quot;/&gt;&lt;wsp:rsid wsp:val=&quot;72B03567&quot;/&gt;&lt;wsp:rsid wsp:val=&quot;72B1108D&quot;/&gt;&lt;wsp:rsid wsp:val=&quot;72B23B61&quot;/&gt;&lt;wsp:rsid wsp:val=&quot;72B312A9&quot;/&gt;&lt;wsp:rsid wsp:val=&quot;72B33057&quot;/&gt;&lt;wsp:rsid wsp:val=&quot;72B5390F&quot;/&gt;&lt;wsp:rsid wsp:val=&quot;72B62B48&quot;/&gt;&lt;wsp:rsid wsp:val=&quot;72B8241C&quot;/&gt;&lt;wsp:rsid wsp:val=&quot;72B87500&quot;/&gt;&lt;wsp:rsid wsp:val=&quot;72BB3CBA&quot;/&gt;&lt;wsp:rsid wsp:val=&quot;72BF0CD3&quot;/&gt;&lt;wsp:rsid wsp:val=&quot;72BF7592&quot;/&gt;&lt;wsp:rsid wsp:val=&quot;72BF7C4E&quot;/&gt;&lt;wsp:rsid wsp:val=&quot;72C06C31&quot;/&gt;&lt;wsp:rsid wsp:val=&quot;72C07522&quot;/&gt;&lt;wsp:rsid wsp:val=&quot;72C25801&quot;/&gt;&lt;wsp:rsid wsp:val=&quot;72C40DC1&quot;/&gt;&lt;wsp:rsid wsp:val=&quot;72C473A3&quot;/&gt;&lt;wsp:rsid wsp:val=&quot;72C62D8B&quot;/&gt;&lt;wsp:rsid wsp:val=&quot;72CC1ABA&quot;/&gt;&lt;wsp:rsid wsp:val=&quot;72CE4AD0&quot;/&gt;&lt;wsp:rsid wsp:val=&quot;72CE60E3&quot;/&gt;&lt;wsp:rsid wsp:val=&quot;72CE7E91&quot;/&gt;&lt;wsp:rsid wsp:val=&quot;72D03C09&quot;/&gt;&lt;wsp:rsid wsp:val=&quot;72D1172F&quot;/&gt;&lt;wsp:rsid wsp:val=&quot;72D11D1B&quot;/&gt;&lt;wsp:rsid wsp:val=&quot;72D134DE&quot;/&gt;&lt;wsp:rsid wsp:val=&quot;72D17BC7&quot;/&gt;&lt;wsp:rsid wsp:val=&quot;72D233B6&quot;/&gt;&lt;wsp:rsid wsp:val=&quot;72D27981&quot;/&gt;&lt;wsp:rsid wsp:val=&quot;72D354A8&quot;/&gt;&lt;wsp:rsid wsp:val=&quot;72D477F2&quot;/&gt;&lt;wsp:rsid wsp:val=&quot;72D51220&quot;/&gt;&lt;wsp:rsid wsp:val=&quot;72D57472&quot;/&gt;&lt;wsp:rsid wsp:val=&quot;72D60AF4&quot;/&gt;&lt;wsp:rsid wsp:val=&quot;72D62859&quot;/&gt;&lt;wsp:rsid wsp:val=&quot;72D74F98&quot;/&gt;&lt;wsp:rsid wsp:val=&quot;72D7552E&quot;/&gt;&lt;wsp:rsid wsp:val=&quot;72D80D10&quot;/&gt;&lt;wsp:rsid wsp:val=&quot;72D8187A&quot;/&gt;&lt;wsp:rsid wsp:val=&quot;72D969D4&quot;/&gt;&lt;wsp:rsid wsp:val=&quot;72DA05E4&quot;/&gt;&lt;wsp:rsid wsp:val=&quot;72DA4A88&quot;/&gt;&lt;wsp:rsid wsp:val=&quot;72DA6836&quot;/&gt;&lt;wsp:rsid wsp:val=&quot;72DB6D6B&quot;/&gt;&lt;wsp:rsid wsp:val=&quot;72DC25AE&quot;/&gt;&lt;wsp:rsid wsp:val=&quot;72DD6326&quot;/&gt;&lt;wsp:rsid wsp:val=&quot;72DF3E4C&quot;/&gt;&lt;wsp:rsid wsp:val=&quot;72DF5BFA&quot;/&gt;&lt;wsp:rsid wsp:val=&quot;72E2393D&quot;/&gt;&lt;wsp:rsid wsp:val=&quot;72E4155E&quot;/&gt;&lt;wsp:rsid wsp:val=&quot;72E571EB&quot;/&gt;&lt;wsp:rsid wsp:val=&quot;72E651DB&quot;/&gt;&lt;wsp:rsid wsp:val=&quot;72E66F89&quot;/&gt;&lt;wsp:rsid wsp:val=&quot;72E94CCB&quot;/&gt;&lt;wsp:rsid wsp:val=&quot;72EA4F96&quot;/&gt;&lt;wsp:rsid wsp:val=&quot;72EB0A43&quot;/&gt;&lt;wsp:rsid wsp:val=&quot;72EB459F&quot;/&gt;&lt;wsp:rsid wsp:val=&quot;72EC0317&quot;/&gt;&lt;wsp:rsid wsp:val=&quot;72EC2C5F&quot;/&gt;&lt;wsp:rsid wsp:val=&quot;72ED47BB&quot;/&gt;&lt;wsp:rsid wsp:val=&quot;72EE5E3E&quot;/&gt;&lt;wsp:rsid wsp:val=&quot;72F07B01&quot;/&gt;&lt;wsp:rsid wsp:val=&quot;72F13B80&quot;/&gt;&lt;wsp:rsid wsp:val=&quot;72F166AD&quot;/&gt;&lt;wsp:rsid wsp:val=&quot;72F47912&quot;/&gt;&lt;wsp:rsid wsp:val=&quot;72F5541E&quot;/&gt;&lt;wsp:rsid wsp:val=&quot;72F62F44&quot;/&gt;&lt;wsp:rsid wsp:val=&quot;72F63973&quot;/&gt;&lt;wsp:rsid wsp:val=&quot;72F71196&quot;/&gt;&lt;wsp:rsid wsp:val=&quot;72F773E8&quot;/&gt;&lt;wsp:rsid wsp:val=&quot;72FB055A&quot;/&gt;&lt;wsp:rsid wsp:val=&quot;72FD0776&quot;/&gt;&lt;wsp:rsid wsp:val=&quot;72FD2525&quot;/&gt;&lt;wsp:rsid wsp:val=&quot;73010A86&quot;/&gt;&lt;wsp:rsid wsp:val=&quot;73012015&quot;/&gt;&lt;wsp:rsid wsp:val=&quot;73025D8D&quot;/&gt;&lt;wsp:rsid wsp:val=&quot;730333A6&quot;/&gt;&lt;wsp:rsid wsp:val=&quot;73042CE3&quot;/&gt;&lt;wsp:rsid wsp:val=&quot;73047407&quot;/&gt;&lt;wsp:rsid wsp:val=&quot;730613D9&quot;/&gt;&lt;wsp:rsid wsp:val=&quot;7306762B&quot;/&gt;&lt;wsp:rsid wsp:val=&quot;73067BC6&quot;/&gt;&lt;wsp:rsid wsp:val=&quot;73075151&quot;/&gt;&lt;wsp:rsid wsp:val=&quot;73076EFF&quot;/&gt;&lt;wsp:rsid wsp:val=&quot;730D09BA&quot;/&gt;&lt;wsp:rsid wsp:val=&quot;730D6C0C&quot;/&gt;&lt;wsp:rsid wsp:val=&quot;730E4732&quot;/&gt;&lt;wsp:rsid wsp:val=&quot;731004AA&quot;/&gt;&lt;wsp:rsid wsp:val=&quot;73102258&quot;/&gt;&lt;wsp:rsid wsp:val=&quot;73122968&quot;/&gt;&lt;wsp:rsid wsp:val=&quot;73125FD0&quot;/&gt;&lt;wsp:rsid wsp:val=&quot;73132D7F&quot;/&gt;&lt;wsp:rsid wsp:val=&quot;731358A4&quot;/&gt;&lt;wsp:rsid wsp:val=&quot;73137F9A&quot;/&gt;&lt;wsp:rsid wsp:val=&quot;73177274&quot;/&gt;&lt;wsp:rsid wsp:val=&quot;73186D0D&quot;/&gt;&lt;wsp:rsid wsp:val=&quot;7318735E&quot;/&gt;&lt;wsp:rsid wsp:val=&quot;731A4E85&quot;/&gt;&lt;wsp:rsid wsp:val=&quot;731C0BFD&quot;/&gt;&lt;wsp:rsid wsp:val=&quot;731C29AB&quot;/&gt;&lt;wsp:rsid wsp:val=&quot;731C6E4F&quot;/&gt;&lt;wsp:rsid wsp:val=&quot;731D4975&quot;/&gt;&lt;wsp:rsid wsp:val=&quot;731E21D2&quot;/&gt;&lt;wsp:rsid wsp:val=&quot;731F249B&quot;/&gt;&lt;wsp:rsid wsp:val=&quot;731F5D5E&quot;/&gt;&lt;wsp:rsid wsp:val=&quot;73216213&quot;/&gt;&lt;wsp:rsid wsp:val=&quot;7321692F&quot;/&gt;&lt;wsp:rsid wsp:val=&quot;73237CEF&quot;/&gt;&lt;wsp:rsid wsp:val=&quot;73247AB1&quot;/&gt;&lt;wsp:rsid wsp:val=&quot;732857F3&quot;/&gt;&lt;wsp:rsid wsp:val=&quot;7329156C&quot;/&gt;&lt;wsp:rsid wsp:val=&quot;732A432B&quot;/&gt;&lt;wsp:rsid wsp:val=&quot;732C6966&quot;/&gt;&lt;wsp:rsid wsp:val=&quot;732D6613&quot;/&gt;&lt;wsp:rsid wsp:val=&quot;732E0930&quot;/&gt;&lt;wsp:rsid wsp:val=&quot;732F1E4E&quot;/&gt;&lt;wsp:rsid wsp:val=&quot;733028FA&quot;/&gt;&lt;wsp:rsid wsp:val=&quot;733046A8&quot;/&gt;&lt;wsp:rsid wsp:val=&quot;73320420&quot;/&gt;&lt;wsp:rsid wsp:val=&quot;733A72D5&quot;/&gt;&lt;wsp:rsid wsp:val=&quot;733C304D&quot;/&gt;&lt;wsp:rsid wsp:val=&quot;733D141E&quot;/&gt;&lt;wsp:rsid wsp:val=&quot;733F0D8F&quot;/&gt;&lt;wsp:rsid wsp:val=&quot;733F35F9&quot;/&gt;&lt;wsp:rsid wsp:val=&quot;733F6699&quot;/&gt;&lt;wsp:rsid wsp:val=&quot;73433FF4&quot;/&gt;&lt;wsp:rsid wsp:val=&quot;734343DB&quot;/&gt;&lt;wsp:rsid wsp:val=&quot;73441F01&quot;/&gt;&lt;wsp:rsid wsp:val=&quot;734463A5&quot;/&gt;&lt;wsp:rsid wsp:val=&quot;73463ECB&quot;/&gt;&lt;wsp:rsid wsp:val=&quot;73465C7A&quot;/&gt;&lt;wsp:rsid wsp:val=&quot;734671BA&quot;/&gt;&lt;wsp:rsid wsp:val=&quot;73467A28&quot;/&gt;&lt;wsp:rsid wsp:val=&quot;73497518&quot;/&gt;&lt;wsp:rsid wsp:val=&quot;734A16A2&quot;/&gt;&lt;wsp:rsid wsp:val=&quot;734B7734&quot;/&gt;&lt;wsp:rsid wsp:val=&quot;734C0DB6&quot;/&gt;&lt;wsp:rsid wsp:val=&quot;734D525A&quot;/&gt;&lt;wsp:rsid wsp:val=&quot;734E2D80&quot;/&gt;&lt;wsp:rsid wsp:val=&quot;7352461E&quot;/&gt;&lt;wsp:rsid wsp:val=&quot;735314CD&quot;/&gt;&lt;wsp:rsid wsp:val=&quot;73532145&quot;/&gt;&lt;wsp:rsid wsp:val=&quot;73541EE2&quot;/&gt;&lt;wsp:rsid wsp:val=&quot;73555EBD&quot;/&gt;&lt;wsp:rsid wsp:val=&quot;73572B6B&quot;/&gt;&lt;wsp:rsid wsp:val=&quot;73581EBE&quot;/&gt;&lt;wsp:rsid wsp:val=&quot;735859AD&quot;/&gt;&lt;wsp:rsid wsp:val=&quot;7358775B&quot;/&gt;&lt;wsp:rsid wsp:val=&quot;735A1725&quot;/&gt;&lt;wsp:rsid wsp:val=&quot;735B7814&quot;/&gt;&lt;wsp:rsid wsp:val=&quot;735C549D&quot;/&gt;&lt;wsp:rsid wsp:val=&quot;735C7A0B&quot;/&gt;&lt;wsp:rsid wsp:val=&quot;735D1F6A&quot;/&gt;&lt;wsp:rsid wsp:val=&quot;735E5441&quot;/&gt;&lt;wsp:rsid wsp:val=&quot;735E7467&quot;/&gt;&lt;wsp:rsid wsp:val=&quot;73607D61&quot;/&gt;&lt;wsp:rsid wsp:val=&quot;73610D05&quot;/&gt;&lt;wsp:rsid wsp:val=&quot;73612AB3&quot;/&gt;&lt;wsp:rsid wsp:val=&quot;73613DC2&quot;/&gt;&lt;wsp:rsid wsp:val=&quot;73614861&quot;/&gt;&lt;wsp:rsid wsp:val=&quot;73634A7D&quot;/&gt;&lt;wsp:rsid wsp:val=&quot;7363682B&quot;/&gt;&lt;wsp:rsid wsp:val=&quot;73667E4A&quot;/&gt;&lt;wsp:rsid wsp:val=&quot;73680CD0&quot;/&gt;&lt;wsp:rsid wsp:val=&quot;736A2F70&quot;/&gt;&lt;wsp:rsid wsp:val=&quot;736B08BB&quot;/&gt;&lt;wsp:rsid wsp:val=&quot;736B56E0&quot;/&gt;&lt;wsp:rsid wsp:val=&quot;736C78E6&quot;/&gt;&lt;wsp:rsid wsp:val=&quot;736D1458&quot;/&gt;&lt;wsp:rsid wsp:val=&quot;736D3206&quot;/&gt;&lt;wsp:rsid wsp:val=&quot;7370719A&quot;/&gt;&lt;wsp:rsid wsp:val=&quot;73722F12&quot;/&gt;&lt;wsp:rsid wsp:val=&quot;73724CC1&quot;/&gt;&lt;wsp:rsid wsp:val=&quot;73726A6F&quot;/&gt;&lt;wsp:rsid wsp:val=&quot;73727918&quot;/&gt;&lt;wsp:rsid wsp:val=&quot;73734595&quot;/&gt;&lt;wsp:rsid wsp:val=&quot;737427E7&quot;/&gt;&lt;wsp:rsid wsp:val=&quot;7375030D&quot;/&gt;&lt;wsp:rsid wsp:val=&quot;7375655F&quot;/&gt;&lt;wsp:rsid wsp:val=&quot;73761BD1&quot;/&gt;&lt;wsp:rsid wsp:val=&quot;73774085&quot;/&gt;&lt;wsp:rsid wsp:val=&quot;73774D90&quot;/&gt;&lt;wsp:rsid wsp:val=&quot;73792049&quot;/&gt;&lt;wsp:rsid wsp:val=&quot;737A2133&quot;/&gt;&lt;wsp:rsid wsp:val=&quot;737C20A7&quot;/&gt;&lt;wsp:rsid wsp:val=&quot;737E5413&quot;/&gt;&lt;wsp:rsid wsp:val=&quot;737F2F3A&quot;/&gt;&lt;wsp:rsid wsp:val=&quot;73813156&quot;/&gt;&lt;wsp:rsid wsp:val=&quot;738270AF&quot;/&gt;&lt;wsp:rsid wsp:val=&quot;73840550&quot;/&gt;&lt;wsp:rsid wsp:val=&quot;7384741D&quot;/&gt;&lt;wsp:rsid wsp:val=&quot;738546A7&quot;/&gt;&lt;wsp:rsid wsp:val=&quot;7386076C&quot;/&gt;&lt;wsp:rsid wsp:val=&quot;73892FCE&quot;/&gt;&lt;wsp:rsid wsp:val=&quot;738A025C&quot;/&gt;&lt;wsp:rsid wsp:val=&quot;738A445E&quot;/&gt;&lt;wsp:rsid wsp:val=&quot;738B5D82&quot;/&gt;&lt;wsp:rsid wsp:val=&quot;738F5872&quot;/&gt;&lt;wsp:rsid wsp:val=&quot;738F7621&quot;/&gt;&lt;wsp:rsid wsp:val=&quot;73922C6D&quot;/&gt;&lt;wsp:rsid wsp:val=&quot;73927111&quot;/&gt;&lt;wsp:rsid wsp:val=&quot;7395275D&quot;/&gt;&lt;wsp:rsid wsp:val=&quot;73973553&quot;/&gt;&lt;wsp:rsid wsp:val=&quot;7399049F&quot;/&gt;&lt;wsp:rsid wsp:val=&quot;7399224D&quot;/&gt;&lt;wsp:rsid wsp:val=&quot;739E7864&quot;/&gt;&lt;wsp:rsid wsp:val=&quot;73A0182E&quot;/&gt;&lt;wsp:rsid wsp:val=&quot;73A11102&quot;/&gt;&lt;wsp:rsid wsp:val=&quot;73A155A6&quot;/&gt;&lt;wsp:rsid wsp:val=&quot;73A3131E&quot;/&gt;&lt;wsp:rsid wsp:val=&quot;73A34E7A&quot;/&gt;&lt;wsp:rsid wsp:val=&quot;73A352B6&quot;/&gt;&lt;wsp:rsid wsp:val=&quot;73A429A0&quot;/&gt;&lt;wsp:rsid wsp:val=&quot;73A527A7&quot;/&gt;&lt;wsp:rsid wsp:val=&quot;73A6496A&quot;/&gt;&lt;wsp:rsid wsp:val=&quot;73A715D1&quot;/&gt;&lt;wsp:rsid wsp:val=&quot;73A77DFA&quot;/&gt;&lt;wsp:rsid wsp:val=&quot;73A8345D&quot;/&gt;&lt;wsp:rsid wsp:val=&quot;73A86557&quot;/&gt;&lt;wsp:rsid wsp:val=&quot;73A97805&quot;/&gt;&lt;wsp:rsid wsp:val=&quot;73AA26AC&quot;/&gt;&lt;wsp:rsid wsp:val=&quot;73AB01D2&quot;/&gt;&lt;wsp:rsid wsp:val=&quot;73AB0341&quot;/&gt;&lt;wsp:rsid wsp:val=&quot;73AB1F81&quot;/&gt;&lt;wsp:rsid wsp:val=&quot;73AB3D2F&quot;/&gt;&lt;wsp:rsid wsp:val=&quot;73AF2672&quot;/&gt;&lt;wsp:rsid wsp:val=&quot;73AF7CC3&quot;/&gt;&lt;wsp:rsid wsp:val=&quot;73B00F90&quot;/&gt;&lt;wsp:rsid wsp:val=&quot;73B13A3B&quot;/&gt;&lt;wsp:rsid wsp:val=&quot;73B21561&quot;/&gt;&lt;wsp:rsid wsp:val=&quot;73B221D9&quot;/&gt;&lt;wsp:rsid wsp:val=&quot;73B2330F&quot;/&gt;&lt;wsp:rsid wsp:val=&quot;73B269A7&quot;/&gt;&lt;wsp:rsid wsp:val=&quot;73B452D9&quot;/&gt;&lt;wsp:rsid wsp:val=&quot;73B47087&quot;/&gt;&lt;wsp:rsid wsp:val=&quot;73B470BB&quot;/&gt;&lt;wsp:rsid wsp:val=&quot;73B52DFF&quot;/&gt;&lt;wsp:rsid wsp:val=&quot;73B6400B&quot;/&gt;&lt;wsp:rsid wsp:val=&quot;73B66B46&quot;/&gt;&lt;wsp:rsid wsp:val=&quot;73B70925&quot;/&gt;&lt;wsp:rsid wsp:val=&quot;73B928EF&quot;/&gt;&lt;wsp:rsid wsp:val=&quot;73BC418E&quot;/&gt;&lt;wsp:rsid wsp:val=&quot;73BE077C&quot;/&gt;&lt;wsp:rsid wsp:val=&quot;73C03C7E&quot;/&gt;&lt;wsp:rsid wsp:val=&quot;73C10D0D&quot;/&gt;&lt;wsp:rsid wsp:val=&quot;73C3376E&quot;/&gt;&lt;wsp:rsid wsp:val=&quot;73C51AD5&quot;/&gt;&lt;wsp:rsid wsp:val=&quot;73C60B68&quot;/&gt;&lt;wsp:rsid wsp:val=&quot;73C66DBA&quot;/&gt;&lt;wsp:rsid wsp:val=&quot;73C87AE8&quot;/&gt;&lt;wsp:rsid wsp:val=&quot;73CD48A4&quot;/&gt;&lt;wsp:rsid wsp:val=&quot;73CF42D2&quot;/&gt;&lt;wsp:rsid wsp:val=&quot;73CF53E7&quot;/&gt;&lt;wsp:rsid wsp:val=&quot;73CF5C6F&quot;/&gt;&lt;wsp:rsid wsp:val=&quot;73D03795&quot;/&gt;&lt;wsp:rsid wsp:val=&quot;73D17C39&quot;/&gt;&lt;wsp:rsid wsp:val=&quot;73D2575F&quot;/&gt;&lt;wsp:rsid wsp:val=&quot;73D2750D&quot;/&gt;&lt;wsp:rsid wsp:val=&quot;73D33B63&quot;/&gt;&lt;wsp:rsid wsp:val=&quot;73D43285&quot;/&gt;&lt;wsp:rsid wsp:val=&quot;73D634A1&quot;/&gt;&lt;wsp:rsid wsp:val=&quot;73D6524F&quot;/&gt;&lt;wsp:rsid wsp:val=&quot;73D70FC8&quot;/&gt;&lt;wsp:rsid wsp:val=&quot;73D74B24&quot;/&gt;&lt;wsp:rsid wsp:val=&quot;73D9089C&quot;/&gt;&lt;wsp:rsid wsp:val=&quot;73D90FB9&quot;/&gt;&lt;wsp:rsid wsp:val=&quot;73D96AEE&quot;/&gt;&lt;wsp:rsid wsp:val=&quot;73DC038C&quot;/&gt;&lt;wsp:rsid wsp:val=&quot;73DC3D05&quot;/&gt;&lt;wsp:rsid wsp:val=&quot;73DD2807&quot;/&gt;&lt;wsp:rsid wsp:val=&quot;73DE2356&quot;/&gt;&lt;wsp:rsid wsp:val=&quot;73DE4104&quot;/&gt;&lt;wsp:rsid wsp:val=&quot;73E060CE&quot;/&gt;&lt;wsp:rsid wsp:val=&quot;73E13BF4&quot;/&gt;&lt;wsp:rsid wsp:val=&quot;73E159A2&quot;/&gt;&lt;wsp:rsid wsp:val=&quot;73E3171A&quot;/&gt;&lt;wsp:rsid wsp:val=&quot;73E7745D&quot;/&gt;&lt;wsp:rsid wsp:val=&quot;73E86D31&quot;/&gt;&lt;wsp:rsid wsp:val=&quot;73EA125D&quot;/&gt;&lt;wsp:rsid wsp:val=&quot;73EC4A73&quot;/&gt;&lt;wsp:rsid wsp:val=&quot;73EF4563&quot;/&gt;&lt;wsp:rsid wsp:val=&quot;73EF6311&quot;/&gt;&lt;wsp:rsid wsp:val=&quot;73F12089&quot;/&gt;&lt;wsp:rsid wsp:val=&quot;73F14D7C&quot;/&gt;&lt;wsp:rsid wsp:val=&quot;73F25E01&quot;/&gt;&lt;wsp:rsid wsp:val=&quot;73F41F8C&quot;/&gt;&lt;wsp:rsid wsp:val=&quot;73F456D6&quot;/&gt;&lt;wsp:rsid wsp:val=&quot;73F62D29&quot;/&gt;&lt;wsp:rsid wsp:val=&quot;73F73418&quot;/&gt;&lt;wsp:rsid wsp:val=&quot;73F751C6&quot;/&gt;&lt;wsp:rsid wsp:val=&quot;73F76F74&quot;/&gt;&lt;wsp:rsid wsp:val=&quot;73FB2F08&quot;/&gt;&lt;wsp:rsid wsp:val=&quot;73FB4CB6&quot;/&gt;&lt;wsp:rsid wsp:val=&quot;73FB6DEA&quot;/&gt;&lt;wsp:rsid wsp:val=&quot;73FC458A&quot;/&gt;&lt;wsp:rsid wsp:val=&quot;7400051E&quot;/&gt;&lt;wsp:rsid wsp:val=&quot;74017DF2&quot;/&gt;&lt;wsp:rsid wsp:val=&quot;7403558B&quot;/&gt;&lt;wsp:rsid wsp:val=&quot;74035919&quot;/&gt;&lt;wsp:rsid wsp:val=&quot;74051691&quot;/&gt;&lt;wsp:rsid wsp:val=&quot;74057258&quot;/&gt;&lt;wsp:rsid wsp:val=&quot;74065409&quot;/&gt;&lt;wsp:rsid wsp:val=&quot;74081892&quot;/&gt;&lt;wsp:rsid wsp:val=&quot;74085625&quot;/&gt;&lt;wsp:rsid wsp:val=&quot;74086FAA&quot;/&gt;&lt;wsp:rsid wsp:val=&quot;740A314B&quot;/&gt;&lt;wsp:rsid wsp:val=&quot;740B2406&quot;/&gt;&lt;wsp:rsid wsp:val=&quot;740C0C71&quot;/&gt;&lt;wsp:rsid wsp:val=&quot;740C6EC3&quot;/&gt;&lt;wsp:rsid wsp:val=&quot;740D6797&quot;/&gt;&lt;wsp:rsid wsp:val=&quot;740F250F&quot;/&gt;&lt;wsp:rsid wsp:val=&quot;740F42BD&quot;/&gt;&lt;wsp:rsid wsp:val=&quot;74100036&quot;/&gt;&lt;wsp:rsid wsp:val=&quot;74116287&quot;/&gt;&lt;wsp:rsid wsp:val=&quot;74121D96&quot;/&gt;&lt;wsp:rsid wsp:val=&quot;74141049&quot;/&gt;&lt;wsp:rsid wsp:val=&quot;74141576&quot;/&gt;&lt;wsp:rsid wsp:val=&quot;74161AF0&quot;/&gt;&lt;wsp:rsid wsp:val=&quot;741713C4&quot;/&gt;&lt;wsp:rsid wsp:val=&quot;74192817&quot;/&gt;&lt;wsp:rsid wsp:val=&quot;7419338E&quot;/&gt;&lt;wsp:rsid wsp:val=&quot;741D2E7E&quot;/&gt;&lt;wsp:rsid wsp:val=&quot;741E09A4&quot;/&gt;&lt;wsp:rsid wsp:val=&quot;741E793C&quot;/&gt;&lt;wsp:rsid wsp:val=&quot;741F125A&quot;/&gt;&lt;wsp:rsid wsp:val=&quot;7420296E&quot;/&gt;&lt;wsp:rsid wsp:val=&quot;742064CB&quot;/&gt;&lt;wsp:rsid wsp:val=&quot;74213FF1&quot;/&gt;&lt;wsp:rsid wsp:val=&quot;74220495&quot;/&gt;&lt;wsp:rsid wsp:val=&quot;742324DB&quot;/&gt;&lt;wsp:rsid wsp:val=&quot;74250490&quot;/&gt;&lt;wsp:rsid wsp:val=&quot;742627BF&quot;/&gt;&lt;wsp:rsid wsp:val=&quot;7426541A&quot;/&gt;&lt;wsp:rsid wsp:val=&quot;74275AAB&quot;/&gt;&lt;wsp:rsid wsp:val=&quot;7429238A&quot;/&gt;&lt;wsp:rsid wsp:val=&quot;742C1313&quot;/&gt;&lt;wsp:rsid wsp:val=&quot;742D6E39&quot;/&gt;&lt;wsp:rsid wsp:val=&quot;7431692A&quot;/&gt;&lt;wsp:rsid wsp:val=&quot;74363F40&quot;/&gt;&lt;wsp:rsid wsp:val=&quot;7438212D&quot;/&gt;&lt;wsp:rsid wsp:val=&quot;74390206&quot;/&gt;&lt;wsp:rsid wsp:val=&quot;74393A30&quot;/&gt;&lt;wsp:rsid wsp:val=&quot;743B50B2&quot;/&gt;&lt;wsp:rsid wsp:val=&quot;743D707D&quot;/&gt;&lt;wsp:rsid wsp:val=&quot;74401365&quot;/&gt;&lt;wsp:rsid wsp:val=&quot;74404DBF&quot;/&gt;&lt;wsp:rsid wsp:val=&quot;74420232&quot;/&gt;&lt;wsp:rsid wsp:val=&quot;744321B9&quot;/&gt;&lt;wsp:rsid wsp:val=&quot;7446238B&quot;/&gt;&lt;wsp:rsid wsp:val=&quot;74463A57&quot;/&gt;&lt;wsp:rsid wsp:val=&quot;74465BE9&quot;/&gt;&lt;wsp:rsid wsp:val=&quot;7447614D&quot;/&gt;&lt;wsp:rsid wsp:val=&quot;74477EFB&quot;/&gt;&lt;wsp:rsid wsp:val=&quot;74493C73&quot;/&gt;&lt;wsp:rsid wsp:val=&quot;744A2D86&quot;/&gt;&lt;wsp:rsid wsp:val=&quot;744A3547&quot;/&gt;&lt;wsp:rsid wsp:val=&quot;744C3764&quot;/&gt;&lt;wsp:rsid wsp:val=&quot;744E128A&quot;/&gt;&lt;wsp:rsid wsp:val=&quot;744F6DB0&quot;/&gt;&lt;wsp:rsid wsp:val=&quot;745054B7&quot;/&gt;&lt;wsp:rsid wsp:val=&quot;74505C61&quot;/&gt;&lt;wsp:rsid wsp:val=&quot;74510D7A&quot;/&gt;&lt;wsp:rsid wsp:val=&quot;745148D6&quot;/&gt;&lt;wsp:rsid wsp:val=&quot;7452571B&quot;/&gt;&lt;wsp:rsid wsp:val=&quot;74534AF2&quot;/&gt;&lt;wsp:rsid wsp:val=&quot;74546174&quot;/&gt;&lt;wsp:rsid wsp:val=&quot;74555AF6&quot;/&gt;&lt;wsp:rsid wsp:val=&quot;7456013E&quot;/&gt;&lt;wsp:rsid wsp:val=&quot;74575C64&quot;/&gt;&lt;wsp:rsid wsp:val=&quot;745A5E80&quot;/&gt;&lt;wsp:rsid wsp:val=&quot;745A783C&quot;/&gt;&lt;wsp:rsid wsp:val=&quot;745B519B&quot;/&gt;&lt;wsp:rsid wsp:val=&quot;745D327B&quot;/&gt;&lt;wsp:rsid wsp:val=&quot;745D70B1&quot;/&gt;&lt;wsp:rsid wsp:val=&quot;745E268C&quot;/&gt;&lt;wsp:rsid wsp:val=&quot;745E3944&quot;/&gt;&lt;wsp:rsid wsp:val=&quot;74600FBD&quot;/&gt;&lt;wsp:rsid wsp:val=&quot;746152C5&quot;/&gt;&lt;wsp:rsid wsp:val=&quot;74620891&quot;/&gt;&lt;wsp:rsid wsp:val=&quot;74630446&quot;/&gt;&lt;wsp:rsid wsp:val=&quot;7463285B&quot;/&gt;&lt;wsp:rsid wsp:val=&quot;74633F76&quot;/&gt;&lt;wsp:rsid wsp:val=&quot;74634609&quot;/&gt;&lt;wsp:rsid wsp:val=&quot;74642945&quot;/&gt;&lt;wsp:rsid wsp:val=&quot;7464622B&quot;/&gt;&lt;wsp:rsid wsp:val=&quot;74650381&quot;/&gt;&lt;wsp:rsid wsp:val=&quot;74654825&quot;/&gt;&lt;wsp:rsid wsp:val=&quot;74685BFA&quot;/&gt;&lt;wsp:rsid wsp:val=&quot;74687E72&quot;/&gt;&lt;wsp:rsid wsp:val=&quot;746A1E3C&quot;/&gt;&lt;wsp:rsid wsp:val=&quot;746B4C90&quot;/&gt;&lt;wsp:rsid wsp:val=&quot;746C6120&quot;/&gt;&lt;wsp:rsid wsp:val=&quot;746F2FAE&quot;/&gt;&lt;wsp:rsid wsp:val=&quot;74704AA1&quot;/&gt;&lt;wsp:rsid wsp:val=&quot;747131CA&quot;/&gt;&lt;wsp:rsid wsp:val=&quot;74733422&quot;/&gt;&lt;wsp:rsid wsp:val=&quot;74744A68&quot;/&gt;&lt;wsp:rsid wsp:val=&quot;7476258E&quot;/&gt;&lt;wsp:rsid wsp:val=&quot;74795BDB&quot;/&gt;&lt;wsp:rsid wsp:val=&quot;747B1953&quot;/&gt;&lt;wsp:rsid wsp:val=&quot;747B5DF7&quot;/&gt;&lt;wsp:rsid wsp:val=&quot;747B7BA5&quot;/&gt;&lt;wsp:rsid wsp:val=&quot;747F1338&quot;/&gt;&lt;wsp:rsid wsp:val=&quot;747F19C5&quot;/&gt;&lt;wsp:rsid wsp:val=&quot;747F7695&quot;/&gt;&lt;wsp:rsid wsp:val=&quot;74827185&quot;/&gt;&lt;wsp:rsid wsp:val=&quot;74836CEA&quot;/&gt;&lt;wsp:rsid wsp:val=&quot;748A603A&quot;/&gt;&lt;wsp:rsid wsp:val=&quot;748C0004&quot;/&gt;&lt;wsp:rsid wsp:val=&quot;748C1DB2&quot;/&gt;&lt;wsp:rsid wsp:val=&quot;748C590E&quot;/&gt;&lt;wsp:rsid wsp:val=&quot;748D1686&quot;/&gt;&lt;wsp:rsid wsp:val=&quot;748D6B9A&quot;/&gt;&lt;wsp:rsid wsp:val=&quot;748E78D8&quot;/&gt;&lt;wsp:rsid wsp:val=&quot;748F3650&quot;/&gt;&lt;wsp:rsid wsp:val=&quot;748F53FE&quot;/&gt;&lt;wsp:rsid wsp:val=&quot;749018A2&quot;/&gt;&lt;wsp:rsid wsp:val=&quot;74933360&quot;/&gt;&lt;wsp:rsid wsp:val=&quot;74934EEE&quot;/&gt;&lt;wsp:rsid wsp:val=&quot;74936C9D&quot;/&gt;&lt;wsp:rsid wsp:val=&quot;749649DF&quot;/&gt;&lt;wsp:rsid wsp:val=&quot;749768DC&quot;/&gt;&lt;wsp:rsid wsp:val=&quot;749869A9&quot;/&gt;&lt;wsp:rsid wsp:val=&quot;74993231&quot;/&gt;&lt;wsp:rsid wsp:val=&quot;7499378D&quot;/&gt;&lt;wsp:rsid wsp:val=&quot;749953DF&quot;/&gt;&lt;wsp:rsid wsp:val=&quot;749B1FF5&quot;/&gt;&lt;wsp:rsid wsp:val=&quot;749C3ABE&quot;/&gt;&lt;wsp:rsid wsp:val=&quot;749D6D74&quot;/&gt;&lt;wsp:rsid wsp:val=&quot;749E52B8&quot;/&gt;&lt;wsp:rsid wsp:val=&quot;74A0243F&quot;/&gt;&lt;wsp:rsid wsp:val=&quot;74A0585D&quot;/&gt;&lt;wsp:rsid wsp:val=&quot;74A11815&quot;/&gt;&lt;wsp:rsid wsp:val=&quot;74A23383&quot;/&gt;&lt;wsp:rsid wsp:val=&quot;74A470FC&quot;/&gt;&lt;wsp:rsid wsp:val=&quot;74A54E21&quot;/&gt;&lt;wsp:rsid wsp:val=&quot;74A72748&quot;/&gt;&lt;wsp:rsid wsp:val=&quot;74A733CB&quot;/&gt;&lt;wsp:rsid wsp:val=&quot;74A94712&quot;/&gt;&lt;wsp:rsid wsp:val=&quot;74A964C0&quot;/&gt;&lt;wsp:rsid wsp:val=&quot;74A96BA0&quot;/&gt;&lt;wsp:rsid wsp:val=&quot;74AA048A&quot;/&gt;&lt;wsp:rsid wsp:val=&quot;74AA2238&quot;/&gt;&lt;wsp:rsid wsp:val=&quot;74AC5FB0&quot;/&gt;&lt;wsp:rsid wsp:val=&quot;74AE3AD6&quot;/&gt;&lt;wsp:rsid wsp:val=&quot;74AE7F7A&quot;/&gt;&lt;wsp:rsid wsp:val=&quot;74AF784E&quot;/&gt;&lt;wsp:rsid wsp:val=&quot;74B113E2&quot;/&gt;&lt;wsp:rsid wsp:val=&quot;74B11819&quot;/&gt;&lt;wsp:rsid wsp:val=&quot;74B135C7&quot;/&gt;&lt;wsp:rsid wsp:val=&quot;74B36359&quot;/&gt;&lt;wsp:rsid wsp:val=&quot;74B530B7&quot;/&gt;&lt;wsp:rsid wsp:val=&quot;74B60BDD&quot;/&gt;&lt;wsp:rsid wsp:val=&quot;74B65081&quot;/&gt;&lt;wsp:rsid wsp:val=&quot;74B82BA7&quot;/&gt;&lt;wsp:rsid wsp:val=&quot;74B86703&quot;/&gt;&lt;wsp:rsid wsp:val=&quot;74BA79C2&quot;/&gt;&lt;wsp:rsid wsp:val=&quot;74BD0CA9&quot;/&gt;&lt;wsp:rsid wsp:val=&quot;74C14349&quot;/&gt;&lt;wsp:rsid wsp:val=&quot;74C34940&quot;/&gt;&lt;wsp:rsid wsp:val=&quot;74C36C69&quot;/&gt;&lt;wsp:rsid wsp:val=&quot;74C4154C&quot;/&gt;&lt;wsp:rsid wsp:val=&quot;74C50E20&quot;/&gt;&lt;wsp:rsid wsp:val=&quot;74C60F3B&quot;/&gt;&lt;wsp:rsid wsp:val=&quot;74C652C4&quot;/&gt;&lt;wsp:rsid wsp:val=&quot;74C96B62&quot;/&gt;&lt;wsp:rsid wsp:val=&quot;74CA6436&quot;/&gt;&lt;wsp:rsid wsp:val=&quot;74CB28DA&quot;/&gt;&lt;wsp:rsid wsp:val=&quot;74CC0400&quot;/&gt;&lt;wsp:rsid wsp:val=&quot;74CF694D&quot;/&gt;&lt;wsp:rsid wsp:val=&quot;74D07EF1&quot;/&gt;&lt;wsp:rsid wsp:val=&quot;74D15A17&quot;/&gt;&lt;wsp:rsid wsp:val=&quot;74D379E1&quot;/&gt;&lt;wsp:rsid wsp:val=&quot;74D55D60&quot;/&gt;&lt;wsp:rsid wsp:val=&quot;74D6127F&quot;/&gt;&lt;wsp:rsid wsp:val=&quot;74D6302D&quot;/&gt;&lt;wsp:rsid wsp:val=&quot;74D774D1&quot;/&gt;&lt;wsp:rsid wsp:val=&quot;74D80B53&quot;/&gt;&lt;wsp:rsid wsp:val=&quot;74D81140&quot;/&gt;&lt;wsp:rsid wsp:val=&quot;74DA0D6F&quot;/&gt;&lt;wsp:rsid wsp:val=&quot;74DA28B2&quot;/&gt;&lt;wsp:rsid wsp:val=&quot;74DB0C05&quot;/&gt;&lt;wsp:rsid wsp:val=&quot;74DB4EF0&quot;/&gt;&lt;wsp:rsid wsp:val=&quot;74DD43BC&quot;/&gt;&lt;wsp:rsid wsp:val=&quot;74DF0134&quot;/&gt;&lt;wsp:rsid wsp:val=&quot;74E22266&quot;/&gt;&lt;wsp:rsid wsp:val=&quot;74E25E76&quot;/&gt;&lt;wsp:rsid wsp:val=&quot;74E306DE&quot;/&gt;&lt;wsp:rsid wsp:val=&quot;74E4399C&quot;/&gt;&lt;wsp:rsid wsp:val=&quot;74E4513F&quot;/&gt;&lt;wsp:rsid wsp:val=&quot;74E474F8&quot;/&gt;&lt;wsp:rsid wsp:val=&quot;74E7348C&quot;/&gt;&lt;wsp:rsid wsp:val=&quot;74EB49E5&quot;/&gt;&lt;wsp:rsid wsp:val=&quot;74EB6AD9&quot;/&gt;&lt;wsp:rsid wsp:val=&quot;74EC0AA3&quot;/&gt;&lt;wsp:rsid wsp:val=&quot;74EC45FF&quot;/&gt;&lt;wsp:rsid wsp:val=&quot;74EE0377&quot;/&gt;&lt;wsp:rsid wsp:val=&quot;74F00559&quot;/&gt;&lt;wsp:rsid wsp:val=&quot;74F00593&quot;/&gt;&lt;wsp:rsid wsp:val=&quot;74F040EF&quot;/&gt;&lt;wsp:rsid wsp:val=&quot;74F14380&quot;/&gt;&lt;wsp:rsid wsp:val=&quot;74F31E31&quot;/&gt;&lt;wsp:rsid wsp:val=&quot;74F51DA9&quot;/&gt;&lt;wsp:rsid wsp:val=&quot;74F55BA9&quot;/&gt;&lt;wsp:rsid wsp:val=&quot;74F646C9&quot;/&gt;&lt;wsp:rsid wsp:val=&quot;74F6547D&quot;/&gt;&lt;wsp:rsid wsp:val=&quot;74F6722B&quot;/&gt;&lt;wsp:rsid wsp:val=&quot;74F80D0C&quot;/&gt;&lt;wsp:rsid wsp:val=&quot;74F811F5&quot;/&gt;&lt;wsp:rsid wsp:val=&quot;74FC0CE6&quot;/&gt;&lt;wsp:rsid wsp:val=&quot;74FC3A90&quot;/&gt;&lt;wsp:rsid wsp:val=&quot;74FD4A5E&quot;/&gt;&lt;wsp:rsid wsp:val=&quot;74FD680C&quot;/&gt;&lt;wsp:rsid wsp:val=&quot;74FE028A&quot;/&gt;&lt;wsp:rsid wsp:val=&quot;74FF4332&quot;/&gt;&lt;wsp:rsid wsp:val=&quot;7501034C&quot;/&gt;&lt;wsp:rsid wsp:val=&quot;750162FC&quot;/&gt;&lt;wsp:rsid wsp:val=&quot;75022074&quot;/&gt;&lt;wsp:rsid wsp:val=&quot;75030E0A&quot;/&gt;&lt;wsp:rsid wsp:val=&quot;75041019&quot;/&gt;&lt;wsp:rsid wsp:val=&quot;75047B9A&quot;/&gt;&lt;wsp:rsid wsp:val=&quot;750510BE&quot;/&gt;&lt;wsp:rsid wsp:val=&quot;750556C0&quot;/&gt;&lt;wsp:rsid wsp:val=&quot;750577C9&quot;/&gt;&lt;wsp:rsid wsp:val=&quot;75071439&quot;/&gt;&lt;wsp:rsid wsp:val=&quot;7508401D&quot;/&gt;&lt;wsp:rsid wsp:val=&quot;750951B1&quot;/&gt;&lt;wsp:rsid wsp:val=&quot;750B533F&quot;/&gt;&lt;wsp:rsid wsp:val=&quot;750B717B&quot;/&gt;&lt;wsp:rsid wsp:val=&quot;750D2EF3&quot;/&gt;&lt;wsp:rsid wsp:val=&quot;751112D1&quot;/&gt;&lt;wsp:rsid wsp:val=&quot;751122B7&quot;/&gt;&lt;wsp:rsid wsp:val=&quot;751270DE&quot;/&gt;&lt;wsp:rsid wsp:val=&quot;75157FF9&quot;/&gt;&lt;wsp:rsid wsp:val=&quot;751604C4&quot;/&gt;&lt;wsp:rsid wsp:val=&quot;751741F7&quot;/&gt;&lt;wsp:rsid wsp:val=&quot;7518395C&quot;/&gt;&lt;wsp:rsid wsp:val=&quot;75187339&quot;/&gt;&lt;wsp:rsid wsp:val=&quot;751A116C&quot;/&gt;&lt;wsp:rsid wsp:val=&quot;751A73BE&quot;/&gt;&lt;wsp:rsid wsp:val=&quot;751B4EE4&quot;/&gt;&lt;wsp:rsid wsp:val=&quot;751C3136&quot;/&gt;&lt;wsp:rsid wsp:val=&quot;751D0C5C&quot;/&gt;&lt;wsp:rsid wsp:val=&quot;751D2A0A&quot;/&gt;&lt;wsp:rsid wsp:val=&quot;751D6EAE&quot;/&gt;&lt;wsp:rsid wsp:val=&quot;751F6782&quot;/&gt;&lt;wsp:rsid wsp:val=&quot;75220020&quot;/&gt;&lt;wsp:rsid wsp:val=&quot;75243D99&quot;/&gt;&lt;wsp:rsid wsp:val=&quot;75263EB1&quot;/&gt;&lt;wsp:rsid wsp:val=&quot;75264D66&quot;/&gt;&lt;wsp:rsid wsp:val=&quot;75267B11&quot;/&gt;&lt;wsp:rsid wsp:val=&quot;75271ADB&quot;/&gt;&lt;wsp:rsid wsp:val=&quot;75273889&quot;/&gt;&lt;wsp:rsid wsp:val=&quot;75287970&quot;/&gt;&lt;wsp:rsid wsp:val=&quot;752C70F1&quot;/&gt;&lt;wsp:rsid wsp:val=&quot;752C7656&quot;/&gt;&lt;wsp:rsid wsp:val=&quot;752E10BB&quot;/&gt;&lt;wsp:rsid wsp:val=&quot;752E4C17&quot;/&gt;&lt;wsp:rsid wsp:val=&quot;752F1D11&quot;/&gt;&lt;wsp:rsid wsp:val=&quot;75322959&quot;/&gt;&lt;wsp:rsid wsp:val=&quot;7533222E&quot;/&gt;&lt;wsp:rsid wsp:val=&quot;75355AFA&quot;/&gt;&lt;wsp:rsid wsp:val=&quot;75355FA6&quot;/&gt;&lt;wsp:rsid wsp:val=&quot;75361B5B&quot;/&gt;&lt;wsp:rsid wsp:val=&quot;75371D1E&quot;/&gt;&lt;wsp:rsid wsp:val=&quot;753A180E&quot;/&gt;&lt;wsp:rsid wsp:val=&quot;753A7A60&quot;/&gt;&lt;wsp:rsid wsp:val=&quot;753B10E2&quot;/&gt;&lt;wsp:rsid wsp:val=&quot;753F0BD2&quot;/&gt;&lt;wsp:rsid wsp:val=&quot;753F4E8F&quot;/&gt;&lt;wsp:rsid wsp:val=&quot;753F5076&quot;/&gt;&lt;wsp:rsid wsp:val=&quot;7541494A&quot;/&gt;&lt;wsp:rsid wsp:val=&quot;7542070D&quot;/&gt;&lt;wsp:rsid wsp:val=&quot;75436915&quot;/&gt;&lt;wsp:rsid wsp:val=&quot;7544443B&quot;/&gt;&lt;wsp:rsid wsp:val=&quot;75472AE0&quot;/&gt;&lt;wsp:rsid wsp:val=&quot;75475CD9&quot;/&gt;&lt;wsp:rsid wsp:val=&quot;75477F0F&quot;/&gt;&lt;wsp:rsid wsp:val=&quot;75491A51&quot;/&gt;&lt;wsp:rsid wsp:val=&quot;754B3A1B&quot;/&gt;&lt;wsp:rsid wsp:val=&quot;754B57C9&quot;/&gt;&lt;wsp:rsid wsp:val=&quot;754B57CB&quot;/&gt;&lt;wsp:rsid wsp:val=&quot;754D1541&quot;/&gt;&lt;wsp:rsid wsp:val=&quot;754D6952&quot;/&gt;&lt;wsp:rsid wsp:val=&quot;754D7793&quot;/&gt;&lt;wsp:rsid wsp:val=&quot;754E350B&quot;/&gt;&lt;wsp:rsid wsp:val=&quot;754E52B9&quot;/&gt;&lt;wsp:rsid wsp:val=&quot;754E7067&quot;/&gt;&lt;wsp:rsid wsp:val=&quot;75504B8E&quot;/&gt;&lt;wsp:rsid wsp:val=&quot;755303BA&quot;/&gt;&lt;wsp:rsid wsp:val=&quot;75543C54&quot;/&gt;&lt;wsp:rsid wsp:val=&quot;75543E9D&quot;/&gt;&lt;wsp:rsid wsp:val=&quot;75550D6B&quot;/&gt;&lt;wsp:rsid wsp:val=&quot;75581C94&quot;/&gt;&lt;wsp:rsid wsp:val=&quot;755A1EB0&quot;/&gt;&lt;wsp:rsid wsp:val=&quot;755C79D6&quot;/&gt;&lt;wsp:rsid wsp:val=&quot;755D54FC&quot;/&gt;&lt;wsp:rsid wsp:val=&quot;755E374E&quot;/&gt;&lt;wsp:rsid wsp:val=&quot;755F1275&quot;/&gt;&lt;wsp:rsid wsp:val=&quot;75630D65&quot;/&gt;&lt;wsp:rsid wsp:val=&quot;75660B34&quot;/&gt;&lt;wsp:rsid wsp:val=&quot;75662603&quot;/&gt;&lt;wsp:rsid wsp:val=&quot;756643B1&quot;/&gt;&lt;wsp:rsid wsp:val=&quot;75680129&quot;/&gt;&lt;wsp:rsid wsp:val=&quot;75687F5F&quot;/&gt;&lt;wsp:rsid wsp:val=&quot;75695C4F&quot;/&gt;&lt;wsp:rsid wsp:val=&quot;756A6E80&quot;/&gt;&lt;wsp:rsid wsp:val=&quot;756B7C19&quot;/&gt;&lt;wsp:rsid wsp:val=&quot;756D1BE3&quot;/&gt;&lt;wsp:rsid wsp:val=&quot;756F1F12&quot;/&gt;&lt;wsp:rsid wsp:val=&quot;75701CEC&quot;/&gt;&lt;wsp:rsid wsp:val=&quot;75706FDE&quot;/&gt;&lt;wsp:rsid wsp:val=&quot;75713D43&quot;/&gt;&lt;wsp:rsid wsp:val=&quot;757312B7&quot;/&gt;&lt;wsp:rsid wsp:val=&quot;75750A98&quot;/&gt;&lt;wsp:rsid wsp:val=&quot;757545F4&quot;/&gt;&lt;wsp:rsid wsp:val=&quot;75792336&quot;/&gt;&lt;wsp:rsid wsp:val=&quot;757C1BE0&quot;/&gt;&lt;wsp:rsid wsp:val=&quot;757D281F&quot;/&gt;&lt;wsp:rsid wsp:val=&quot;75840CDB&quot;/&gt;&lt;wsp:rsid wsp:val=&quot;75852311&quot;/&gt;&lt;wsp:rsid wsp:val=&quot;758560D5&quot;/&gt;&lt;wsp:rsid wsp:val=&quot;75863566&quot;/&gt;&lt;wsp:rsid wsp:val=&quot;75864A53&quot;/&gt;&lt;wsp:rsid wsp:val=&quot;75874327&quot;/&gt;&lt;wsp:rsid wsp:val=&quot;75894543&quot;/&gt;&lt;wsp:rsid wsp:val=&quot;758B3E18&quot;/&gt;&lt;wsp:rsid wsp:val=&quot;758D193E&quot;/&gt;&lt;wsp:rsid wsp:val=&quot;758D5DE2&quot;/&gt;&lt;wsp:rsid wsp:val=&quot;758D7B90&quot;/&gt;&lt;wsp:rsid wsp:val=&quot;75932CCC&quot;/&gt;&lt;wsp:rsid wsp:val=&quot;75952577&quot;/&gt;&lt;wsp:rsid wsp:val=&quot;75952EE8&quot;/&gt;&lt;wsp:rsid wsp:val=&quot;75994786&quot;/&gt;&lt;wsp:rsid wsp:val=&quot;759A22AD&quot;/&gt;&lt;wsp:rsid wsp:val=&quot;759A405B&quot;/&gt;&lt;wsp:rsid wsp:val=&quot;75A105B2&quot;/&gt;&lt;wsp:rsid wsp:val=&quot;75A1363B&quot;/&gt;&lt;wsp:rsid wsp:val=&quot;75A31161&quot;/&gt;&lt;wsp:rsid wsp:val=&quot;75A44ED9&quot;/&gt;&lt;wsp:rsid wsp:val=&quot;75A60C51&quot;/&gt;&lt;wsp:rsid wsp:val=&quot;75A86778&quot;/&gt;&lt;wsp:rsid wsp:val=&quot;75A94E00&quot;/&gt;&lt;wsp:rsid wsp:val=&quot;75AA195E&quot;/&gt;&lt;wsp:rsid wsp:val=&quot;75AA6994&quot;/&gt;&lt;wsp:rsid wsp:val=&quot;75AC3D19&quot;/&gt;&lt;wsp:rsid wsp:val=&quot;75AD3D8E&quot;/&gt;&lt;wsp:rsid wsp:val=&quot;75AF3FAA&quot;/&gt;&lt;wsp:rsid wsp:val=&quot;75AF5D58&quot;/&gt;&lt;wsp:rsid wsp:val=&quot;75B07D22&quot;/&gt;&lt;wsp:rsid wsp:val=&quot;75B415C0&quot;/&gt;&lt;wsp:rsid wsp:val=&quot;75B50E95&quot;/&gt;&lt;wsp:rsid wsp:val=&quot;75B74C0D&quot;/&gt;&lt;wsp:rsid wsp:val=&quot;75B86623&quot;/&gt;&lt;wsp:rsid wsp:val=&quot;75B90653&quot;/&gt;&lt;wsp:rsid wsp:val=&quot;75B94E29&quot;/&gt;&lt;wsp:rsid wsp:val=&quot;75B95A33&quot;/&gt;&lt;wsp:rsid wsp:val=&quot;75BA294F&quot;/&gt;&lt;wsp:rsid wsp:val=&quot;75BE0042&quot;/&gt;&lt;wsp:rsid wsp:val=&quot;75BE41ED&quot;/&gt;&lt;wsp:rsid wsp:val=&quot;75BF3AC1&quot;/&gt;&lt;wsp:rsid wsp:val=&quot;75BF7F65&quot;/&gt;&lt;wsp:rsid wsp:val=&quot;75C13CDD&quot;/&gt;&lt;wsp:rsid wsp:val=&quot;75C31803&quot;/&gt;&lt;wsp:rsid wsp:val=&quot;75C537CD&quot;/&gt;&lt;wsp:rsid wsp:val=&quot;75C567D4&quot;/&gt;&lt;wsp:rsid wsp:val=&quot;75C630A2&quot;/&gt;&lt;wsp:rsid wsp:val=&quot;75C64E50&quot;/&gt;&lt;wsp:rsid wsp:val=&quot;75C80BC8&quot;/&gt;&lt;wsp:rsid wsp:val=&quot;75C86896&quot;/&gt;&lt;wsp:rsid wsp:val=&quot;75C97D26&quot;/&gt;&lt;wsp:rsid wsp:val=&quot;75CA0DE4&quot;/&gt;&lt;wsp:rsid wsp:val=&quot;75CB06B8&quot;/&gt;&lt;wsp:rsid wsp:val=&quot;75CC3AD6&quot;/&gt;&lt;wsp:rsid wsp:val=&quot;75D164B8&quot;/&gt;&lt;wsp:rsid wsp:val=&quot;75D21089&quot;/&gt;&lt;wsp:rsid wsp:val=&quot;75D457BF&quot;/&gt;&lt;wsp:rsid wsp:val=&quot;75D532E5&quot;/&gt;&lt;wsp:rsid wsp:val=&quot;75D94B83&quot;/&gt;&lt;wsp:rsid wsp:val=&quot;75DC0B17&quot;/&gt;&lt;wsp:rsid wsp:val=&quot;75DC28C5&quot;/&gt;&lt;wsp:rsid wsp:val=&quot;75DC4673&quot;/&gt;&lt;wsp:rsid wsp:val=&quot;75DF5F11&quot;/&gt;&lt;wsp:rsid wsp:val=&quot;75E23522&quot;/&gt;&lt;wsp:rsid wsp:val=&quot;75E2636A&quot;/&gt;&lt;wsp:rsid wsp:val=&quot;75E31EA6&quot;/&gt;&lt;wsp:rsid wsp:val=&quot;75E369BA&quot;/&gt;&lt;wsp:rsid wsp:val=&quot;75E53827&quot;/&gt;&lt;wsp:rsid wsp:val=&quot;75E643DE&quot;/&gt;&lt;wsp:rsid wsp:val=&quot;75E83018&quot;/&gt;&lt;wsp:rsid wsp:val=&quot;75EA4FE2&quot;/&gt;&lt;wsp:rsid wsp:val=&quot;75EB0D5A&quot;/&gt;&lt;wsp:rsid wsp:val=&quot;75EB0E21&quot;/&gt;&lt;wsp:rsid wsp:val=&quot;75ED09A5&quot;/&gt;&lt;wsp:rsid wsp:val=&quot;75ED6880&quot;/&gt;&lt;wsp:rsid wsp:val=&quot;75F145C2&quot;/&gt;&lt;wsp:rsid wsp:val=&quot;75F220E9&quot;/&gt;&lt;wsp:rsid wsp:val=&quot;75F23243&quot;/&gt;&lt;wsp:rsid wsp:val=&quot;75F255FC&quot;/&gt;&lt;wsp:rsid wsp:val=&quot;75F45E61&quot;/&gt;&lt;wsp:rsid wsp:val=&quot;75F54172&quot;/&gt;&lt;wsp:rsid wsp:val=&quot;75F55735&quot;/&gt;&lt;wsp:rsid wsp:val=&quot;75F714AD&quot;/&gt;&lt;wsp:rsid wsp:val=&quot;75F75951&quot;/&gt;&lt;wsp:rsid wsp:val=&quot;75F95225&quot;/&gt;&lt;wsp:rsid wsp:val=&quot;75FB10A4&quot;/&gt;&lt;wsp:rsid wsp:val=&quot;75FC370E&quot;/&gt;&lt;wsp:rsid wsp:val=&quot;75FD3C08&quot;/&gt;&lt;wsp:rsid wsp:val=&quot;75FE0A8D&quot;/&gt;&lt;wsp:rsid wsp:val=&quot;75FE45EA&quot;/&gt;&lt;wsp:rsid wsp:val=&quot;75FF0362&quot;/&gt;&lt;wsp:rsid wsp:val=&quot;75FF1FC7&quot;/&gt;&lt;wsp:rsid wsp:val=&quot;760000A9&quot;/&gt;&lt;wsp:rsid wsp:val=&quot;760029C6&quot;/&gt;&lt;wsp:rsid wsp:val=&quot;76004806&quot;/&gt;&lt;wsp:rsid wsp:val=&quot;7601232C&quot;/&gt;&lt;wsp:rsid wsp:val=&quot;760140DA&quot;/&gt;&lt;wsp:rsid wsp:val=&quot;76031347&quot;/&gt;&lt;wsp:rsid wsp:val=&quot;76037E52&quot;/&gt;&lt;wsp:rsid wsp:val=&quot;76044EB6&quot;/&gt;&lt;wsp:rsid wsp:val=&quot;76051E1C&quot;/&gt;&lt;wsp:rsid wsp:val=&quot;76067942&quot;/&gt;&lt;wsp:rsid wsp:val=&quot;76074262&quot;/&gt;&lt;wsp:rsid wsp:val=&quot;76081158&quot;/&gt;&lt;wsp:rsid wsp:val=&quot;7608190C&quot;/&gt;&lt;wsp:rsid wsp:val=&quot;76097EA0&quot;/&gt;&lt;wsp:rsid wsp:val=&quot;760A106F&quot;/&gt;&lt;wsp:rsid wsp:val=&quot;760A7AED&quot;/&gt;&lt;wsp:rsid wsp:val=&quot;760C31AA&quot;/&gt;&lt;wsp:rsid wsp:val=&quot;760D0CD1&quot;/&gt;&lt;wsp:rsid wsp:val=&quot;760D2A7F&quot;/&gt;&lt;wsp:rsid wsp:val=&quot;761024BB&quot;/&gt;&lt;wsp:rsid wsp:val=&quot;7610256F&quot;/&gt;&lt;wsp:rsid wsp:val=&quot;76104C5D&quot;/&gt;&lt;wsp:rsid wsp:val=&quot;76121A56&quot;/&gt;&lt;wsp:rsid wsp:val=&quot;761262E7&quot;/&gt;&lt;wsp:rsid wsp:val=&quot;761407FA&quot;/&gt;&lt;wsp:rsid wsp:val=&quot;7614205F&quot;/&gt;&lt;wsp:rsid wsp:val=&quot;76143E0D&quot;/&gt;&lt;wsp:rsid wsp:val=&quot;76191423&quot;/&gt;&lt;wsp:rsid wsp:val=&quot;761958C7&quot;/&gt;&lt;wsp:rsid wsp:val=&quot;761B163F&quot;/&gt;&lt;wsp:rsid wsp:val=&quot;761E2EDE&quot;/&gt;&lt;wsp:rsid wsp:val=&quot;761E337E&quot;/&gt;&lt;wsp:rsid wsp:val=&quot;761E4C8C&quot;/&gt;&lt;wsp:rsid wsp:val=&quot;761E6A3A&quot;/&gt;&lt;wsp:rsid wsp:val=&quot;7621652A&quot;/&gt;&lt;wsp:rsid wsp:val=&quot;76235D60&quot;/&gt;&lt;wsp:rsid wsp:val=&quot;7625426C&quot;/&gt;&lt;wsp:rsid wsp:val=&quot;76261D92&quot;/&gt;&lt;wsp:rsid wsp:val=&quot;76263B40&quot;/&gt;&lt;wsp:rsid wsp:val=&quot;76277FE4&quot;/&gt;&lt;wsp:rsid wsp:val=&quot;76283D5C&quot;/&gt;&lt;wsp:rsid wsp:val=&quot;762878B8&quot;/&gt;&lt;wsp:rsid wsp:val=&quot;762A7AD4&quot;/&gt;&lt;wsp:rsid wsp:val=&quot;762B73A9&quot;/&gt;&lt;wsp:rsid wsp:val=&quot;762D4ECF&quot;/&gt;&lt;wsp:rsid wsp:val=&quot;763224E5&quot;/&gt;&lt;wsp:rsid wsp:val=&quot;763241CE&quot;/&gt;&lt;wsp:rsid wsp:val=&quot;763444AF&quot;/&gt;&lt;wsp:rsid wsp:val=&quot;7635099D&quot;/&gt;&lt;wsp:rsid wsp:val=&quot;763521BC&quot;/&gt;&lt;wsp:rsid wsp:val=&quot;76377AFB&quot;/&gt;&lt;wsp:rsid wsp:val=&quot;76391AC6&quot;/&gt;&lt;wsp:rsid wsp:val=&quot;76397D18&quot;/&gt;&lt;wsp:rsid wsp:val=&quot;763B30F9&quot;/&gt;&lt;wsp:rsid wsp:val=&quot;763B3A90&quot;/&gt;&lt;wsp:rsid wsp:val=&quot;763C6907&quot;/&gt;&lt;wsp:rsid wsp:val=&quot;76402AE9&quot;/&gt;&lt;wsp:rsid wsp:val=&quot;76404C02&quot;/&gt;&lt;wsp:rsid wsp:val=&quot;764346F2&quot;/&gt;&lt;wsp:rsid wsp:val=&quot;76452218&quot;/&gt;&lt;wsp:rsid wsp:val=&quot;76467CD1&quot;/&gt;&lt;wsp:rsid wsp:val=&quot;76481D09&quot;/&gt;&lt;wsp:rsid wsp:val=&quot;764861AD&quot;/&gt;&lt;wsp:rsid wsp:val=&quot;76495614&quot;/&gt;&lt;wsp:rsid wsp:val=&quot;764A3CD3&quot;/&gt;&lt;wsp:rsid wsp:val=&quot;764A539C&quot;/&gt;&lt;wsp:rsid wsp:val=&quot;764A5806&quot;/&gt;&lt;wsp:rsid wsp:val=&quot;764C7A4B&quot;/&gt;&lt;wsp:rsid wsp:val=&quot;764D5571&quot;/&gt;&lt;wsp:rsid wsp:val=&quot;764D788C&quot;/&gt;&lt;wsp:rsid wsp:val=&quot;764E0DBE&quot;/&gt;&lt;wsp:rsid wsp:val=&quot;76507140&quot;/&gt;&lt;wsp:rsid wsp:val=&quot;76524935&quot;/&gt;&lt;wsp:rsid wsp:val=&quot;765406AD&quot;/&gt;&lt;wsp:rsid wsp:val=&quot;76544B51&quot;/&gt;&lt;wsp:rsid wsp:val=&quot;76564426&quot;/&gt;&lt;wsp:rsid wsp:val=&quot;765661D4&quot;/&gt;&lt;wsp:rsid wsp:val=&quot;76571F4C&quot;/&gt;&lt;wsp:rsid wsp:val=&quot;765B7C8E&quot;/&gt;&lt;wsp:rsid wsp:val=&quot;765C7562&quot;/&gt;&lt;wsp:rsid wsp:val=&quot;766034F6&quot;/&gt;&lt;wsp:rsid wsp:val=&quot;766052A4&quot;/&gt;&lt;wsp:rsid wsp:val=&quot;7662101C&quot;/&gt;&lt;wsp:rsid wsp:val=&quot;76634D94&quot;/&gt;&lt;wsp:rsid wsp:val=&quot;76636B42&quot;/&gt;&lt;wsp:rsid wsp:val=&quot;76654669&quot;/&gt;&lt;wsp:rsid wsp:val=&quot;76676633&quot;/&gt;&lt;wsp:rsid wsp:val=&quot;76685F07&quot;/&gt;&lt;wsp:rsid wsp:val=&quot;766A1C7F&quot;/&gt;&lt;wsp:rsid wsp:val=&quot;766B44F7&quot;/&gt;&lt;wsp:rsid wsp:val=&quot;766D0D29&quot;/&gt;&lt;wsp:rsid wsp:val=&quot;766D6E76&quot;/&gt;&lt;wsp:rsid wsp:val=&quot;766D79C1&quot;/&gt;&lt;wsp:rsid wsp:val=&quot;7671125F&quot;/&gt;&lt;wsp:rsid wsp:val=&quot;76732AF1&quot;/&gt;&lt;wsp:rsid wsp:val=&quot;76746D49&quot;/&gt;&lt;wsp:rsid wsp:val=&quot;76760624&quot;/&gt;&lt;wsp:rsid wsp:val=&quot;76767F28&quot;/&gt;&lt;wsp:rsid wsp:val=&quot;76790114&quot;/&gt;&lt;wsp:rsid wsp:val=&quot;767945B8&quot;/&gt;&lt;wsp:rsid wsp:val=&quot;76796366&quot;/&gt;&lt;wsp:rsid wsp:val=&quot;767B404B&quot;/&gt;&lt;wsp:rsid wsp:val=&quot;767E1BCE&quot;/&gt;&lt;wsp:rsid wsp:val=&quot;767E572A&quot;/&gt;&lt;wsp:rsid wsp:val=&quot;767F3E5C&quot;/&gt;&lt;wsp:rsid wsp:val=&quot;76816FC9&quot;/&gt;&lt;wsp:rsid wsp:val=&quot;768216BE&quot;/&gt;&lt;wsp:rsid wsp:val=&quot;7682346D&quot;/&gt;&lt;wsp:rsid wsp:val=&quot;768371E5&quot;/&gt;&lt;wsp:rsid wsp:val=&quot;768702BE&quot;/&gt;&lt;wsp:rsid wsp:val=&quot;76870EAD&quot;/&gt;&lt;wsp:rsid wsp:val=&quot;76880F72&quot;/&gt;&lt;wsp:rsid wsp:val=&quot;768A40CF&quot;/&gt;&lt;wsp:rsid wsp:val=&quot;768B79D3&quot;/&gt;&lt;wsp:rsid wsp:val=&quot;768C42EB&quot;/&gt;&lt;wsp:rsid wsp:val=&quot;768C438A&quot;/&gt;&lt;wsp:rsid wsp:val=&quot;768E1E11&quot;/&gt;&lt;wsp:rsid wsp:val=&quot;76911902&quot;/&gt;&lt;wsp:rsid wsp:val=&quot;76914B30&quot;/&gt;&lt;wsp:rsid wsp:val=&quot;769431A0&quot;/&gt;&lt;wsp:rsid wsp:val=&quot;76944F4E&quot;/&gt;&lt;wsp:rsid wsp:val=&quot;76946CFC&quot;/&gt;&lt;wsp:rsid wsp:val=&quot;76960CC6&quot;/&gt;&lt;wsp:rsid wsp:val=&quot;76982C90&quot;/&gt;&lt;wsp:rsid wsp:val=&quot;76984A3E&quot;/&gt;&lt;wsp:rsid wsp:val=&quot;769B008A&quot;/&gt;&lt;wsp:rsid wsp:val=&quot;769D2054&quot;/&gt;&lt;wsp:rsid wsp:val=&quot;769D3E02&quot;/&gt;&lt;wsp:rsid wsp:val=&quot;769E04A2&quot;/&gt;&lt;wsp:rsid wsp:val=&quot;769E5DCD&quot;/&gt;&lt;wsp:rsid wsp:val=&quot;76A258BD&quot;/&gt;&lt;wsp:rsid wsp:val=&quot;76A2766B&quot;/&gt;&lt;wsp:rsid wsp:val=&quot;76A41635&quot;/&gt;&lt;wsp:rsid wsp:val=&quot;76A5715B&quot;/&gt;&lt;wsp:rsid wsp:val=&quot;76A71125&quot;/&gt;&lt;wsp:rsid wsp:val=&quot;76A827A7&quot;/&gt;&lt;wsp:rsid wsp:val=&quot;76AC2297&quot;/&gt;&lt;wsp:rsid wsp:val=&quot;76AC673B&quot;/&gt;&lt;wsp:rsid wsp:val=&quot;76AD6949&quot;/&gt;&lt;wsp:rsid wsp:val=&quot;76AD7DBE&quot;/&gt;&lt;wsp:rsid wsp:val=&quot;76AE4262&quot;/&gt;&lt;wsp:rsid wsp:val=&quot;76B000B8&quot;/&gt;&lt;wsp:rsid wsp:val=&quot;76B13D52&quot;/&gt;&lt;wsp:rsid wsp:val=&quot;76B255A9&quot;/&gt;&lt;wsp:rsid wsp:val=&quot;76B4114C&quot;/&gt;&lt;wsp:rsid wsp:val=&quot;76B80C3C&quot;/&gt;&lt;wsp:rsid wsp:val=&quot;76B94231&quot;/&gt;&lt;wsp:rsid wsp:val=&quot;76BC122C&quot;/&gt;&lt;wsp:rsid wsp:val=&quot;76BD44A5&quot;/&gt;&lt;wsp:rsid wsp:val=&quot;76BE0607&quot;/&gt;&lt;wsp:rsid wsp:val=&quot;76C05D43&quot;/&gt;&lt;wsp:rsid wsp:val=&quot;76C2363A&quot;/&gt;&lt;wsp:rsid wsp:val=&quot;76C23869&quot;/&gt;&lt;wsp:rsid wsp:val=&quot;76C515AB&quot;/&gt;&lt;wsp:rsid wsp:val=&quot;76C9109B&quot;/&gt;&lt;wsp:rsid wsp:val=&quot;76CA0970&quot;/&gt;&lt;wsp:rsid wsp:val=&quot;76CA4B18&quot;/&gt;&lt;wsp:rsid wsp:val=&quot;76CB5809&quot;/&gt;&lt;wsp:rsid wsp:val=&quot;76CC0092&quot;/&gt;&lt;wsp:rsid wsp:val=&quot;76CC293A&quot;/&gt;&lt;wsp:rsid wsp:val=&quot;76CE0460&quot;/&gt;&lt;wsp:rsid wsp:val=&quot;76CF41D8&quot;/&gt;&lt;wsp:rsid wsp:val=&quot;76D11CFE&quot;/&gt;&lt;wsp:rsid wsp:val=&quot;76D161A2&quot;/&gt;&lt;wsp:rsid wsp:val=&quot;76D17F50&quot;/&gt;&lt;wsp:rsid wsp:val=&quot;76D65566&quot;/&gt;&lt;wsp:rsid wsp:val=&quot;76D715EF&quot;/&gt;&lt;wsp:rsid wsp:val=&quot;76D75E34&quot;/&gt;&lt;wsp:rsid wsp:val=&quot;76D812DE&quot;/&gt;&lt;wsp:rsid wsp:val=&quot;76D966AC&quot;/&gt;&lt;wsp:rsid wsp:val=&quot;76DA32A9&quot;/&gt;&lt;wsp:rsid wsp:val=&quot;76DA5057&quot;/&gt;&lt;wsp:rsid wsp:val=&quot;76DB3351&quot;/&gt;&lt;wsp:rsid wsp:val=&quot;76DB492B&quot;/&gt;&lt;wsp:rsid wsp:val=&quot;76DD490E&quot;/&gt;&lt;wsp:rsid wsp:val=&quot;76DF7E71&quot;/&gt;&lt;wsp:rsid wsp:val=&quot;76E00193&quot;/&gt;&lt;wsp:rsid wsp:val=&quot;76E063E5&quot;/&gt;&lt;wsp:rsid wsp:val=&quot;76E11AB7&quot;/&gt;&lt;wsp:rsid wsp:val=&quot;76E47C83&quot;/&gt;&lt;wsp:rsid wsp:val=&quot;76E77774&quot;/&gt;&lt;wsp:rsid wsp:val=&quot;76E8192A&quot;/&gt;&lt;wsp:rsid wsp:val=&quot;76E86DB9&quot;/&gt;&lt;wsp:rsid wsp:val=&quot;76EB3463&quot;/&gt;&lt;wsp:rsid wsp:val=&quot;76EC08E6&quot;/&gt;&lt;wsp:rsid wsp:val=&quot;76EE19B1&quot;/&gt;&lt;wsp:rsid wsp:val=&quot;76EE28B0&quot;/&gt;&lt;wsp:rsid wsp:val=&quot;76EE465E&quot;/&gt;&lt;wsp:rsid wsp:val=&quot;76F1414E&quot;/&gt;&lt;wsp:rsid wsp:val=&quot;76F361BD&quot;/&gt;&lt;wsp:rsid wsp:val=&quot;76F61765&quot;/&gt;&lt;wsp:rsid wsp:val=&quot;76F679B7&quot;/&gt;&lt;wsp:rsid wsp:val=&quot;76F746AB&quot;/&gt;&lt;wsp:rsid wsp:val=&quot;76FA74A7&quot;/&gt;&lt;wsp:rsid wsp:val=&quot;770025E3&quot;/&gt;&lt;wsp:rsid wsp:val=&quot;7700798F&quot;/&gt;&lt;wsp:rsid wsp:val=&quot;77024AC0&quot;/&gt;&lt;wsp:rsid wsp:val=&quot;77040CFC&quot;/&gt;&lt;wsp:rsid wsp:val=&quot;770420D4&quot;/&gt;&lt;wsp:rsid wsp:val=&quot;770519A8&quot;/&gt;&lt;wsp:rsid wsp:val=&quot;77057BFA&quot;/&gt;&lt;wsp:rsid wsp:val=&quot;77062342&quot;/&gt;&lt;wsp:rsid wsp:val=&quot;7706409E&quot;/&gt;&lt;wsp:rsid wsp:val=&quot;77075720&quot;/&gt;&lt;wsp:rsid wsp:val=&quot;77091498&quot;/&gt;&lt;wsp:rsid wsp:val=&quot;77092404&quot;/&gt;&lt;wsp:rsid wsp:val=&quot;7709593C&quot;/&gt;&lt;wsp:rsid wsp:val=&quot;770B3462&quot;/&gt;&lt;wsp:rsid wsp:val=&quot;770C0F88&quot;/&gt;&lt;wsp:rsid wsp:val=&quot;770C2D36&quot;/&gt;&lt;wsp:rsid wsp:val=&quot;770C71DA&quot;/&gt;&lt;wsp:rsid wsp:val=&quot;770F2826&quot;/&gt;&lt;wsp:rsid wsp:val=&quot;77130569&quot;/&gt;&lt;wsp:rsid wsp:val=&quot;77132AC7&quot;/&gt;&lt;wsp:rsid wsp:val=&quot;77147E3D&quot;/&gt;&lt;wsp:rsid wsp:val=&quot;77155DD6&quot;/&gt;&lt;wsp:rsid wsp:val=&quot;77161E07&quot;/&gt;&lt;wsp:rsid wsp:val=&quot;77185B7F&quot;/&gt;&lt;wsp:rsid wsp:val=&quot;771A18F7&quot;/&gt;&lt;wsp:rsid wsp:val=&quot;771A36A5&quot;/&gt;&lt;wsp:rsid wsp:val=&quot;771B11CB&quot;/&gt;&lt;wsp:rsid wsp:val=&quot;771C5CA9&quot;/&gt;&lt;wsp:rsid wsp:val=&quot;771D3195&quot;/&gt;&lt;wsp:rsid wsp:val=&quot;771E7C80&quot;/&gt;&lt;wsp:rsid wsp:val=&quot;77205ABA&quot;/&gt;&lt;wsp:rsid wsp:val=&quot;772067E2&quot;/&gt;&lt;wsp:rsid wsp:val=&quot;772207AC&quot;/&gt;&lt;wsp:rsid wsp:val=&quot;772462D2&quot;/&gt;&lt;wsp:rsid wsp:val=&quot;7726029C&quot;/&gt;&lt;wsp:rsid wsp:val=&quot;772674A3&quot;/&gt;&lt;wsp:rsid wsp:val=&quot;77275DC2&quot;/&gt;&lt;wsp:rsid wsp:val=&quot;7728424C&quot;/&gt;&lt;wsp:rsid wsp:val=&quot;77290C39&quot;/&gt;&lt;wsp:rsid wsp:val=&quot;772A140E&quot;/&gt;&lt;wsp:rsid wsp:val=&quot;772B4CFB&quot;/&gt;&lt;wsp:rsid wsp:val=&quot;772C39B6&quot;/&gt;&lt;wsp:rsid wsp:val=&quot;772C5186&quot;/&gt;&lt;wsp:rsid wsp:val=&quot;772F3393&quot;/&gt;&lt;wsp:rsid wsp:val=&quot;772F6DE2&quot;/&gt;&lt;wsp:rsid wsp:val=&quot;77304C77&quot;/&gt;&lt;wsp:rsid wsp:val=&quot;77324E93&quot;/&gt;&lt;wsp:rsid wsp:val=&quot;77364257&quot;/&gt;&lt;wsp:rsid wsp:val=&quot;77366005&quot;/&gt;&lt;wsp:rsid wsp:val=&quot;773724A9&quot;/&gt;&lt;wsp:rsid wsp:val=&quot;77387FCF&quot;/&gt;&lt;wsp:rsid wsp:val=&quot;773A0D9F&quot;/&gt;&lt;wsp:rsid wsp:val=&quot;773A3D47&quot;/&gt;&lt;wsp:rsid wsp:val=&quot;773F1BDB&quot;/&gt;&lt;wsp:rsid wsp:val=&quot;77420E4E&quot;/&gt;&lt;wsp:rsid wsp:val=&quot;774249AA&quot;/&gt;&lt;wsp:rsid wsp:val=&quot;77440722&quot;/&gt;&lt;wsp:rsid wsp:val=&quot;774424D0&quot;/&gt;&lt;wsp:rsid wsp:val=&quot;77456248&quot;/&gt;&lt;wsp:rsid wsp:val=&quot;774A6156&quot;/&gt;&lt;wsp:rsid wsp:val=&quot;774D3A7A&quot;/&gt;&lt;wsp:rsid wsp:val=&quot;774E15A1&quot;/&gt;&lt;wsp:rsid wsp:val=&quot;774E334F&quot;/&gt;&lt;wsp:rsid wsp:val=&quot;774E77D5&quot;/&gt;&lt;wsp:rsid wsp:val=&quot;774E77F3&quot;/&gt;&lt;wsp:rsid wsp:val=&quot;77514BED&quot;/&gt;&lt;wsp:rsid wsp:val=&quot;77516680&quot;/&gt;&lt;wsp:rsid wsp:val=&quot;77530965&quot;/&gt;&lt;wsp:rsid wsp:val=&quot;775C1F10&quot;/&gt;&lt;wsp:rsid wsp:val=&quot;775C3CBE&quot;/&gt;&lt;wsp:rsid wsp:val=&quot;775E5C88&quot;/&gt;&lt;wsp:rsid wsp:val=&quot;77621424&quot;/&gt;&lt;wsp:rsid wsp:val=&quot;7762586D&quot;/&gt;&lt;wsp:rsid wsp:val=&quot;7763052D&quot;/&gt;&lt;wsp:rsid wsp:val=&quot;77640DC4&quot;/&gt;&lt;wsp:rsid wsp:val=&quot;77660698&quot;/&gt;&lt;wsp:rsid wsp:val=&quot;776606EA&quot;/&gt;&lt;wsp:rsid wsp:val=&quot;776668EA&quot;/&gt;&lt;wsp:rsid wsp:val=&quot;7767024F&quot;/&gt;&lt;wsp:rsid wsp:val=&quot;776963DA&quot;/&gt;&lt;wsp:rsid wsp:val=&quot;776B4E89&quot;/&gt;&lt;wsp:rsid wsp:val=&quot;776E39F1&quot;/&gt;&lt;wsp:rsid wsp:val=&quot;776E579F&quot;/&gt;&lt;wsp:rsid wsp:val=&quot;777059BB&quot;/&gt;&lt;wsp:rsid wsp:val=&quot;77721D03&quot;/&gt;&lt;wsp:rsid wsp:val=&quot;777234E1&quot;/&gt;&lt;wsp:rsid wsp:val=&quot;77725362&quot;/&gt;&lt;wsp:rsid wsp:val=&quot;77731007&quot;/&gt;&lt;wsp:rsid wsp:val=&quot;77741A85&quot;/&gt;&lt;wsp:rsid wsp:val=&quot;77755AC3&quot;/&gt;&lt;wsp:rsid wsp:val=&quot;77762421&quot;/&gt;&lt;wsp:rsid wsp:val=&quot;77784870&quot;/&gt;&lt;wsp:rsid wsp:val=&quot;7778661E&quot;/&gt;&lt;wsp:rsid wsp:val=&quot;777C4360&quot;/&gt;&lt;wsp:rsid wsp:val=&quot;777C7EBC&quot;/&gt;&lt;wsp:rsid wsp:val=&quot;777D1E86&quot;/&gt;&lt;wsp:rsid wsp:val=&quot;777D3BB6&quot;/&gt;&lt;wsp:rsid wsp:val=&quot;777D3C34&quot;/&gt;&lt;wsp:rsid wsp:val=&quot;77811976&quot;/&gt;&lt;wsp:rsid wsp:val=&quot;7783749C&quot;/&gt;&lt;wsp:rsid wsp:val=&quot;77843214&quot;/&gt;&lt;wsp:rsid wsp:val=&quot;77846D70&quot;/&gt;&lt;wsp:rsid wsp:val=&quot;77857096&quot;/&gt;&lt;wsp:rsid wsp:val=&quot;77860D3A&quot;/&gt;&lt;wsp:rsid wsp:val=&quot;77862AE9&quot;/&gt;&lt;wsp:rsid wsp:val=&quot;778637D8&quot;/&gt;&lt;wsp:rsid wsp:val=&quot;778A35E9&quot;/&gt;&lt;wsp:rsid wsp:val=&quot;778B45A3&quot;/&gt;&lt;wsp:rsid wsp:val=&quot;778C3E77&quot;/&gt;&lt;wsp:rsid wsp:val=&quot;778D20C9&quot;/&gt;&lt;wsp:rsid wsp:val=&quot;778E4093&quot;/&gt;&lt;wsp:rsid wsp:val=&quot;778E7BEF&quot;/&gt;&lt;wsp:rsid wsp:val=&quot;77905715&quot;/&gt;&lt;wsp:rsid wsp:val=&quot;77925931&quot;/&gt;&lt;wsp:rsid wsp:val=&quot;77926AE4&quot;/&gt;&lt;wsp:rsid wsp:val=&quot;77933457&quot;/&gt;&lt;wsp:rsid wsp:val=&quot;7793469B&quot;/&gt;&lt;wsp:rsid wsp:val=&quot;77935205&quot;/&gt;&lt;wsp:rsid wsp:val=&quot;77951E3D&quot;/&gt;&lt;wsp:rsid wsp:val=&quot;77955421&quot;/&gt;&lt;wsp:rsid wsp:val=&quot;77961B8C&quot;/&gt;&lt;wsp:rsid wsp:val=&quot;77996CC0&quot;/&gt;&lt;wsp:rsid wsp:val=&quot;779A47E6&quot;/&gt;&lt;wsp:rsid wsp:val=&quot;779A6594&quot;/&gt;&lt;wsp:rsid wsp:val=&quot;779B0572&quot;/&gt;&lt;wsp:rsid wsp:val=&quot;779B4CA4&quot;/&gt;&lt;wsp:rsid wsp:val=&quot;779D7E32&quot;/&gt;&lt;wsp:rsid wsp:val=&quot;779E726F&quot;/&gt;&lt;wsp:rsid wsp:val=&quot;77A03606&quot;/&gt;&lt;wsp:rsid wsp:val=&quot;77A1170C&quot;/&gt;&lt;wsp:rsid wsp:val=&quot;77A15B74&quot;/&gt;&lt;wsp:rsid wsp:val=&quot;77A17922&quot;/&gt;&lt;wsp:rsid wsp:val=&quot;77A46D61&quot;/&gt;&lt;wsp:rsid wsp:val=&quot;77A47413&quot;/&gt;&lt;wsp:rsid wsp:val=&quot;77A613DD&quot;/&gt;&lt;wsp:rsid wsp:val=&quot;77A7663E&quot;/&gt;&lt;wsp:rsid wsp:val=&quot;77A85155&quot;/&gt;&lt;wsp:rsid wsp:val=&quot;77A94A29&quot;/&gt;&lt;wsp:rsid wsp:val=&quot;77AC54F3&quot;/&gt;&lt;wsp:rsid wsp:val=&quot;77AD276B&quot;/&gt;&lt;wsp:rsid wsp:val=&quot;77AD4519&quot;/&gt;&lt;wsp:rsid wsp:val=&quot;77AE0291&quot;/&gt;&lt;wsp:rsid wsp:val=&quot;77AF64E3&quot;/&gt;&lt;wsp:rsid wsp:val=&quot;77B27D81&quot;/&gt;&lt;wsp:rsid wsp:val=&quot;77B51620&quot;/&gt;&lt;wsp:rsid wsp:val=&quot;77B533CE&quot;/&gt;&lt;wsp:rsid wsp:val=&quot;77B56B1F&quot;/&gt;&lt;wsp:rsid wsp:val=&quot;77B70EF4&quot;/&gt;&lt;wsp:rsid wsp:val=&quot;77B91110&quot;/&gt;&lt;wsp:rsid wsp:val=&quot;77B91A3C&quot;/&gt;&lt;wsp:rsid wsp:val=&quot;77BC475C&quot;/&gt;&lt;wsp:rsid wsp:val=&quot;77BF304D&quot;/&gt;&lt;wsp:rsid wsp:val=&quot;77BF5FFA&quot;/&gt;&lt;wsp:rsid wsp:val=&quot;77C10022&quot;/&gt;&lt;wsp:rsid wsp:val=&quot;77C16217&quot;/&gt;&lt;wsp:rsid wsp:val=&quot;77C523BF&quot;/&gt;&lt;wsp:rsid wsp:val=&quot;77C60C6B&quot;/&gt;&lt;wsp:rsid wsp:val=&quot;77C67389&quot;/&gt;&lt;wsp:rsid wsp:val=&quot;77C81353&quot;/&gt;&lt;wsp:rsid wsp:val=&quot;77C90C27&quot;/&gt;&lt;wsp:rsid wsp:val=&quot;77CA50CB&quot;/&gt;&lt;wsp:rsid wsp:val=&quot;77CB2BF1&quot;/&gt;&lt;wsp:rsid wsp:val=&quot;77CB499F&quot;/&gt;&lt;wsp:rsid wsp:val=&quot;77CD6969&quot;/&gt;&lt;wsp:rsid wsp:val=&quot;77CE623E&quot;/&gt;&lt;wsp:rsid wsp:val=&quot;77CF26E1&quot;/&gt;&lt;wsp:rsid wsp:val=&quot;77D01FB6&quot;/&gt;&lt;wsp:rsid wsp:val=&quot;77D21742&quot;/&gt;&lt;wsp:rsid wsp:val=&quot;77D37580&quot;/&gt;&lt;wsp:rsid wsp:val=&quot;77D45F4A&quot;/&gt;&lt;wsp:rsid wsp:val=&quot;77D5581E&quot;/&gt;&lt;wsp:rsid wsp:val=&quot;77D575CC&quot;/&gt;&lt;wsp:rsid wsp:val=&quot;77D870BC&quot;/&gt;&lt;wsp:rsid wsp:val=&quot;77D93560&quot;/&gt;&lt;wsp:rsid wsp:val=&quot;77DA1086&quot;/&gt;&lt;wsp:rsid wsp:val=&quot;77DA4BE2&quot;/&gt;&lt;wsp:rsid wsp:val=&quot;77DC095A&quot;/&gt;&lt;wsp:rsid wsp:val=&quot;77DD6EF2&quot;/&gt;&lt;wsp:rsid wsp:val=&quot;77DE12E7&quot;/&gt;&lt;wsp:rsid wsp:val=&quot;77DF044B&quot;/&gt;&lt;wsp:rsid wsp:val=&quot;77DF669D&quot;/&gt;&lt;wsp:rsid wsp:val=&quot;77E15F71&quot;/&gt;&lt;wsp:rsid wsp:val=&quot;77E31CE9&quot;/&gt;&lt;wsp:rsid wsp:val=&quot;77E51F05&quot;/&gt;&lt;wsp:rsid wsp:val=&quot;77E616E5&quot;/&gt;&lt;wsp:rsid wsp:val=&quot;77E81E45&quot;/&gt;&lt;wsp:rsid wsp:val=&quot;77E837A3&quot;/&gt;&lt;wsp:rsid wsp:val=&quot;77E84005&quot;/&gt;&lt;wsp:rsid wsp:val=&quot;77EA751B&quot;/&gt;&lt;wsp:rsid wsp:val=&quot;77EE6736&quot;/&gt;&lt;wsp:rsid wsp:val=&quot;77EF68E0&quot;/&gt;&lt;wsp:rsid wsp:val=&quot;77F04406&quot;/&gt;&lt;wsp:rsid wsp:val=&quot;77F17B5B&quot;/&gt;&lt;wsp:rsid wsp:val=&quot;77F2017E&quot;/&gt;&lt;wsp:rsid wsp:val=&quot;77F24622&quot;/&gt;&lt;wsp:rsid wsp:val=&quot;77F42148&quot;/&gt;&lt;wsp:rsid wsp:val=&quot;77F71C38&quot;/&gt;&lt;wsp:rsid wsp:val=&quot;77F739E6&quot;/&gt;&lt;wsp:rsid wsp:val=&quot;77F94095&quot;/&gt;&lt;wsp:rsid wsp:val=&quot;77F9775E&quot;/&gt;&lt;wsp:rsid wsp:val=&quot;77FA34D6&quot;/&gt;&lt;wsp:rsid wsp:val=&quot;77FC0D3A&quot;/&gt;&lt;wsp:rsid wsp:val=&quot;77FC2DAB&quot;/&gt;&lt;wsp:rsid wsp:val=&quot;77FC724F&quot;/&gt;&lt;wsp:rsid wsp:val=&quot;77FF289B&quot;/&gt;&lt;wsp:rsid wsp:val=&quot;7801371C&quot;/&gt;&lt;wsp:rsid wsp:val=&quot;78014F60&quot;/&gt;&lt;wsp:rsid wsp:val=&quot;780305DD&quot;/&gt;&lt;wsp:rsid wsp:val=&quot;78030C0D&quot;/&gt;&lt;wsp:rsid wsp:val=&quot;7804209D&quot;/&gt;&lt;wsp:rsid wsp:val=&quot;780600CD&quot;/&gt;&lt;wsp:rsid wsp:val=&quot;78063C29&quot;/&gt;&lt;wsp:rsid wsp:val=&quot;780954C8&quot;/&gt;&lt;wsp:rsid wsp:val=&quot;780A196C&quot;/&gt;&lt;wsp:rsid wsp:val=&quot;780B56E4&quot;/&gt;&lt;wsp:rsid wsp:val=&quot;780B7492&quot;/&gt;&lt;wsp:rsid wsp:val=&quot;780F09F4&quot;/&gt;&lt;wsp:rsid wsp:val=&quot;780F51E9&quot;/&gt;&lt;wsp:rsid wsp:val=&quot;781118C2&quot;/&gt;&lt;wsp:rsid wsp:val=&quot;78120820&quot;/&gt;&lt;wsp:rsid wsp:val=&quot;78126A72&quot;/&gt;&lt;wsp:rsid wsp:val=&quot;78153E6C&quot;/&gt;&lt;wsp:rsid wsp:val=&quot;78175E36&quot;/&gt;&lt;wsp:rsid wsp:val=&quot;78177BE5&quot;/&gt;&lt;wsp:rsid wsp:val=&quot;781850C6&quot;/&gt;&lt;wsp:rsid wsp:val=&quot;78185266&quot;/&gt;&lt;wsp:rsid wsp:val=&quot;78191BAF&quot;/&gt;&lt;wsp:rsid wsp:val=&quot;7819395D&quot;/&gt;&lt;wsp:rsid wsp:val=&quot;78197E01&quot;/&gt;&lt;wsp:rsid wsp:val=&quot;781A1483&quot;/&gt;&lt;wsp:rsid wsp:val=&quot;781C2EF4&quot;/&gt;&lt;wsp:rsid wsp:val=&quot;781C51FB&quot;/&gt;&lt;wsp:rsid wsp:val=&quot;781C6122&quot;/&gt;&lt;wsp:rsid wsp:val=&quot;781E0F73&quot;/&gt;&lt;wsp:rsid wsp:val=&quot;781E5814&quot;/&gt;&lt;wsp:rsid wsp:val=&quot;781F5F02&quot;/&gt;&lt;wsp:rsid wsp:val=&quot;78200914&quot;/&gt;&lt;wsp:rsid wsp:val=&quot;7820118F&quot;/&gt;&lt;wsp:rsid wsp:val=&quot;782347DB&quot;/&gt;&lt;wsp:rsid wsp:val=&quot;782567A5&quot;/&gt;&lt;wsp:rsid wsp:val=&quot;78267E28&quot;/&gt;&lt;wsp:rsid wsp:val=&quot;78280044&quot;/&gt;&lt;wsp:rsid wsp:val=&quot;78283BA0&quot;/&gt;&lt;wsp:rsid wsp:val=&quot;782A5B6A&quot;/&gt;&lt;wsp:rsid wsp:val=&quot;782B3690&quot;/&gt;&lt;wsp:rsid wsp:val=&quot;782B3824&quot;/&gt;&lt;wsp:rsid wsp:val=&quot;782B4FD1&quot;/&gt;&lt;wsp:rsid wsp:val=&quot;783267CC&quot;/&gt;&lt;wsp:rsid wsp:val=&quot;78340796&quot;/&gt;&lt;wsp:rsid wsp:val=&quot;78342545&quot;/&gt;&lt;wsp:rsid wsp:val=&quot;78370287&quot;/&gt;&lt;wsp:rsid wsp:val=&quot;78372035&quot;/&gt;&lt;wsp:rsid wsp:val=&quot;78393FFF&quot;/&gt;&lt;wsp:rsid wsp:val=&quot;78397B5B&quot;/&gt;&lt;wsp:rsid wsp:val=&quot;783B1B25&quot;/&gt;&lt;wsp:rsid wsp:val=&quot;783B7D77&quot;/&gt;&lt;wsp:rsid wsp:val=&quot;783E0C02&quot;/&gt;&lt;wsp:rsid wsp:val=&quot;783E1615&quot;/&gt;&lt;wsp:rsid wsp:val=&quot;7840538D&quot;/&gt;&lt;wsp:rsid wsp:val=&quot;78411105&quot;/&gt;&lt;wsp:rsid wsp:val=&quot;78412EB3&quot;/&gt;&lt;wsp:rsid wsp:val=&quot;78414C61&quot;/&gt;&lt;wsp:rsid wsp:val=&quot;7842246B&quot;/&gt;&lt;wsp:rsid wsp:val=&quot;78434E7D&quot;/&gt;&lt;wsp:rsid wsp:val=&quot;7844495E&quot;/&gt;&lt;wsp:rsid wsp:val=&quot;784529A4&quot;/&gt;&lt;wsp:rsid wsp:val=&quot;78461E4F&quot;/&gt;&lt;wsp:rsid wsp:val=&quot;78462278&quot;/&gt;&lt;wsp:rsid wsp:val=&quot;78482494&quot;/&gt;&lt;wsp:rsid wsp:val=&quot;78497340&quot;/&gt;&lt;wsp:rsid wsp:val=&quot;784A33A1&quot;/&gt;&lt;wsp:rsid wsp:val=&quot;784A446A&quot;/&gt;&lt;wsp:rsid wsp:val=&quot;784A620C&quot;/&gt;&lt;wsp:rsid wsp:val=&quot;784C1F84&quot;/&gt;&lt;wsp:rsid wsp:val=&quot;784D023A&quot;/&gt;&lt;wsp:rsid wsp:val=&quot;784D7AAA&quot;/&gt;&lt;wsp:rsid wsp:val=&quot;784F35A8&quot;/&gt;&lt;wsp:rsid wsp:val=&quot;784F55D0&quot;/&gt;&lt;wsp:rsid wsp:val=&quot;78520C1D&quot;/&gt;&lt;wsp:rsid wsp:val=&quot;78540E39&quot;/&gt;&lt;wsp:rsid wsp:val=&quot;7854343D&quot;/&gt;&lt;wsp:rsid wsp:val=&quot;7855070D&quot;/&gt;&lt;wsp:rsid wsp:val=&quot;78570929&quot;/&gt;&lt;wsp:rsid wsp:val=&quot;78571CD3&quot;/&gt;&lt;wsp:rsid wsp:val=&quot;785726D7&quot;/&gt;&lt;wsp:rsid wsp:val=&quot;78574485&quot;/&gt;&lt;wsp:rsid wsp:val=&quot;785B21C7&quot;/&gt;&lt;wsp:rsid wsp:val=&quot;785C7CED&quot;/&gt;&lt;wsp:rsid wsp:val=&quot;785E5399&quot;/&gt;&lt;wsp:rsid wsp:val=&quot;7860333A&quot;/&gt;&lt;wsp:rsid wsp:val=&quot;786077DD&quot;/&gt;&lt;wsp:rsid wsp:val=&quot;78610809&quot;/&gt;&lt;wsp:rsid wsp:val=&quot;78615304&quot;/&gt;&lt;wsp:rsid wsp:val=&quot;78623556&quot;/&gt;&lt;wsp:rsid wsp:val=&quot;78650950&quot;/&gt;&lt;wsp:rsid wsp:val=&quot;78650EDE&quot;/&gt;&lt;wsp:rsid wsp:val=&quot;78654DF4&quot;/&gt;&lt;wsp:rsid wsp:val=&quot;78656BA2&quot;/&gt;&lt;wsp:rsid wsp:val=&quot;786646C8&quot;/&gt;&lt;wsp:rsid wsp:val=&quot;78670B6C&quot;/&gt;&lt;wsp:rsid wsp:val=&quot;78686692&quot;/&gt;&lt;wsp:rsid wsp:val=&quot;78697DBA&quot;/&gt;&lt;wsp:rsid wsp:val=&quot;786A065C&quot;/&gt;&lt;wsp:rsid wsp:val=&quot;786B1CDE&quot;/&gt;&lt;wsp:rsid wsp:val=&quot;786D1EFA&quot;/&gt;&lt;wsp:rsid wsp:val=&quot;786D3CA8&quot;/&gt;&lt;wsp:rsid wsp:val=&quot;787119EB&quot;/&gt;&lt;wsp:rsid wsp:val=&quot;78715547&quot;/&gt;&lt;wsp:rsid wsp:val=&quot;78743289&quot;/&gt;&lt;wsp:rsid wsp:val=&quot;78760DAF&quot;/&gt;&lt;wsp:rsid wsp:val=&quot;78762B5D&quot;/&gt;&lt;wsp:rsid wsp:val=&quot;78774B27&quot;/&gt;&lt;wsp:rsid wsp:val=&quot;78782D79&quot;/&gt;&lt;wsp:rsid wsp:val=&quot;7878384E&quot;/&gt;&lt;wsp:rsid wsp:val=&quot;787943FB&quot;/&gt;&lt;wsp:rsid wsp:val=&quot;787B63C5&quot;/&gt;&lt;wsp:rsid wsp:val=&quot;787C3EEC&quot;/&gt;&lt;wsp:rsid wsp:val=&quot;787E6574&quot;/&gt;&lt;wsp:rsid wsp:val=&quot;787E7C64&quot;/&gt;&lt;wsp:rsid wsp:val=&quot;7880578A&quot;/&gt;&lt;wsp:rsid wsp:val=&quot;78822A65&quot;/&gt;&lt;wsp:rsid wsp:val=&quot;78827754&quot;/&gt;&lt;wsp:rsid wsp:val=&quot;7883171E&quot;/&gt;&lt;wsp:rsid wsp:val=&quot;788334CC&quot;/&gt;&lt;wsp:rsid wsp:val=&quot;7883527A&quot;/&gt;&lt;wsp:rsid wsp:val=&quot;78836649&quot;/&gt;&lt;wsp:rsid wsp:val=&quot;78850FF2&quot;/&gt;&lt;wsp:rsid wsp:val=&quot;788555E3&quot;/&gt;&lt;wsp:rsid wsp:val=&quot;78855ED8&quot;/&gt;&lt;wsp:rsid wsp:val=&quot;788717DD&quot;/&gt;&lt;wsp:rsid wsp:val=&quot;78884C81&quot;/&gt;&lt;wsp:rsid wsp:val=&quot;788A03B6&quot;/&gt;&lt;wsp:rsid wsp:val=&quot;788A136D&quot;/&gt;&lt;wsp:rsid wsp:val=&quot;788A3512&quot;/&gt;&lt;wsp:rsid wsp:val=&quot;788A6608&quot;/&gt;&lt;wsp:rsid wsp:val=&quot;788A686C&quot;/&gt;&lt;wsp:rsid wsp:val=&quot;788B412F&quot;/&gt;&lt;wsp:rsid wsp:val=&quot;788C2381&quot;/&gt;&lt;wsp:rsid wsp:val=&quot;788D434B&quot;/&gt;&lt;wsp:rsid wsp:val=&quot;788D5D25&quot;/&gt;&lt;wsp:rsid wsp:val=&quot;788D60F9&quot;/&gt;&lt;wsp:rsid wsp:val=&quot;788F3C1F&quot;/&gt;&lt;wsp:rsid wsp:val=&quot;789154FC&quot;/&gt;&lt;wsp:rsid wsp:val=&quot;7892370F&quot;/&gt;&lt;wsp:rsid wsp:val=&quot;78944D1F&quot;/&gt;&lt;wsp:rsid wsp:val=&quot;78947487&quot;/&gt;&lt;wsp:rsid wsp:val=&quot;78972AD3&quot;/&gt;&lt;wsp:rsid wsp:val=&quot;78986183&quot;/&gt;&lt;wsp:rsid wsp:val=&quot;78986F77&quot;/&gt;&lt;wsp:rsid wsp:val=&quot;789B6A68&quot;/&gt;&lt;wsp:rsid wsp:val=&quot;789D458E&quot;/&gt;&lt;wsp:rsid wsp:val=&quot;789E02CE&quot;/&gt;&lt;wsp:rsid wsp:val=&quot;789E0306&quot;/&gt;&lt;wsp:rsid wsp:val=&quot;78A05C89&quot;/&gt;&lt;wsp:rsid wsp:val=&quot;78A05E2C&quot;/&gt;&lt;wsp:rsid wsp:val=&quot;78A222B9&quot;/&gt;&lt;wsp:rsid wsp:val=&quot;78A23952&quot;/&gt;&lt;wsp:rsid wsp:val=&quot;78A376CA&quot;/&gt;&lt;wsp:rsid wsp:val=&quot;78A5100B&quot;/&gt;&lt;wsp:rsid wsp:val=&quot;78A53442&quot;/&gt;&lt;wsp:rsid wsp:val=&quot;78A551F0&quot;/&gt;&lt;wsp:rsid wsp:val=&quot;78A70F68&quot;/&gt;&lt;wsp:rsid wsp:val=&quot;78A84CE1&quot;/&gt;&lt;wsp:rsid wsp:val=&quot;78A90480&quot;/&gt;&lt;wsp:rsid wsp:val=&quot;78A94CD1&quot;/&gt;&lt;wsp:rsid wsp:val=&quot;78AC7AAF&quot;/&gt;&lt;wsp:rsid wsp:val=&quot;78AD0549&quot;/&gt;&lt;wsp:rsid wsp:val=&quot;78AD54CB&quot;/&gt;&lt;wsp:rsid wsp:val=&quot;78AE679B&quot;/&gt;&lt;wsp:rsid wsp:val=&quot;78AF42C1&quot;/&gt;&lt;wsp:rsid wsp:val=&quot;78B418D7&quot;/&gt;&lt;wsp:rsid wsp:val=&quot;78B450B4&quot;/&gt;&lt;wsp:rsid wsp:val=&quot;78B6564F&quot;/&gt;&lt;wsp:rsid wsp:val=&quot;78B673FD&quot;/&gt;&lt;wsp:rsid wsp:val=&quot;78B67AE2&quot;/&gt;&lt;wsp:rsid wsp:val=&quot;78B77027&quot;/&gt;&lt;wsp:rsid wsp:val=&quot;78BD078C&quot;/&gt;&lt;wsp:rsid wsp:val=&quot;78BE3412&quot;/&gt;&lt;wsp:rsid wsp:val=&quot;78BE4504&quot;/&gt;&lt;wsp:rsid wsp:val=&quot;78BE5B70&quot;/&gt;&lt;wsp:rsid wsp:val=&quot;78BE5FE3&quot;/&gt;&lt;wsp:rsid wsp:val=&quot;78BE62B2&quot;/&gt;&lt;wsp:rsid wsp:val=&quot;78C0027C&quot;/&gt;&lt;wsp:rsid wsp:val=&quot;78C03D81&quot;/&gt;&lt;wsp:rsid wsp:val=&quot;78C20243&quot;/&gt;&lt;wsp:rsid wsp:val=&quot;78C25DA2&quot;/&gt;&lt;wsp:rsid wsp:val=&quot;78C31B1A&quot;/&gt;&lt;wsp:rsid wsp:val=&quot;78C338C8&quot;/&gt;&lt;wsp:rsid wsp:val=&quot;78C7099A&quot;/&gt;&lt;wsp:rsid wsp:val=&quot;78C733B9&quot;/&gt;&lt;wsp:rsid wsp:val=&quot;78C9039A&quot;/&gt;&lt;wsp:rsid wsp:val=&quot;78C935D5&quot;/&gt;&lt;wsp:rsid wsp:val=&quot;78CA2EA9&quot;/&gt;&lt;wsp:rsid wsp:val=&quot;78CA30F6&quot;/&gt;&lt;wsp:rsid wsp:val=&quot;78CA4C09&quot;/&gt;&lt;wsp:rsid wsp:val=&quot;78CC6C21&quot;/&gt;&lt;wsp:rsid wsp:val=&quot;78D22D18&quot;/&gt;&lt;wsp:rsid wsp:val=&quot;78D6184E&quot;/&gt;&lt;wsp:rsid wsp:val=&quot;78D65B77&quot;/&gt;&lt;wsp:rsid wsp:val=&quot;78D83818&quot;/&gt;&lt;wsp:rsid wsp:val=&quot;78DA6420&quot;/&gt;&lt;wsp:rsid wsp:val=&quot;78DA7590&quot;/&gt;&lt;wsp:rsid wsp:val=&quot;78DB4035&quot;/&gt;&lt;wsp:rsid wsp:val=&quot;78DB50B6&quot;/&gt;&lt;wsp:rsid wsp:val=&quot;78DB6BE4&quot;/&gt;&lt;wsp:rsid wsp:val=&quot;78DC222C&quot;/&gt;&lt;wsp:rsid wsp:val=&quot;78DD498A&quot;/&gt;&lt;wsp:rsid wsp:val=&quot;78DE6954&quot;/&gt;&lt;wsp:rsid wsp:val=&quot;78DF1567&quot;/&gt;&lt;wsp:rsid wsp:val=&quot;78DF7126&quot;/&gt;&lt;wsp:rsid wsp:val=&quot;78E0091E&quot;/&gt;&lt;wsp:rsid wsp:val=&quot;78E15AA7&quot;/&gt;&lt;wsp:rsid wsp:val=&quot;78E353DE&quot;/&gt;&lt;wsp:rsid wsp:val=&quot;78E35D19&quot;/&gt;&lt;wsp:rsid wsp:val=&quot;78E51A91&quot;/&gt;&lt;wsp:rsid wsp:val=&quot;78E57CE3&quot;/&gt;&lt;wsp:rsid wsp:val=&quot;78E66F3A&quot;/&gt;&lt;wsp:rsid wsp:val=&quot;78E7615E&quot;/&gt;&lt;wsp:rsid wsp:val=&quot;78E81581&quot;/&gt;&lt;wsp:rsid wsp:val=&quot;78EA52F9&quot;/&gt;&lt;wsp:rsid wsp:val=&quot;78EC1071&quot;/&gt;&lt;wsp:rsid wsp:val=&quot;78EE303B&quot;/&gt;&lt;wsp:rsid wsp:val=&quot;78EF0B61&quot;/&gt;&lt;wsp:rsid wsp:val=&quot;78EF46BD&quot;/&gt;&lt;wsp:rsid wsp:val=&quot;78F1477F&quot;/&gt;&lt;wsp:rsid wsp:val=&quot;78F30652&quot;/&gt;&lt;wsp:rsid wsp:val=&quot;78F41CD4&quot;/&gt;&lt;wsp:rsid wsp:val=&quot;78F46178&quot;/&gt;&lt;wsp:rsid wsp:val=&quot;78F85C68&quot;/&gt;&lt;wsp:rsid wsp:val=&quot;78F9378E&quot;/&gt;&lt;wsp:rsid wsp:val=&quot;78F9553C&quot;/&gt;&lt;wsp:rsid wsp:val=&quot;78FB12B4&quot;/&gt;&lt;wsp:rsid wsp:val=&quot;78FC1ED6&quot;/&gt;&lt;wsp:rsid wsp:val=&quot;78FF66E6&quot;/&gt;&lt;wsp:rsid wsp:val=&quot;79010967&quot;/&gt;&lt;wsp:rsid wsp:val=&quot;79014BF0&quot;/&gt;&lt;wsp:rsid wsp:val=&quot;7902172F&quot;/&gt;&lt;wsp:rsid wsp:val=&quot;79022643&quot;/&gt;&lt;wsp:rsid wsp:val=&quot;790243F1&quot;/&gt;&lt;wsp:rsid wsp:val=&quot;79030169&quot;/&gt;&lt;wsp:rsid wsp:val=&quot;79035A3D&quot;/&gt;&lt;wsp:rsid wsp:val=&quot;79040CED&quot;/&gt;&lt;wsp:rsid wsp:val=&quot;7904460D&quot;/&gt;&lt;wsp:rsid wsp:val=&quot;79052133&quot;/&gt;&lt;wsp:rsid wsp:val=&quot;79055BA7&quot;/&gt;&lt;wsp:rsid wsp:val=&quot;790740FD&quot;/&gt;&lt;wsp:rsid wsp:val=&quot;790939D1&quot;/&gt;&lt;wsp:rsid wsp:val=&quot;790A181D&quot;/&gt;&lt;wsp:rsid wsp:val=&quot;790A7749&quot;/&gt;&lt;wsp:rsid wsp:val=&quot;790C34C1&quot;/&gt;&lt;wsp:rsid wsp:val=&quot;790C526F&quot;/&gt;&lt;wsp:rsid wsp:val=&quot;790E0FE8&quot;/&gt;&lt;wsp:rsid wsp:val=&quot;790E7239&quot;/&gt;&lt;wsp:rsid wsp:val=&quot;790F4D60&quot;/&gt;&lt;wsp:rsid wsp:val=&quot;79105D70&quot;/&gt;&lt;wsp:rsid wsp:val=&quot;79112886&quot;/&gt;&lt;wsp:rsid wsp:val=&quot;79134850&quot;/&gt;&lt;wsp:rsid wsp:val=&quot;79144124&quot;/&gt;&lt;wsp:rsid wsp:val=&quot;791505C8&quot;/&gt;&lt;wsp:rsid wsp:val=&quot;79164340&quot;/&gt;&lt;wsp:rsid wsp:val=&quot;791660EE&quot;/&gt;&lt;wsp:rsid wsp:val=&quot;79175B42&quot;/&gt;&lt;wsp:rsid wsp:val=&quot;7918575E&quot;/&gt;&lt;wsp:rsid wsp:val=&quot;791A3913&quot;/&gt;&lt;wsp:rsid wsp:val=&quot;791A3E30&quot;/&gt;&lt;wsp:rsid wsp:val=&quot;791A5BDE&quot;/&gt;&lt;wsp:rsid wsp:val=&quot;791A693D&quot;/&gt;&lt;wsp:rsid wsp:val=&quot;791B299E&quot;/&gt;&lt;wsp:rsid wsp:val=&quot;791B54B2&quot;/&gt;&lt;wsp:rsid wsp:val=&quot;791E4FA3&quot;/&gt;&lt;wsp:rsid wsp:val=&quot;791F1447&quot;/&gt;&lt;wsp:rsid wsp:val=&quot;791F6F11&quot;/&gt;&lt;wsp:rsid wsp:val=&quot;79200D1B&quot;/&gt;&lt;wsp:rsid wsp:val=&quot;79202AC9&quot;/&gt;&lt;wsp:rsid wsp:val=&quot;79217840&quot;/&gt;&lt;wsp:rsid wsp:val=&quot;79224A93&quot;/&gt;&lt;wsp:rsid wsp:val=&quot;79246A5D&quot;/&gt;&lt;wsp:rsid wsp:val=&quot;79246F07&quot;/&gt;&lt;wsp:rsid wsp:val=&quot;792702FB&quot;/&gt;&lt;wsp:rsid wsp:val=&quot;79270F41&quot;/&gt;&lt;wsp:rsid wsp:val=&quot;7927654D&quot;/&gt;&lt;wsp:rsid wsp:val=&quot;79284F5D&quot;/&gt;&lt;wsp:rsid wsp:val=&quot;79294073&quot;/&gt;&lt;wsp:rsid wsp:val=&quot;79297BCF&quot;/&gt;&lt;wsp:rsid wsp:val=&quot;792A3948&quot;/&gt;&lt;wsp:rsid wsp:val=&quot;79312F28&quot;/&gt;&lt;wsp:rsid wsp:val=&quot;79330C25&quot;/&gt;&lt;wsp:rsid wsp:val=&quot;79334EF2&quot;/&gt;&lt;wsp:rsid wsp:val=&quot;793367B4&quot;/&gt;&lt;wsp:rsid wsp:val=&quot;79346574&quot;/&gt;&lt;wsp:rsid wsp:val=&quot;79382508&quot;/&gt;&lt;wsp:rsid wsp:val=&quot;79386064&quot;/&gt;&lt;wsp:rsid wsp:val=&quot;79395A06&quot;/&gt;&lt;wsp:rsid wsp:val=&quot;793B7903&quot;/&gt;&lt;wsp:rsid wsp:val=&quot;793C0847&quot;/&gt;&lt;wsp:rsid wsp:val=&quot;793D367B&quot;/&gt;&lt;wsp:rsid wsp:val=&quot;793D7B1F&quot;/&gt;&lt;wsp:rsid wsp:val=&quot;793E1FC4&quot;/&gt;&lt;wsp:rsid wsp:val=&quot;793F3897&quot;/&gt;&lt;wsp:rsid wsp:val=&quot;794013BD&quot;/&gt;&lt;wsp:rsid wsp:val=&quot;7940316B&quot;/&gt;&lt;wsp:rsid wsp:val=&quot;79403229&quot;/&gt;&lt;wsp:rsid wsp:val=&quot;79436833&quot;/&gt;&lt;wsp:rsid wsp:val=&quot;79442C5B&quot;/&gt;&lt;wsp:rsid wsp:val=&quot;79450781&quot;/&gt;&lt;wsp:rsid wsp:val=&quot;79454555&quot;/&gt;&lt;wsp:rsid wsp:val=&quot;79462DC9&quot;/&gt;&lt;wsp:rsid wsp:val=&quot;79472CD7&quot;/&gt;&lt;wsp:rsid wsp:val=&quot;794762A8&quot;/&gt;&lt;wsp:rsid wsp:val=&quot;79492020&quot;/&gt;&lt;wsp:rsid wsp:val=&quot;794C38BE&quot;/&gt;&lt;wsp:rsid wsp:val=&quot;794C5FB4&quot;/&gt;&lt;wsp:rsid wsp:val=&quot;794C7D62&quot;/&gt;&lt;wsp:rsid wsp:val=&quot;794E16AD&quot;/&gt;&lt;wsp:rsid wsp:val=&quot;794F04D8&quot;/&gt;&lt;wsp:rsid wsp:val=&quot;794F7F7D&quot;/&gt;&lt;wsp:rsid wsp:val=&quot;79507852&quot;/&gt;&lt;wsp:rsid wsp:val=&quot;79515378&quot;/&gt;&lt;wsp:rsid wsp:val=&quot;79517126&quot;/&gt;&lt;wsp:rsid wsp:val=&quot;7953020F&quot;/&gt;&lt;wsp:rsid wsp:val=&quot;795409C4&quot;/&gt;&lt;wsp:rsid wsp:val=&quot;7954169F&quot;/&gt;&lt;wsp:rsid wsp:val=&quot;79554E68&quot;/&gt;&lt;wsp:rsid wsp:val=&quot;79565C8F&quot;/&gt;&lt;wsp:rsid wsp:val=&quot;79570BE0&quot;/&gt;&lt;wsp:rsid wsp:val=&quot;79586707&quot;/&gt;&lt;wsp:rsid wsp:val=&quot;795A422D&quot;/&gt;&lt;wsp:rsid wsp:val=&quot;795A5FDB&quot;/&gt;&lt;wsp:rsid wsp:val=&quot;795B1D53&quot;/&gt;&lt;wsp:rsid wsp:val=&quot;795B7FFB&quot;/&gt;&lt;wsp:rsid wsp:val=&quot;795C7706&quot;/&gt;&lt;wsp:rsid wsp:val=&quot;795F5CE7&quot;/&gt;&lt;wsp:rsid wsp:val=&quot;796230E1&quot;/&gt;&lt;wsp:rsid wsp:val=&quot;79641194&quot;/&gt;&lt;wsp:rsid wsp:val=&quot;796432FD&quot;/&gt;&lt;wsp:rsid wsp:val=&quot;79646E59&quot;/&gt;&lt;wsp:rsid wsp:val=&quot;79677B15&quot;/&gt;&lt;wsp:rsid wsp:val=&quot;79694470&quot;/&gt;&lt;wsp:rsid wsp:val=&quot;796A7FA8&quot;/&gt;&lt;wsp:rsid wsp:val=&quot;796B643A&quot;/&gt;&lt;wsp:rsid wsp:val=&quot;796C21B2&quot;/&gt;&lt;wsp:rsid wsp:val=&quot;796C5D0E&quot;/&gt;&lt;wsp:rsid wsp:val=&quot;796C7DA7&quot;/&gt;&lt;wsp:rsid wsp:val=&quot;796E1A86&quot;/&gt;&lt;wsp:rsid wsp:val=&quot;79703A50&quot;/&gt;&lt;wsp:rsid wsp:val=&quot;79711576&quot;/&gt;&lt;wsp:rsid wsp:val=&quot;797177C8&quot;/&gt;&lt;wsp:rsid wsp:val=&quot;79725A1A&quot;/&gt;&lt;wsp:rsid wsp:val=&quot;79733540&quot;/&gt;&lt;wsp:rsid wsp:val=&quot;797608F4&quot;/&gt;&lt;wsp:rsid wsp:val=&quot;79764DDF&quot;/&gt;&lt;wsp:rsid wsp:val=&quot;7977760A&quot;/&gt;&lt;wsp:rsid wsp:val=&quot;79780B57&quot;/&gt;&lt;wsp:rsid wsp:val=&quot;79782905&quot;/&gt;&lt;wsp:rsid wsp:val=&quot;797846B3&quot;/&gt;&lt;wsp:rsid wsp:val=&quot;7978655F&quot;/&gt;&lt;wsp:rsid wsp:val=&quot;797C008D&quot;/&gt;&lt;wsp:rsid wsp:val=&quot;797C0647&quot;/&gt;&lt;wsp:rsid wsp:val=&quot;797D521B&quot;/&gt;&lt;wsp:rsid wsp:val=&quot;797D5D12&quot;/&gt;&lt;wsp:rsid wsp:val=&quot;797F0137&quot;/&gt;&lt;wsp:rsid wsp:val=&quot;797F2284&quot;/&gt;&lt;wsp:rsid wsp:val=&quot;79800E71&quot;/&gt;&lt;wsp:rsid wsp:val=&quot;79823784&quot;/&gt;&lt;wsp:rsid wsp:val=&quot;79824D37&quot;/&gt;&lt;wsp:rsid wsp:val=&quot;798451A5&quot;/&gt;&lt;wsp:rsid wsp:val=&quot;79866623&quot;/&gt;&lt;wsp:rsid wsp:val=&quot;79872B48&quot;/&gt;&lt;wsp:rsid wsp:val=&quot;79887A88&quot;/&gt;&lt;wsp:rsid wsp:val=&quot;798B088A&quot;/&gt;&lt;wsp:rsid wsp:val=&quot;798C63B0&quot;/&gt;&lt;wsp:rsid wsp:val=&quot;798E037A&quot;/&gt;&lt;wsp:rsid wsp:val=&quot;799040F2&quot;/&gt;&lt;wsp:rsid wsp:val=&quot;79905EA0&quot;/&gt;&lt;wsp:rsid wsp:val=&quot;79915775&quot;/&gt;&lt;wsp:rsid wsp:val=&quot;79921C19&quot;/&gt;&lt;wsp:rsid wsp:val=&quot;79933F60&quot;/&gt;&lt;wsp:rsid wsp:val=&quot;79955265&quot;/&gt;&lt;wsp:rsid wsp:val=&quot;79960FDD&quot;/&gt;&lt;wsp:rsid wsp:val=&quot;79961451&quot;/&gt;&lt;wsp:rsid wsp:val=&quot;79982FA7&quot;/&gt;&lt;wsp:rsid wsp:val=&quot;79986B03&quot;/&gt;&lt;wsp:rsid wsp:val=&quot;799B52C3&quot;/&gt;&lt;wsp:rsid wsp:val=&quot;799B65F3&quot;/&gt;&lt;wsp:rsid wsp:val=&quot;799C4845&quot;/&gt;&lt;wsp:rsid wsp:val=&quot;799D7107&quot;/&gt;&lt;wsp:rsid wsp:val=&quot;799F7E92&quot;/&gt;&lt;wsp:rsid wsp:val=&quot;79A33E26&quot;/&gt;&lt;wsp:rsid wsp:val=&quot;79A454A8&quot;/&gt;&lt;wsp:rsid wsp:val=&quot;79A47B9E&quot;/&gt;&lt;wsp:rsid wsp:val=&quot;79A623D6&quot;/&gt;&lt;wsp:rsid wsp:val=&quot;79A67472&quot;/&gt;&lt;wsp:rsid wsp:val=&quot;79A731EA&quot;/&gt;&lt;wsp:rsid wsp:val=&quot;79A74F98&quot;/&gt;&lt;wsp:rsid wsp:val=&quot;79A74FA7&quot;/&gt;&lt;wsp:rsid wsp:val=&quot;79AB2CDA&quot;/&gt;&lt;wsp:rsid wsp:val=&quot;79AB4A88&quot;/&gt;&lt;wsp:rsid wsp:val=&quot;79AC25AE&quot;/&gt;&lt;wsp:rsid wsp:val=&quot;79AD6A52&quot;/&gt;&lt;wsp:rsid wsp:val=&quot;79B002F1&quot;/&gt;&lt;wsp:rsid wsp:val=&quot;79B0209F&quot;/&gt;&lt;wsp:rsid wsp:val=&quot;79B06543&quot;/&gt;&lt;wsp:rsid wsp:val=&quot;79B17BC5&quot;/&gt;&lt;wsp:rsid wsp:val=&quot;79B24069&quot;/&gt;&lt;wsp:rsid wsp:val=&quot;79B3393D&quot;/&gt;&lt;wsp:rsid wsp:val=&quot;79B37DE1&quot;/&gt;&lt;wsp:rsid wsp:val=&quot;79B55907&quot;/&gt;&lt;wsp:rsid wsp:val=&quot;79B80F53&quot;/&gt;&lt;wsp:rsid wsp:val=&quot;79B871A5&quot;/&gt;&lt;wsp:rsid wsp:val=&quot;79B93FD2&quot;/&gt;&lt;wsp:rsid wsp:val=&quot;79BD0233&quot;/&gt;&lt;wsp:rsid wsp:val=&quot;79BD47BC&quot;/&gt;&lt;wsp:rsid wsp:val=&quot;79BD5FEF&quot;/&gt;&lt;wsp:rsid wsp:val=&quot;79BD656A&quot;/&gt;&lt;wsp:rsid wsp:val=&quot;79BE4E53&quot;/&gt;&lt;wsp:rsid wsp:val=&quot;79C124FE&quot;/&gt;&lt;wsp:rsid wsp:val=&quot;79C63670&quot;/&gt;&lt;wsp:rsid wsp:val=&quot;79C67B14&quot;/&gt;&lt;wsp:rsid wsp:val=&quot;79C778EB&quot;/&gt;&lt;wsp:rsid wsp:val=&quot;79C8563A&quot;/&gt;&lt;wsp:rsid wsp:val=&quot;79CA1A9B&quot;/&gt;&lt;wsp:rsid wsp:val=&quot;79CA7A1E&quot;/&gt;&lt;wsp:rsid wsp:val=&quot;79CB0C87&quot;/&gt;&lt;wsp:rsid wsp:val=&quot;79CB512B&quot;/&gt;&lt;wsp:rsid wsp:val=&quot;79CB6ED9&quot;/&gt;&lt;wsp:rsid wsp:val=&quot;79D00993&quot;/&gt;&lt;wsp:rsid wsp:val=&quot;79D02741&quot;/&gt;&lt;wsp:rsid wsp:val=&quot;79D0629D&quot;/&gt;&lt;wsp:rsid wsp:val=&quot;79D13345&quot;/&gt;&lt;wsp:rsid wsp:val=&quot;79D20267&quot;/&gt;&lt;wsp:rsid wsp:val=&quot;79D2705F&quot;/&gt;&lt;wsp:rsid wsp:val=&quot;79D55FA9&quot;/&gt;&lt;wsp:rsid wsp:val=&quot;79D57D57&quot;/&gt;&lt;wsp:rsid wsp:val=&quot;79D7587D&quot;/&gt;&lt;wsp:rsid wsp:val=&quot;79D81204&quot;/&gt;&lt;wsp:rsid wsp:val=&quot;79DA70F1&quot;/&gt;&lt;wsp:rsid wsp:val=&quot;79DC10E6&quot;/&gt;&lt;wsp:rsid wsp:val=&quot;79DF2984&quot;/&gt;&lt;wsp:rsid wsp:val=&quot;79E24222&quot;/&gt;&lt;wsp:rsid wsp:val=&quot;79E32474&quot;/&gt;&lt;wsp:rsid wsp:val=&quot;79E461EC&quot;/&gt;&lt;wsp:rsid wsp:val=&quot;79E61F64&quot;/&gt;&lt;wsp:rsid wsp:val=&quot;79E81839&quot;/&gt;&lt;wsp:rsid wsp:val=&quot;79E93803&quot;/&gt;&lt;wsp:rsid wsp:val=&quot;79E955B1&quot;/&gt;&lt;wsp:rsid wsp:val=&quot;79E9735F&quot;/&gt;&lt;wsp:rsid wsp:val=&quot;79EA61EA&quot;/&gt;&lt;wsp:rsid wsp:val=&quot;79EB1329&quot;/&gt;&lt;wsp:rsid wsp:val=&quot;79EB30D7&quot;/&gt;&lt;wsp:rsid wsp:val=&quot;79ED50A1&quot;/&gt;&lt;wsp:rsid wsp:val=&quot;79EE0E19&quot;/&gt;&lt;wsp:rsid wsp:val=&quot;79EF706B&quot;/&gt;&lt;wsp:rsid wsp:val=&quot;79F04B91&quot;/&gt;&lt;wsp:rsid wsp:val=&quot;79F0693F&quot;/&gt;&lt;wsp:rsid wsp:val=&quot;79F226B7&quot;/&gt;&lt;wsp:rsid wsp:val=&quot;79F3642F&quot;/&gt;&lt;wsp:rsid wsp:val=&quot;79F503F9&quot;/&gt;&lt;wsp:rsid wsp:val=&quot;79F53F55&quot;/&gt;&lt;wsp:rsid wsp:val=&quot;79F65ECE&quot;/&gt;&lt;wsp:rsid wsp:val=&quot;79F70513&quot;/&gt;&lt;wsp:rsid wsp:val=&quot;79F71A7C&quot;/&gt;&lt;wsp:rsid wsp:val=&quot;79FA2095&quot;/&gt;&lt;wsp:rsid wsp:val=&quot;79FE105C&quot;/&gt;&lt;wsp:rsid wsp:val=&quot;7A0423EA&quot;/&gt;&lt;wsp:rsid wsp:val=&quot;7A044199&quot;/&gt;&lt;wsp:rsid wsp:val=&quot;7A066163&quot;/&gt;&lt;wsp:rsid wsp:val=&quot;7A0917AF&quot;/&gt;&lt;wsp:rsid wsp:val=&quot;7A092C03&quot;/&gt;&lt;wsp:rsid wsp:val=&quot;7A0D129F&quot;/&gt;&lt;wsp:rsid wsp:val=&quot;7A100D8F&quot;/&gt;&lt;wsp:rsid wsp:val=&quot;7A102B3D&quot;/&gt;&lt;wsp:rsid wsp:val=&quot;7A106FE1&quot;/&gt;&lt;wsp:rsid wsp:val=&quot;7A13262E&quot;/&gt;&lt;wsp:rsid wsp:val=&quot;7A141089&quot;/&gt;&lt;wsp:rsid wsp:val=&quot;7A144D7D&quot;/&gt;&lt;wsp:rsid wsp:val=&quot;7A146AD1&quot;/&gt;&lt;wsp:rsid wsp:val=&quot;7A173ECC&quot;/&gt;&lt;wsp:rsid wsp:val=&quot;7A1A1C0E&quot;/&gt;&lt;wsp:rsid wsp:val=&quot;7A1A3B88&quot;/&gt;&lt;wsp:rsid wsp:val=&quot;7A1C5986&quot;/&gt;&lt;wsp:rsid wsp:val=&quot;7A2113E8&quot;/&gt;&lt;wsp:rsid wsp:val=&quot;7A24483B&quot;/&gt;&lt;wsp:rsid wsp:val=&quot;7A2465E9&quot;/&gt;&lt;wsp:rsid wsp:val=&quot;7A2605B3&quot;/&gt;&lt;wsp:rsid wsp:val=&quot;7A275D86&quot;/&gt;&lt;wsp:rsid wsp:val=&quot;7A281F9B&quot;/&gt;&lt;wsp:rsid wsp:val=&quot;7A28257D&quot;/&gt;&lt;wsp:rsid wsp:val=&quot;7A293BFF&quot;/&gt;&lt;wsp:rsid wsp:val=&quot;7A2A0A5F&quot;/&gt;&lt;wsp:rsid wsp:val=&quot;7A2B3E1B&quot;/&gt;&lt;wsp:rsid wsp:val=&quot;7A2B5BC9&quot;/&gt;&lt;wsp:rsid wsp:val=&quot;7A2B7977&quot;/&gt;&lt;wsp:rsid wsp:val=&quot;7A2C0507&quot;/&gt;&lt;wsp:rsid wsp:val=&quot;7A2C5F9D&quot;/&gt;&lt;wsp:rsid wsp:val=&quot;7A2D181E&quot;/&gt;&lt;wsp:rsid wsp:val=&quot;7A2D7B93&quot;/&gt;&lt;wsp:rsid wsp:val=&quot;7A2E4BCF&quot;/&gt;&lt;wsp:rsid wsp:val=&quot;7A301431&quot;/&gt;&lt;wsp:rsid wsp:val=&quot;7A304F8E&quot;/&gt;&lt;wsp:rsid wsp:val=&quot;7A31097F&quot;/&gt;&lt;wsp:rsid wsp:val=&quot;7A320D06&quot;/&gt;&lt;wsp:rsid wsp:val=&quot;7A326F58&quot;/&gt;&lt;wsp:rsid wsp:val=&quot;7A342CD0&quot;/&gt;&lt;wsp:rsid wsp:val=&quot;7A364017&quot;/&gt;&lt;wsp:rsid wsp:val=&quot;7A3727C0&quot;/&gt;&lt;wsp:rsid wsp:val=&quot;7A37456E&quot;/&gt;&lt;wsp:rsid wsp:val=&quot;7A383CAC&quot;/&gt;&lt;wsp:rsid wsp:val=&quot;7A392094&quot;/&gt;&lt;wsp:rsid wsp:val=&quot;7A3B3EC6&quot;/&gt;&lt;wsp:rsid wsp:val=&quot;7A3C3932&quot;/&gt;&lt;wsp:rsid wsp:val=&quot;7A3C7DD6&quot;/&gt;&lt;wsp:rsid wsp:val=&quot;7A3D1AF3&quot;/&gt;&lt;wsp:rsid wsp:val=&quot;7A3E58FC&quot;/&gt;&lt;wsp:rsid wsp:val=&quot;7A3E76AA&quot;/&gt;&lt;wsp:rsid wsp:val=&quot;7A401675&quot;/&gt;&lt;wsp:rsid wsp:val=&quot;7A41363F&quot;/&gt;&lt;wsp:rsid wsp:val=&quot;7A431E76&quot;/&gt;&lt;wsp:rsid wsp:val=&quot;7A456C8B&quot;/&gt;&lt;wsp:rsid wsp:val=&quot;7A462A03&quot;/&gt;&lt;wsp:rsid wsp:val=&quot;7A4A24F3&quot;/&gt;&lt;wsp:rsid wsp:val=&quot;7A4B0019&quot;/&gt;&lt;wsp:rsid wsp:val=&quot;7A4D3D91&quot;/&gt;&lt;wsp:rsid wsp:val=&quot;7A4E1337&quot;/&gt;&lt;wsp:rsid wsp:val=&quot;7A4F18B8&quot;/&gt;&lt;wsp:rsid wsp:val=&quot;7A505630&quot;/&gt;&lt;wsp:rsid wsp:val=&quot;7A5213A8&quot;/&gt;&lt;wsp:rsid wsp:val=&quot;7A5275FA&quot;/&gt;&lt;wsp:rsid wsp:val=&quot;7A540C7C&quot;/&gt;&lt;wsp:rsid wsp:val=&quot;7A545120&quot;/&gt;&lt;wsp:rsid wsp:val=&quot;7A56120A&quot;/&gt;&lt;wsp:rsid wsp:val=&quot;7A564142&quot;/&gt;&lt;wsp:rsid wsp:val=&quot;7A57269A&quot;/&gt;&lt;wsp:rsid wsp:val=&quot;7A5769BE&quot;/&gt;&lt;wsp:rsid wsp:val=&quot;7A594FBA&quot;/&gt;&lt;wsp:rsid wsp:val=&quot;7A5B64AE&quot;/&gt;&lt;wsp:rsid wsp:val=&quot;7A5C3FD5&quot;/&gt;&lt;wsp:rsid wsp:val=&quot;7A5C507C&quot;/&gt;&lt;wsp:rsid wsp:val=&quot;7A5C5D83&quot;/&gt;&lt;wsp:rsid wsp:val=&quot;7A5E5F9F&quot;/&gt;&lt;wsp:rsid wsp:val=&quot;7A603AC5&quot;/&gt;&lt;wsp:rsid wsp:val=&quot;7A61076D&quot;/&gt;&lt;wsp:rsid wsp:val=&quot;7A6115EB&quot;/&gt;&lt;wsp:rsid wsp:val=&quot;7A61783D&quot;/&gt;&lt;wsp:rsid wsp:val=&quot;7A623539&quot;/&gt;&lt;wsp:rsid wsp:val=&quot;7A627ABF&quot;/&gt;&lt;wsp:rsid wsp:val=&quot;7A635363&quot;/&gt;&lt;wsp:rsid wsp:val=&quot;7A637111&quot;/&gt;&lt;wsp:rsid wsp:val=&quot;7A655361&quot;/&gt;&lt;wsp:rsid wsp:val=&quot;7A6730A5&quot;/&gt;&lt;wsp:rsid wsp:val=&quot;7A68361F&quot;/&gt;&lt;wsp:rsid wsp:val=&quot;7A697680&quot;/&gt;&lt;wsp:rsid wsp:val=&quot;7A6B4218&quot;/&gt;&lt;wsp:rsid wsp:val=&quot;7A6E07E5&quot;/&gt;&lt;wsp:rsid wsp:val=&quot;7A6F1F5A&quot;/&gt;&lt;wsp:rsid wsp:val=&quot;7A6F34F2&quot;/&gt;&lt;wsp:rsid wsp:val=&quot;7A7237F8&quot;/&gt;&lt;wsp:rsid wsp:val=&quot;7A731BC2&quot;/&gt;&lt;wsp:rsid wsp:val=&quot;7A74131E&quot;/&gt;&lt;wsp:rsid wsp:val=&quot;7A747570&quot;/&gt;&lt;wsp:rsid wsp:val=&quot;7A770E0E&quot;/&gt;&lt;wsp:rsid wsp:val=&quot;7A772BBC&quot;/&gt;&lt;wsp:rsid wsp:val=&quot;7A773114&quot;/&gt;&lt;wsp:rsid wsp:val=&quot;7A792DD8&quot;/&gt;&lt;wsp:rsid wsp:val=&quot;7A795A34&quot;/&gt;&lt;wsp:rsid wsp:val=&quot;7A796935&quot;/&gt;&lt;wsp:rsid wsp:val=&quot;7A7E03EF&quot;/&gt;&lt;wsp:rsid wsp:val=&quot;7A7F0704&quot;/&gt;&lt;wsp:rsid wsp:val=&quot;7A7F1A71&quot;/&gt;&lt;wsp:rsid wsp:val=&quot;7A804167&quot;/&gt;&lt;wsp:rsid wsp:val=&quot;7A8265E1&quot;/&gt;&lt;wsp:rsid wsp:val=&quot;7A831561&quot;/&gt;&lt;wsp:rsid wsp:val=&quot;7A8349DB&quot;/&gt;&lt;wsp:rsid wsp:val=&quot;7A8377B3&quot;/&gt;&lt;wsp:rsid wsp:val=&quot;7A862E00&quot;/&gt;&lt;wsp:rsid wsp:val=&quot;7A877DFD&quot;/&gt;&lt;wsp:rsid wsp:val=&quot;7A88414E&quot;/&gt;&lt;wsp:rsid wsp:val=&quot;7A884DCA&quot;/&gt;&lt;wsp:rsid wsp:val=&quot;7A8A28F0&quot;/&gt;&lt;wsp:rsid wsp:val=&quot;7A8B158A&quot;/&gt;&lt;wsp:rsid wsp:val=&quot;7A8D211A&quot;/&gt;&lt;wsp:rsid wsp:val=&quot;7A8E7600&quot;/&gt;&lt;wsp:rsid wsp:val=&quot;7A923C54&quot;/&gt;&lt;wsp:rsid wsp:val=&quot;7A923E9A&quot;/&gt;&lt;wsp:rsid wsp:val=&quot;7A9279F6&quot;/&gt;&lt;wsp:rsid wsp:val=&quot;7A9419C0&quot;/&gt;&lt;wsp:rsid wsp:val=&quot;7A943D7D&quot;/&gt;&lt;wsp:rsid wsp:val=&quot;7A957BAE&quot;/&gt;&lt;wsp:rsid wsp:val=&quot;7A97325F&quot;/&gt;&lt;wsp:rsid wsp:val=&quot;7A9A51C6&quot;/&gt;&lt;wsp:rsid wsp:val=&quot;7A9B2D4F&quot;/&gt;&lt;wsp:rsid wsp:val=&quot;7A9D6AC7&quot;/&gt;&lt;wsp:rsid wsp:val=&quot;7A9F594C&quot;/&gt;&lt;wsp:rsid wsp:val=&quot;7AA03EC1&quot;/&gt;&lt;wsp:rsid wsp:val=&quot;7AA15E8B&quot;/&gt;&lt;wsp:rsid wsp:val=&quot;7AA17C39&quot;/&gt;&lt;wsp:rsid wsp:val=&quot;7AA41A6E&quot;/&gt;&lt;wsp:rsid wsp:val=&quot;7AA5772A&quot;/&gt;&lt;wsp:rsid wsp:val=&quot;7AA877CA&quot;/&gt;&lt;wsp:rsid wsp:val=&quot;7AAB0B58&quot;/&gt;&lt;wsp:rsid wsp:val=&quot;7AAB33B9&quot;/&gt;&lt;wsp:rsid wsp:val=&quot;7AAC0AB8&quot;/&gt;&lt;wsp:rsid wsp:val=&quot;7AAC2004&quot;/&gt;&lt;wsp:rsid wsp:val=&quot;7AAC3494&quot;/&gt;&lt;wsp:rsid wsp:val=&quot;7AAC4F5C&quot;/&gt;&lt;wsp:rsid wsp:val=&quot;7AAD21E0&quot;/&gt;&lt;wsp:rsid wsp:val=&quot;7AAD65DE&quot;/&gt;&lt;wsp:rsid wsp:val=&quot;7AB12572&quot;/&gt;&lt;wsp:rsid wsp:val=&quot;7AB2554D&quot;/&gt;&lt;wsp:rsid wsp:val=&quot;7AB61937&quot;/&gt;&lt;wsp:rsid wsp:val=&quot;7AB65C87&quot;/&gt;&lt;wsp:rsid wsp:val=&quot;7AB91427&quot;/&gt;&lt;wsp:rsid wsp:val=&quot;7AB931D5&quot;/&gt;&lt;wsp:rsid wsp:val=&quot;7AB94F83&quot;/&gt;&lt;wsp:rsid wsp:val=&quot;7ABA4357&quot;/&gt;&lt;wsp:rsid wsp:val=&quot;7ABB0CFB&quot;/&gt;&lt;wsp:rsid wsp:val=&quot;7ABB4C43&quot;/&gt;&lt;wsp:rsid wsp:val=&quot;7ABB519F&quot;/&gt;&lt;wsp:rsid wsp:val=&quot;7ABC1261&quot;/&gt;&lt;wsp:rsid wsp:val=&quot;7ABC4A73&quot;/&gt;&lt;wsp:rsid wsp:val=&quot;7ABD2CC5&quot;/&gt;&lt;wsp:rsid wsp:val=&quot;7ABE2599&quot;/&gt;&lt;wsp:rsid wsp:val=&quot;7AC04563&quot;/&gt;&lt;wsp:rsid wsp:val=&quot;7AC2422A&quot;/&gt;&lt;wsp:rsid wsp:val=&quot;7AC2652D&quot;/&gt;&lt;wsp:rsid wsp:val=&quot;7AC35E02&quot;/&gt;&lt;wsp:rsid wsp:val=&quot;7AC37551&quot;/&gt;&lt;wsp:rsid wsp:val=&quot;7AC51B7A&quot;/&gt;&lt;wsp:rsid wsp:val=&quot;7AC5601E&quot;/&gt;&lt;wsp:rsid wsp:val=&quot;7AC676A0&quot;/&gt;&lt;wsp:rsid wsp:val=&quot;7AC94AB2&quot;/&gt;&lt;wsp:rsid wsp:val=&quot;7AC97B81&quot;/&gt;&lt;wsp:rsid wsp:val=&quot;7ACA53E2&quot;/&gt;&lt;wsp:rsid wsp:val=&quot;7ACB00AE&quot;/&gt;&lt;wsp:rsid wsp:val=&quot;7ACB52DC&quot;/&gt;&lt;wsp:rsid wsp:val=&quot;7ACC2F08&quot;/&gt;&lt;wsp:rsid wsp:val=&quot;7ACC75D7&quot;/&gt;&lt;wsp:rsid wsp:val=&quot;7ACE0067&quot;/&gt;&lt;wsp:rsid wsp:val=&quot;7ACE4ED2&quot;/&gt;&lt;wsp:rsid wsp:val=&quot;7AD03284&quot;/&gt;&lt;wsp:rsid wsp:val=&quot;7AD1051F&quot;/&gt;&lt;wsp:rsid wsp:val=&quot;7AD149C3&quot;/&gt;&lt;wsp:rsid wsp:val=&quot;7AD3164A&quot;/&gt;&lt;wsp:rsid wsp:val=&quot;7AD449B5&quot;/&gt;&lt;wsp:rsid wsp:val=&quot;7AD63B30&quot;/&gt;&lt;wsp:rsid wsp:val=&quot;7AD710E4&quot;/&gt;&lt;wsp:rsid wsp:val=&quot;7AD72F66&quot;/&gt;&lt;wsp:rsid wsp:val=&quot;7AD74DE8&quot;/&gt;&lt;wsp:rsid wsp:val=&quot;7AD973D3&quot;/&gt;&lt;wsp:rsid wsp:val=&quot;7ADB139D&quot;/&gt;&lt;wsp:rsid wsp:val=&quot;7ADB7D95&quot;/&gt;&lt;wsp:rsid wsp:val=&quot;7ADC6EC3&quot;/&gt;&lt;wsp:rsid wsp:val=&quot;7ADE6238&quot;/&gt;&lt;wsp:rsid wsp:val=&quot;7AE00762&quot;/&gt;&lt;wsp:rsid wsp:val=&quot;7AE03DFA&quot;/&gt;&lt;wsp:rsid wsp:val=&quot;7AE04C06&quot;/&gt;&lt;wsp:rsid wsp:val=&quot;7AE069B4&quot;/&gt;&lt;wsp:rsid wsp:val=&quot;7AE2097E&quot;/&gt;&lt;wsp:rsid wsp:val=&quot;7AE244DA&quot;/&gt;&lt;wsp:rsid wsp:val=&quot;7AE446F6&quot;/&gt;&lt;wsp:rsid wsp:val=&quot;7AE5221C&quot;/&gt;&lt;wsp:rsid wsp:val=&quot;7AE53337&quot;/&gt;&lt;wsp:rsid wsp:val=&quot;7AE55D78&quot;/&gt;&lt;wsp:rsid wsp:val=&quot;7AE61EF5&quot;/&gt;&lt;wsp:rsid wsp:val=&quot;7AE66FA7&quot;/&gt;&lt;wsp:rsid wsp:val=&quot;7AE77D42&quot;/&gt;&lt;wsp:rsid wsp:val=&quot;7AE85868&quot;/&gt;&lt;wsp:rsid wsp:val=&quot;7AE91D0C&quot;/&gt;&lt;wsp:rsid wsp:val=&quot;7AE91FA6&quot;/&gt;&lt;wsp:rsid wsp:val=&quot;7AEA7832&quot;/&gt;&lt;wsp:rsid wsp:val=&quot;7AEC5358&quot;/&gt;&lt;wsp:rsid wsp:val=&quot;7AED2E7F&quot;/&gt;&lt;wsp:rsid wsp:val=&quot;7AEF309B&quot;/&gt;&lt;wsp:rsid wsp:val=&quot;7AEF6BF7&quot;/&gt;&lt;wsp:rsid wsp:val=&quot;7AF1471D&quot;/&gt;&lt;wsp:rsid wsp:val=&quot;7AF216B7&quot;/&gt;&lt;wsp:rsid wsp:val=&quot;7AF406B1&quot;/&gt;&lt;wsp:rsid wsp:val=&quot;7AF4245F&quot;/&gt;&lt;wsp:rsid wsp:val=&quot;7AF43FB8&quot;/&gt;&lt;wsp:rsid wsp:val=&quot;7AF75AAB&quot;/&gt;&lt;wsp:rsid wsp:val=&quot;7AF81F4F&quot;/&gt;&lt;wsp:rsid wsp:val=&quot;7AF91823&quot;/&gt;&lt;wsp:rsid wsp:val=&quot;7AF95CC7&quot;/&gt;&lt;wsp:rsid wsp:val=&quot;7AF97A75&quot;/&gt;&lt;wsp:rsid wsp:val=&quot;7AFB2C7A&quot;/&gt;&lt;wsp:rsid wsp:val=&quot;7AFB37ED&quot;/&gt;&lt;wsp:rsid wsp:val=&quot;7AFD1314&quot;/&gt;&lt;wsp:rsid wsp:val=&quot;7B000E04&quot;/&gt;&lt;wsp:rsid wsp:val=&quot;7B007056&quot;/&gt;&lt;wsp:rsid wsp:val=&quot;7B02692A&quot;/&gt;&lt;wsp:rsid wsp:val=&quot;7B030BB8&quot;/&gt;&lt;wsp:rsid wsp:val=&quot;7B046B46&quot;/&gt;&lt;wsp:rsid wsp:val=&quot;7B0501C8&quot;/&gt;&lt;wsp:rsid wsp:val=&quot;7B05466C&quot;/&gt;&lt;wsp:rsid wsp:val=&quot;7B05641A&quot;/&gt;&lt;wsp:rsid wsp:val=&quot;7B056CAC&quot;/&gt;&lt;wsp:rsid wsp:val=&quot;7B0570B5&quot;/&gt;&lt;wsp:rsid wsp:val=&quot;7B0614CE&quot;/&gt;&lt;wsp:rsid wsp:val=&quot;7B090C39&quot;/&gt;&lt;wsp:rsid wsp:val=&quot;7B0A28DC&quot;/&gt;&lt;wsp:rsid wsp:val=&quot;7B0C59FB&quot;/&gt;&lt;wsp:rsid wsp:val=&quot;7B0F54EB&quot;/&gt;&lt;wsp:rsid wsp:val=&quot;7B113011&quot;/&gt;&lt;wsp:rsid wsp:val=&quot;7B114DBF&quot;/&gt;&lt;wsp:rsid wsp:val=&quot;7B116B6D&quot;/&gt;&lt;wsp:rsid wsp:val=&quot;7B1211B1&quot;/&gt;&lt;wsp:rsid wsp:val=&quot;7B1448AF&quot;/&gt;&lt;wsp:rsid wsp:val=&quot;7B14665D&quot;/&gt;&lt;wsp:rsid wsp:val=&quot;7B160FC2&quot;/&gt;&lt;wsp:rsid wsp:val=&quot;7B164183&quot;/&gt;&lt;wsp:rsid wsp:val=&quot;7B166879&quot;/&gt;&lt;wsp:rsid wsp:val=&quot;7B197943&quot;/&gt;&lt;wsp:rsid wsp:val=&quot;7B1A0118&quot;/&gt;&lt;wsp:rsid wsp:val=&quot;7B1B3E90&quot;/&gt;&lt;wsp:rsid wsp:val=&quot;7B1C4E34&quot;/&gt;&lt;wsp:rsid wsp:val=&quot;7B1D03F0&quot;/&gt;&lt;wsp:rsid wsp:val=&quot;7B1D19B6&quot;/&gt;&lt;wsp:rsid wsp:val=&quot;7B1E74DC&quot;/&gt;&lt;wsp:rsid wsp:val=&quot;7B1F572E&quot;/&gt;&lt;wsp:rsid wsp:val=&quot;7B203254&quot;/&gt;&lt;wsp:rsid wsp:val=&quot;7B211776&quot;/&gt;&lt;wsp:rsid wsp:val=&quot;7B234AF2&quot;/&gt;&lt;wsp:rsid wsp:val=&quot;7B241E85&quot;/&gt;&lt;wsp:rsid wsp:val=&quot;7B25086A&quot;/&gt;&lt;wsp:rsid wsp:val=&quot;7B2508E0&quot;/&gt;&lt;wsp:rsid wsp:val=&quot;7B256ABC&quot;/&gt;&lt;wsp:rsid wsp:val=&quot;7B272834&quot;/&gt;&lt;wsp:rsid wsp:val=&quot;7B2766DE&quot;/&gt;&lt;wsp:rsid wsp:val=&quot;7B276DA3&quot;/&gt;&lt;wsp:rsid wsp:val=&quot;7B2809C3&quot;/&gt;&lt;wsp:rsid wsp:val=&quot;7B2965AD&quot;/&gt;&lt;wsp:rsid wsp:val=&quot;7B2A5E81&quot;/&gt;&lt;wsp:rsid wsp:val=&quot;7B2A7C2F&quot;/&gt;&lt;wsp:rsid wsp:val=&quot;7B2F16E9&quot;/&gt;&lt;wsp:rsid wsp:val=&quot;7B2F3497&quot;/&gt;&lt;wsp:rsid wsp:val=&quot;7B310FBD&quot;/&gt;&lt;wsp:rsid wsp:val=&quot;7B31720F&quot;/&gt;&lt;wsp:rsid wsp:val=&quot;7B340AAD&quot;/&gt;&lt;wsp:rsid wsp:val=&quot;7B34197A&quot;/&gt;&lt;wsp:rsid wsp:val=&quot;7B346CFF&quot;/&gt;&lt;wsp:rsid wsp:val=&quot;7B3665D4&quot;/&gt;&lt;wsp:rsid wsp:val=&quot;7B38234C&quot;/&gt;&lt;wsp:rsid wsp:val=&quot;7B3A2568&quot;/&gt;&lt;wsp:rsid wsp:val=&quot;7B3A4316&quot;/&gt;&lt;wsp:rsid wsp:val=&quot;7B3D5BB4&quot;/&gt;&lt;wsp:rsid wsp:val=&quot;7B3F6A8D&quot;/&gt;&lt;wsp:rsid wsp:val=&quot;7B407452&quot;/&gt;&lt;wsp:rsid wsp:val=&quot;7B420EAF&quot;/&gt;&lt;wsp:rsid wsp:val=&quot;7B42540E&quot;/&gt;&lt;wsp:rsid wsp:val=&quot;7B427D7A&quot;/&gt;&lt;wsp:rsid wsp:val=&quot;7B430CF1&quot;/&gt;&lt;wsp:rsid wsp:val=&quot;7B451DEC&quot;/&gt;&lt;wsp:rsid wsp:val=&quot;7B454A69&quot;/&gt;&lt;wsp:rsid wsp:val=&quot;7B4707E1&quot;/&gt;&lt;wsp:rsid wsp:val=&quot;7B474C85&quot;/&gt;&lt;wsp:rsid wsp:val=&quot;7B4909FD&quot;/&gt;&lt;wsp:rsid wsp:val=&quot;7B4A207F&quot;/&gt;&lt;wsp:rsid wsp:val=&quot;7B4E05AB&quot;/&gt;&lt;wsp:rsid wsp:val=&quot;7B4E7DC1&quot;/&gt;&lt;wsp:rsid wsp:val=&quot;7B503B39&quot;/&gt;&lt;wsp:rsid wsp:val=&quot;7B542EFE&quot;/&gt;&lt;wsp:rsid wsp:val=&quot;7B5443C8&quot;/&gt;&lt;wsp:rsid wsp:val=&quot;7B551150&quot;/&gt;&lt;wsp:rsid wsp:val=&quot;7B567BE1&quot;/&gt;&lt;wsp:rsid wsp:val=&quot;7B5761A4&quot;/&gt;&lt;wsp:rsid wsp:val=&quot;7B5A6766&quot;/&gt;&lt;wsp:rsid wsp:val=&quot;7B5B0730&quot;/&gt;&lt;wsp:rsid wsp:val=&quot;7B5B603A&quot;/&gt;&lt;wsp:rsid wsp:val=&quot;7B5D6256&quot;/&gt;&lt;wsp:rsid wsp:val=&quot;7B6018A2&quot;/&gt;&lt;wsp:rsid wsp:val=&quot;7B6149EA&quot;/&gt;&lt;wsp:rsid wsp:val=&quot;7B615D46&quot;/&gt;&lt;wsp:rsid wsp:val=&quot;7B641393&quot;/&gt;&lt;wsp:rsid wsp:val=&quot;7B6475E5&quot;/&gt;&lt;wsp:rsid wsp:val=&quot;7B66335D&quot;/&gt;&lt;wsp:rsid wsp:val=&quot;7B670E83&quot;/&gt;&lt;wsp:rsid wsp:val=&quot;7B6770D5&quot;/&gt;&lt;wsp:rsid wsp:val=&quot;7B686D42&quot;/&gt;&lt;wsp:rsid wsp:val=&quot;7B687129&quot;/&gt;&lt;wsp:rsid wsp:val=&quot;7B691CFA&quot;/&gt;&lt;wsp:rsid wsp:val=&quot;7B694BFB&quot;/&gt;&lt;wsp:rsid wsp:val=&quot;7B6969A9&quot;/&gt;&lt;wsp:rsid wsp:val=&quot;7B6A1C3D&quot;/&gt;&lt;wsp:rsid wsp:val=&quot;7B6A44CF&quot;/&gt;&lt;wsp:rsid wsp:val=&quot;7B6B0973&quot;/&gt;&lt;wsp:rsid wsp:val=&quot;7B6C46EB&quot;/&gt;&lt;wsp:rsid wsp:val=&quot;7B6D1DAC&quot;/&gt;&lt;wsp:rsid wsp:val=&quot;7B6E0463&quot;/&gt;&lt;wsp:rsid wsp:val=&quot;7B6E3FBF&quot;/&gt;&lt;wsp:rsid wsp:val=&quot;7B6E5D6D&quot;/&gt;&lt;wsp:rsid wsp:val=&quot;7B711D02&quot;/&gt;&lt;wsp:rsid wsp:val=&quot;7B7315D6&quot;/&gt;&lt;wsp:rsid wsp:val=&quot;7B743FDB&quot;/&gt;&lt;wsp:rsid wsp:val=&quot;7B7535A0&quot;/&gt;&lt;wsp:rsid wsp:val=&quot;7B7A6E08&quot;/&gt;&lt;wsp:rsid wsp:val=&quot;7B7B048A&quot;/&gt;&lt;wsp:rsid wsp:val=&quot;7B7B2B53&quot;/&gt;&lt;wsp:rsid wsp:val=&quot;7B7B7DB6&quot;/&gt;&lt;wsp:rsid wsp:val=&quot;7B7D2454&quot;/&gt;&lt;wsp:rsid wsp:val=&quot;7B7F4F51&quot;/&gt;&lt;wsp:rsid wsp:val=&quot;7B82586C&quot;/&gt;&lt;wsp:rsid wsp:val=&quot;7B841746&quot;/&gt;&lt;wsp:rsid wsp:val=&quot;7B841A35&quot;/&gt;&lt;wsp:rsid wsp:val=&quot;7B857C91&quot;/&gt;&lt;wsp:rsid wsp:val=&quot;7B863F31&quot;/&gt;&lt;wsp:rsid wsp:val=&quot;7B864E6F&quot;/&gt;&lt;wsp:rsid wsp:val=&quot;7B871525&quot;/&gt;&lt;wsp:rsid wsp:val=&quot;7B875283&quot;/&gt;&lt;wsp:rsid wsp:val=&quot;7B885DF9&quot;/&gt;&lt;wsp:rsid wsp:val=&quot;7B890DF9&quot;/&gt;&lt;wsp:rsid wsp:val=&quot;7B892BA7&quot;/&gt;&lt;wsp:rsid wsp:val=&quot;7B8C2698&quot;/&gt;&lt;wsp:rsid wsp:val=&quot;7B8C6B3B&quot;/&gt;&lt;wsp:rsid wsp:val=&quot;7B8D4F30&quot;/&gt;&lt;wsp:rsid wsp:val=&quot;7B8F0435&quot;/&gt;&lt;wsp:rsid wsp:val=&quot;7B8F3F36&quot;/&gt;&lt;wsp:rsid wsp:val=&quot;7B900E48&quot;/&gt;&lt;wsp:rsid wsp:val=&quot;7B936DF3&quot;/&gt;&lt;wsp:rsid wsp:val=&quot;7B950D81&quot;/&gt;&lt;wsp:rsid wsp:val=&quot;7B9559F0&quot;/&gt;&lt;wsp:rsid wsp:val=&quot;7B9652C4&quot;/&gt;&lt;wsp:rsid wsp:val=&quot;7B987833&quot;/&gt;&lt;wsp:rsid wsp:val=&quot;7B997698&quot;/&gt;&lt;wsp:rsid wsp:val=&quot;7B9D2AF7&quot;/&gt;&lt;wsp:rsid wsp:val=&quot;7B9D6653&quot;/&gt;&lt;wsp:rsid wsp:val=&quot;7B9E0939&quot;/&gt;&lt;wsp:rsid wsp:val=&quot;7B9F23CB&quot;/&gt;&lt;wsp:rsid wsp:val=&quot;7BA06143&quot;/&gt;&lt;wsp:rsid wsp:val=&quot;7BA14395&quot;/&gt;&lt;wsp:rsid wsp:val=&quot;7BA21EBB&quot;/&gt;&lt;wsp:rsid wsp:val=&quot;7BA25995&quot;/&gt;&lt;wsp:rsid wsp:val=&quot;7BA45C33&quot;/&gt;&lt;wsp:rsid wsp:val=&quot;7BA774D1&quot;/&gt;&lt;wsp:rsid wsp:val=&quot;7BA9149B&quot;/&gt;&lt;wsp:rsid wsp:val=&quot;7BAB6FC2&quot;/&gt;&lt;wsp:rsid wsp:val=&quot;7BAC2D3A&quot;/&gt;&lt;wsp:rsid wsp:val=&quot;7BAC4AE8&quot;/&gt;&lt;wsp:rsid wsp:val=&quot;7BAD6F9E&quot;/&gt;&lt;wsp:rsid wsp:val=&quot;7BB10350&quot;/&gt;&lt;wsp:rsid wsp:val=&quot;7BB302F8&quot;/&gt;&lt;wsp:rsid wsp:val=&quot;7BB340C8&quot;/&gt;&lt;wsp:rsid wsp:val=&quot;7BB442A0&quot;/&gt;&lt;wsp:rsid wsp:val=&quot;7BB46E71&quot;/&gt;&lt;wsp:rsid wsp:val=&quot;7BB551E1&quot;/&gt;&lt;wsp:rsid wsp:val=&quot;7BB73BB8&quot;/&gt;&lt;wsp:rsid wsp:val=&quot;7BB87930&quot;/&gt;&lt;wsp:rsid wsp:val=&quot;7BBC14BA&quot;/&gt;&lt;wsp:rsid wsp:val=&quot;7BBD3591&quot;/&gt;&lt;wsp:rsid wsp:val=&quot;7BBF2A6D&quot;/&gt;&lt;wsp:rsid wsp:val=&quot;7BBF30A8&quot;/&gt;&lt;wsp:rsid wsp:val=&quot;7BBF481B&quot;/&gt;&lt;wsp:rsid wsp:val=&quot;7BC43D95&quot;/&gt;&lt;wsp:rsid wsp:val=&quot;7BC52CCB&quot;/&gt;&lt;wsp:rsid wsp:val=&quot;7BC6204D&quot;/&gt;&lt;wsp:rsid wsp:val=&quot;7BC65BA9&quot;/&gt;&lt;wsp:rsid wsp:val=&quot;7BC71922&quot;/&gt;&lt;wsp:rsid wsp:val=&quot;7BC938EC&quot;/&gt;&lt;wsp:rsid wsp:val=&quot;7BCC50F8&quot;/&gt;&lt;wsp:rsid wsp:val=&quot;7BD06197&quot;/&gt;&lt;wsp:rsid wsp:val=&quot;7BD209F2&quot;/&gt;&lt;wsp:rsid wsp:val=&quot;7BD227A0&quot;/&gt;&lt;wsp:rsid wsp:val=&quot;7BD52290&quot;/&gt;&lt;wsp:rsid wsp:val=&quot;7BD55DED&quot;/&gt;&lt;wsp:rsid wsp:val=&quot;7BD61B65&quot;/&gt;&lt;wsp:rsid wsp:val=&quot;7BD75A22&quot;/&gt;&lt;wsp:rsid wsp:val=&quot;7BD823A4&quot;/&gt;&lt;wsp:rsid wsp:val=&quot;7BDA1655&quot;/&gt;&lt;wsp:rsid wsp:val=&quot;7BDA3403&quot;/&gt;&lt;wsp:rsid wsp:val=&quot;7BDA78A7&quot;/&gt;&lt;wsp:rsid wsp:val=&quot;7BDC191D&quot;/&gt;&lt;wsp:rsid wsp:val=&quot;7BDD2EF3&quot;/&gt;&lt;wsp:rsid wsp:val=&quot;7BDF0A19&quot;/&gt;&lt;wsp:rsid wsp:val=&quot;7BDF310F&quot;/&gt;&lt;wsp:rsid wsp:val=&quot;7BDF4EBD&quot;/&gt;&lt;wsp:rsid wsp:val=&quot;7BE2675B&quot;/&gt;&lt;wsp:rsid wsp:val=&quot;7BE424D4&quot;/&gt;&lt;wsp:rsid wsp:val=&quot;7BE6624C&quot;/&gt;&lt;wsp:rsid wsp:val=&quot;7BE67FFA&quot;/&gt;&lt;wsp:rsid wsp:val=&quot;7BE91898&quot;/&gt;&lt;wsp:rsid wsp:val=&quot;7BE97AEA&quot;/&gt;&lt;wsp:rsid wsp:val=&quot;7BEA7D4F&quot;/&gt;&lt;wsp:rsid wsp:val=&quot;7BEC1860&quot;/&gt;&lt;wsp:rsid wsp:val=&quot;7BEE7DDE&quot;/&gt;&lt;wsp:rsid wsp:val=&quot;7BF00E78&quot;/&gt;&lt;wsp:rsid wsp:val=&quot;7BF070CA&quot;/&gt;&lt;wsp:rsid wsp:val=&quot;7BF1074D&quot;/&gt;&lt;wsp:rsid wsp:val=&quot;7BF24BF0&quot;/&gt;&lt;wsp:rsid wsp:val=&quot;7BF36B62&quot;/&gt;&lt;wsp:rsid wsp:val=&quot;7BF73FB5&quot;/&gt;&lt;wsp:rsid wsp:val=&quot;7BF81544&quot;/&gt;&lt;wsp:rsid wsp:val=&quot;7BF81ADB&quot;/&gt;&lt;wsp:rsid wsp:val=&quot;7BF85F7F&quot;/&gt;&lt;wsp:rsid wsp:val=&quot;7BF94115&quot;/&gt;&lt;wsp:rsid wsp:val=&quot;7BFA5853&quot;/&gt;&lt;wsp:rsid wsp:val=&quot;7BFB7EC5&quot;/&gt;&lt;wsp:rsid wsp:val=&quot;7BFC781D&quot;/&gt;&lt;wsp:rsid wsp:val=&quot;7BFD3595&quot;/&gt;&lt;wsp:rsid wsp:val=&quot;7BFE412C&quot;/&gt;&lt;wsp:rsid wsp:val=&quot;7BFF10BB&quot;/&gt;&lt;wsp:rsid wsp:val=&quot;7BFF730D&quot;/&gt;&lt;wsp:rsid wsp:val=&quot;7C013085&quot;/&gt;&lt;wsp:rsid wsp:val=&quot;7C01581E&quot;/&gt;&lt;wsp:rsid wsp:val=&quot;7C02295A&quot;/&gt;&lt;wsp:rsid wsp:val=&quot;7C030BAC&quot;/&gt;&lt;wsp:rsid wsp:val=&quot;7C032A6B&quot;/&gt;&lt;wsp:rsid wsp:val=&quot;7C044924&quot;/&gt;&lt;wsp:rsid wsp:val=&quot;7C06244A&quot;/&gt;&lt;wsp:rsid wsp:val=&quot;7C0641F8&quot;/&gt;&lt;wsp:rsid wsp:val=&quot;7C091F3A&quot;/&gt;&lt;wsp:rsid wsp:val=&quot;7C0B7A60&quot;/&gt;&lt;wsp:rsid wsp:val=&quot;7C0D1A2A&quot;/&gt;&lt;wsp:rsid wsp:val=&quot;7C0E18D7&quot;/&gt;&lt;wsp:rsid wsp:val=&quot;7C0E7550&quot;/&gt;&lt;wsp:rsid wsp:val=&quot;7C10151B&quot;/&gt;&lt;wsp:rsid wsp:val=&quot;7C134B67&quot;/&gt;&lt;wsp:rsid wsp:val=&quot;7C1354EF&quot;/&gt;&lt;wsp:rsid wsp:val=&quot;7C142DB9&quot;/&gt;&lt;wsp:rsid wsp:val=&quot;7C15363D&quot;/&gt;&lt;wsp:rsid wsp:val=&quot;7C156B31&quot;/&gt;&lt;wsp:rsid wsp:val=&quot;7C157102&quot;/&gt;&lt;wsp:rsid wsp:val=&quot;7C174657&quot;/&gt;&lt;wsp:rsid wsp:val=&quot;7C18217D&quot;/&gt;&lt;wsp:rsid wsp:val=&quot;7C183F2B&quot;/&gt;&lt;wsp:rsid wsp:val=&quot;7C1903CF&quot;/&gt;&lt;wsp:rsid wsp:val=&quot;7C1F175E&quot;/&gt;&lt;wsp:rsid wsp:val=&quot;7C1F39FE&quot;/&gt;&lt;wsp:rsid wsp:val=&quot;7C1F52BA&quot;/&gt;&lt;wsp:rsid wsp:val=&quot;7C211032&quot;/&gt;&lt;wsp:rsid wsp:val=&quot;7C2154D6&quot;/&gt;&lt;wsp:rsid wsp:val=&quot;7C2171A3&quot;/&gt;&lt;wsp:rsid wsp:val=&quot;7C246653&quot;/&gt;&lt;wsp:rsid wsp:val=&quot;7C262AEC&quot;/&gt;&lt;wsp:rsid wsp:val=&quot;7C296138&quot;/&gt;&lt;wsp:rsid wsp:val=&quot;7C2A2C16&quot;/&gt;&lt;wsp:rsid wsp:val=&quot;7C2B3C5E&quot;/&gt;&lt;wsp:rsid wsp:val=&quot;7C2D3E7B&quot;/&gt;&lt;wsp:rsid wsp:val=&quot;7C2D5C29&quot;/&gt;&lt;wsp:rsid wsp:val=&quot;7C2D79D7&quot;/&gt;&lt;wsp:rsid wsp:val=&quot;7C2E048F&quot;/&gt;&lt;wsp:rsid wsp:val=&quot;7C2E374F&quot;/&gt;&lt;wsp:rsid wsp:val=&quot;7C322B65&quot;/&gt;&lt;wsp:rsid wsp:val=&quot;7C350F81&quot;/&gt;&lt;wsp:rsid wsp:val=&quot;7C354ADD&quot;/&gt;&lt;wsp:rsid wsp:val=&quot;7C370855&quot;/&gt;&lt;wsp:rsid wsp:val=&quot;7C372603&quot;/&gt;&lt;wsp:rsid wsp:val=&quot;7C3945CD&quot;/&gt;&lt;wsp:rsid wsp:val=&quot;7C3A0345&quot;/&gt;&lt;wsp:rsid wsp:val=&quot;7C3C2310&quot;/&gt;&lt;wsp:rsid wsp:val=&quot;7C3C5C2A&quot;/&gt;&lt;wsp:rsid wsp:val=&quot;7C3D07C3&quot;/&gt;&lt;wsp:rsid wsp:val=&quot;7C3E0A71&quot;/&gt;&lt;wsp:rsid wsp:val=&quot;7C3F595C&quot;/&gt;&lt;wsp:rsid wsp:val=&quot;7C4111CA&quot;/&gt;&lt;wsp:rsid wsp:val=&quot;7C417926&quot;/&gt;&lt;wsp:rsid wsp:val=&quot;7C4371FA&quot;/&gt;&lt;wsp:rsid wsp:val=&quot;7C4411C4&quot;/&gt;&lt;wsp:rsid wsp:val=&quot;7C442F72&quot;/&gt;&lt;wsp:rsid wsp:val=&quot;7C457B4B&quot;/&gt;&lt;wsp:rsid wsp:val=&quot;7C460A98&quot;/&gt;&lt;wsp:rsid wsp:val=&quot;7C460FDB&quot;/&gt;&lt;wsp:rsid wsp:val=&quot;7C46568D&quot;/&gt;&lt;wsp:rsid wsp:val=&quot;7C484810&quot;/&gt;&lt;wsp:rsid wsp:val=&quot;7C4B2553&quot;/&gt;&lt;wsp:rsid wsp:val=&quot;7C4B4301&quot;/&gt;&lt;wsp:rsid wsp:val=&quot;7C4B60AF&quot;/&gt;&lt;wsp:rsid wsp:val=&quot;7C4D323B&quot;/&gt;&lt;wsp:rsid wsp:val=&quot;7C4E5B9F&quot;/&gt;&lt;wsp:rsid wsp:val=&quot;7C4F2043&quot;/&gt;&lt;wsp:rsid wsp:val=&quot;7C5036C5&quot;/&gt;&lt;wsp:rsid wsp:val=&quot;7C5238E1&quot;/&gt;&lt;wsp:rsid wsp:val=&quot;7C525607&quot;/&gt;&lt;wsp:rsid wsp:val=&quot;7C5331B5&quot;/&gt;&lt;wsp:rsid wsp:val=&quot;7C55517F&quot;/&gt;&lt;wsp:rsid wsp:val=&quot;7C570EF7&quot;/&gt;&lt;wsp:rsid wsp:val=&quot;7C590215&quot;/&gt;&lt;wsp:rsid wsp:val=&quot;7C5A2796&quot;/&gt;&lt;wsp:rsid wsp:val=&quot;7C5A4544&quot;/&gt;&lt;wsp:rsid wsp:val=&quot;7C5B09E8&quot;/&gt;&lt;wsp:rsid wsp:val=&quot;7C5E4034&quot;/&gt;&lt;wsp:rsid wsp:val=&quot;7C5F1B5A&quot;/&gt;&lt;wsp:rsid wsp:val=&quot;7C5F1B82&quot;/&gt;&lt;wsp:rsid wsp:val=&quot;7C601079&quot;/&gt;&lt;wsp:rsid wsp:val=&quot;7C605FFE&quot;/&gt;&lt;wsp:rsid wsp:val=&quot;7C617073&quot;/&gt;&lt;wsp:rsid wsp:val=&quot;7C63164A&quot;/&gt;&lt;wsp:rsid wsp:val=&quot;7C6333F8&quot;/&gt;&lt;wsp:rsid wsp:val=&quot;7C6453C2&quot;/&gt;&lt;wsp:rsid wsp:val=&quot;7C66113B&quot;/&gt;&lt;wsp:rsid wsp:val=&quot;7C684EB3&quot;/&gt;&lt;wsp:rsid wsp:val=&quot;7C6B04FF&quot;/&gt;&lt;wsp:rsid wsp:val=&quot;7C6B5616&quot;/&gt;&lt;wsp:rsid wsp:val=&quot;7C6B6751&quot;/&gt;&lt;wsp:rsid wsp:val=&quot;7C6B7A54&quot;/&gt;&lt;wsp:rsid wsp:val=&quot;7C6C5AC7&quot;/&gt;&lt;wsp:rsid wsp:val=&quot;7C6D007A&quot;/&gt;&lt;wsp:rsid wsp:val=&quot;7C6D4277&quot;/&gt;&lt;wsp:rsid wsp:val=&quot;7C6D5616&quot;/&gt;&lt;wsp:rsid wsp:val=&quot;7C6D5F2E&quot;/&gt;&lt;wsp:rsid wsp:val=&quot;7C701FB9&quot;/&gt;&lt;wsp:rsid wsp:val=&quot;7C7056D8&quot;/&gt;&lt;wsp:rsid wsp:val=&quot;7C705B15&quot;/&gt;&lt;wsp:rsid wsp:val=&quot;7C75312C&quot;/&gt;&lt;wsp:rsid wsp:val=&quot;7C7553A2&quot;/&gt;&lt;wsp:rsid wsp:val=&quot;7C7554E9&quot;/&gt;&lt;wsp:rsid wsp:val=&quot;7C7575D0&quot;/&gt;&lt;wsp:rsid wsp:val=&quot;7C765821&quot;/&gt;&lt;wsp:rsid wsp:val=&quot;7C790E6E&quot;/&gt;&lt;wsp:rsid wsp:val=&quot;7C7A4BE6&quot;/&gt;&lt;wsp:rsid wsp:val=&quot;7C7E0232&quot;/&gt;&lt;wsp:rsid wsp:val=&quot;7C7E1AF1&quot;/&gt;&lt;wsp:rsid wsp:val=&quot;7C7F66B9&quot;/&gt;&lt;wsp:rsid wsp:val=&quot;7C80044E&quot;/&gt;&lt;wsp:rsid wsp:val=&quot;7C8021FC&quot;/&gt;&lt;wsp:rsid wsp:val=&quot;7C817D22&quot;/&gt;&lt;wsp:rsid wsp:val=&quot;7C831CEC&quot;/&gt;&lt;wsp:rsid wsp:val=&quot;7C833A9B&quot;/&gt;&lt;wsp:rsid wsp:val=&quot;7C887303&quot;/&gt;&lt;wsp:rsid wsp:val=&quot;7C8A0E4F&quot;/&gt;&lt;wsp:rsid wsp:val=&quot;7C8B6DF3&quot;/&gt;&lt;wsp:rsid wsp:val=&quot;7C8C67B6&quot;/&gt;&lt;wsp:rsid wsp:val=&quot;7C8D2B6B&quot;/&gt;&lt;wsp:rsid wsp:val=&quot;7C8E41ED&quot;/&gt;&lt;wsp:rsid wsp:val=&quot;7C8F243F&quot;/&gt;&lt;wsp:rsid wsp:val=&quot;7C9061B7&quot;/&gt;&lt;wsp:rsid wsp:val=&quot;7C94199E&quot;/&gt;&lt;wsp:rsid wsp:val=&quot;7C947A56&quot;/&gt;&lt;wsp:rsid wsp:val=&quot;7C9712F4&quot;/&gt;&lt;wsp:rsid wsp:val=&quot;7C975798&quot;/&gt;&lt;wsp:rsid wsp:val=&quot;7C977546&quot;/&gt;&lt;wsp:rsid wsp:val=&quot;7C9960B9&quot;/&gt;&lt;wsp:rsid wsp:val=&quot;7C997985&quot;/&gt;&lt;wsp:rsid wsp:val=&quot;7C9B5288&quot;/&gt;&lt;wsp:rsid wsp:val=&quot;7C9C2DAE&quot;/&gt;&lt;wsp:rsid wsp:val=&quot;7C9C65D2&quot;/&gt;&lt;wsp:rsid wsp:val=&quot;7C9D1B23&quot;/&gt;&lt;wsp:rsid wsp:val=&quot;7C9E6B26&quot;/&gt;&lt;wsp:rsid wsp:val=&quot;7CA12173&quot;/&gt;&lt;wsp:rsid wsp:val=&quot;7CA3413D&quot;/&gt;&lt;wsp:rsid wsp:val=&quot;7CA36E25&quot;/&gt;&lt;wsp:rsid wsp:val=&quot;7CA419F6&quot;/&gt;&lt;wsp:rsid wsp:val=&quot;7CA51C63&quot;/&gt;&lt;wsp:rsid wsp:val=&quot;7CA67789&quot;/&gt;&lt;wsp:rsid wsp:val=&quot;7CA73C2D&quot;/&gt;&lt;wsp:rsid wsp:val=&quot;7CAA54CB&quot;/&gt;&lt;wsp:rsid wsp:val=&quot;7CAB16E6&quot;/&gt;&lt;wsp:rsid wsp:val=&quot;7CAB2FF1&quot;/&gt;&lt;wsp:rsid wsp:val=&quot;7CAB4D9F&quot;/&gt;&lt;wsp:rsid wsp:val=&quot;7CAE58D3&quot;/&gt;&lt;wsp:rsid wsp:val=&quot;7CAE62A4&quot;/&gt;&lt;wsp:rsid wsp:val=&quot;7CB1685A&quot;/&gt;&lt;wsp:rsid wsp:val=&quot;7CB24380&quot;/&gt;&lt;wsp:rsid wsp:val=&quot;7CB2612E&quot;/&gt;&lt;wsp:rsid wsp:val=&quot;7CB414EB&quot;/&gt;&lt;wsp:rsid wsp:val=&quot;7CB443E4&quot;/&gt;&lt;wsp:rsid wsp:val=&quot;7CB52486&quot;/&gt;&lt;wsp:rsid wsp:val=&quot;7CB63E70&quot;/&gt;&lt;wsp:rsid wsp:val=&quot;7CB73744&quot;/&gt;&lt;wsp:rsid wsp:val=&quot;7CB93960&quot;/&gt;&lt;wsp:rsid wsp:val=&quot;7CB9570E&quot;/&gt;&lt;wsp:rsid wsp:val=&quot;7CB97A54&quot;/&gt;&lt;wsp:rsid wsp:val=&quot;7CBA26A7&quot;/&gt;&lt;wsp:rsid wsp:val=&quot;7CBA32DC&quot;/&gt;&lt;wsp:rsid wsp:val=&quot;7CBA4FE2&quot;/&gt;&lt;wsp:rsid wsp:val=&quot;7CBA733C&quot;/&gt;&lt;wsp:rsid wsp:val=&quot;7CBB1486&quot;/&gt;&lt;wsp:rsid wsp:val=&quot;7CBB3234&quot;/&gt;&lt;wsp:rsid wsp:val=&quot;7CBC110D&quot;/&gt;&lt;wsp:rsid wsp:val=&quot;7CBC51FE&quot;/&gt;&lt;wsp:rsid wsp:val=&quot;7CBC6FAC&quot;/&gt;&lt;wsp:rsid wsp:val=&quot;7CC04CEF&quot;/&gt;&lt;wsp:rsid wsp:val=&quot;7CC06A9D&quot;/&gt;&lt;wsp:rsid wsp:val=&quot;7CC174D4&quot;/&gt;&lt;wsp:rsid wsp:val=&quot;7CC3658D&quot;/&gt;&lt;wsp:rsid wsp:val=&quot;7CC61BD9&quot;/&gt;&lt;wsp:rsid wsp:val=&quot;7CC6544B&quot;/&gt;&lt;wsp:rsid wsp:val=&quot;7CC77E2B&quot;/&gt;&lt;wsp:rsid wsp:val=&quot;7CCC3693&quot;/&gt;&lt;wsp:rsid wsp:val=&quot;7CCF6CE0&quot;/&gt;&lt;wsp:rsid wsp:val=&quot;7CD04806&quot;/&gt;&lt;wsp:rsid wsp:val=&quot;7CD10CAA&quot;/&gt;&lt;wsp:rsid wsp:val=&quot;7CD24A22&quot;/&gt;&lt;wsp:rsid wsp:val=&quot;7CD41612&quot;/&gt;&lt;wsp:rsid wsp:val=&quot;7CD460A4&quot;/&gt;&lt;wsp:rsid wsp:val=&quot;7CD46F1F&quot;/&gt;&lt;wsp:rsid wsp:val=&quot;7CD56132&quot;/&gt;&lt;wsp:rsid wsp:val=&quot;7CD6079C&quot;/&gt;&lt;wsp:rsid wsp:val=&quot;7CDA0507&quot;/&gt;&lt;wsp:rsid wsp:val=&quot;7CDB38D7&quot;/&gt;&lt;wsp:rsid wsp:val=&quot;7CDB7433&quot;/&gt;&lt;wsp:rsid wsp:val=&quot;7CDB7F75&quot;/&gt;&lt;wsp:rsid wsp:val=&quot;7CDD764F&quot;/&gt;&lt;wsp:rsid wsp:val=&quot;7CDE0A96&quot;/&gt;&lt;wsp:rsid wsp:val=&quot;7CDE5175&quot;/&gt;&lt;wsp:rsid wsp:val=&quot;7CDF5BE8&quot;/&gt;&lt;wsp:rsid wsp:val=&quot;7CE00EED&quot;/&gt;&lt;wsp:rsid wsp:val=&quot;7CE10508&quot;/&gt;&lt;wsp:rsid wsp:val=&quot;7CE3278B&quot;/&gt;&lt;wsp:rsid wsp:val=&quot;7CE36A7B&quot;/&gt;&lt;wsp:rsid wsp:val=&quot;7CE64029&quot;/&gt;&lt;wsp:rsid wsp:val=&quot;7CE65DD7&quot;/&gt;&lt;wsp:rsid wsp:val=&quot;7CE7227B&quot;/&gt;&lt;wsp:rsid wsp:val=&quot;7CE81B50&quot;/&gt;&lt;wsp:rsid wsp:val=&quot;7CE87DA1&quot;/&gt;&lt;wsp:rsid wsp:val=&quot;7CEA3B1A&quot;/&gt;&lt;wsp:rsid wsp:val=&quot;7CEA58C8&quot;/&gt;&lt;wsp:rsid wsp:val=&quot;7CEC1640&quot;/&gt;&lt;wsp:rsid wsp:val=&quot;7CED360A&quot;/&gt;&lt;wsp:rsid wsp:val=&quot;7CED3947&quot;/&gt;&lt;wsp:rsid wsp:val=&quot;7CED53B8&quot;/&gt;&lt;wsp:rsid wsp:val=&quot;7CED670E&quot;/&gt;&lt;wsp:rsid wsp:val=&quot;7CED6AAB&quot;/&gt;&lt;wsp:rsid wsp:val=&quot;7CEF7382&quot;/&gt;&lt;wsp:rsid wsp:val=&quot;7CF013CC&quot;/&gt;&lt;wsp:rsid wsp:val=&quot;7CF16C56&quot;/&gt;&lt;wsp:rsid wsp:val=&quot;7CF229CE&quot;/&gt;&lt;wsp:rsid wsp:val=&quot;7CF36E72&quot;/&gt;&lt;wsp:rsid wsp:val=&quot;7CF44998&quot;/&gt;&lt;wsp:rsid wsp:val=&quot;7CF6426C&quot;/&gt;&lt;wsp:rsid wsp:val=&quot;7CF7337E&quot;/&gt;&lt;wsp:rsid wsp:val=&quot;7CF77FE5&quot;/&gt;&lt;wsp:rsid wsp:val=&quot;7CF8424B&quot;/&gt;&lt;wsp:rsid wsp:val=&quot;7CF90201&quot;/&gt;&lt;wsp:rsid wsp:val=&quot;7CF9504E&quot;/&gt;&lt;wsp:rsid wsp:val=&quot;7CFB6428&quot;/&gt;&lt;wsp:rsid wsp:val=&quot;7CFD1A9F&quot;/&gt;&lt;wsp:rsid wsp:val=&quot;7CFD384D&quot;/&gt;&lt;wsp:rsid wsp:val=&quot;7CFE75C5&quot;/&gt;&lt;wsp:rsid wsp:val=&quot;7D0050EB&quot;/&gt;&lt;wsp:rsid wsp:val=&quot;7D016B7E&quot;/&gt;&lt;wsp:rsid wsp:val=&quot;7D0239FF&quot;/&gt;&lt;wsp:rsid wsp:val=&quot;7D052445&quot;/&gt;&lt;wsp:rsid wsp:val=&quot;7D052701&quot;/&gt;&lt;wsp:rsid wsp:val=&quot;7D056BA5&quot;/&gt;&lt;wsp:rsid wsp:val=&quot;7D0607E8&quot;/&gt;&lt;wsp:rsid wsp:val=&quot;7D061599&quot;/&gt;&lt;wsp:rsid wsp:val=&quot;7D0739BA&quot;/&gt;&lt;wsp:rsid wsp:val=&quot;7D07647A&quot;/&gt;&lt;wsp:rsid wsp:val=&quot;7D080444&quot;/&gt;&lt;wsp:rsid wsp:val=&quot;7D083996&quot;/&gt;&lt;wsp:rsid wsp:val=&quot;7D0A7D18&quot;/&gt;&lt;wsp:rsid wsp:val=&quot;7D0B2882&quot;/&gt;&lt;wsp:rsid wsp:val=&quot;7D0B583E&quot;/&gt;&lt;wsp:rsid wsp:val=&quot;7D0C7F34&quot;/&gt;&lt;wsp:rsid wsp:val=&quot;7D0D4954&quot;/&gt;&lt;wsp:rsid wsp:val=&quot;7D0F17D2&quot;/&gt;&lt;wsp:rsid wsp:val=&quot;7D1110A6&quot;/&gt;&lt;wsp:rsid wsp:val=&quot;7D124E1E&quot;/&gt;&lt;wsp:rsid wsp:val=&quot;7D133070&quot;/&gt;&lt;wsp:rsid wsp:val=&quot;7D1868D9&quot;/&gt;&lt;wsp:rsid wsp:val=&quot;7D186F3E&quot;/&gt;&lt;wsp:rsid wsp:val=&quot;7D1961AD&quot;/&gt;&lt;wsp:rsid wsp:val=&quot;7D1B0177&quot;/&gt;&lt;wsp:rsid wsp:val=&quot;7D1B1F25&quot;/&gt;&lt;wsp:rsid wsp:val=&quot;7D1B3CD3&quot;/&gt;&lt;wsp:rsid wsp:val=&quot;7D1C187F&quot;/&gt;&lt;wsp:rsid wsp:val=&quot;7D1D3EEF&quot;/&gt;&lt;wsp:rsid wsp:val=&quot;7D20753B&quot;/&gt;&lt;wsp:rsid wsp:val=&quot;7D232E8C&quot;/&gt;&lt;wsp:rsid wsp:val=&quot;7D2431E0&quot;/&gt;&lt;wsp:rsid wsp:val=&quot;7D250FF6&quot;/&gt;&lt;wsp:rsid wsp:val=&quot;7D2565CF&quot;/&gt;&lt;wsp:rsid wsp:val=&quot;7D267526&quot;/&gt;&lt;wsp:rsid wsp:val=&quot;7D2708CA&quot;/&gt;&lt;wsp:rsid wsp:val=&quot;7D2A03BA&quot;/&gt;&lt;wsp:rsid wsp:val=&quot;7D2A2168&quot;/&gt;&lt;wsp:rsid wsp:val=&quot;7D2B0EB1&quot;/&gt;&lt;wsp:rsid wsp:val=&quot;7D2C4132&quot;/&gt;&lt;wsp:rsid wsp:val=&quot;7D2E5C49&quot;/&gt;&lt;wsp:rsid wsp:val=&quot;7D2F3C22&quot;/&gt;&lt;wsp:rsid wsp:val=&quot;7D3251DF&quot;/&gt;&lt;wsp:rsid wsp:val=&quot;7D3354C1&quot;/&gt;&lt;wsp:rsid wsp:val=&quot;7D341239&quot;/&gt;&lt;wsp:rsid wsp:val=&quot;7D364FB1&quot;/&gt;&lt;wsp:rsid wsp:val=&quot;7D376633&quot;/&gt;&lt;wsp:rsid wsp:val=&quot;7D380D29&quot;/&gt;&lt;wsp:rsid wsp:val=&quot;7D3905FD&quot;/&gt;&lt;wsp:rsid wsp:val=&quot;7D391DCB&quot;/&gt;&lt;wsp:rsid wsp:val=&quot;7D39684F&quot;/&gt;&lt;wsp:rsid wsp:val=&quot;7D3D00ED&quot;/&gt;&lt;wsp:rsid wsp:val=&quot;7D40007C&quot;/&gt;&lt;wsp:rsid wsp:val=&quot;7D4023B4&quot;/&gt;&lt;wsp:rsid wsp:val=&quot;7D40373A&quot;/&gt;&lt;wsp:rsid wsp:val=&quot;7D424CD4&quot;/&gt;&lt;wsp:rsid wsp:val=&quot;7D44147C&quot;/&gt;&lt;wsp:rsid wsp:val=&quot;7D444E48&quot;/&gt;&lt;wsp:rsid wsp:val=&quot;7D456FA2&quot;/&gt;&lt;wsp:rsid wsp:val=&quot;7D474AC8&quot;/&gt;&lt;wsp:rsid wsp:val=&quot;7D484972&quot;/&gt;&lt;wsp:rsid wsp:val=&quot;7D494BA7&quot;/&gt;&lt;wsp:rsid wsp:val=&quot;7D496A92&quot;/&gt;&lt;wsp:rsid wsp:val=&quot;7D4A0A5C&quot;/&gt;&lt;wsp:rsid wsp:val=&quot;7D4B59EB&quot;/&gt;&lt;wsp:rsid wsp:val=&quot;7D4E33DB&quot;/&gt;&lt;wsp:rsid wsp:val=&quot;7D4F6073&quot;/&gt;&lt;wsp:rsid wsp:val=&quot;7D4F7E21&quot;/&gt;&lt;wsp:rsid wsp:val=&quot;7D511DEB&quot;/&gt;&lt;wsp:rsid wsp:val=&quot;7D52346D&quot;/&gt;&lt;wsp:rsid wsp:val=&quot;7D524328&quot;/&gt;&lt;wsp:rsid wsp:val=&quot;7D5316BF&quot;/&gt;&lt;wsp:rsid wsp:val=&quot;7D540579&quot;/&gt;&lt;wsp:rsid wsp:val=&quot;7D5771AB&quot;/&gt;&lt;wsp:rsid wsp:val=&quot;7D592A4D&quot;/&gt;&lt;wsp:rsid wsp:val=&quot;7D5947FB&quot;/&gt;&lt;wsp:rsid wsp:val=&quot;7D5B4A17&quot;/&gt;&lt;wsp:rsid wsp:val=&quot;7D5E0064&quot;/&gt;&lt;wsp:rsid wsp:val=&quot;7D5E40CD&quot;/&gt;&lt;wsp:rsid wsp:val=&quot;7D5E674A&quot;/&gt;&lt;wsp:rsid wsp:val=&quot;7D5F3C88&quot;/&gt;&lt;wsp:rsid wsp:val=&quot;7D5F62B6&quot;/&gt;&lt;wsp:rsid wsp:val=&quot;7D6003A6&quot;/&gt;&lt;wsp:rsid wsp:val=&quot;7D601980&quot;/&gt;&lt;wsp:rsid wsp:val=&quot;7D60202E&quot;/&gt;&lt;wsp:rsid wsp:val=&quot;7D652E27&quot;/&gt;&lt;wsp:rsid wsp:val=&quot;7D67516A&quot;/&gt;&lt;wsp:rsid wsp:val=&quot;7D67555F&quot;/&gt;&lt;wsp:rsid wsp:val=&quot;7D692C90&quot;/&gt;&lt;wsp:rsid wsp:val=&quot;7D697134&quot;/&gt;&lt;wsp:rsid wsp:val=&quot;7D6A07B6&quot;/&gt;&lt;wsp:rsid wsp:val=&quot;7D6B1788&quot;/&gt;&lt;wsp:rsid wsp:val=&quot;7D6B2EAC&quot;/&gt;&lt;wsp:rsid wsp:val=&quot;7D6C09D3&quot;/&gt;&lt;wsp:rsid wsp:val=&quot;7D6D33E9&quot;/&gt;&lt;wsp:rsid wsp:val=&quot;7D6E02A7&quot;/&gt;&lt;wsp:rsid wsp:val=&quot;7D6E474B&quot;/&gt;&lt;wsp:rsid wsp:val=&quot;7D6F5120&quot;/&gt;&lt;wsp:rsid wsp:val=&quot;7D711B45&quot;/&gt;&lt;wsp:rsid wsp:val=&quot;7D7274AA&quot;/&gt;&lt;wsp:rsid wsp:val=&quot;7D731D61&quot;/&gt;&lt;wsp:rsid wsp:val=&quot;7D73234A&quot;/&gt;&lt;wsp:rsid wsp:val=&quot;7D7635FF&quot;/&gt;&lt;wsp:rsid wsp:val=&quot;7D7706BD&quot;/&gt;&lt;wsp:rsid wsp:val=&quot;7D777879&quot;/&gt;&lt;wsp:rsid wsp:val=&quot;7D781125&quot;/&gt;&lt;wsp:rsid wsp:val=&quot;7D782ED3&quot;/&gt;&lt;wsp:rsid wsp:val=&quot;7D787377&quot;/&gt;&lt;wsp:rsid wsp:val=&quot;7D796C4C&quot;/&gt;&lt;wsp:rsid wsp:val=&quot;7D7A3160&quot;/&gt;&lt;wsp:rsid wsp:val=&quot;7D7B29C4&quot;/&gt;&lt;wsp:rsid wsp:val=&quot;7D7E2356&quot;/&gt;&lt;wsp:rsid wsp:val=&quot;7D7F0706&quot;/&gt;&lt;wsp:rsid wsp:val=&quot;7D7F24B4&quot;/&gt;&lt;wsp:rsid wsp:val=&quot;7D80128F&quot;/&gt;&lt;wsp:rsid wsp:val=&quot;7D801F0B&quot;/&gt;&lt;wsp:rsid wsp:val=&quot;7D80622C&quot;/&gt;&lt;wsp:rsid wsp:val=&quot;7D807FDA&quot;/&gt;&lt;wsp:rsid wsp:val=&quot;7D831878&quot;/&gt;&lt;wsp:rsid wsp:val=&quot;7D8361C8&quot;/&gt;&lt;wsp:rsid wsp:val=&quot;7D844A87&quot;/&gt;&lt;wsp:rsid wsp:val=&quot;7D8555F0&quot;/&gt;&lt;wsp:rsid wsp:val=&quot;7D860E2B&quot;/&gt;&lt;wsp:rsid wsp:val=&quot;7D871368&quot;/&gt;&lt;wsp:rsid wsp:val=&quot;7D89592A&quot;/&gt;&lt;wsp:rsid wsp:val=&quot;7D8A2C07&quot;/&gt;&lt;wsp:rsid wsp:val=&quot;7D8B70AB&quot;/&gt;&lt;wsp:rsid wsp:val=&quot;7D8C4BD1&quot;/&gt;&lt;wsp:rsid wsp:val=&quot;7D8C6DBE&quot;/&gt;&lt;wsp:rsid wsp:val=&quot;7D8E0949&quot;/&gt;&lt;wsp:rsid wsp:val=&quot;7D8E26F7&quot;/&gt;&lt;wsp:rsid wsp:val=&quot;7D8F646F&quot;/&gt;&lt;wsp:rsid wsp:val=&quot;7D8F7DEC&quot;/&gt;&lt;wsp:rsid wsp:val=&quot;7D9121E7&quot;/&gt;&lt;wsp:rsid wsp:val=&quot;7D92689C&quot;/&gt;&lt;wsp:rsid wsp:val=&quot;7D9336CB&quot;/&gt;&lt;wsp:rsid wsp:val=&quot;7D9341B1&quot;/&gt;&lt;wsp:rsid wsp:val=&quot;7D937D0D&quot;/&gt;&lt;wsp:rsid wsp:val=&quot;7D9677FD&quot;/&gt;&lt;wsp:rsid wsp:val=&quot;7D972E83&quot;/&gt;&lt;wsp:rsid wsp:val=&quot;7D9817C8&quot;/&gt;&lt;wsp:rsid wsp:val=&quot;7D983576&quot;/&gt;&lt;wsp:rsid wsp:val=&quot;7D98438D&quot;/&gt;&lt;wsp:rsid wsp:val=&quot;7D985324&quot;/&gt;&lt;wsp:rsid wsp:val=&quot;7D9A72EE&quot;/&gt;&lt;wsp:rsid wsp:val=&quot;7D9B3066&quot;/&gt;&lt;wsp:rsid wsp:val=&quot;7D9C18D5&quot;/&gt;&lt;wsp:rsid wsp:val=&quot;7D9E2DD0&quot;/&gt;&lt;wsp:rsid wsp:val=&quot;7DA0067C&quot;/&gt;&lt;wsp:rsid wsp:val=&quot;7DA261A2&quot;/&gt;&lt;wsp:rsid wsp:val=&quot;7DA4016C&quot;/&gt;&lt;wsp:rsid wsp:val=&quot;7DA55C93&quot;/&gt;&lt;wsp:rsid wsp:val=&quot;7DA63EE4&quot;/&gt;&lt;wsp:rsid wsp:val=&quot;7DA71A0B&quot;/&gt;&lt;wsp:rsid wsp:val=&quot;7DA912DF&quot;/&gt;&lt;wsp:rsid wsp:val=&quot;7DAA5DED&quot;/&gt;&lt;wsp:rsid wsp:val=&quot;7DAB14FB&quot;/&gt;&lt;wsp:rsid wsp:val=&quot;7DAC2806&quot;/&gt;&lt;wsp:rsid wsp:val=&quot;7DAE0FEB&quot;/&gt;&lt;wsp:rsid wsp:val=&quot;7DAE4B47&quot;/&gt;&lt;wsp:rsid wsp:val=&quot;7DAF266D&quot;/&gt;&lt;wsp:rsid wsp:val=&quot;7DB008BF&quot;/&gt;&lt;wsp:rsid wsp:val=&quot;7DB14637&quot;/&gt;&lt;wsp:rsid wsp:val=&quot;7DB3215D&quot;/&gt;&lt;wsp:rsid wsp:val=&quot;7DB52379&quot;/&gt;&lt;wsp:rsid wsp:val=&quot;7DB54128&quot;/&gt;&lt;wsp:rsid wsp:val=&quot;7DB61C4E&quot;/&gt;&lt;wsp:rsid wsp:val=&quot;7DB859C6&quot;/&gt;&lt;wsp:rsid wsp:val=&quot;7DB94E07&quot;/&gt;&lt;wsp:rsid wsp:val=&quot;7DBB2AB4&quot;/&gt;&lt;wsp:rsid wsp:val=&quot;7DBB7264&quot;/&gt;&lt;wsp:rsid wsp:val=&quot;7DBD122E&quot;/&gt;&lt;wsp:rsid wsp:val=&quot;7DBD4D8A&quot;/&gt;&lt;wsp:rsid wsp:val=&quot;7DBF0B02&quot;/&gt;&lt;wsp:rsid wsp:val=&quot;7DBF6B39&quot;/&gt;&lt;wsp:rsid wsp:val=&quot;7DC10D1E&quot;/&gt;&lt;wsp:rsid wsp:val=&quot;7DC425BD&quot;/&gt;&lt;wsp:rsid wsp:val=&quot;7DC46119&quot;/&gt;&lt;wsp:rsid wsp:val=&quot;7DC73E5B&quot;/&gt;&lt;wsp:rsid wsp:val=&quot;7DCA74A7&quot;/&gt;&lt;wsp:rsid wsp:val=&quot;7DCC321F&quot;/&gt;&lt;wsp:rsid wsp:val=&quot;7DCC3C07&quot;/&gt;&lt;wsp:rsid wsp:val=&quot;7DCD56F2&quot;/&gt;&lt;wsp:rsid wsp:val=&quot;7DD02D0F&quot;/&gt;&lt;wsp:rsid wsp:val=&quot;7DD06D82&quot;/&gt;&lt;wsp:rsid wsp:val=&quot;7DD16A88&quot;/&gt;&lt;wsp:rsid wsp:val=&quot;7DD24CD9&quot;/&gt;&lt;wsp:rsid wsp:val=&quot;7DD32800&quot;/&gt;&lt;wsp:rsid wsp:val=&quot;7DD56578&quot;/&gt;&lt;wsp:rsid wsp:val=&quot;7DD8176D&quot;/&gt;&lt;wsp:rsid wsp:val=&quot;7DD87E16&quot;/&gt;&lt;wsp:rsid wsp:val=&quot;7DD918A9&quot;/&gt;&lt;wsp:rsid wsp:val=&quot;7DD95881&quot;/&gt;&lt;wsp:rsid wsp:val=&quot;7DDC7906&quot;/&gt;&lt;wsp:rsid wsp:val=&quot;7DDC79A9&quot;/&gt;&lt;wsp:rsid wsp:val=&quot;7DDD542C&quot;/&gt;&lt;wsp:rsid wsp:val=&quot;7DDD6DD3&quot;/&gt;&lt;wsp:rsid wsp:val=&quot;7DDF2F52&quot;/&gt;&lt;wsp:rsid wsp:val=&quot;7DDF73F6&quot;/&gt;&lt;wsp:rsid wsp:val=&quot;7DE06CCB&quot;/&gt;&lt;wsp:rsid wsp:val=&quot;7DE14F1D&quot;/&gt;&lt;wsp:rsid wsp:val=&quot;7DE20C95&quot;/&gt;&lt;wsp:rsid wsp:val=&quot;7DE44A0D&quot;/&gt;&lt;wsp:rsid wsp:val=&quot;7DE467BB&quot;/&gt;&lt;wsp:rsid wsp:val=&quot;7DE47E14&quot;/&gt;&lt;wsp:rsid wsp:val=&quot;7DE93DD1&quot;/&gt;&lt;wsp:rsid wsp:val=&quot;7DEB5D9B&quot;/&gt;&lt;wsp:rsid wsp:val=&quot;7DEB7B49&quot;/&gt;&lt;wsp:rsid wsp:val=&quot;7DEC38C1&quot;/&gt;&lt;wsp:rsid wsp:val=&quot;7DED1B13&quot;/&gt;&lt;wsp:rsid wsp:val=&quot;7DF05160&quot;/&gt;&lt;wsp:rsid wsp:val=&quot;7DF34C50&quot;/&gt;&lt;wsp:rsid wsp:val=&quot;7DF369FE&quot;/&gt;&lt;wsp:rsid wsp:val=&quot;7DF509C8&quot;/&gt;&lt;wsp:rsid wsp:val=&quot;7DF52776&quot;/&gt;&lt;wsp:rsid wsp:val=&quot;7DF53919&quot;/&gt;&lt;wsp:rsid wsp:val=&quot;7DF6029C&quot;/&gt;&lt;wsp:rsid wsp:val=&quot;7DF73FD2&quot;/&gt;&lt;wsp:rsid wsp:val=&quot;7DF82266&quot;/&gt;&lt;wsp:rsid wsp:val=&quot;7DFA0355&quot;/&gt;&lt;wsp:rsid wsp:val=&quot;7DFC1D56&quot;/&gt;&lt;wsp:rsid wsp:val=&quot;7DFD162B&quot;/&gt;&lt;wsp:rsid wsp:val=&quot;7DFD20AA&quot;/&gt;&lt;wsp:rsid wsp:val=&quot;7DFD5ACF&quot;/&gt;&lt;wsp:rsid wsp:val=&quot;7DFD787D&quot;/&gt;&lt;wsp:rsid wsp:val=&quot;7DFF35F5&quot;/&gt;&lt;wsp:rsid wsp:val=&quot;7DFF53A3&quot;/&gt;&lt;wsp:rsid wsp:val=&quot;7E000A2B&quot;/&gt;&lt;wsp:rsid wsp:val=&quot;7E003F9D&quot;/&gt;&lt;wsp:rsid wsp:val=&quot;7E024E93&quot;/&gt;&lt;wsp:rsid wsp:val=&quot;7E026C41&quot;/&gt;&lt;wsp:rsid wsp:val=&quot;7E040C0B&quot;/&gt;&lt;wsp:rsid wsp:val=&quot;7E0429B9&quot;/&gt;&lt;wsp:rsid wsp:val=&quot;7E096221&quot;/&gt;&lt;wsp:rsid wsp:val=&quot;7E0977F0&quot;/&gt;&lt;wsp:rsid wsp:val=&quot;7E097FCF&quot;/&gt;&lt;wsp:rsid wsp:val=&quot;7E0B01EB&quot;/&gt;&lt;wsp:rsid wsp:val=&quot;7E0B1F99&quot;/&gt;&lt;wsp:rsid wsp:val=&quot;7E0B673C&quot;/&gt;&lt;wsp:rsid wsp:val=&quot;7E0C7AC0&quot;/&gt;&lt;wsp:rsid wsp:val=&quot;7E0E5F91&quot;/&gt;&lt;wsp:rsid wsp:val=&quot;7E121076&quot;/&gt;&lt;wsp:rsid wsp:val=&quot;7E123328&quot;/&gt;&lt;wsp:rsid wsp:val=&quot;7E125FC0&quot;/&gt;&lt;wsp:rsid wsp:val=&quot;7E130E4E&quot;/&gt;&lt;wsp:rsid wsp:val=&quot;7E1352F2&quot;/&gt;&lt;wsp:rsid wsp:val=&quot;7E1370A0&quot;/&gt;&lt;wsp:rsid wsp:val=&quot;7E140841&quot;/&gt;&lt;wsp:rsid wsp:val=&quot;7E142CC9&quot;/&gt;&lt;wsp:rsid wsp:val=&quot;7E155919&quot;/&gt;&lt;wsp:rsid wsp:val=&quot;7E156974&quot;/&gt;&lt;wsp:rsid wsp:val=&quot;7E1626EC&quot;/&gt;&lt;wsp:rsid wsp:val=&quot;7E1846B6&quot;/&gt;&lt;wsp:rsid wsp:val=&quot;7E186464&quot;/&gt;&lt;wsp:rsid wsp:val=&quot;7E196427&quot;/&gt;&lt;wsp:rsid wsp:val=&quot;7E1A042F&quot;/&gt;&lt;wsp:rsid wsp:val=&quot;7E1C41A7&quot;/&gt;&lt;wsp:rsid wsp:val=&quot;7E1C5F55&quot;/&gt;&lt;wsp:rsid wsp:val=&quot;7E1E7F1F&quot;/&gt;&lt;wsp:rsid wsp:val=&quot;7E1F3C97&quot;/&gt;&lt;wsp:rsid wsp:val=&quot;7E2059DB&quot;/&gt;&lt;wsp:rsid wsp:val=&quot;7E21356B&quot;/&gt;&lt;wsp:rsid wsp:val=&quot;7E215319&quot;/&gt;&lt;wsp:rsid wsp:val=&quot;7E235535&quot;/&gt;&lt;wsp:rsid wsp:val=&quot;7E244E09&quot;/&gt;&lt;wsp:rsid wsp:val=&quot;7E2651F7&quot;/&gt;&lt;wsp:rsid wsp:val=&quot;7E2A3C98&quot;/&gt;&lt;wsp:rsid wsp:val=&quot;7E2B43EA&quot;/&gt;&lt;wsp:rsid wsp:val=&quot;7E2B727B&quot;/&gt;&lt;wsp:rsid wsp:val=&quot;7E2D0162&quot;/&gt;&lt;wsp:rsid wsp:val=&quot;7E2E3EDA&quot;/&gt;&lt;wsp:rsid wsp:val=&quot;7E2E5C88&quot;/&gt;&lt;wsp:rsid wsp:val=&quot;7E3037AE&quot;/&gt;&lt;wsp:rsid wsp:val=&quot;7E327526&quot;/&gt;&lt;wsp:rsid wsp:val=&quot;7E34648B&quot;/&gt;&lt;wsp:rsid wsp:val=&quot;7E350DC4&quot;/&gt;&lt;wsp:rsid wsp:val=&quot;7E357016&quot;/&gt;&lt;wsp:rsid wsp:val=&quot;7E394D59&quot;/&gt;&lt;wsp:rsid wsp:val=&quot;7E3A287F&quot;/&gt;&lt;wsp:rsid wsp:val=&quot;7E3C60AD&quot;/&gt;&lt;wsp:rsid wsp:val=&quot;7E3C65F7&quot;/&gt;&lt;wsp:rsid wsp:val=&quot;7E3D5ECB&quot;/&gt;&lt;wsp:rsid wsp:val=&quot;7E3F60E7&quot;/&gt;&lt;wsp:rsid wsp:val=&quot;7E405EBE&quot;/&gt;&lt;wsp:rsid wsp:val=&quot;7E4234E1&quot;/&gt;&lt;wsp:rsid wsp:val=&quot;7E423C46&quot;/&gt;&lt;wsp:rsid wsp:val=&quot;7E431733&quot;/&gt;&lt;wsp:rsid wsp:val=&quot;7E464D80&quot;/&gt;&lt;wsp:rsid wsp:val=&quot;7E4B05E8&quot;/&gt;&lt;wsp:rsid wsp:val=&quot;7E4B4A8C&quot;/&gt;&lt;wsp:rsid wsp:val=&quot;7E4D4360&quot;/&gt;&lt;wsp:rsid wsp:val=&quot;7E4E5849&quot;/&gt;&lt;wsp:rsid wsp:val=&quot;7E5020A2&quot;/&gt;&lt;wsp:rsid wsp:val=&quot;7E505BFE&quot;/&gt;&lt;wsp:rsid wsp:val=&quot;7E510584&quot;/&gt;&lt;wsp:rsid wsp:val=&quot;7E551467&quot;/&gt;&lt;wsp:rsid wsp:val=&quot;7E573431&quot;/&gt;&lt;wsp:rsid wsp:val=&quot;7E582D05&quot;/&gt;&lt;wsp:rsid wsp:val=&quot;7E5971A9&quot;/&gt;&lt;wsp:rsid wsp:val=&quot;7E5A4CCF&quot;/&gt;&lt;wsp:rsid wsp:val=&quot;7E5E656D&quot;/&gt;&lt;wsp:rsid wsp:val=&quot;7E5F1447&quot;/&gt;&lt;wsp:rsid wsp:val=&quot;7E621509&quot;/&gt;&lt;wsp:rsid wsp:val=&quot;7E627771&quot;/&gt;&lt;wsp:rsid wsp:val=&quot;7E631DD5&quot;/&gt;&lt;wsp:rsid wsp:val=&quot;7E633AAA&quot;/&gt;&lt;wsp:rsid wsp:val=&quot;7E633B84&quot;/&gt;&lt;wsp:rsid wsp:val=&quot;7E635932&quot;/&gt;&lt;wsp:rsid wsp:val=&quot;7E665422&quot;/&gt;&lt;wsp:rsid wsp:val=&quot;7E6A6190&quot;/&gt;&lt;wsp:rsid wsp:val=&quot;7E6B58D5&quot;/&gt;&lt;wsp:rsid wsp:val=&quot;7E6D4A02&quot;/&gt;&lt;wsp:rsid wsp:val=&quot;7E6E4135&quot;/&gt;&lt;wsp:rsid wsp:val=&quot;7E6F7507&quot;/&gt;&lt;wsp:rsid wsp:val=&quot;7E70004F&quot;/&gt;&lt;wsp:rsid wsp:val=&quot;7E703825&quot;/&gt;&lt;wsp:rsid wsp:val=&quot;7E725B75&quot;/&gt;&lt;wsp:rsid wsp:val=&quot;7E7757D5&quot;/&gt;&lt;wsp:rsid wsp:val=&quot;7E7933A7&quot;/&gt;&lt;wsp:rsid wsp:val=&quot;7E7A0ECD&quot;/&gt;&lt;wsp:rsid wsp:val=&quot;7E7A2C7B&quot;/&gt;&lt;wsp:rsid wsp:val=&quot;7E7A711F&quot;/&gt;&lt;wsp:rsid wsp:val=&quot;7E7E6C0F&quot;/&gt;&lt;wsp:rsid wsp:val=&quot;7E7F0292&quot;/&gt;&lt;wsp:rsid wsp:val=&quot;7E7F64E4&quot;/&gt;&lt;wsp:rsid wsp:val=&quot;7E81400A&quot;/&gt;&lt;wsp:rsid wsp:val=&quot;7E834226&quot;/&gt;&lt;wsp:rsid wsp:val=&quot;7E857F9E&quot;/&gt;&lt;wsp:rsid wsp:val=&quot;7E861620&quot;/&gt;&lt;wsp:rsid wsp:val=&quot;7E8807F6&quot;/&gt;&lt;wsp:rsid wsp:val=&quot;7E8835EA&quot;/&gt;&lt;wsp:rsid wsp:val=&quot;7E891110&quot;/&gt;&lt;wsp:rsid wsp:val=&quot;7E8A4D88&quot;/&gt;&lt;wsp:rsid wsp:val=&quot;7E8A5B6F&quot;/&gt;&lt;wsp:rsid wsp:val=&quot;7E8B30DA&quot;/&gt;&lt;wsp:rsid wsp:val=&quot;7E8B6C36&quot;/&gt;&lt;wsp:rsid wsp:val=&quot;7E8C49F5&quot;/&gt;&lt;wsp:rsid wsp:val=&quot;7E8D44C5&quot;/&gt;&lt;wsp:rsid wsp:val=&quot;7E8D6E52&quot;/&gt;&lt;wsp:rsid wsp:val=&quot;7E8E6727&quot;/&gt;&lt;wsp:rsid wsp:val=&quot;7E8F2BCB&quot;/&gt;&lt;wsp:rsid wsp:val=&quot;7E902E46&quot;/&gt;&lt;wsp:rsid wsp:val=&quot;7E906943&quot;/&gt;&lt;wsp:rsid wsp:val=&quot;7E924469&quot;/&gt;&lt;wsp:rsid wsp:val=&quot;7E933E58&quot;/&gt;&lt;wsp:rsid wsp:val=&quot;7E9401E1&quot;/&gt;&lt;wsp:rsid wsp:val=&quot;7E971A7F&quot;/&gt;&lt;wsp:rsid wsp:val=&quot;7E975577&quot;/&gt;&lt;wsp:rsid wsp:val=&quot;7E9957F7&quot;/&gt;&lt;wsp:rsid wsp:val=&quot;7E9A3EF8&quot;/&gt;&lt;wsp:rsid wsp:val=&quot;7E9B6AC9&quot;/&gt;&lt;wsp:rsid wsp:val=&quot;7E9C13E9&quot;/&gt;&lt;wsp:rsid wsp:val=&quot;7E9C48E7&quot;/&gt;&lt;wsp:rsid wsp:val=&quot;7E9E2E0E&quot;/&gt;&lt;wsp:rsid wsp:val=&quot;7E9F0934&quot;/&gt;&lt;wsp:rsid wsp:val=&quot;7E9F26E2&quot;/&gt;&lt;wsp:rsid wsp:val=&quot;7EA128FE&quot;/&gt;&lt;wsp:rsid wsp:val=&quot;7EA321D2&quot;/&gt;&lt;wsp:rsid wsp:val=&quot;7EA5419C&quot;/&gt;&lt;wsp:rsid wsp:val=&quot;7EA61CC2&quot;/&gt;&lt;wsp:rsid wsp:val=&quot;7EA83C8C&quot;/&gt;&lt;wsp:rsid wsp:val=&quot;7EA85A3A&quot;/&gt;&lt;wsp:rsid wsp:val=&quot;7EA877E8&quot;/&gt;&lt;wsp:rsid wsp:val=&quot;7EAA17B2&quot;/&gt;&lt;wsp:rsid wsp:val=&quot;7EAB50F7&quot;/&gt;&lt;wsp:rsid wsp:val=&quot;7EAB7A4E&quot;/&gt;&lt;wsp:rsid wsp:val=&quot;7EAD3051&quot;/&gt;&lt;wsp:rsid wsp:val=&quot;7EAD3724&quot;/&gt;&lt;wsp:rsid wsp:val=&quot;7EAD4DFF&quot;/&gt;&lt;wsp:rsid wsp:val=&quot;7EB0669D&quot;/&gt;&lt;wsp:rsid wsp:val=&quot;7EB138C0&quot;/&gt;&lt;wsp:rsid wsp:val=&quot;7EB24D50&quot;/&gt;&lt;wsp:rsid wsp:val=&quot;7EB268B9&quot;/&gt;&lt;wsp:rsid wsp:val=&quot;7EB40DB1&quot;/&gt;&lt;wsp:rsid wsp:val=&quot;7EB42631&quot;/&gt;&lt;wsp:rsid wsp:val=&quot;7EB451A2&quot;/&gt;&lt;wsp:rsid wsp:val=&quot;7EB61686&quot;/&gt;&lt;wsp:rsid wsp:val=&quot;7EB75C7D&quot;/&gt;&lt;wsp:rsid wsp:val=&quot;7EBA751C&quot;/&gt;&lt;wsp:rsid wsp:val=&quot;7EBC3294&quot;/&gt;&lt;wsp:rsid wsp:val=&quot;7EBD7E66&quot;/&gt;&lt;wsp:rsid wsp:val=&quot;7EBF08B1&quot;/&gt;&lt;wsp:rsid wsp:val=&quot;7EC00FD6&quot;/&gt;&lt;wsp:rsid wsp:val=&quot;7EC16AFC&quot;/&gt;&lt;wsp:rsid wsp:val=&quot;7EC2593C&quot;/&gt;&lt;wsp:rsid wsp:val=&quot;7EC363D0&quot;/&gt;&lt;wsp:rsid wsp:val=&quot;7EC5039A&quot;/&gt;&lt;wsp:rsid wsp:val=&quot;7EC50D5E&quot;/&gt;&lt;wsp:rsid wsp:val=&quot;7EC531C6&quot;/&gt;&lt;wsp:rsid wsp:val=&quot;7EC65EC0&quot;/&gt;&lt;wsp:rsid wsp:val=&quot;7EC81C39&quot;/&gt;&lt;wsp:rsid wsp:val=&quot;7EC860DC&quot;/&gt;&lt;wsp:rsid wsp:val=&quot;7EC9775F&quot;/&gt;&lt;wsp:rsid wsp:val=&quot;7ECA59B1&quot;/&gt;&lt;wsp:rsid wsp:val=&quot;7ECC2D22&quot;/&gt;&lt;wsp:rsid wsp:val=&quot;7ECD54A1&quot;/&gt;&lt;wsp:rsid wsp:val=&quot;7ECF746B&quot;/&gt;&lt;wsp:rsid wsp:val=&quot;7ED06D3F&quot;/&gt;&lt;wsp:rsid wsp:val=&quot;7ED14F91&quot;/&gt;&lt;wsp:rsid wsp:val=&quot;7ED20D09&quot;/&gt;&lt;wsp:rsid wsp:val=&quot;7ED22AB7&quot;/&gt;&lt;wsp:rsid wsp:val=&quot;7ED3017A&quot;/&gt;&lt;wsp:rsid wsp:val=&quot;7ED405DD&quot;/&gt;&lt;wsp:rsid wsp:val=&quot;7ED4682F&quot;/&gt;&lt;wsp:rsid wsp:val=&quot;7ED54355&quot;/&gt;&lt;wsp:rsid wsp:val=&quot;7ED607F9&quot;/&gt;&lt;wsp:rsid wsp:val=&quot;7ED93E46&quot;/&gt;&lt;wsp:rsid wsp:val=&quot;7ED97EFB&quot;/&gt;&lt;wsp:rsid wsp:val=&quot;7EDA196C&quot;/&gt;&lt;wsp:rsid wsp:val=&quot;7EDA1D53&quot;/&gt;&lt;wsp:rsid wsp:val=&quot;7EDB7BBE&quot;/&gt;&lt;wsp:rsid wsp:val=&quot;7EDC1B88&quot;/&gt;&lt;wsp:rsid wsp:val=&quot;7EDC7492&quot;/&gt;&lt;wsp:rsid wsp:val=&quot;7EDE320A&quot;/&gt;&lt;wsp:rsid wsp:val=&quot;7EDE76AE&quot;/&gt;&lt;wsp:rsid wsp:val=&quot;7EE051FD&quot;/&gt;&lt;wsp:rsid wsp:val=&quot;7EE10F4C&quot;/&gt;&lt;wsp:rsid wsp:val=&quot;7EE12CFA&quot;/&gt;&lt;wsp:rsid wsp:val=&quot;7EE30820&quot;/&gt;&lt;wsp:rsid wsp:val=&quot;7EE747B5&quot;/&gt;&lt;wsp:rsid wsp:val=&quot;7EE8052D&quot;/&gt;&lt;wsp:rsid wsp:val=&quot;7EED169F&quot;/&gt;&lt;wsp:rsid wsp:val=&quot;7EED5B43&quot;/&gt;&lt;wsp:rsid wsp:val=&quot;7EEF71C5&quot;/&gt;&lt;wsp:rsid wsp:val=&quot;7EF00CCA&quot;/&gt;&lt;wsp:rsid wsp:val=&quot;7EF02F3D&quot;/&gt;&lt;wsp:rsid wsp:val=&quot;7EF03E00&quot;/&gt;&lt;wsp:rsid wsp:val=&quot;7EF20AA2&quot;/&gt;&lt;wsp:rsid wsp:val=&quot;7EF23899&quot;/&gt;&lt;wsp:rsid wsp:val=&quot;7EF40C80&quot;/&gt;&lt;wsp:rsid wsp:val=&quot;7EF415E7&quot;/&gt;&lt;wsp:rsid wsp:val=&quot;7EF42A2E&quot;/&gt;&lt;wsp:rsid wsp:val=&quot;7EF649F8&quot;/&gt;&lt;wsp:rsid wsp:val=&quot;7EF7251E&quot;/&gt;&lt;wsp:rsid wsp:val=&quot;7EF742CC&quot;/&gt;&lt;wsp:rsid wsp:val=&quot;7EF931C4&quot;/&gt;&lt;wsp:rsid wsp:val=&quot;7EFA0B2A&quot;/&gt;&lt;wsp:rsid wsp:val=&quot;7EFB3DBC&quot;/&gt;&lt;wsp:rsid wsp:val=&quot;7EFC5D86&quot;/&gt;&lt;wsp:rsid wsp:val=&quot;7EFE38AC&quot;/&gt;&lt;wsp:rsid wsp:val=&quot;7F001CE7&quot;/&gt;&lt;wsp:rsid wsp:val=&quot;7F0215EE&quot;/&gt;&lt;wsp:rsid wsp:val=&quot;7F032C71&quot;/&gt;&lt;wsp:rsid wsp:val=&quot;7F054C3B&quot;/&gt;&lt;wsp:rsid wsp:val=&quot;7F062761&quot;/&gt;&lt;wsp:rsid wsp:val=&quot;7F0709B3&quot;/&gt;&lt;wsp:rsid wsp:val=&quot;7F076C05&quot;/&gt;&lt;wsp:rsid wsp:val=&quot;7F0A3FFF&quot;/&gt;&lt;wsp:rsid wsp:val=&quot;7F0C281B&quot;/&gt;&lt;wsp:rsid wsp:val=&quot;7F0F1615&quot;/&gt;&lt;wsp:rsid wsp:val=&quot;7F0F5AB9&quot;/&gt;&lt;wsp:rsid wsp:val=&quot;7F0F7867&quot;/&gt;&lt;wsp:rsid wsp:val=&quot;7F1042DC&quot;/&gt;&lt;wsp:rsid wsp:val=&quot;7F122CEE&quot;/&gt;&lt;wsp:rsid wsp:val=&quot;7F127358&quot;/&gt;&lt;wsp:rsid wsp:val=&quot;7F141322&quot;/&gt;&lt;wsp:rsid wsp:val=&quot;7F1430D0&quot;/&gt;&lt;wsp:rsid wsp:val=&quot;7F1629A4&quot;/&gt;&lt;wsp:rsid wsp:val=&quot;7F166E48&quot;/&gt;&lt;wsp:rsid wsp:val=&quot;7F17164A&quot;/&gt;&lt;wsp:rsid wsp:val=&quot;7F17496E&quot;/&gt;&lt;wsp:rsid wsp:val=&quot;7F182BC0&quot;/&gt;&lt;wsp:rsid wsp:val=&quot;7F1B620C&quot;/&gt;&lt;wsp:rsid wsp:val=&quot;7F1B7CAE&quot;/&gt;&lt;wsp:rsid wsp:val=&quot;7F1C287F&quot;/&gt;&lt;wsp:rsid wsp:val=&quot;7F1C3D32&quot;/&gt;&lt;wsp:rsid wsp:val=&quot;7F207CC7&quot;/&gt;&lt;wsp:rsid wsp:val=&quot;7F211349&quot;/&gt;&lt;wsp:rsid wsp:val=&quot;7F2257ED&quot;/&gt;&lt;wsp:rsid wsp:val=&quot;7F241613&quot;/&gt;&lt;wsp:rsid wsp:val=&quot;7F250E39&quot;/&gt;&lt;wsp:rsid wsp:val=&quot;7F253C46&quot;/&gt;&lt;wsp:rsid wsp:val=&quot;7F264BB1&quot;/&gt;&lt;wsp:rsid wsp:val=&quot;7F2770C2&quot;/&gt;&lt;wsp:rsid wsp:val=&quot;7F294E83&quot;/&gt;&lt;wsp:rsid wsp:val=&quot;7F2A46A1&quot;/&gt;&lt;wsp:rsid wsp:val=&quot;7F2A6313&quot;/&gt;&lt;wsp:rsid wsp:val=&quot;7F2C21C7&quot;/&gt;&lt;wsp:rsid wsp:val=&quot;7F2D4191&quot;/&gt;&lt;wsp:rsid wsp:val=&quot;7F2E7F2D&quot;/&gt;&lt;wsp:rsid wsp:val=&quot;7F2F3A66&quot;/&gt;&lt;wsp:rsid wsp:val=&quot;7F2F7F0A&quot;/&gt;&lt;wsp:rsid wsp:val=&quot;7F315A30&quot;/&gt;&lt;wsp:rsid wsp:val=&quot;7F323556&quot;/&gt;&lt;wsp:rsid wsp:val=&quot;7F327676&quot;/&gt;&lt;wsp:rsid wsp:val=&quot;7F34107C&quot;/&gt;&lt;wsp:rsid wsp:val=&quot;7F3472CE&quot;/&gt;&lt;wsp:rsid wsp:val=&quot;7F385E37&quot;/&gt;&lt;wsp:rsid wsp:val=&quot;7F392B36&quot;/&gt;&lt;wsp:rsid wsp:val=&quot;7F393237&quot;/&gt;&lt;wsp:rsid wsp:val=&quot;7F3A0C3E&quot;/&gt;&lt;wsp:rsid wsp:val=&quot;7F3B065C&quot;/&gt;&lt;wsp:rsid wsp:val=&quot;7F3D43D5&quot;/&gt;&lt;wsp:rsid wsp:val=&quot;7F3E2029&quot;/&gt;&lt;wsp:rsid wsp:val=&quot;7F401C7A&quot;/&gt;&lt;wsp:rsid wsp:val=&quot;7F420B28&quot;/&gt;&lt;wsp:rsid wsp:val=&quot;7F425A2A&quot;/&gt;&lt;wsp:rsid wsp:val=&quot;7F437511&quot;/&gt;&lt;wsp:rsid wsp:val=&quot;7F4514DB&quot;/&gt;&lt;wsp:rsid wsp:val=&quot;7F453289&quot;/&gt;&lt;wsp:rsid wsp:val=&quot;7F45772D&quot;/&gt;&lt;wsp:rsid wsp:val=&quot;7F4643AB&quot;/&gt;&lt;wsp:rsid wsp:val=&quot;7F4734A5&quot;/&gt;&lt;wsp:rsid wsp:val=&quot;7F475253&quot;/&gt;&lt;wsp:rsid wsp:val=&quot;7F482D79&quot;/&gt;&lt;wsp:rsid wsp:val=&quot;7F496799&quot;/&gt;&lt;wsp:rsid wsp:val=&quot;7F4A08A0&quot;/&gt;&lt;wsp:rsid wsp:val=&quot;7F4A4D43&quot;/&gt;&lt;wsp:rsid wsp:val=&quot;7F4A6AF1&quot;/&gt;&lt;wsp:rsid wsp:val=&quot;7F4D5B65&quot;/&gt;&lt;wsp:rsid wsp:val=&quot;7F4F235A&quot;/&gt;&lt;wsp:rsid wsp:val=&quot;7F52633B&quot;/&gt;&lt;wsp:rsid wsp:val=&quot;7F565496&quot;/&gt;&lt;wsp:rsid wsp:val=&quot;7F5867C0&quot;/&gt;&lt;wsp:rsid wsp:val=&quot;7F587460&quot;/&gt;&lt;wsp:rsid wsp:val=&quot;7F596D35&quot;/&gt;&lt;wsp:rsid wsp:val=&quot;7F5B1BB7&quot;/&gt;&lt;wsp:rsid wsp:val=&quot;7F5B30BB&quot;/&gt;&lt;wsp:rsid wsp:val=&quot;7F5C05D3&quot;/&gt;&lt;wsp:rsid wsp:val=&quot;7F5D4E94&quot;/&gt;&lt;wsp:rsid wsp:val=&quot;7F5F07EF&quot;/&gt;&lt;wsp:rsid wsp:val=&quot;7F623E3B&quot;/&gt;&lt;wsp:rsid wsp:val=&quot;7F625BE9&quot;/&gt;&lt;wsp:rsid wsp:val=&quot;7F642A82&quot;/&gt;&lt;wsp:rsid wsp:val=&quot;7F65392B&quot;/&gt;&lt;wsp:rsid wsp:val=&quot;7F66411F&quot;/&gt;&lt;wsp:rsid wsp:val=&quot;7F671451&quot;/&gt;&lt;wsp:rsid wsp:val=&quot;7F6749FC&quot;/&gt;&lt;wsp:rsid wsp:val=&quot;7F686806&quot;/&gt;&lt;wsp:rsid wsp:val=&quot;7F6C0C97&quot;/&gt;&lt;wsp:rsid wsp:val=&quot;7F6C4CBA&quot;/&gt;&lt;wsp:rsid wsp:val=&quot;7F6F6558&quot;/&gt;&lt;wsp:rsid wsp:val=&quot;7F700A57&quot;/&gt;&lt;wsp:rsid wsp:val=&quot;7F720EA7&quot;/&gt;&lt;wsp:rsid wsp:val=&quot;7F722CA2&quot;/&gt;&lt;wsp:rsid wsp:val=&quot;7F737DF6&quot;/&gt;&lt;wsp:rsid wsp:val=&quot;7F74591C&quot;/&gt;&lt;wsp:rsid wsp:val=&quot;7F754A2B&quot;/&gt;&lt;wsp:rsid wsp:val=&quot;7F761695&quot;/&gt;&lt;wsp:rsid wsp:val=&quot;7F765B38&quot;/&gt;&lt;wsp:rsid wsp:val=&quot;7F7678E7&quot;/&gt;&lt;wsp:rsid wsp:val=&quot;7F7818B1&quot;/&gt;&lt;wsp:rsid wsp:val=&quot;7F78540D&quot;/&gt;&lt;wsp:rsid wsp:val=&quot;7F7B472A&quot;/&gt;&lt;wsp:rsid wsp:val=&quot;7F7F5C7C&quot;/&gt;&lt;wsp:rsid wsp:val=&quot;7F824394&quot;/&gt;&lt;wsp:rsid wsp:val=&quot;7F82628B&quot;/&gt;&lt;wsp:rsid wsp:val=&quot;7F842003&quot;/&gt;&lt;wsp:rsid wsp:val=&quot;7F8457DC&quot;/&gt;&lt;wsp:rsid wsp:val=&quot;7F846F1D&quot;/&gt;&lt;wsp:rsid wsp:val=&quot;7F8518D8&quot;/&gt;&lt;wsp:rsid wsp:val=&quot;7F855246&quot;/&gt;&lt;wsp:rsid wsp:val=&quot;7F855D7C&quot;/&gt;&lt;wsp:rsid wsp:val=&quot;7F857B2A&quot;/&gt;&lt;wsp:rsid wsp:val=&quot;7F871AF4&quot;/&gt;&lt;wsp:rsid wsp:val=&quot;7F8813C8&quot;/&gt;&lt;wsp:rsid wsp:val=&quot;7F8879AA&quot;/&gt;&lt;wsp:rsid wsp:val=&quot;7F892B1E&quot;/&gt;&lt;wsp:rsid wsp:val=&quot;7F8C0EB8&quot;/&gt;&lt;wsp:rsid wsp:val=&quot;7F8F4102&quot;/&gt;&lt;wsp:rsid wsp:val=&quot;7F914720&quot;/&gt;&lt;wsp:rsid wsp:val=&quot;7F925AEA&quot;/&gt;&lt;wsp:rsid wsp:val=&quot;7F932247&quot;/&gt;&lt;wsp:rsid wsp:val=&quot;7F963AE5&quot;/&gt;&lt;wsp:rsid wsp:val=&quot;7F970ECA&quot;/&gt;&lt;wsp:rsid wsp:val=&quot;7F98785D&quot;/&gt;&lt;wsp:rsid wsp:val=&quot;7F997CB3&quot;/&gt;&lt;wsp:rsid wsp:val=&quot;7F9B734D&quot;/&gt;&lt;wsp:rsid wsp:val=&quot;7F9D1317&quot;/&gt;&lt;wsp:rsid wsp:val=&quot;7F9D6634&quot;/&gt;&lt;wsp:rsid wsp:val=&quot;7F9F508F&quot;/&gt;&lt;wsp:rsid wsp:val=&quot;7F9F6E3D&quot;/&gt;&lt;wsp:rsid wsp:val=&quot;7FA03EF9&quot;/&gt;&lt;wsp:rsid wsp:val=&quot;7FA426A6&quot;/&gt;&lt;wsp:rsid wsp:val=&quot;7FA44454&quot;/&gt;&lt;wsp:rsid wsp:val=&quot;7FA56256&quot;/&gt;&lt;wsp:rsid wsp:val=&quot;7FA610A8&quot;/&gt;&lt;wsp:rsid wsp:val=&quot;7FA676E6&quot;/&gt;&lt;wsp:rsid wsp:val=&quot;7FA73F44&quot;/&gt;&lt;wsp:rsid wsp:val=&quot;7FA77392&quot;/&gt;&lt;wsp:rsid wsp:val=&quot;7FA93855&quot;/&gt;&lt;wsp:rsid wsp:val=&quot;7FA97CBC&quot;/&gt;&lt;wsp:rsid wsp:val=&quot;7FAA68F3&quot;/&gt;&lt;wsp:rsid wsp:val=&quot;7FAC4C99&quot;/&gt;&lt;wsp:rsid wsp:val=&quot;7FAC50B6&quot;/&gt;&lt;wsp:rsid wsp:val=&quot;7FAE0F2C&quot;/&gt;&lt;wsp:rsid wsp:val=&quot;7FAF0FC2&quot;/&gt;&lt;wsp:rsid wsp:val=&quot;7FAF2DF8&quot;/&gt;&lt;wsp:rsid wsp:val=&quot;7FB14DC3&quot;/&gt;&lt;wsp:rsid wsp:val=&quot;7FB273CA&quot;/&gt;&lt;wsp:rsid wsp:val=&quot;7FB36445&quot;/&gt;&lt;wsp:rsid wsp:val=&quot;7FB4040F&quot;/&gt;&lt;wsp:rsid wsp:val=&quot;7FB421BD&quot;/&gt;&lt;wsp:rsid wsp:val=&quot;7FB65F35&quot;/&gt;&lt;wsp:rsid wsp:val=&quot;7FB671DB&quot;/&gt;&lt;wsp:rsid wsp:val=&quot;7FBA5A25&quot;/&gt;&lt;wsp:rsid wsp:val=&quot;7FBA6FEC&quot;/&gt;&lt;wsp:rsid wsp:val=&quot;7FBA7941&quot;/&gt;&lt;wsp:rsid wsp:val=&quot;7FBB7440&quot;/&gt;&lt;wsp:rsid wsp:val=&quot;7FBD44DD&quot;/&gt;&lt;wsp:rsid wsp:val=&quot;7FBD5515&quot;/&gt;&lt;wsp:rsid wsp:val=&quot;7FBE4DEA&quot;/&gt;&lt;wsp:rsid wsp:val=&quot;7FC00B62&quot;/&gt;&lt;wsp:rsid wsp:val=&quot;7FC02E5E&quot;/&gt;&lt;wsp:rsid wsp:val=&quot;7FC27C35&quot;/&gt;&lt;wsp:rsid wsp:val=&quot;7FC30BE7&quot;/&gt;&lt;wsp:rsid wsp:val=&quot;7FC32F20&quot;/&gt;&lt;wsp:rsid wsp:val=&quot;7FC44AF6&quot;/&gt;&lt;wsp:rsid wsp:val=&quot;7FC5261C&quot;/&gt;&lt;wsp:rsid wsp:val=&quot;7FC56178&quot;/&gt;&lt;wsp:rsid wsp:val=&quot;7FC632C4&quot;/&gt;&lt;wsp:rsid wsp:val=&quot;7FC65272&quot;/&gt;&lt;wsp:rsid wsp:val=&quot;7FC70142&quot;/&gt;&lt;wsp:rsid wsp:val=&quot;7FC84033&quot;/&gt;&lt;wsp:rsid wsp:val=&quot;7FC9210C&quot;/&gt;&lt;wsp:rsid wsp:val=&quot;7FC93EBA&quot;/&gt;&lt;wsp:rsid wsp:val=&quot;7FC95C68&quot;/&gt;&lt;wsp:rsid wsp:val=&quot;7FCA378E&quot;/&gt;&lt;wsp:rsid wsp:val=&quot;7FCA6AE1&quot;/&gt;&lt;wsp:rsid wsp:val=&quot;7FCB55CD&quot;/&gt;&lt;wsp:rsid wsp:val=&quot;7FCB6A2C&quot;/&gt;&lt;wsp:rsid wsp:val=&quot;7FCB7C32&quot;/&gt;&lt;wsp:rsid wsp:val=&quot;7FCC39AA&quot;/&gt;&lt;wsp:rsid wsp:val=&quot;7FCE14D1&quot;/&gt;&lt;wsp:rsid wsp:val=&quot;7FD0349B&quot;/&gt;&lt;wsp:rsid wsp:val=&quot;7FD12D6F&quot;/&gt;&lt;wsp:rsid wsp:val=&quot;7FD34D39&quot;/&gt;&lt;wsp:rsid wsp:val=&quot;7FD40A33&quot;/&gt;&lt;wsp:rsid wsp:val=&quot;7FD4460D&quot;/&gt;&lt;wsp:rsid wsp:val=&quot;7FD8234F&quot;/&gt;&lt;wsp:rsid wsp:val=&quot;7FD9642C&quot;/&gt;&lt;wsp:rsid wsp:val=&quot;7FDA65D6&quot;/&gt;&lt;wsp:rsid wsp:val=&quot;7FDA7E75&quot;/&gt;&lt;wsp:rsid wsp:val=&quot;7FDB3BED&quot;/&gt;&lt;wsp:rsid wsp:val=&quot;7FDB599C&quot;/&gt;&lt;wsp:rsid wsp:val=&quot;7FDF548C&quot;/&gt;&lt;wsp:rsid wsp:val=&quot;7FE06D2E&quot;/&gt;&lt;wsp:rsid wsp:val=&quot;7FE14CA0&quot;/&gt;&lt;wsp:rsid wsp:val=&quot;7FE26D2A&quot;/&gt;&lt;wsp:rsid wsp:val=&quot;7FE40CF4&quot;/&gt;&lt;wsp:rsid wsp:val=&quot;7FE47E50&quot;/&gt;&lt;wsp:rsid wsp:val=&quot;7FE53549&quot;/&gt;&lt;wsp:rsid wsp:val=&quot;7FE72592&quot;/&gt;&lt;wsp:rsid wsp:val=&quot;7FE74340&quot;/&gt;&lt;wsp:rsid wsp:val=&quot;7FEC35BC&quot;/&gt;&lt;wsp:rsid wsp:val=&quot;7FEC7BA9&quot;/&gt;&lt;wsp:rsid wsp:val=&quot;7FED5DAB&quot;/&gt;&lt;wsp:rsid wsp:val=&quot;7FEE3921&quot;/&gt;&lt;wsp:rsid wsp:val=&quot;7FEE56CF&quot;/&gt;&lt;wsp:rsid wsp:val=&quot;7FF07D9E&quot;/&gt;&lt;wsp:rsid wsp:val=&quot;7FF151BF&quot;/&gt;&lt;wsp:rsid wsp:val=&quot;7FF16F6D&quot;/&gt;&lt;wsp:rsid wsp:val=&quot;7FF17C71&quot;/&gt;&lt;wsp:rsid wsp:val=&quot;7FF2594B&quot;/&gt;&lt;wsp:rsid wsp:val=&quot;7FF32CE5&quot;/&gt;&lt;wsp:rsid wsp:val=&quot;7FF76C79&quot;/&gt;&lt;wsp:rsid wsp:val=&quot;7FF7723F&quot;/&gt;&lt;wsp:rsid wsp:val=&quot;7FF802FC&quot;/&gt;&lt;wsp:rsid wsp:val=&quot;7FF8654D&quot;/&gt;&lt;wsp:rsid wsp:val=&quot;7FFB603E&quot;/&gt;&lt;wsp:rsid wsp:val=&quot;7FFF5B2E&quot;/&gt;&lt;/wsp:rsids&gt;&lt;/w:docPr&gt;&lt;w:body&gt;&lt;wx:sect&gt;&lt;w:p wsp:rsidR=&quot;00000000&quot; wsp:rsidRDefault=&quot;00721B5C&quot; wsp:rsidP=&quot;00721B5C&quot;&gt;&lt;w:pPr&gt;&lt;w:ind w:first-line=&quot;480&quot;/&gt;&lt;/w:pPr&gt;&lt;m:oMathPara&gt;&lt;m:oMath&gt;&lt;m:sSubSup&gt;&lt;m:sSubSupPr&gt;&lt;m:ctrlPr&gt;&lt;w:rPr&gt;&lt;w:rFonts w:ascii=&quot;Cambria Math&quot; w:h-ansi=&quot;Cambria Math&quot;/&gt;&lt;wx:font wx:val=&quot;Cambria Math&quot;/&gt;&lt;w:i/&gt;&lt;w:sz-cs w:val=&quot;21&quot;/&gt;&lt;/w:rPr&gt;&lt;/m:ctrlPr&gt;&lt;/m:sSubSupPr&gt;&lt;m:e&gt;&lt;m:r&gt;&lt;w:rPr&gt;&lt;w:rFonts w:ascii=&quot;Cambria Math&quot; w:h-ansi=&quot;Cambria Math&quot;/&gt;&lt;wx:font wx:val=&quot;Cambria Math&quot;/&gt;&lt;w:i/&gt;&lt;w:sz-cs w:val=&quot;21&quot;/&gt;&lt;/w:rPr&gt;&lt;m:t&gt;Q&lt;/m:t&gt;&lt;/m:r&gt;&lt;/m:e&gt;&lt;m:sub&gt;&lt;m:r&gt;&lt;w:rPr&gt;&lt;w:rFonts w:ascii=&quot;Cambria Math&quot; w:h-ansi=&quot;Cambria Math&quot;/&gt;&lt;wx:font wx:val=&quot;Cambria Math&quot;/&gt;&lt;w:i/&gt;&lt;w:sz-cs w:val=&quot;21&quot;/&gt;&lt;/w:rPr&gt;&lt;m:t&gt;p&lt;/m:t&gt;&lt;/m:r&gt;&lt;/m:sub&gt;&lt;m:sup&gt;&lt;m:r&gt;&lt;w:rPr&gt;&lt;w:rFonts w:ascii=&quot;Cambria Math&quot; w:h-ansi=&quot;Cambria Math&quot;/&gt;&lt;wx:font wx:val=&quot;Cambria Math&quot;/&gt;&lt;w:i/&gt;&lt;w:sz-cs w:val=&quot;21&quot;/&gt;&lt;/w:rPr&gt;&lt;m:t&gt;'&lt;/m:t&gt;&lt;/m:r&gt;&lt;/m:sup&gt;&lt;/m:sSub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14" chromakey="#FFFFFF" o:title=""/>
                  <o:lock v:ext="edit" aspectratio="t"/>
                  <w10:wrap type="none"/>
                  <w10:anchorlock/>
                </v:shape>
              </w:pict>
            </w:r>
            <w:r>
              <w:rPr>
                <w:rFonts w:hint="default"/>
                <w:caps w:val="0"/>
                <w:color w:val="auto"/>
                <w:spacing w:val="0"/>
                <w:position w:val="0"/>
                <w:highlight w:val="none"/>
              </w:rPr>
              <w:instrText xml:space="preserve"> </w:instrText>
            </w:r>
            <w:r>
              <w:rPr>
                <w:rFonts w:hint="default"/>
                <w:caps w:val="0"/>
                <w:color w:val="auto"/>
                <w:spacing w:val="0"/>
                <w:position w:val="0"/>
                <w:highlight w:val="none"/>
              </w:rPr>
              <w:fldChar w:fldCharType="separate"/>
            </w:r>
            <w:r>
              <w:rPr>
                <w:rFonts w:hint="default"/>
                <w:caps w:val="0"/>
                <w:color w:val="auto"/>
                <w:spacing w:val="0"/>
                <w:position w:val="0"/>
                <w:highlight w:val="none"/>
              </w:rPr>
              <w:pict>
                <v:shape id="_x0000_i1026" o:spt="75" type="#_x0000_t75" style="height:22.2pt;width:13.8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90&quot;/&gt;&lt;w:displayBackgroundShape/&gt;&lt;w:doNotEmbedSystemFonts/&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webPageEncoding w:val=&quot;x-cp20936&quot;/&gt;&lt;w:optimizeForBrowser/&gt;&lt;w:allowPNG/&gt;&lt;w:pixelsPerInch w:val=&quot;120&quot;/&gt;&lt;w:validateAgainstSchema w:val=&quot;off&quot;/&gt;&lt;w:saveInvalidXML w:val=&quot;off&quot;/&gt;&lt;w:ignoreMixedContent w:val=&quot;off&quot;/&gt;&lt;w:alwaysShowPlaceholderText w:val=&quot;off&quot;/&gt;&lt;w:doNotUnderlineInvalidXML/&gt;&lt;w:compat&gt;&lt;w:spaceForUL/&gt;&lt;w:balanceSingleByteDoubleByteWidth/&gt;&lt;w:doNotLeaveBackslashAlone/&gt;&lt;w:ulTrailSpace/&gt;&lt;w:doNotExpandShiftReturn/&gt;&lt;w:adjustLineHeightInTable/&gt;&lt;w:breakWrappedTables/&gt;&lt;w:snapToGridInCell/&gt;&lt;w:dontGrowAutofit/&gt;&lt;w:useFELayout/&gt;&lt;/w:compat&gt;&lt;w:docVars&gt;&lt;w:docVar w:name=&quot;commondata&quot; w:val=&quot;eyJoZGlkIjoiNTBkODU1MmE1ODg5NTM1YzE3MGE2MjA1Y2IwMTM3ZjQifQ==&quot;/&gt;&lt;/w:docVars&gt;&lt;wsp:rsids&gt;&lt;wsp:rsidRoot wsp:val=&quot;00172A27&quot;/&gt;&lt;wsp:rsid wsp:val=&quot;000030E6&quot;/&gt;&lt;wsp:rsid wsp:val=&quot;000060B3&quot;/&gt;&lt;wsp:rsid wsp:val=&quot;00007440&quot;/&gt;&lt;wsp:rsid wsp:val=&quot;0001147F&quot;/&gt;&lt;wsp:rsid wsp:val=&quot;0001333D&quot;/&gt;&lt;wsp:rsid wsp:val=&quot;00015825&quot;/&gt;&lt;wsp:rsid wsp:val=&quot;000172E8&quot;/&gt;&lt;wsp:rsid wsp:val=&quot;00020CF2&quot;/&gt;&lt;wsp:rsid wsp:val=&quot;0002561E&quot;/&gt;&lt;wsp:rsid wsp:val=&quot;00041942&quot;/&gt;&lt;wsp:rsid wsp:val=&quot;00042137&quot;/&gt;&lt;wsp:rsid wsp:val=&quot;0004364B&quot;/&gt;&lt;wsp:rsid wsp:val=&quot;00044EF2&quot;/&gt;&lt;wsp:rsid wsp:val=&quot;00054764&quot;/&gt;&lt;wsp:rsid wsp:val=&quot;00055109&quot;/&gt;&lt;wsp:rsid wsp:val=&quot;000552F8&quot;/&gt;&lt;wsp:rsid wsp:val=&quot;000575B9&quot;/&gt;&lt;wsp:rsid wsp:val=&quot;00061B1F&quot;/&gt;&lt;wsp:rsid wsp:val=&quot;000733C4&quot;/&gt;&lt;wsp:rsid wsp:val=&quot;00074783&quot;/&gt;&lt;wsp:rsid wsp:val=&quot;000765B9&quot;/&gt;&lt;wsp:rsid wsp:val=&quot;000771E8&quot;/&gt;&lt;wsp:rsid wsp:val=&quot;0008070B&quot;/&gt;&lt;wsp:rsid wsp:val=&quot;000810AC&quot;/&gt;&lt;wsp:rsid wsp:val=&quot;00081914&quot;/&gt;&lt;wsp:rsid wsp:val=&quot;00081A02&quot;/&gt;&lt;wsp:rsid wsp:val=&quot;0008205D&quot;/&gt;&lt;wsp:rsid wsp:val=&quot;00082231&quot;/&gt;&lt;wsp:rsid wsp:val=&quot;00092638&quot;/&gt;&lt;wsp:rsid wsp:val=&quot;00092D38&quot;/&gt;&lt;wsp:rsid wsp:val=&quot;0009377B&quot;/&gt;&lt;wsp:rsid wsp:val=&quot;00096560&quot;/&gt;&lt;wsp:rsid wsp:val=&quot;000A002F&quot;/&gt;&lt;wsp:rsid wsp:val=&quot;000A1BD1&quot;/&gt;&lt;wsp:rsid wsp:val=&quot;000A20C9&quot;/&gt;&lt;wsp:rsid wsp:val=&quot;000B058F&quot;/&gt;&lt;wsp:rsid wsp:val=&quot;000B3A41&quot;/&gt;&lt;wsp:rsid wsp:val=&quot;000B4467&quot;/&gt;&lt;wsp:rsid wsp:val=&quot;000B4DB9&quot;/&gt;&lt;wsp:rsid wsp:val=&quot;000B5404&quot;/&gt;&lt;wsp:rsid wsp:val=&quot;000B6281&quot;/&gt;&lt;wsp:rsid wsp:val=&quot;000B70D0&quot;/&gt;&lt;wsp:rsid wsp:val=&quot;000B74A6&quot;/&gt;&lt;wsp:rsid wsp:val=&quot;000C038D&quot;/&gt;&lt;wsp:rsid wsp:val=&quot;000C09AC&quot;/&gt;&lt;wsp:rsid wsp:val=&quot;000C0AE0&quot;/&gt;&lt;wsp:rsid wsp:val=&quot;000C0F10&quot;/&gt;&lt;wsp:rsid wsp:val=&quot;000C1FF9&quot;/&gt;&lt;wsp:rsid wsp:val=&quot;000C6CB9&quot;/&gt;&lt;wsp:rsid wsp:val=&quot;000C7560&quot;/&gt;&lt;wsp:rsid wsp:val=&quot;000C767F&quot;/&gt;&lt;wsp:rsid wsp:val=&quot;000D4715&quot;/&gt;&lt;wsp:rsid wsp:val=&quot;000D5A44&quot;/&gt;&lt;wsp:rsid wsp:val=&quot;000E3D36&quot;/&gt;&lt;wsp:rsid wsp:val=&quot;000E3ED2&quot;/&gt;&lt;wsp:rsid wsp:val=&quot;000E3FC3&quot;/&gt;&lt;wsp:rsid wsp:val=&quot;000E6A66&quot;/&gt;&lt;wsp:rsid wsp:val=&quot;000E7B1F&quot;/&gt;&lt;wsp:rsid wsp:val=&quot;000F2724&quot;/&gt;&lt;wsp:rsid wsp:val=&quot;000F48DE&quot;/&gt;&lt;wsp:rsid wsp:val=&quot;00113289&quot;/&gt;&lt;wsp:rsid wsp:val=&quot;00114B16&quot;/&gt;&lt;wsp:rsid wsp:val=&quot;001171F4&quot;/&gt;&lt;wsp:rsid wsp:val=&quot;00121EA8&quot;/&gt;&lt;wsp:rsid wsp:val=&quot;00121FAE&quot;/&gt;&lt;wsp:rsid wsp:val=&quot;00125861&quot;/&gt;&lt;wsp:rsid wsp:val=&quot;001302F0&quot;/&gt;&lt;wsp:rsid wsp:val=&quot;0013111E&quot;/&gt;&lt;wsp:rsid wsp:val=&quot;00131F42&quot;/&gt;&lt;wsp:rsid wsp:val=&quot;00135135&quot;/&gt;&lt;wsp:rsid wsp:val=&quot;001357F1&quot;/&gt;&lt;wsp:rsid wsp:val=&quot;00137F5F&quot;/&gt;&lt;wsp:rsid wsp:val=&quot;00140FA8&quot;/&gt;&lt;wsp:rsid wsp:val=&quot;00142FEB&quot;/&gt;&lt;wsp:rsid wsp:val=&quot;0014309E&quot;/&gt;&lt;wsp:rsid wsp:val=&quot;00143A2D&quot;/&gt;&lt;wsp:rsid wsp:val=&quot;00144837&quot;/&gt;&lt;wsp:rsid wsp:val=&quot;00145A41&quot;/&gt;&lt;wsp:rsid wsp:val=&quot;00151675&quot;/&gt;&lt;wsp:rsid wsp:val=&quot;00155EE4&quot;/&gt;&lt;wsp:rsid wsp:val=&quot;001570FF&quot;/&gt;&lt;wsp:rsid wsp:val=&quot;00157435&quot;/&gt;&lt;wsp:rsid wsp:val=&quot;0016008A&quot;/&gt;&lt;wsp:rsid wsp:val=&quot;00172E78&quot;/&gt;&lt;wsp:rsid wsp:val=&quot;001745C3&quot;/&gt;&lt;wsp:rsid wsp:val=&quot;0017504D&quot;/&gt;&lt;wsp:rsid wsp:val=&quot;00175502&quot;/&gt;&lt;wsp:rsid wsp:val=&quot;0017671A&quot;/&gt;&lt;wsp:rsid wsp:val=&quot;00177422&quot;/&gt;&lt;wsp:rsid wsp:val=&quot;00184590&quot;/&gt;&lt;wsp:rsid wsp:val=&quot;001870D1&quot;/&gt;&lt;wsp:rsid wsp:val=&quot;0018781E&quot;/&gt;&lt;wsp:rsid wsp:val=&quot;0019262D&quot;/&gt;&lt;wsp:rsid wsp:val=&quot;0019443D&quot;/&gt;&lt;wsp:rsid wsp:val=&quot;001A1B35&quot;/&gt;&lt;wsp:rsid wsp:val=&quot;001A48A2&quot;/&gt;&lt;wsp:rsid wsp:val=&quot;001A64C4&quot;/&gt;&lt;wsp:rsid wsp:val=&quot;001A6F61&quot;/&gt;&lt;wsp:rsid wsp:val=&quot;001B223C&quot;/&gt;&lt;wsp:rsid wsp:val=&quot;001B719A&quot;/&gt;&lt;wsp:rsid wsp:val=&quot;001B72B8&quot;/&gt;&lt;wsp:rsid wsp:val=&quot;001C3130&quot;/&gt;&lt;wsp:rsid wsp:val=&quot;001C66E0&quot;/&gt;&lt;wsp:rsid wsp:val=&quot;001C688B&quot;/&gt;&lt;wsp:rsid wsp:val=&quot;001C69B3&quot;/&gt;&lt;wsp:rsid wsp:val=&quot;001D03B5&quot;/&gt;&lt;wsp:rsid wsp:val=&quot;001D3722&quot;/&gt;&lt;wsp:rsid wsp:val=&quot;001D3E81&quot;/&gt;&lt;wsp:rsid wsp:val=&quot;001D5036&quot;/&gt;&lt;wsp:rsid wsp:val=&quot;001D5595&quot;/&gt;&lt;wsp:rsid wsp:val=&quot;001D5C99&quot;/&gt;&lt;wsp:rsid wsp:val=&quot;001D6A02&quot;/&gt;&lt;wsp:rsid wsp:val=&quot;001D7874&quot;/&gt;&lt;wsp:rsid wsp:val=&quot;001D7F22&quot;/&gt;&lt;wsp:rsid wsp:val=&quot;001E1318&quot;/&gt;&lt;wsp:rsid wsp:val=&quot;001E20B9&quot;/&gt;&lt;wsp:rsid wsp:val=&quot;001E21B6&quot;/&gt;&lt;wsp:rsid wsp:val=&quot;001E29A9&quot;/&gt;&lt;wsp:rsid wsp:val=&quot;001F0F17&quot;/&gt;&lt;wsp:rsid wsp:val=&quot;001F3347&quot;/&gt;&lt;wsp:rsid wsp:val=&quot;001F3ADA&quot;/&gt;&lt;wsp:rsid wsp:val=&quot;001F4063&quot;/&gt;&lt;wsp:rsid wsp:val=&quot;001F64F6&quot;/&gt;&lt;wsp:rsid wsp:val=&quot;001F69E4&quot;/&gt;&lt;wsp:rsid wsp:val=&quot;00201632&quot;/&gt;&lt;wsp:rsid wsp:val=&quot;00206B4F&quot;/&gt;&lt;wsp:rsid wsp:val=&quot;00207852&quot;/&gt;&lt;wsp:rsid wsp:val=&quot;0021252D&quot;/&gt;&lt;wsp:rsid wsp:val=&quot;002125B4&quot;/&gt;&lt;wsp:rsid wsp:val=&quot;00213694&quot;/&gt;&lt;wsp:rsid wsp:val=&quot;002155B8&quot;/&gt;&lt;wsp:rsid wsp:val=&quot;00215AA4&quot;/&gt;&lt;wsp:rsid wsp:val=&quot;002163B1&quot;/&gt;&lt;wsp:rsid wsp:val=&quot;0022181C&quot;/&gt;&lt;wsp:rsid wsp:val=&quot;002233E5&quot;/&gt;&lt;wsp:rsid wsp:val=&quot;002235CA&quot;/&gt;&lt;wsp:rsid wsp:val=&quot;00224839&quot;/&gt;&lt;wsp:rsid wsp:val=&quot;002249B2&quot;/&gt;&lt;wsp:rsid wsp:val=&quot;00225378&quot;/&gt;&lt;wsp:rsid wsp:val=&quot;00225B36&quot;/&gt;&lt;wsp:rsid wsp:val=&quot;0022608A&quot;/&gt;&lt;wsp:rsid wsp:val=&quot;00226574&quot;/&gt;&lt;wsp:rsid wsp:val=&quot;002278EC&quot;/&gt;&lt;wsp:rsid wsp:val=&quot;0023280E&quot;/&gt;&lt;wsp:rsid wsp:val=&quot;00232E9D&quot;/&gt;&lt;wsp:rsid wsp:val=&quot;00232F24&quot;/&gt;&lt;wsp:rsid wsp:val=&quot;002366A6&quot;/&gt;&lt;wsp:rsid wsp:val=&quot;002377D1&quot;/&gt;&lt;wsp:rsid wsp:val=&quot;00237DF4&quot;/&gt;&lt;wsp:rsid wsp:val=&quot;002412D4&quot;/&gt;&lt;wsp:rsid wsp:val=&quot;002444D9&quot;/&gt;&lt;wsp:rsid wsp:val=&quot;0024517A&quot;/&gt;&lt;wsp:rsid wsp:val=&quot;00247343&quot;/&gt;&lt;wsp:rsid wsp:val=&quot;002506BC&quot;/&gt;&lt;wsp:rsid wsp:val=&quot;00252F19&quot;/&gt;&lt;wsp:rsid wsp:val=&quot;00254345&quot;/&gt;&lt;wsp:rsid wsp:val=&quot;00254504&quot;/&gt;&lt;wsp:rsid wsp:val=&quot;00260E93&quot;/&gt;&lt;wsp:rsid wsp:val=&quot;00261E19&quot;/&gt;&lt;wsp:rsid wsp:val=&quot;0026257F&quot;/&gt;&lt;wsp:rsid wsp:val=&quot;002630BB&quot;/&gt;&lt;wsp:rsid wsp:val=&quot;002636CC&quot;/&gt;&lt;wsp:rsid wsp:val=&quot;00264557&quot;/&gt;&lt;wsp:rsid wsp:val=&quot;00264E69&quot;/&gt;&lt;wsp:rsid wsp:val=&quot;00265FAE&quot;/&gt;&lt;wsp:rsid wsp:val=&quot;00270A79&quot;/&gt;&lt;wsp:rsid wsp:val=&quot;00276E33&quot;/&gt;&lt;wsp:rsid wsp:val=&quot;002805AB&quot;/&gt;&lt;wsp:rsid wsp:val=&quot;00284204&quot;/&gt;&lt;wsp:rsid wsp:val=&quot;00284B4A&quot;/&gt;&lt;wsp:rsid wsp:val=&quot;00290BE0&quot;/&gt;&lt;wsp:rsid wsp:val=&quot;00291773&quot;/&gt;&lt;wsp:rsid wsp:val=&quot;00294613&quot;/&gt;&lt;wsp:rsid wsp:val=&quot;00295963&quot;/&gt;&lt;wsp:rsid wsp:val=&quot;002A098D&quot;/&gt;&lt;wsp:rsid wsp:val=&quot;002A168C&quot;/&gt;&lt;wsp:rsid wsp:val=&quot;002A3D00&quot;/&gt;&lt;wsp:rsid wsp:val=&quot;002A3DC7&quot;/&gt;&lt;wsp:rsid wsp:val=&quot;002A6522&quot;/&gt;&lt;wsp:rsid wsp:val=&quot;002A6926&quot;/&gt;&lt;wsp:rsid wsp:val=&quot;002B06D1&quot;/&gt;&lt;wsp:rsid wsp:val=&quot;002B247F&quot;/&gt;&lt;wsp:rsid wsp:val=&quot;002B3B82&quot;/&gt;&lt;wsp:rsid wsp:val=&quot;002B4926&quot;/&gt;&lt;wsp:rsid wsp:val=&quot;002B49E2&quot;/&gt;&lt;wsp:rsid wsp:val=&quot;002B536E&quot;/&gt;&lt;wsp:rsid wsp:val=&quot;002B74B5&quot;/&gt;&lt;wsp:rsid wsp:val=&quot;002B7B00&quot;/&gt;&lt;wsp:rsid wsp:val=&quot;002B7C44&quot;/&gt;&lt;wsp:rsid wsp:val=&quot;002C2B17&quot;/&gt;&lt;wsp:rsid wsp:val=&quot;002C4449&quot;/&gt;&lt;wsp:rsid wsp:val=&quot;002D215E&quot;/&gt;&lt;wsp:rsid wsp:val=&quot;002D3DD0&quot;/&gt;&lt;wsp:rsid wsp:val=&quot;002D4BA8&quot;/&gt;&lt;wsp:rsid wsp:val=&quot;002D4C90&quot;/&gt;&lt;wsp:rsid wsp:val=&quot;002D7AB9&quot;/&gt;&lt;wsp:rsid wsp:val=&quot;002E1F3A&quot;/&gt;&lt;wsp:rsid wsp:val=&quot;002E298A&quot;/&gt;&lt;wsp:rsid wsp:val=&quot;002F2D1E&quot;/&gt;&lt;wsp:rsid wsp:val=&quot;00300DF6&quot;/&gt;&lt;wsp:rsid wsp:val=&quot;00301978&quot;/&gt;&lt;wsp:rsid wsp:val=&quot;00302555&quot;/&gt;&lt;wsp:rsid wsp:val=&quot;0030332C&quot;/&gt;&lt;wsp:rsid wsp:val=&quot;00303F39&quot;/&gt;&lt;wsp:rsid wsp:val=&quot;003051C2&quot;/&gt;&lt;wsp:rsid wsp:val=&quot;00305CFD&quot;/&gt;&lt;wsp:rsid wsp:val=&quot;00306C23&quot;/&gt;&lt;wsp:rsid wsp:val=&quot;003071AB&quot;/&gt;&lt;wsp:rsid wsp:val=&quot;00307A95&quot;/&gt;&lt;wsp:rsid wsp:val=&quot;00310154&quot;/&gt;&lt;wsp:rsid wsp:val=&quot;00312296&quot;/&gt;&lt;wsp:rsid wsp:val=&quot;00314F0E&quot;/&gt;&lt;wsp:rsid wsp:val=&quot;00316633&quot;/&gt;&lt;wsp:rsid wsp:val=&quot;00321D8E&quot;/&gt;&lt;wsp:rsid wsp:val=&quot;003222D7&quot;/&gt;&lt;wsp:rsid wsp:val=&quot;00322DCE&quot;/&gt;&lt;wsp:rsid wsp:val=&quot;00323C98&quot;/&gt;&lt;wsp:rsid wsp:val=&quot;00323F36&quot;/&gt;&lt;wsp:rsid wsp:val=&quot;00325928&quot;/&gt;&lt;wsp:rsid wsp:val=&quot;00327CB1&quot;/&gt;&lt;wsp:rsid wsp:val=&quot;00332863&quot;/&gt;&lt;wsp:rsid wsp:val=&quot;00334AFE&quot;/&gt;&lt;wsp:rsid wsp:val=&quot;00336280&quot;/&gt;&lt;wsp:rsid wsp:val=&quot;0033684D&quot;/&gt;&lt;wsp:rsid wsp:val=&quot;00337B42&quot;/&gt;&lt;wsp:rsid wsp:val=&quot;00337F95&quot;/&gt;&lt;wsp:rsid wsp:val=&quot;00341B42&quot;/&gt;&lt;wsp:rsid wsp:val=&quot;0034348F&quot;/&gt;&lt;wsp:rsid wsp:val=&quot;003471E1&quot;/&gt;&lt;wsp:rsid wsp:val=&quot;003550AC&quot;/&gt;&lt;wsp:rsid wsp:val=&quot;0035547D&quot;/&gt;&lt;wsp:rsid wsp:val=&quot;00356653&quot;/&gt;&lt;wsp:rsid wsp:val=&quot;0035743F&quot;/&gt;&lt;wsp:rsid wsp:val=&quot;00357BE2&quot;/&gt;&lt;wsp:rsid wsp:val=&quot;0036170C&quot;/&gt;&lt;wsp:rsid wsp:val=&quot;00366E0F&quot;/&gt;&lt;wsp:rsid wsp:val=&quot;003752C8&quot;/&gt;&lt;wsp:rsid wsp:val=&quot;00381A72&quot;/&gt;&lt;wsp:rsid wsp:val=&quot;00382DEE&quot;/&gt;&lt;wsp:rsid wsp:val=&quot;00384676&quot;/&gt;&lt;wsp:rsid wsp:val=&quot;003847F9&quot;/&gt;&lt;wsp:rsid wsp:val=&quot;00390857&quot;/&gt;&lt;wsp:rsid wsp:val=&quot;0039109A&quot;/&gt;&lt;wsp:rsid wsp:val=&quot;00391E93&quot;/&gt;&lt;wsp:rsid wsp:val=&quot;003A0631&quot;/&gt;&lt;wsp:rsid wsp:val=&quot;003A3053&quot;/&gt;&lt;wsp:rsid wsp:val=&quot;003A4BF3&quot;/&gt;&lt;wsp:rsid wsp:val=&quot;003A4DB8&quot;/&gt;&lt;wsp:rsid wsp:val=&quot;003A6D8B&quot;/&gt;&lt;wsp:rsid wsp:val=&quot;003B2D66&quot;/&gt;&lt;wsp:rsid wsp:val=&quot;003B420D&quot;/&gt;&lt;wsp:rsid wsp:val=&quot;003B488E&quot;/&gt;&lt;wsp:rsid wsp:val=&quot;003C1876&quot;/&gt;&lt;wsp:rsid wsp:val=&quot;003C468C&quot;/&gt;&lt;wsp:rsid wsp:val=&quot;003C63BE&quot;/&gt;&lt;wsp:rsid wsp:val=&quot;003C6C16&quot;/&gt;&lt;wsp:rsid wsp:val=&quot;003C7C00&quot;/&gt;&lt;wsp:rsid wsp:val=&quot;003D0B69&quot;/&gt;&lt;wsp:rsid wsp:val=&quot;003D21B2&quot;/&gt;&lt;wsp:rsid wsp:val=&quot;003D794D&quot;/&gt;&lt;wsp:rsid wsp:val=&quot;003E3058&quot;/&gt;&lt;wsp:rsid wsp:val=&quot;003E3BB8&quot;/&gt;&lt;wsp:rsid wsp:val=&quot;003E46E3&quot;/&gt;&lt;wsp:rsid wsp:val=&quot;003E7244&quot;/&gt;&lt;wsp:rsid wsp:val=&quot;003E76A9&quot;/&gt;&lt;wsp:rsid wsp:val=&quot;003F0809&quot;/&gt;&lt;wsp:rsid wsp:val=&quot;003F2E14&quot;/&gt;&lt;wsp:rsid wsp:val=&quot;003F5F2A&quot;/&gt;&lt;wsp:rsid wsp:val=&quot;003F6927&quot;/&gt;&lt;wsp:rsid wsp:val=&quot;003F6A8C&quot;/&gt;&lt;wsp:rsid wsp:val=&quot;003F755C&quot;/&gt;&lt;wsp:rsid wsp:val=&quot;00406BAB&quot;/&gt;&lt;wsp:rsid wsp:val=&quot;00406F01&quot;/&gt;&lt;wsp:rsid wsp:val=&quot;0041439F&quot;/&gt;&lt;wsp:rsid wsp:val=&quot;00415118&quot;/&gt;&lt;wsp:rsid wsp:val=&quot;00416D50&quot;/&gt;&lt;wsp:rsid wsp:val=&quot;00416FD5&quot;/&gt;&lt;wsp:rsid wsp:val=&quot;00417772&quot;/&gt;&lt;wsp:rsid wsp:val=&quot;00420E6A&quot;/&gt;&lt;wsp:rsid wsp:val=&quot;00423AEC&quot;/&gt;&lt;wsp:rsid wsp:val=&quot;00425A9E&quot;/&gt;&lt;wsp:rsid wsp:val=&quot;00426D6B&quot;/&gt;&lt;wsp:rsid wsp:val=&quot;00427644&quot;/&gt;&lt;wsp:rsid wsp:val=&quot;0043008C&quot;/&gt;&lt;wsp:rsid wsp:val=&quot;00431E6C&quot;/&gt;&lt;wsp:rsid wsp:val=&quot;00433CE7&quot;/&gt;&lt;wsp:rsid wsp:val=&quot;00442B87&quot;/&gt;&lt;wsp:rsid wsp:val=&quot;00443541&quot;/&gt;&lt;wsp:rsid wsp:val=&quot;0044386F&quot;/&gt;&lt;wsp:rsid wsp:val=&quot;00445D95&quot;/&gt;&lt;wsp:rsid wsp:val=&quot;004513A3&quot;/&gt;&lt;wsp:rsid wsp:val=&quot;00451F76&quot;/&gt;&lt;wsp:rsid wsp:val=&quot;00452738&quot;/&gt;&lt;wsp:rsid wsp:val=&quot;00452B84&quot;/&gt;&lt;wsp:rsid wsp:val=&quot;00456091&quot;/&gt;&lt;wsp:rsid wsp:val=&quot;00456126&quot;/&gt;&lt;wsp:rsid wsp:val=&quot;00456B28&quot;/&gt;&lt;wsp:rsid wsp:val=&quot;00460C15&quot;/&gt;&lt;wsp:rsid wsp:val=&quot;00464CC6&quot;/&gt;&lt;wsp:rsid wsp:val=&quot;0046550B&quot;/&gt;&lt;wsp:rsid wsp:val=&quot;00466012&quot;/&gt;&lt;wsp:rsid wsp:val=&quot;00466321&quot;/&gt;&lt;wsp:rsid wsp:val=&quot;004672B9&quot;/&gt;&lt;wsp:rsid wsp:val=&quot;00467D8F&quot;/&gt;&lt;wsp:rsid wsp:val=&quot;00476A91&quot;/&gt;&lt;wsp:rsid wsp:val=&quot;00484B9B&quot;/&gt;&lt;wsp:rsid wsp:val=&quot;004855F6&quot;/&gt;&lt;wsp:rsid wsp:val=&quot;004856E9&quot;/&gt;&lt;wsp:rsid wsp:val=&quot;0048661E&quot;/&gt;&lt;wsp:rsid wsp:val=&quot;004913B4&quot;/&gt;&lt;wsp:rsid wsp:val=&quot;004916C3&quot;/&gt;&lt;wsp:rsid wsp:val=&quot;0049198A&quot;/&gt;&lt;wsp:rsid wsp:val=&quot;00494670&quot;/&gt;&lt;wsp:rsid wsp:val=&quot;00494FFB&quot;/&gt;&lt;wsp:rsid wsp:val=&quot;004A3823&quot;/&gt;&lt;wsp:rsid wsp:val=&quot;004B0D73&quot;/&gt;&lt;wsp:rsid wsp:val=&quot;004B205F&quot;/&gt;&lt;wsp:rsid wsp:val=&quot;004B2B21&quot;/&gt;&lt;wsp:rsid wsp:val=&quot;004B7B9A&quot;/&gt;&lt;wsp:rsid wsp:val=&quot;004B7EF4&quot;/&gt;&lt;wsp:rsid wsp:val=&quot;004C2FCF&quot;/&gt;&lt;wsp:rsid wsp:val=&quot;004C35B6&quot;/&gt;&lt;wsp:rsid wsp:val=&quot;004C56B3&quot;/&gt;&lt;wsp:rsid wsp:val=&quot;004C623F&quot;/&gt;&lt;wsp:rsid wsp:val=&quot;004D6899&quot;/&gt;&lt;wsp:rsid wsp:val=&quot;004E0863&quot;/&gt;&lt;wsp:rsid wsp:val=&quot;004E2959&quot;/&gt;&lt;wsp:rsid wsp:val=&quot;004E5C9B&quot;/&gt;&lt;wsp:rsid wsp:val=&quot;004E6946&quot;/&gt;&lt;wsp:rsid wsp:val=&quot;004E7838&quot;/&gt;&lt;wsp:rsid wsp:val=&quot;004F1417&quot;/&gt;&lt;wsp:rsid wsp:val=&quot;004F1AD8&quot;/&gt;&lt;wsp:rsid wsp:val=&quot;004F46C4&quot;/&gt;&lt;wsp:rsid wsp:val=&quot;00500138&quot;/&gt;&lt;wsp:rsid wsp:val=&quot;00501EE6&quot;/&gt;&lt;wsp:rsid wsp:val=&quot;00502069&quot;/&gt;&lt;wsp:rsid wsp:val=&quot;005039CB&quot;/&gt;&lt;wsp:rsid wsp:val=&quot;00505138&quot;/&gt;&lt;wsp:rsid wsp:val=&quot;00505279&quot;/&gt;&lt;wsp:rsid wsp:val=&quot;0050558F&quot;/&gt;&lt;wsp:rsid wsp:val=&quot;00506286&quot;/&gt;&lt;wsp:rsid wsp:val=&quot;0050638A&quot;/&gt;&lt;wsp:rsid wsp:val=&quot;0050640C&quot;/&gt;&lt;wsp:rsid wsp:val=&quot;00510813&quot;/&gt;&lt;wsp:rsid wsp:val=&quot;00511990&quot;/&gt;&lt;wsp:rsid wsp:val=&quot;00511DE0&quot;/&gt;&lt;wsp:rsid wsp:val=&quot;00514870&quot;/&gt;&lt;wsp:rsid wsp:val=&quot;00514B9B&quot;/&gt;&lt;wsp:rsid wsp:val=&quot;00515C5E&quot;/&gt;&lt;wsp:rsid wsp:val=&quot;00517F02&quot;/&gt;&lt;wsp:rsid wsp:val=&quot;0052089D&quot;/&gt;&lt;wsp:rsid wsp:val=&quot;00522102&quot;/&gt;&lt;wsp:rsid wsp:val=&quot;00523F11&quot;/&gt;&lt;wsp:rsid wsp:val=&quot;00524303&quot;/&gt;&lt;wsp:rsid wsp:val=&quot;005258A2&quot;/&gt;&lt;wsp:rsid wsp:val=&quot;005301B0&quot;/&gt;&lt;wsp:rsid wsp:val=&quot;005358FA&quot;/&gt;&lt;wsp:rsid wsp:val=&quot;00535E7A&quot;/&gt;&lt;wsp:rsid wsp:val=&quot;005401AE&quot;/&gt;&lt;wsp:rsid wsp:val=&quot;00542E07&quot;/&gt;&lt;wsp:rsid wsp:val=&quot;00544ABF&quot;/&gt;&lt;wsp:rsid wsp:val=&quot;00545424&quot;/&gt;&lt;wsp:rsid wsp:val=&quot;005509CF&quot;/&gt;&lt;wsp:rsid wsp:val=&quot;00554A7B&quot;/&gt;&lt;wsp:rsid wsp:val=&quot;005555F5&quot;/&gt;&lt;wsp:rsid wsp:val=&quot;0055572C&quot;/&gt;&lt;wsp:rsid wsp:val=&quot;0055615C&quot;/&gt;&lt;wsp:rsid wsp:val=&quot;0056106A&quot;/&gt;&lt;wsp:rsid wsp:val=&quot;0056152C&quot;/&gt;&lt;wsp:rsid wsp:val=&quot;00563821&quot;/&gt;&lt;wsp:rsid wsp:val=&quot;005720AE&quot;/&gt;&lt;wsp:rsid wsp:val=&quot;005748C0&quot;/&gt;&lt;wsp:rsid wsp:val=&quot;00577718&quot;/&gt;&lt;wsp:rsid wsp:val=&quot;0058073D&quot;/&gt;&lt;wsp:rsid wsp:val=&quot;0058523E&quot;/&gt;&lt;wsp:rsid wsp:val=&quot;00592129&quot;/&gt;&lt;wsp:rsid wsp:val=&quot;00594D77&quot;/&gt;&lt;wsp:rsid wsp:val=&quot;00595668&quot;/&gt;&lt;wsp:rsid wsp:val=&quot;005962BF&quot;/&gt;&lt;wsp:rsid wsp:val=&quot;005966E4&quot;/&gt;&lt;wsp:rsid wsp:val=&quot;005969E4&quot;/&gt;&lt;wsp:rsid wsp:val=&quot;00596ABC&quot;/&gt;&lt;wsp:rsid wsp:val=&quot;005A06B7&quot;/&gt;&lt;wsp:rsid wsp:val=&quot;005A1759&quot;/&gt;&lt;wsp:rsid wsp:val=&quot;005A2D64&quot;/&gt;&lt;wsp:rsid wsp:val=&quot;005A2EB1&quot;/&gt;&lt;wsp:rsid wsp:val=&quot;005A51EE&quot;/&gt;&lt;wsp:rsid wsp:val=&quot;005A5320&quot;/&gt;&lt;wsp:rsid wsp:val=&quot;005A68A7&quot;/&gt;&lt;wsp:rsid wsp:val=&quot;005A6B1E&quot;/&gt;&lt;wsp:rsid wsp:val=&quot;005B5550&quot;/&gt;&lt;wsp:rsid wsp:val=&quot;005B5D4A&quot;/&gt;&lt;wsp:rsid wsp:val=&quot;005B7BC2&quot;/&gt;&lt;wsp:rsid wsp:val=&quot;005C1D4D&quot;/&gt;&lt;wsp:rsid wsp:val=&quot;005C1F7F&quot;/&gt;&lt;wsp:rsid wsp:val=&quot;005C6CF4&quot;/&gt;&lt;wsp:rsid wsp:val=&quot;005D0A1A&quot;/&gt;&lt;wsp:rsid wsp:val=&quot;005D2B43&quot;/&gt;&lt;wsp:rsid wsp:val=&quot;005D36AB&quot;/&gt;&lt;wsp:rsid wsp:val=&quot;005D63ED&quot;/&gt;&lt;wsp:rsid wsp:val=&quot;005D745C&quot;/&gt;&lt;wsp:rsid wsp:val=&quot;005E787D&quot;/&gt;&lt;wsp:rsid wsp:val=&quot;005F037B&quot;/&gt;&lt;wsp:rsid wsp:val=&quot;006140F3&quot;/&gt;&lt;wsp:rsid wsp:val=&quot;00616552&quot;/&gt;&lt;wsp:rsid wsp:val=&quot;0061655A&quot;/&gt;&lt;wsp:rsid wsp:val=&quot;00616AB7&quot;/&gt;&lt;wsp:rsid wsp:val=&quot;00617301&quot;/&gt;&lt;wsp:rsid wsp:val=&quot;00617CC3&quot;/&gt;&lt;wsp:rsid wsp:val=&quot;006201BE&quot;/&gt;&lt;wsp:rsid wsp:val=&quot;0062260B&quot;/&gt;&lt;wsp:rsid wsp:val=&quot;00624E0A&quot;/&gt;&lt;wsp:rsid wsp:val=&quot;00636BF8&quot;/&gt;&lt;wsp:rsid wsp:val=&quot;006377A6&quot;/&gt;&lt;wsp:rsid wsp:val=&quot;00637A3D&quot;/&gt;&lt;wsp:rsid wsp:val=&quot;006411EF&quot;/&gt;&lt;wsp:rsid wsp:val=&quot;00641FAE&quot;/&gt;&lt;wsp:rsid wsp:val=&quot;00647B0A&quot;/&gt;&lt;wsp:rsid wsp:val=&quot;00647F8D&quot;/&gt;&lt;wsp:rsid wsp:val=&quot;0065499D&quot;/&gt;&lt;wsp:rsid wsp:val=&quot;006601A1&quot;/&gt;&lt;wsp:rsid wsp:val=&quot;00667315&quot;/&gt;&lt;wsp:rsid wsp:val=&quot;0066795B&quot;/&gt;&lt;wsp:rsid wsp:val=&quot;0067166B&quot;/&gt;&lt;wsp:rsid wsp:val=&quot;006748B8&quot;/&gt;&lt;wsp:rsid wsp:val=&quot;00675481&quot;/&gt;&lt;wsp:rsid wsp:val=&quot;00676A18&quot;/&gt;&lt;wsp:rsid wsp:val=&quot;0067722F&quot;/&gt;&lt;wsp:rsid wsp:val=&quot;006775C3&quot;/&gt;&lt;wsp:rsid wsp:val=&quot;00680358&quot;/&gt;&lt;wsp:rsid wsp:val=&quot;00680D2C&quot;/&gt;&lt;wsp:rsid wsp:val=&quot;00683408&quot;/&gt;&lt;wsp:rsid wsp:val=&quot;0068421A&quot;/&gt;&lt;wsp:rsid wsp:val=&quot;00685D9B&quot;/&gt;&lt;wsp:rsid wsp:val=&quot;0069290A&quot;/&gt;&lt;wsp:rsid wsp:val=&quot;00692FA7&quot;/&gt;&lt;wsp:rsid wsp:val=&quot;0069744B&quot;/&gt;&lt;wsp:rsid wsp:val=&quot;0069775A&quot;/&gt;&lt;wsp:rsid wsp:val=&quot;00697813&quot;/&gt;&lt;wsp:rsid wsp:val=&quot;006A26EE&quot;/&gt;&lt;wsp:rsid wsp:val=&quot;006A2DB4&quot;/&gt;&lt;wsp:rsid wsp:val=&quot;006A3EE8&quot;/&gt;&lt;wsp:rsid wsp:val=&quot;006A72B0&quot;/&gt;&lt;wsp:rsid wsp:val=&quot;006A72BF&quot;/&gt;&lt;wsp:rsid wsp:val=&quot;006B03F2&quot;/&gt;&lt;wsp:rsid wsp:val=&quot;006B31C3&quot;/&gt;&lt;wsp:rsid wsp:val=&quot;006B37DC&quot;/&gt;&lt;wsp:rsid wsp:val=&quot;006B3AC1&quot;/&gt;&lt;wsp:rsid wsp:val=&quot;006B4F68&quot;/&gt;&lt;wsp:rsid wsp:val=&quot;006B4F71&quot;/&gt;&lt;wsp:rsid wsp:val=&quot;006B747D&quot;/&gt;&lt;wsp:rsid wsp:val=&quot;006C00AE&quot;/&gt;&lt;wsp:rsid wsp:val=&quot;006C0592&quot;/&gt;&lt;wsp:rsid wsp:val=&quot;006C14C6&quot;/&gt;&lt;wsp:rsid wsp:val=&quot;006C272E&quot;/&gt;&lt;wsp:rsid wsp:val=&quot;006C5479&quot;/&gt;&lt;wsp:rsid wsp:val=&quot;006D07F9&quot;/&gt;&lt;wsp:rsid wsp:val=&quot;006D13B5&quot;/&gt;&lt;wsp:rsid wsp:val=&quot;006E0919&quot;/&gt;&lt;wsp:rsid wsp:val=&quot;006E1248&quot;/&gt;&lt;wsp:rsid wsp:val=&quot;006E12FF&quot;/&gt;&lt;wsp:rsid wsp:val=&quot;006E4A62&quot;/&gt;&lt;wsp:rsid wsp:val=&quot;006E607E&quot;/&gt;&lt;wsp:rsid wsp:val=&quot;006E6810&quot;/&gt;&lt;wsp:rsid wsp:val=&quot;006F5236&quot;/&gt;&lt;wsp:rsid wsp:val=&quot;00700148&quot;/&gt;&lt;wsp:rsid wsp:val=&quot;007024A0&quot;/&gt;&lt;wsp:rsid wsp:val=&quot;00704336&quot;/&gt;&lt;wsp:rsid wsp:val=&quot;00706C5D&quot;/&gt;&lt;wsp:rsid wsp:val=&quot;00713930&quot;/&gt;&lt;wsp:rsid wsp:val=&quot;00721B5C&quot;/&gt;&lt;wsp:rsid wsp:val=&quot;00732922&quot;/&gt;&lt;wsp:rsid wsp:val=&quot;00733155&quot;/&gt;&lt;wsp:rsid wsp:val=&quot;007353D3&quot;/&gt;&lt;wsp:rsid wsp:val=&quot;007408CB&quot;/&gt;&lt;wsp:rsid wsp:val=&quot;00741E3C&quot;/&gt;&lt;wsp:rsid wsp:val=&quot;00743E43&quot;/&gt;&lt;wsp:rsid wsp:val=&quot;00744674&quot;/&gt;&lt;wsp:rsid wsp:val=&quot;00747FB3&quot;/&gt;&lt;wsp:rsid wsp:val=&quot;0075162E&quot;/&gt;&lt;wsp:rsid wsp:val=&quot;00753484&quot;/&gt;&lt;wsp:rsid wsp:val=&quot;00754034&quot;/&gt;&lt;wsp:rsid wsp:val=&quot;007544C4&quot;/&gt;&lt;wsp:rsid wsp:val=&quot;00756556&quot;/&gt;&lt;wsp:rsid wsp:val=&quot;00757108&quot;/&gt;&lt;wsp:rsid wsp:val=&quot;00757B9E&quot;/&gt;&lt;wsp:rsid wsp:val=&quot;00757E2F&quot;/&gt;&lt;wsp:rsid wsp:val=&quot;007618C4&quot;/&gt;&lt;wsp:rsid wsp:val=&quot;00763C81&quot;/&gt;&lt;wsp:rsid wsp:val=&quot;00765535&quot;/&gt;&lt;wsp:rsid wsp:val=&quot;00766F94&quot;/&gt;&lt;wsp:rsid wsp:val=&quot;00767980&quot;/&gt;&lt;wsp:rsid wsp:val=&quot;00770B19&quot;/&gt;&lt;wsp:rsid wsp:val=&quot;0077463F&quot;/&gt;&lt;wsp:rsid wsp:val=&quot;00775479&quot;/&gt;&lt;wsp:rsid wsp:val=&quot;0077569B&quot;/&gt;&lt;wsp:rsid wsp:val=&quot;00777753&quot;/&gt;&lt;wsp:rsid wsp:val=&quot;00777B9D&quot;/&gt;&lt;wsp:rsid wsp:val=&quot;00777D75&quot;/&gt;&lt;wsp:rsid wsp:val=&quot;007825EA&quot;/&gt;&lt;wsp:rsid wsp:val=&quot;0078306E&quot;/&gt;&lt;wsp:rsid wsp:val=&quot;007836EA&quot;/&gt;&lt;wsp:rsid wsp:val=&quot;00783CAC&quot;/&gt;&lt;wsp:rsid wsp:val=&quot;00784CDA&quot;/&gt;&lt;wsp:rsid wsp:val=&quot;007868DF&quot;/&gt;&lt;wsp:rsid wsp:val=&quot;007906C4&quot;/&gt;&lt;wsp:rsid wsp:val=&quot;007940EA&quot;/&gt;&lt;wsp:rsid wsp:val=&quot;0079539A&quot;/&gt;&lt;wsp:rsid wsp:val=&quot;007958E0&quot;/&gt;&lt;wsp:rsid wsp:val=&quot;007967E8&quot;/&gt;&lt;wsp:rsid wsp:val=&quot;007A09ED&quot;/&gt;&lt;wsp:rsid wsp:val=&quot;007A2170&quot;/&gt;&lt;wsp:rsid wsp:val=&quot;007A22BF&quot;/&gt;&lt;wsp:rsid wsp:val=&quot;007A3323&quot;/&gt;&lt;wsp:rsid wsp:val=&quot;007A4023&quot;/&gt;&lt;wsp:rsid wsp:val=&quot;007A660E&quot;/&gt;&lt;wsp:rsid wsp:val=&quot;007B4027&quot;/&gt;&lt;wsp:rsid wsp:val=&quot;007B72B8&quot;/&gt;&lt;wsp:rsid wsp:val=&quot;007B7A58&quot;/&gt;&lt;wsp:rsid wsp:val=&quot;007C1B2E&quot;/&gt;&lt;wsp:rsid wsp:val=&quot;007C21B5&quot;/&gt;&lt;wsp:rsid wsp:val=&quot;007C296B&quot;/&gt;&lt;wsp:rsid wsp:val=&quot;007C6EB9&quot;/&gt;&lt;wsp:rsid wsp:val=&quot;007D4CAA&quot;/&gt;&lt;wsp:rsid wsp:val=&quot;007D6CAE&quot;/&gt;&lt;wsp:rsid wsp:val=&quot;007D6E62&quot;/&gt;&lt;wsp:rsid wsp:val=&quot;007E4BD2&quot;/&gt;&lt;wsp:rsid wsp:val=&quot;007E6B27&quot;/&gt;&lt;wsp:rsid wsp:val=&quot;007F023D&quot;/&gt;&lt;wsp:rsid wsp:val=&quot;007F2767&quot;/&gt;&lt;wsp:rsid wsp:val=&quot;007F6C6F&quot;/&gt;&lt;wsp:rsid wsp:val=&quot;00801393&quot;/&gt;&lt;wsp:rsid wsp:val=&quot;00802F88&quot;/&gt;&lt;wsp:rsid wsp:val=&quot;00803FE3&quot;/&gt;&lt;wsp:rsid wsp:val=&quot;008102F1&quot;/&gt;&lt;wsp:rsid wsp:val=&quot;00811C7B&quot;/&gt;&lt;wsp:rsid wsp:val=&quot;0081293E&quot;/&gt;&lt;wsp:rsid wsp:val=&quot;00814795&quot;/&gt;&lt;wsp:rsid wsp:val=&quot;00815465&quot;/&gt;&lt;wsp:rsid wsp:val=&quot;00815CDE&quot;/&gt;&lt;wsp:rsid wsp:val=&quot;00817E9A&quot;/&gt;&lt;wsp:rsid wsp:val=&quot;008230B2&quot;/&gt;&lt;wsp:rsid wsp:val=&quot;00824069&quot;/&gt;&lt;wsp:rsid wsp:val=&quot;008306BD&quot;/&gt;&lt;wsp:rsid wsp:val=&quot;00831A80&quot;/&gt;&lt;wsp:rsid wsp:val=&quot;00832DDB&quot;/&gt;&lt;wsp:rsid wsp:val=&quot;00833743&quot;/&gt;&lt;wsp:rsid wsp:val=&quot;008340A4&quot;/&gt;&lt;wsp:rsid wsp:val=&quot;00835316&quot;/&gt;&lt;wsp:rsid wsp:val=&quot;008421FB&quot;/&gt;&lt;wsp:rsid wsp:val=&quot;0084319E&quot;/&gt;&lt;wsp:rsid wsp:val=&quot;00846033&quot;/&gt;&lt;wsp:rsid wsp:val=&quot;008501BD&quot;/&gt;&lt;wsp:rsid wsp:val=&quot;0085040B&quot;/&gt;&lt;wsp:rsid wsp:val=&quot;00852F35&quot;/&gt;&lt;wsp:rsid wsp:val=&quot;00856784&quot;/&gt;&lt;wsp:rsid wsp:val=&quot;00863B59&quot;/&gt;&lt;wsp:rsid wsp:val=&quot;00866C70&quot;/&gt;&lt;wsp:rsid wsp:val=&quot;00867FFD&quot;/&gt;&lt;wsp:rsid wsp:val=&quot;0087135F&quot;/&gt;&lt;wsp:rsid wsp:val=&quot;0087167F&quot;/&gt;&lt;wsp:rsid wsp:val=&quot;0087279F&quot;/&gt;&lt;wsp:rsid wsp:val=&quot;00872D94&quot;/&gt;&lt;wsp:rsid wsp:val=&quot;008761E7&quot;/&gt;&lt;wsp:rsid wsp:val=&quot;00880364&quot;/&gt;&lt;wsp:rsid wsp:val=&quot;00880B80&quot;/&gt;&lt;wsp:rsid wsp:val=&quot;0088464D&quot;/&gt;&lt;wsp:rsid wsp:val=&quot;00887E9B&quot;/&gt;&lt;wsp:rsid wsp:val=&quot;00891592&quot;/&gt;&lt;wsp:rsid wsp:val=&quot;0089189B&quot;/&gt;&lt;wsp:rsid wsp:val=&quot;00891E9E&quot;/&gt;&lt;wsp:rsid wsp:val=&quot;00893649&quot;/&gt;&lt;wsp:rsid wsp:val=&quot;008953F8&quot;/&gt;&lt;wsp:rsid wsp:val=&quot;008A2F68&quot;/&gt;&lt;wsp:rsid wsp:val=&quot;008B146B&quot;/&gt;&lt;wsp:rsid wsp:val=&quot;008B4FA6&quot;/&gt;&lt;wsp:rsid wsp:val=&quot;008B5282&quot;/&gt;&lt;wsp:rsid wsp:val=&quot;008B7C17&quot;/&gt;&lt;wsp:rsid wsp:val=&quot;008C2021&quot;/&gt;&lt;wsp:rsid wsp:val=&quot;008C2D01&quot;/&gt;&lt;wsp:rsid wsp:val=&quot;008C40E6&quot;/&gt;&lt;wsp:rsid wsp:val=&quot;008C551E&quot;/&gt;&lt;wsp:rsid wsp:val=&quot;008C5A84&quot;/&gt;&lt;wsp:rsid wsp:val=&quot;008C6F31&quot;/&gt;&lt;wsp:rsid wsp:val=&quot;008D0F7A&quot;/&gt;&lt;wsp:rsid wsp:val=&quot;008D1F7D&quot;/&gt;&lt;wsp:rsid wsp:val=&quot;008D68E4&quot;/&gt;&lt;wsp:rsid wsp:val=&quot;008E0506&quot;/&gt;&lt;wsp:rsid wsp:val=&quot;008E0C60&quot;/&gt;&lt;wsp:rsid wsp:val=&quot;008E0CFF&quot;/&gt;&lt;wsp:rsid wsp:val=&quot;008E2D99&quot;/&gt;&lt;wsp:rsid wsp:val=&quot;008E4BC5&quot;/&gt;&lt;wsp:rsid wsp:val=&quot;008E5D6B&quot;/&gt;&lt;wsp:rsid wsp:val=&quot;008E76F0&quot;/&gt;&lt;wsp:rsid wsp:val=&quot;008F15FE&quot;/&gt;&lt;wsp:rsid wsp:val=&quot;008F25AA&quot;/&gt;&lt;wsp:rsid wsp:val=&quot;008F2D29&quot;/&gt;&lt;wsp:rsid wsp:val=&quot;008F30F3&quot;/&gt;&lt;wsp:rsid wsp:val=&quot;008F5187&quot;/&gt;&lt;wsp:rsid wsp:val=&quot;008F60D8&quot;/&gt;&lt;wsp:rsid wsp:val=&quot;008F73B9&quot;/&gt;&lt;wsp:rsid wsp:val=&quot;009021E7&quot;/&gt;&lt;wsp:rsid wsp:val=&quot;00902727&quot;/&gt;&lt;wsp:rsid wsp:val=&quot;0090312B&quot;/&gt;&lt;wsp:rsid wsp:val=&quot;00910162&quot;/&gt;&lt;wsp:rsid wsp:val=&quot;00913F01&quot;/&gt;&lt;wsp:rsid wsp:val=&quot;009148A4&quot;/&gt;&lt;wsp:rsid wsp:val=&quot;0091736D&quot;/&gt;&lt;wsp:rsid wsp:val=&quot;00924D69&quot;/&gt;&lt;wsp:rsid wsp:val=&quot;00925278&quot;/&gt;&lt;wsp:rsid wsp:val=&quot;00927B61&quot;/&gt;&lt;wsp:rsid wsp:val=&quot;0093037A&quot;/&gt;&lt;wsp:rsid wsp:val=&quot;00935118&quot;/&gt;&lt;wsp:rsid wsp:val=&quot;00936276&quot;/&gt;&lt;wsp:rsid wsp:val=&quot;0094154D&quot;/&gt;&lt;wsp:rsid wsp:val=&quot;00942D5A&quot;/&gt;&lt;wsp:rsid wsp:val=&quot;00950240&quot;/&gt;&lt;wsp:rsid wsp:val=&quot;009511CE&quot;/&gt;&lt;wsp:rsid wsp:val=&quot;0095155F&quot;/&gt;&lt;wsp:rsid wsp:val=&quot;00954429&quot;/&gt;&lt;wsp:rsid wsp:val=&quot;009563CE&quot;/&gt;&lt;wsp:rsid wsp:val=&quot;00957E9E&quot;/&gt;&lt;wsp:rsid wsp:val=&quot;009657D5&quot;/&gt;&lt;wsp:rsid wsp:val=&quot;0096657E&quot;/&gt;&lt;wsp:rsid wsp:val=&quot;00975D66&quot;/&gt;&lt;wsp:rsid wsp:val=&quot;00976328&quot;/&gt;&lt;wsp:rsid wsp:val=&quot;00976381&quot;/&gt;&lt;wsp:rsid wsp:val=&quot;0097680D&quot;/&gt;&lt;wsp:rsid wsp:val=&quot;00977B14&quot;/&gt;&lt;wsp:rsid wsp:val=&quot;00980E9E&quot;/&gt;&lt;wsp:rsid wsp:val=&quot;00982438&quot;/&gt;&lt;wsp:rsid wsp:val=&quot;0098245F&quot;/&gt;&lt;wsp:rsid wsp:val=&quot;0098388D&quot;/&gt;&lt;wsp:rsid wsp:val=&quot;0098404C&quot;/&gt;&lt;wsp:rsid wsp:val=&quot;00985283&quot;/&gt;&lt;wsp:rsid wsp:val=&quot;00986659&quot;/&gt;&lt;wsp:rsid wsp:val=&quot;00987413&quot;/&gt;&lt;wsp:rsid wsp:val=&quot;009910E5&quot;/&gt;&lt;wsp:rsid wsp:val=&quot;0099261C&quot;/&gt;&lt;wsp:rsid wsp:val=&quot;00995992&quot;/&gt;&lt;wsp:rsid wsp:val=&quot;009975AA&quot;/&gt;&lt;wsp:rsid wsp:val=&quot;009A03E5&quot;/&gt;&lt;wsp:rsid wsp:val=&quot;009A0F3B&quot;/&gt;&lt;wsp:rsid wsp:val=&quot;009A13B3&quot;/&gt;&lt;wsp:rsid wsp:val=&quot;009A168D&quot;/&gt;&lt;wsp:rsid wsp:val=&quot;009A1BB4&quot;/&gt;&lt;wsp:rsid wsp:val=&quot;009A1E4B&quot;/&gt;&lt;wsp:rsid wsp:val=&quot;009A2628&quot;/&gt;&lt;wsp:rsid wsp:val=&quot;009A2BED&quot;/&gt;&lt;wsp:rsid wsp:val=&quot;009A3200&quot;/&gt;&lt;wsp:rsid wsp:val=&quot;009B0897&quot;/&gt;&lt;wsp:rsid wsp:val=&quot;009B7BD9&quot;/&gt;&lt;wsp:rsid wsp:val=&quot;009C7DD5&quot;/&gt;&lt;wsp:rsid wsp:val=&quot;009D04B7&quot;/&gt;&lt;wsp:rsid wsp:val=&quot;009D4B99&quot;/&gt;&lt;wsp:rsid wsp:val=&quot;009D540F&quot;/&gt;&lt;wsp:rsid wsp:val=&quot;009E227D&quot;/&gt;&lt;wsp:rsid wsp:val=&quot;009E5019&quot;/&gt;&lt;wsp:rsid wsp:val=&quot;009F0C0B&quot;/&gt;&lt;wsp:rsid wsp:val=&quot;009F16F1&quot;/&gt;&lt;wsp:rsid wsp:val=&quot;009F40BA&quot;/&gt;&lt;wsp:rsid wsp:val=&quot;009F55E7&quot;/&gt;&lt;wsp:rsid wsp:val=&quot;009F6963&quot;/&gt;&lt;wsp:rsid wsp:val=&quot;00A00E1A&quot;/&gt;&lt;wsp:rsid wsp:val=&quot;00A013E6&quot;/&gt;&lt;wsp:rsid wsp:val=&quot;00A041F6&quot;/&gt;&lt;wsp:rsid wsp:val=&quot;00A04F1B&quot;/&gt;&lt;wsp:rsid wsp:val=&quot;00A0501B&quot;/&gt;&lt;wsp:rsid wsp:val=&quot;00A05A1D&quot;/&gt;&lt;wsp:rsid wsp:val=&quot;00A073D5&quot;/&gt;&lt;wsp:rsid wsp:val=&quot;00A14947&quot;/&gt;&lt;wsp:rsid wsp:val=&quot;00A1658C&quot;/&gt;&lt;wsp:rsid wsp:val=&quot;00A17C10&quot;/&gt;&lt;wsp:rsid wsp:val=&quot;00A24389&quot;/&gt;&lt;wsp:rsid wsp:val=&quot;00A32418&quot;/&gt;&lt;wsp:rsid wsp:val=&quot;00A3295D&quot;/&gt;&lt;wsp:rsid wsp:val=&quot;00A32A83&quot;/&gt;&lt;wsp:rsid wsp:val=&quot;00A364B9&quot;/&gt;&lt;wsp:rsid wsp:val=&quot;00A368DB&quot;/&gt;&lt;wsp:rsid wsp:val=&quot;00A40483&quot;/&gt;&lt;wsp:rsid wsp:val=&quot;00A423AA&quot;/&gt;&lt;wsp:rsid wsp:val=&quot;00A5373B&quot;/&gt;&lt;wsp:rsid wsp:val=&quot;00A53EC6&quot;/&gt;&lt;wsp:rsid wsp:val=&quot;00A54547&quot;/&gt;&lt;wsp:rsid wsp:val=&quot;00A55B18&quot;/&gt;&lt;wsp:rsid wsp:val=&quot;00A55C0F&quot;/&gt;&lt;wsp:rsid wsp:val=&quot;00A57FCD&quot;/&gt;&lt;wsp:rsid wsp:val=&quot;00A60657&quot;/&gt;&lt;wsp:rsid wsp:val=&quot;00A65FA9&quot;/&gt;&lt;wsp:rsid wsp:val=&quot;00A735A0&quot;/&gt;&lt;wsp:rsid wsp:val=&quot;00A738A9&quot;/&gt;&lt;wsp:rsid wsp:val=&quot;00A73910&quot;/&gt;&lt;wsp:rsid wsp:val=&quot;00A815A2&quot;/&gt;&lt;wsp:rsid wsp:val=&quot;00A82D89&quot;/&gt;&lt;wsp:rsid wsp:val=&quot;00A8713F&quot;/&gt;&lt;wsp:rsid wsp:val=&quot;00A8786B&quot;/&gt;&lt;wsp:rsid wsp:val=&quot;00A90BA1&quot;/&gt;&lt;wsp:rsid wsp:val=&quot;00A91086&quot;/&gt;&lt;wsp:rsid wsp:val=&quot;00A91530&quot;/&gt;&lt;wsp:rsid wsp:val=&quot;00A92DDC&quot;/&gt;&lt;wsp:rsid wsp:val=&quot;00A93D9E&quot;/&gt;&lt;wsp:rsid wsp:val=&quot;00A97315&quot;/&gt;&lt;wsp:rsid wsp:val=&quot;00A97A9A&quot;/&gt;&lt;wsp:rsid wsp:val=&quot;00AA0671&quot;/&gt;&lt;wsp:rsid wsp:val=&quot;00AA1B9A&quot;/&gt;&lt;wsp:rsid wsp:val=&quot;00AA1FFF&quot;/&gt;&lt;wsp:rsid wsp:val=&quot;00AA2531&quot;/&gt;&lt;wsp:rsid wsp:val=&quot;00AA3CEC&quot;/&gt;&lt;wsp:rsid wsp:val=&quot;00AA4733&quot;/&gt;&lt;wsp:rsid wsp:val=&quot;00AA5519&quot;/&gt;&lt;wsp:rsid wsp:val=&quot;00AB1E09&quot;/&gt;&lt;wsp:rsid wsp:val=&quot;00AB35C0&quot;/&gt;&lt;wsp:rsid wsp:val=&quot;00AB3DAD&quot;/&gt;&lt;wsp:rsid wsp:val=&quot;00AB5330&quot;/&gt;&lt;wsp:rsid wsp:val=&quot;00AB6EE2&quot;/&gt;&lt;wsp:rsid wsp:val=&quot;00AB7747&quot;/&gt;&lt;wsp:rsid wsp:val=&quot;00AC14CE&quot;/&gt;&lt;wsp:rsid wsp:val=&quot;00AC1889&quot;/&gt;&lt;wsp:rsid wsp:val=&quot;00AC2A56&quot;/&gt;&lt;wsp:rsid wsp:val=&quot;00AC2DEF&quot;/&gt;&lt;wsp:rsid wsp:val=&quot;00AC5C90&quot;/&gt;&lt;wsp:rsid wsp:val=&quot;00AC72B9&quot;/&gt;&lt;wsp:rsid wsp:val=&quot;00AD055E&quot;/&gt;&lt;wsp:rsid wsp:val=&quot;00AD22BE&quot;/&gt;&lt;wsp:rsid wsp:val=&quot;00AD47A7&quot;/&gt;&lt;wsp:rsid wsp:val=&quot;00AD4F86&quot;/&gt;&lt;wsp:rsid wsp:val=&quot;00AD7338&quot;/&gt;&lt;wsp:rsid wsp:val=&quot;00AE2918&quot;/&gt;&lt;wsp:rsid wsp:val=&quot;00AE4805&quot;/&gt;&lt;wsp:rsid wsp:val=&quot;00AF0CBF&quot;/&gt;&lt;wsp:rsid wsp:val=&quot;00AF1F5E&quot;/&gt;&lt;wsp:rsid wsp:val=&quot;00AF257F&quot;/&gt;&lt;wsp:rsid wsp:val=&quot;00AF33CF&quot;/&gt;&lt;wsp:rsid wsp:val=&quot;00AF4D50&quot;/&gt;&lt;wsp:rsid wsp:val=&quot;00AF6179&quot;/&gt;&lt;wsp:rsid wsp:val=&quot;00B00061&quot;/&gt;&lt;wsp:rsid wsp:val=&quot;00B0419F&quot;/&gt;&lt;wsp:rsid wsp:val=&quot;00B066FD&quot;/&gt;&lt;wsp:rsid wsp:val=&quot;00B07FD9&quot;/&gt;&lt;wsp:rsid wsp:val=&quot;00B1295A&quot;/&gt;&lt;wsp:rsid wsp:val=&quot;00B1314A&quot;/&gt;&lt;wsp:rsid wsp:val=&quot;00B1650A&quot;/&gt;&lt;wsp:rsid wsp:val=&quot;00B20A45&quot;/&gt;&lt;wsp:rsid wsp:val=&quot;00B22C5C&quot;/&gt;&lt;wsp:rsid wsp:val=&quot;00B24F30&quot;/&gt;&lt;wsp:rsid wsp:val=&quot;00B256FD&quot;/&gt;&lt;wsp:rsid wsp:val=&quot;00B31647&quot;/&gt;&lt;wsp:rsid wsp:val=&quot;00B31ABF&quot;/&gt;&lt;wsp:rsid wsp:val=&quot;00B333DE&quot;/&gt;&lt;wsp:rsid wsp:val=&quot;00B33BE3&quot;/&gt;&lt;wsp:rsid wsp:val=&quot;00B3548A&quot;/&gt;&lt;wsp:rsid wsp:val=&quot;00B3632D&quot;/&gt;&lt;wsp:rsid wsp:val=&quot;00B36DD2&quot;/&gt;&lt;wsp:rsid wsp:val=&quot;00B406C6&quot;/&gt;&lt;wsp:rsid wsp:val=&quot;00B43A9B&quot;/&gt;&lt;wsp:rsid wsp:val=&quot;00B457CC&quot;/&gt;&lt;wsp:rsid wsp:val=&quot;00B53B5D&quot;/&gt;&lt;wsp:rsid wsp:val=&quot;00B5443F&quot;/&gt;&lt;wsp:rsid wsp:val=&quot;00B5621D&quot;/&gt;&lt;wsp:rsid wsp:val=&quot;00B6055E&quot;/&gt;&lt;wsp:rsid wsp:val=&quot;00B6317D&quot;/&gt;&lt;wsp:rsid wsp:val=&quot;00B64019&quot;/&gt;&lt;wsp:rsid wsp:val=&quot;00B65C81&quot;/&gt;&lt;wsp:rsid wsp:val=&quot;00B6623C&quot;/&gt;&lt;wsp:rsid wsp:val=&quot;00B715E4&quot;/&gt;&lt;wsp:rsid wsp:val=&quot;00B731ED&quot;/&gt;&lt;wsp:rsid wsp:val=&quot;00B74C55&quot;/&gt;&lt;wsp:rsid wsp:val=&quot;00B75F72&quot;/&gt;&lt;wsp:rsid wsp:val=&quot;00B7723F&quot;/&gt;&lt;wsp:rsid wsp:val=&quot;00B777AE&quot;/&gt;&lt;wsp:rsid wsp:val=&quot;00B80534&quot;/&gt;&lt;wsp:rsid wsp:val=&quot;00B8433C&quot;/&gt;&lt;wsp:rsid wsp:val=&quot;00B853C4&quot;/&gt;&lt;wsp:rsid wsp:val=&quot;00B86A09&quot;/&gt;&lt;wsp:rsid wsp:val=&quot;00B86D47&quot;/&gt;&lt;wsp:rsid wsp:val=&quot;00B87491&quot;/&gt;&lt;wsp:rsid wsp:val=&quot;00B96D8D&quot;/&gt;&lt;wsp:rsid wsp:val=&quot;00BA039D&quot;/&gt;&lt;wsp:rsid wsp:val=&quot;00BA1659&quot;/&gt;&lt;wsp:rsid wsp:val=&quot;00BA29E9&quot;/&gt;&lt;wsp:rsid wsp:val=&quot;00BA3803&quot;/&gt;&lt;wsp:rsid wsp:val=&quot;00BA625B&quot;/&gt;&lt;wsp:rsid wsp:val=&quot;00BA7142&quot;/&gt;&lt;wsp:rsid wsp:val=&quot;00BB13AD&quot;/&gt;&lt;wsp:rsid wsp:val=&quot;00BB237C&quot;/&gt;&lt;wsp:rsid wsp:val=&quot;00BB257A&quot;/&gt;&lt;wsp:rsid wsp:val=&quot;00BB27D6&quot;/&gt;&lt;wsp:rsid wsp:val=&quot;00BB3585&quot;/&gt;&lt;wsp:rsid wsp:val=&quot;00BB41A3&quot;/&gt;&lt;wsp:rsid wsp:val=&quot;00BB612F&quot;/&gt;&lt;wsp:rsid wsp:val=&quot;00BB695F&quot;/&gt;&lt;wsp:rsid wsp:val=&quot;00BB6BB5&quot;/&gt;&lt;wsp:rsid wsp:val=&quot;00BC24AF&quot;/&gt;&lt;wsp:rsid wsp:val=&quot;00BC32DC&quot;/&gt;&lt;wsp:rsid wsp:val=&quot;00BC35B6&quot;/&gt;&lt;wsp:rsid wsp:val=&quot;00BD126B&quot;/&gt;&lt;wsp:rsid wsp:val=&quot;00BD1B51&quot;/&gt;&lt;wsp:rsid wsp:val=&quot;00BD4596&quot;/&gt;&lt;wsp:rsid wsp:val=&quot;00BE1405&quot;/&gt;&lt;wsp:rsid wsp:val=&quot;00BE1545&quot;/&gt;&lt;wsp:rsid wsp:val=&quot;00BE312D&quot;/&gt;&lt;wsp:rsid wsp:val=&quot;00BE573D&quot;/&gt;&lt;wsp:rsid wsp:val=&quot;00BE7183&quot;/&gt;&lt;wsp:rsid wsp:val=&quot;00BF0E19&quot;/&gt;&lt;wsp:rsid wsp:val=&quot;00BF1C20&quot;/&gt;&lt;wsp:rsid wsp:val=&quot;00BF3E3B&quot;/&gt;&lt;wsp:rsid wsp:val=&quot;00C03875&quot;/&gt;&lt;wsp:rsid wsp:val=&quot;00C062F0&quot;/&gt;&lt;wsp:rsid wsp:val=&quot;00C10578&quot;/&gt;&lt;wsp:rsid wsp:val=&quot;00C11035&quot;/&gt;&lt;wsp:rsid wsp:val=&quot;00C12DE3&quot;/&gt;&lt;wsp:rsid wsp:val=&quot;00C135BC&quot;/&gt;&lt;wsp:rsid wsp:val=&quot;00C14B91&quot;/&gt;&lt;wsp:rsid wsp:val=&quot;00C1515C&quot;/&gt;&lt;wsp:rsid wsp:val=&quot;00C15C95&quot;/&gt;&lt;wsp:rsid wsp:val=&quot;00C22910&quot;/&gt;&lt;wsp:rsid wsp:val=&quot;00C2596A&quot;/&gt;&lt;wsp:rsid wsp:val=&quot;00C25F3F&quot;/&gt;&lt;wsp:rsid wsp:val=&quot;00C27537&quot;/&gt;&lt;wsp:rsid wsp:val=&quot;00C30909&quot;/&gt;&lt;wsp:rsid wsp:val=&quot;00C328FE&quot;/&gt;&lt;wsp:rsid wsp:val=&quot;00C33507&quot;/&gt;&lt;wsp:rsid wsp:val=&quot;00C4409D&quot;/&gt;&lt;wsp:rsid wsp:val=&quot;00C444DF&quot;/&gt;&lt;wsp:rsid wsp:val=&quot;00C44A20&quot;/&gt;&lt;wsp:rsid wsp:val=&quot;00C44E72&quot;/&gt;&lt;wsp:rsid wsp:val=&quot;00C45A06&quot;/&gt;&lt;wsp:rsid wsp:val=&quot;00C47E5B&quot;/&gt;&lt;wsp:rsid wsp:val=&quot;00C50241&quot;/&gt;&lt;wsp:rsid wsp:val=&quot;00C50CA9&quot;/&gt;&lt;wsp:rsid wsp:val=&quot;00C5134B&quot;/&gt;&lt;wsp:rsid wsp:val=&quot;00C51FE0&quot;/&gt;&lt;wsp:rsid wsp:val=&quot;00C5593B&quot;/&gt;&lt;wsp:rsid wsp:val=&quot;00C61E4B&quot;/&gt;&lt;wsp:rsid wsp:val=&quot;00C64BFF&quot;/&gt;&lt;wsp:rsid wsp:val=&quot;00C65933&quot;/&gt;&lt;wsp:rsid wsp:val=&quot;00C704E9&quot;/&gt;&lt;wsp:rsid wsp:val=&quot;00C70CA4&quot;/&gt;&lt;wsp:rsid wsp:val=&quot;00C763C9&quot;/&gt;&lt;wsp:rsid wsp:val=&quot;00C80057&quot;/&gt;&lt;wsp:rsid wsp:val=&quot;00C80D58&quot;/&gt;&lt;wsp:rsid wsp:val=&quot;00C82232&quot;/&gt;&lt;wsp:rsid wsp:val=&quot;00C82913&quot;/&gt;&lt;wsp:rsid wsp:val=&quot;00C84172&quot;/&gt;&lt;wsp:rsid wsp:val=&quot;00C86196&quot;/&gt;&lt;wsp:rsid wsp:val=&quot;00C86BE2&quot;/&gt;&lt;wsp:rsid wsp:val=&quot;00C86ECE&quot;/&gt;&lt;wsp:rsid wsp:val=&quot;00C9012E&quot;/&gt;&lt;wsp:rsid wsp:val=&quot;00C9169D&quot;/&gt;&lt;wsp:rsid wsp:val=&quot;00C91D93&quot;/&gt;&lt;wsp:rsid wsp:val=&quot;00C9611B&quot;/&gt;&lt;wsp:rsid wsp:val=&quot;00C967CF&quot;/&gt;&lt;wsp:rsid wsp:val=&quot;00C972B1&quot;/&gt;&lt;wsp:rsid wsp:val=&quot;00CA0A03&quot;/&gt;&lt;wsp:rsid wsp:val=&quot;00CA115C&quot;/&gt;&lt;wsp:rsid wsp:val=&quot;00CA2CCE&quot;/&gt;&lt;wsp:rsid wsp:val=&quot;00CA43FD&quot;/&gt;&lt;wsp:rsid wsp:val=&quot;00CA5242&quot;/&gt;&lt;wsp:rsid wsp:val=&quot;00CA7B6F&quot;/&gt;&lt;wsp:rsid wsp:val=&quot;00CA7EEA&quot;/&gt;&lt;wsp:rsid wsp:val=&quot;00CA7EF8&quot;/&gt;&lt;wsp:rsid wsp:val=&quot;00CB1A5A&quot;/&gt;&lt;wsp:rsid wsp:val=&quot;00CB1EB4&quot;/&gt;&lt;wsp:rsid wsp:val=&quot;00CB4678&quot;/&gt;&lt;wsp:rsid wsp:val=&quot;00CB5A73&quot;/&gt;&lt;wsp:rsid wsp:val=&quot;00CB746B&quot;/&gt;&lt;wsp:rsid wsp:val=&quot;00CB77BE&quot;/&gt;&lt;wsp:rsid wsp:val=&quot;00CC489B&quot;/&gt;&lt;wsp:rsid wsp:val=&quot;00CD0212&quot;/&gt;&lt;wsp:rsid wsp:val=&quot;00CD28C9&quot;/&gt;&lt;wsp:rsid wsp:val=&quot;00CD2BCD&quot;/&gt;&lt;wsp:rsid wsp:val=&quot;00CD3A4C&quot;/&gt;&lt;wsp:rsid wsp:val=&quot;00CD7A40&quot;/&gt;&lt;wsp:rsid wsp:val=&quot;00CE10E9&quot;/&gt;&lt;wsp:rsid wsp:val=&quot;00CE2910&quot;/&gt;&lt;wsp:rsid wsp:val=&quot;00CE5393&quot;/&gt;&lt;wsp:rsid wsp:val=&quot;00CF20B6&quot;/&gt;&lt;wsp:rsid wsp:val=&quot;00CF36BE&quot;/&gt;&lt;wsp:rsid wsp:val=&quot;00CF6000&quot;/&gt;&lt;wsp:rsid wsp:val=&quot;00D003F3&quot;/&gt;&lt;wsp:rsid wsp:val=&quot;00D004AD&quot;/&gt;&lt;wsp:rsid wsp:val=&quot;00D03026&quot;/&gt;&lt;wsp:rsid wsp:val=&quot;00D0364F&quot;/&gt;&lt;wsp:rsid wsp:val=&quot;00D06834&quot;/&gt;&lt;wsp:rsid wsp:val=&quot;00D07005&quot;/&gt;&lt;wsp:rsid wsp:val=&quot;00D07B9F&quot;/&gt;&lt;wsp:rsid wsp:val=&quot;00D07F0D&quot;/&gt;&lt;wsp:rsid wsp:val=&quot;00D127C9&quot;/&gt;&lt;wsp:rsid wsp:val=&quot;00D22781&quot;/&gt;&lt;wsp:rsid wsp:val=&quot;00D2435B&quot;/&gt;&lt;wsp:rsid wsp:val=&quot;00D24E50&quot;/&gt;&lt;wsp:rsid wsp:val=&quot;00D308ED&quot;/&gt;&lt;wsp:rsid wsp:val=&quot;00D337D8&quot;/&gt;&lt;wsp:rsid wsp:val=&quot;00D36D86&quot;/&gt;&lt;wsp:rsid wsp:val=&quot;00D428AA&quot;/&gt;&lt;wsp:rsid wsp:val=&quot;00D50A34&quot;/&gt;&lt;wsp:rsid wsp:val=&quot;00D53EFA&quot;/&gt;&lt;wsp:rsid wsp:val=&quot;00D54F24&quot;/&gt;&lt;wsp:rsid wsp:val=&quot;00D6134A&quot;/&gt;&lt;wsp:rsid wsp:val=&quot;00D62385&quot;/&gt;&lt;wsp:rsid wsp:val=&quot;00D74C8E&quot;/&gt;&lt;wsp:rsid wsp:val=&quot;00D74EA1&quot;/&gt;&lt;wsp:rsid wsp:val=&quot;00D859F7&quot;/&gt;&lt;wsp:rsid wsp:val=&quot;00D9012D&quot;/&gt;&lt;wsp:rsid wsp:val=&quot;00D93289&quot;/&gt;&lt;wsp:rsid wsp:val=&quot;00D94A7C&quot;/&gt;&lt;wsp:rsid wsp:val=&quot;00D95896&quot;/&gt;&lt;wsp:rsid wsp:val=&quot;00DA1667&quot;/&gt;&lt;wsp:rsid wsp:val=&quot;00DA516B&quot;/&gt;&lt;wsp:rsid wsp:val=&quot;00DB0D62&quot;/&gt;&lt;wsp:rsid wsp:val=&quot;00DB2983&quot;/&gt;&lt;wsp:rsid wsp:val=&quot;00DB2D5D&quot;/&gt;&lt;wsp:rsid wsp:val=&quot;00DB3413&quot;/&gt;&lt;wsp:rsid wsp:val=&quot;00DB48CA&quot;/&gt;&lt;wsp:rsid wsp:val=&quot;00DB52CC&quot;/&gt;&lt;wsp:rsid wsp:val=&quot;00DB6628&quot;/&gt;&lt;wsp:rsid wsp:val=&quot;00DC1257&quot;/&gt;&lt;wsp:rsid wsp:val=&quot;00DC1734&quot;/&gt;&lt;wsp:rsid wsp:val=&quot;00DC250E&quot;/&gt;&lt;wsp:rsid wsp:val=&quot;00DC3DC0&quot;/&gt;&lt;wsp:rsid wsp:val=&quot;00DC5B2B&quot;/&gt;&lt;wsp:rsid wsp:val=&quot;00DC5E6F&quot;/&gt;&lt;wsp:rsid wsp:val=&quot;00DD318D&quot;/&gt;&lt;wsp:rsid wsp:val=&quot;00DE0CF6&quot;/&gt;&lt;wsp:rsid wsp:val=&quot;00DE1458&quot;/&gt;&lt;wsp:rsid wsp:val=&quot;00DE2FB0&quot;/&gt;&lt;wsp:rsid wsp:val=&quot;00DE3995&quot;/&gt;&lt;wsp:rsid wsp:val=&quot;00DF2E12&quot;/&gt;&lt;wsp:rsid wsp:val=&quot;00DF514A&quot;/&gt;&lt;wsp:rsid wsp:val=&quot;00DF6690&quot;/&gt;&lt;wsp:rsid wsp:val=&quot;00DF6804&quot;/&gt;&lt;wsp:rsid wsp:val=&quot;00DF7251&quot;/&gt;&lt;wsp:rsid wsp:val=&quot;00E0358D&quot;/&gt;&lt;wsp:rsid wsp:val=&quot;00E04323&quot;/&gt;&lt;wsp:rsid wsp:val=&quot;00E070A2&quot;/&gt;&lt;wsp:rsid wsp:val=&quot;00E106F3&quot;/&gt;&lt;wsp:rsid wsp:val=&quot;00E13486&quot;/&gt;&lt;wsp:rsid wsp:val=&quot;00E200F4&quot;/&gt;&lt;wsp:rsid wsp:val=&quot;00E2454E&quot;/&gt;&lt;wsp:rsid wsp:val=&quot;00E2656A&quot;/&gt;&lt;wsp:rsid wsp:val=&quot;00E265D8&quot;/&gt;&lt;wsp:rsid wsp:val=&quot;00E306EB&quot;/&gt;&lt;wsp:rsid wsp:val=&quot;00E30FAC&quot;/&gt;&lt;wsp:rsid wsp:val=&quot;00E31687&quot;/&gt;&lt;wsp:rsid wsp:val=&quot;00E33CD4&quot;/&gt;&lt;wsp:rsid wsp:val=&quot;00E34FD7&quot;/&gt;&lt;wsp:rsid wsp:val=&quot;00E40880&quot;/&gt;&lt;wsp:rsid wsp:val=&quot;00E412D0&quot;/&gt;&lt;wsp:rsid wsp:val=&quot;00E4135D&quot;/&gt;&lt;wsp:rsid wsp:val=&quot;00E41A76&quot;/&gt;&lt;wsp:rsid wsp:val=&quot;00E44657&quot;/&gt;&lt;wsp:rsid wsp:val=&quot;00E526A2&quot;/&gt;&lt;wsp:rsid wsp:val=&quot;00E52F76&quot;/&gt;&lt;wsp:rsid wsp:val=&quot;00E56322&quot;/&gt;&lt;wsp:rsid wsp:val=&quot;00E57012&quot;/&gt;&lt;wsp:rsid wsp:val=&quot;00E60982&quot;/&gt;&lt;wsp:rsid wsp:val=&quot;00E62C62&quot;/&gt;&lt;wsp:rsid wsp:val=&quot;00E654C1&quot;/&gt;&lt;wsp:rsid wsp:val=&quot;00E658DB&quot;/&gt;&lt;wsp:rsid wsp:val=&quot;00E65D97&quot;/&gt;&lt;wsp:rsid wsp:val=&quot;00E72A5A&quot;/&gt;&lt;wsp:rsid wsp:val=&quot;00E73354&quot;/&gt;&lt;wsp:rsid wsp:val=&quot;00E80642&quot;/&gt;&lt;wsp:rsid wsp:val=&quot;00E80A88&quot;/&gt;&lt;wsp:rsid wsp:val=&quot;00E90A6A&quot;/&gt;&lt;wsp:rsid wsp:val=&quot;00E9242D&quot;/&gt;&lt;wsp:rsid wsp:val=&quot;00E9288D&quot;/&gt;&lt;wsp:rsid wsp:val=&quot;00E939F8&quot;/&gt;&lt;wsp:rsid wsp:val=&quot;00E93F34&quot;/&gt;&lt;wsp:rsid wsp:val=&quot;00E957A0&quot;/&gt;&lt;wsp:rsid wsp:val=&quot;00EA058C&quot;/&gt;&lt;wsp:rsid wsp:val=&quot;00EA0D83&quot;/&gt;&lt;wsp:rsid wsp:val=&quot;00EA1A34&quot;/&gt;&lt;wsp:rsid wsp:val=&quot;00EA40E8&quot;/&gt;&lt;wsp:rsid wsp:val=&quot;00EA6457&quot;/&gt;&lt;wsp:rsid wsp:val=&quot;00EB45D6&quot;/&gt;&lt;wsp:rsid wsp:val=&quot;00EB5255&quot;/&gt;&lt;wsp:rsid wsp:val=&quot;00EB5C47&quot;/&gt;&lt;wsp:rsid wsp:val=&quot;00EC04CC&quot;/&gt;&lt;wsp:rsid wsp:val=&quot;00EC2B9A&quot;/&gt;&lt;wsp:rsid wsp:val=&quot;00ED0639&quot;/&gt;&lt;wsp:rsid wsp:val=&quot;00ED234F&quot;/&gt;&lt;wsp:rsid wsp:val=&quot;00ED3E0E&quot;/&gt;&lt;wsp:rsid wsp:val=&quot;00EF4755&quot;/&gt;&lt;wsp:rsid wsp:val=&quot;00EF5BA2&quot;/&gt;&lt;wsp:rsid wsp:val=&quot;00EF7135&quot;/&gt;&lt;wsp:rsid wsp:val=&quot;00F0218F&quot;/&gt;&lt;wsp:rsid wsp:val=&quot;00F027DB&quot;/&gt;&lt;wsp:rsid wsp:val=&quot;00F036C9&quot;/&gt;&lt;wsp:rsid wsp:val=&quot;00F05477&quot;/&gt;&lt;wsp:rsid wsp:val=&quot;00F124AA&quot;/&gt;&lt;wsp:rsid wsp:val=&quot;00F13F69&quot;/&gt;&lt;wsp:rsid wsp:val=&quot;00F14A7A&quot;/&gt;&lt;wsp:rsid wsp:val=&quot;00F175F7&quot;/&gt;&lt;wsp:rsid wsp:val=&quot;00F20962&quot;/&gt;&lt;wsp:rsid wsp:val=&quot;00F211EF&quot;/&gt;&lt;wsp:rsid wsp:val=&quot;00F22985&quot;/&gt;&lt;wsp:rsid wsp:val=&quot;00F22F9D&quot;/&gt;&lt;wsp:rsid wsp:val=&quot;00F25C11&quot;/&gt;&lt;wsp:rsid wsp:val=&quot;00F30AC1&quot;/&gt;&lt;wsp:rsid wsp:val=&quot;00F3383E&quot;/&gt;&lt;wsp:rsid wsp:val=&quot;00F354E7&quot;/&gt;&lt;wsp:rsid wsp:val=&quot;00F363B3&quot;/&gt;&lt;wsp:rsid wsp:val=&quot;00F465A7&quot;/&gt;&lt;wsp:rsid wsp:val=&quot;00F50A8E&quot;/&gt;&lt;wsp:rsid wsp:val=&quot;00F50B7C&quot;/&gt;&lt;wsp:rsid wsp:val=&quot;00F54B35&quot;/&gt;&lt;wsp:rsid wsp:val=&quot;00F550E6&quot;/&gt;&lt;wsp:rsid wsp:val=&quot;00F63C38&quot;/&gt;&lt;wsp:rsid wsp:val=&quot;00F64F0F&quot;/&gt;&lt;wsp:rsid wsp:val=&quot;00F705B3&quot;/&gt;&lt;wsp:rsid wsp:val=&quot;00F73D8A&quot;/&gt;&lt;wsp:rsid wsp:val=&quot;00F74345&quot;/&gt;&lt;wsp:rsid wsp:val=&quot;00F76805&quot;/&gt;&lt;wsp:rsid wsp:val=&quot;00F80A0A&quot;/&gt;&lt;wsp:rsid wsp:val=&quot;00F80BD5&quot;/&gt;&lt;wsp:rsid wsp:val=&quot;00F82835&quot;/&gt;&lt;wsp:rsid wsp:val=&quot;00F82B19&quot;/&gt;&lt;wsp:rsid wsp:val=&quot;00F83568&quot;/&gt;&lt;wsp:rsid wsp:val=&quot;00F906B5&quot;/&gt;&lt;wsp:rsid wsp:val=&quot;00F9212D&quot;/&gt;&lt;wsp:rsid wsp:val=&quot;00F95851&quot;/&gt;&lt;wsp:rsid wsp:val=&quot;00F965DA&quot;/&gt;&lt;wsp:rsid wsp:val=&quot;00FA20D0&quot;/&gt;&lt;wsp:rsid wsp:val=&quot;00FA406A&quot;/&gt;&lt;wsp:rsid wsp:val=&quot;00FB503A&quot;/&gt;&lt;wsp:rsid wsp:val=&quot;00FB516C&quot;/&gt;&lt;wsp:rsid wsp:val=&quot;00FB5550&quot;/&gt;&lt;wsp:rsid wsp:val=&quot;00FB659B&quot;/&gt;&lt;wsp:rsid wsp:val=&quot;00FB6DC2&quot;/&gt;&lt;wsp:rsid wsp:val=&quot;00FB6F37&quot;/&gt;&lt;wsp:rsid wsp:val=&quot;00FC02BF&quot;/&gt;&lt;wsp:rsid wsp:val=&quot;00FC206D&quot;/&gt;&lt;wsp:rsid wsp:val=&quot;00FC32CC&quot;/&gt;&lt;wsp:rsid wsp:val=&quot;00FC7849&quot;/&gt;&lt;wsp:rsid wsp:val=&quot;00FD0236&quot;/&gt;&lt;wsp:rsid wsp:val=&quot;00FD18F4&quot;/&gt;&lt;wsp:rsid wsp:val=&quot;00FD54DB&quot;/&gt;&lt;wsp:rsid wsp:val=&quot;00FD59BF&quot;/&gt;&lt;wsp:rsid wsp:val=&quot;00FD5F35&quot;/&gt;&lt;wsp:rsid wsp:val=&quot;00FD619F&quot;/&gt;&lt;wsp:rsid wsp:val=&quot;00FD643F&quot;/&gt;&lt;wsp:rsid wsp:val=&quot;00FE1942&quot;/&gt;&lt;wsp:rsid wsp:val=&quot;00FF0212&quot;/&gt;&lt;wsp:rsid wsp:val=&quot;00FF1DF6&quot;/&gt;&lt;wsp:rsid wsp:val=&quot;00FF4C64&quot;/&gt;&lt;wsp:rsid wsp:val=&quot;00FF795D&quot;/&gt;&lt;wsp:rsid wsp:val=&quot;01001546&quot;/&gt;&lt;wsp:rsid wsp:val=&quot;01001B5E&quot;/&gt;&lt;wsp:rsid wsp:val=&quot;01011432&quot;/&gt;&lt;wsp:rsid wsp:val=&quot;010158D6&quot;/&gt;&lt;wsp:rsid wsp:val=&quot;01026E45&quot;/&gt;&lt;wsp:rsid wsp:val=&quot;01031592&quot;/&gt;&lt;wsp:rsid wsp:val=&quot;010333FC&quot;/&gt;&lt;wsp:rsid wsp:val=&quot;010351AA&quot;/&gt;&lt;wsp:rsid wsp:val=&quot;01067C6D&quot;/&gt;&lt;wsp:rsid wsp:val=&quot;01080A12&quot;/&gt;&lt;wsp:rsid wsp:val=&quot;010827C0&quot;/&gt;&lt;wsp:rsid wsp:val=&quot;0109515E&quot;/&gt;&lt;wsp:rsid wsp:val=&quot;0109689F&quot;/&gt;&lt;wsp:rsid wsp:val=&quot;01097DCB&quot;/&gt;&lt;wsp:rsid wsp:val=&quot;010A0977&quot;/&gt;&lt;wsp:rsid wsp:val=&quot;010A6538&quot;/&gt;&lt;wsp:rsid wsp:val=&quot;010B22B0&quot;/&gt;&lt;wsp:rsid wsp:val=&quot;010C0502&quot;/&gt;&lt;wsp:rsid wsp:val=&quot;010D4F6F&quot;/&gt;&lt;wsp:rsid wsp:val=&quot;010D7DD7&quot;/&gt;&lt;wsp:rsid wsp:val=&quot;010F15F0&quot;/&gt;&lt;wsp:rsid wsp:val=&quot;010F1DA1&quot;/&gt;&lt;wsp:rsid wsp:val=&quot;01101675&quot;/&gt;&lt;wsp:rsid wsp:val=&quot;011078C7&quot;/&gt;&lt;wsp:rsid wsp:val=&quot;01115B19&quot;/&gt;&lt;wsp:rsid wsp:val=&quot;0112004D&quot;/&gt;&lt;wsp:rsid wsp:val=&quot;0112363F&quot;/&gt;&lt;wsp:rsid wsp:val=&quot;01141165&quot;/&gt;&lt;wsp:rsid wsp:val=&quot;01142271&quot;/&gt;&lt;wsp:rsid wsp:val=&quot;01154EDD&quot;/&gt;&lt;wsp:rsid wsp:val=&quot;011562D2&quot;/&gt;&lt;wsp:rsid wsp:val=&quot;011570DC&quot;/&gt;&lt;wsp:rsid wsp:val=&quot;01161381&quot;/&gt;&lt;wsp:rsid wsp:val=&quot;0116312F&quot;/&gt;&lt;wsp:rsid wsp:val=&quot;011679E5&quot;/&gt;&lt;wsp:rsid wsp:val=&quot;01170C55&quot;/&gt;&lt;wsp:rsid wsp:val=&quot;01172333&quot;/&gt;&lt;wsp:rsid wsp:val=&quot;01192C1F&quot;/&gt;&lt;wsp:rsid wsp:val=&quot;0119334B&quot;/&gt;&lt;wsp:rsid wsp:val=&quot;01193755&quot;/&gt;&lt;wsp:rsid wsp:val=&quot;011A24F4&quot;/&gt;&lt;wsp:rsid wsp:val=&quot;011B57BD&quot;/&gt;&lt;wsp:rsid wsp:val=&quot;011B6516&quot;/&gt;&lt;wsp:rsid wsp:val=&quot;011D2710&quot;/&gt;&lt;wsp:rsid wsp:val=&quot;011E0004&quot;/&gt;&lt;wsp:rsid wsp:val=&quot;01203FAE&quot;/&gt;&lt;wsp:rsid wsp:val=&quot;01205D5C&quot;/&gt;&lt;wsp:rsid wsp:val=&quot;01207B0A&quot;/&gt;&lt;wsp:rsid wsp:val=&quot;01213882&quot;/&gt;&lt;wsp:rsid wsp:val=&quot;01264686&quot;/&gt;&lt;wsp:rsid wsp:val=&quot;01270291&quot;/&gt;&lt;wsp:rsid wsp:val=&quot;0127533C&quot;/&gt;&lt;wsp:rsid wsp:val=&quot;01287F18&quot;/&gt;&lt;wsp:rsid wsp:val=&quot;01290F7E&quot;/&gt;&lt;wsp:rsid wsp:val=&quot;012A4E2C&quot;/&gt;&lt;wsp:rsid wsp:val=&quot;012B64AF&quot;/&gt;&lt;wsp:rsid wsp:val=&quot;012C2953&quot;/&gt;&lt;wsp:rsid wsp:val=&quot;012D4559&quot;/&gt;&lt;wsp:rsid wsp:val=&quot;012D66CB&quot;/&gt;&lt;wsp:rsid wsp:val=&quot;012E74A2&quot;/&gt;&lt;wsp:rsid wsp:val=&quot;012F2443&quot;/&gt;&lt;wsp:rsid wsp:val=&quot;012F5F9F&quot;/&gt;&lt;wsp:rsid wsp:val=&quot;01323CE1&quot;/&gt;&lt;wsp:rsid wsp:val=&quot;013435B5&quot;/&gt;&lt;wsp:rsid wsp:val=&quot;013637D1&quot;/&gt;&lt;wsp:rsid wsp:val=&quot;013712F7&quot;/&gt;&lt;wsp:rsid wsp:val=&quot;0137560B&quot;/&gt;&lt;wsp:rsid wsp:val=&quot;01390BCC&quot;/&gt;&lt;wsp:rsid wsp:val=&quot;013B4530&quot;/&gt;&lt;wsp:rsid wsp:val=&quot;013D4B60&quot;/&gt;&lt;wsp:rsid wsp:val=&quot;013E61E2&quot;/&gt;&lt;wsp:rsid wsp:val=&quot;014001AC&quot;/&gt;&lt;wsp:rsid wsp:val=&quot;01402DC2&quot;/&gt;&lt;wsp:rsid wsp:val=&quot;01413E5F&quot;/&gt;&lt;wsp:rsid wsp:val=&quot;0141499A&quot;/&gt;&lt;wsp:rsid wsp:val=&quot;01415CD2&quot;/&gt;&lt;wsp:rsid wsp:val=&quot;01422DB3&quot;/&gt;&lt;wsp:rsid wsp:val=&quot;01437C9C&quot;/&gt;&lt;wsp:rsid wsp:val=&quot;01453A52&quot;/&gt;&lt;wsp:rsid wsp:val=&quot;014557C2&quot;/&gt;&lt;wsp:rsid wsp:val=&quot;01457570&quot;/&gt;&lt;wsp:rsid wsp:val=&quot;014632E9&quot;/&gt;&lt;wsp:rsid wsp:val=&quot;0147778C&quot;/&gt;&lt;wsp:rsid wsp:val=&quot;01487061&quot;/&gt;&lt;wsp:rsid wsp:val=&quot;014A2DD9&quot;/&gt;&lt;wsp:rsid wsp:val=&quot;014C0F72&quot;/&gt;&lt;wsp:rsid wsp:val=&quot;014C637D&quot;/&gt;&lt;wsp:rsid wsp:val=&quot;014D28C9&quot;/&gt;&lt;wsp:rsid wsp:val=&quot;014D4997&quot;/&gt;&lt;wsp:rsid wsp:val=&quot;014E2D2F&quot;/&gt;&lt;wsp:rsid wsp:val=&quot;014F219D&quot;/&gt;&lt;wsp:rsid wsp:val=&quot;014F6641&quot;/&gt;&lt;wsp:rsid wsp:val=&quot;01505F15&quot;/&gt;&lt;wsp:rsid wsp:val=&quot;015123B9&quot;/&gt;&lt;wsp:rsid wsp:val=&quot;01527EDF&quot;/&gt;&lt;wsp:rsid wsp:val=&quot;01541EA9&quot;/&gt;&lt;wsp:rsid wsp:val=&quot;01543C57&quot;/&gt;&lt;wsp:rsid wsp:val=&quot;0156177E&quot;/&gt;&lt;wsp:rsid wsp:val=&quot;01565C22&quot;/&gt;&lt;wsp:rsid wsp:val=&quot;015726F9&quot;/&gt;&lt;wsp:rsid wsp:val=&quot;015B6D94&quot;/&gt;&lt;wsp:rsid wsp:val=&quot;015C48BA&quot;/&gt;&lt;wsp:rsid wsp:val=&quot;015D1E09&quot;/&gt;&lt;wsp:rsid wsp:val=&quot;015E4AD6&quot;/&gt;&lt;wsp:rsid wsp:val=&quot;0160084E&quot;/&gt;&lt;wsp:rsid wsp:val=&quot;016073E8&quot;/&gt;&lt;wsp:rsid wsp:val=&quot;0161427F&quot;/&gt;&lt;wsp:rsid wsp:val=&quot;016245C6&quot;/&gt;&lt;wsp:rsid wsp:val=&quot;01633E9B&quot;/&gt;&lt;wsp:rsid wsp:val=&quot;016519C1&quot;/&gt;&lt;wsp:rsid wsp:val=&quot;0165325A&quot;/&gt;&lt;wsp:rsid wsp:val=&quot;01671BDD&quot;/&gt;&lt;wsp:rsid wsp:val=&quot;0167398B&quot;/&gt;&lt;wsp:rsid wsp:val=&quot;01675739&quot;/&gt;&lt;wsp:rsid wsp:val=&quot;016814B1&quot;/&gt;&lt;wsp:rsid wsp:val=&quot;016874B2&quot;/&gt;&lt;wsp:rsid wsp:val=&quot;016A5229&quot;/&gt;&lt;wsp:rsid wsp:val=&quot;016C055C&quot;/&gt;&lt;wsp:rsid wsp:val=&quot;016E2F6B&quot;/&gt;&lt;wsp:rsid wsp:val=&quot;016F0A91&quot;/&gt;&lt;wsp:rsid wsp:val=&quot;016F1C45&quot;/&gt;&lt;wsp:rsid wsp:val=&quot;016F283F&quot;/&gt;&lt;wsp:rsid wsp:val=&quot;0170236A&quot;/&gt;&lt;wsp:rsid wsp:val=&quot;017302B7&quot;/&gt;&lt;wsp:rsid wsp:val=&quot;01730582&quot;/&gt;&lt;wsp:rsid wsp:val=&quot;01731C66&quot;/&gt;&lt;wsp:rsid wsp:val=&quot;0173585E&quot;/&gt;&lt;wsp:rsid wsp:val=&quot;017460A8&quot;/&gt;&lt;wsp:rsid wsp:val=&quot;01747E56&quot;/&gt;&lt;wsp:rsid wsp:val=&quot;0175017E&quot;/&gt;&lt;wsp:rsid wsp:val=&quot;0179546C&quot;/&gt;&lt;wsp:rsid wsp:val=&quot;017B11E4&quot;/&gt;&lt;wsp:rsid wsp:val=&quot;017B2F92&quot;/&gt;&lt;wsp:rsid wsp:val=&quot;017B3FF0&quot;/&gt;&lt;wsp:rsid wsp:val=&quot;017D4F5C&quot;/&gt;&lt;wsp:rsid wsp:val=&quot;017E2A82&quot;/&gt;&lt;wsp:rsid wsp:val=&quot;017F5F3B&quot;/&gt;&lt;wsp:rsid wsp:val=&quot;01852063&quot;/&gt;&lt;wsp:rsid wsp:val=&quot;01854AA0&quot;/&gt;&lt;wsp:rsid wsp:val=&quot;01875164&quot;/&gt;&lt;wsp:rsid wsp:val=&quot;018A1427&quot;/&gt;&lt;wsp:rsid wsp:val=&quot;018A58CB&quot;/&gt;&lt;wsp:rsid wsp:val=&quot;018F04BB&quot;/&gt;&lt;wsp:rsid wsp:val=&quot;018F4C90&quot;/&gt;&lt;wsp:rsid wsp:val=&quot;01916C5A&quot;/&gt;&lt;wsp:rsid wsp:val=&quot;019276A6&quot;/&gt;&lt;wsp:rsid wsp:val=&quot;01930B36&quot;/&gt;&lt;wsp:rsid wsp:val=&quot;01944054&quot;/&gt;&lt;wsp:rsid wsp:val=&quot;01967DCC&quot;/&gt;&lt;wsp:rsid wsp:val=&quot;01981D96&quot;/&gt;&lt;wsp:rsid wsp:val=&quot;01995B0E&quot;/&gt;&lt;wsp:rsid wsp:val=&quot;019978BC&quot;/&gt;&lt;wsp:rsid wsp:val=&quot;019A20D0&quot;/&gt;&lt;wsp:rsid wsp:val=&quot;019E18C1&quot;/&gt;&lt;wsp:rsid wsp:val=&quot;019E3125&quot;/&gt;&lt;wsp:rsid wsp:val=&quot;01A06E9D&quot;/&gt;&lt;wsp:rsid wsp:val=&quot;01A253C9&quot;/&gt;&lt;wsp:rsid wsp:val=&quot;01A4698D&quot;/&gt;&lt;wsp:rsid wsp:val=&quot;01A52705&quot;/&gt;&lt;wsp:rsid wsp:val=&quot;01A544B3&quot;/&gt;&lt;wsp:rsid wsp:val=&quot;01A73D87&quot;/&gt;&lt;wsp:rsid wsp:val=&quot;01A7647D&quot;/&gt;&lt;wsp:rsid wsp:val=&quot;01A8508C&quot;/&gt;&lt;wsp:rsid wsp:val=&quot;01A85D51&quot;/&gt;&lt;wsp:rsid wsp:val=&quot;01A87AFF&quot;/&gt;&lt;wsp:rsid wsp:val=&quot;01A9592D&quot;/&gt;&lt;wsp:rsid wsp:val=&quot;01AA04FE&quot;/&gt;&lt;wsp:rsid wsp:val=&quot;01AA3877&quot;/&gt;&lt;wsp:rsid wsp:val=&quot;01AB7BDE&quot;/&gt;&lt;wsp:rsid wsp:val=&quot;01AC3A93&quot;/&gt;&lt;wsp:rsid wsp:val=&quot;01AC5842&quot;/&gt;&lt;wsp:rsid wsp:val=&quot;01AD5116&quot;/&gt;&lt;wsp:rsid wsp:val=&quot;01AE15BA&quot;/&gt;&lt;wsp:rsid wsp:val=&quot;01AE3368&quot;/&gt;&lt;wsp:rsid wsp:val=&quot;01B110AA&quot;/&gt;&lt;wsp:rsid wsp:val=&quot;01B14C06&quot;/&gt;&lt;wsp:rsid wsp:val=&quot;01B36BD0&quot;/&gt;&lt;wsp:rsid wsp:val=&quot;01B446F6&quot;/&gt;&lt;wsp:rsid wsp:val=&quot;01B53BF3&quot;/&gt;&lt;wsp:rsid wsp:val=&quot;01B6046E&quot;/&gt;&lt;wsp:rsid wsp:val=&quot;01B81547&quot;/&gt;&lt;wsp:rsid wsp:val=&quot;01B85F94&quot;/&gt;&lt;wsp:rsid wsp:val=&quot;01BA61B0&quot;/&gt;&lt;wsp:rsid wsp:val=&quot;01BB00AF&quot;/&gt;&lt;wsp:rsid wsp:val=&quot;01BD7A4F&quot;/&gt;&lt;wsp:rsid wsp:val=&quot;01BF5575&quot;/&gt;&lt;wsp:rsid wsp:val=&quot;01C0309B&quot;/&gt;&lt;wsp:rsid wsp:val=&quot;01C16785&quot;/&gt;&lt;wsp:rsid wsp:val=&quot;01C20BC1&quot;/&gt;&lt;wsp:rsid wsp:val=&quot;01C25065&quot;/&gt;&lt;wsp:rsid wsp:val=&quot;01C26E13&quot;/&gt;&lt;wsp:rsid wsp:val=&quot;01C42B8B&quot;/&gt;&lt;wsp:rsid wsp:val=&quot;01C563DE&quot;/&gt;&lt;wsp:rsid wsp:val=&quot;01C62732&quot;/&gt;&lt;wsp:rsid wsp:val=&quot;01C963F3&quot;/&gt;&lt;wsp:rsid wsp:val=&quot;01CB0F78&quot;/&gt;&lt;wsp:rsid wsp:val=&quot;01CC1A40&quot;/&gt;&lt;wsp:rsid wsp:val=&quot;01CD722E&quot;/&gt;&lt;wsp:rsid wsp:val=&quot;01CD7566&quot;/&gt;&lt;wsp:rsid wsp:val=&quot;01CE78F9&quot;/&gt;&lt;wsp:rsid wsp:val=&quot;01CF1530&quot;/&gt;&lt;wsp:rsid wsp:val=&quot;01CF32DE&quot;/&gt;&lt;wsp:rsid wsp:val=&quot;01CF7782&quot;/&gt;&lt;wsp:rsid wsp:val=&quot;01D13C8A&quot;/&gt;&lt;wsp:rsid wsp:val=&quot;01D31020&quot;/&gt;&lt;wsp:rsid wsp:val=&quot;01D37272&quot;/&gt;&lt;wsp:rsid wsp:val=&quot;01D408F4&quot;/&gt;&lt;wsp:rsid wsp:val=&quot;01D43F24&quot;/&gt;&lt;wsp:rsid wsp:val=&quot;01D46B46&quot;/&gt;&lt;wsp:rsid wsp:val=&quot;01D628BE&quot;/&gt;&lt;wsp:rsid wsp:val=&quot;01D8357C&quot;/&gt;&lt;wsp:rsid wsp:val=&quot;01D84888&quot;/&gt;&lt;wsp:rsid wsp:val=&quot;01D866AD&quot;/&gt;&lt;wsp:rsid wsp:val=&quot;01D95F0B&quot;/&gt;&lt;wsp:rsid wsp:val=&quot;01DA23AF&quot;/&gt;&lt;wsp:rsid wsp:val=&quot;01DA596D&quot;/&gt;&lt;wsp:rsid wsp:val=&quot;01DD59FB&quot;/&gt;&lt;wsp:rsid wsp:val=&quot;01DF79C5&quot;/&gt;&lt;wsp:rsid wsp:val=&quot;01E0373D&quot;/&gt;&lt;wsp:rsid wsp:val=&quot;01E0730D&quot;/&gt;&lt;wsp:rsid wsp:val=&quot;01E10B2C&quot;/&gt;&lt;wsp:rsid wsp:val=&quot;01E1319E&quot;/&gt;&lt;wsp:rsid wsp:val=&quot;01E44FDB&quot;/&gt;&lt;wsp:rsid wsp:val=&quot;01E50D53&quot;/&gt;&lt;wsp:rsid wsp:val=&quot;01E7687A&quot;/&gt;&lt;wsp:rsid wsp:val=&quot;01E925F2&quot;/&gt;&lt;wsp:rsid wsp:val=&quot;01EA0118&quot;/&gt;&lt;wsp:rsid wsp:val=&quot;01EC0334&quot;/&gt;&lt;wsp:rsid wsp:val=&quot;01F01BD2&quot;/&gt;&lt;wsp:rsid wsp:val=&quot;01F14123&quot;/&gt;&lt;wsp:rsid wsp:val=&quot;01F36FCC&quot;/&gt;&lt;wsp:rsid wsp:val=&quot;01F40F97&quot;/&gt;&lt;wsp:rsid wsp:val=&quot;01F42D45&quot;/&gt;&lt;wsp:rsid wsp:val=&quot;01F66ABD&quot;/&gt;&lt;wsp:rsid wsp:val=&quot;01F8223F&quot;/&gt;&lt;wsp:rsid wsp:val=&quot;01F86CD9&quot;/&gt;&lt;wsp:rsid wsp:val=&quot;01FB0577&quot;/&gt;&lt;wsp:rsid wsp:val=&quot;01FC7DA6&quot;/&gt;&lt;wsp:rsid wsp:val=&quot;01FD609D&quot;/&gt;&lt;wsp:rsid wsp:val=&quot;01FF1E15&quot;/&gt;&lt;wsp:rsid wsp:val=&quot;02002788&quot;/&gt;&lt;wsp:rsid wsp:val=&quot;020236B3&quot;/&gt;&lt;wsp:rsid wsp:val=&quot;0204742C&quot;/&gt;&lt;wsp:rsid wsp:val=&quot;020531A4&quot;/&gt;&lt;wsp:rsid wsp:val=&quot;02054F52&quot;/&gt;&lt;wsp:rsid wsp:val=&quot;02070CCA&quot;/&gt;&lt;wsp:rsid wsp:val=&quot;02076F1C&quot;/&gt;&lt;wsp:rsid wsp:val=&quot;020B07BA&quot;/&gt;&lt;wsp:rsid wsp:val=&quot;020C008E&quot;/&gt;&lt;wsp:rsid wsp:val=&quot;020C554D&quot;/&gt;&lt;wsp:rsid wsp:val=&quot;020C62E0&quot;/&gt;&lt;wsp:rsid wsp:val=&quot;020E3E06&quot;/&gt;&lt;wsp:rsid wsp:val=&quot;02104022&quot;/&gt;&lt;wsp:rsid wsp:val=&quot;02117D9A&quot;/&gt;&lt;wsp:rsid wsp:val=&quot;0213141D&quot;/&gt;&lt;wsp:rsid wsp:val=&quot;021358C1&quot;/&gt;&lt;wsp:rsid wsp:val=&quot;02160F0D&quot;/&gt;&lt;wsp:rsid wsp:val=&quot;021653B1&quot;/&gt;&lt;wsp:rsid wsp:val=&quot;02186A33&quot;/&gt;&lt;wsp:rsid wsp:val=&quot;021872CE&quot;/&gt;&lt;wsp:rsid wsp:val=&quot;021D04ED&quot;/&gt;&lt;wsp:rsid wsp:val=&quot;021D673F&quot;/&gt;&lt;wsp:rsid wsp:val=&quot;021F4265&quot;/&gt;&lt;wsp:rsid wsp:val=&quot;02203B3A&quot;/&gt;&lt;wsp:rsid wsp:val=&quot;02205A33&quot;/&gt;&lt;wsp:rsid wsp:val=&quot;02223D56&quot;/&gt;&lt;wsp:rsid wsp:val=&quot;022415AB&quot;/&gt;&lt;wsp:rsid wsp:val=&quot;0224187C&quot;/&gt;&lt;wsp:rsid wsp:val=&quot;02290C40&quot;/&gt;&lt;wsp:rsid wsp:val=&quot;02292750&quot;/&gt;&lt;wsp:rsid wsp:val=&quot;022C0730&quot;/&gt;&lt;wsp:rsid wsp:val=&quot;022C5D05&quot;/&gt;&lt;wsp:rsid wsp:val=&quot;022D740A&quot;/&gt;&lt;wsp:rsid wsp:val=&quot;022E26FA&quot;/&gt;&lt;wsp:rsid wsp:val=&quot;02301FCF&quot;/&gt;&lt;wsp:rsid wsp:val=&quot;02322A46&quot;/&gt;&lt;wsp:rsid wsp:val=&quot;02337D11&quot;/&gt;&lt;wsp:rsid wsp:val=&quot;02345366&quot;/&gt;&lt;wsp:rsid wsp:val=&quot;02365B70&quot;/&gt;&lt;wsp:rsid wsp:val=&quot;02376C53&quot;/&gt;&lt;wsp:rsid wsp:val=&quot;02377801&quot;/&gt;&lt;wsp:rsid wsp:val=&quot;023868B8&quot;/&gt;&lt;wsp:rsid wsp:val=&quot;02397D48&quot;/&gt;&lt;wsp:rsid wsp:val=&quot;023B0973&quot;/&gt;&lt;wsp:rsid wsp:val=&quot;023D293E&quot;/&gt;&lt;wsp:rsid wsp:val=&quot;0240504A&quot;/&gt;&lt;wsp:rsid wsp:val=&quot;02405F8A&quot;/&gt;&lt;wsp:rsid wsp:val=&quot;024164DA&quot;/&gt;&lt;wsp:rsid wsp:val=&quot;02457A2C&quot;/&gt;&lt;wsp:rsid wsp:val=&quot;024617F2&quot;/&gt;&lt;wsp:rsid wsp:val=&quot;024737BC&quot;/&gt;&lt;wsp:rsid wsp:val=&quot;0247556A&quot;/&gt;&lt;wsp:rsid wsp:val=&quot;02477318&quot;/&gt;&lt;wsp:rsid wsp:val=&quot;02493090&quot;/&gt;&lt;wsp:rsid wsp:val=&quot;02497D5F&quot;/&gt;&lt;wsp:rsid wsp:val=&quot;024A6C81&quot;/&gt;&lt;wsp:rsid wsp:val=&quot;024C492F&quot;/&gt;&lt;wsp:rsid wsp:val=&quot;024D4EDE&quot;/&gt;&lt;wsp:rsid wsp:val=&quot;024D764E&quot;/&gt;&lt;wsp:rsid wsp:val=&quot;02527FB8&quot;/&gt;&lt;wsp:rsid wsp:val=&quot;02557C87&quot;/&gt;&lt;wsp:rsid wsp:val=&quot;025657AD&quot;/&gt;&lt;wsp:rsid wsp:val=&quot;02570700&quot;/&gt;&lt;wsp:rsid wsp:val=&quot;02572162&quot;/&gt;&lt;wsp:rsid wsp:val=&quot;025C7268&quot;/&gt;&lt;wsp:rsid wsp:val=&quot;025D08EA&quot;/&gt;&lt;wsp:rsid wsp:val=&quot;025F0B06&quot;/&gt;&lt;wsp:rsid wsp:val=&quot;025F4662&quot;/&gt;&lt;wsp:rsid wsp:val=&quot;02624152&quot;/&gt;&lt;wsp:rsid wsp:val=&quot;026305F6&quot;/&gt;&lt;wsp:rsid wsp:val=&quot;02647ECA&quot;/&gt;&lt;wsp:rsid wsp:val=&quot;02651518&quot;/&gt;&lt;wsp:rsid wsp:val=&quot;02671768&quot;/&gt;&lt;wsp:rsid wsp:val=&quot;02681684&quot;/&gt;&lt;wsp:rsid wsp:val=&quot;02693733&quot;/&gt;&lt;wsp:rsid wsp:val=&quot;02697903&quot;/&gt;&lt;wsp:rsid wsp:val=&quot;026A6B75&quot;/&gt;&lt;wsp:rsid wsp:val=&quot;026B74AB&quot;/&gt;&lt;wsp:rsid wsp:val=&quot;026E6F9B&quot;/&gt;&lt;wsp:rsid wsp:val=&quot;0270061D&quot;/&gt;&lt;wsp:rsid wsp:val=&quot;027125E7&quot;/&gt;&lt;wsp:rsid wsp:val=&quot;02714395&quot;/&gt;&lt;wsp:rsid wsp:val=&quot;02720839&quot;/&gt;&lt;wsp:rsid wsp:val=&quot;02746F16&quot;/&gt;&lt;wsp:rsid wsp:val=&quot;02750329&quot;/&gt;&lt;wsp:rsid wsp:val=&quot;027520D7&quot;/&gt;&lt;wsp:rsid wsp:val=&quot;0275544D&quot;/&gt;&lt;wsp:rsid wsp:val=&quot;02785724&quot;/&gt;&lt;wsp:rsid wsp:val=&quot;027A76EE&quot;/&gt;&lt;wsp:rsid wsp:val=&quot;027B5D8E&quot;/&gt;&lt;wsp:rsid wsp:val=&quot;027D0F8C&quot;/&gt;&lt;wsp:rsid wsp:val=&quot;027D71DE&quot;/&gt;&lt;wsp:rsid wsp:val=&quot;0281282A&quot;/&gt;&lt;wsp:rsid wsp:val=&quot;02820350&quot;/&gt;&lt;wsp:rsid wsp:val=&quot;02832A46&quot;/&gt;&lt;wsp:rsid wsp:val=&quot;0284056C&quot;/&gt;&lt;wsp:rsid wsp:val=&quot;028422ED&quot;/&gt;&lt;wsp:rsid wsp:val=&quot;02854EBE&quot;/&gt;&lt;wsp:rsid wsp:val=&quot;028714FA&quot;/&gt;&lt;wsp:rsid wsp:val=&quot;0287551F&quot;/&gt;&lt;wsp:rsid wsp:val=&quot;02881420&quot;/&gt;&lt;wsp:rsid wsp:val=&quot;02881E0B&quot;/&gt;&lt;wsp:rsid wsp:val=&quot;0288383F&quot;/&gt;&lt;wsp:rsid wsp:val=&quot;02883974&quot;/&gt;&lt;wsp:rsid wsp:val=&quot;028B36A9&quot;/&gt;&lt;wsp:rsid wsp:val=&quot;028C11CF&quot;/&gt;&lt;wsp:rsid wsp:val=&quot;028C3EBB&quot;/&gt;&lt;wsp:rsid wsp:val=&quot;028C4D7E&quot;/&gt;&lt;wsp:rsid wsp:val=&quot;028D5673&quot;/&gt;&lt;wsp:rsid wsp:val=&quot;028E4F47&quot;/&gt;&lt;wsp:rsid wsp:val=&quot;028F3AEF&quot;/&gt;&lt;wsp:rsid wsp:val=&quot;02906F11&quot;/&gt;&lt;wsp:rsid wsp:val=&quot;029201DD&quot;/&gt;&lt;wsp:rsid wsp:val=&quot;02954528&quot;/&gt;&lt;wsp:rsid wsp:val=&quot;02961A83&quot;/&gt;&lt;wsp:rsid wsp:val=&quot;02964D69&quot;/&gt;&lt;wsp:rsid wsp:val=&quot;0297204E&quot;/&gt;&lt;wsp:rsid wsp:val=&quot;029772D3&quot;/&gt;&lt;wsp:rsid wsp:val=&quot;02987B74&quot;/&gt;&lt;wsp:rsid wsp:val=&quot;02994018&quot;/&gt;&lt;wsp:rsid wsp:val=&quot;029A38EC&quot;/&gt;&lt;wsp:rsid wsp:val=&quot;029C1412&quot;/&gt;&lt;wsp:rsid wsp:val=&quot;029C7664&quot;/&gt;&lt;wsp:rsid wsp:val=&quot;029D518A&quot;/&gt;&lt;wsp:rsid wsp:val=&quot;029F1DE1&quot;/&gt;&lt;wsp:rsid wsp:val=&quot;02A12ECC&quot;/&gt;&lt;wsp:rsid wsp:val=&quot;02A14C7A&quot;/&gt;&lt;wsp:rsid wsp:val=&quot;02A227A1&quot;/&gt;&lt;wsp:rsid wsp:val=&quot;02A357AF&quot;/&gt;&lt;wsp:rsid wsp:val=&quot;02A4476B&quot;/&gt;&lt;wsp:rsid wsp:val=&quot;02A47E10&quot;/&gt;&lt;wsp:rsid wsp:val=&quot;02A604E3&quot;/&gt;&lt;wsp:rsid wsp:val=&quot;02A75687&quot;/&gt;&lt;wsp:rsid wsp:val=&quot;02A8425B&quot;/&gt;&lt;wsp:rsid wsp:val=&quot;02A97830&quot;/&gt;&lt;wsp:rsid wsp:val=&quot;02AB16C1&quot;/&gt;&lt;wsp:rsid wsp:val=&quot;02AC5426&quot;/&gt;&lt;wsp:rsid wsp:val=&quot;02AD1871&quot;/&gt;&lt;wsp:rsid wsp:val=&quot;02AF363D&quot;/&gt;&lt;wsp:rsid wsp:val=&quot;02B01361&quot;/&gt;&lt;wsp:rsid wsp:val=&quot;02B052A9&quot;/&gt;&lt;wsp:rsid wsp:val=&quot;02B07E7A&quot;/&gt;&lt;wsp:rsid wsp:val=&quot;02B20C36&quot;/&gt;&lt;wsp:rsid wsp:val=&quot;02B2285A&quot;/&gt;&lt;wsp:rsid wsp:val=&quot;02B250DA&quot;/&gt;&lt;wsp:rsid wsp:val=&quot;02B40466&quot;/&gt;&lt;wsp:rsid wsp:val=&quot;02B50726&quot;/&gt;&lt;wsp:rsid wsp:val=&quot;02B726F0&quot;/&gt;&lt;wsp:rsid wsp:val=&quot;02B96468&quot;/&gt;&lt;wsp:rsid wsp:val=&quot;02BC4B03&quot;/&gt;&lt;wsp:rsid wsp:val=&quot;02BC6564&quot;/&gt;&lt;wsp:rsid wsp:val=&quot;02BC7D06&quot;/&gt;&lt;wsp:rsid wsp:val=&quot;02BE582C&quot;/&gt;&lt;wsp:rsid wsp:val=&quot;02BF77F6&quot;/&gt;&lt;wsp:rsid wsp:val=&quot;02C10E79&quot;/&gt;&lt;wsp:rsid wsp:val=&quot;02C55120&quot;/&gt;&lt;wsp:rsid wsp:val=&quot;02C646E1&quot;/&gt;&lt;wsp:rsid wsp:val=&quot;02C941D1&quot;/&gt;&lt;wsp:rsid wsp:val=&quot;02C95F7F&quot;/&gt;&lt;wsp:rsid wsp:val=&quot;02CB1CF7&quot;/&gt;&lt;wsp:rsid wsp:val=&quot;02CB7F49&quot;/&gt;&lt;wsp:rsid wsp:val=&quot;02CD5A6F&quot;/&gt;&lt;wsp:rsid wsp:val=&quot;02D037B2&quot;/&gt;&lt;wsp:rsid wsp:val=&quot;02D50DC8&quot;/&gt;&lt;wsp:rsid wsp:val=&quot;02D52B76&quot;/&gt;&lt;wsp:rsid wsp:val=&quot;02D54924&quot;/&gt;&lt;wsp:rsid wsp:val=&quot;02D71101&quot;/&gt;&lt;wsp:rsid wsp:val=&quot;02D74B40&quot;/&gt;&lt;wsp:rsid wsp:val=&quot;02D84414&quot;/&gt;&lt;wsp:rsid wsp:val=&quot;02DA018C&quot;/&gt;&lt;wsp:rsid wsp:val=&quot;02DA1F3A&quot;/&gt;&lt;wsp:rsid wsp:val=&quot;02DC3F04&quot;/&gt;&lt;wsp:rsid wsp:val=&quot;02DC5CB3&quot;/&gt;&lt;wsp:rsid wsp:val=&quot;02DE5ECF&quot;/&gt;&lt;wsp:rsid wsp:val=&quot;02DE6EAF&quot;/&gt;&lt;wsp:rsid wsp:val=&quot;02DE7C7D&quot;/&gt;&lt;wsp:rsid wsp:val=&quot;02E1151B&quot;/&gt;&lt;wsp:rsid wsp:val=&quot;02E334E5&quot;/&gt;&lt;wsp:rsid wsp:val=&quot;02E35293&quot;/&gt;&lt;wsp:rsid wsp:val=&quot;02E41BD9&quot;/&gt;&lt;wsp:rsid wsp:val=&quot;02E5725D&quot;/&gt;&lt;wsp:rsid wsp:val=&quot;02E64D83&quot;/&gt;&lt;wsp:rsid wsp:val=&quot;02E84657&quot;/&gt;&lt;wsp:rsid wsp:val=&quot;02ED6E19&quot;/&gt;&lt;wsp:rsid wsp:val=&quot;02ED7EC0&quot;/&gt;&lt;wsp:rsid wsp:val=&quot;02EE67F5&quot;/&gt;&lt;wsp:rsid wsp:val=&quot;02EF12AC&quot;/&gt;&lt;wsp:rsid wsp:val=&quot;02EF3E7D&quot;/&gt;&lt;wsp:rsid wsp:val=&quot;02F05C02&quot;/&gt;&lt;wsp:rsid wsp:val=&quot;02F079B0&quot;/&gt;&lt;wsp:rsid wsp:val=&quot;02F32FFC&quot;/&gt;&lt;wsp:rsid wsp:val=&quot;02F474A0&quot;/&gt;&lt;wsp:rsid wsp:val=&quot;02F500EE&quot;/&gt;&lt;wsp:rsid wsp:val=&quot;02F54FC6&quot;/&gt;&lt;wsp:rsid wsp:val=&quot;02F70D3E&quot;/&gt;&lt;wsp:rsid wsp:val=&quot;02F76F90&quot;/&gt;&lt;wsp:rsid wsp:val=&quot;02F92D08&quot;/&gt;&lt;wsp:rsid wsp:val=&quot;02F94AB6&quot;/&gt;&lt;wsp:rsid wsp:val=&quot;02F96569&quot;/&gt;&lt;wsp:rsid wsp:val=&quot;02FA25DD&quot;/&gt;&lt;wsp:rsid wsp:val=&quot;02FC0103&quot;/&gt;&lt;wsp:rsid wsp:val=&quot;02FF2231&quot;/&gt;&lt;wsp:rsid wsp:val=&quot;03062D2F&quot;/&gt;&lt;wsp:rsid wsp:val=&quot;030A0A72&quot;/&gt;&lt;wsp:rsid wsp:val=&quot;030A1E29&quot;/&gt;&lt;wsp:rsid wsp:val=&quot;030B2A3C&quot;/&gt;&lt;wsp:rsid wsp:val=&quot;030E0896&quot;/&gt;&lt;wsp:rsid wsp:val=&quot;030E5A07&quot;/&gt;&lt;wsp:rsid wsp:val=&quot;03101E00&quot;/&gt;&lt;wsp:rsid wsp:val=&quot;03103BAE&quot;/&gt;&lt;wsp:rsid wsp:val=&quot;03125B78&quot;/&gt;&lt;wsp:rsid wsp:val=&quot;031511C4&quot;/&gt;&lt;wsp:rsid wsp:val=&quot;03165668&quot;/&gt;&lt;wsp:rsid wsp:val=&quot;03192A63&quot;/&gt;&lt;wsp:rsid wsp:val=&quot;03195159&quot;/&gt;&lt;wsp:rsid wsp:val=&quot;03196F07&quot;/&gt;&lt;wsp:rsid wsp:val=&quot;031A67DB&quot;/&gt;&lt;wsp:rsid wsp:val=&quot;031B2C7F&quot;/&gt;&lt;wsp:rsid wsp:val=&quot;031D1CF9&quot;/&gt;&lt;wsp:rsid wsp:val=&quot;031E276F&quot;/&gt;&lt;wsp:rsid wsp:val=&quot;03200295&quot;/&gt;&lt;wsp:rsid wsp:val=&quot;03231B33&quot;/&gt;&lt;wsp:rsid wsp:val=&quot;032338E1&quot;/&gt;&lt;wsp:rsid wsp:val=&quot;03242405&quot;/&gt;&lt;wsp:rsid wsp:val=&quot;032558AB&quot;/&gt;&lt;wsp:rsid wsp:val=&quot;03274B78&quot;/&gt;&lt;wsp:rsid wsp:val=&quot;03280EF8&quot;/&gt;&lt;wsp:rsid wsp:val=&quot;0328400E&quot;/&gt;&lt;wsp:rsid wsp:val=&quot;032869F6&quot;/&gt;&lt;wsp:rsid wsp:val=&quot;032A1114&quot;/&gt;&lt;wsp:rsid wsp:val=&quot;032A2EC2&quot;/&gt;&lt;wsp:rsid wsp:val=&quot;032B6C3A&quot;/&gt;&lt;wsp:rsid wsp:val=&quot;032D4760&quot;/&gt;&lt;wsp:rsid wsp:val=&quot;032D650E&quot;/&gt;&lt;wsp:rsid wsp:val=&quot;032D7ACD&quot;/&gt;&lt;wsp:rsid wsp:val=&quot;03304250&quot;/&gt;&lt;wsp:rsid wsp:val=&quot;03305FFE&quot;/&gt;&lt;wsp:rsid wsp:val=&quot;03307091&quot;/&gt;&lt;wsp:rsid wsp:val=&quot;03311865&quot;/&gt;&lt;wsp:rsid wsp:val=&quot;033124A2&quot;/&gt;&lt;wsp:rsid wsp:val=&quot;03323B24&quot;/&gt;&lt;wsp:rsid wsp:val=&quot;03327FC8&quot;/&gt;&lt;wsp:rsid wsp:val=&quot;03337221&quot;/&gt;&lt;wsp:rsid wsp:val=&quot;0334789D&quot;/&gt;&lt;wsp:rsid wsp:val=&quot;033B50CF&quot;/&gt;&lt;wsp:rsid wsp:val=&quot;033C0D43&quot;/&gt;&lt;wsp:rsid wsp:val=&quot;033D00D6&quot;/&gt;&lt;wsp:rsid wsp:val=&quot;03402295&quot;/&gt;&lt;wsp:rsid wsp:val=&quot;034026E5&quot;/&gt;&lt;wsp:rsid wsp:val=&quot;03411FB9&quot;/&gt;&lt;wsp:rsid wsp:val=&quot;034128F9&quot;/&gt;&lt;wsp:rsid wsp:val=&quot;03413725&quot;/&gt;&lt;wsp:rsid wsp:val=&quot;0342096A&quot;/&gt;&lt;wsp:rsid wsp:val=&quot;03454CDB&quot;/&gt;&lt;wsp:rsid wsp:val=&quot;03463A74&quot;/&gt;&lt;wsp:rsid wsp:val=&quot;034675D0&quot;/&gt;&lt;wsp:rsid wsp:val=&quot;03475B40&quot;/&gt;&lt;wsp:rsid wsp:val=&quot;03480A27&quot;/&gt;&lt;wsp:rsid wsp:val=&quot;0348159A&quot;/&gt;&lt;wsp:rsid wsp:val=&quot;034877EC&quot;/&gt;&lt;wsp:rsid wsp:val=&quot;0349016D&quot;/&gt;&lt;wsp:rsid wsp:val=&quot;034A18C4&quot;/&gt;&lt;wsp:rsid wsp:val=&quot;034A3564&quot;/&gt;&lt;wsp:rsid wsp:val=&quot;034A5312&quot;/&gt;&lt;wsp:rsid wsp:val=&quot;034B4BE6&quot;/&gt;&lt;wsp:rsid wsp:val=&quot;034C108A&quot;/&gt;&lt;wsp:rsid wsp:val=&quot;035241C7&quot;/&gt;&lt;wsp:rsid wsp:val=&quot;03561F09&quot;/&gt;&lt;wsp:rsid wsp:val=&quot;03563CB7&quot;/&gt;&lt;wsp:rsid wsp:val=&quot;035919AC&quot;/&gt;&lt;wsp:rsid wsp:val=&quot;0359239C&quot;/&gt;&lt;wsp:rsid wsp:val=&quot;035A60F3&quot;/&gt;&lt;wsp:rsid wsp:val=&quot;035B4B68&quot;/&gt;&lt;wsp:rsid wsp:val=&quot;035B751F&quot;/&gt;&lt;wsp:rsid wsp:val=&quot;035C5045&quot;/&gt;&lt;wsp:rsid wsp:val=&quot;035C6DF3&quot;/&gt;&lt;wsp:rsid wsp:val=&quot;035E700F&quot;/&gt;&lt;wsp:rsid wsp:val=&quot;03604B36&quot;/&gt;&lt;wsp:rsid wsp:val=&quot;03633EEE&quot;/&gt;&lt;wsp:rsid wsp:val=&quot;036363D4&quot;/&gt;&lt;wsp:rsid wsp:val=&quot;03653EFA&quot;/&gt;&lt;wsp:rsid wsp:val=&quot;03664663&quot;/&gt;&lt;wsp:rsid wsp:val=&quot;036A1510&quot;/&gt;&lt;wsp:rsid wsp:val=&quot;036A7762&quot;/&gt;&lt;wsp:rsid wsp:val=&quot;036C66E1&quot;/&gt;&lt;wsp:rsid wsp:val=&quot;036D2C68&quot;/&gt;&lt;wsp:rsid wsp:val=&quot;036D7252&quot;/&gt;&lt;wsp:rsid wsp:val=&quot;03716D43&quot;/&gt;&lt;wsp:rsid wsp:val=&quot;03726617&quot;/&gt;&lt;wsp:rsid wsp:val=&quot;03726C53&quot;/&gt;&lt;wsp:rsid wsp:val=&quot;03744E73&quot;/&gt;&lt;wsp:rsid wsp:val=&quot;03764359&quot;/&gt;&lt;wsp:rsid wsp:val=&quot;03767EB5&quot;/&gt;&lt;wsp:rsid wsp:val=&quot;03771E7F&quot;/&gt;&lt;wsp:rsid wsp:val=&quot;03773C2D&quot;/&gt;&lt;wsp:rsid wsp:val=&quot;037759DB&quot;/&gt;&lt;wsp:rsid wsp:val=&quot;03777697&quot;/&gt;&lt;wsp:rsid wsp:val=&quot;03795BF7&quot;/&gt;&lt;wsp:rsid wsp:val=&quot;037B371D&quot;/&gt;&lt;wsp:rsid wsp:val=&quot;037E1AD1&quot;/&gt;&lt;wsp:rsid wsp:val=&quot;037F41D8&quot;/&gt;&lt;wsp:rsid wsp:val=&quot;03806094&quot;/&gt;&lt;wsp:rsid wsp:val=&quot;03815ED1&quot;/&gt;&lt;wsp:rsid wsp:val=&quot;0381685A&quot;/&gt;&lt;wsp:rsid wsp:val=&quot;03824AAC&quot;/&gt;&lt;wsp:rsid wsp:val=&quot;03830824&quot;/&gt;&lt;wsp:rsid wsp:val=&quot;03836A76&quot;/&gt;&lt;wsp:rsid wsp:val=&quot;03860CAF&quot;/&gt;&lt;wsp:rsid wsp:val=&quot;03863E70&quot;/&gt;&lt;wsp:rsid wsp:val=&quot;03870314&quot;/&gt;&lt;wsp:rsid wsp:val=&quot;03887307&quot;/&gt;&lt;wsp:rsid wsp:val=&quot;03896FE7&quot;/&gt;&lt;wsp:rsid wsp:val=&quot;038D1478&quot;/&gt;&lt;wsp:rsid wsp:val=&quot;038D16A3&quot;/&gt;&lt;wsp:rsid wsp:val=&quot;038D3451&quot;/&gt;&lt;wsp:rsid wsp:val=&quot;038F265D&quot;/&gt;&lt;wsp:rsid wsp:val=&quot;03912F41&quot;/&gt;&lt;wsp:rsid wsp:val=&quot;03920A67&quot;/&gt;&lt;wsp:rsid wsp:val=&quot;03920A7C&quot;/&gt;&lt;wsp:rsid wsp:val=&quot;0394702E&quot;/&gt;&lt;wsp:rsid wsp:val=&quot;0397607D&quot;/&gt;&lt;wsp:rsid wsp:val=&quot;039842CF&quot;/&gt;&lt;wsp:rsid wsp:val=&quot;039A7DB6&quot;/&gt;&lt;wsp:rsid wsp:val=&quot;039B0BCA&quot;/&gt;&lt;wsp:rsid wsp:val=&quot;039B3DC0&quot;/&gt;&lt;wsp:rsid wsp:val=&quot;039C57C0&quot;/&gt;&lt;wsp:rsid wsp:val=&quot;039E565E&quot;/&gt;&lt;wsp:rsid wsp:val=&quot;039F4B0C&quot;/&gt;&lt;wsp:rsid wsp:val=&quot;03A013D6&quot;/&gt;&lt;wsp:rsid wsp:val=&quot;03A038B1&quot;/&gt;&lt;wsp:rsid wsp:val=&quot;03A223FB&quot;/&gt;&lt;wsp:rsid wsp:val=&quot;03A2514E&quot;/&gt;&lt;wsp:rsid wsp:val=&quot;03A32C74&quot;/&gt;&lt;wsp:rsid wsp:val=&quot;03A367D0&quot;/&gt;&lt;wsp:rsid wsp:val=&quot;03A52548&quot;/&gt;&lt;wsp:rsid wsp:val=&quot;03A56CF2&quot;/&gt;&lt;wsp:rsid wsp:val=&quot;03A64B7B&quot;/&gt;&lt;wsp:rsid wsp:val=&quot;03A66872&quot;/&gt;&lt;wsp:rsid wsp:val=&quot;03A72764&quot;/&gt;&lt;wsp:rsid wsp:val=&quot;03A74512&quot;/&gt;&lt;wsp:rsid wsp:val=&quot;03A964DC&quot;/&gt;&lt;wsp:rsid wsp:val=&quot;03AA5DB1&quot;/&gt;&lt;wsp:rsid wsp:val=&quot;03AC1B29&quot;/&gt;&lt;wsp:rsid wsp:val=&quot;03AE3AF3&quot;/&gt;&lt;wsp:rsid wsp:val=&quot;03B00259&quot;/&gt;&lt;wsp:rsid wsp:val=&quot;03B10EED&quot;/&gt;&lt;wsp:rsid wsp:val=&quot;03B24C65&quot;/&gt;&lt;wsp:rsid wsp:val=&quot;03B60333&quot;/&gt;&lt;wsp:rsid wsp:val=&quot;03B629A7&quot;/&gt;&lt;wsp:rsid wsp:val=&quot;03B92498&quot;/&gt;&lt;wsp:rsid wsp:val=&quot;03B946F4&quot;/&gt;&lt;wsp:rsid wsp:val=&quot;03BB7FBE&quot;/&gt;&lt;wsp:rsid wsp:val=&quot;03BC7892&quot;/&gt;&lt;wsp:rsid wsp:val=&quot;03BD5AE4&quot;/&gt;&lt;wsp:rsid wsp:val=&quot;03BD623A&quot;/&gt;&lt;wsp:rsid wsp:val=&quot;03BE185C&quot;/&gt;&lt;wsp:rsid wsp:val=&quot;03BE360A&quot;/&gt;&lt;wsp:rsid wsp:val=&quot;03BE7AAE&quot;/&gt;&lt;wsp:rsid wsp:val=&quot;03C2134C&quot;/&gt;&lt;wsp:rsid wsp:val=&quot;03C350C4&quot;/&gt;&lt;wsp:rsid wsp:val=&quot;03C52BEB&quot;/&gt;&lt;wsp:rsid wsp:val=&quot;03C74BB5&quot;/&gt;&lt;wsp:rsid wsp:val=&quot;03C84489&quot;/&gt;&lt;wsp:rsid wsp:val=&quot;03C926DB&quot;/&gt;&lt;wsp:rsid wsp:val=&quot;03CA0201&quot;/&gt;&lt;wsp:rsid wsp:val=&quot;03CA6453&quot;/&gt;&lt;wsp:rsid wsp:val=&quot;03CC5D27&quot;/&gt;&lt;wsp:rsid wsp:val=&quot;03CD1A9F&quot;/&gt;&lt;wsp:rsid wsp:val=&quot;03CD57E0&quot;/&gt;&lt;wsp:rsid wsp:val=&quot;03CE5A7E&quot;/&gt;&lt;wsp:rsid wsp:val=&quot;03CF5817&quot;/&gt;&lt;wsp:rsid wsp:val=&quot;03D1333D&quot;/&gt;&lt;wsp:rsid wsp:val=&quot;03D26A21&quot;/&gt;&lt;wsp:rsid wsp:val=&quot;03D270B5&quot;/&gt;&lt;wsp:rsid wsp:val=&quot;03D41080&quot;/&gt;&lt;wsp:rsid wsp:val=&quot;03D66BA6&quot;/&gt;&lt;wsp:rsid wsp:val=&quot;03D8291E&quot;/&gt;&lt;wsp:rsid wsp:val=&quot;03D90444&quot;/&gt;&lt;wsp:rsid wsp:val=&quot;03DB240E&quot;/&gt;&lt;wsp:rsid wsp:val=&quot;03DE5A5A&quot;/&gt;&lt;wsp:rsid wsp:val=&quot;03DF158C&quot;/&gt;&lt;wsp:rsid wsp:val=&quot;03E11322&quot;/&gt;&lt;wsp:rsid wsp:val=&quot;03E270E6&quot;/&gt;&lt;wsp:rsid wsp:val=&quot;03E272F9&quot;/&gt;&lt;wsp:rsid wsp:val=&quot;03E33071&quot;/&gt;&lt;wsp:rsid wsp:val=&quot;03E47515&quot;/&gt;&lt;wsp:rsid wsp:val=&quot;03E5328D&quot;/&gt;&lt;wsp:rsid wsp:val=&quot;03E868D9&quot;/&gt;&lt;wsp:rsid wsp:val=&quot;03E94B2B&quot;/&gt;&lt;wsp:rsid wsp:val=&quot;03EA2651&quot;/&gt;&lt;wsp:rsid wsp:val=&quot;03EA7B21&quot;/&gt;&lt;wsp:rsid wsp:val=&quot;03EB521C&quot;/&gt;&lt;wsp:rsid wsp:val=&quot;03EC461B&quot;/&gt;&lt;wsp:rsid wsp:val=&quot;03EE2141&quot;/&gt;&lt;wsp:rsid wsp:val=&quot;03EF5EB9&quot;/&gt;&lt;wsp:rsid wsp:val=&quot;03EF7C67&quot;/&gt;&lt;wsp:rsid wsp:val=&quot;03F10E17&quot;/&gt;&lt;wsp:rsid wsp:val=&quot;03F112DB&quot;/&gt;&lt;wsp:rsid wsp:val=&quot;03F222A7&quot;/&gt;&lt;wsp:rsid wsp:val=&quot;03F359AA&quot;/&gt;&lt;wsp:rsid wsp:val=&quot;03F40ED9&quot;/&gt;&lt;wsp:rsid wsp:val=&quot;03F60FF6&quot;/&gt;&lt;wsp:rsid wsp:val=&quot;03F82FC0&quot;/&gt;&lt;wsp:rsid wsp:val=&quot;03F86B1C&quot;/&gt;&lt;wsp:rsid wsp:val=&quot;03FC7842&quot;/&gt;&lt;wsp:rsid wsp:val=&quot;03FF3CD8&quot;/&gt;&lt;wsp:rsid wsp:val=&quot;040000C7&quot;/&gt;&lt;wsp:rsid wsp:val=&quot;04001E75&quot;/&gt;&lt;wsp:rsid wsp:val=&quot;040451F1&quot;/&gt;&lt;wsp:rsid wsp:val=&quot;04047518&quot;/&gt;&lt;wsp:rsid wsp:val=&quot;04051239&quot;/&gt;&lt;wsp:rsid wsp:val=&quot;040532EE&quot;/&gt;&lt;wsp:rsid wsp:val=&quot;040556DD&quot;/&gt;&lt;wsp:rsid wsp:val=&quot;040700BF&quot;/&gt;&lt;wsp:rsid wsp:val=&quot;04073203&quot;/&gt;&lt;wsp:rsid wsp:val=&quot;04074FB1&quot;/&gt;&lt;wsp:rsid wsp:val=&quot;04082329&quot;/&gt;&lt;wsp:rsid wsp:val=&quot;04082AD7&quot;/&gt;&lt;wsp:rsid wsp:val=&quot;04096F7B&quot;/&gt;&lt;wsp:rsid wsp:val=&quot;040A4AA1&quot;/&gt;&lt;wsp:rsid wsp:val=&quot;040A684F&quot;/&gt;&lt;wsp:rsid wsp:val=&quot;040A7970&quot;/&gt;&lt;wsp:rsid wsp:val=&quot;040C49EA&quot;/&gt;&lt;wsp:rsid wsp:val=&quot;040C6A6B&quot;/&gt;&lt;wsp:rsid wsp:val=&quot;040D00EE&quot;/&gt;&lt;wsp:rsid wsp:val=&quot;040D4E97&quot;/&gt;&lt;wsp:rsid wsp:val=&quot;040E2F10&quot;/&gt;&lt;wsp:rsid wsp:val=&quot;040E6340&quot;/&gt;&lt;wsp:rsid wsp:val=&quot;040F20B8&quot;/&gt;&lt;wsp:rsid wsp:val=&quot;04106F71&quot;/&gt;&lt;wsp:rsid wsp:val=&quot;041476CE&quot;/&gt;&lt;wsp:rsid wsp:val=&quot;041845DB&quot;/&gt;&lt;wsp:rsid wsp:val=&quot;04186B93&quot;/&gt;&lt;wsp:rsid wsp:val=&quot;04194CE4&quot;/&gt;&lt;wsp:rsid wsp:val=&quot;041A2F36&quot;/&gt;&lt;wsp:rsid wsp:val=&quot;041D1579&quot;/&gt;&lt;wsp:rsid wsp:val=&quot;041F679F&quot;/&gt;&lt;wsp:rsid wsp:val=&quot;042042C5&quot;/&gt;&lt;wsp:rsid wsp:val=&quot;04233CA6&quot;/&gt;&lt;wsp:rsid wsp:val=&quot;04242D62&quot;/&gt;&lt;wsp:rsid wsp:val=&quot;042434D3&quot;/&gt;&lt;wsp:rsid wsp:val=&quot;04245B63&quot;/&gt;&lt;wsp:rsid wsp:val=&quot;04247911&quot;/&gt;&lt;wsp:rsid wsp:val=&quot;04267B2D&quot;/&gt;&lt;wsp:rsid wsp:val=&quot;042711AF&quot;/&gt;&lt;wsp:rsid wsp:val=&quot;04272627&quot;/&gt;&lt;wsp:rsid wsp:val=&quot;04277401&quot;/&gt;&lt;wsp:rsid wsp:val=&quot;042913CB&quot;/&gt;&lt;wsp:rsid wsp:val=&quot;04292471&quot;/&gt;&lt;wsp:rsid wsp:val=&quot;042A0CA0&quot;/&gt;&lt;wsp:rsid wsp:val=&quot;042C4A18&quot;/&gt;&lt;wsp:rsid wsp:val=&quot;042C6499&quot;/&gt;&lt;wsp:rsid wsp:val=&quot;042E0790&quot;/&gt;&lt;wsp:rsid wsp:val=&quot;042E24FA&quot;/&gt;&lt;wsp:rsid wsp:val=&quot;042E69E2&quot;/&gt;&lt;wsp:rsid wsp:val=&quot;0430275A&quot;/&gt;&lt;wsp:rsid wsp:val=&quot;04310280&quot;/&gt;&lt;wsp:rsid wsp:val=&quot;04312C14&quot;/&gt;&lt;wsp:rsid wsp:val=&quot;04314F03&quot;/&gt;&lt;wsp:rsid wsp:val=&quot;043162AA&quot;/&gt;&lt;wsp:rsid wsp:val=&quot;04351B1E&quot;/&gt;&lt;wsp:rsid wsp:val=&quot;04352BE0&quot;/&gt;&lt;wsp:rsid wsp:val=&quot;043537B8&quot;/&gt;&lt;wsp:rsid wsp:val=&quot;043579D8&quot;/&gt;&lt;wsp:rsid wsp:val=&quot;04363AE8&quot;/&gt;&lt;wsp:rsid wsp:val=&quot;04365896&quot;/&gt;&lt;wsp:rsid wsp:val=&quot;043867EE&quot;/&gt;&lt;wsp:rsid wsp:val=&quot;043D484D&quot;/&gt;&lt;wsp:rsid wsp:val=&quot;043D6C25&quot;/&gt;&lt;wsp:rsid wsp:val=&quot;043F299D&quot;/&gt;&lt;wsp:rsid wsp:val=&quot;044004C3&quot;/&gt;&lt;wsp:rsid wsp:val=&quot;04402271&quot;/&gt;&lt;wsp:rsid wsp:val=&quot;0440490F&quot;/&gt;&lt;wsp:rsid wsp:val=&quot;04421C84&quot;/&gt;&lt;wsp:rsid wsp:val=&quot;04422150&quot;/&gt;&lt;wsp:rsid wsp:val=&quot;0442423B&quot;/&gt;&lt;wsp:rsid wsp:val=&quot;04441D61&quot;/&gt;&lt;wsp:rsid wsp:val=&quot;044628F3&quot;/&gt;&lt;wsp:rsid wsp:val=&quot;04471852&quot;/&gt;&lt;wsp:rsid wsp:val=&quot;044730A1&quot;/&gt;&lt;wsp:rsid wsp:val=&quot;04477AA3&quot;/&gt;&lt;wsp:rsid wsp:val=&quot;04497378&quot;/&gt;&lt;wsp:rsid wsp:val=&quot;044A0592&quot;/&gt;&lt;wsp:rsid wsp:val=&quot;044B7594&quot;/&gt;&lt;wsp:rsid wsp:val=&quot;044C6E68&quot;/&gt;&lt;wsp:rsid wsp:val=&quot;04502B0E&quot;/&gt;&lt;wsp:rsid wsp:val=&quot;045301F6&quot;/&gt;&lt;wsp:rsid wsp:val=&quot;04531FA4&quot;/&gt;&lt;wsp:rsid wsp:val=&quot;04536448&quot;/&gt;&lt;wsp:rsid wsp:val=&quot;04545D1C&quot;/&gt;&lt;wsp:rsid wsp:val=&quot;04553F6E&quot;/&gt;&lt;wsp:rsid wsp:val=&quot;045556A5&quot;/&gt;&lt;wsp:rsid wsp:val=&quot;04567CE7&quot;/&gt;&lt;wsp:rsid wsp:val=&quot;04581455&quot;/&gt;&lt;wsp:rsid wsp:val=&quot;04594577&quot;/&gt;&lt;wsp:rsid wsp:val=&quot;045A22A5&quot;/&gt;&lt;wsp:rsid wsp:val=&quot;045A6946&quot;/&gt;&lt;wsp:rsid wsp:val=&quot;045F303F&quot;/&gt;&lt;wsp:rsid wsp:val=&quot;045F4DED&quot;/&gt;&lt;wsp:rsid wsp:val=&quot;045F58FA&quot;/&gt;&lt;wsp:rsid wsp:val=&quot;04603ACA&quot;/&gt;&lt;wsp:rsid wsp:val=&quot;046046C1&quot;/&gt;&lt;wsp:rsid wsp:val=&quot;046250D8&quot;/&gt;&lt;wsp:rsid wsp:val=&quot;04644636&quot;/&gt;&lt;wsp:rsid wsp:val=&quot;04662722&quot;/&gt;&lt;wsp:rsid wsp:val=&quot;0466617C&quot;/&gt;&lt;wsp:rsid wsp:val=&quot;04671EF4&quot;/&gt;&lt;wsp:rsid wsp:val=&quot;04673E53&quot;/&gt;&lt;wsp:rsid wsp:val=&quot;04675A50&quot;/&gt;&lt;wsp:rsid wsp:val=&quot;04695C6C&quot;/&gt;&lt;wsp:rsid wsp:val=&quot;046B5355&quot;/&gt;&lt;wsp:rsid wsp:val=&quot;046C3066&quot;/&gt;&lt;wsp:rsid wsp:val=&quot;046E5030&quot;/&gt;&lt;wsp:rsid wsp:val=&quot;046E6DDE&quot;/&gt;&lt;wsp:rsid wsp:val=&quot;04700DA8&quot;/&gt;&lt;wsp:rsid wsp:val=&quot;04702B56&quot;/&gt;&lt;wsp:rsid wsp:val=&quot;04705B1D&quot;/&gt;&lt;wsp:rsid wsp:val=&quot;04706FFA&quot;/&gt;&lt;wsp:rsid wsp:val=&quot;04714B20&quot;/&gt;&lt;wsp:rsid wsp:val=&quot;0472733C&quot;/&gt;&lt;wsp:rsid wsp:val=&quot;04730898&quot;/&gt;&lt;wsp:rsid wsp:val=&quot;047420BE&quot;/&gt;&lt;wsp:rsid wsp:val=&quot;0474497E&quot;/&gt;&lt;wsp:rsid wsp:val=&quot;04785FF9&quot;/&gt;&lt;wsp:rsid wsp:val=&quot;04793F05&quot;/&gt;&lt;wsp:rsid wsp:val=&quot;047955F4&quot;/&gt;&lt;wsp:rsid wsp:val=&quot;047A1C27&quot;/&gt;&lt;wsp:rsid wsp:val=&quot;047A39D5&quot;/&gt;&lt;wsp:rsid wsp:val=&quot;047B1417&quot;/&gt;&lt;wsp:rsid wsp:val=&quot;047E26A8&quot;/&gt;&lt;wsp:rsid wsp:val=&quot;047F2D99&quot;/&gt;&lt;wsp:rsid wsp:val=&quot;047F723D&quot;/&gt;&lt;wsp:rsid wsp:val=&quot;048031B8&quot;/&gt;&lt;wsp:rsid wsp:val=&quot;04806B11&quot;/&gt;&lt;wsp:rsid wsp:val=&quot;04812FB5&quot;/&gt;&lt;wsp:rsid wsp:val=&quot;04814D63&quot;/&gt;&lt;wsp:rsid wsp:val=&quot;04842AA6&quot;/&gt;&lt;wsp:rsid wsp:val=&quot;04854128&quot;/&gt;&lt;wsp:rsid wsp:val=&quot;048605CC&quot;/&gt;&lt;wsp:rsid wsp:val=&quot;04877EA0&quot;/&gt;&lt;wsp:rsid wsp:val=&quot;048900BC&quot;/&gt;&lt;wsp:rsid wsp:val=&quot;04891E6A&quot;/&gt;&lt;wsp:rsid wsp:val=&quot;04892E54&quot;/&gt;&lt;wsp:rsid wsp:val=&quot;048B3E34&quot;/&gt;&lt;wsp:rsid wsp:val=&quot;048B7990&quot;/&gt;&lt;wsp:rsid wsp:val=&quot;048E122E&quot;/&gt;&lt;wsp:rsid wsp:val=&quot;04904FA7&quot;/&gt;&lt;wsp:rsid wsp:val=&quot;04947F67&quot;/&gt;&lt;wsp:rsid wsp:val=&quot;0495080F&quot;/&gt;&lt;wsp:rsid wsp:val=&quot;049525BD&quot;/&gt;&lt;wsp:rsid wsp:val=&quot;04956A61&quot;/&gt;&lt;wsp:rsid wsp:val=&quot;04974587&quot;/&gt;&lt;wsp:rsid wsp:val=&quot;049802FF&quot;/&gt;&lt;wsp:rsid wsp:val=&quot;049A7BD3&quot;/&gt;&lt;wsp:rsid wsp:val=&quot;049C1B9D&quot;/&gt;&lt;wsp:rsid wsp:val=&quot;049F168E&quot;/&gt;&lt;wsp:rsid wsp:val=&quot;049F343C&quot;/&gt;&lt;wsp:rsid wsp:val=&quot;049F37E8&quot;/&gt;&lt;wsp:rsid wsp:val=&quot;04A10F62&quot;/&gt;&lt;wsp:rsid wsp:val=&quot;04A15406&quot;/&gt;&lt;wsp:rsid wsp:val=&quot;04A2256B&quot;/&gt;&lt;wsp:rsid wsp:val=&quot;04A3117E&quot;/&gt;&lt;wsp:rsid wsp:val=&quot;04A86794&quot;/&gt;&lt;wsp:rsid wsp:val=&quot;04A937D5&quot;/&gt;&lt;wsp:rsid wsp:val=&quot;04A96068&quot;/&gt;&lt;wsp:rsid wsp:val=&quot;04A9786D&quot;/&gt;&lt;wsp:rsid wsp:val=&quot;04AB1DE0&quot;/&gt;&lt;wsp:rsid wsp:val=&quot;04AB3B8E&quot;/&gt;&lt;wsp:rsid wsp:val=&quot;04AC0C48&quot;/&gt;&lt;wsp:rsid wsp:val=&quot;04AD3DAA&quot;/&gt;&lt;wsp:rsid wsp:val=&quot;04AE18D1&quot;/&gt;&lt;wsp:rsid wsp:val=&quot;04AE367F&quot;/&gt;&lt;wsp:rsid wsp:val=&quot;04AE7B23&quot;/&gt;&lt;wsp:rsid wsp:val=&quot;04B073F7&quot;/&gt;&lt;wsp:rsid wsp:val=&quot;04B213C1&quot;/&gt;&lt;wsp:rsid wsp:val=&quot;04B22060&quot;/&gt;&lt;wsp:rsid wsp:val=&quot;04B2316F&quot;/&gt;&lt;wsp:rsid wsp:val=&quot;04B25DED&quot;/&gt;&lt;wsp:rsid wsp:val=&quot;04B47551&quot;/&gt;&lt;wsp:rsid wsp:val=&quot;04B50EB1&quot;/&gt;&lt;wsp:rsid wsp:val=&quot;04B70785&quot;/&gt;&lt;wsp:rsid wsp:val=&quot;04B74C29&quot;/&gt;&lt;wsp:rsid wsp:val=&quot;04B8274F&quot;/&gt;&lt;wsp:rsid wsp:val=&quot;04B82D60&quot;/&gt;&lt;wsp:rsid wsp:val=&quot;04B844FD&quot;/&gt;&lt;wsp:rsid wsp:val=&quot;04BD1B14&quot;/&gt;&lt;wsp:rsid wsp:val=&quot;04BE31D4&quot;/&gt;&lt;wsp:rsid wsp:val=&quot;04C063C5&quot;/&gt;&lt;wsp:rsid wsp:val=&quot;04C11604&quot;/&gt;&lt;wsp:rsid wsp:val=&quot;04C46318&quot;/&gt;&lt;wsp:rsid wsp:val=&quot;04C74F24&quot;/&gt;&lt;wsp:rsid wsp:val=&quot;04C80BE4&quot;/&gt;&lt;wsp:rsid wsp:val=&quot;04C95D42&quot;/&gt;&lt;wsp:rsid wsp:val=&quot;04CB2483&quot;/&gt;&lt;wsp:rsid wsp:val=&quot;04CE5ACF&quot;/&gt;&lt;wsp:rsid wsp:val=&quot;04D035F5&quot;/&gt;&lt;wsp:rsid wsp:val=&quot;04D04690&quot;/&gt;&lt;wsp:rsid wsp:val=&quot;04D06D2A&quot;/&gt;&lt;wsp:rsid wsp:val=&quot;04D23811&quot;/&gt;&lt;wsp:rsid wsp:val=&quot;04D255BF&quot;/&gt;&lt;wsp:rsid wsp:val=&quot;04D27F09&quot;/&gt;&lt;wsp:rsid wsp:val=&quot;04D31337&quot;/&gt;&lt;wsp:rsid wsp:val=&quot;04D33D38&quot;/&gt;&lt;wsp:rsid wsp:val=&quot;04D70E27&quot;/&gt;&lt;wsp:rsid wsp:val=&quot;04D87ADD&quot;/&gt;&lt;wsp:rsid wsp:val=&quot;04D921AC&quot;/&gt;&lt;wsp:rsid wsp:val=&quot;04DA26C6&quot;/&gt;&lt;wsp:rsid wsp:val=&quot;04DC643E&quot;/&gt;&lt;wsp:rsid wsp:val=&quot;04E11CA6&quot;/&gt;&lt;wsp:rsid wsp:val=&quot;04E13A54&quot;/&gt;&lt;wsp:rsid wsp:val=&quot;04E15802&quot;/&gt;&lt;wsp:rsid wsp:val=&quot;04E23328&quot;/&gt;&lt;wsp:rsid wsp:val=&quot;04E470A0&quot;/&gt;&lt;wsp:rsid wsp:val=&quot;04E569E0&quot;/&gt;&lt;wsp:rsid wsp:val=&quot;04E807D8&quot;/&gt;&lt;wsp:rsid wsp:val=&quot;04E86B91&quot;/&gt;&lt;wsp:rsid wsp:val=&quot;04ED014B&quot;/&gt;&lt;wsp:rsid wsp:val=&quot;04ED064B&quot;/&gt;&lt;wsp:rsid wsp:val=&quot;04ED23F9&quot;/&gt;&lt;wsp:rsid wsp:val=&quot;04ED41A7&quot;/&gt;&lt;wsp:rsid wsp:val=&quot;04EE6171&quot;/&gt;&lt;wsp:rsid wsp:val=&quot;04F03A34&quot;/&gt;&lt;wsp:rsid wsp:val=&quot;04F217BD&quot;/&gt;&lt;wsp:rsid wsp:val=&quot;04F25C61&quot;/&gt;&lt;wsp:rsid wsp:val=&quot;04F27A0F&quot;/&gt;&lt;wsp:rsid wsp:val=&quot;04F33787&quot;/&gt;&lt;wsp:rsid wsp:val=&quot;04F5472C&quot;/&gt;&lt;wsp:rsid wsp:val=&quot;04F55751&quot;/&gt;&lt;wsp:rsid wsp:val=&quot;04F95C85&quot;/&gt;&lt;wsp:rsid wsp:val=&quot;04FC088E&quot;/&gt;&lt;wsp:rsid wsp:val=&quot;04FC263C&quot;/&gt;&lt;wsp:rsid wsp:val=&quot;04FC359C&quot;/&gt;&lt;wsp:rsid wsp:val=&quot;04FF037E&quot;/&gt;&lt;wsp:rsid wsp:val=&quot;04FF7EFB&quot;/&gt;&lt;wsp:rsid wsp:val=&quot;05025778&quot;/&gt;&lt;wsp:rsid wsp:val=&quot;05033049&quot;/&gt;&lt;wsp:rsid wsp:val=&quot;0504615D&quot;/&gt;&lt;wsp:rsid wsp:val=&quot;05087233&quot;/&gt;&lt;wsp:rsid wsp:val=&quot;050938AE&quot;/&gt;&lt;wsp:rsid wsp:val=&quot;0509577A&quot;/&gt;&lt;wsp:rsid wsp:val=&quot;05096B07&quot;/&gt;&lt;wsp:rsid wsp:val=&quot;050977E4&quot;/&gt;&lt;wsp:rsid wsp:val=&quot;050B6D23&quot;/&gt;&lt;wsp:rsid wsp:val=&quot;050D4849&quot;/&gt;&lt;wsp:rsid wsp:val=&quot;050F15EC&quot;/&gt;&lt;wsp:rsid wsp:val=&quot;0510425D&quot;/&gt;&lt;wsp:rsid wsp:val=&quot;05113F0C&quot;/&gt;&lt;wsp:rsid wsp:val=&quot;05114226&quot;/&gt;&lt;wsp:rsid wsp:val=&quot;05127B50&quot;/&gt;&lt;wsp:rsid wsp:val=&quot;051339FC&quot;/&gt;&lt;wsp:rsid wsp:val=&quot;05143E2A&quot;/&gt;&lt;wsp:rsid wsp:val=&quot;05143FCE&quot;/&gt;&lt;wsp:rsid wsp:val=&quot;05145BD8&quot;/&gt;&lt;wsp:rsid wsp:val=&quot;051536FE&quot;/&gt;&lt;wsp:rsid wsp:val=&quot;05157BA2&quot;/&gt;&lt;wsp:rsid wsp:val=&quot;0518120E&quot;/&gt;&lt;wsp:rsid wsp:val=&quot;0519526F&quot;/&gt;&lt;wsp:rsid wsp:val=&quot;051A6F66&quot;/&gt;&lt;wsp:rsid wsp:val=&quot;051B5485&quot;/&gt;&lt;wsp:rsid wsp:val=&quot;051E5080&quot;/&gt;&lt;wsp:rsid wsp:val=&quot;052027CE&quot;/&gt;&lt;wsp:rsid wsp:val=&quot;052102F4&quot;/&gt;&lt;wsp:rsid wsp:val=&quot;052136C5&quot;/&gt;&lt;wsp:rsid wsp:val=&quot;0523012E&quot;/&gt;&lt;wsp:rsid wsp:val=&quot;0523406D&quot;/&gt;&lt;wsp:rsid wsp:val=&quot;05237BC9&quot;/&gt;&lt;wsp:rsid wsp:val=&quot;052A1D5E&quot;/&gt;&lt;wsp:rsid wsp:val=&quot;052D0A47&quot;/&gt;&lt;wsp:rsid wsp:val=&quot;052E656D&quot;/&gt;&lt;wsp:rsid wsp:val=&quot;053022E6&quot;/&gt;&lt;wsp:rsid wsp:val=&quot;0530678A&quot;/&gt;&lt;wsp:rsid wsp:val=&quot;05340028&quot;/&gt;&lt;wsp:rsid wsp:val=&quot;05341DD6&quot;/&gt;&lt;wsp:rsid wsp:val=&quot;053425C2&quot;/&gt;&lt;wsp:rsid wsp:val=&quot;0534627A&quot;/&gt;&lt;wsp:rsid wsp:val=&quot;05353DA0&quot;/&gt;&lt;wsp:rsid wsp:val=&quot;05355B4E&quot;/&gt;&lt;wsp:rsid wsp:val=&quot;053578FC&quot;/&gt;&lt;wsp:rsid wsp:val=&quot;05364797&quot;/&gt;&lt;wsp:rsid wsp:val=&quot;05377B18&quot;/&gt;&lt;wsp:rsid wsp:val=&quot;053973EC&quot;/&gt;&lt;wsp:rsid wsp:val=&quot;053A3164&quot;/&gt;&lt;wsp:rsid wsp:val=&quot;053B422B&quot;/&gt;&lt;wsp:rsid wsp:val=&quot;053C512E&quot;/&gt;&lt;wsp:rsid wsp:val=&quot;053E0EA6&quot;/&gt;&lt;wsp:rsid wsp:val=&quot;054335EC&quot;/&gt;&lt;wsp:rsid wsp:val=&quot;05445D91&quot;/&gt;&lt;wsp:rsid wsp:val=&quot;0546428C&quot;/&gt;&lt;wsp:rsid wsp:val=&quot;05465CDE&quot;/&gt;&lt;wsp:rsid wsp:val=&quot;05483AD3&quot;/&gt;&lt;wsp:rsid wsp:val=&quot;05485881&quot;/&gt;&lt;wsp:rsid wsp:val=&quot;05492C0D&quot;/&gt;&lt;wsp:rsid wsp:val=&quot;054B6C6E&quot;/&gt;&lt;wsp:rsid wsp:val=&quot;054D2E98&quot;/&gt;&lt;wsp:rsid wsp:val=&quot;054D733B&quot;/&gt;&lt;wsp:rsid wsp:val=&quot;054E6641&quot;/&gt;&lt;wsp:rsid wsp:val=&quot;054F6C10&quot;/&gt;&lt;wsp:rsid wsp:val=&quot;05500BDA&quot;/&gt;&lt;wsp:rsid wsp:val=&quot;055224BF&quot;/&gt;&lt;wsp:rsid wsp:val=&quot;05557F9E&quot;/&gt;&lt;wsp:rsid wsp:val=&quot;05573D16&quot;/&gt;&lt;wsp:rsid wsp:val=&quot;05575AC4&quot;/&gt;&lt;wsp:rsid wsp:val=&quot;055A55B4&quot;/&gt;&lt;wsp:rsid wsp:val=&quot;055F2BCB&quot;/&gt;&lt;wsp:rsid wsp:val=&quot;05616943&quot;/&gt;&lt;wsp:rsid wsp:val=&quot;05626134&quot;/&gt;&lt;wsp:rsid wsp:val=&quot;056273E3&quot;/&gt;&lt;wsp:rsid wsp:val=&quot;0563090D&quot;/&gt;&lt;wsp:rsid wsp:val=&quot;056326BB&quot;/&gt;&lt;wsp:rsid wsp:val=&quot;05654DFE&quot;/&gt;&lt;wsp:rsid wsp:val=&quot;056621AB&quot;/&gt;&lt;wsp:rsid wsp:val=&quot;05665D07&quot;/&gt;&lt;wsp:rsid wsp:val=&quot;05681A7F&quot;/&gt;&lt;wsp:rsid wsp:val=&quot;05687CD1&quot;/&gt;&lt;wsp:rsid wsp:val=&quot;056A6836&quot;/&gt;&lt;wsp:rsid wsp:val=&quot;056B1570&quot;/&gt;&lt;wsp:rsid wsp:val=&quot;056D353A&quot;/&gt;&lt;wsp:rsid wsp:val=&quot;056F1060&quot;/&gt;&lt;wsp:rsid wsp:val=&quot;05704DD8&quot;/&gt;&lt;wsp:rsid wsp:val=&quot;05706B86&quot;/&gt;&lt;wsp:rsid wsp:val=&quot;0571302A&quot;/&gt;&lt;wsp:rsid wsp:val=&quot;05720B50&quot;/&gt;&lt;wsp:rsid wsp:val=&quot;05726DA2&quot;/&gt;&lt;wsp:rsid wsp:val=&quot;057448C8&quot;/&gt;&lt;wsp:rsid wsp:val=&quot;05777F14&quot;/&gt;&lt;wsp:rsid wsp:val=&quot;05785C8A&quot;/&gt;&lt;wsp:rsid wsp:val=&quot;057905AA&quot;/&gt;&lt;wsp:rsid wsp:val=&quot;057A317B&quot;/&gt;&lt;wsp:rsid wsp:val=&quot;057C552B&quot;/&gt;&lt;wsp:rsid wsp:val=&quot;057D1AFC&quot;/&gt;&lt;wsp:rsid wsp:val=&quot;057E12A3&quot;/&gt;&lt;wsp:rsid wsp:val=&quot;058058AC&quot;/&gt;&lt;wsp:rsid wsp:val=&quot;05816D3C&quot;/&gt;&lt;wsp:rsid wsp:val=&quot;05816FE5&quot;/&gt;&lt;wsp:rsid wsp:val=&quot;05827C69&quot;/&gt;&lt;wsp:rsid wsp:val=&quot;05834B0B&quot;/&gt;&lt;wsp:rsid wsp:val=&quot;05850883&quot;/&gt;&lt;wsp:rsid wsp:val=&quot;05856AD5&quot;/&gt;&lt;wsp:rsid wsp:val=&quot;0586171E&quot;/&gt;&lt;wsp:rsid wsp:val=&quot;058755A7&quot;/&gt;&lt;wsp:rsid wsp:val=&quot;05882122&quot;/&gt;&lt;wsp:rsid wsp:val=&quot;05883ED0&quot;/&gt;&lt;wsp:rsid wsp:val=&quot;058A7C48&quot;/&gt;&lt;wsp:rsid wsp:val=&quot;058D7738&quot;/&gt;&lt;wsp:rsid wsp:val=&quot;058F1340&quot;/&gt;&lt;wsp:rsid wsp:val=&quot;058F34B0&quot;/&gt;&lt;wsp:rsid wsp:val=&quot;059053A1&quot;/&gt;&lt;wsp:rsid wsp:val=&quot;05921402&quot;/&gt;&lt;wsp:rsid wsp:val=&quot;05924D4E&quot;/&gt;&lt;wsp:rsid wsp:val=&quot;0592789B&quot;/&gt;&lt;wsp:rsid wsp:val=&quot;05946D18&quot;/&gt;&lt;wsp:rsid wsp:val=&quot;059565ED&quot;/&gt;&lt;wsp:rsid wsp:val=&quot;05960810&quot;/&gt;&lt;wsp:rsid wsp:val=&quot;0596483F&quot;/&gt;&lt;wsp:rsid wsp:val=&quot;0596560E&quot;/&gt;&lt;wsp:rsid wsp:val=&quot;059705B7&quot;/&gt;&lt;wsp:rsid wsp:val=&quot;05972365&quot;/&gt;&lt;wsp:rsid wsp:val=&quot;059B00A7&quot;/&gt;&lt;wsp:rsid wsp:val=&quot;059B275E&quot;/&gt;&lt;wsp:rsid wsp:val=&quot;059C797B&quot;/&gt;&lt;wsp:rsid wsp:val=&quot;059D002F&quot;/&gt;&lt;wsp:rsid wsp:val=&quot;059D1DD7&quot;/&gt;&lt;wsp:rsid wsp:val=&quot;059E36F3&quot;/&gt;&lt;wsp:rsid wsp:val=&quot;059E3A51&quot;/&gt;&lt;wsp:rsid wsp:val=&quot;059F689E&quot;/&gt;&lt;wsp:rsid wsp:val=&quot;05A14F91&quot;/&gt;&lt;wsp:rsid wsp:val=&quot;05A30C46&quot;/&gt;&lt;wsp:rsid wsp:val=&quot;05A36F5B&quot;/&gt;&lt;wsp:rsid wsp:val=&quot;05A47C83&quot;/&gt;&lt;wsp:rsid wsp:val=&quot;05A607FA&quot;/&gt;&lt;wsp:rsid wsp:val=&quot;05A84572&quot;/&gt;&lt;wsp:rsid wsp:val=&quot;05A86320&quot;/&gt;&lt;wsp:rsid wsp:val=&quot;05AA653C&quot;/&gt;&lt;wsp:rsid wsp:val=&quot;05AC22B4&quot;/&gt;&lt;wsp:rsid wsp:val=&quot;05AD1B88&quot;/&gt;&lt;wsp:rsid wsp:val=&quot;05B05EAE&quot;/&gt;&lt;wsp:rsid wsp:val=&quot;05B11678&quot;/&gt;&lt;wsp:rsid wsp:val=&quot;05B11BB0&quot;/&gt;&lt;wsp:rsid wsp:val=&quot;05B13426&quot;/&gt;&lt;wsp:rsid wsp:val=&quot;05B44CC5&quot;/&gt;&lt;wsp:rsid wsp:val=&quot;05B515C4&quot;/&gt;&lt;wsp:rsid wsp:val=&quot;05B72A07&quot;/&gt;&lt;wsp:rsid wsp:val=&quot;05B747B5&quot;/&gt;&lt;wsp:rsid wsp:val=&quot;05B80C59&quot;/&gt;&lt;wsp:rsid wsp:val=&quot;05BB42A5&quot;/&gt;&lt;wsp:rsid wsp:val=&quot;05BC1DCB&quot;/&gt;&lt;wsp:rsid wsp:val=&quot;05BE0308&quot;/&gt;&lt;wsp:rsid wsp:val=&quot;05BE5B43&quot;/&gt;&lt;wsp:rsid wsp:val=&quot;05C0366A&quot;/&gt;&lt;wsp:rsid wsp:val=&quot;05C05142&quot;/&gt;&lt;wsp:rsid wsp:val=&quot;05C173E2&quot;/&gt;&lt;wsp:rsid wsp:val=&quot;05C375FE&quot;/&gt;&lt;wsp:rsid wsp:val=&quot;05C50C80&quot;/&gt;&lt;wsp:rsid wsp:val=&quot;05C56ED2&quot;/&gt;&lt;wsp:rsid wsp:val=&quot;05C649F8&quot;/&gt;&lt;wsp:rsid wsp:val=&quot;05C84C14&quot;/&gt;&lt;wsp:rsid wsp:val=&quot;05CA273A&quot;/&gt;&lt;wsp:rsid wsp:val=&quot;05CB200E&quot;/&gt;&lt;wsp:rsid wsp:val=&quot;05CD3FD8&quot;/&gt;&lt;wsp:rsid wsp:val=&quot;05CD426B&quot;/&gt;&lt;wsp:rsid wsp:val=&quot;05CF7D50&quot;/&gt;&lt;wsp:rsid wsp:val=&quot;05D25154&quot;/&gt;&lt;wsp:rsid wsp:val=&quot;05D435B9&quot;/&gt;&lt;wsp:rsid wsp:val=&quot;05D610DF&quot;/&gt;&lt;wsp:rsid wsp:val=&quot;05D709B3&quot;/&gt;&lt;wsp:rsid wsp:val=&quot;05D76C05&quot;/&gt;&lt;wsp:rsid wsp:val=&quot;05D77B36&quot;/&gt;&lt;wsp:rsid wsp:val=&quot;05D830A9&quot;/&gt;&lt;wsp:rsid wsp:val=&quot;05D9297D&quot;/&gt;&lt;wsp:rsid wsp:val=&quot;05D95027&quot;/&gt;&lt;wsp:rsid wsp:val=&quot;05D97CE4&quot;/&gt;&lt;wsp:rsid wsp:val=&quot;05DA498B&quot;/&gt;&lt;wsp:rsid wsp:val=&quot;05DB4947&quot;/&gt;&lt;wsp:rsid wsp:val=&quot;05DC034A&quot;/&gt;&lt;wsp:rsid wsp:val=&quot;05DC421B&quot;/&gt;&lt;wsp:rsid wsp:val=&quot;05DE1D42&quot;/&gt;&lt;wsp:rsid wsp:val=&quot;05E02329&quot;/&gt;&lt;wsp:rsid wsp:val=&quot;05E03D0C&quot;/&gt;&lt;wsp:rsid wsp:val=&quot;05E25CD6&quot;/&gt;&lt;wsp:rsid wsp:val=&quot;05E27A84&quot;/&gt;&lt;wsp:rsid wsp:val=&quot;05E41A4E&quot;/&gt;&lt;wsp:rsid wsp:val=&quot;05E66D48&quot;/&gt;&lt;wsp:rsid wsp:val=&quot;05E7509A&quot;/&gt;&lt;wsp:rsid wsp:val=&quot;05E76E48&quot;/&gt;&lt;wsp:rsid wsp:val=&quot;05E82BC0&quot;/&gt;&lt;wsp:rsid wsp:val=&quot;05E8737A&quot;/&gt;&lt;wsp:rsid wsp:val=&quot;05EA2DDC&quot;/&gt;&lt;wsp:rsid wsp:val=&quot;05EB743C&quot;/&gt;&lt;wsp:rsid wsp:val=&quot;05EC0902&quot;/&gt;&lt;wsp:rsid wsp:val=&quot;05EC26B0&quot;/&gt;&lt;wsp:rsid wsp:val=&quot;05EC445F&quot;/&gt;&lt;wsp:rsid wsp:val=&quot;05EE467B&quot;/&gt;&lt;wsp:rsid wsp:val=&quot;05EF03F3&quot;/&gt;&lt;wsp:rsid wsp:val=&quot;05F05CF2&quot;/&gt;&lt;wsp:rsid wsp:val=&quot;05F11A75&quot;/&gt;&lt;wsp:rsid wsp:val=&quot;05F31C91&quot;/&gt;&lt;wsp:rsid wsp:val=&quot;05F477B7&quot;/&gt;&lt;wsp:rsid wsp:val=&quot;05F504EE&quot;/&gt;&lt;wsp:rsid wsp:val=&quot;05F607BC&quot;/&gt;&lt;wsp:rsid wsp:val=&quot;05F81055&quot;/&gt;&lt;wsp:rsid wsp:val=&quot;05F83EAE&quot;/&gt;&lt;wsp:rsid wsp:val=&quot;05F872A7&quot;/&gt;&lt;wsp:rsid wsp:val=&quot;05F96B7B&quot;/&gt;&lt;wsp:rsid wsp:val=&quot;05FA2ED0&quot;/&gt;&lt;wsp:rsid wsp:val=&quot;05FB0B46&quot;/&gt;&lt;wsp:rsid wsp:val=&quot;05FB6F31&quot;/&gt;&lt;wsp:rsid wsp:val=&quot;05FC6E82&quot;/&gt;&lt;wsp:rsid wsp:val=&quot;05FD3676&quot;/&gt;&lt;wsp:rsid wsp:val=&quot;05FE4192&quot;/&gt;&lt;wsp:rsid wsp:val=&quot;0600615C&quot;/&gt;&lt;wsp:rsid wsp:val=&quot;06007521&quot;/&gt;&lt;wsp:rsid wsp:val=&quot;06020126&quot;/&gt;&lt;wsp:rsid wsp:val=&quot;06027304&quot;/&gt;&lt;wsp:rsid wsp:val=&quot;060379FA&quot;/&gt;&lt;wsp:rsid wsp:val=&quot;06043E9E&quot;/&gt;&lt;wsp:rsid wsp:val=&quot;0605140F&quot;/&gt;&lt;wsp:rsid wsp:val=&quot;06055745&quot;/&gt;&lt;wsp:rsid wsp:val=&quot;060754D4&quot;/&gt;&lt;wsp:rsid wsp:val=&quot;060774EA&quot;/&gt;&lt;wsp:rsid wsp:val=&quot;060B3732&quot;/&gt;&lt;wsp:rsid wsp:val=&quot;060C4B01&quot;/&gt;&lt;wsp:rsid wsp:val=&quot;060D2627&quot;/&gt;&lt;wsp:rsid wsp:val=&quot;060E6ACB&quot;/&gt;&lt;wsp:rsid wsp:val=&quot;06103988&quot;/&gt;&lt;wsp:rsid wsp:val=&quot;06112117&quot;/&gt;&lt;wsp:rsid wsp:val=&quot;061619C4&quot;/&gt;&lt;wsp:rsid wsp:val=&quot;061922C9&quot;/&gt;&lt;wsp:rsid wsp:val=&quot;0619721E&quot;/&gt;&lt;wsp:rsid wsp:val=&quot;061B2F96&quot;/&gt;&lt;wsp:rsid wsp:val=&quot;061C6A69&quot;/&gt;&lt;wsp:rsid wsp:val=&quot;061E65E2&quot;/&gt;&lt;wsp:rsid wsp:val=&quot;0620235A&quot;/&gt;&lt;wsp:rsid wsp:val=&quot;06222576&quot;/&gt;&lt;wsp:rsid wsp:val=&quot;06225E41&quot;/&gt;&lt;wsp:rsid wsp:val=&quot;062260D2&quot;/&gt;&lt;wsp:rsid wsp:val=&quot;06242FF1&quot;/&gt;&lt;wsp:rsid wsp:val=&quot;06247AF7&quot;/&gt;&lt;wsp:rsid wsp:val=&quot;06250A5D&quot;/&gt;&lt;wsp:rsid wsp:val=&quot;06255BC2&quot;/&gt;&lt;wsp:rsid wsp:val=&quot;062655AD&quot;/&gt;&lt;wsp:rsid wsp:val=&quot;0627193B&quot;/&gt;&lt;wsp:rsid wsp:val=&quot;06277B8D&quot;/&gt;&lt;wsp:rsid wsp:val=&quot;062A142B&quot;/&gt;&lt;wsp:rsid wsp:val=&quot;062B48CF&quot;/&gt;&lt;wsp:rsid wsp:val=&quot;062C1FDF&quot;/&gt;&lt;wsp:rsid wsp:val=&quot;062C5DC4&quot;/&gt;&lt;wsp:rsid wsp:val=&quot;062E2CC9&quot;/&gt;&lt;wsp:rsid wsp:val=&quot;062F6A41&quot;/&gt;&lt;wsp:rsid wsp:val=&quot;063063B7&quot;/&gt;&lt;wsp:rsid wsp:val=&quot;06314567&quot;/&gt;&lt;wsp:rsid wsp:val=&quot;06336531&quot;/&gt;&lt;wsp:rsid wsp:val=&quot;06345E06&quot;/&gt;&lt;wsp:rsid wsp:val=&quot;0636392C&quot;/&gt;&lt;wsp:rsid wsp:val=&quot;06383B48&quot;/&gt;&lt;wsp:rsid wsp:val=&quot;0639166E&quot;/&gt;&lt;wsp:rsid wsp:val=&quot;0639341C&quot;/&gt;&lt;wsp:rsid wsp:val=&quot;063A2055&quot;/&gt;&lt;wsp:rsid wsp:val=&quot;063B3638&quot;/&gt;&lt;wsp:rsid wsp:val=&quot;063D2F0C&quot;/&gt;&lt;wsp:rsid wsp:val=&quot;063D4ADF&quot;/&gt;&lt;wsp:rsid wsp:val=&quot;063E7D85&quot;/&gt;&lt;wsp:rsid wsp:val=&quot;06420522&quot;/&gt;&lt;wsp:rsid wsp:val=&quot;064249C6&quot;/&gt;&lt;wsp:rsid wsp:val=&quot;06436049&quot;/&gt;&lt;wsp:rsid wsp:val=&quot;064424ED&quot;/&gt;&lt;wsp:rsid wsp:val=&quot;06466906&quot;/&gt;&lt;wsp:rsid wsp:val=&quot;0648365F&quot;/&gt;&lt;wsp:rsid wsp:val=&quot;064A5629&quot;/&gt;&lt;wsp:rsid wsp:val=&quot;064A72F9&quot;/&gt;&lt;wsp:rsid wsp:val=&quot;064A73D7&quot;/&gt;&lt;wsp:rsid wsp:val=&quot;064C13A1&quot;/&gt;&lt;wsp:rsid wsp:val=&quot;065026A6&quot;/&gt;&lt;wsp:rsid wsp:val=&quot;0650515A&quot;/&gt;&lt;wsp:rsid wsp:val=&quot;065344DE&quot;/&gt;&lt;wsp:rsid wsp:val=&quot;06565D7C&quot;/&gt;&lt;wsp:rsid wsp:val=&quot;0657245C&quot;/&gt;&lt;wsp:rsid wsp:val=&quot;06581AF4&quot;/&gt;&lt;wsp:rsid wsp:val=&quot;065B15E4&quot;/&gt;&lt;wsp:rsid wsp:val=&quot;065B7800&quot;/&gt;&lt;wsp:rsid wsp:val=&quot;065B7836&quot;/&gt;&lt;wsp:rsid wsp:val=&quot;065E2E82&quot;/&gt;&lt;wsp:rsid wsp:val=&quot;06604E4C&quot;/&gt;&lt;wsp:rsid wsp:val=&quot;06622973&quot;/&gt;&lt;wsp:rsid wsp:val=&quot;06624721&quot;/&gt;&lt;wsp:rsid wsp:val=&quot;066A1827&quot;/&gt;&lt;wsp:rsid wsp:val=&quot;066C559F&quot;/&gt;&lt;wsp:rsid wsp:val=&quot;066E30C6&quot;/&gt;&lt;wsp:rsid wsp:val=&quot;066E57BB&quot;/&gt;&lt;wsp:rsid wsp:val=&quot;066F6FA2&quot;/&gt;&lt;wsp:rsid wsp:val=&quot;06717BF5&quot;/&gt;&lt;wsp:rsid wsp:val=&quot;06743E9A&quot;/&gt;&lt;wsp:rsid wsp:val=&quot;067601CC&quot;/&gt;&lt;wsp:rsid wsp:val=&quot;067642A4&quot;/&gt;&lt;wsp:rsid wsp:val=&quot;06764670&quot;/&gt;&lt;wsp:rsid wsp:val=&quot;067716B0&quot;/&gt;&lt;wsp:rsid wsp:val=&quot;067803E8&quot;/&gt;&lt;wsp:rsid wsp:val=&quot;067A4160&quot;/&gt;&lt;wsp:rsid wsp:val=&quot;067A7CBC&quot;/&gt;&lt;wsp:rsid wsp:val=&quot;067B3A34&quot;/&gt;&lt;wsp:rsid wsp:val=&quot;067C0116&quot;/&gt;&lt;wsp:rsid wsp:val=&quot;067C1376&quot;/&gt;&lt;wsp:rsid wsp:val=&quot;067C3F20&quot;/&gt;&lt;wsp:rsid wsp:val=&quot;067D59FE&quot;/&gt;&lt;wsp:rsid wsp:val=&quot;067D77AC&quot;/&gt;&lt;wsp:rsid wsp:val=&quot;067E2910&quot;/&gt;&lt;wsp:rsid wsp:val=&quot;067F3525&quot;/&gt;&lt;wsp:rsid wsp:val=&quot;067F6A97&quot;/&gt;&lt;wsp:rsid wsp:val=&quot;06807F27&quot;/&gt;&lt;wsp:rsid wsp:val=&quot;068414E6&quot;/&gt;&lt;wsp:rsid wsp:val=&quot;06846D8D&quot;/&gt;&lt;wsp:rsid wsp:val=&quot;06856661&quot;/&gt;&lt;wsp:rsid wsp:val=&quot;06860D59&quot;/&gt;&lt;wsp:rsid wsp:val=&quot;06863D99&quot;/&gt;&lt;wsp:rsid wsp:val=&quot;068648B3&quot;/&gt;&lt;wsp:rsid wsp:val=&quot;0687062B&quot;/&gt;&lt;wsp:rsid wsp:val=&quot;068723D9&quot;/&gt;&lt;wsp:rsid wsp:val=&quot;06874187&quot;/&gt;&lt;wsp:rsid wsp:val=&quot;068943A3&quot;/&gt;&lt;wsp:rsid wsp:val=&quot;068A3169&quot;/&gt;&lt;wsp:rsid wsp:val=&quot;068A3C77&quot;/&gt;&lt;wsp:rsid wsp:val=&quot;068B011B&quot;/&gt;&lt;wsp:rsid wsp:val=&quot;068C109B&quot;/&gt;&lt;wsp:rsid wsp:val=&quot;068C5C42&quot;/&gt;&lt;wsp:rsid wsp:val=&quot;068C6DA8&quot;/&gt;&lt;wsp:rsid wsp:val=&quot;068E19BA&quot;/&gt;&lt;wsp:rsid wsp:val=&quot;068E3768&quot;/&gt;&lt;wsp:rsid wsp:val=&quot;068E5516&quot;/&gt;&lt;wsp:rsid wsp:val=&quot;068F29C4&quot;/&gt;&lt;wsp:rsid wsp:val=&quot;069006E6&quot;/&gt;&lt;wsp:rsid wsp:val=&quot;06905732&quot;/&gt;&lt;wsp:rsid wsp:val=&quot;06913258&quot;/&gt;&lt;wsp:rsid wsp:val=&quot;06913A7D&quot;/&gt;&lt;wsp:rsid wsp:val=&quot;06915006&quot;/&gt;&lt;wsp:rsid wsp:val=&quot;06921D2E&quot;/&gt;&lt;wsp:rsid wsp:val=&quot;0693207B&quot;/&gt;&lt;wsp:rsid wsp:val=&quot;069468A4&quot;/&gt;&lt;wsp:rsid wsp:val=&quot;06972968&quot;/&gt;&lt;wsp:rsid wsp:val=&quot;06976AC0&quot;/&gt;&lt;wsp:rsid wsp:val=&quot;06982838&quot;/&gt;&lt;wsp:rsid wsp:val=&quot;0699791D&quot;/&gt;&lt;wsp:rsid wsp:val=&quot;069A1511&quot;/&gt;&lt;wsp:rsid wsp:val=&quot;069A3EBB&quot;/&gt;&lt;wsp:rsid wsp:val=&quot;069B290D&quot;/&gt;&lt;wsp:rsid wsp:val=&quot;069B5E85&quot;/&gt;&lt;wsp:rsid wsp:val=&quot;069B7C33&quot;/&gt;&lt;wsp:rsid wsp:val=&quot;069C40D7&quot;/&gt;&lt;wsp:rsid wsp:val=&quot;069D39AB&quot;/&gt;&lt;wsp:rsid wsp:val=&quot;069D6E76&quot;/&gt;&lt;wsp:rsid wsp:val=&quot;069E34B0&quot;/&gt;&lt;wsp:rsid wsp:val=&quot;06A07511&quot;/&gt;&lt;wsp:rsid wsp:val=&quot;06A27213&quot;/&gt;&lt;wsp:rsid wsp:val=&quot;06A37C3B&quot;/&gt;&lt;wsp:rsid wsp:val=&quot;06A42F8B&quot;/&gt;&lt;wsp:rsid wsp:val=&quot;06A47322&quot;/&gt;&lt;wsp:rsid wsp:val=&quot;06A604B4&quot;/&gt;&lt;wsp:rsid wsp:val=&quot;06A64F55&quot;/&gt;&lt;wsp:rsid wsp:val=&quot;06A75CA3&quot;/&gt;&lt;wsp:rsid wsp:val=&quot;06A95C2E&quot;/&gt;&lt;wsp:rsid wsp:val=&quot;06AB256C&quot;/&gt;&lt;wsp:rsid wsp:val=&quot;06AB60C8&quot;/&gt;&lt;wsp:rsid wsp:val=&quot;06B153D4&quot;/&gt;&lt;wsp:rsid wsp:val=&quot;06B34246&quot;/&gt;&lt;wsp:rsid wsp:val=&quot;06B44301&quot;/&gt;&lt;wsp:rsid wsp:val=&quot;06B46E17&quot;/&gt;&lt;wsp:rsid wsp:val=&quot;06B676F4&quot;/&gt;&lt;wsp:rsid wsp:val=&quot;06B807E5&quot;/&gt;&lt;wsp:rsid wsp:val=&quot;06B86C6A&quot;/&gt;&lt;wsp:rsid wsp:val=&quot;06BA630B&quot;/&gt;&lt;wsp:rsid wsp:val=&quot;06BF1B73&quot;/&gt;&lt;wsp:rsid wsp:val=&quot;06BF7DC5&quot;/&gt;&lt;wsp:rsid wsp:val=&quot;06C13B3D&quot;/&gt;&lt;wsp:rsid wsp:val=&quot;06C17D49&quot;/&gt;&lt;wsp:rsid wsp:val=&quot;06C21162&quot;/&gt;&lt;wsp:rsid wsp:val=&quot;06C21663&quot;/&gt;&lt;wsp:rsid wsp:val=&quot;06C4362D&quot;/&gt;&lt;wsp:rsid wsp:val=&quot;06C61153&quot;/&gt;&lt;wsp:rsid wsp:val=&quot;06C90C44&quot;/&gt;&lt;wsp:rsid wsp:val=&quot;06C929F2&quot;/&gt;&lt;wsp:rsid wsp:val=&quot;06C947A0&quot;/&gt;&lt;wsp:rsid wsp:val=&quot;06CA3201&quot;/&gt;&lt;wsp:rsid wsp:val=&quot;06CB49BC&quot;/&gt;&lt;wsp:rsid wsp:val=&quot;06CC4290&quot;/&gt;&lt;wsp:rsid wsp:val=&quot;06CE625A&quot;/&gt;&lt;wsp:rsid wsp:val=&quot;06D05B2E&quot;/&gt;&lt;wsp:rsid wsp:val=&quot;06D21D6E&quot;/&gt;&lt;wsp:rsid wsp:val=&quot;06D44CBF&quot;/&gt;&lt;wsp:rsid wsp:val=&quot;06D46400&quot;/&gt;&lt;wsp:rsid wsp:val=&quot;06D80E87&quot;/&gt;&lt;wsp:rsid wsp:val=&quot;06D870D9&quot;/&gt;&lt;wsp:rsid wsp:val=&quot;06DC0977&quot;/&gt;&lt;wsp:rsid wsp:val=&quot;06DD024B&quot;/&gt;&lt;wsp:rsid wsp:val=&quot;06DE46EF&quot;/&gt;&lt;wsp:rsid wsp:val=&quot;06DF0467&quot;/&gt;&lt;wsp:rsid wsp:val=&quot;06DF3FC3&quot;/&gt;&lt;wsp:rsid wsp:val=&quot;06E17D3B&quot;/&gt;&lt;wsp:rsid wsp:val=&quot;06E23AB3&quot;/&gt;&lt;wsp:rsid wsp:val=&quot;06E31BE3&quot;/&gt;&lt;wsp:rsid wsp:val=&quot;06E31D05&quot;/&gt;&lt;wsp:rsid wsp:val=&quot;06E67100&quot;/&gt;&lt;wsp:rsid wsp:val=&quot;06E710CA&quot;/&gt;&lt;wsp:rsid wsp:val=&quot;06E845C5&quot;/&gt;&lt;wsp:rsid wsp:val=&quot;06EB0BBA&quot;/&gt;&lt;wsp:rsid wsp:val=&quot;06EB2968&quot;/&gt;&lt;wsp:rsid wsp:val=&quot;06EE2458&quot;/&gt;&lt;wsp:rsid wsp:val=&quot;06F02BDD&quot;/&gt;&lt;wsp:rsid wsp:val=&quot;06F35CC1&quot;/&gt;&lt;wsp:rsid wsp:val=&quot;06F85085&quot;/&gt;&lt;wsp:rsid wsp:val=&quot;06FA0DFD&quot;/&gt;&lt;wsp:rsid wsp:val=&quot;06FA2BAB&quot;/&gt;&lt;wsp:rsid wsp:val=&quot;06FB7310&quot;/&gt;&lt;wsp:rsid wsp:val=&quot;06FC4B75&quot;/&gt;&lt;wsp:rsid wsp:val=&quot;06FC6923&quot;/&gt;&lt;wsp:rsid wsp:val=&quot;06FD269B&quot;/&gt;&lt;wsp:rsid wsp:val=&quot;070103DE&quot;/&gt;&lt;wsp:rsid wsp:val=&quot;07043D9E&quot;/&gt;&lt;wsp:rsid wsp:val=&quot;0704692D&quot;/&gt;&lt;wsp:rsid wsp:val=&quot;07061550&quot;/&gt;&lt;wsp:rsid wsp:val=&quot;070659F4&quot;/&gt;&lt;wsp:rsid wsp:val=&quot;07091040&quot;/&gt;&lt;wsp:rsid wsp:val=&quot;070B300A&quot;/&gt;&lt;wsp:rsid wsp:val=&quot;070C28DE&quot;/&gt;&lt;wsp:rsid wsp:val=&quot;070C4C2F&quot;/&gt;&lt;wsp:rsid wsp:val=&quot;070E394A&quot;/&gt;&lt;wsp:rsid wsp:val=&quot;070E48A8&quot;/&gt;&lt;wsp:rsid wsp:val=&quot;070F58BA&quot;/&gt;&lt;wsp:rsid wsp:val=&quot;07155C37&quot;/&gt;&lt;wsp:rsid wsp:val=&quot;07177C01&quot;/&gt;&lt;wsp:rsid wsp:val=&quot;071874D5&quot;/&gt;&lt;wsp:rsid wsp:val=&quot;071A4FFB&quot;/&gt;&lt;wsp:rsid wsp:val=&quot;071C34B5&quot;/&gt;&lt;wsp:rsid wsp:val=&quot;071E0F8F&quot;/&gt;&lt;wsp:rsid wsp:val=&quot;071F6AB6&quot;/&gt;&lt;wsp:rsid wsp:val=&quot;0721282E&quot;/&gt;&lt;wsp:rsid wsp:val=&quot;07222102&quot;/&gt;&lt;wsp:rsid wsp:val=&quot;0728596A&quot;/&gt;&lt;wsp:rsid wsp:val=&quot;07293586&quot;/&gt;&lt;wsp:rsid wsp:val=&quot;07295285&quot;/&gt;&lt;wsp:rsid wsp:val=&quot;072C31D4&quot;/&gt;&lt;wsp:rsid wsp:val=&quot;072D2F81&quot;/&gt;&lt;wsp:rsid wsp:val=&quot;072F4F4B&quot;/&gt;&lt;wsp:rsid wsp:val=&quot;072F5DBC&quot;/&gt;&lt;wsp:rsid wsp:val=&quot;072F799E&quot;/&gt;&lt;wsp:rsid wsp:val=&quot;07305894&quot;/&gt;&lt;wsp:rsid wsp:val=&quot;07305FB4&quot;/&gt;&lt;wsp:rsid wsp:val=&quot;073065CD&quot;/&gt;&lt;wsp:rsid wsp:val=&quot;07320597&quot;/&gt;&lt;wsp:rsid wsp:val=&quot;073267E9&quot;/&gt;&lt;wsp:rsid wsp:val=&quot;073360BD&quot;/&gt;&lt;wsp:rsid wsp:val=&quot;07342561&quot;/&gt;&lt;wsp:rsid wsp:val=&quot;07350087&quot;/&gt;&lt;wsp:rsid wsp:val=&quot;07351E35&quot;/&gt;&lt;wsp:rsid wsp:val=&quot;07352BCC&quot;/&gt;&lt;wsp:rsid wsp:val=&quot;07373DFF&quot;/&gt;&lt;wsp:rsid wsp:val=&quot;0737795B&quot;/&gt;&lt;wsp:rsid wsp:val=&quot;07391925&quot;/&gt;&lt;wsp:rsid wsp:val=&quot;07397B77&quot;/&gt;&lt;wsp:rsid wsp:val=&quot;073A569E&quot;/&gt;&lt;wsp:rsid wsp:val=&quot;073C1416&quot;/&gt;&lt;wsp:rsid wsp:val=&quot;073C31C4&quot;/&gt;&lt;wsp:rsid wsp:val=&quot;073C5AF2&quot;/&gt;&lt;wsp:rsid wsp:val=&quot;073E3C7E&quot;/&gt;&lt;wsp:rsid wsp:val=&quot;073E5294&quot;/&gt;&lt;wsp:rsid wsp:val=&quot;073E6F3C&quot;/&gt;&lt;wsp:rsid wsp:val=&quot;073F2CB4&quot;/&gt;&lt;wsp:rsid wsp:val=&quot;07416A2C&quot;/&gt;&lt;wsp:rsid wsp:val=&quot;074309F6&quot;/&gt;&lt;wsp:rsid wsp:val=&quot;074327A4&quot;/&gt;&lt;wsp:rsid wsp:val=&quot;07436660&quot;/&gt;&lt;wsp:rsid wsp:val=&quot;07447AF0&quot;/&gt;&lt;wsp:rsid wsp:val=&quot;07464042&quot;/&gt;&lt;wsp:rsid wsp:val=&quot;07477BB2&quot;/&gt;&lt;wsp:rsid wsp:val=&quot;07481B68&quot;/&gt;&lt;wsp:rsid wsp:val=&quot;0748600C&quot;/&gt;&lt;wsp:rsid wsp:val=&quot;07486471&quot;/&gt;&lt;wsp:rsid wsp:val=&quot;0749768F&quot;/&gt;&lt;wsp:rsid wsp:val=&quot;074A1D85&quot;/&gt;&lt;wsp:rsid wsp:val=&quot;074A3B33&quot;/&gt;&lt;wsp:rsid wsp:val=&quot;074B3407&quot;/&gt;&lt;wsp:rsid wsp:val=&quot;074B78AB&quot;/&gt;&lt;wsp:rsid wsp:val=&quot;074D28B2&quot;/&gt;&lt;wsp:rsid wsp:val=&quot;074D53D1&quot;/&gt;&lt;wsp:rsid wsp:val=&quot;074D717F&quot;/&gt;&lt;wsp:rsid wsp:val=&quot;074F1149&quot;/&gt;&lt;wsp:rsid wsp:val=&quot;074F4623&quot;/&gt;&lt;wsp:rsid wsp:val=&quot;074F739B&quot;/&gt;&lt;wsp:rsid wsp:val=&quot;07500A1D&quot;/&gt;&lt;wsp:rsid wsp:val=&quot;07510F1E&quot;/&gt;&lt;wsp:rsid wsp:val=&quot;07524795&quot;/&gt;&lt;wsp:rsid wsp:val=&quot;0753050D&quot;/&gt;&lt;wsp:rsid wsp:val=&quot;07536155&quot;/&gt;&lt;wsp:rsid wsp:val=&quot;075449B1&quot;/&gt;&lt;wsp:rsid wsp:val=&quot;0754675F&quot;/&gt;&lt;wsp:rsid wsp:val=&quot;075475E5&quot;/&gt;&lt;wsp:rsid wsp:val=&quot;07550729&quot;/&gt;&lt;wsp:rsid wsp:val=&quot;07577FFE&quot;/&gt;&lt;wsp:rsid wsp:val=&quot;075C34FB&quot;/&gt;&lt;wsp:rsid wsp:val=&quot;075C73C2&quot;/&gt;&lt;wsp:rsid wsp:val=&quot;075E138C&quot;/&gt;&lt;wsp:rsid wsp:val=&quot;075F5104&quot;/&gt;&lt;wsp:rsid wsp:val=&quot;07604BD4&quot;/&gt;&lt;wsp:rsid wsp:val=&quot;07636392&quot;/&gt;&lt;wsp:rsid wsp:val=&quot;07660241&quot;/&gt;&lt;wsp:rsid wsp:val=&quot;076646E5&quot;/&gt;&lt;wsp:rsid wsp:val=&quot;07666493&quot;/&gt;&lt;wsp:rsid wsp:val=&quot;0768045D&quot;/&gt;&lt;wsp:rsid wsp:val=&quot;076845A8&quot;/&gt;&lt;wsp:rsid wsp:val=&quot;07685977&quot;/&gt;&lt;wsp:rsid wsp:val=&quot;07691ABC&quot;/&gt;&lt;wsp:rsid wsp:val=&quot;07691ADF&quot;/&gt;&lt;wsp:rsid wsp:val=&quot;076A6D07&quot;/&gt;&lt;wsp:rsid wsp:val=&quot;07702E6D&quot;/&gt;&lt;wsp:rsid wsp:val=&quot;07706FB0&quot;/&gt;&lt;wsp:rsid wsp:val=&quot;07754928&quot;/&gt;&lt;wsp:rsid wsp:val=&quot;07762B7A&quot;/&gt;&lt;wsp:rsid wsp:val=&quot;07770C56&quot;/&gt;&lt;wsp:rsid wsp:val=&quot;0777297F&quot;/&gt;&lt;wsp:rsid wsp:val=&quot;077811A5&quot;/&gt;&lt;wsp:rsid wsp:val=&quot;077961C6&quot;/&gt;&lt;wsp:rsid wsp:val=&quot;077A1F3E&quot;/&gt;&lt;wsp:rsid wsp:val=&quot;077B0190&quot;/&gt;&lt;wsp:rsid wsp:val=&quot;077E1A2E&quot;/&gt;&lt;wsp:rsid wsp:val=&quot;077E558A&quot;/&gt;&lt;wsp:rsid wsp:val=&quot;077F1302&quot;/&gt;&lt;wsp:rsid wsp:val=&quot;07801ECC&quot;/&gt;&lt;wsp:rsid wsp:val=&quot;07805172&quot;/&gt;&lt;wsp:rsid wsp:val=&quot;0781507A&quot;/&gt;&lt;wsp:rsid wsp:val=&quot;07827A92&quot;/&gt;&lt;wsp:rsid wsp:val=&quot;07832BA1&quot;/&gt;&lt;wsp:rsid wsp:val=&quot;07846626&quot;/&gt;&lt;wsp:rsid wsp:val=&quot;07854B6B&quot;/&gt;&lt;wsp:rsid wsp:val=&quot;07857B54&quot;/&gt;&lt;wsp:rsid wsp:val=&quot;07893136&quot;/&gt;&lt;wsp:rsid wsp:val=&quot;07893F2F&quot;/&gt;&lt;wsp:rsid wsp:val=&quot;078B414B&quot;/&gt;&lt;wsp:rsid wsp:val=&quot;078B5CF1&quot;/&gt;&lt;wsp:rsid wsp:val=&quot;078C2285&quot;/&gt;&lt;wsp:rsid wsp:val=&quot;078D0392&quot;/&gt;&lt;wsp:rsid wsp:val=&quot;078E1545&quot;/&gt;&lt;wsp:rsid wsp:val=&quot;078F7F52&quot;/&gt;&lt;wsp:rsid wsp:val=&quot;07910380&quot;/&gt;&lt;wsp:rsid wsp:val=&quot;07911761&quot;/&gt;&lt;wsp:rsid wsp:val=&quot;07917C6B&quot;/&gt;&lt;wsp:rsid wsp:val=&quot;079254DA&quot;/&gt;&lt;wsp:rsid wsp:val=&quot;07941252&quot;/&gt;&lt;wsp:rsid wsp:val=&quot;07944DAE&quot;/&gt;&lt;wsp:rsid wsp:val=&quot;07950B26&quot;/&gt;&lt;wsp:rsid wsp:val=&quot;0797489E&quot;/&gt;&lt;wsp:rsid wsp:val=&quot;0797664C&quot;/&gt;&lt;wsp:rsid wsp:val=&quot;079923C4&quot;/&gt;&lt;wsp:rsid wsp:val=&quot;07996868&quot;/&gt;&lt;wsp:rsid wsp:val=&quot;079A16F4&quot;/&gt;&lt;wsp:rsid wsp:val=&quot;079B25E0&quot;/&gt;&lt;wsp:rsid wsp:val=&quot;079B438E&quot;/&gt;&lt;wsp:rsid wsp:val=&quot;079C3C62&quot;/&gt;&lt;wsp:rsid wsp:val=&quot;079E06FB&quot;/&gt;&lt;wsp:rsid wsp:val=&quot;079E5C2C&quot;/&gt;&lt;wsp:rsid wsp:val=&quot;07A05C0E&quot;/&gt;&lt;wsp:rsid wsp:val=&quot;07A07BF6&quot;/&gt;&lt;wsp:rsid wsp:val=&quot;07A11279&quot;/&gt;&lt;wsp:rsid wsp:val=&quot;07A14383&quot;/&gt;&lt;wsp:rsid wsp:val=&quot;07A174CB&quot;/&gt;&lt;wsp:rsid wsp:val=&quot;07A2707C&quot;/&gt;&lt;wsp:rsid wsp:val=&quot;07A33243&quot;/&gt;&lt;wsp:rsid wsp:val=&quot;07A42E2C&quot;/&gt;&lt;wsp:rsid wsp:val=&quot;07A50D69&quot;/&gt;&lt;wsp:rsid wsp:val=&quot;07A559FD&quot;/&gt;&lt;wsp:rsid wsp:val=&quot;07A56FBB&quot;/&gt;&lt;wsp:rsid wsp:val=&quot;07A92310&quot;/&gt;&lt;wsp:rsid wsp:val=&quot;07AC1A3E&quot;/&gt;&lt;wsp:rsid wsp:val=&quot;07B205E1&quot;/&gt;&lt;wsp:rsid wsp:val=&quot;07B23486&quot;/&gt;&lt;wsp:rsid wsp:val=&quot;07B436A2&quot;/&gt;&lt;wsp:rsid wsp:val=&quot;07B812A2&quot;/&gt;&lt;wsp:rsid wsp:val=&quot;07BA6D2A&quot;/&gt;&lt;wsp:rsid wsp:val=&quot;07BB058C&quot;/&gt;&lt;wsp:rsid wsp:val=&quot;07BC2556&quot;/&gt;&lt;wsp:rsid wsp:val=&quot;07BE7AF8&quot;/&gt;&lt;wsp:rsid wsp:val=&quot;07BF1A61&quot;/&gt;&lt;wsp:rsid wsp:val=&quot;07C05BA3&quot;/&gt;&lt;wsp:rsid wsp:val=&quot;07C27AF6&quot;/&gt;&lt;wsp:rsid wsp:val=&quot;07C363B5&quot;/&gt;&lt;wsp:rsid wsp:val=&quot;07C37441&quot;/&gt;&lt;wsp:rsid wsp:val=&quot;07C531B9&quot;/&gt;&lt;wsp:rsid wsp:val=&quot;07C5765D&quot;/&gt;&lt;wsp:rsid wsp:val=&quot;07C91A81&quot;/&gt;&lt;wsp:rsid wsp:val=&quot;07CA07CF&quot;/&gt;&lt;wsp:rsid wsp:val=&quot;07CA4AA7&quot;/&gt;&lt;wsp:rsid wsp:val=&quot;07CA6A21&quot;/&gt;&lt;wsp:rsid wsp:val=&quot;07CE4C09&quot;/&gt;&lt;wsp:rsid wsp:val=&quot;07CF1338&quot;/&gt;&lt;wsp:rsid wsp:val=&quot;07CF4038&quot;/&gt;&lt;wsp:rsid wsp:val=&quot;07D21D7A&quot;/&gt;&lt;wsp:rsid wsp:val=&quot;07D23B28&quot;/&gt;&lt;wsp:rsid wsp:val=&quot;07D433FC&quot;/&gt;&lt;wsp:rsid wsp:val=&quot;07D478A0&quot;/&gt;&lt;wsp:rsid wsp:val=&quot;07D653C6&quot;/&gt;&lt;wsp:rsid wsp:val=&quot;07D7113E&quot;/&gt;&lt;wsp:rsid wsp:val=&quot;07D72EEC&quot;/&gt;&lt;wsp:rsid wsp:val=&quot;07D92D31&quot;/&gt;&lt;wsp:rsid wsp:val=&quot;07D948ED&quot;/&gt;&lt;wsp:rsid wsp:val=&quot;07DB0C2F&quot;/&gt;&lt;wsp:rsid wsp:val=&quot;07DB478B&quot;/&gt;&lt;wsp:rsid wsp:val=&quot;07DB63FB&quot;/&gt;&lt;wsp:rsid wsp:val=&quot;07DD49A7&quot;/&gt;&lt;wsp:rsid wsp:val=&quot;07DE427B&quot;/&gt;&lt;wsp:rsid wsp:val=&quot;07DE470A&quot;/&gt;&lt;wsp:rsid wsp:val=&quot;07E04497&quot;/&gt;&lt;wsp:rsid wsp:val=&quot;07E31891&quot;/&gt;&lt;wsp:rsid wsp:val=&quot;07E33A79&quot;/&gt;&lt;wsp:rsid wsp:val=&quot;07E35D35&quot;/&gt;&lt;wsp:rsid wsp:val=&quot;07E41A00&quot;/&gt;&lt;wsp:rsid wsp:val=&quot;07E51AAD&quot;/&gt;&lt;wsp:rsid wsp:val=&quot;07E5527B&quot;/&gt;&lt;wsp:rsid wsp:val=&quot;07E569E5&quot;/&gt;&lt;wsp:rsid wsp:val=&quot;07E61381&quot;/&gt;&lt;wsp:rsid wsp:val=&quot;07E6312F&quot;/&gt;&lt;wsp:rsid wsp:val=&quot;07E8334B&quot;/&gt;&lt;wsp:rsid wsp:val=&quot;07E850FA&quot;/&gt;&lt;wsp:rsid wsp:val=&quot;07EA42D2&quot;/&gt;&lt;wsp:rsid wsp:val=&quot;07ED0962&quot;/&gt;&lt;wsp:rsid wsp:val=&quot;07EE66EF&quot;/&gt;&lt;wsp:rsid wsp:val=&quot;07EF0236&quot;/&gt;&lt;wsp:rsid wsp:val=&quot;07EF6488&quot;/&gt;&lt;wsp:rsid wsp:val=&quot;07F25F78&quot;/&gt;&lt;wsp:rsid wsp:val=&quot;07F27D26&quot;/&gt;&lt;wsp:rsid wsp:val=&quot;07F341CA&quot;/&gt;&lt;wsp:rsid wsp:val=&quot;07F615C4&quot;/&gt;&lt;wsp:rsid wsp:val=&quot;07F7358F&quot;/&gt;&lt;wsp:rsid wsp:val=&quot;07F92E63&quot;/&gt;&lt;wsp:rsid wsp:val=&quot;07FA1055&quot;/&gt;&lt;wsp:rsid wsp:val=&quot;07FB4E2D&quot;/&gt;&lt;wsp:rsid wsp:val=&quot;07FC0BA5&quot;/&gt;&lt;wsp:rsid wsp:val=&quot;07FE66CB&quot;/&gt;&lt;wsp:rsid wsp:val=&quot;08010F28&quot;/&gt;&lt;wsp:rsid wsp:val=&quot;0802440D&quot;/&gt;&lt;wsp:rsid wsp:val=&quot;08035739&quot;/&gt;&lt;wsp:rsid wsp:val=&quot;0806421B&quot;/&gt;&lt;wsp:rsid wsp:val=&quot;080662FF&quot;/&gt;&lt;wsp:rsid wsp:val=&quot;080715F7&quot;/&gt;&lt;wsp:rsid wsp:val=&quot;08071A24&quot;/&gt;&lt;wsp:rsid wsp:val=&quot;080A32C2&quot;/&gt;&lt;wsp:rsid wsp:val=&quot;080A5070&quot;/&gt;&lt;wsp:rsid wsp:val=&quot;080C703A&quot;/&gt;&lt;wsp:rsid wsp:val=&quot;080D34CF&quot;/&gt;&lt;wsp:rsid wsp:val=&quot;080D690E&quot;/&gt;&lt;wsp:rsid wsp:val=&quot;080F08D8&quot;/&gt;&lt;wsp:rsid wsp:val=&quot;080F6B2A&quot;/&gt;&lt;wsp:rsid wsp:val=&quot;081128A2&quot;/&gt;&lt;wsp:rsid wsp:val=&quot;08123F24&quot;/&gt;&lt;wsp:rsid wsp:val=&quot;08140F75&quot;/&gt;&lt;wsp:rsid wsp:val=&quot;08147C9D&quot;/&gt;&lt;wsp:rsid wsp:val=&quot;081571C7&quot;/&gt;&lt;wsp:rsid wsp:val=&quot;08167EB9&quot;/&gt;&lt;wsp:rsid wsp:val=&quot;0817778D&quot;/&gt;&lt;wsp:rsid wsp:val=&quot;0818229C&quot;/&gt;&lt;wsp:rsid wsp:val=&quot;081845DE&quot;/&gt;&lt;wsp:rsid wsp:val=&quot;081B102B&quot;/&gt;&lt;wsp:rsid wsp:val=&quot;081C57E7&quot;/&gt;&lt;wsp:rsid wsp:val=&quot;081D79E5&quot;/&gt;&lt;wsp:rsid wsp:val=&quot;081E0B1B&quot;/&gt;&lt;wsp:rsid wsp:val=&quot;0822060B&quot;/&gt;&lt;wsp:rsid wsp:val=&quot;08232813&quot;/&gt;&lt;wsp:rsid wsp:val=&quot;082500FC&quot;/&gt;&lt;wsp:rsid wsp:val=&quot;08251EAA&quot;/&gt;&lt;wsp:rsid wsp:val=&quot;082617B3&quot;/&gt;&lt;wsp:rsid wsp:val=&quot;08272E75&quot;/&gt;&lt;wsp:rsid wsp:val=&quot;08273E74&quot;/&gt;&lt;wsp:rsid wsp:val=&quot;082779D0&quot;/&gt;&lt;wsp:rsid wsp:val=&quot;0828199A&quot;/&gt;&lt;wsp:rsid wsp:val=&quot;082827E7&quot;/&gt;&lt;wsp:rsid wsp:val=&quot;08283748&quot;/&gt;&lt;wsp:rsid wsp:val=&quot;082B3EF7&quot;/&gt;&lt;wsp:rsid wsp:val=&quot;082D6FB0&quot;/&gt;&lt;wsp:rsid wsp:val=&quot;082E1370&quot;/&gt;&lt;wsp:rsid wsp:val=&quot;082F13D5&quot;/&gt;&lt;wsp:rsid wsp:val=&quot;082F4AD6&quot;/&gt;&lt;wsp:rsid wsp:val=&quot;08311C34&quot;/&gt;&lt;wsp:rsid wsp:val=&quot;08332819&quot;/&gt;&lt;wsp:rsid wsp:val=&quot;08345F36&quot;/&gt;&lt;wsp:rsid wsp:val=&quot;08365E65&quot;/&gt;&lt;wsp:rsid wsp:val=&quot;0837398B&quot;/&gt;&lt;wsp:rsid wsp:val=&quot;08381BDD&quot;/&gt;&lt;wsp:rsid wsp:val=&quot;08395955&quot;/&gt;&lt;wsp:rsid wsp:val=&quot;083A10B9&quot;/&gt;&lt;wsp:rsid wsp:val=&quot;083C05DD&quot;/&gt;&lt;wsp:rsid wsp:val=&quot;083D3697&quot;/&gt;&lt;wsp:rsid wsp:val=&quot;084037EA&quot;/&gt;&lt;wsp:rsid wsp:val=&quot;08406CE4&quot;/&gt;&lt;wsp:rsid wsp:val=&quot;08417F6A&quot;/&gt;&lt;wsp:rsid wsp:val=&quot;084270BC&quot;/&gt;&lt;wsp:rsid wsp:val=&quot;08444A26&quot;/&gt;&lt;wsp:rsid wsp:val=&quot;08452613&quot;/&gt;&lt;wsp:rsid wsp:val=&quot;08464A84&quot;/&gt;&lt;wsp:rsid wsp:val=&quot;08470AEB&quot;/&gt;&lt;wsp:rsid wsp:val=&quot;084762C4&quot;/&gt;&lt;wsp:rsid wsp:val=&quot;08485B98&quot;/&gt;&lt;wsp:rsid wsp:val=&quot;084939FF&quot;/&gt;&lt;wsp:rsid wsp:val=&quot;0849771D&quot;/&gt;&lt;wsp:rsid wsp:val=&quot;084C7436&quot;/&gt;&lt;wsp:rsid wsp:val=&quot;084E7652&quot;/&gt;&lt;wsp:rsid wsp:val=&quot;084F5179&quot;/&gt;&lt;wsp:rsid wsp:val=&quot;08512CB2&quot;/&gt;&lt;wsp:rsid wsp:val=&quot;085207C5&quot;/&gt;&lt;wsp:rsid wsp:val=&quot;085539AF&quot;/&gt;&lt;wsp:rsid wsp:val=&quot;0858402D&quot;/&gt;&lt;wsp:rsid wsp:val=&quot;0858732C&quot;/&gt;&lt;wsp:rsid wsp:val=&quot;08591B53&quot;/&gt;&lt;wsp:rsid wsp:val=&quot;085A5AD1&quot;/&gt;&lt;wsp:rsid wsp:val=&quot;085B58CB&quot;/&gt;&lt;wsp:rsid wsp:val=&quot;085D4452&quot;/&gt;&lt;wsp:rsid wsp:val=&quot;085D7896&quot;/&gt;&lt;wsp:rsid wsp:val=&quot;085E716A&quot;/&gt;&lt;wsp:rsid wsp:val=&quot;08602EE2&quot;/&gt;&lt;wsp:rsid wsp:val=&quot;086230FE&quot;/&gt;&lt;wsp:rsid wsp:val=&quot;08624EAC&quot;/&gt;&lt;wsp:rsid wsp:val=&quot;08634780&quot;/&gt;&lt;wsp:rsid wsp:val=&quot;08646E76&quot;/&gt;&lt;wsp:rsid wsp:val=&quot;086557B5&quot;/&gt;&lt;wsp:rsid wsp:val=&quot;0865674A&quot;/&gt;&lt;wsp:rsid wsp:val=&quot;08664074&quot;/&gt;&lt;wsp:rsid wsp:val=&quot;08670714&quot;/&gt;&lt;wsp:rsid wsp:val=&quot;08674270&quot;/&gt;&lt;wsp:rsid wsp:val=&quot;0869448C&quot;/&gt;&lt;wsp:rsid wsp:val=&quot;0869623A&quot;/&gt;&lt;wsp:rsid wsp:val=&quot;086A1FB2&quot;/&gt;&lt;wsp:rsid wsp:val=&quot;086A3D60&quot;/&gt;&lt;wsp:rsid wsp:val=&quot;086A6A56&quot;/&gt;&lt;wsp:rsid wsp:val=&quot;086C1887&quot;/&gt;&lt;wsp:rsid wsp:val=&quot;086C5D2B&quot;/&gt;&lt;wsp:rsid wsp:val=&quot;086F75C9&quot;/&gt;&lt;wsp:rsid wsp:val=&quot;08713341&quot;/&gt;&lt;wsp:rsid wsp:val=&quot;087150EF&quot;/&gt;&lt;wsp:rsid wsp:val=&quot;08744BDF&quot;/&gt;&lt;wsp:rsid wsp:val=&quot;08760957&quot;/&gt;&lt;wsp:rsid wsp:val=&quot;087921F6&quot;/&gt;&lt;wsp:rsid wsp:val=&quot;087937D2&quot;/&gt;&lt;wsp:rsid wsp:val=&quot;087B3986&quot;/&gt;&lt;wsp:rsid wsp:val=&quot;087B41C0&quot;/&gt;&lt;wsp:rsid wsp:val=&quot;087B7D1C&quot;/&gt;&lt;wsp:rsid wsp:val=&quot;088352BB&quot;/&gt;&lt;wsp:rsid wsp:val=&quot;088618A1&quot;/&gt;&lt;wsp:rsid wsp:val=&quot;088766C0&quot;/&gt;&lt;wsp:rsid wsp:val=&quot;0889068B&quot;/&gt;&lt;wsp:rsid wsp:val=&quot;088A61B1&quot;/&gt;&lt;wsp:rsid wsp:val=&quot;088B080D&quot;/&gt;&lt;wsp:rsid wsp:val=&quot;088B74D0&quot;/&gt;&lt;wsp:rsid wsp:val=&quot;088C1F29&quot;/&gt;&lt;wsp:rsid wsp:val=&quot;088E3EF3&quot;/&gt;&lt;wsp:rsid wsp:val=&quot;088E5CA1&quot;/&gt;&lt;wsp:rsid wsp:val=&quot;088E7A4F&quot;/&gt;&lt;wsp:rsid wsp:val=&quot;089112ED&quot;/&gt;&lt;wsp:rsid wsp:val=&quot;08931509&quot;/&gt;&lt;wsp:rsid wsp:val=&quot;08961B37&quot;/&gt;&lt;wsp:rsid wsp:val=&quot;08964B56&quot;/&gt;&lt;wsp:rsid wsp:val=&quot;08980644&quot;/&gt;&lt;wsp:rsid wsp:val=&quot;089808CE&quot;/&gt;&lt;wsp:rsid wsp:val=&quot;089C787D&quot;/&gt;&lt;wsp:rsid wsp:val=&quot;089D4136&quot;/&gt;&lt;wsp:rsid wsp:val=&quot;08A059D4&quot;/&gt;&lt;wsp:rsid wsp:val=&quot;08A07D80&quot;/&gt;&lt;wsp:rsid wsp:val=&quot;08A13C26&quot;/&gt;&lt;wsp:rsid wsp:val=&quot;08A2174C&quot;/&gt;&lt;wsp:rsid wsp:val=&quot;08A31374&quot;/&gt;&lt;wsp:rsid wsp:val=&quot;08A41020&quot;/&gt;&lt;wsp:rsid wsp:val=&quot;08A46BE7&quot;/&gt;&lt;wsp:rsid wsp:val=&quot;08A52FEB&quot;/&gt;&lt;wsp:rsid wsp:val=&quot;08A54D99&quot;/&gt;&lt;wsp:rsid wsp:val=&quot;08A551D4&quot;/&gt;&lt;wsp:rsid wsp:val=&quot;08A6123D&quot;/&gt;&lt;wsp:rsid wsp:val=&quot;08A67A0E&quot;/&gt;&lt;wsp:rsid wsp:val=&quot;08A76D63&quot;/&gt;&lt;wsp:rsid wsp:val=&quot;08A90D2D&quot;/&gt;&lt;wsp:rsid wsp:val=&quot;08A92ADB&quot;/&gt;&lt;wsp:rsid wsp:val=&quot;08AB69AB&quot;/&gt;&lt;wsp:rsid wsp:val=&quot;08AC0DB1&quot;/&gt;&lt;wsp:rsid wsp:val=&quot;08AC25CB&quot;/&gt;&lt;wsp:rsid wsp:val=&quot;08AC35B4&quot;/&gt;&lt;wsp:rsid wsp:val=&quot;08AC4379&quot;/&gt;&lt;wsp:rsid wsp:val=&quot;08AC6127&quot;/&gt;&lt;wsp:rsid wsp:val=&quot;08B135FF&quot;/&gt;&lt;wsp:rsid wsp:val=&quot;08B1373D&quot;/&gt;&lt;wsp:rsid wsp:val=&quot;08B17BE1&quot;/&gt;&lt;wsp:rsid wsp:val=&quot;08B374B6&quot;/&gt;&lt;wsp:rsid wsp:val=&quot;08B4685D&quot;/&gt;&lt;wsp:rsid wsp:val=&quot;08B50FFC&quot;/&gt;&lt;wsp:rsid wsp:val=&quot;08B5322E&quot;/&gt;&lt;wsp:rsid wsp:val=&quot;08B53DF1&quot;/&gt;&lt;wsp:rsid wsp:val=&quot;08B576D2&quot;/&gt;&lt;wsp:rsid wsp:val=&quot;08B65A08&quot;/&gt;&lt;wsp:rsid wsp:val=&quot;08B66FA6&quot;/&gt;&lt;wsp:rsid wsp:val=&quot;08B8779C&quot;/&gt;&lt;wsp:rsid wsp:val=&quot;08B916C3&quot;/&gt;&lt;wsp:rsid wsp:val=&quot;08BA6A96&quot;/&gt;&lt;wsp:rsid wsp:val=&quot;08BB45BC&quot;/&gt;&lt;wsp:rsid wsp:val=&quot;08BB636A&quot;/&gt;&lt;wsp:rsid wsp:val=&quot;08BB7A19&quot;/&gt;&lt;wsp:rsid wsp:val=&quot;08BC0A60&quot;/&gt;&lt;wsp:rsid wsp:val=&quot;08BD6586&quot;/&gt;&lt;wsp:rsid wsp:val=&quot;08C04C7F&quot;/&gt;&lt;wsp:rsid wsp:val=&quot;08C07E24&quot;/&gt;&lt;wsp:rsid wsp:val=&quot;08C16076&quot;/&gt;&lt;wsp:rsid wsp:val=&quot;08C1610F&quot;/&gt;&lt;wsp:rsid wsp:val=&quot;08C3507A&quot;/&gt;&lt;wsp:rsid wsp:val=&quot;08C43471&quot;/&gt;&lt;wsp:rsid wsp:val=&quot;08C55F20&quot;/&gt;&lt;wsp:rsid wsp:val=&quot;08C61F81&quot;/&gt;&lt;wsp:rsid wsp:val=&quot;08C6368D&quot;/&gt;&lt;wsp:rsid wsp:val=&quot;08C77405&quot;/&gt;&lt;wsp:rsid wsp:val=&quot;08C82909&quot;/&gt;&lt;wsp:rsid wsp:val=&quot;08C848A1&quot;/&gt;&lt;wsp:rsid wsp:val=&quot;08C96CD9&quot;/&gt;&lt;wsp:rsid wsp:val=&quot;08CC0577&quot;/&gt;&lt;wsp:rsid wsp:val=&quot;08CF1E16&quot;/&gt;&lt;wsp:rsid wsp:val=&quot;08CF39D9&quot;/&gt;&lt;wsp:rsid wsp:val=&quot;08D00067&quot;/&gt;&lt;wsp:rsid wsp:val=&quot;08D04774&quot;/&gt;&lt;wsp:rsid wsp:val=&quot;08D12032&quot;/&gt;&lt;wsp:rsid wsp:val=&quot;08D31906&quot;/&gt;&lt;wsp:rsid wsp:val=&quot;08D35DAA&quot;/&gt;&lt;wsp:rsid wsp:val=&quot;08D51B22&quot;/&gt;&lt;wsp:rsid wsp:val=&quot;08D538D0&quot;/&gt;&lt;wsp:rsid wsp:val=&quot;08D631A4&quot;/&gt;&lt;wsp:rsid wsp:val=&quot;08D833C0&quot;/&gt;&lt;wsp:rsid wsp:val=&quot;08D8516E&quot;/&gt;&lt;wsp:rsid wsp:val=&quot;08DA0EE6&quot;/&gt;&lt;wsp:rsid wsp:val=&quot;08DA2C94&quot;/&gt;&lt;wsp:rsid wsp:val=&quot;08DB6A0C&quot;/&gt;&lt;wsp:rsid wsp:val=&quot;08DD4532&quot;/&gt;&lt;wsp:rsid wsp:val=&quot;08DF64FD&quot;/&gt;&lt;wsp:rsid wsp:val=&quot;08E104C7&quot;/&gt;&lt;wsp:rsid wsp:val=&quot;08E12275&quot;/&gt;&lt;wsp:rsid wsp:val=&quot;08E17D6D&quot;/&gt;&lt;wsp:rsid wsp:val=&quot;08E42E33&quot;/&gt;&lt;wsp:rsid wsp:val=&quot;08E458C1&quot;/&gt;&lt;wsp:rsid wsp:val=&quot;08E51639&quot;/&gt;&lt;wsp:rsid wsp:val=&quot;08E528FC&quot;/&gt;&lt;wsp:rsid wsp:val=&quot;08E6766C&quot;/&gt;&lt;wsp:rsid wsp:val=&quot;08E6788B&quot;/&gt;&lt;wsp:rsid wsp:val=&quot;08E76FAB&quot;/&gt;&lt;wsp:rsid wsp:val=&quot;08E828A9&quot;/&gt;&lt;wsp:rsid wsp:val=&quot;08E91129&quot;/&gt;&lt;wsp:rsid wsp:val=&quot;08E92ED7&quot;/&gt;&lt;wsp:rsid wsp:val=&quot;08EB30F3&quot;/&gt;&lt;wsp:rsid wsp:val=&quot;08EB4EA1&quot;/&gt;&lt;wsp:rsid wsp:val=&quot;08EB6C4F&quot;/&gt;&lt;wsp:rsid wsp:val=&quot;08EC0C19&quot;/&gt;&lt;wsp:rsid wsp:val=&quot;08EC29C7&quot;/&gt;&lt;wsp:rsid wsp:val=&quot;08EC3C9C&quot;/&gt;&lt;wsp:rsid wsp:val=&quot;08EE6740&quot;/&gt;&lt;wsp:rsid wsp:val=&quot;08EF6592&quot;/&gt;&lt;wsp:rsid wsp:val=&quot;08F024B8&quot;/&gt;&lt;wsp:rsid wsp:val=&quot;08F04266&quot;/&gt;&lt;wsp:rsid wsp:val=&quot;08F24482&quot;/&gt;&lt;wsp:rsid wsp:val=&quot;08F31FA8&quot;/&gt;&lt;wsp:rsid wsp:val=&quot;08F5187C&quot;/&gt;&lt;wsp:rsid wsp:val=&quot;08F63846&quot;/&gt;&lt;wsp:rsid wsp:val=&quot;08F951DD&quot;/&gt;&lt;wsp:rsid wsp:val=&quot;08FA3336&quot;/&gt;&lt;wsp:rsid wsp:val=&quot;08FA50E4&quot;/&gt;&lt;wsp:rsid wsp:val=&quot;08FA6E92&quot;/&gt;&lt;wsp:rsid wsp:val=&quot;08FB2771&quot;/&gt;&lt;wsp:rsid wsp:val=&quot;08FC3626&quot;/&gt;&lt;wsp:rsid wsp:val=&quot;08FF0C82&quot;/&gt;&lt;wsp:rsid wsp:val=&quot;08FF26FB&quot;/&gt;&lt;wsp:rsid wsp:val=&quot;09000221&quot;/&gt;&lt;wsp:rsid wsp:val=&quot;090137FA&quot;/&gt;&lt;wsp:rsid wsp:val=&quot;09016473&quot;/&gt;&lt;wsp:rsid wsp:val=&quot;0902043D&quot;/&gt;&lt;wsp:rsid wsp:val=&quot;090221EB&quot;/&gt;&lt;wsp:rsid wsp:val=&quot;09027603&quot;/&gt;&lt;wsp:rsid wsp:val=&quot;090441B5&quot;/&gt;&lt;wsp:rsid wsp:val=&quot;09044B9E&quot;/&gt;&lt;wsp:rsid wsp:val=&quot;09045F63&quot;/&gt;&lt;wsp:rsid wsp:val=&quot;09047D11&quot;/&gt;&lt;wsp:rsid wsp:val=&quot;09063A89&quot;/&gt;&lt;wsp:rsid wsp:val=&quot;09083475&quot;/&gt;&lt;wsp:rsid wsp:val=&quot;09093579&quot;/&gt;&lt;wsp:rsid wsp:val=&quot;090D12BC&quot;/&gt;&lt;wsp:rsid wsp:val=&quot;090D1B45&quot;/&gt;&lt;wsp:rsid wsp:val=&quot;09102B5A&quot;/&gt;&lt;wsp:rsid wsp:val=&quot;0911242E&quot;/&gt;&lt;wsp:rsid wsp:val=&quot;09120680&quot;/&gt;&lt;wsp:rsid wsp:val=&quot;0913264A&quot;/&gt;&lt;wsp:rsid wsp:val=&quot;09150170&quot;/&gt;&lt;wsp:rsid wsp:val=&quot;09151F1E&quot;/&gt;&lt;wsp:rsid wsp:val=&quot;09175C96&quot;/&gt;&lt;wsp:rsid wsp:val=&quot;091A12E3&quot;/&gt;&lt;wsp:rsid wsp:val=&quot;091F2D9D&quot;/&gt;&lt;wsp:rsid wsp:val=&quot;092108C3&quot;/&gt;&lt;wsp:rsid wsp:val=&quot;09212671&quot;/&gt;&lt;wsp:rsid wsp:val=&quot;092217DD&quot;/&gt;&lt;wsp:rsid wsp:val=&quot;0923288D&quot;/&gt;&lt;wsp:rsid wsp:val=&quot;092403B3&quot;/&gt;&lt;wsp:rsid wsp:val=&quot;09242161&quot;/&gt;&lt;wsp:rsid wsp:val=&quot;09245AAA&quot;/&gt;&lt;wsp:rsid wsp:val=&quot;0926237D&quot;/&gt;&lt;wsp:rsid wsp:val=&quot;09287EA3&quot;/&gt;&lt;wsp:rsid wsp:val=&quot;092927AE&quot;/&gt;&lt;wsp:rsid wsp:val=&quot;09292D87&quot;/&gt;&lt;wsp:rsid wsp:val=&quot;092959CA&quot;/&gt;&lt;wsp:rsid wsp:val=&quot;092E1232&quot;/&gt;&lt;wsp:rsid wsp:val=&quot;09300DA6&quot;/&gt;&lt;wsp:rsid wsp:val=&quot;09304FAA&quot;/&gt;&lt;wsp:rsid wsp:val=&quot;09306D58&quot;/&gt;&lt;wsp:rsid wsp:val=&quot;09336848&quot;/&gt;&lt;wsp:rsid wsp:val=&quot;09364DC9&quot;/&gt;&lt;wsp:rsid wsp:val=&quot;09382988&quot;/&gt;&lt;wsp:rsid wsp:val=&quot;093A3733&quot;/&gt;&lt;wsp:rsid wsp:val=&quot;093A7294&quot;/&gt;&lt;wsp:rsid wsp:val=&quot;093D1475&quot;/&gt;&lt;wsp:rsid wsp:val=&quot;093E76C7&quot;/&gt;&lt;wsp:rsid wsp:val=&quot;093F29B1&quot;/&gt;&lt;wsp:rsid wsp:val=&quot;093F29C2&quot;/&gt;&lt;wsp:rsid wsp:val=&quot;09410A35&quot;/&gt;&lt;wsp:rsid wsp:val=&quot;09414AC1&quot;/&gt;&lt;wsp:rsid wsp:val=&quot;09420839&quot;/&gt;&lt;wsp:rsid wsp:val=&quot;09436A8B&quot;/&gt;&lt;wsp:rsid wsp:val=&quot;09475E50&quot;/&gt;&lt;wsp:rsid wsp:val=&quot;09491BC8&quot;/&gt;&lt;wsp:rsid wsp:val=&quot;094B3B92&quot;/&gt;&lt;wsp:rsid wsp:val=&quot;094B59B5&quot;/&gt;&lt;wsp:rsid wsp:val=&quot;094B782F&quot;/&gt;&lt;wsp:rsid wsp:val=&quot;094C3466&quot;/&gt;&lt;wsp:rsid wsp:val=&quot;094E3682&quot;/&gt;&lt;wsp:rsid wsp:val=&quot;094F1627&quot;/&gt;&lt;wsp:rsid wsp:val=&quot;095073FA&quot;/&gt;&lt;wsp:rsid wsp:val=&quot;0951429E&quot;/&gt;&lt;wsp:rsid wsp:val=&quot;09532A47&quot;/&gt;&lt;wsp:rsid wsp:val=&quot;09542264&quot;/&gt;&lt;wsp:rsid wsp:val=&quot;09562B22&quot;/&gt;&lt;wsp:rsid wsp:val=&quot;09570789&quot;/&gt;&lt;wsp:rsid wsp:val=&quot;095742E5&quot;/&gt;&lt;wsp:rsid wsp:val=&quot;0958005D&quot;/&gt;&lt;wsp:rsid wsp:val=&quot;09585107&quot;/&gt;&lt;wsp:rsid wsp:val=&quot;095962AF&quot;/&gt;&lt;wsp:rsid wsp:val=&quot;095A2027&quot;/&gt;&lt;wsp:rsid wsp:val=&quot;095A3DD5&quot;/&gt;&lt;wsp:rsid wsp:val=&quot;095A5B83&quot;/&gt;&lt;wsp:rsid wsp:val=&quot;095C0F1D&quot;/&gt;&lt;wsp:rsid wsp:val=&quot;096124E4&quot;/&gt;&lt;wsp:rsid wsp:val=&quot;096133B5&quot;/&gt;&lt;wsp:rsid wsp:val=&quot;096236A8&quot;/&gt;&lt;wsp:rsid wsp:val=&quot;096609CC&quot;/&gt;&lt;wsp:rsid wsp:val=&quot;09664528&quot;/&gt;&lt;wsp:rsid wsp:val=&quot;09694018&quot;/&gt;&lt;wsp:rsid wsp:val=&quot;096A04BC&quot;/&gt;&lt;wsp:rsid wsp:val=&quot;096A533F&quot;/&gt;&lt;wsp:rsid wsp:val=&quot;096B7D90&quot;/&gt;&lt;wsp:rsid wsp:val=&quot;096C65C2&quot;/&gt;&lt;wsp:rsid wsp:val=&quot;096D3B08&quot;/&gt;&lt;wsp:rsid wsp:val=&quot;096E162B&quot;/&gt;&lt;wsp:rsid wsp:val=&quot;096E7880&quot;/&gt;&lt;wsp:rsid wsp:val=&quot;09711DE5&quot;/&gt;&lt;wsp:rsid wsp:val=&quot;0972111F&quot;/&gt;&lt;wsp:rsid wsp:val=&quot;09722ECD&quot;/&gt;&lt;wsp:rsid wsp:val=&quot;09727371&quot;/&gt;&lt;wsp:rsid wsp:val=&quot;097338C4&quot;/&gt;&lt;wsp:rsid wsp:val=&quot;09744D54&quot;/&gt;&lt;wsp:rsid wsp:val=&quot;09750C0F&quot;/&gt;&lt;wsp:rsid wsp:val=&quot;09756E61&quot;/&gt;&lt;wsp:rsid wsp:val=&quot;09761AF5&quot;/&gt;&lt;wsp:rsid wsp:val=&quot;09766816&quot;/&gt;&lt;wsp:rsid wsp:val=&quot;09772245&quot;/&gt;&lt;wsp:rsid wsp:val=&quot;097736D5&quot;/&gt;&lt;wsp:rsid wsp:val=&quot;0978425B&quot;/&gt;&lt;wsp:rsid wsp:val=&quot;097906FF&quot;/&gt;&lt;wsp:rsid wsp:val=&quot;097924AD&quot;/&gt;&lt;wsp:rsid wsp:val=&quot;097C2B40&quot;/&gt;&lt;wsp:rsid wsp:val=&quot;097C3D4B&quot;/&gt;&lt;wsp:rsid wsp:val=&quot;097D1872&quot;/&gt;&lt;wsp:rsid wsp:val=&quot;097E3F67&quot;/&gt;&lt;wsp:rsid wsp:val=&quot;097F5989&quot;/&gt;&lt;wsp:rsid wsp:val=&quot;098032F7&quot;/&gt;&lt;wsp:rsid wsp:val=&quot;098175B4&quot;/&gt;&lt;wsp:rsid wsp:val=&quot;0983332C&quot;/&gt;&lt;wsp:rsid wsp:val=&quot;098378B0&quot;/&gt;&lt;wsp:rsid wsp:val=&quot;09842C00&quot;/&gt;&lt;wsp:rsid wsp:val=&quot;098470A4&quot;/&gt;&lt;wsp:rsid wsp:val=&quot;09862E1C&quot;/&gt;&lt;wsp:rsid wsp:val=&quot;098B3F8E&quot;/&gt;&lt;wsp:rsid wsp:val=&quot;098D79C2&quot;/&gt;&lt;wsp:rsid wsp:val=&quot;098E3A7F&quot;/&gt;&lt;wsp:rsid wsp:val=&quot;098E58FB&quot;/&gt;&lt;wsp:rsid wsp:val=&quot;098E6D32&quot;/&gt;&lt;wsp:rsid wsp:val=&quot;098F7F23&quot;/&gt;&lt;wsp:rsid wsp:val=&quot;09903C9B&quot;/&gt;&lt;wsp:rsid wsp:val=&quot;099077F7&quot;/&gt;&lt;wsp:rsid wsp:val=&quot;09930631&quot;/&gt;&lt;wsp:rsid wsp:val=&quot;099472E7&quot;/&gt;&lt;wsp:rsid wsp:val=&quot;099512B1&quot;/&gt;&lt;wsp:rsid wsp:val=&quot;09954E0D&quot;/&gt;&lt;wsp:rsid wsp:val=&quot;0996182F&quot;/&gt;&lt;wsp:rsid wsp:val=&quot;0997182D&quot;/&gt;&lt;wsp:rsid wsp:val=&quot;09992BB0&quot;/&gt;&lt;wsp:rsid wsp:val=&quot;099948FD&quot;/&gt;&lt;wsp:rsid wsp:val=&quot;099A01B0&quot;/&gt;&lt;wsp:rsid wsp:val=&quot;099B68C7&quot;/&gt;&lt;wsp:rsid wsp:val=&quot;099F5C8C&quot;/&gt;&lt;wsp:rsid wsp:val=&quot;09A339CE&quot;/&gt;&lt;wsp:rsid wsp:val=&quot;09A3577C&quot;/&gt;&lt;wsp:rsid wsp:val=&quot;09A514F4&quot;/&gt;&lt;wsp:rsid wsp:val=&quot;09A552C3&quot;/&gt;&lt;wsp:rsid wsp:val=&quot;09A63E5B&quot;/&gt;&lt;wsp:rsid wsp:val=&quot;09A6701A&quot;/&gt;&lt;wsp:rsid wsp:val=&quot;09A80FE4&quot;/&gt;&lt;wsp:rsid wsp:val=&quot;09A83091&quot;/&gt;&lt;wsp:rsid wsp:val=&quot;09A911B7&quot;/&gt;&lt;wsp:rsid wsp:val=&quot;09AD480B&quot;/&gt;&lt;wsp:rsid wsp:val=&quot;09AD4EE5&quot;/&gt;&lt;wsp:rsid wsp:val=&quot;09AF2373&quot;/&gt;&lt;wsp:rsid wsp:val=&quot;09B2776D&quot;/&gt;&lt;wsp:rsid wsp:val=&quot;09B278C7&quot;/&gt;&lt;wsp:rsid wsp:val=&quot;09B36291&quot;/&gt;&lt;wsp:rsid wsp:val=&quot;09B554AF&quot;/&gt;&lt;wsp:rsid wsp:val=&quot;09B711FF&quot;/&gt;&lt;wsp:rsid wsp:val=&quot;09B71227&quot;/&gt;&lt;wsp:rsid wsp:val=&quot;09B72FD5&quot;/&gt;&lt;wsp:rsid wsp:val=&quot;09B74D83&quot;/&gt;&lt;wsp:rsid wsp:val=&quot;09B94F9F&quot;/&gt;&lt;wsp:rsid wsp:val=&quot;09B96D4E&quot;/&gt;&lt;wsp:rsid wsp:val=&quot;09BA2AC6&quot;/&gt;&lt;wsp:rsid wsp:val=&quot;09BA6059&quot;/&gt;&lt;wsp:rsid wsp:val=&quot;09BC683E&quot;/&gt;&lt;wsp:rsid wsp:val=&quot;09BD1661&quot;/&gt;&lt;wsp:rsid wsp:val=&quot;09BD3CE3&quot;/&gt;&lt;wsp:rsid wsp:val=&quot;09BE4364&quot;/&gt;&lt;wsp:rsid wsp:val=&quot;09C15C02&quot;/&gt;&lt;wsp:rsid wsp:val=&quot;09C33728&quot;/&gt;&lt;wsp:rsid wsp:val=&quot;09C37BCC&quot;/&gt;&lt;wsp:rsid wsp:val=&quot;09C4534A&quot;/&gt;&lt;wsp:rsid wsp:val=&quot;09C851E3&quot;/&gt;&lt;wsp:rsid wsp:val=&quot;09CB082F&quot;/&gt;&lt;wsp:rsid wsp:val=&quot;09CB4CD3&quot;/&gt;&lt;wsp:rsid wsp:val=&quot;09CC3D82&quot;/&gt;&lt;wsp:rsid wsp:val=&quot;09CD27F9&quot;/&gt;&lt;wsp:rsid wsp:val=&quot;09CE595E&quot;/&gt;&lt;wsp:rsid wsp:val=&quot;09CF031F&quot;/&gt;&lt;wsp:rsid wsp:val=&quot;09D04097&quot;/&gt;&lt;wsp:rsid wsp:val=&quot;09D26061&quot;/&gt;&lt;wsp:rsid wsp:val=&quot;09D35323&quot;/&gt;&lt;wsp:rsid wsp:val=&quot;09D516AE&quot;/&gt;&lt;wsp:rsid wsp:val=&quot;09D5345C&quot;/&gt;&lt;wsp:rsid wsp:val=&quot;09D57E5C&quot;/&gt;&lt;wsp:rsid wsp:val=&quot;09D65B51&quot;/&gt;&lt;wsp:rsid wsp:val=&quot;09D73678&quot;/&gt;&lt;wsp:rsid wsp:val=&quot;09D973F0&quot;/&gt;&lt;wsp:rsid wsp:val=&quot;09DA6CC4&quot;/&gt;&lt;wsp:rsid wsp:val=&quot;09DC2A3C&quot;/&gt;&lt;wsp:rsid wsp:val=&quot;09DC47EA&quot;/&gt;&lt;wsp:rsid wsp:val=&quot;09DE4A06&quot;/&gt;&lt;wsp:rsid wsp:val=&quot;09DE78F8&quot;/&gt;&lt;wsp:rsid wsp:val=&quot;09DF42DA&quot;/&gt;&lt;wsp:rsid wsp:val=&quot;09E0252C&quot;/&gt;&lt;wsp:rsid wsp:val=&quot;09E10931&quot;/&gt;&lt;wsp:rsid wsp:val=&quot;09E162A4&quot;/&gt;&lt;wsp:rsid wsp:val=&quot;09E22693&quot;/&gt;&lt;wsp:rsid wsp:val=&quot;09E32279&quot;/&gt;&lt;wsp:rsid wsp:val=&quot;09E33DCA&quot;/&gt;&lt;wsp:rsid wsp:val=&quot;09E813E1&quot;/&gt;&lt;wsp:rsid wsp:val=&quot;09ED2377&quot;/&gt;&lt;wsp:rsid wsp:val=&quot;09F064E7&quot;/&gt;&lt;wsp:rsid wsp:val=&quot;09F16263&quot;/&gt;&lt;wsp:rsid wsp:val=&quot;09F20866&quot;/&gt;&lt;wsp:rsid wsp:val=&quot;09F5224A&quot;/&gt;&lt;wsp:rsid wsp:val=&quot;09F63AFE&quot;/&gt;&lt;wsp:rsid wsp:val=&quot;09F63FDE&quot;/&gt;&lt;wsp:rsid wsp:val=&quot;09F71624&quot;/&gt;&lt;wsp:rsid wsp:val=&quot;09F77876&quot;/&gt;&lt;wsp:rsid wsp:val=&quot;09FB1114&quot;/&gt;&lt;wsp:rsid wsp:val=&quot;09FB7366&quot;/&gt;&lt;wsp:rsid wsp:val=&quot;09FC30DE&quot;/&gt;&lt;wsp:rsid wsp:val=&quot;09FE29B2&quot;/&gt;&lt;wsp:rsid wsp:val=&quot;09FE6E56&quot;/&gt;&lt;wsp:rsid wsp:val=&quot;0A002BCE&quot;/&gt;&lt;wsp:rsid wsp:val=&quot;0A00672A&quot;/&gt;&lt;wsp:rsid wsp:val=&quot;0A0124A3&quot;/&gt;&lt;wsp:rsid wsp:val=&quot;0A014251&quot;/&gt;&lt;wsp:rsid wsp:val=&quot;0A021C7D&quot;/&gt;&lt;wsp:rsid wsp:val=&quot;0A037FC9&quot;/&gt;&lt;wsp:rsid wsp:val=&quot;0A042DB5&quot;/&gt;&lt;wsp:rsid wsp:val=&quot;0A043EC0&quot;/&gt;&lt;wsp:rsid wsp:val=&quot;0A065F23&quot;/&gt;&lt;wsp:rsid wsp:val=&quot;0A081A83&quot;/&gt;&lt;wsp:rsid wsp:val=&quot;0A083831&quot;/&gt;&lt;wsp:rsid wsp:val=&quot;0A0855DF&quot;/&gt;&lt;wsp:rsid wsp:val=&quot;0A0A73CC&quot;/&gt;&lt;wsp:rsid wsp:val=&quot;0A0A75A9&quot;/&gt;&lt;wsp:rsid wsp:val=&quot;0A0B52DE&quot;/&gt;&lt;wsp:rsid wsp:val=&quot;0A0C3321&quot;/&gt;&lt;wsp:rsid wsp:val=&quot;0A0F4BBF&quot;/&gt;&lt;wsp:rsid wsp:val=&quot;0A1120C2&quot;/&gt;&lt;wsp:rsid wsp:val=&quot;0A1254C0&quot;/&gt;&lt;wsp:rsid wsp:val=&quot;0A125989&quot;/&gt;&lt;wsp:rsid wsp:val=&quot;0A157CFC&quot;/&gt;&lt;wsp:rsid wsp:val=&quot;0A1641A0&quot;/&gt;&lt;wsp:rsid wsp:val=&quot;0A171CC6&quot;/&gt;&lt;wsp:rsid wsp:val=&quot;0A1977EC&quot;/&gt;&lt;wsp:rsid wsp:val=&quot;0A1C6343&quot;/&gt;&lt;wsp:rsid wsp:val=&quot;0A1C72DC&quot;/&gt;&lt;wsp:rsid wsp:val=&quot;0A1D552E&quot;/&gt;&lt;wsp:rsid wsp:val=&quot;0A1E12A6&quot;/&gt;&lt;wsp:rsid wsp:val=&quot;0A1E3055&quot;/&gt;&lt;wsp:rsid wsp:val=&quot;0A1E4E03&quot;/&gt;&lt;wsp:rsid wsp:val=&quot;0A200B7B&quot;/&gt;&lt;wsp:rsid wsp:val=&quot;0A2166A1&quot;/&gt;&lt;wsp:rsid wsp:val=&quot;0A232C32&quot;/&gt;&lt;wsp:rsid wsp:val=&quot;0A233B87&quot;/&gt;&lt;wsp:rsid wsp:val=&quot;0A2368BD&quot;/&gt;&lt;wsp:rsid wsp:val=&quot;0A252635&quot;/&gt;&lt;wsp:rsid wsp:val=&quot;0A256191&quot;/&gt;&lt;wsp:rsid wsp:val=&quot;0A2564A7&quot;/&gt;&lt;wsp:rsid wsp:val=&quot;0A261F09&quot;/&gt;&lt;wsp:rsid wsp:val=&quot;0A263993&quot;/&gt;&lt;wsp:rsid wsp:val=&quot;0A27773E&quot;/&gt;&lt;wsp:rsid wsp:val=&quot;0A283ED3&quot;/&gt;&lt;wsp:rsid wsp:val=&quot;0A285C81&quot;/&gt;&lt;wsp:rsid wsp:val=&quot;0A2B3004&quot;/&gt;&lt;wsp:rsid wsp:val=&quot;0A2C5771&quot;/&gt;&lt;wsp:rsid wsp:val=&quot;0A2D14EA&quot;/&gt;&lt;wsp:rsid wsp:val=&quot;0A2D3298&quot;/&gt;&lt;wsp:rsid wsp:val=&quot;0A2D3AC2&quot;/&gt;&lt;wsp:rsid wsp:val=&quot;0A335ED5&quot;/&gt;&lt;wsp:rsid wsp:val=&quot;0A344626&quot;/&gt;&lt;wsp:rsid wsp:val=&quot;0A344DEA&quot;/&gt;&lt;wsp:rsid wsp:val=&quot;0A36039E&quot;/&gt;&lt;wsp:rsid wsp:val=&quot;0A365384&quot;/&gt;&lt;wsp:rsid wsp:val=&quot;0A374116&quot;/&gt;&lt;wsp:rsid wsp:val=&quot;0A375EC4&quot;/&gt;&lt;wsp:rsid wsp:val=&quot;0A382368&quot;/&gt;&lt;wsp:rsid wsp:val=&quot;0A395DAD&quot;/&gt;&lt;wsp:rsid wsp:val=&quot;0A3B1E0E&quot;/&gt;&lt;wsp:rsid wsp:val=&quot;0A3B3C06&quot;/&gt;&lt;wsp:rsid wsp:val=&quot;0A3B59B5&quot;/&gt;&lt;wsp:rsid wsp:val=&quot;0A3B7763&quot;/&gt;&lt;wsp:rsid wsp:val=&quot;0A3D5C96&quot;/&gt;&lt;wsp:rsid wsp:val=&quot;0A3D797F&quot;/&gt;&lt;wsp:rsid wsp:val=&quot;0A3E36F7&quot;/&gt;&lt;wsp:rsid wsp:val=&quot;0A3E54A5&quot;/&gt;&lt;wsp:rsid wsp:val=&quot;0A40746F&quot;/&gt;&lt;wsp:rsid wsp:val=&quot;0A410AF1&quot;/&gt;&lt;wsp:rsid wsp:val=&quot;0A426D43&quot;/&gt;&lt;wsp:rsid wsp:val=&quot;0A434869&quot;/&gt;&lt;wsp:rsid wsp:val=&quot;0A445900&quot;/&gt;&lt;wsp:rsid wsp:val=&quot;0A4505E1&quot;/&gt;&lt;wsp:rsid wsp:val=&quot;0A466F21&quot;/&gt;&lt;wsp:rsid wsp:val=&quot;0A4703B1&quot;/&gt;&lt;wsp:rsid wsp:val=&quot;0A4725AB&quot;/&gt;&lt;wsp:rsid wsp:val=&quot;0A4C7BC2&quot;/&gt;&lt;wsp:rsid wsp:val=&quot;0A4E0284&quot;/&gt;&lt;wsp:rsid wsp:val=&quot;0A4E393A&quot;/&gt;&lt;wsp:rsid wsp:val=&quot;0A522CFE&quot;/&gt;&lt;wsp:rsid wsp:val=&quot;0A5254C4&quot;/&gt;&lt;wsp:rsid wsp:val=&quot;0A530F50&quot;/&gt;&lt;wsp:rsid wsp:val=&quot;0A540824&quot;/&gt;&lt;wsp:rsid wsp:val=&quot;0A5440F6&quot;/&gt;&lt;wsp:rsid wsp:val=&quot;0A572A77&quot;/&gt;&lt;wsp:rsid wsp:val=&quot;0A5871AD&quot;/&gt;&lt;wsp:rsid wsp:val=&quot;0A590531&quot;/&gt;&lt;wsp:rsid wsp:val=&quot;0A59408D&quot;/&gt;&lt;wsp:rsid wsp:val=&quot;0A5A77C7&quot;/&gt;&lt;wsp:rsid wsp:val=&quot;0A5D3B7D&quot;/&gt;&lt;wsp:rsid wsp:val=&quot;0A5E7D79&quot;/&gt;&lt;wsp:rsid wsp:val=&quot;0A60541B&quot;/&gt;&lt;wsp:rsid wsp:val=&quot;0A6070FA&quot;/&gt;&lt;wsp:rsid wsp:val=&quot;0A634F0B&quot;/&gt;&lt;wsp:rsid wsp:val=&quot;0A670558&quot;/&gt;&lt;wsp:rsid wsp:val=&quot;0A6749FB&quot;/&gt;&lt;wsp:rsid wsp:val=&quot;0A67799B&quot;/&gt;&lt;wsp:rsid wsp:val=&quot;0A6937F7&quot;/&gt;&lt;wsp:rsid wsp:val=&quot;0A6A0048&quot;/&gt;&lt;wsp:rsid wsp:val=&quot;0A6C0264&quot;/&gt;&lt;wsp:rsid wsp:val=&quot;0A6D7B38&quot;/&gt;&lt;wsp:rsid wsp:val=&quot;0A6E1BE3&quot;/&gt;&lt;wsp:rsid wsp:val=&quot;0A6E2DC3&quot;/&gt;&lt;wsp:rsid wsp:val=&quot;0A7143CA&quot;/&gt;&lt;wsp:rsid wsp:val=&quot;0A71587A&quot;/&gt;&lt;wsp:rsid wsp:val=&quot;0A726EFC&quot;/&gt;&lt;wsp:rsid wsp:val=&quot;0A7315F2&quot;/&gt;&lt;wsp:rsid wsp:val=&quot;0A742C74&quot;/&gt;&lt;wsp:rsid wsp:val=&quot;0A75342F&quot;/&gt;&lt;wsp:rsid wsp:val=&quot;0A780920&quot;/&gt;&lt;wsp:rsid wsp:val=&quot;0A782765&quot;/&gt;&lt;wsp:rsid wsp:val=&quot;0A79028B&quot;/&gt;&lt;wsp:rsid wsp:val=&quot;0A793240&quot;/&gt;&lt;wsp:rsid wsp:val=&quot;0A79472F&quot;/&gt;&lt;wsp:rsid wsp:val=&quot;0A7B2255&quot;/&gt;&lt;wsp:rsid wsp:val=&quot;0A7D5FCD&quot;/&gt;&lt;wsp:rsid wsp:val=&quot;0A7F4ED7&quot;/&gt;&lt;wsp:rsid wsp:val=&quot;0A7F7F97&quot;/&gt;&lt;wsp:rsid wsp:val=&quot;0A801619&quot;/&gt;&lt;wsp:rsid wsp:val=&quot;0A805ABD&quot;/&gt;&lt;wsp:rsid wsp:val=&quot;0A851326&quot;/&gt;&lt;wsp:rsid wsp:val=&quot;0A8530D4&quot;/&gt;&lt;wsp:rsid wsp:val=&quot;0A856C30&quot;/&gt;&lt;wsp:rsid wsp:val=&quot;0A872AF4&quot;/&gt;&lt;wsp:rsid wsp:val=&quot;0A886CD4&quot;/&gt;&lt;wsp:rsid wsp:val=&quot;0A88778E&quot;/&gt;&lt;wsp:rsid wsp:val=&quot;0A8A06EA&quot;/&gt;&lt;wsp:rsid wsp:val=&quot;0A8A41C5&quot;/&gt;&lt;wsp:rsid wsp:val=&quot;0A8C0226&quot;/&gt;&lt;wsp:rsid wsp:val=&quot;0A8C4462&quot;/&gt;&lt;wsp:rsid wsp:val=&quot;0A8C6210&quot;/&gt;&lt;wsp:rsid wsp:val=&quot;0A8E5717&quot;/&gt;&lt;wsp:rsid wsp:val=&quot;0A8F7AAE&quot;/&gt;&lt;wsp:rsid wsp:val=&quot;0A905466&quot;/&gt;&lt;wsp:rsid wsp:val=&quot;0A913826&quot;/&gt;&lt;wsp:rsid wsp:val=&quot;0A934F20&quot;/&gt;&lt;wsp:rsid wsp:val=&quot;0A93759F&quot;/&gt;&lt;wsp:rsid wsp:val=&quot;0A9450C5&quot;/&gt;&lt;wsp:rsid wsp:val=&quot;0A975339&quot;/&gt;&lt;wsp:rsid wsp:val=&quot;0A9926DB&quot;/&gt;&lt;wsp:rsid wsp:val=&quot;0A9B61E0&quot;/&gt;&lt;wsp:rsid wsp:val=&quot;0A9F4BAA&quot;/&gt;&lt;wsp:rsid wsp:val=&quot;0AA03A6A&quot;/&gt;&lt;wsp:rsid wsp:val=&quot;0AA07F0D&quot;/&gt;&lt;wsp:rsid wsp:val=&quot;0AA277E2&quot;/&gt;&lt;wsp:rsid wsp:val=&quot;0AA30322&quot;/&gt;&lt;wsp:rsid wsp:val=&quot;0AA417AC&quot;/&gt;&lt;wsp:rsid wsp:val=&quot;0AA572D2&quot;/&gt;&lt;wsp:rsid wsp:val=&quot;0AA64BFD&quot;/&gt;&lt;wsp:rsid wsp:val=&quot;0AA7304A&quot;/&gt;&lt;wsp:rsid wsp:val=&quot;0AA7305B&quot;/&gt;&lt;wsp:rsid wsp:val=&quot;0AA755DF&quot;/&gt;&lt;wsp:rsid wsp:val=&quot;0AA95014&quot;/&gt;&lt;wsp:rsid wsp:val=&quot;0AA96DC2&quot;/&gt;&lt;wsp:rsid wsp:val=&quot;0AAA48E8&quot;/&gt;&lt;wsp:rsid wsp:val=&quot;0AAA76AD&quot;/&gt;&lt;wsp:rsid wsp:val=&quot;0AAE262A&quot;/&gt;&lt;wsp:rsid wsp:val=&quot;0AAE6186&quot;/&gt;&lt;wsp:rsid wsp:val=&quot;0AAF0151&quot;/&gt;&lt;wsp:rsid wsp:val=&quot;0AAF1EFF&quot;/&gt;&lt;wsp:rsid wsp:val=&quot;0AB13EC9&quot;/&gt;&lt;wsp:rsid wsp:val=&quot;0AB15C77&quot;/&gt;&lt;wsp:rsid wsp:val=&quot;0AB1607D&quot;/&gt;&lt;wsp:rsid wsp:val=&quot;0AB319EF&quot;/&gt;&lt;wsp:rsid wsp:val=&quot;0AB32A98&quot;/&gt;&lt;wsp:rsid wsp:val=&quot;0AB3379D&quot;/&gt;&lt;wsp:rsid wsp:val=&quot;0AB47515&quot;/&gt;&lt;wsp:rsid wsp:val=&quot;0AB539B9&quot;/&gt;&lt;wsp:rsid wsp:val=&quot;0AB6328D&quot;/&gt;&lt;wsp:rsid wsp:val=&quot;0AB67731&quot;/&gt;&lt;wsp:rsid wsp:val=&quot;0AB76A72&quot;/&gt;&lt;wsp:rsid wsp:val=&quot;0AB87005&quot;/&gt;&lt;wsp:rsid wsp:val=&quot;0AB9243E&quot;/&gt;&lt;wsp:rsid wsp:val=&quot;0ABA0FCF&quot;/&gt;&lt;wsp:rsid wsp:val=&quot;0ABA2D7D&quot;/&gt;&lt;wsp:rsid wsp:val=&quot;0ABB157D&quot;/&gt;&lt;wsp:rsid wsp:val=&quot;0ABB4D47&quot;/&gt;&lt;wsp:rsid wsp:val=&quot;0ABB6AF5&quot;/&gt;&lt;wsp:rsid wsp:val=&quot;0ABD461B&quot;/&gt;&lt;wsp:rsid wsp:val=&quot;0ABF4757&quot;/&gt;&lt;wsp:rsid wsp:val=&quot;0AC260D6&quot;/&gt;&lt;wsp:rsid wsp:val=&quot;0AC27E84&quot;/&gt;&lt;wsp:rsid wsp:val=&quot;0AC503B7&quot;/&gt;&lt;wsp:rsid wsp:val=&quot;0AC51722&quot;/&gt;&lt;wsp:rsid wsp:val=&quot;0AC56739&quot;/&gt;&lt;wsp:rsid wsp:val=&quot;0AC57974&quot;/&gt;&lt;wsp:rsid wsp:val=&quot;0AC7549A&quot;/&gt;&lt;wsp:rsid wsp:val=&quot;0AC96233&quot;/&gt;&lt;wsp:rsid wsp:val=&quot;0ACA1658&quot;/&gt;&lt;wsp:rsid wsp:val=&quot;0ACC5D22&quot;/&gt;&lt;wsp:rsid wsp:val=&quot;0ACE4A7B&quot;/&gt;&lt;wsp:rsid wsp:val=&quot;0AD100C7&quot;/&gt;&lt;wsp:rsid wsp:val=&quot;0AD16319&quot;/&gt;&lt;wsp:rsid wsp:val=&quot;0AD32091&quot;/&gt;&lt;wsp:rsid wsp:val=&quot;0AD6133C&quot;/&gt;&lt;wsp:rsid wsp:val=&quot;0AD61B81&quot;/&gt;&lt;wsp:rsid wsp:val=&quot;0AD876A7&quot;/&gt;&lt;wsp:rsid wsp:val=&quot;0ADA114D&quot;/&gt;&lt;wsp:rsid wsp:val=&quot;0ADD6A6C&quot;/&gt;&lt;wsp:rsid wsp:val=&quot;0ADF0F5E&quot;/&gt;&lt;wsp:rsid wsp:val=&quot;0AE20526&quot;/&gt;&lt;wsp:rsid wsp:val=&quot;0AE47DFA&quot;/&gt;&lt;wsp:rsid wsp:val=&quot;0AE55920&quot;/&gt;&lt;wsp:rsid wsp:val=&quot;0AE61DC4&quot;/&gt;&lt;wsp:rsid wsp:val=&quot;0AE676F0&quot;/&gt;&lt;wsp:rsid wsp:val=&quot;0AED76B8&quot;/&gt;&lt;wsp:rsid wsp:val=&quot;0AF02C43&quot;/&gt;&lt;wsp:rsid wsp:val=&quot;0AF049F1&quot;/&gt;&lt;wsp:rsid wsp:val=&quot;0AF0679F&quot;/&gt;&lt;wsp:rsid wsp:val=&quot;0AF10769&quot;/&gt;&lt;wsp:rsid wsp:val=&quot;0AF12517&quot;/&gt;&lt;wsp:rsid wsp:val=&quot;0AF13E1F&quot;/&gt;&lt;wsp:rsid wsp:val=&quot;0AF344E1&quot;/&gt;&lt;wsp:rsid wsp:val=&quot;0AF40A48&quot;/&gt;&lt;wsp:rsid wsp:val=&quot;0AF46B43&quot;/&gt;&lt;wsp:rsid wsp:val=&quot;0AF50230&quot;/&gt;&lt;wsp:rsid wsp:val=&quot;0AF83246&quot;/&gt;&lt;wsp:rsid wsp:val=&quot;0AF85654&quot;/&gt;&lt;wsp:rsid wsp:val=&quot;0AF97978&quot;/&gt;&lt;wsp:rsid wsp:val=&quot;0AFA5870&quot;/&gt;&lt;wsp:rsid wsp:val=&quot;0AFB2838&quot;/&gt;&lt;wsp:rsid wsp:val=&quot;0AFB3396&quot;/&gt;&lt;wsp:rsid wsp:val=&quot;0AFD0EBC&quot;/&gt;&lt;wsp:rsid wsp:val=&quot;0AFD2C6A&quot;/&gt;&lt;wsp:rsid wsp:val=&quot;0AFF4C34&quot;/&gt;&lt;wsp:rsid wsp:val=&quot;0AFF69E2&quot;/&gt;&lt;wsp:rsid wsp:val=&quot;0B022976&quot;/&gt;&lt;wsp:rsid wsp:val=&quot;0B024724&quot;/&gt;&lt;wsp:rsid wsp:val=&quot;0B026C14&quot;/&gt;&lt;wsp:rsid wsp:val=&quot;0B043FF8&quot;/&gt;&lt;wsp:rsid wsp:val=&quot;0B064214&quot;/&gt;&lt;wsp:rsid wsp:val=&quot;0B093D05&quot;/&gt;&lt;wsp:rsid wsp:val=&quot;0B0B182B&quot;/&gt;&lt;wsp:rsid wsp:val=&quot;0B0B35D9&quot;/&gt;&lt;wsp:rsid wsp:val=&quot;0B0C36F5&quot;/&gt;&lt;wsp:rsid wsp:val=&quot;0B0C55A3&quot;/&gt;&lt;wsp:rsid wsp:val=&quot;0B0E131B&quot;/&gt;&lt;wsp:rsid wsp:val=&quot;0B0E4E77&quot;/&gt;&lt;wsp:rsid wsp:val=&quot;0B0F4442&quot;/&gt;&lt;wsp:rsid wsp:val=&quot;0B0F4475&quot;/&gt;&lt;wsp:rsid wsp:val=&quot;0B106E41&quot;/&gt;&lt;wsp:rsid wsp:val=&quot;0B112BB9&quot;/&gt;&lt;wsp:rsid wsp:val=&quot;0B116715&quot;/&gt;&lt;wsp:rsid wsp:val=&quot;0B120D44&quot;/&gt;&lt;wsp:rsid wsp:val=&quot;0B1306DF&quot;/&gt;&lt;wsp:rsid wsp:val=&quot;0B1526A9&quot;/&gt;&lt;wsp:rsid wsp:val=&quot;0B1609CB&quot;/&gt;&lt;wsp:rsid wsp:val=&quot;0B1701D0&quot;/&gt;&lt;wsp:rsid wsp:val=&quot;0B187AA4&quot;/&gt;&lt;wsp:rsid wsp:val=&quot;0B1A59F6&quot;/&gt;&lt;wsp:rsid wsp:val=&quot;0B1B1342&quot;/&gt;&lt;wsp:rsid wsp:val=&quot;0B1B7594&quot;/&gt;&lt;wsp:rsid wsp:val=&quot;0B1C57E6&quot;/&gt;&lt;wsp:rsid wsp:val=&quot;0B1D155E&quot;/&gt;&lt;wsp:rsid wsp:val=&quot;0B1F0E32&quot;/&gt;&lt;wsp:rsid wsp:val=&quot;0B21104E&quot;/&gt;&lt;wsp:rsid wsp:val=&quot;0B212DFC&quot;/&gt;&lt;wsp:rsid wsp:val=&quot;0B226B74&quot;/&gt;&lt;wsp:rsid wsp:val=&quot;0B260413&quot;/&gt;&lt;wsp:rsid wsp:val=&quot;0B2621C1&quot;/&gt;&lt;wsp:rsid wsp:val=&quot;0B2823DD&quot;/&gt;&lt;wsp:rsid wsp:val=&quot;0B2B3533&quot;/&gt;&lt;wsp:rsid wsp:val=&quot;0B2B3C7B&quot;/&gt;&lt;wsp:rsid wsp:val=&quot;0B2B4994&quot;/&gt;&lt;wsp:rsid wsp:val=&quot;0B2B77D7&quot;/&gt;&lt;wsp:rsid wsp:val=&quot;0B2E376B&quot;/&gt;&lt;wsp:rsid wsp:val=&quot;0B2F0419&quot;/&gt;&lt;wsp:rsid wsp:val=&quot;0B30303F&quot;/&gt;&lt;wsp:rsid wsp:val=&quot;0B315442&quot;/&gt;&lt;wsp:rsid wsp:val=&quot;0B325009&quot;/&gt;&lt;wsp:rsid wsp:val=&quot;0B330D82&quot;/&gt;&lt;wsp:rsid wsp:val=&quot;0B332B30&quot;/&gt;&lt;wsp:rsid wsp:val=&quot;0B350656&quot;/&gt;&lt;wsp:rsid wsp:val=&quot;0B352404&quot;/&gt;&lt;wsp:rsid wsp:val=&quot;0B3568A8&quot;/&gt;&lt;wsp:rsid wsp:val=&quot;0B36617C&quot;/&gt;&lt;wsp:rsid wsp:val=&quot;0B3A7735&quot;/&gt;&lt;wsp:rsid wsp:val=&quot;0B3D39AE&quot;/&gt;&lt;wsp:rsid wsp:val=&quot;0B41349E&quot;/&gt;&lt;wsp:rsid wsp:val=&quot;0B424B21&quot;/&gt;&lt;wsp:rsid wsp:val=&quot;0B425A17&quot;/&gt;&lt;wsp:rsid wsp:val=&quot;0B460AB5&quot;/&gt;&lt;wsp:rsid wsp:val=&quot;0B464611&quot;/&gt;&lt;wsp:rsid wsp:val=&quot;0B494101&quot;/&gt;&lt;wsp:rsid wsp:val=&quot;0B495713&quot;/&gt;&lt;wsp:rsid wsp:val=&quot;0B4D3BF1&quot;/&gt;&lt;wsp:rsid wsp:val=&quot;0B4E1717&quot;/&gt;&lt;wsp:rsid wsp:val=&quot;0B4E7969&quot;/&gt;&lt;wsp:rsid wsp:val=&quot;0B52745A&quot;/&gt;&lt;wsp:rsid wsp:val=&quot;0B5330E0&quot;/&gt;&lt;wsp:rsid wsp:val=&quot;0B534F80&quot;/&gt;&lt;wsp:rsid wsp:val=&quot;0B554854&quot;/&gt;&lt;wsp:rsid wsp:val=&quot;0B57681E&quot;/&gt;&lt;wsp:rsid wsp:val=&quot;0B584344&quot;/&gt;&lt;wsp:rsid wsp:val=&quot;0B5A67F7&quot;/&gt;&lt;wsp:rsid wsp:val=&quot;0B5B2331&quot;/&gt;&lt;wsp:rsid wsp:val=&quot;0B5C3E34&quot;/&gt;&lt;wsp:rsid wsp:val=&quot;0B5D195B&quot;/&gt;&lt;wsp:rsid wsp:val=&quot;0B5F3925&quot;/&gt;&lt;wsp:rsid wsp:val=&quot;0B610D74&quot;/&gt;&lt;wsp:rsid wsp:val=&quot;0B61144B&quot;/&gt;&lt;wsp:rsid wsp:val=&quot;0B612DC8&quot;/&gt;&lt;wsp:rsid wsp:val=&quot;0B635EFF&quot;/&gt;&lt;wsp:rsid wsp:val=&quot;0B6363AB&quot;/&gt;&lt;wsp:rsid wsp:val=&quot;0B640F3B&quot;/&gt;&lt;wsp:rsid wsp:val=&quot;0B653E82&quot;/&gt;&lt;wsp:rsid wsp:val=&quot;0B664CB3&quot;/&gt;&lt;wsp:rsid wsp:val=&quot;0B6727D9&quot;/&gt;&lt;wsp:rsid wsp:val=&quot;0B674587&quot;/&gt;&lt;wsp:rsid wsp:val=&quot;0B680A2B&quot;/&gt;&lt;wsp:rsid wsp:val=&quot;0B6C5BA6&quot;/&gt;&lt;wsp:rsid wsp:val=&quot;0B6D61E9&quot;/&gt;&lt;wsp:rsid wsp:val=&quot;0B6E5916&quot;/&gt;&lt;wsp:rsid wsp:val=&quot;0B6E7BBE&quot;/&gt;&lt;wsp:rsid wsp:val=&quot;0B723658&quot;/&gt;&lt;wsp:rsid wsp:val=&quot;0B725F18&quot;/&gt;&lt;wsp:rsid wsp:val=&quot;0B732F2C&quot;/&gt;&lt;wsp:rsid wsp:val=&quot;0B7373D0&quot;/&gt;&lt;wsp:rsid wsp:val=&quot;0B7471EA&quot;/&gt;&lt;wsp:rsid wsp:val=&quot;0B756CA4&quot;/&gt;&lt;wsp:rsid wsp:val=&quot;0B776EC0&quot;/&gt;&lt;wsp:rsid wsp:val=&quot;0B7849E6&quot;/&gt;&lt;wsp:rsid wsp:val=&quot;0B786794&quot;/&gt;&lt;wsp:rsid wsp:val=&quot;0B792C38&quot;/&gt;&lt;wsp:rsid wsp:val=&quot;0B7A1CF4&quot;/&gt;&lt;wsp:rsid wsp:val=&quot;0B7A250D&quot;/&gt;&lt;wsp:rsid wsp:val=&quot;0B7B191B&quot;/&gt;&lt;wsp:rsid wsp:val=&quot;0B7B255E&quot;/&gt;&lt;wsp:rsid wsp:val=&quot;0B7B44EC&quot;/&gt;&lt;wsp:rsid wsp:val=&quot;0B7B708E&quot;/&gt;&lt;wsp:rsid wsp:val=&quot;0B7C0033&quot;/&gt;&lt;wsp:rsid wsp:val=&quot;0B7D3DAB&quot;/&gt;&lt;wsp:rsid wsp:val=&quot;0B7F3C9A&quot;/&gt;&lt;wsp:rsid wsp:val=&quot;0B7F3FC7&quot;/&gt;&lt;wsp:rsid wsp:val=&quot;0B811AED&quot;/&gt;&lt;wsp:rsid wsp:val=&quot;0B81389B&quot;/&gt;&lt;wsp:rsid wsp:val=&quot;0B815649&quot;/&gt;&lt;wsp:rsid wsp:val=&quot;0B8213C1&quot;/&gt;&lt;wsp:rsid wsp:val=&quot;0B8217EE&quot;/&gt;&lt;wsp:rsid wsp:val=&quot;0B837613&quot;/&gt;&lt;wsp:rsid wsp:val=&quot;0B8415DD&quot;/&gt;&lt;wsp:rsid wsp:val=&quot;0B845C08&quot;/&gt;&lt;wsp:rsid wsp:val=&quot;0B855DBF&quot;/&gt;&lt;wsp:rsid wsp:val=&quot;0B8769D7&quot;/&gt;&lt;wsp:rsid wsp:val=&quot;0B883F1F&quot;/&gt;&lt;wsp:rsid wsp:val=&quot;0B884C29&quot;/&gt;&lt;wsp:rsid wsp:val=&quot;0B896BF3&quot;/&gt;&lt;wsp:rsid wsp:val=&quot;0B8C1CD4&quot;/&gt;&lt;wsp:rsid wsp:val=&quot;0B8C5773&quot;/&gt;&lt;wsp:rsid wsp:val=&quot;0B8E5FB8&quot;/&gt;&lt;wsp:rsid wsp:val=&quot;0B931032&quot;/&gt;&lt;wsp:rsid wsp:val=&quot;0B932773&quot;/&gt;&lt;wsp:rsid wsp:val=&quot;0B9412A5&quot;/&gt;&lt;wsp:rsid wsp:val=&quot;0B941820&quot;/&gt;&lt;wsp:rsid wsp:val=&quot;0B955598&quot;/&gt;&lt;wsp:rsid wsp:val=&quot;0B995695&quot;/&gt;&lt;wsp:rsid wsp:val=&quot;0B996E37&quot;/&gt;&lt;wsp:rsid wsp:val=&quot;0B9A2BAF&quot;/&gt;&lt;wsp:rsid wsp:val=&quot;0B9B34E3&quot;/&gt;&lt;wsp:rsid wsp:val=&quot;0B9C2483&quot;/&gt;&lt;wsp:rsid wsp:val=&quot;0B9D61FB&quot;/&gt;&lt;wsp:rsid wsp:val=&quot;0BA17A99&quot;/&gt;&lt;wsp:rsid wsp:val=&quot;0BA37CB5&quot;/&gt;&lt;wsp:rsid wsp:val=&quot;0BA40E03&quot;/&gt;&lt;wsp:rsid wsp:val=&quot;0BA457DB&quot;/&gt;&lt;wsp:rsid wsp:val=&quot;0BA47589&quot;/&gt;&lt;wsp:rsid wsp:val=&quot;0BA80E28&quot;/&gt;&lt;wsp:rsid wsp:val=&quot;0BA83509&quot;/&gt;&lt;wsp:rsid wsp:val=&quot;0BA852CC&quot;/&gt;&lt;wsp:rsid wsp:val=&quot;0BA92DA1&quot;/&gt;&lt;wsp:rsid wsp:val=&quot;0BA93258&quot;/&gt;&lt;wsp:rsid wsp:val=&quot;0BA95DFE&quot;/&gt;&lt;wsp:rsid wsp:val=&quot;0BAA5E29&quot;/&gt;&lt;wsp:rsid wsp:val=&quot;0BAC0749&quot;/&gt;&lt;wsp:rsid wsp:val=&quot;0BAD643E&quot;/&gt;&lt;wsp:rsid wsp:val=&quot;0BAE0408&quot;/&gt;&lt;wsp:rsid wsp:val=&quot;0BB05F2E&quot;/&gt;&lt;wsp:rsid wsp:val=&quot;0BB21CA6&quot;/&gt;&lt;wsp:rsid wsp:val=&quot;0BB2509F&quot;/&gt;&lt;wsp:rsid wsp:val=&quot;0BB53545&quot;/&gt;&lt;wsp:rsid wsp:val=&quot;0BB7042D&quot;/&gt;&lt;wsp:rsid wsp:val=&quot;0BB772BD&quot;/&gt;&lt;wsp:rsid wsp:val=&quot;0BB84DE3&quot;/&gt;&lt;wsp:rsid wsp:val=&quot;0BB92D4D&quot;/&gt;&lt;wsp:rsid wsp:val=&quot;0BBA2E99&quot;/&gt;&lt;wsp:rsid wsp:val=&quot;0BBC023E&quot;/&gt;&lt;wsp:rsid wsp:val=&quot;0BBF2615&quot;/&gt;&lt;wsp:rsid wsp:val=&quot;0BBF7D67&quot;/&gt;&lt;wsp:rsid wsp:val=&quot;0BC15EF9&quot;/&gt;&lt;wsp:rsid wsp:val=&quot;0BC30917&quot;/&gt;&lt;wsp:rsid wsp:val=&quot;0BC32105&quot;/&gt;&lt;wsp:rsid wsp:val=&quot;0BC55E7E&quot;/&gt;&lt;wsp:rsid wsp:val=&quot;0BC63786&quot;/&gt;&lt;wsp:rsid wsp:val=&quot;0BC639A4&quot;/&gt;&lt;wsp:rsid wsp:val=&quot;0BC65752&quot;/&gt;&lt;wsp:rsid wsp:val=&quot;0BC7676E&quot;/&gt;&lt;wsp:rsid wsp:val=&quot;0BC814CA&quot;/&gt;&lt;wsp:rsid wsp:val=&quot;0BC83278&quot;/&gt;&lt;wsp:rsid wsp:val=&quot;0BC83EB9&quot;/&gt;&lt;wsp:rsid wsp:val=&quot;0BCD6AE0&quot;/&gt;&lt;wsp:rsid wsp:val=&quot;0BD065D0&quot;/&gt;&lt;wsp:rsid wsp:val=&quot;0BD25EA5&quot;/&gt;&lt;wsp:rsid wsp:val=&quot;0BD27BF6&quot;/&gt;&lt;wsp:rsid wsp:val=&quot;0BD31C1D&quot;/&gt;&lt;wsp:rsid wsp:val=&quot;0BD75BB1&quot;/&gt;&lt;wsp:rsid wsp:val=&quot;0BD87233&quot;/&gt;&lt;wsp:rsid wsp:val=&quot;0BDB744F&quot;/&gt;&lt;wsp:rsid wsp:val=&quot;0BDC4F75&quot;/&gt;&lt;wsp:rsid wsp:val=&quot;0BDC6D23&quot;/&gt;&lt;wsp:rsid wsp:val=&quot;0BDE2A9B&quot;/&gt;&lt;wsp:rsid wsp:val=&quot;0BDE6F3F&quot;/&gt;&lt;wsp:rsid wsp:val=&quot;0BDF05C2&quot;/&gt;&lt;wsp:rsid wsp:val=&quot;0BE107DE&quot;/&gt;&lt;wsp:rsid wsp:val=&quot;0BE2000F&quot;/&gt;&lt;wsp:rsid wsp:val=&quot;0BE300B2&quot;/&gt;&lt;wsp:rsid wsp:val=&quot;0BE34556&quot;/&gt;&lt;wsp:rsid wsp:val=&quot;0BE370B5&quot;/&gt;&lt;wsp:rsid wsp:val=&quot;0BE43E2A&quot;/&gt;&lt;wsp:rsid wsp:val=&quot;0BE45BD8&quot;/&gt;&lt;wsp:rsid wsp:val=&quot;0BE5207C&quot;/&gt;&lt;wsp:rsid wsp:val=&quot;0BE65DF4&quot;/&gt;&lt;wsp:rsid wsp:val=&quot;0BE91440&quot;/&gt;&lt;wsp:rsid wsp:val=&quot;0BEA58E4&quot;/&gt;&lt;wsp:rsid wsp:val=&quot;0BEA7692&quot;/&gt;&lt;wsp:rsid wsp:val=&quot;0BEB340A&quot;/&gt;&lt;wsp:rsid wsp:val=&quot;0BEB474C&quot;/&gt;&lt;wsp:rsid wsp:val=&quot;0BEB51B8&quot;/&gt;&lt;wsp:rsid wsp:val=&quot;0BED2CDE&quot;/&gt;&lt;wsp:rsid wsp:val=&quot;0BED7182&quot;/&gt;&lt;wsp:rsid wsp:val=&quot;0BEE469A&quot;/&gt;&lt;wsp:rsid wsp:val=&quot;0BEF4CA9&quot;/&gt;&lt;wsp:rsid wsp:val=&quot;0BF00A21&quot;/&gt;&lt;wsp:rsid wsp:val=&quot;0BF0712E&quot;/&gt;&lt;wsp:rsid wsp:val=&quot;0BF4406D&quot;/&gt;&lt;wsp:rsid wsp:val=&quot;0BF73321&quot;/&gt;&lt;wsp:rsid wsp:val=&quot;0BF7590B&quot;/&gt;&lt;wsp:rsid wsp:val=&quot;0BF91921&quot;/&gt;&lt;wsp:rsid wsp:val=&quot;0BF978D5&quot;/&gt;&lt;wsp:rsid wsp:val=&quot;0BFA5A3B&quot;/&gt;&lt;wsp:rsid wsp:val=&quot;0BFC1173&quot;/&gt;&lt;wsp:rsid wsp:val=&quot;0BFC73C5&quot;/&gt;&lt;wsp:rsid wsp:val=&quot;0BFE4EEC&quot;/&gt;&lt;wsp:rsid wsp:val=&quot;0BFE54F1&quot;/&gt;&lt;wsp:rsid wsp:val=&quot;0BFF2A12&quot;/&gt;&lt;wsp:rsid wsp:val=&quot;0C006C23&quot;/&gt;&lt;wsp:rsid wsp:val=&quot;0C006EB6&quot;/&gt;&lt;wsp:rsid wsp:val=&quot;0C01678A&quot;/&gt;&lt;wsp:rsid wsp:val=&quot;0C030754&quot;/&gt;&lt;wsp:rsid wsp:val=&quot;0C032502&quot;/&gt;&lt;wsp:rsid wsp:val=&quot;0C0471A1&quot;/&gt;&lt;wsp:rsid wsp:val=&quot;0C060244&quot;/&gt;&lt;wsp:rsid wsp:val=&quot;0C0727E4&quot;/&gt;&lt;wsp:rsid wsp:val=&quot;0C0859DB&quot;/&gt;&lt;wsp:rsid wsp:val=&quot;0C0B585A&quot;/&gt;&lt;wsp:rsid wsp:val=&quot;0C0B7609&quot;/&gt;&lt;wsp:rsid wsp:val=&quot;0C0D3381&quot;/&gt;&lt;wsp:rsid wsp:val=&quot;0C0D3BE5&quot;/&gt;&lt;wsp:rsid wsp:val=&quot;0C0E1D54&quot;/&gt;&lt;wsp:rsid wsp:val=&quot;0C0E2D11&quot;/&gt;&lt;wsp:rsid wsp:val=&quot;0C0F70F9&quot;/&gt;&lt;wsp:rsid wsp:val=&quot;0C104FD7&quot;/&gt;&lt;wsp:rsid wsp:val=&quot;0C107BA8&quot;/&gt;&lt;wsp:rsid wsp:val=&quot;0C112E71&quot;/&gt;&lt;wsp:rsid wsp:val=&quot;0C116467&quot;/&gt;&lt;wsp:rsid wsp:val=&quot;0C1174B2&quot;/&gt;&lt;wsp:rsid wsp:val=&quot;0C120997&quot;/&gt;&lt;wsp:rsid wsp:val=&quot;0C1464BD&quot;/&gt;&lt;wsp:rsid wsp:val=&quot;0C152235&quot;/&gt;&lt;wsp:rsid wsp:val=&quot;0C160487&quot;/&gt;&lt;wsp:rsid wsp:val=&quot;0C175FAD&quot;/&gt;&lt;wsp:rsid wsp:val=&quot;0C177D5B&quot;/&gt;&lt;wsp:rsid wsp:val=&quot;0C191D25&quot;/&gt;&lt;wsp:rsid wsp:val=&quot;0C1B46F8&quot;/&gt;&lt;wsp:rsid wsp:val=&quot;0C1C7A68&quot;/&gt;&lt;wsp:rsid wsp:val=&quot;0C215F5C&quot;/&gt;&lt;wsp:rsid wsp:val=&quot;0C230DF6&quot;/&gt;&lt;wsp:rsid wsp:val=&quot;0C234952&quot;/&gt;&lt;wsp:rsid wsp:val=&quot;0C2514B7&quot;/&gt;&lt;wsp:rsid wsp:val=&quot;0C254BBB&quot;/&gt;&lt;wsp:rsid wsp:val=&quot;0C25691C&quot;/&gt;&lt;wsp:rsid wsp:val=&quot;0C2801BA&quot;/&gt;&lt;wsp:rsid wsp:val=&quot;0C2846EE&quot;/&gt;&lt;wsp:rsid wsp:val=&quot;0C2A3F33&quot;/&gt;&lt;wsp:rsid wsp:val=&quot;0C2B1A59&quot;/&gt;&lt;wsp:rsid wsp:val=&quot;0C2B3807&quot;/&gt;&lt;wsp:rsid wsp:val=&quot;0C2C7CAB&quot;/&gt;&lt;wsp:rsid wsp:val=&quot;0C322DE7&quot;/&gt;&lt;wsp:rsid wsp:val=&quot;0C324B95&quot;/&gt;&lt;wsp:rsid wsp:val=&quot;0C3374A6&quot;/&gt;&lt;wsp:rsid wsp:val=&quot;0C346B5F&quot;/&gt;&lt;wsp:rsid wsp:val=&quot;0C364685&quot;/&gt;&lt;wsp:rsid wsp:val=&quot;0C3703FE&quot;/&gt;&lt;wsp:rsid wsp:val=&quot;0C394176&quot;/&gt;&lt;wsp:rsid wsp:val=&quot;0C395F3C&quot;/&gt;&lt;wsp:rsid wsp:val=&quot;0C3A0244&quot;/&gt;&lt;wsp:rsid wsp:val=&quot;0C3B1C9C&quot;/&gt;&lt;wsp:rsid wsp:val=&quot;0C3B3C7D&quot;/&gt;&lt;wsp:rsid wsp:val=&quot;0C3B6140&quot;/&gt;&lt;wsp:rsid wsp:val=&quot;0C3B7EEE&quot;/&gt;&lt;wsp:rsid wsp:val=&quot;0C3C77C2&quot;/&gt;&lt;wsp:rsid wsp:val=&quot;0C3D1EB8&quot;/&gt;&lt;wsp:rsid wsp:val=&quot;0C3D3FF4&quot;/&gt;&lt;wsp:rsid wsp:val=&quot;0C3D45A5&quot;/&gt;&lt;wsp:rsid wsp:val=&quot;0C3E178C&quot;/&gt;&lt;wsp:rsid wsp:val=&quot;0C3E4981&quot;/&gt;&lt;wsp:rsid wsp:val=&quot;0C3E5484&quot;/&gt;&lt;wsp:rsid wsp:val=&quot;0C3F14E5&quot;/&gt;&lt;wsp:rsid wsp:val=&quot;0C403756&quot;/&gt;&lt;wsp:rsid wsp:val=&quot;0C41127C&quot;/&gt;&lt;wsp:rsid wsp:val=&quot;0C41302A&quot;/&gt;&lt;wsp:rsid wsp:val=&quot;0C4148FE&quot;/&gt;&lt;wsp:rsid wsp:val=&quot;0C430B50&quot;/&gt;&lt;wsp:rsid wsp:val=&quot;0C436DA2&quot;/&gt;&lt;wsp:rsid wsp:val=&quot;0C45205D&quot;/&gt;&lt;wsp:rsid wsp:val=&quot;0C452C96&quot;/&gt;&lt;wsp:rsid wsp:val=&quot;0C460641&quot;/&gt;&lt;wsp:rsid wsp:val=&quot;0C47614F&quot;/&gt;&lt;wsp:rsid wsp:val=&quot;0C476893&quot;/&gt;&lt;wsp:rsid wsp:val=&quot;0C48085D&quot;/&gt;&lt;wsp:rsid wsp:val=&quot;0C482675&quot;/&gt;&lt;wsp:rsid wsp:val=&quot;0C492597&quot;/&gt;&lt;wsp:rsid wsp:val=&quot;0C4A3397&quot;/&gt;&lt;wsp:rsid wsp:val=&quot;0C4B11C9&quot;/&gt;&lt;wsp:rsid wsp:val=&quot;0C4D19CF&quot;/&gt;&lt;wsp:rsid wsp:val=&quot;0C4D7C21&quot;/&gt;&lt;wsp:rsid wsp:val=&quot;0C4E201F&quot;/&gt;&lt;wsp:rsid wsp:val=&quot;0C4E75A8&quot;/&gt;&lt;wsp:rsid wsp:val=&quot;0C4F5747&quot;/&gt;&lt;wsp:rsid wsp:val=&quot;0C510BAA&quot;/&gt;&lt;wsp:rsid wsp:val=&quot;0C517711&quot;/&gt;&lt;wsp:rsid wsp:val=&quot;0C550358&quot;/&gt;&lt;wsp:rsid wsp:val=&quot;0C5614BF&quot;/&gt;&lt;wsp:rsid wsp:val=&quot;0C564D28&quot;/&gt;&lt;wsp:rsid wsp:val=&quot;0C5745FC&quot;/&gt;&lt;wsp:rsid wsp:val=&quot;0C5C1C12&quot;/&gt;&lt;wsp:rsid wsp:val=&quot;0C5E3BDC&quot;/&gt;&lt;wsp:rsid wsp:val=&quot;0C62191E&quot;/&gt;&lt;wsp:rsid wsp:val=&quot;0C623BFC&quot;/&gt;&lt;wsp:rsid wsp:val=&quot;0C6250DD&quot;/&gt;&lt;wsp:rsid wsp:val=&quot;0C654F6B&quot;/&gt;&lt;wsp:rsid wsp:val=&quot;0C68140E&quot;/&gt;&lt;wsp:rsid wsp:val=&quot;0C686809&quot;/&gt;&lt;wsp:rsid wsp:val=&quot;0C690D99&quot;/&gt;&lt;wsp:rsid wsp:val=&quot;0C692CAD&quot;/&gt;&lt;wsp:rsid wsp:val=&quot;0C6A4098&quot;/&gt;&lt;wsp:rsid wsp:val=&quot;0C6D2071&quot;/&gt;&lt;wsp:rsid wsp:val=&quot;0C711B61&quot;/&gt;&lt;wsp:rsid wsp:val=&quot;0C71390F&quot;/&gt;&lt;wsp:rsid wsp:val=&quot;0C71711F&quot;/&gt;&lt;wsp:rsid wsp:val=&quot;0C730031&quot;/&gt;&lt;wsp:rsid wsp:val=&quot;0C735804&quot;/&gt;&lt;wsp:rsid wsp:val=&quot;0C7358DA&quot;/&gt;&lt;wsp:rsid wsp:val=&quot;0C741652&quot;/&gt;&lt;wsp:rsid wsp:val=&quot;0C762CD4&quot;/&gt;&lt;wsp:rsid wsp:val=&quot;0C774C9E&quot;/&gt;&lt;wsp:rsid wsp:val=&quot;0C782EF0&quot;/&gt;&lt;wsp:rsid wsp:val=&quot;0C792EAC&quot;/&gt;&lt;wsp:rsid wsp:val=&quot;0C7B29E0&quot;/&gt;&lt;wsp:rsid wsp:val=&quot;0C7D22B4&quot;/&gt;&lt;wsp:rsid wsp:val=&quot;0C7E7DDA&quot;/&gt;&lt;wsp:rsid wsp:val=&quot;0C825B1D&quot;/&gt;&lt;wsp:rsid wsp:val=&quot;0C831895&quot;/&gt;&lt;wsp:rsid wsp:val=&quot;0C833643&quot;/&gt;&lt;wsp:rsid wsp:val=&quot;0C84135A&quot;/&gt;&lt;wsp:rsid wsp:val=&quot;0C8437E4&quot;/&gt;&lt;wsp:rsid wsp:val=&quot;0C873133&quot;/&gt;&lt;wsp:rsid wsp:val=&quot;0C874EE1&quot;/&gt;&lt;wsp:rsid wsp:val=&quot;0C877CDB&quot;/&gt;&lt;wsp:rsid wsp:val=&quot;0C882A07&quot;/&gt;&lt;wsp:rsid wsp:val=&quot;0C8A2C23&quot;/&gt;&lt;wsp:rsid wsp:val=&quot;0C8B64E7&quot;/&gt;&lt;wsp:rsid wsp:val=&quot;0C8C5158&quot;/&gt;&lt;wsp:rsid wsp:val=&quot;0C8D626F&quot;/&gt;&lt;wsp:rsid wsp:val=&quot;0C8E44C1&quot;/&gt;&lt;wsp:rsid wsp:val=&quot;0C8F023A&quot;/&gt;&lt;wsp:rsid wsp:val=&quot;0C8F1FE8&quot;/&gt;&lt;wsp:rsid wsp:val=&quot;0C8F3D96&quot;/&gt;&lt;wsp:rsid wsp:val=&quot;0C913FB2&quot;/&gt;&lt;wsp:rsid wsp:val=&quot;0C923886&quot;/&gt;&lt;wsp:rsid wsp:val=&quot;0C937D2A&quot;/&gt;&lt;wsp:rsid wsp:val=&quot;0C970E9C&quot;/&gt;&lt;wsp:rsid wsp:val=&quot;0C975D4D&quot;/&gt;&lt;wsp:rsid wsp:val=&quot;0C9801C7&quot;/&gt;&lt;wsp:rsid wsp:val=&quot;0C985AEC&quot;/&gt;&lt;wsp:rsid wsp:val=&quot;0C9870EE&quot;/&gt;&lt;wsp:rsid wsp:val=&quot;0C9910B8&quot;/&gt;&lt;wsp:rsid wsp:val=&quot;0C9B098C&quot;/&gt;&lt;wsp:rsid wsp:val=&quot;0C9B273A&quot;/&gt;&lt;wsp:rsid wsp:val=&quot;0C9B4A10&quot;/&gt;&lt;wsp:rsid wsp:val=&quot;0C9B6BDE&quot;/&gt;&lt;wsp:rsid wsp:val=&quot;0CA02408&quot;/&gt;&lt;wsp:rsid wsp:val=&quot;0CA02447&quot;/&gt;&lt;wsp:rsid wsp:val=&quot;0CA04363&quot;/&gt;&lt;wsp:rsid wsp:val=&quot;0CA5180B&quot;/&gt;&lt;wsp:rsid wsp:val=&quot;0CA6111A&quot;/&gt;&lt;wsp:rsid wsp:val=&quot;0CA737D5&quot;/&gt;&lt;wsp:rsid wsp:val=&quot;0CA75583&quot;/&gt;&lt;wsp:rsid wsp:val=&quot;0CA830A9&quot;/&gt;&lt;wsp:rsid wsp:val=&quot;0CA92DE9&quot;/&gt;&lt;wsp:rsid wsp:val=&quot;0CAB2DC4&quot;/&gt;&lt;wsp:rsid wsp:val=&quot;0CAB2EAE&quot;/&gt;&lt;wsp:rsid wsp:val=&quot;0CAC5995&quot;/&gt;&lt;wsp:rsid wsp:val=&quot;0CAE02B5&quot;/&gt;&lt;wsp:rsid wsp:val=&quot;0CAF4438&quot;/&gt;&lt;wsp:rsid wsp:val=&quot;0CAF61E6&quot;/&gt;&lt;wsp:rsid wsp:val=&quot;0CB16C35&quot;/&gt;&lt;wsp:rsid wsp:val=&quot;0CB3217A&quot;/&gt;&lt;wsp:rsid wsp:val=&quot;0CB34126&quot;/&gt;&lt;wsp:rsid wsp:val=&quot;0CB437FC&quot;/&gt;&lt;wsp:rsid wsp:val=&quot;0CB47CA0&quot;/&gt;&lt;wsp:rsid wsp:val=&quot;0CB87790&quot;/&gt;&lt;wsp:rsid wsp:val=&quot;0CBB2DDD&quot;/&gt;&lt;wsp:rsid wsp:val=&quot;0CBE467B&quot;/&gt;&lt;wsp:rsid wsp:val=&quot;0CC04897&quot;/&gt;&lt;wsp:rsid wsp:val=&quot;0CC1672A&quot;/&gt;&lt;wsp:rsid wsp:val=&quot;0CC228C9&quot;/&gt;&lt;wsp:rsid wsp:val=&quot;0CC2416B&quot;/&gt;&lt;wsp:rsid wsp:val=&quot;0CC42114&quot;/&gt;&lt;wsp:rsid wsp:val=&quot;0CC77D57&quot;/&gt;&lt;wsp:rsid wsp:val=&quot;0CC954FA&quot;/&gt;&lt;wsp:rsid wsp:val=&quot;0CCB0E5F&quot;/&gt;&lt;wsp:rsid wsp:val=&quot;0CCC4FEA&quot;/&gt;&lt;wsp:rsid wsp:val=&quot;0CCD3CE8&quot;/&gt;&lt;wsp:rsid wsp:val=&quot;0CCE2B10&quot;/&gt;&lt;wsp:rsid wsp:val=&quot;0CCF0636&quot;/&gt;&lt;wsp:rsid wsp:val=&quot;0CCF4ADA&quot;/&gt;&lt;wsp:rsid wsp:val=&quot;0CCF6888&quot;/&gt;&lt;wsp:rsid wsp:val=&quot;0CD12600&quot;/&gt;&lt;wsp:rsid wsp:val=&quot;0CD143AE&quot;/&gt;&lt;wsp:rsid wsp:val=&quot;0CD345CA&quot;/&gt;&lt;wsp:rsid wsp:val=&quot;0CD44BA0&quot;/&gt;&lt;wsp:rsid wsp:val=&quot;0CD50CAA&quot;/&gt;&lt;wsp:rsid wsp:val=&quot;0CD67C16&quot;/&gt;&lt;wsp:rsid wsp:val=&quot;0CDB2CD5&quot;/&gt;&lt;wsp:rsid wsp:val=&quot;0CDB7241&quot;/&gt;&lt;wsp:rsid wsp:val=&quot;0CDD2D53&quot;/&gt;&lt;wsp:rsid wsp:val=&quot;0CDE6ACB&quot;/&gt;&lt;wsp:rsid wsp:val=&quot;0CE045F1&quot;/&gt;&lt;wsp:rsid wsp:val=&quot;0CE340E1&quot;/&gt;&lt;wsp:rsid wsp:val=&quot;0CE42990&quot;/&gt;&lt;wsp:rsid wsp:val=&quot;0CE52F54&quot;/&gt;&lt;wsp:rsid wsp:val=&quot;0CE57E5A&quot;/&gt;&lt;wsp:rsid wsp:val=&quot;0CE71E24&quot;/&gt;&lt;wsp:rsid wsp:val=&quot;0CE73BD2&quot;/&gt;&lt;wsp:rsid wsp:val=&quot;0CE95B9C&quot;/&gt;&lt;wsp:rsid wsp:val=&quot;0CE9794A&quot;/&gt;&lt;wsp:rsid wsp:val=&quot;0CEA2936&quot;/&gt;&lt;wsp:rsid wsp:val=&quot;0CEB7EF6&quot;/&gt;&lt;wsp:rsid wsp:val=&quot;0CED040D&quot;/&gt;&lt;wsp:rsid wsp:val=&quot;0CEE4F60&quot;/&gt;&lt;wsp:rsid wsp:val=&quot;0CF06F2A&quot;/&gt;&lt;wsp:rsid wsp:val=&quot;0CF123C7&quot;/&gt;&lt;wsp:rsid wsp:val=&quot;0CF12CA2&quot;/&gt;&lt;wsp:rsid wsp:val=&quot;0CF307C8&quot;/&gt;&lt;wsp:rsid wsp:val=&quot;0CF415B9&quot;/&gt;&lt;wsp:rsid wsp:val=&quot;0CF42A49&quot;/&gt;&lt;wsp:rsid wsp:val=&quot;0CF462EF&quot;/&gt;&lt;wsp:rsid wsp:val=&quot;0CF61493&quot;/&gt;&lt;wsp:rsid wsp:val=&quot;0CF63E15&quot;/&gt;&lt;wsp:rsid wsp:val=&quot;0CF743E2&quot;/&gt;&lt;wsp:rsid wsp:val=&quot;0CF84031&quot;/&gt;&lt;wsp:rsid wsp:val=&quot;0CF85DDF&quot;/&gt;&lt;wsp:rsid wsp:val=&quot;0CFC11DB&quot;/&gt;&lt;wsp:rsid wsp:val=&quot;0CFD3DAC&quot;/&gt;&lt;wsp:rsid wsp:val=&quot;0CFE2CC9&quot;/&gt;&lt;wsp:rsid wsp:val=&quot;0CFE6607&quot;/&gt;&lt;wsp:rsid wsp:val=&quot;0CFF53BF&quot;/&gt;&lt;wsp:rsid wsp:val=&quot;0CFF716D&quot;/&gt;&lt;wsp:rsid wsp:val=&quot;0D002EE5&quot;/&gt;&lt;wsp:rsid wsp:val=&quot;0D004C93&quot;/&gt;&lt;wsp:rsid wsp:val=&quot;0D024B6A&quot;/&gt;&lt;wsp:rsid wsp:val=&quot;0D026C5D&quot;/&gt;&lt;wsp:rsid wsp:val=&quot;0D0463C4&quot;/&gt;&lt;wsp:rsid wsp:val=&quot;0D0546D5&quot;/&gt;&lt;wsp:rsid wsp:val=&quot;0D0728C9&quot;/&gt;&lt;wsp:rsid wsp:val=&quot;0D074274&quot;/&gt;&lt;wsp:rsid wsp:val=&quot;0D091D9A&quot;/&gt;&lt;wsp:rsid wsp:val=&quot;0D096AD2&quot;/&gt;&lt;wsp:rsid wsp:val=&quot;0D0A37DF&quot;/&gt;&lt;wsp:rsid wsp:val=&quot;0D0C3638&quot;/&gt;&lt;wsp:rsid wsp:val=&quot;0D0E73B0&quot;/&gt;&lt;wsp:rsid wsp:val=&quot;0D0F5086&quot;/&gt;&lt;wsp:rsid wsp:val=&quot;0D10137A&quot;/&gt;&lt;wsp:rsid wsp:val=&quot;0D103128&quot;/&gt;&lt;wsp:rsid wsp:val=&quot;0D116EA1&quot;/&gt;&lt;wsp:rsid wsp:val=&quot;0D136775&quot;/&gt;&lt;wsp:rsid wsp:val=&quot;0D15073F&quot;/&gt;&lt;wsp:rsid wsp:val=&quot;0D16463E&quot;/&gt;&lt;wsp:rsid wsp:val=&quot;0D181FDD&quot;/&gt;&lt;wsp:rsid wsp:val=&quot;0D186481&quot;/&gt;&lt;wsp:rsid wsp:val=&quot;0D187EE2&quot;/&gt;&lt;wsp:rsid wsp:val=&quot;0D1A5D55&quot;/&gt;&lt;wsp:rsid wsp:val=&quot;0D2070E4&quot;/&gt;&lt;wsp:rsid wsp:val=&quot;0D230698&quot;/&gt;&lt;wsp:rsid wsp:val=&quot;0D240982&quot;/&gt;&lt;wsp:rsid wsp:val=&quot;0D241E6A&quot;/&gt;&lt;wsp:rsid wsp:val=&quot;0D244E26&quot;/&gt;&lt;wsp:rsid wsp:val=&quot;0D29243C&quot;/&gt;&lt;wsp:rsid wsp:val=&quot;0D2A3ABE&quot;/&gt;&lt;wsp:rsid wsp:val=&quot;0D2C7836&quot;/&gt;&lt;wsp:rsid wsp:val=&quot;0D2E1801&quot;/&gt;&lt;wsp:rsid wsp:val=&quot;0D2E35AF&quot;/&gt;&lt;wsp:rsid wsp:val=&quot;0D307327&quot;/&gt;&lt;wsp:rsid wsp:val=&quot;0D3112F1&quot;/&gt;&lt;wsp:rsid wsp:val=&quot;0D31309F&quot;/&gt;&lt;wsp:rsid wsp:val=&quot;0D3155AA&quot;/&gt;&lt;wsp:rsid wsp:val=&quot;0D324C7F&quot;/&gt;&lt;wsp:rsid wsp:val=&quot;0D325B40&quot;/&gt;&lt;wsp:rsid wsp:val=&quot;0D335069&quot;/&gt;&lt;wsp:rsid wsp:val=&quot;0D34161D&quot;/&gt;&lt;wsp:rsid wsp:val=&quot;0D352AAD&quot;/&gt;&lt;wsp:rsid wsp:val=&quot;0D352B8F&quot;/&gt;&lt;wsp:rsid wsp:val=&quot;0D366907&quot;/&gt;&lt;wsp:rsid wsp:val=&quot;0D3861DB&quot;/&gt;&lt;wsp:rsid wsp:val=&quot;0D3A3D4E&quot;/&gt;&lt;wsp:rsid wsp:val=&quot;0D3A63F7&quot;/&gt;&lt;wsp:rsid wsp:val=&quot;0D3B3F1D&quot;/&gt;&lt;wsp:rsid wsp:val=&quot;0D3C1D73&quot;/&gt;&lt;wsp:rsid wsp:val=&quot;0D3C216F&quot;/&gt;&lt;wsp:rsid wsp:val=&quot;0D3D37F2&quot;/&gt;&lt;wsp:rsid wsp:val=&quot;0D3D5EE8&quot;/&gt;&lt;wsp:rsid wsp:val=&quot;0D3D7C96&quot;/&gt;&lt;wsp:rsid wsp:val=&quot;0D3F756A&quot;/&gt;&lt;wsp:rsid wsp:val=&quot;0D4032E2&quot;/&gt;&lt;wsp:rsid wsp:val=&quot;0D42705A&quot;/&gt;&lt;wsp:rsid wsp:val=&quot;0D433970&quot;/&gt;&lt;wsp:rsid wsp:val=&quot;0D436541&quot;/&gt;&lt;wsp:rsid wsp:val=&quot;0D441024&quot;/&gt;&lt;wsp:rsid wsp:val=&quot;0D447276&quot;/&gt;&lt;wsp:rsid wsp:val=&quot;0D4728C2&quot;/&gt;&lt;wsp:rsid wsp:val=&quot;0D4B4161&quot;/&gt;&lt;wsp:rsid wsp:val=&quot;0D4C7ED9&quot;/&gt;&lt;wsp:rsid wsp:val=&quot;0D4E59FF&quot;/&gt;&lt;wsp:rsid wsp:val=&quot;0D503504&quot;/&gt;&lt;wsp:rsid wsp:val=&quot;0D5154EF&quot;/&gt;&lt;wsp:rsid wsp:val=&quot;0D523741&quot;/&gt;&lt;wsp:rsid wsp:val=&quot;0D527254&quot;/&gt;&lt;wsp:rsid wsp:val=&quot;0D536036&quot;/&gt;&lt;wsp:rsid wsp:val=&quot;0D553231&quot;/&gt;&lt;wsp:rsid wsp:val=&quot;0D561DE6&quot;/&gt;&lt;wsp:rsid wsp:val=&quot;0D5648B3&quot;/&gt;&lt;wsp:rsid wsp:val=&quot;0D58422A&quot;/&gt;&lt;wsp:rsid wsp:val=&quot;0D586D8E&quot;/&gt;&lt;wsp:rsid wsp:val=&quot;0D591BDD&quot;/&gt;&lt;wsp:rsid wsp:val=&quot;0D5A09D3&quot;/&gt;&lt;wsp:rsid wsp:val=&quot;0D5B7EAB&quot;/&gt;&lt;wsp:rsid wsp:val=&quot;0D5D3E94&quot;/&gt;&lt;wsp:rsid wsp:val=&quot;0D5D5C42&quot;/&gt;&lt;wsp:rsid wsp:val=&quot;0D5F19BA&quot;/&gt;&lt;wsp:rsid wsp:val=&quot;0D5F5E5E&quot;/&gt;&lt;wsp:rsid wsp:val=&quot;0D605561&quot;/&gt;&lt;wsp:rsid wsp:val=&quot;0D6214AA&quot;/&gt;&lt;wsp:rsid wsp:val=&quot;0D621C7D&quot;/&gt;&lt;wsp:rsid wsp:val=&quot;0D65587A&quot;/&gt;&lt;wsp:rsid wsp:val=&quot;0D660F9A&quot;/&gt;&lt;wsp:rsid wsp:val=&quot;0D662D48&quot;/&gt;&lt;wsp:rsid wsp:val=&quot;0D682F64&quot;/&gt;&lt;wsp:rsid wsp:val=&quot;0D687F36&quot;/&gt;&lt;wsp:rsid wsp:val=&quot;0D69025C&quot;/&gt;&lt;wsp:rsid wsp:val=&quot;0D696CDD&quot;/&gt;&lt;wsp:rsid wsp:val=&quot;0D6C2329&quot;/&gt;&lt;wsp:rsid wsp:val=&quot;0D6C3183&quot;/&gt;&lt;wsp:rsid wsp:val=&quot;0D6F14FD&quot;/&gt;&lt;wsp:rsid wsp:val=&quot;0D6F35B4&quot;/&gt;&lt;wsp:rsid wsp:val=&quot;0D706E21&quot;/&gt;&lt;wsp:rsid wsp:val=&quot;0D7116ED&quot;/&gt;&lt;wsp:rsid wsp:val=&quot;0D71793F&quot;/&gt;&lt;wsp:rsid wsp:val=&quot;0D727E7E&quot;/&gt;&lt;wsp:rsid wsp:val=&quot;0D7511DD&quot;/&gt;&lt;wsp:rsid wsp:val=&quot;0D755681&quot;/&gt;&lt;wsp:rsid wsp:val=&quot;0D75742F&quot;/&gt;&lt;wsp:rsid wsp:val=&quot;0D77129A&quot;/&gt;&lt;wsp:rsid wsp:val=&quot;0D774F56&quot;/&gt;&lt;wsp:rsid wsp:val=&quot;0D780CCE&quot;/&gt;&lt;wsp:rsid wsp:val=&quot;0D7A2C98&quot;/&gt;&lt;wsp:rsid wsp:val=&quot;0D7B1AFD&quot;/&gt;&lt;wsp:rsid wsp:val=&quot;0D7C6A10&quot;/&gt;&lt;wsp:rsid wsp:val=&quot;0D814026&quot;/&gt;&lt;wsp:rsid wsp:val=&quot;0D815DD4&quot;/&gt;&lt;wsp:rsid wsp:val=&quot;0D817B82&quot;/&gt;&lt;wsp:rsid wsp:val=&quot;0D8256A8&quot;/&gt;&lt;wsp:rsid wsp:val=&quot;0D841515&quot;/&gt;&lt;wsp:rsid wsp:val=&quot;0D8566F9&quot;/&gt;&lt;wsp:rsid wsp:val=&quot;0D8853B5&quot;/&gt;&lt;wsp:rsid wsp:val=&quot;0D886A29&quot;/&gt;&lt;wsp:rsid wsp:val=&quot;0D8A622C&quot;/&gt;&lt;wsp:rsid wsp:val=&quot;0D8B6C53&quot;/&gt;&lt;wsp:rsid wsp:val=&quot;0D8C6527&quot;/&gt;&lt;wsp:rsid wsp:val=&quot;0D8D4779&quot;/&gt;&lt;wsp:rsid wsp:val=&quot;0D8E229F&quot;/&gt;&lt;wsp:rsid wsp:val=&quot;0D8E6743&quot;/&gt;&lt;wsp:rsid wsp:val=&quot;0D907DC5&quot;/&gt;&lt;wsp:rsid wsp:val=&quot;0D92024A&quot;/&gt;&lt;wsp:rsid wsp:val=&quot;0D927FE1&quot;/&gt;&lt;wsp:rsid wsp:val=&quot;0D935B07&quot;/&gt;&lt;wsp:rsid wsp:val=&quot;0D957AD2&quot;/&gt;&lt;wsp:rsid wsp:val=&quot;0D9755F8&quot;/&gt;&lt;wsp:rsid wsp:val=&quot;0D98311E&quot;/&gt;&lt;wsp:rsid wsp:val=&quot;0D984ECC&quot;/&gt;&lt;wsp:rsid wsp:val=&quot;0D991370&quot;/&gt;&lt;wsp:rsid wsp:val=&quot;0D9D24E2&quot;/&gt;&lt;wsp:rsid wsp:val=&quot;0D9F26FE&quot;/&gt;&lt;wsp:rsid wsp:val=&quot;0D9F31AB&quot;/&gt;&lt;wsp:rsid wsp:val=&quot;0D9F44AC&quot;/&gt;&lt;wsp:rsid wsp:val=&quot;0D9F625A&quot;/&gt;&lt;wsp:rsid wsp:val=&quot;0DA10592&quot;/&gt;&lt;wsp:rsid wsp:val=&quot;0DA26F5D&quot;/&gt;&lt;wsp:rsid wsp:val=&quot;0DA41D58&quot;/&gt;&lt;wsp:rsid wsp:val=&quot;0DA43871&quot;/&gt;&lt;wsp:rsid wsp:val=&quot;0DA4444E&quot;/&gt;&lt;wsp:rsid wsp:val=&quot;0DA970D9&quot;/&gt;&lt;wsp:rsid wsp:val=&quot;0DAB10A3&quot;/&gt;&lt;wsp:rsid wsp:val=&quot;0DAB4BFF&quot;/&gt;&lt;wsp:rsid wsp:val=&quot;0DAD6BC9&quot;/&gt;&lt;wsp:rsid wsp:val=&quot;0DAE46EF&quot;/&gt;&lt;wsp:rsid wsp:val=&quot;0DB00467&quot;/&gt;&lt;wsp:rsid wsp:val=&quot;0DB164B2&quot;/&gt;&lt;wsp:rsid wsp:val=&quot;0DB22432&quot;/&gt;&lt;wsp:rsid wsp:val=&quot;0DB241E0&quot;/&gt;&lt;wsp:rsid wsp:val=&quot;0DB31D06&quot;/&gt;&lt;wsp:rsid wsp:val=&quot;0DB735A4&quot;/&gt;&lt;wsp:rsid wsp:val=&quot;0DB77A48&quot;/&gt;&lt;wsp:rsid wsp:val=&quot;0DB8556E&quot;/&gt;&lt;wsp:rsid wsp:val=&quot;0DB93BD7&quot;/&gt;&lt;wsp:rsid wsp:val=&quot;0DBA7538&quot;/&gt;&lt;wsp:rsid wsp:val=&quot;0DBC0BBA&quot;/&gt;&lt;wsp:rsid wsp:val=&quot;0DBC505E&quot;/&gt;&lt;wsp:rsid wsp:val=&quot;0DBE0DD6&quot;/&gt;&lt;wsp:rsid wsp:val=&quot;0DBE2B84&quot;/&gt;&lt;wsp:rsid wsp:val=&quot;0DBF06AB&quot;/&gt;&lt;wsp:rsid wsp:val=&quot;0DBF4B4E&quot;/&gt;&lt;wsp:rsid wsp:val=&quot;0DBF7D8B&quot;/&gt;&lt;wsp:rsid wsp:val=&quot;0DC01E84&quot;/&gt;&lt;wsp:rsid wsp:val=&quot;0DC108C7&quot;/&gt;&lt;wsp:rsid wsp:val=&quot;0DC3019B&quot;/&gt;&lt;wsp:rsid wsp:val=&quot;0DC53787&quot;/&gt;&lt;wsp:rsid wsp:val=&quot;0DC61A39&quot;/&gt;&lt;wsp:rsid wsp:val=&quot;0DC65EDD&quot;/&gt;&lt;wsp:rsid wsp:val=&quot;0DC9777B&quot;/&gt;&lt;wsp:rsid wsp:val=&quot;0DCB704F&quot;/&gt;&lt;wsp:rsid wsp:val=&quot;0DCD726B&quot;/&gt;&lt;wsp:rsid wsp:val=&quot;0DCE6B40&quot;/&gt;&lt;wsp:rsid wsp:val=&quot;0DCF6B28&quot;/&gt;&lt;wsp:rsid wsp:val=&quot;0DD04666&quot;/&gt;&lt;wsp:rsid wsp:val=&quot;0DD56120&quot;/&gt;&lt;wsp:rsid wsp:val=&quot;0DD57ECE&quot;/&gt;&lt;wsp:rsid wsp:val=&quot;0DD66B39&quot;/&gt;&lt;wsp:rsid wsp:val=&quot;0DD7645F&quot;/&gt;&lt;wsp:rsid wsp:val=&quot;0DD979BE&quot;/&gt;&lt;wsp:rsid wsp:val=&quot;0DDA3736&quot;/&gt;&lt;wsp:rsid wsp:val=&quot;0DDC74AE&quot;/&gt;&lt;wsp:rsid wsp:val=&quot;0DDE4FD5&quot;/&gt;&lt;wsp:rsid wsp:val=&quot;0DE0109D&quot;/&gt;&lt;wsp:rsid wsp:val=&quot;0DE16873&quot;/&gt;&lt;wsp:rsid wsp:val=&quot;0DE27E25&quot;/&gt;&lt;wsp:rsid wsp:val=&quot;0DE40111&quot;/&gt;&lt;wsp:rsid wsp:val=&quot;0DE46363&quot;/&gt;&lt;wsp:rsid wsp:val=&quot;0DE63E89&quot;/&gt;&lt;wsp:rsid wsp:val=&quot;0DE85E53&quot;/&gt;&lt;wsp:rsid wsp:val=&quot;0DE86B21&quot;/&gt;&lt;wsp:rsid wsp:val=&quot;0DE87C01&quot;/&gt;&lt;wsp:rsid wsp:val=&quot;0DE93979&quot;/&gt;&lt;wsp:rsid wsp:val=&quot;0DEB14A0&quot;/&gt;&lt;wsp:rsid wsp:val=&quot;0DEB670A&quot;/&gt;&lt;wsp:rsid wsp:val=&quot;0DEB74D9&quot;/&gt;&lt;wsp:rsid wsp:val=&quot;0DED15C6&quot;/&gt;&lt;wsp:rsid wsp:val=&quot;0DED16BC&quot;/&gt;&lt;wsp:rsid wsp:val=&quot;0DED346A&quot;/&gt;&lt;wsp:rsid wsp:val=&quot;0DED5218&quot;/&gt;&lt;wsp:rsid wsp:val=&quot;0DF2282E&quot;/&gt;&lt;wsp:rsid wsp:val=&quot;0DF26CD2&quot;/&gt;&lt;wsp:rsid wsp:val=&quot;0DF46805&quot;/&gt;&lt;wsp:rsid wsp:val=&quot;0DF63C10&quot;/&gt;&lt;wsp:rsid wsp:val=&quot;0DF65076&quot;/&gt;&lt;wsp:rsid wsp:val=&quot;0DF6524C&quot;/&gt;&lt;wsp:rsid wsp:val=&quot;0DF75186&quot;/&gt;&lt;wsp:rsid wsp:val=&quot;0DF76096&quot;/&gt;&lt;wsp:rsid wsp:val=&quot;0DF90060&quot;/&gt;&lt;wsp:rsid wsp:val=&quot;0DF92677&quot;/&gt;&lt;wsp:rsid wsp:val=&quot;0DF93BBD&quot;/&gt;&lt;wsp:rsid wsp:val=&quot;0DFC1FFF&quot;/&gt;&lt;wsp:rsid wsp:val=&quot;0DFC36AD&quot;/&gt;&lt;wsp:rsid wsp:val=&quot;0DFE11D3&quot;/&gt;&lt;wsp:rsid wsp:val=&quot;0DFE5392&quot;/&gt;&lt;wsp:rsid wsp:val=&quot;0DFE5677&quot;/&gt;&lt;wsp:rsid wsp:val=&quot;0DFE7425&quot;/&gt;&lt;wsp:rsid wsp:val=&quot;0E001D83&quot;/&gt;&lt;wsp:rsid wsp:val=&quot;0E010CC3&quot;/&gt;&lt;wsp:rsid wsp:val=&quot;0E056D34&quot;/&gt;&lt;wsp:rsid wsp:val=&quot;0E06277D&quot;/&gt;&lt;wsp:rsid wsp:val=&quot;0E07353A&quot;/&gt;&lt;wsp:rsid wsp:val=&quot;0E083E00&quot;/&gt;&lt;wsp:rsid wsp:val=&quot;0E0A336E&quot;/&gt;&lt;wsp:rsid wsp:val=&quot;0E0A401C&quot;/&gt;&lt;wsp:rsid wsp:val=&quot;0E0B7916&quot;/&gt;&lt;wsp:rsid wsp:val=&quot;0E0B7D94&quot;/&gt;&lt;wsp:rsid wsp:val=&quot;0E0E518E&quot;/&gt;&lt;wsp:rsid wsp:val=&quot;0E1171BD&quot;/&gt;&lt;wsp:rsid wsp:val=&quot;0E146C48&quot;/&gt;&lt;wsp:rsid wsp:val=&quot;0E1529C0&quot;/&gt;&lt;wsp:rsid wsp:val=&quot;0E15476E&quot;/&gt;&lt;wsp:rsid wsp:val=&quot;0E172295&quot;/&gt;&lt;wsp:rsid wsp:val=&quot;0E17302F&quot;/&gt;&lt;wsp:rsid wsp:val=&quot;0E176739&quot;/&gt;&lt;wsp:rsid wsp:val=&quot;0E1A3B33&quot;/&gt;&lt;wsp:rsid wsp:val=&quot;0E1B7FD7&quot;/&gt;&lt;wsp:rsid wsp:val=&quot;0E1C3D4F&quot;/&gt;&lt;wsp:rsid wsp:val=&quot;0E1C78AB&quot;/&gt;&lt;wsp:rsid wsp:val=&quot;0E1E33F4&quot;/&gt;&lt;wsp:rsid wsp:val=&quot;0E1F1149&quot;/&gt;&lt;wsp:rsid wsp:val=&quot;0E205822&quot;/&gt;&lt;wsp:rsid wsp:val=&quot;0E214EC1&quot;/&gt;&lt;wsp:rsid wsp:val=&quot;0E2350DD&quot;/&gt;&lt;wsp:rsid wsp:val=&quot;0E2449B2&quot;/&gt;&lt;wsp:rsid wsp:val=&quot;0E247D60&quot;/&gt;&lt;wsp:rsid wsp:val=&quot;0E252C04&quot;/&gt;&lt;wsp:rsid wsp:val=&quot;0E255A34&quot;/&gt;&lt;wsp:rsid wsp:val=&quot;0E256D9A&quot;/&gt;&lt;wsp:rsid wsp:val=&quot;0E2624D8&quot;/&gt;&lt;wsp:rsid wsp:val=&quot;0E2826F4&quot;/&gt;&lt;wsp:rsid wsp:val=&quot;0E283FB3&quot;/&gt;&lt;wsp:rsid wsp:val=&quot;0E2A646C&quot;/&gt;&lt;wsp:rsid wsp:val=&quot;0E2B5D40&quot;/&gt;&lt;wsp:rsid wsp:val=&quot;0E2C21E4&quot;/&gt;&lt;wsp:rsid wsp:val=&quot;0E2D1AB8&quot;/&gt;&lt;wsp:rsid wsp:val=&quot;0E2D3866&quot;/&gt;&lt;wsp:rsid wsp:val=&quot;0E2F12B5&quot;/&gt;&lt;wsp:rsid wsp:val=&quot;0E2F3A82&quot;/&gt;&lt;wsp:rsid wsp:val=&quot;0E2F75DE&quot;/&gt;&lt;wsp:rsid wsp:val=&quot;0E323572&quot;/&gt;&lt;wsp:rsid wsp:val=&quot;0E342E47&quot;/&gt;&lt;wsp:rsid wsp:val=&quot;0E35096D&quot;/&gt;&lt;wsp:rsid wsp:val=&quot;0E355127&quot;/&gt;&lt;wsp:rsid wsp:val=&quot;0E356BBF&quot;/&gt;&lt;wsp:rsid wsp:val=&quot;0E36265D&quot;/&gt;&lt;wsp:rsid wsp:val=&quot;0E370C1E&quot;/&gt;&lt;wsp:rsid wsp:val=&quot;0E3746E5&quot;/&gt;&lt;wsp:rsid wsp:val=&quot;0E39220B&quot;/&gt;&lt;wsp:rsid wsp:val=&quot;0E3A5F83&quot;/&gt;&lt;wsp:rsid wsp:val=&quot;0E3B3F9E&quot;/&gt;&lt;wsp:rsid wsp:val=&quot;0E3E3CC5&quot;/&gt;&lt;wsp:rsid wsp:val=&quot;0E400A29&quot;/&gt;&lt;wsp:rsid wsp:val=&quot;0E407A3D&quot;/&gt;&lt;wsp:rsid wsp:val=&quot;0E4137B5&quot;/&gt;&lt;wsp:rsid wsp:val=&quot;0E455054&quot;/&gt;&lt;wsp:rsid wsp:val=&quot;0E456E02&quot;/&gt;&lt;wsp:rsid wsp:val=&quot;0E460DCC&quot;/&gt;&lt;wsp:rsid wsp:val=&quot;0E464928&quot;/&gt;&lt;wsp:rsid wsp:val=&quot;0E4709CC&quot;/&gt;&lt;wsp:rsid wsp:val=&quot;0E4868F2&quot;/&gt;&lt;wsp:rsid wsp:val=&quot;0E4A4418&quot;/&gt;&lt;wsp:rsid wsp:val=&quot;0E4A7F2A&quot;/&gt;&lt;wsp:rsid wsp:val=&quot;0E4B0190&quot;/&gt;&lt;wsp:rsid wsp:val=&quot;0E4B1F3E&quot;/&gt;&lt;wsp:rsid wsp:val=&quot;0E4D3F08&quot;/&gt;&lt;wsp:rsid wsp:val=&quot;0E4D48AC&quot;/&gt;&lt;wsp:rsid wsp:val=&quot;0E4F7062&quot;/&gt;&lt;wsp:rsid wsp:val=&quot;0E5232CD&quot;/&gt;&lt;wsp:rsid wsp:val=&quot;0E527771&quot;/&gt;&lt;wsp:rsid wsp:val=&quot;0E5434E9&quot;/&gt;&lt;wsp:rsid wsp:val=&quot;0E545297&quot;/&gt;&lt;wsp:rsid wsp:val=&quot;0E547045&quot;/&gt;&lt;wsp:rsid wsp:val=&quot;0E5758F0&quot;/&gt;&lt;wsp:rsid wsp:val=&quot;0E5B4877&quot;/&gt;&lt;wsp:rsid wsp:val=&quot;0E5D24C7&quot;/&gt;&lt;wsp:rsid wsp:val=&quot;0E5D6F32&quot;/&gt;&lt;wsp:rsid wsp:val=&quot;0E5E6115&quot;/&gt;&lt;wsp:rsid wsp:val=&quot;0E5E7EC3&quot;/&gt;&lt;wsp:rsid wsp:val=&quot;0E5F3F5A&quot;/&gt;&lt;wsp:rsid wsp:val=&quot;0E5F4EF3&quot;/&gt;&lt;wsp:rsid wsp:val=&quot;0E6258BE&quot;/&gt;&lt;wsp:rsid wsp:val=&quot;0E63197E&quot;/&gt;&lt;wsp:rsid wsp:val=&quot;0E651091&quot;/&gt;&lt;wsp:rsid wsp:val=&quot;0E653000&quot;/&gt;&lt;wsp:rsid wsp:val=&quot;0E67321C&quot;/&gt;&lt;wsp:rsid wsp:val=&quot;0E686F94&quot;/&gt;&lt;wsp:rsid wsp:val=&quot;0E6A4ABA&quot;/&gt;&lt;wsp:rsid wsp:val=&quot;0E6B438E&quot;/&gt;&lt;wsp:rsid wsp:val=&quot;0E6C0832&quot;/&gt;&lt;wsp:rsid wsp:val=&quot;0E6C4698&quot;/&gt;&lt;wsp:rsid wsp:val=&quot;0E6D45AA&quot;/&gt;&lt;wsp:rsid wsp:val=&quot;0E6F0323&quot;/&gt;&lt;wsp:rsid wsp:val=&quot;0E6F3E7F&quot;/&gt;&lt;wsp:rsid wsp:val=&quot;0E7019A5&quot;/&gt;&lt;wsp:rsid wsp:val=&quot;0E707BF7&quot;/&gt;&lt;wsp:rsid wsp:val=&quot;0E711068&quot;/&gt;&lt;wsp:rsid wsp:val=&quot;0E7143CA&quot;/&gt;&lt;wsp:rsid wsp:val=&quot;0E715E49&quot;/&gt;&lt;wsp:rsid wsp:val=&quot;0E72571D&quot;/&gt;&lt;wsp:rsid wsp:val=&quot;0E73034D&quot;/&gt;&lt;wsp:rsid wsp:val=&quot;0E741495&quot;/&gt;&lt;wsp:rsid wsp:val=&quot;0E7476E7&quot;/&gt;&lt;wsp:rsid wsp:val=&quot;0E750E79&quot;/&gt;&lt;wsp:rsid wsp:val=&quot;0E7525BA&quot;/&gt;&lt;wsp:rsid wsp:val=&quot;0E7616B1&quot;/&gt;&lt;wsp:rsid wsp:val=&quot;0E7771D7&quot;/&gt;&lt;wsp:rsid wsp:val=&quot;0E782394&quot;/&gt;&lt;wsp:rsid wsp:val=&quot;0E7B6233&quot;/&gt;&lt;wsp:rsid wsp:val=&quot;0E7C0454&quot;/&gt;&lt;wsp:rsid wsp:val=&quot;0E7D51EB&quot;/&gt;&lt;wsp:rsid wsp:val=&quot;0E8042DE&quot;/&gt;&lt;wsp:rsid wsp:val=&quot;0E80615A&quot;/&gt;&lt;wsp:rsid wsp:val=&quot;0E8106B8&quot;/&gt;&lt;wsp:rsid wsp:val=&quot;0E813BB2&quot;/&gt;&lt;wsp:rsid wsp:val=&quot;0E820056&quot;/&gt;&lt;wsp:rsid wsp:val=&quot;0E83792A&quot;/&gt;&lt;wsp:rsid wsp:val=&quot;0E855450&quot;/&gt;&lt;wsp:rsid wsp:val=&quot;0E8611C8&quot;/&gt;&lt;wsp:rsid wsp:val=&quot;0E861DFE&quot;/&gt;&lt;wsp:rsid wsp:val=&quot;0E87566C&quot;/&gt;&lt;wsp:rsid wsp:val=&quot;0E880A30&quot;/&gt;&lt;wsp:rsid wsp:val=&quot;0E894879&quot;/&gt;&lt;wsp:rsid wsp:val=&quot;0E8A0CB9&quot;/&gt;&lt;wsp:rsid wsp:val=&quot;0E8C4A31&quot;/&gt;&lt;wsp:rsid wsp:val=&quot;0E8D07A9&quot;/&gt;&lt;wsp:rsid wsp:val=&quot;0E8D69FB&quot;/&gt;&lt;wsp:rsid wsp:val=&quot;0E903DF5&quot;/&gt;&lt;wsp:rsid wsp:val=&quot;0E925DBF&quot;/&gt;&lt;wsp:rsid wsp:val=&quot;0E941B37&quot;/&gt;&lt;wsp:rsid wsp:val=&quot;0E9438E5&quot;/&gt;&lt;wsp:rsid wsp:val=&quot;0E96765D&quot;/&gt;&lt;wsp:rsid wsp:val=&quot;0E9733D5&quot;/&gt;&lt;wsp:rsid wsp:val=&quot;0E975183&quot;/&gt;&lt;wsp:rsid wsp:val=&quot;0E9919B5&quot;/&gt;&lt;wsp:rsid wsp:val=&quot;0E9C09EC&quot;/&gt;&lt;wsp:rsid wsp:val=&quot;0E9C279A&quot;/&gt;&lt;wsp:rsid wsp:val=&quot;0E9D4E90&quot;/&gt;&lt;wsp:rsid wsp:val=&quot;0EA0228A&quot;/&gt;&lt;wsp:rsid wsp:val=&quot;0EA10147&quot;/&gt;&lt;wsp:rsid wsp:val=&quot;0EA24254&quot;/&gt;&lt;wsp:rsid wsp:val=&quot;0EA31D7A&quot;/&gt;&lt;wsp:rsid wsp:val=&quot;0EA93835&quot;/&gt;&lt;wsp:rsid wsp:val=&quot;0EAA3109&quot;/&gt;&lt;wsp:rsid wsp:val=&quot;0EAC446D&quot;/&gt;&lt;wsp:rsid wsp:val=&quot;0EAD12BB&quot;/&gt;&lt;wsp:rsid wsp:val=&quot;0EAD49A7&quot;/&gt;&lt;wsp:rsid wsp:val=&quot;0EAE1581&quot;/&gt;&lt;wsp:rsid wsp:val=&quot;0EAF4BC3&quot;/&gt;&lt;wsp:rsid wsp:val=&quot;0EAF6971&quot;/&gt;&lt;wsp:rsid wsp:val=&quot;0EB030EA&quot;/&gt;&lt;wsp:rsid wsp:val=&quot;0EB16245&quot;/&gt;&lt;wsp:rsid wsp:val=&quot;0EB178EC&quot;/&gt;&lt;wsp:rsid wsp:val=&quot;0EB2020F&quot;/&gt;&lt;wsp:rsid wsp:val=&quot;0EB26482&quot;/&gt;&lt;wsp:rsid wsp:val=&quot;0EB43F87&quot;/&gt;&lt;wsp:rsid wsp:val=&quot;0EB67D00&quot;/&gt;&lt;wsp:rsid wsp:val=&quot;0EB7236D&quot;/&gt;&lt;wsp:rsid wsp:val=&quot;0EB75826&quot;/&gt;&lt;wsp:rsid wsp:val=&quot;0EB9334C&quot;/&gt;&lt;wsp:rsid wsp:val=&quot;0EBB5316&quot;/&gt;&lt;wsp:rsid wsp:val=&quot;0EBC360E&quot;/&gt;&lt;wsp:rsid wsp:val=&quot;0EBD108E&quot;/&gt;&lt;wsp:rsid wsp:val=&quot;0EBE2240&quot;/&gt;&lt;wsp:rsid wsp:val=&quot;0EBE4E06&quot;/&gt;&lt;wsp:rsid wsp:val=&quot;0EC00B7E&quot;/&gt;&lt;wsp:rsid wsp:val=&quot;0EC248F6&quot;/&gt;&lt;wsp:rsid wsp:val=&quot;0EC51CF1&quot;/&gt;&lt;wsp:rsid wsp:val=&quot;0EC87A33&quot;/&gt;&lt;wsp:rsid wsp:val=&quot;0EC95C85&quot;/&gt;&lt;wsp:rsid wsp:val=&quot;0ECA37AB&quot;/&gt;&lt;wsp:rsid wsp:val=&quot;0ECD0E2A&quot;/&gt;&lt;wsp:rsid wsp:val=&quot;0ECD6DF7&quot;/&gt;&lt;wsp:rsid wsp:val=&quot;0ECE5049&quot;/&gt;&lt;wsp:rsid wsp:val=&quot;0ECF491D&quot;/&gt;&lt;wsp:rsid wsp:val=&quot;0ED308B1&quot;/&gt;&lt;wsp:rsid wsp:val=&quot;0ED463D8&quot;/&gt;&lt;wsp:rsid wsp:val=&quot;0ED62150&quot;/&gt;&lt;wsp:rsid wsp:val=&quot;0ED74921&quot;/&gt;&lt;wsp:rsid wsp:val=&quot;0ED86425&quot;/&gt;&lt;wsp:rsid wsp:val=&quot;0ED87C76&quot;/&gt;&lt;wsp:rsid wsp:val=&quot;0ED9579C&quot;/&gt;&lt;wsp:rsid wsp:val=&quot;0EDB2AB0&quot;/&gt;&lt;wsp:rsid wsp:val=&quot;0EDB32C2&quot;/&gt;&lt;wsp:rsid wsp:val=&quot;0EDE1958&quot;/&gt;&lt;wsp:rsid wsp:val=&quot;0EE02FCE&quot;/&gt;&lt;wsp:rsid wsp:val=&quot;0EE04D7C&quot;/&gt;&lt;wsp:rsid wsp:val=&quot;0EE228A3&quot;/&gt;&lt;wsp:rsid wsp:val=&quot;0EE26069&quot;/&gt;&lt;wsp:rsid wsp:val=&quot;0EE303C9&quot;/&gt;&lt;wsp:rsid wsp:val=&quot;0EE37B25&quot;/&gt;&lt;wsp:rsid wsp:val=&quot;0EE4486D&quot;/&gt;&lt;wsp:rsid wsp:val=&quot;0EE7435D&quot;/&gt;&lt;wsp:rsid wsp:val=&quot;0EE859DF&quot;/&gt;&lt;wsp:rsid wsp:val=&quot;0EEA5BFB&quot;/&gt;&lt;wsp:rsid wsp:val=&quot;0EEC183C&quot;/&gt;&lt;wsp:rsid wsp:val=&quot;0EEC54CF&quot;/&gt;&lt;wsp:rsid wsp:val=&quot;0EEE56EB&quot;/&gt;&lt;wsp:rsid wsp:val=&quot;0EEF4FBF&quot;/&gt;&lt;wsp:rsid wsp:val=&quot;0EEF6D6E&quot;/&gt;&lt;wsp:rsid wsp:val=&quot;0EF024FE&quot;/&gt;&lt;wsp:rsid wsp:val=&quot;0EF02BFC&quot;/&gt;&lt;wsp:rsid wsp:val=&quot;0EF12AE6&quot;/&gt;&lt;wsp:rsid wsp:val=&quot;0EF32D02&quot;/&gt;&lt;wsp:rsid wsp:val=&quot;0EF425D6&quot;/&gt;&lt;wsp:rsid wsp:val=&quot;0EF600FC&quot;/&gt;&lt;wsp:rsid wsp:val=&quot;0EF6634E&quot;/&gt;&lt;wsp:rsid wsp:val=&quot;0EF820C6&quot;/&gt;&lt;wsp:rsid wsp:val=&quot;0EF92D65&quot;/&gt;&lt;wsp:rsid wsp:val=&quot;0EFB3964&quot;/&gt;&lt;wsp:rsid wsp:val=&quot;0EFB7611&quot;/&gt;&lt;wsp:rsid wsp:val=&quot;0EFC21E2&quot;/&gt;&lt;wsp:rsid wsp:val=&quot;0EFD592E&quot;/&gt;&lt;wsp:rsid wsp:val=&quot;0EFE195A&quot;/&gt;&lt;wsp:rsid wsp:val=&quot;0F00541F&quot;/&gt;&lt;wsp:rsid wsp:val=&quot;0F024CF3&quot;/&gt;&lt;wsp:rsid wsp:val=&quot;0F026AA1&quot;/&gt;&lt;wsp:rsid wsp:val=&quot;0F0274E4&quot;/&gt;&lt;wsp:rsid wsp:val=&quot;0F042CED&quot;/&gt;&lt;wsp:rsid wsp:val=&quot;0F046CBD&quot;/&gt;&lt;wsp:rsid wsp:val=&quot;0F052A35&quot;/&gt;&lt;wsp:rsid wsp:val=&quot;0F072309&quot;/&gt;&lt;wsp:rsid wsp:val=&quot;0F0767AD&quot;/&gt;&lt;wsp:rsid wsp:val=&quot;0F087E2F&quot;/&gt;&lt;wsp:rsid wsp:val=&quot;0F0A1DF9&quot;/&gt;&lt;wsp:rsid wsp:val=&quot;0F0B75D6&quot;/&gt;&lt;wsp:rsid wsp:val=&quot;0F0C2B61&quot;/&gt;&lt;wsp:rsid wsp:val=&quot;0F0E4B55&quot;/&gt;&lt;wsp:rsid wsp:val=&quot;0F0E7B3C&quot;/&gt;&lt;wsp:rsid wsp:val=&quot;0F0F11BE&quot;/&gt;&lt;wsp:rsid wsp:val=&quot;0F113188&quot;/&gt;&lt;wsp:rsid wsp:val=&quot;0F135152&quot;/&gt;&lt;wsp:rsid wsp:val=&quot;0F13775A&quot;/&gt;&lt;wsp:rsid wsp:val=&quot;0F144A26&quot;/&gt;&lt;wsp:rsid wsp:val=&quot;0F1455F1&quot;/&gt;&lt;wsp:rsid wsp:val=&quot;0F16254C&quot;/&gt;&lt;wsp:rsid wsp:val=&quot;0F163D3F&quot;/&gt;&lt;wsp:rsid wsp:val=&quot;0F1669F0&quot;/&gt;&lt;wsp:rsid wsp:val=&quot;0F1961E8&quot;/&gt;&lt;wsp:rsid wsp:val=&quot;0F1A64E0&quot;/&gt;&lt;wsp:rsid wsp:val=&quot;0F1B7B63&quot;/&gt;&lt;wsp:rsid wsp:val=&quot;0F1D1B2D&quot;/&gt;&lt;wsp:rsid wsp:val=&quot;0F1F3E3B&quot;/&gt;&lt;wsp:rsid wsp:val=&quot;0F2033CB&quot;/&gt;&lt;wsp:rsid wsp:val=&quot;0F205179&quot;/&gt;&lt;wsp:rsid wsp:val=&quot;0F210A79&quot;/&gt;&lt;wsp:rsid wsp:val=&quot;0F24110D&quot;/&gt;&lt;wsp:rsid wsp:val=&quot;0F256C33&quot;/&gt;&lt;wsp:rsid wsp:val=&quot;0F2729AB&quot;/&gt;&lt;wsp:rsid wsp:val=&quot;0F274759&quot;/&gt;&lt;wsp:rsid wsp:val=&quot;0F2761EA&quot;/&gt;&lt;wsp:rsid wsp:val=&quot;0F276507&quot;/&gt;&lt;wsp:rsid wsp:val=&quot;0F2904D1&quot;/&gt;&lt;wsp:rsid wsp:val=&quot;0F2C6214&quot;/&gt;&lt;wsp:rsid wsp:val=&quot;0F2D7925&quot;/&gt;&lt;wsp:rsid wsp:val=&quot;0F2E5AE8&quot;/&gt;&lt;wsp:rsid wsp:val=&quot;0F2F33AB&quot;/&gt;&lt;wsp:rsid wsp:val=&quot;0F3109A6&quot;/&gt;&lt;wsp:rsid wsp:val=&quot;0F343320&quot;/&gt;&lt;wsp:rsid wsp:val=&quot;0F360E40&quot;/&gt;&lt;wsp:rsid wsp:val=&quot;0F3744EB&quot;/&gt;&lt;wsp:rsid wsp:val=&quot;0F384BB8&quot;/&gt;&lt;wsp:rsid wsp:val=&quot;0F3A0931&quot;/&gt;&lt;wsp:rsid wsp:val=&quot;0F3B1FB3&quot;/&gt;&lt;wsp:rsid wsp:val=&quot;0F3B2FEA&quot;/&gt;&lt;wsp:rsid wsp:val=&quot;0F3F1AA3&quot;/&gt;&lt;wsp:rsid wsp:val=&quot;0F3F5F47&quot;/&gt;&lt;wsp:rsid wsp:val=&quot;0F3F7CF5&quot;/&gt;&lt;wsp:rsid wsp:val=&quot;0F4052B3&quot;/&gt;&lt;wsp:rsid wsp:val=&quot;0F410916&quot;/&gt;&lt;wsp:rsid wsp:val=&quot;0F421593&quot;/&gt;&lt;wsp:rsid wsp:val=&quot;0F423341&quot;/&gt;&lt;wsp:rsid wsp:val=&quot;0F4278E9&quot;/&gt;&lt;wsp:rsid wsp:val=&quot;0F450727&quot;/&gt;&lt;wsp:rsid wsp:val=&quot;0F451083&quot;/&gt;&lt;wsp:rsid wsp:val=&quot;0F4672D5&quot;/&gt;&lt;wsp:rsid wsp:val=&quot;0F476BAA&quot;/&gt;&lt;wsp:rsid wsp:val=&quot;0F4800B8&quot;/&gt;&lt;wsp:rsid wsp:val=&quot;0F490B74&quot;/&gt;&lt;wsp:rsid wsp:val=&quot;0F4948EC&quot;/&gt;&lt;wsp:rsid wsp:val=&quot;0F4A19C8&quot;/&gt;&lt;wsp:rsid wsp:val=&quot;0F4C0664&quot;/&gt;&lt;wsp:rsid wsp:val=&quot;0F4C2412&quot;/&gt;&lt;wsp:rsid wsp:val=&quot;0F4C41C0&quot;/&gt;&lt;wsp:rsid wsp:val=&quot;0F4E618A&quot;/&gt;&lt;wsp:rsid wsp:val=&quot;0F4E7F38&quot;/&gt;&lt;wsp:rsid wsp:val=&quot;0F503CB0&quot;/&gt;&lt;wsp:rsid wsp:val=&quot;0F515C7A&quot;/&gt;&lt;wsp:rsid wsp:val=&quot;0F53554E&quot;/&gt;&lt;wsp:rsid wsp:val=&quot;0F5512C6&quot;/&gt;&lt;wsp:rsid wsp:val=&quot;0F56503F&quot;/&gt;&lt;wsp:rsid wsp:val=&quot;0F582B65&quot;/&gt;&lt;wsp:rsid wsp:val=&quot;0F5C08A7&quot;/&gt;&lt;wsp:rsid wsp:val=&quot;0F5C3DDD&quot;/&gt;&lt;wsp:rsid wsp:val=&quot;0F5C6A3C&quot;/&gt;&lt;wsp:rsid wsp:val=&quot;0F5D69AE&quot;/&gt;&lt;wsp:rsid wsp:val=&quot;0F5E2A0F&quot;/&gt;&lt;wsp:rsid wsp:val=&quot;0F5F45FE&quot;/&gt;&lt;wsp:rsid wsp:val=&quot;0F601A19&quot;/&gt;&lt;wsp:rsid wsp:val=&quot;0F607DCE&quot;/&gt;&lt;wsp:rsid wsp:val=&quot;0F632BEB&quot;/&gt;&lt;wsp:rsid wsp:val=&quot;0F6459AD&quot;/&gt;&lt;wsp:rsid wsp:val=&quot;0F661726&quot;/&gt;&lt;wsp:rsid wsp:val=&quot;0F67724C&quot;/&gt;&lt;wsp:rsid wsp:val=&quot;0F694F51&quot;/&gt;&lt;wsp:rsid wsp:val=&quot;0F6A2898&quot;/&gt;&lt;wsp:rsid wsp:val=&quot;0F6C1977&quot;/&gt;&lt;wsp:rsid wsp:val=&quot;0F722315&quot;/&gt;&lt;wsp:rsid wsp:val=&quot;0F73174D&quot;/&gt;&lt;wsp:rsid wsp:val=&quot;0F745423&quot;/&gt;&lt;wsp:rsid wsp:val=&quot;0F7554C5&quot;/&gt;&lt;wsp:rsid wsp:val=&quot;0F76748F&quot;/&gt;&lt;wsp:rsid wsp:val=&quot;0F777E12&quot;/&gt;&lt;wsp:rsid wsp:val=&quot;0F7A0AA7&quot;/&gt;&lt;wsp:rsid wsp:val=&quot;0F7A0D2D&quot;/&gt;&lt;wsp:rsid wsp:val=&quot;0F7B0B9F&quot;/&gt;&lt;wsp:rsid wsp:val=&quot;0F7B4AA5&quot;/&gt;&lt;wsp:rsid wsp:val=&quot;0F7C1A16&quot;/&gt;&lt;wsp:rsid wsp:val=&quot;0F7C24AA&quot;/&gt;&lt;wsp:rsid wsp:val=&quot;0F7D25CB&quot;/&gt;&lt;wsp:rsid wsp:val=&quot;0F7D718B&quot;/&gt;&lt;wsp:rsid wsp:val=&quot;0F804919&quot;/&gt;&lt;wsp:rsid wsp:val=&quot;0F840147&quot;/&gt;&lt;wsp:rsid wsp:val=&quot;0F84395A&quot;/&gt;&lt;wsp:rsid wsp:val=&quot;0F844F29&quot;/&gt;&lt;wsp:rsid wsp:val=&quot;0F847DFE&quot;/&gt;&lt;wsp:rsid wsp:val=&quot;0F865924&quot;/&gt;&lt;wsp:rsid wsp:val=&quot;0F8676D2&quot;/&gt;&lt;wsp:rsid wsp:val=&quot;0F87169C&quot;/&gt;&lt;wsp:rsid wsp:val=&quot;0F880B6C&quot;/&gt;&lt;wsp:rsid wsp:val=&quot;0F8875D5&quot;/&gt;&lt;wsp:rsid wsp:val=&quot;0F895414&quot;/&gt;&lt;wsp:rsid wsp:val=&quot;0F8B1A2C&quot;/&gt;&lt;wsp:rsid wsp:val=&quot;0F8B4CE8&quot;/&gt;&lt;wsp:rsid wsp:val=&quot;0F8E2BD1&quot;/&gt;&lt;wsp:rsid wsp:val=&quot;0F8E47D8&quot;/&gt;&lt;wsp:rsid wsp:val=&quot;0F8E6586&quot;/&gt;&lt;wsp:rsid wsp:val=&quot;0F9022FF&quot;/&gt;&lt;wsp:rsid wsp:val=&quot;0F931DEF&quot;/&gt;&lt;wsp:rsid wsp:val=&quot;0F957915&quot;/&gt;&lt;wsp:rsid wsp:val=&quot;0F9718DF&quot;/&gt;&lt;wsp:rsid wsp:val=&quot;0F977FCF&quot;/&gt;&lt;wsp:rsid wsp:val=&quot;0F9954A7&quot;/&gt;&lt;wsp:rsid wsp:val=&quot;0F9A112B&quot;/&gt;&lt;wsp:rsid wsp:val=&quot;0F9A13CF&quot;/&gt;&lt;wsp:rsid wsp:val=&quot;0F9A6950&quot;/&gt;&lt;wsp:rsid wsp:val=&quot;0F9B386C&quot;/&gt;&lt;wsp:rsid wsp:val=&quot;0F9C1DFF&quot;/&gt;&lt;wsp:rsid wsp:val=&quot;0F9D2C6D&quot;/&gt;&lt;wsp:rsid wsp:val=&quot;0F9F0794&quot;/&gt;&lt;wsp:rsid wsp:val=&quot;0FA1275E&quot;/&gt;&lt;wsp:rsid wsp:val=&quot;0FA1450C&quot;/&gt;&lt;wsp:rsid wsp:val=&quot;0FA22032&quot;/&gt;&lt;wsp:rsid wsp:val=&quot;0FA364D6&quot;/&gt;&lt;wsp:rsid wsp:val=&quot;0FA43FFC&quot;/&gt;&lt;wsp:rsid wsp:val=&quot;0FA45DAA&quot;/&gt;&lt;wsp:rsid wsp:val=&quot;0FA638D0&quot;/&gt;&lt;wsp:rsid wsp:val=&quot;0FA80F53&quot;/&gt;&lt;wsp:rsid wsp:val=&quot;0FA91612&quot;/&gt;&lt;wsp:rsid wsp:val=&quot;0FA94FB4&quot;/&gt;&lt;wsp:rsid wsp:val=&quot;0FAB538A&quot;/&gt;&lt;wsp:rsid wsp:val=&quot;0FAC48E1&quot;/&gt;&lt;wsp:rsid wsp:val=&quot;0FAD1008&quot;/&gt;&lt;wsp:rsid wsp:val=&quot;0FAD21F4&quot;/&gt;&lt;wsp:rsid wsp:val=&quot;0FAE09D7&quot;/&gt;&lt;wsp:rsid wsp:val=&quot;0FAE6C29&quot;/&gt;&lt;wsp:rsid wsp:val=&quot;0FB00BF3&quot;/&gt;&lt;wsp:rsid wsp:val=&quot;0FB277A7&quot;/&gt;&lt;wsp:rsid wsp:val=&quot;0FB3423F&quot;/&gt;&lt;wsp:rsid wsp:val=&quot;0FB51D65&quot;/&gt;&lt;wsp:rsid wsp:val=&quot;0FB56209&quot;/&gt;&lt;wsp:rsid wsp:val=&quot;0FB57FB7&quot;/&gt;&lt;wsp:rsid wsp:val=&quot;0FB6788B&quot;/&gt;&lt;wsp:rsid wsp:val=&quot;0FB73D2F&quot;/&gt;&lt;wsp:rsid wsp:val=&quot;0FB775B8&quot;/&gt;&lt;wsp:rsid wsp:val=&quot;0FB8131F&quot;/&gt;&lt;wsp:rsid wsp:val=&quot;0FB83603&quot;/&gt;&lt;wsp:rsid wsp:val=&quot;0FBF2BE4&quot;/&gt;&lt;wsp:rsid wsp:val=&quot;0FC121A0&quot;/&gt;&lt;wsp:rsid wsp:val=&quot;0FC14BAE&quot;/&gt;&lt;wsp:rsid wsp:val=&quot;0FC319D1&quot;/&gt;&lt;wsp:rsid wsp:val=&quot;0FC36648&quot;/&gt;&lt;wsp:rsid wsp:val=&quot;0FC41FA8&quot;/&gt;&lt;wsp:rsid wsp:val=&quot;0FC50362&quot;/&gt;&lt;wsp:rsid wsp:val=&quot;0FC5047B&quot;/&gt;&lt;wsp:rsid wsp:val=&quot;0FC63F72&quot;/&gt;&lt;wsp:rsid wsp:val=&quot;0FC919CD&quot;/&gt;&lt;wsp:rsid wsp:val=&quot;0FC91CB4&quot;/&gt;&lt;wsp:rsid wsp:val=&quot;0FC9305D&quot;/&gt;&lt;wsp:rsid wsp:val=&quot;0FCB1589&quot;/&gt;&lt;wsp:rsid wsp:val=&quot;0FCD3553&quot;/&gt;&lt;wsp:rsid wsp:val=&quot;0FCE2E27&quot;/&gt;&lt;wsp:rsid wsp:val=&quot;0FD0094D&quot;/&gt;&lt;wsp:rsid wsp:val=&quot;0FD03043&quot;/&gt;&lt;wsp:rsid wsp:val=&quot;0FD0395D&quot;/&gt;&lt;wsp:rsid wsp:val=&quot;0FD04DF1&quot;/&gt;&lt;wsp:rsid wsp:val=&quot;0FD06E18&quot;/&gt;&lt;wsp:rsid wsp:val=&quot;0FD2073E&quot;/&gt;&lt;wsp:rsid wsp:val=&quot;0FD20B69&quot;/&gt;&lt;wsp:rsid wsp:val=&quot;0FD3043D&quot;/&gt;&lt;wsp:rsid wsp:val=&quot;0FD416B1&quot;/&gt;&lt;wsp:rsid wsp:val=&quot;0FD50659&quot;/&gt;&lt;wsp:rsid wsp:val=&quot;0FD61CDB&quot;/&gt;&lt;wsp:rsid wsp:val=&quot;0FD7617F&quot;/&gt;&lt;wsp:rsid wsp:val=&quot;0FD77F2D&quot;/&gt;&lt;wsp:rsid wsp:val=&quot;0FD83CA6&quot;/&gt;&lt;wsp:rsid wsp:val=&quot;0FD903EC&quot;/&gt;&lt;wsp:rsid wsp:val=&quot;0FDA3DE2&quot;/&gt;&lt;wsp:rsid wsp:val=&quot;0FDA42E8&quot;/&gt;&lt;wsp:rsid wsp:val=&quot;0FDB5272&quot;/&gt;&lt;wsp:rsid wsp:val=&quot;0FDD306A&quot;/&gt;&lt;wsp:rsid wsp:val=&quot;0FDE5334&quot;/&gt;&lt;wsp:rsid wsp:val=&quot;0FE32D76&quot;/&gt;&lt;wsp:rsid wsp:val=&quot;0FE37166&quot;/&gt;&lt;wsp:rsid wsp:val=&quot;0FE45294&quot;/&gt;&lt;wsp:rsid wsp:val=&quot;0FE47A65&quot;/&gt;&lt;wsp:rsid wsp:val=&quot;0FE52636&quot;/&gt;&lt;wsp:rsid wsp:val=&quot;0FE60171&quot;/&gt;&lt;wsp:rsid wsp:val=&quot;0FE640E9&quot;/&gt;&lt;wsp:rsid wsp:val=&quot;0FEB1C2B&quot;/&gt;&lt;wsp:rsid wsp:val=&quot;0FEB4D67&quot;/&gt;&lt;wsp:rsid wsp:val=&quot;0FEE34C9&quot;/&gt;&lt;wsp:rsid wsp:val=&quot;0FEE463C&quot;/&gt;&lt;wsp:rsid wsp:val=&quot;0FF22FB9&quot;/&gt;&lt;wsp:rsid wsp:val=&quot;0FF3288D&quot;/&gt;&lt;wsp:rsid wsp:val=&quot;0FF56606&quot;/&gt;&lt;wsp:rsid wsp:val=&quot;0FF7412C&quot;/&gt;&lt;wsp:rsid wsp:val=&quot;0FF74A4B&quot;/&gt;&lt;wsp:rsid wsp:val=&quot;0FF8033B&quot;/&gt;&lt;wsp:rsid wsp:val=&quot;0FF860F6&quot;/&gt;&lt;wsp:rsid wsp:val=&quot;0FFA00C0&quot;/&gt;&lt;wsp:rsid wsp:val=&quot;0FFA1E6E&quot;/&gt;&lt;wsp:rsid wsp:val=&quot;0FFB02D4&quot;/&gt;&lt;wsp:rsid wsp:val=&quot;0FFB2582&quot;/&gt;&lt;wsp:rsid wsp:val=&quot;0FFC1742&quot;/&gt;&lt;wsp:rsid wsp:val=&quot;0FFC5BE6&quot;/&gt;&lt;wsp:rsid wsp:val=&quot;0FFD0285&quot;/&gt;&lt;wsp:rsid wsp:val=&quot;0FFD3F89&quot;/&gt;&lt;wsp:rsid wsp:val=&quot;0FFF1232&quot;/&gt;&lt;wsp:rsid wsp:val=&quot;0FFF7484&quot;/&gt;&lt;wsp:rsid wsp:val=&quot;1001144E&quot;/&gt;&lt;wsp:rsid wsp:val=&quot;10024BF4&quot;/&gt;&lt;wsp:rsid wsp:val=&quot;10037AF5&quot;/&gt;&lt;wsp:rsid wsp:val=&quot;10066A65&quot;/&gt;&lt;wsp:rsid wsp:val=&quot;10086339&quot;/&gt;&lt;wsp:rsid wsp:val=&quot;100D0EE2&quot;/&gt;&lt;wsp:rsid wsp:val=&quot;100E0101&quot;/&gt;&lt;wsp:rsid wsp:val=&quot;100E1475&quot;/&gt;&lt;wsp:rsid wsp:val=&quot;10101691&quot;/&gt;&lt;wsp:rsid wsp:val=&quot;1010343F&quot;/&gt;&lt;wsp:rsid wsp:val=&quot;101051ED&quot;/&gt;&lt;wsp:rsid wsp:val=&quot;10120F66&quot;/&gt;&lt;wsp:rsid wsp:val=&quot;101364B1&quot;/&gt;&lt;wsp:rsid wsp:val=&quot;10140982&quot;/&gt;&lt;wsp:rsid wsp:val=&quot;10141182&quot;/&gt;&lt;wsp:rsid wsp:val=&quot;10153BF2&quot;/&gt;&lt;wsp:rsid wsp:val=&quot;10156CA8&quot;/&gt;&lt;wsp:rsid wsp:val=&quot;10167D23&quot;/&gt;&lt;wsp:rsid wsp:val=&quot;101728F4&quot;/&gt;&lt;wsp:rsid wsp:val=&quot;101822F4&quot;/&gt;&lt;wsp:rsid wsp:val=&quot;10196798&quot;/&gt;&lt;wsp:rsid wsp:val=&quot;101A4127&quot;/&gt;&lt;wsp:rsid wsp:val=&quot;101C044F&quot;/&gt;&lt;wsp:rsid wsp:val=&quot;101C1DE4&quot;/&gt;&lt;wsp:rsid wsp:val=&quot;1021389E&quot;/&gt;&lt;wsp:rsid wsp:val=&quot;10216577&quot;/&gt;&lt;wsp:rsid wsp:val=&quot;10226507&quot;/&gt;&lt;wsp:rsid wsp:val=&quot;10233173&quot;/&gt;&lt;wsp:rsid wsp:val=&quot;10234F21&quot;/&gt;&lt;wsp:rsid wsp:val=&quot;10246EEB&quot;/&gt;&lt;wsp:rsid wsp:val=&quot;10261B26&quot;/&gt;&lt;wsp:rsid wsp:val=&quot;1026326B&quot;/&gt;&lt;wsp:rsid wsp:val=&quot;10264A11&quot;/&gt;&lt;wsp:rsid wsp:val=&quot;10282537&quot;/&gt;&lt;wsp:rsid wsp:val=&quot;10294597&quot;/&gt;&lt;wsp:rsid wsp:val=&quot;102962AF&quot;/&gt;&lt;wsp:rsid wsp:val=&quot;102D1D5B&quot;/&gt;&lt;wsp:rsid wsp:val=&quot;102D3FF1&quot;/&gt;&lt;wsp:rsid wsp:val=&quot;102D5D9F&quot;/&gt;&lt;wsp:rsid wsp:val=&quot;102D7545&quot;/&gt;&lt;wsp:rsid wsp:val=&quot;102E38C6&quot;/&gt;&lt;wsp:rsid wsp:val=&quot;1030763E&quot;/&gt;&lt;wsp:rsid wsp:val=&quot;1031060E&quot;/&gt;&lt;wsp:rsid wsp:val=&quot;10321608&quot;/&gt;&lt;wsp:rsid wsp:val=&quot;103233B6&quot;/&gt;&lt;wsp:rsid wsp:val=&quot;10352EA6&quot;/&gt;&lt;wsp:rsid wsp:val=&quot;10376C1E&quot;/&gt;&lt;wsp:rsid wsp:val=&quot;10394744&quot;/&gt;&lt;wsp:rsid wsp:val=&quot;103A226A&quot;/&gt;&lt;wsp:rsid wsp:val=&quot;103C2486&quot;/&gt;&lt;wsp:rsid wsp:val=&quot;103E7FAD&quot;/&gt;&lt;wsp:rsid wsp:val=&quot;103F3D25&quot;/&gt;&lt;wsp:rsid wsp:val=&quot;10417A9D&quot;/&gt;&lt;wsp:rsid wsp:val=&quot;10433815&quot;/&gt;&lt;wsp:rsid wsp:val=&quot;104650B3&quot;/&gt;&lt;wsp:rsid wsp:val=&quot;1047263F&quot;/&gt;&lt;wsp:rsid wsp:val=&quot;10484987&quot;/&gt;&lt;wsp:rsid wsp:val=&quot;104906FF&quot;/&gt;&lt;wsp:rsid wsp:val=&quot;1049191B&quot;/&gt;&lt;wsp:rsid wsp:val=&quot;104A15C9&quot;/&gt;&lt;wsp:rsid wsp:val=&quot;104A4BA3&quot;/&gt;&lt;wsp:rsid wsp:val=&quot;104C22DA&quot;/&gt;&lt;wsp:rsid wsp:val=&quot;104C2C74&quot;/&gt;&lt;wsp:rsid wsp:val=&quot;10501E40&quot;/&gt;&lt;wsp:rsid wsp:val=&quot;10505F32&quot;/&gt;&lt;wsp:rsid wsp:val=&quot;10507CE0&quot;/&gt;&lt;wsp:rsid wsp:val=&quot;1053332C&quot;/&gt;&lt;wsp:rsid wsp:val=&quot;10537B58&quot;/&gt;&lt;wsp:rsid wsp:val=&quot;10537F76&quot;/&gt;&lt;wsp:rsid wsp:val=&quot;1054157E&quot;/&gt;&lt;wsp:rsid wsp:val=&quot;10552336&quot;/&gt;&lt;wsp:rsid wsp:val=&quot;10563548&quot;/&gt;&lt;wsp:rsid wsp:val=&quot;105843AF&quot;/&gt;&lt;wsp:rsid wsp:val=&quot;10593038&quot;/&gt;&lt;wsp:rsid wsp:val=&quot;105A0963&quot;/&gt;&lt;wsp:rsid wsp:val=&quot;105B4B5F&quot;/&gt;&lt;wsp:rsid wsp:val=&quot;105D79F9&quot;/&gt;&lt;wsp:rsid wsp:val=&quot;106043C7&quot;/&gt;&lt;wsp:rsid wsp:val=&quot;10606175&quot;/&gt;&lt;wsp:rsid wsp:val=&quot;10641201&quot;/&gt;&lt;wsp:rsid wsp:val=&quot;106477BA&quot;/&gt;&lt;wsp:rsid wsp:val=&quot;106519DD&quot;/&gt;&lt;wsp:rsid wsp:val=&quot;106612B1&quot;/&gt;&lt;wsp:rsid wsp:val=&quot;1068077F&quot;/&gt;&lt;wsp:rsid wsp:val=&quot;10686DD7&quot;/&gt;&lt;wsp:rsid wsp:val=&quot;106A0DA2&quot;/&gt;&lt;wsp:rsid wsp:val=&quot;106C5F4C&quot;/&gt;&lt;wsp:rsid wsp:val=&quot;106D0892&quot;/&gt;&lt;wsp:rsid wsp:val=&quot;106D2640&quot;/&gt;&lt;wsp:rsid wsp:val=&quot;106D2F64&quot;/&gt;&lt;wsp:rsid wsp:val=&quot;106E343D&quot;/&gt;&lt;wsp:rsid wsp:val=&quot;106F63B8&quot;/&gt;&lt;wsp:rsid wsp:val=&quot;10760072&quot;/&gt;&lt;wsp:rsid wsp:val=&quot;10797237&quot;/&gt;&lt;wsp:rsid wsp:val=&quot;107A6B0B&quot;/&gt;&lt;wsp:rsid wsp:val=&quot;107F6D0B&quot;/&gt;&lt;wsp:rsid wsp:val=&quot;108005C5&quot;/&gt;&lt;wsp:rsid wsp:val=&quot;10805852&quot;/&gt;&lt;wsp:rsid wsp:val=&quot;108160EB&quot;/&gt;&lt;wsp:rsid wsp:val=&quot;10833C11&quot;/&gt;&lt;wsp:rsid wsp:val=&quot;108445BC&quot;/&gt;&lt;wsp:rsid wsp:val=&quot;10861954&quot;/&gt;&lt;wsp:rsid wsp:val=&quot;108654B0&quot;/&gt;&lt;wsp:rsid wsp:val=&quot;1088747A&quot;/&gt;&lt;wsp:rsid wsp:val=&quot;108A0980&quot;/&gt;&lt;wsp:rsid wsp:val=&quot;108A1444&quot;/&gt;&lt;wsp:rsid wsp:val=&quot;108A2C16&quot;/&gt;&lt;wsp:rsid wsp:val=&quot;108C51BC&quot;/&gt;&lt;wsp:rsid wsp:val=&quot;108F6A5A&quot;/&gt;&lt;wsp:rsid wsp:val=&quot;10904FB2&quot;/&gt;&lt;wsp:rsid wsp:val=&quot;1090632E&quot;/&gt;&lt;wsp:rsid wsp:val=&quot;10914580&quot;/&gt;&lt;wsp:rsid wsp:val=&quot;109220A6&quot;/&gt;&lt;wsp:rsid wsp:val=&quot;1092654A&quot;/&gt;&lt;wsp:rsid wsp:val=&quot;109479C2&quot;/&gt;&lt;wsp:rsid wsp:val=&quot;10953945&quot;/&gt;&lt;wsp:rsid wsp:val=&quot;10967DE9&quot;/&gt;&lt;wsp:rsid wsp:val=&quot;10972E54&quot;/&gt;&lt;wsp:rsid wsp:val=&quot;10973B61&quot;/&gt;&lt;wsp:rsid wsp:val=&quot;109776BD&quot;/&gt;&lt;wsp:rsid wsp:val=&quot;109B53FF&quot;/&gt;&lt;wsp:rsid wsp:val=&quot;109C64BB&quot;/&gt;&lt;wsp:rsid wsp:val=&quot;109C6FBD&quot;/&gt;&lt;wsp:rsid wsp:val=&quot;10A02A15&quot;/&gt;&lt;wsp:rsid wsp:val=&quot;10A1053B&quot;/&gt;&lt;wsp:rsid wsp:val=&quot;10A36062&quot;/&gt;&lt;wsp:rsid wsp:val=&quot;10A50CAE&quot;/&gt;&lt;wsp:rsid wsp:val=&quot;10A51DDA&quot;/&gt;&lt;wsp:rsid wsp:val=&quot;10A5627E&quot;/&gt;&lt;wsp:rsid wsp:val=&quot;10A64101&quot;/&gt;&lt;wsp:rsid wsp:val=&quot;10A65B52&quot;/&gt;&lt;wsp:rsid wsp:val=&quot;10A73DA4&quot;/&gt;&lt;wsp:rsid wsp:val=&quot;10A87B1C&quot;/&gt;&lt;wsp:rsid wsp:val=&quot;10AA3894&quot;/&gt;&lt;wsp:rsid wsp:val=&quot;10AB3168&quot;/&gt;&lt;wsp:rsid wsp:val=&quot;10AD0C8E&quot;/&gt;&lt;wsp:rsid wsp:val=&quot;10AD6EE0&quot;/&gt;&lt;wsp:rsid wsp:val=&quot;10AE42B7&quot;/&gt;&lt;wsp:rsid wsp:val=&quot;10AF4A06&quot;/&gt;&lt;wsp:rsid wsp:val=&quot;10B1077E&quot;/&gt;&lt;wsp:rsid wsp:val=&quot;10B4201D&quot;/&gt;&lt;wsp:rsid wsp:val=&quot;10B62239&quot;/&gt;&lt;wsp:rsid wsp:val=&quot;10B63710&quot;/&gt;&lt;wsp:rsid wsp:val=&quot;10B95885&quot;/&gt;&lt;wsp:rsid wsp:val=&quot;10BB33AB&quot;/&gt;&lt;wsp:rsid wsp:val=&quot;10BC5375&quot;/&gt;&lt;wsp:rsid wsp:val=&quot;10BE733F&quot;/&gt;&lt;wsp:rsid wsp:val=&quot;10C009C2&quot;/&gt;&lt;wsp:rsid wsp:val=&quot;10C06C14&quot;/&gt;&lt;wsp:rsid wsp:val=&quot;10C1473A&quot;/&gt;&lt;wsp:rsid wsp:val=&quot;10C5422A&quot;/&gt;&lt;wsp:rsid wsp:val=&quot;10C55FD8&quot;/&gt;&lt;wsp:rsid wsp:val=&quot;10C77FA2&quot;/&gt;&lt;wsp:rsid wsp:val=&quot;10CA0C07&quot;/&gt;&lt;wsp:rsid wsp:val=&quot;10CA1840&quot;/&gt;&lt;wsp:rsid wsp:val=&quot;10CA7A92&quot;/&gt;&lt;wsp:rsid wsp:val=&quot;10CD4DEF&quot;/&gt;&lt;wsp:rsid wsp:val=&quot;10CE7EBA&quot;/&gt;&lt;wsp:rsid wsp:val=&quot;10CF50A9&quot;/&gt;&lt;wsp:rsid wsp:val=&quot;10D0497D&quot;/&gt;&lt;wsp:rsid wsp:val=&quot;10D27CCB&quot;/&gt;&lt;wsp:rsid wsp:val=&quot;10D601E5&quot;/&gt;&lt;wsp:rsid wsp:val=&quot;10D60472&quot;/&gt;&lt;wsp:rsid wsp:val=&quot;10D64689&quot;/&gt;&lt;wsp:rsid wsp:val=&quot;10D75D0B&quot;/&gt;&lt;wsp:rsid wsp:val=&quot;10D80401&quot;/&gt;&lt;wsp:rsid wsp:val=&quot;10D8660A&quot;/&gt;&lt;wsp:rsid wsp:val=&quot;10D97CD5&quot;/&gt;&lt;wsp:rsid wsp:val=&quot;10DA0EB1&quot;/&gt;&lt;wsp:rsid wsp:val=&quot;10DA645D&quot;/&gt;&lt;wsp:rsid wsp:val=&quot;10DB24BE&quot;/&gt;&lt;wsp:rsid wsp:val=&quot;10DC1574&quot;/&gt;&lt;wsp:rsid wsp:val=&quot;10DC2325&quot;/&gt;&lt;wsp:rsid wsp:val=&quot;10E01064&quot;/&gt;&lt;wsp:rsid wsp:val=&quot;10E2669D&quot;/&gt;&lt;wsp:rsid wsp:val=&quot;10E32902&quot;/&gt;&lt;wsp:rsid wsp:val=&quot;10E36DA6&quot;/&gt;&lt;wsp:rsid wsp:val=&quot;10E675D1&quot;/&gt;&lt;wsp:rsid wsp:val=&quot;10E723F2&quot;/&gt;&lt;wsp:rsid wsp:val=&quot;10E741A0&quot;/&gt;&lt;wsp:rsid wsp:val=&quot;10E8616A&quot;/&gt;&lt;wsp:rsid wsp:val=&quot;10EA6658&quot;/&gt;&lt;wsp:rsid wsp:val=&quot;10EB4340&quot;/&gt;&lt;wsp:rsid wsp:val=&quot;10EC7A09&quot;/&gt;&lt;wsp:rsid wsp:val=&quot;10ED552F&quot;/&gt;&lt;wsp:rsid wsp:val=&quot;10EF74F9&quot;/&gt;&lt;wsp:rsid wsp:val=&quot;10F10820&quot;/&gt;&lt;wsp:rsid wsp:val=&quot;10F16DCD&quot;/&gt;&lt;wsp:rsid wsp:val=&quot;10F20D97&quot;/&gt;&lt;wsp:rsid wsp:val=&quot;10F22B45&quot;/&gt;&lt;wsp:rsid wsp:val=&quot;10F26517&quot;/&gt;&lt;wsp:rsid wsp:val=&quot;10F42D61&quot;/&gt;&lt;wsp:rsid wsp:val=&quot;10F468BD&quot;/&gt;&lt;wsp:rsid wsp:val=&quot;10F84004&quot;/&gt;&lt;wsp:rsid wsp:val=&quot;10F945B7&quot;/&gt;&lt;wsp:rsid wsp:val=&quot;10FB40F0&quot;/&gt;&lt;wsp:rsid wsp:val=&quot;10FD1C16&quot;/&gt;&lt;wsp:rsid wsp:val=&quot;10FD2C30&quot;/&gt;&lt;wsp:rsid wsp:val=&quot;10FD39C4&quot;/&gt;&lt;wsp:rsid wsp:val=&quot;10FE14EA&quot;/&gt;&lt;wsp:rsid wsp:val=&quot;110151D4&quot;/&gt;&lt;wsp:rsid wsp:val=&quot;110223B7&quot;/&gt;&lt;wsp:rsid wsp:val=&quot;11024D92&quot;/&gt;&lt;wsp:rsid wsp:val=&quot;11025669&quot;/&gt;&lt;wsp:rsid wsp:val=&quot;1102722C&quot;/&gt;&lt;wsp:rsid wsp:val=&quot;11032FA4&quot;/&gt;&lt;wsp:rsid wsp:val=&quot;11052878&quot;/&gt;&lt;wsp:rsid wsp:val=&quot;11070191&quot;/&gt;&lt;wsp:rsid wsp:val=&quot;11070D24&quot;/&gt;&lt;wsp:rsid wsp:val=&quot;110805BA&quot;/&gt;&lt;wsp:rsid wsp:val=&quot;110D797F&quot;/&gt;&lt;wsp:rsid wsp:val=&quot;110E3E23&quot;/&gt;&lt;wsp:rsid wsp:val=&quot;110E5BD1&quot;/&gt;&lt;wsp:rsid wsp:val=&quot;1111746F&quot;/&gt;&lt;wsp:rsid wsp:val=&quot;111331E7&quot;/&gt;&lt;wsp:rsid wsp:val=&quot;11146F5F&quot;/&gt;&lt;wsp:rsid wsp:val=&quot;11186A50&quot;/&gt;&lt;wsp:rsid wsp:val=&quot;111910C7&quot;/&gt;&lt;wsp:rsid wsp:val=&quot;11191962&quot;/&gt;&lt;wsp:rsid wsp:val=&quot;111927C8&quot;/&gt;&lt;wsp:rsid wsp:val=&quot;11194576&quot;/&gt;&lt;wsp:rsid wsp:val=&quot;11196324&quot;/&gt;&lt;wsp:rsid wsp:val=&quot;111A4481&quot;/&gt;&lt;wsp:rsid wsp:val=&quot;111B6540&quot;/&gt;&lt;wsp:rsid wsp:val=&quot;111C2F7A&quot;/&gt;&lt;wsp:rsid wsp:val=&quot;111D4066&quot;/&gt;&lt;wsp:rsid wsp:val=&quot;111D5E14&quot;/&gt;&lt;wsp:rsid wsp:val=&quot;111D7BC2&quot;/&gt;&lt;wsp:rsid wsp:val=&quot;111E1B8C&quot;/&gt;&lt;wsp:rsid wsp:val=&quot;111E393A&quot;/&gt;&lt;wsp:rsid wsp:val=&quot;111F4B90&quot;/&gt;&lt;wsp:rsid wsp:val=&quot;11227E23&quot;/&gt;&lt;wsp:rsid wsp:val=&quot;1123010F&quot;/&gt;&lt;wsp:rsid wsp:val=&quot;1125116C&quot;/&gt;&lt;wsp:rsid wsp:val=&quot;11252F1A&quot;/&gt;&lt;wsp:rsid wsp:val=&quot;11270A41&quot;/&gt;&lt;wsp:rsid wsp:val=&quot;11274EE5&quot;/&gt;&lt;wsp:rsid wsp:val=&quot;11290C5D&quot;/&gt;&lt;wsp:rsid wsp:val=&quot;112A0531&quot;/&gt;&lt;wsp:rsid wsp:val=&quot;112B0A57&quot;/&gt;&lt;wsp:rsid wsp:val=&quot;112E0021&quot;/&gt;&lt;wsp:rsid wsp:val=&quot;112F78F5&quot;/&gt;&lt;wsp:rsid wsp:val=&quot;11311021&quot;/&gt;&lt;wsp:rsid wsp:val=&quot;113118BF&quot;/&gt;&lt;wsp:rsid wsp:val=&quot;11311EBB&quot;/&gt;&lt;wsp:rsid wsp:val=&quot;11333889&quot;/&gt;&lt;wsp:rsid wsp:val=&quot;113373E5&quot;/&gt;&lt;wsp:rsid wsp:val=&quot;11380EA0&quot;/&gt;&lt;wsp:rsid wsp:val=&quot;113849FC&quot;/&gt;&lt;wsp:rsid wsp:val=&quot;11386E78&quot;/&gt;&lt;wsp:rsid wsp:val=&quot;11391A49&quot;/&gt;&lt;wsp:rsid wsp:val=&quot;113A1798&quot;/&gt;&lt;wsp:rsid wsp:val=&quot;113B0990&quot;/&gt;&lt;wsp:rsid wsp:val=&quot;113C03CA&quot;/&gt;&lt;wsp:rsid wsp:val=&quot;113E3FDC&quot;/&gt;&lt;wsp:rsid wsp:val=&quot;113F37C6&quot;/&gt;&lt;wsp:rsid wsp:val=&quot;11401B02&quot;/&gt;&lt;wsp:rsid wsp:val=&quot;11417AEF&quot;/&gt;&lt;wsp:rsid wsp:val=&quot;114415F3&quot;/&gt;&lt;wsp:rsid wsp:val=&quot;11447845&quot;/&gt;&lt;wsp:rsid wsp:val=&quot;11447B82&quot;/&gt;&lt;wsp:rsid wsp:val=&quot;114710E3&quot;/&gt;&lt;wsp:rsid wsp:val=&quot;11472E91&quot;/&gt;&lt;wsp:rsid wsp:val=&quot;114754DD&quot;/&gt;&lt;wsp:rsid wsp:val=&quot;114809B7&quot;/&gt;&lt;wsp:rsid wsp:val=&quot;11494E5B&quot;/&gt;&lt;wsp:rsid wsp:val=&quot;11497DFD&quot;/&gt;&lt;wsp:rsid wsp:val=&quot;114A2981&quot;/&gt;&lt;wsp:rsid wsp:val=&quot;114A29CE&quot;/&gt;&lt;wsp:rsid wsp:val=&quot;114B3E5E&quot;/&gt;&lt;wsp:rsid wsp:val=&quot;114C04A7&quot;/&gt;&lt;wsp:rsid wsp:val=&quot;114C494B&quot;/&gt;&lt;wsp:rsid wsp:val=&quot;114C66F9&quot;/&gt;&lt;wsp:rsid wsp:val=&quot;114E421F&quot;/&gt;&lt;wsp:rsid wsp:val=&quot;114F61E9&quot;/&gt;&lt;wsp:rsid wsp:val=&quot;11511F61&quot;/&gt;&lt;wsp:rsid wsp:val=&quot;11513D10&quot;/&gt;&lt;wsp:rsid wsp:val=&quot;1151658F&quot;/&gt;&lt;wsp:rsid wsp:val=&quot;115215AF&quot;/&gt;&lt;wsp:rsid wsp:val=&quot;11535CDA&quot;/&gt;&lt;wsp:rsid wsp:val=&quot;115832F0&quot;/&gt;&lt;wsp:rsid wsp:val=&quot;1158509E&quot;/&gt;&lt;wsp:rsid wsp:val=&quot;11586E4C&quot;/&gt;&lt;wsp:rsid wsp:val=&quot;115A17CB&quot;/&gt;&lt;wsp:rsid wsp:val=&quot;115B2212&quot;/&gt;&lt;wsp:rsid wsp:val=&quot;115B4DE3&quot;/&gt;&lt;wsp:rsid wsp:val=&quot;115D4462&quot;/&gt;&lt;wsp:rsid wsp:val=&quot;115E3460&quot;/&gt;&lt;wsp:rsid wsp:val=&quot;115F467E&quot;/&gt;&lt;wsp:rsid wsp:val=&quot;115F59AD&quot;/&gt;&lt;wsp:rsid wsp:val=&quot;11641C95&quot;/&gt;&lt;wsp:rsid wsp:val=&quot;11643A43&quot;/&gt;&lt;wsp:rsid wsp:val=&quot;11665A0D&quot;/&gt;&lt;wsp:rsid wsp:val=&quot;11665CA1&quot;/&gt;&lt;wsp:rsid wsp:val=&quot;116752E1&quot;/&gt;&lt;wsp:rsid wsp:val=&quot;11691059&quot;/&gt;&lt;wsp:rsid wsp:val=&quot;116A6B7F&quot;/&gt;&lt;wsp:rsid wsp:val=&quot;116B3023&quot;/&gt;&lt;wsp:rsid wsp:val=&quot;116C0B49&quot;/&gt;&lt;wsp:rsid wsp:val=&quot;116D6053&quot;/&gt;&lt;wsp:rsid wsp:val=&quot;116E041E&quot;/&gt;&lt;wsp:rsid wsp:val=&quot;116E2B13&quot;/&gt;&lt;wsp:rsid wsp:val=&quot;116E48C1&quot;/&gt;&lt;wsp:rsid wsp:val=&quot;116F561C&quot;/&gt;&lt;wsp:rsid wsp:val=&quot;11715B79&quot;/&gt;&lt;wsp:rsid wsp:val=&quot;1173012A&quot;/&gt;&lt;wsp:rsid wsp:val=&quot;11740952&quot;/&gt;&lt;wsp:rsid wsp:val=&quot;117417AC&quot;/&gt;&lt;wsp:rsid wsp:val=&quot;11772E7B&quot;/&gt;&lt;wsp:rsid wsp:val=&quot;11782153&quot;/&gt;&lt;wsp:rsid wsp:val=&quot;11783499&quot;/&gt;&lt;wsp:rsid wsp:val=&quot;117C31CF&quot;/&gt;&lt;wsp:rsid wsp:val=&quot;117D68B3&quot;/&gt;&lt;wsp:rsid wsp:val=&quot;117F7D58&quot;/&gt;&lt;wsp:rsid wsp:val=&quot;11800151&quot;/&gt;&lt;wsp:rsid wsp:val=&quot;118045F5&quot;/&gt;&lt;wsp:rsid wsp:val=&quot;1182036D&quot;/&gt;&lt;wsp:rsid wsp:val=&quot;11823EC9&quot;/&gt;&lt;wsp:rsid wsp:val=&quot;11851C0B&quot;/&gt;&lt;wsp:rsid wsp:val=&quot;118539B9&quot;/&gt;&lt;wsp:rsid wsp:val=&quot;118714DF&quot;/&gt;&lt;wsp:rsid wsp:val=&quot;11877731&quot;/&gt;&lt;wsp:rsid wsp:val=&quot;1188040D&quot;/&gt;&lt;wsp:rsid wsp:val=&quot;118A4C64&quot;/&gt;&lt;wsp:rsid wsp:val=&quot;118B5F3C&quot;/&gt;&lt;wsp:rsid wsp:val=&quot;118C11EC&quot;/&gt;&lt;wsp:rsid wsp:val=&quot;118E2406&quot;/&gt;&lt;wsp:rsid wsp:val=&quot;118F65E6&quot;/&gt;&lt;wsp:rsid wsp:val=&quot;11902592&quot;/&gt;&lt;wsp:rsid wsp:val=&quot;1191013B&quot;/&gt;&lt;wsp:rsid wsp:val=&quot;1191235E&quot;/&gt;&lt;wsp:rsid wsp:val=&quot;11965906&quot;/&gt;&lt;wsp:rsid wsp:val=&quot;11965BC6&quot;/&gt;&lt;wsp:rsid wsp:val=&quot;11967974&quot;/&gt;&lt;wsp:rsid wsp:val=&quot;119753C5&quot;/&gt;&lt;wsp:rsid wsp:val=&quot;11991213&quot;/&gt;&lt;wsp:rsid wsp:val=&quot;119B31DD&quot;/&gt;&lt;wsp:rsid wsp:val=&quot;119C142F&quot;/&gt;&lt;wsp:rsid wsp:val=&quot;119D0D03&quot;/&gt;&lt;wsp:rsid wsp:val=&quot;119F2CCD&quot;/&gt;&lt;wsp:rsid wsp:val=&quot;119F4A7B&quot;/&gt;&lt;wsp:rsid wsp:val=&quot;11A227BD&quot;/&gt;&lt;wsp:rsid wsp:val=&quot;11A53328&quot;/&gt;&lt;wsp:rsid wsp:val=&quot;11A55700&quot;/&gt;&lt;wsp:rsid wsp:val=&quot;11A55E09&quot;/&gt;&lt;wsp:rsid wsp:val=&quot;11A56F50&quot;/&gt;&lt;wsp:rsid wsp:val=&quot;11A622AD&quot;/&gt;&lt;wsp:rsid wsp:val=&quot;11A7392F&quot;/&gt;&lt;wsp:rsid wsp:val=&quot;11AB1672&quot;/&gt;&lt;wsp:rsid wsp:val=&quot;11AB78C4&quot;/&gt;&lt;wsp:rsid wsp:val=&quot;11AC0F46&quot;/&gt;&lt;wsp:rsid wsp:val=&quot;11AC53EA&quot;/&gt;&lt;wsp:rsid wsp:val=&quot;11AC7198&quot;/&gt;&lt;wsp:rsid wsp:val=&quot;11AE2F10&quot;/&gt;&lt;wsp:rsid wsp:val=&quot;11B04EDA&quot;/&gt;&lt;wsp:rsid wsp:val=&quot;11B147AE&quot;/&gt;&lt;wsp:rsid wsp:val=&quot;11B36043&quot;/&gt;&lt;wsp:rsid wsp:val=&quot;11B5429E&quot;/&gt;&lt;wsp:rsid wsp:val=&quot;11B5604C&quot;/&gt;&lt;wsp:rsid wsp:val=&quot;11B81FE1&quot;/&gt;&lt;wsp:rsid wsp:val=&quot;11B83D8F&quot;/&gt;&lt;wsp:rsid wsp:val=&quot;11BA3663&quot;/&gt;&lt;wsp:rsid wsp:val=&quot;11BA7B07&quot;/&gt;&lt;wsp:rsid wsp:val=&quot;11BB554E&quot;/&gt;&lt;wsp:rsid wsp:val=&quot;11BC11C1&quot;/&gt;&lt;wsp:rsid wsp:val=&quot;11BC6E1B&quot;/&gt;&lt;wsp:rsid wsp:val=&quot;11BF336F&quot;/&gt;&lt;wsp:rsid wsp:val=&quot;11BF6ECB&quot;/&gt;&lt;wsp:rsid wsp:val=&quot;11C004B0&quot;/&gt;&lt;wsp:rsid wsp:val=&quot;11C07F30&quot;/&gt;&lt;wsp:rsid wsp:val=&quot;11C24C0D&quot;/&gt;&lt;wsp:rsid wsp:val=&quot;11C42733&quot;/&gt;&lt;wsp:rsid wsp:val=&quot;11C75232&quot;/&gt;&lt;wsp:rsid wsp:val=&quot;11C81293&quot;/&gt;&lt;wsp:rsid wsp:val=&quot;11C91AF8&quot;/&gt;&lt;wsp:rsid wsp:val=&quot;11CB5870&quot;/&gt;&lt;wsp:rsid wsp:val=&quot;11CB6784&quot;/&gt;&lt;wsp:rsid wsp:val=&quot;11CD40A6&quot;/&gt;&lt;wsp:rsid wsp:val=&quot;11CE35B2&quot;/&gt;&lt;wsp:rsid wsp:val=&quot;11CE5360&quot;/&gt;&lt;wsp:rsid wsp:val=&quot;11D0732A&quot;/&gt;&lt;wsp:rsid wsp:val=&quot;11D24F16&quot;/&gt;&lt;wsp:rsid wsp:val=&quot;11D30BC8&quot;/&gt;&lt;wsp:rsid wsp:val=&quot;11D324F2&quot;/&gt;&lt;wsp:rsid wsp:val=&quot;11D443BB&quot;/&gt;&lt;wsp:rsid wsp:val=&quot;11D54941&quot;/&gt;&lt;wsp:rsid wsp:val=&quot;11D81D3B&quot;/&gt;&lt;wsp:rsid wsp:val=&quot;11D861DF&quot;/&gt;&lt;wsp:rsid wsp:val=&quot;11DA1F57&quot;/&gt;&lt;wsp:rsid wsp:val=&quot;11DA3D05&quot;/&gt;&lt;wsp:rsid wsp:val=&quot;11DC365B&quot;/&gt;&lt;wsp:rsid wsp:val=&quot;11DC7709&quot;/&gt;&lt;wsp:rsid wsp:val=&quot;11DF131B&quot;/&gt;&lt;wsp:rsid wsp:val=&quot;11E15093&quot;/&gt;&lt;wsp:rsid wsp:val=&quot;11E42DD6&quot;/&gt;&lt;wsp:rsid wsp:val=&quot;11E44B84&quot;/&gt;&lt;wsp:rsid wsp:val=&quot;11E46932&quot;/&gt;&lt;wsp:rsid wsp:val=&quot;11E46AD9&quot;/&gt;&lt;wsp:rsid wsp:val=&quot;11E608FC&quot;/&gt;&lt;wsp:rsid wsp:val=&quot;11E61C4B&quot;/&gt;&lt;wsp:rsid wsp:val=&quot;11E626AA&quot;/&gt;&lt;wsp:rsid wsp:val=&quot;11E76422&quot;/&gt;&lt;wsp:rsid wsp:val=&quot;11E865D6&quot;/&gt;&lt;wsp:rsid wsp:val=&quot;11E86AC6&quot;/&gt;&lt;wsp:rsid wsp:val=&quot;11E9219A&quot;/&gt;&lt;wsp:rsid wsp:val=&quot;11E92AE7&quot;/&gt;&lt;wsp:rsid wsp:val=&quot;11E93F48&quot;/&gt;&lt;wsp:rsid wsp:val=&quot;11EE5A02&quot;/&gt;&lt;wsp:rsid wsp:val=&quot;11F052D6&quot;/&gt;&lt;wsp:rsid wsp:val=&quot;11F36B75&quot;/&gt;&lt;wsp:rsid wsp:val=&quot;11F50B3F&quot;/&gt;&lt;wsp:rsid wsp:val=&quot;11F63B39&quot;/&gt;&lt;wsp:rsid wsp:val=&quot;11F6684A&quot;/&gt;&lt;wsp:rsid wsp:val=&quot;11F748B7&quot;/&gt;&lt;wsp:rsid wsp:val=&quot;11F757A1&quot;/&gt;&lt;wsp:rsid wsp:val=&quot;11F8062F&quot;/&gt;&lt;wsp:rsid wsp:val=&quot;11FA7F03&quot;/&gt;&lt;wsp:rsid wsp:val=&quot;11FC1ECD&quot;/&gt;&lt;wsp:rsid wsp:val=&quot;11FC3C7B&quot;/&gt;&lt;wsp:rsid wsp:val=&quot;11FD6A42&quot;/&gt;&lt;wsp:rsid wsp:val=&quot;1202325C&quot;/&gt;&lt;wsp:rsid wsp:val=&quot;1202500A&quot;/&gt;&lt;wsp:rsid wsp:val=&quot;12042B30&quot;/&gt;&lt;wsp:rsid wsp:val=&quot;12050509&quot;/&gt;&lt;wsp:rsid wsp:val=&quot;12056664&quot;/&gt;&lt;wsp:rsid wsp:val=&quot;12062D4C&quot;/&gt;&lt;wsp:rsid wsp:val=&quot;12086AC4&quot;/&gt;&lt;wsp:rsid wsp:val=&quot;120B0362&quot;/&gt;&lt;wsp:rsid wsp:val=&quot;120B4C2C&quot;/&gt;&lt;wsp:rsid wsp:val=&quot;120D40DA&quot;/&gt;&lt;wsp:rsid wsp:val=&quot;120D4DF6&quot;/&gt;&lt;wsp:rsid wsp:val=&quot;120D5E88&quot;/&gt;&lt;wsp:rsid wsp:val=&quot;120E39AF&quot;/&gt;&lt;wsp:rsid wsp:val=&quot;12102604&quot;/&gt;&lt;wsp:rsid wsp:val=&quot;12104757&quot;/&gt;&lt;wsp:rsid wsp:val=&quot;12104CF4&quot;/&gt;&lt;wsp:rsid wsp:val=&quot;121060CD&quot;/&gt;&lt;wsp:rsid wsp:val=&quot;1212349F&quot;/&gt;&lt;wsp:rsid wsp:val=&quot;12135469&quot;/&gt;&lt;wsp:rsid wsp:val=&quot;12144FC0&quot;/&gt;&lt;wsp:rsid wsp:val=&quot;12154D3D&quot;/&gt;&lt;wsp:rsid wsp:val=&quot;12176D07&quot;/&gt;&lt;wsp:rsid wsp:val=&quot;121A73FA&quot;/&gt;&lt;wsp:rsid wsp:val=&quot;121C431D&quot;/&gt;&lt;wsp:rsid wsp:val=&quot;121C60CC&quot;/&gt;&lt;wsp:rsid wsp:val=&quot;121E0096&quot;/&gt;&lt;wsp:rsid wsp:val=&quot;121E2BB0&quot;/&gt;&lt;wsp:rsid wsp:val=&quot;121E5D7B&quot;/&gt;&lt;wsp:rsid wsp:val=&quot;121E62E8&quot;/&gt;&lt;wsp:rsid wsp:val=&quot;121F5BBC&quot;/&gt;&lt;wsp:rsid wsp:val=&quot;121F796A&quot;/&gt;&lt;wsp:rsid wsp:val=&quot;1222054A&quot;/&gt;&lt;wsp:rsid wsp:val=&quot;12221368&quot;/&gt;&lt;wsp:rsid wsp:val=&quot;1223075D&quot;/&gt;&lt;wsp:rsid wsp:val=&quot;12241424&quot;/&gt;&lt;wsp:rsid wsp:val=&quot;12260CF8&quot;/&gt;&lt;wsp:rsid wsp:val=&quot;12282CC2&quot;/&gt;&lt;wsp:rsid wsp:val=&quot;122B27B2&quot;/&gt;&lt;wsp:rsid wsp:val=&quot;122B4561&quot;/&gt;&lt;wsp:rsid wsp:val=&quot;122C2897&quot;/&gt;&lt;wsp:rsid wsp:val=&quot;122D652B&quot;/&gt;&lt;wsp:rsid wsp:val=&quot;12301B77&quot;/&gt;&lt;wsp:rsid wsp:val=&quot;12302D61&quot;/&gt;&lt;wsp:rsid wsp:val=&quot;12303925&quot;/&gt;&lt;wsp:rsid wsp:val=&quot;1230601B&quot;/&gt;&lt;wsp:rsid wsp:val=&quot;12307DC9&quot;/&gt;&lt;wsp:rsid wsp:val=&quot;12325900&quot;/&gt;&lt;wsp:rsid wsp:val=&quot;123553DF&quot;/&gt;&lt;wsp:rsid wsp:val=&quot;12371157&quot;/&gt;&lt;wsp:rsid wsp:val=&quot;123A0C48&quot;/&gt;&lt;wsp:rsid wsp:val=&quot;123C0392&quot;/&gt;&lt;wsp:rsid wsp:val=&quot;123C051C&quot;/&gt;&lt;wsp:rsid wsp:val=&quot;123D5564&quot;/&gt;&lt;wsp:rsid wsp:val=&quot;123E24E6&quot;/&gt;&lt;wsp:rsid wsp:val=&quot;123E4294&quot;/&gt;&lt;wsp:rsid wsp:val=&quot;123F1DBA&quot;/&gt;&lt;wsp:rsid wsp:val=&quot;12407C85&quot;/&gt;&lt;wsp:rsid wsp:val=&quot;12415B32&quot;/&gt;&lt;wsp:rsid wsp:val=&quot;124473D0&quot;/&gt;&lt;wsp:rsid wsp:val=&quot;12463148&quot;/&gt;&lt;wsp:rsid wsp:val=&quot;12474DCB&quot;/&gt;&lt;wsp:rsid wsp:val=&quot;12492478&quot;/&gt;&lt;wsp:rsid wsp:val=&quot;124A70DD&quot;/&gt;&lt;wsp:rsid wsp:val=&quot;124B4C03&quot;/&gt;&lt;wsp:rsid wsp:val=&quot;124B5F39&quot;/&gt;&lt;wsp:rsid wsp:val=&quot;124B69B1&quot;/&gt;&lt;wsp:rsid wsp:val=&quot;124D097B&quot;/&gt;&lt;wsp:rsid wsp:val=&quot;124E024F&quot;/&gt;&lt;wsp:rsid wsp:val=&quot;124E4E5A&quot;/&gt;&lt;wsp:rsid wsp:val=&quot;124F64A1&quot;/&gt;&lt;wsp:rsid wsp:val=&quot;12503FC7&quot;/&gt;&lt;wsp:rsid wsp:val=&quot;12505D75&quot;/&gt;&lt;wsp:rsid wsp:val=&quot;12541D09&quot;/&gt;&lt;wsp:rsid wsp:val=&quot;125515DD&quot;/&gt;&lt;wsp:rsid wsp:val=&quot;12575356&quot;/&gt;&lt;wsp:rsid wsp:val=&quot;12582E7C&quot;/&gt;&lt;wsp:rsid wsp:val=&quot;125910CE&quot;/&gt;&lt;wsp:rsid wsp:val=&quot;125A4496&quot;/&gt;&lt;wsp:rsid wsp:val=&quot;125A4E46&quot;/&gt;&lt;wsp:rsid wsp:val=&quot;125A6BF4&quot;/&gt;&lt;wsp:rsid wsp:val=&quot;125C0BBE&quot;/&gt;&lt;wsp:rsid wsp:val=&quot;125C296C&quot;/&gt;&lt;wsp:rsid wsp:val=&quot;125C471A&quot;/&gt;&lt;wsp:rsid wsp:val=&quot;125C7CA3&quot;/&gt;&lt;wsp:rsid wsp:val=&quot;125F420A&quot;/&gt;&lt;wsp:rsid wsp:val=&quot;12614426&quot;/&gt;&lt;wsp:rsid wsp:val=&quot;12617F82&quot;/&gt;&lt;wsp:rsid wsp:val=&quot;12631AF2&quot;/&gt;&lt;wsp:rsid wsp:val=&quot;12633CFA&quot;/&gt;&lt;wsp:rsid wsp:val=&quot;12635BF0&quot;/&gt;&lt;wsp:rsid wsp:val=&quot;12647A72&quot;/&gt;&lt;wsp:rsid wsp:val=&quot;126530E1&quot;/&gt;&lt;wsp:rsid wsp:val=&quot;12655CC4&quot;/&gt;&lt;wsp:rsid wsp:val=&quot;126621FC&quot;/&gt;&lt;wsp:rsid wsp:val=&quot;12662D98&quot;/&gt;&lt;wsp:rsid wsp:val=&quot;126637EB&quot;/&gt;&lt;wsp:rsid wsp:val=&quot;12665599&quot;/&gt;&lt;wsp:rsid wsp:val=&quot;12681311&quot;/&gt;&lt;wsp:rsid wsp:val=&quot;12695089&quot;/&gt;&lt;wsp:rsid wsp:val=&quot;12696E37&quot;/&gt;&lt;wsp:rsid wsp:val=&quot;126B0E01&quot;/&gt;&lt;wsp:rsid wsp:val=&quot;126C4404&quot;/&gt;&lt;wsp:rsid wsp:val=&quot;126D6927&quot;/&gt;&lt;wsp:rsid wsp:val=&quot;127001C5&quot;/&gt;&lt;wsp:rsid wsp:val=&quot;127001F4&quot;/&gt;&lt;wsp:rsid wsp:val=&quot;12712867&quot;/&gt;&lt;wsp:rsid wsp:val=&quot;12722B14&quot;/&gt;&lt;wsp:rsid wsp:val=&quot;12732A65&quot;/&gt;&lt;wsp:rsid wsp:val=&quot;12740CB0&quot;/&gt;&lt;wsp:rsid wsp:val=&quot;12744159&quot;/&gt;&lt;wsp:rsid wsp:val=&quot;12746B75&quot;/&gt;&lt;wsp:rsid wsp:val=&quot;12753A2E&quot;/&gt;&lt;wsp:rsid wsp:val=&quot;127557DC&quot;/&gt;&lt;wsp:rsid wsp:val=&quot;12764066&quot;/&gt;&lt;wsp:rsid wsp:val=&quot;12771554&quot;/&gt;&lt;wsp:rsid wsp:val=&quot;127A1044&quot;/&gt;&lt;wsp:rsid wsp:val=&quot;127B54E8&quot;/&gt;&lt;wsp:rsid wsp:val=&quot;127E6D86&quot;/&gt;&lt;wsp:rsid wsp:val=&quot;127F3C88&quot;/&gt;&lt;wsp:rsid wsp:val=&quot;127F48AC&quot;/&gt;&lt;wsp:rsid wsp:val=&quot;12810624&quot;/&gt;&lt;wsp:rsid wsp:val=&quot;12823D4A&quot;/&gt;&lt;wsp:rsid wsp:val=&quot;12832108&quot;/&gt;&lt;wsp:rsid wsp:val=&quot;12840CBF&quot;/&gt;&lt;wsp:rsid wsp:val=&quot;12850115&quot;/&gt;&lt;wsp:rsid wsp:val=&quot;12863E8D&quot;/&gt;&lt;wsp:rsid wsp:val=&quot;128819B3&quot;/&gt;&lt;wsp:rsid wsp:val=&quot;128A74D9&quot;/&gt;&lt;wsp:rsid wsp:val=&quot;128B14A3&quot;/&gt;&lt;wsp:rsid wsp:val=&quot;128D0D77&quot;/&gt;&lt;wsp:rsid wsp:val=&quot;128D521B&quot;/&gt;&lt;wsp:rsid wsp:val=&quot;128D6FC9&quot;/&gt;&lt;wsp:rsid wsp:val=&quot;128E4CD4&quot;/&gt;&lt;wsp:rsid wsp:val=&quot;128E689D&quot;/&gt;&lt;wsp:rsid wsp:val=&quot;12902616&quot;/&gt;&lt;wsp:rsid wsp:val=&quot;12906AB9&quot;/&gt;&lt;wsp:rsid wsp:val=&quot;1293358D&quot;/&gt;&lt;wsp:rsid wsp:val=&quot;12934CCE&quot;/&gt;&lt;wsp:rsid wsp:val=&quot;12971BF6&quot;/&gt;&lt;wsp:rsid wsp:val=&quot;12976FDC&quot;/&gt;&lt;wsp:rsid wsp:val=&quot;129A3460&quot;/&gt;&lt;wsp:rsid wsp:val=&quot;129D7963&quot;/&gt;&lt;wsp:rsid wsp:val=&quot;12A06CFD&quot;/&gt;&lt;wsp:rsid wsp:val=&quot;12A14823&quot;/&gt;&lt;wsp:rsid wsp:val=&quot;12A367ED&quot;/&gt;&lt;wsp:rsid wsp:val=&quot;12A52565&quot;/&gt;&lt;wsp:rsid wsp:val=&quot;12A61E39&quot;/&gt;&lt;wsp:rsid wsp:val=&quot;12A71528&quot;/&gt;&lt;wsp:rsid wsp:val=&quot;12A83E03&quot;/&gt;&lt;wsp:rsid wsp:val=&quot;12A85BB1&quot;/&gt;&lt;wsp:rsid wsp:val=&quot;12AA1929&quot;/&gt;&lt;wsp:rsid wsp:val=&quot;12AA7B7B&quot;/&gt;&lt;wsp:rsid wsp:val=&quot;12AB1C90&quot;/&gt;&lt;wsp:rsid wsp:val=&quot;12AB744F&quot;/&gt;&lt;wsp:rsid wsp:val=&quot;12AC38F3&quot;/&gt;&lt;wsp:rsid wsp:val=&quot;12AD31C8&quot;/&gt;&lt;wsp:rsid wsp:val=&quot;12AD766B&quot;/&gt;&lt;wsp:rsid wsp:val=&quot;12AF0CEE&quot;/&gt;&lt;wsp:rsid wsp:val=&quot;12AF345C&quot;/&gt;&lt;wsp:rsid wsp:val=&quot;12B02CB8&quot;/&gt;&lt;wsp:rsid wsp:val=&quot;12B10F0A&quot;/&gt;&lt;wsp:rsid wsp:val=&quot;12B21DF5&quot;/&gt;&lt;wsp:rsid wsp:val=&quot;12B44070&quot;/&gt;&lt;wsp:rsid wsp:val=&quot;12B502CE&quot;/&gt;&lt;wsp:rsid wsp:val=&quot;12B5207C&quot;/&gt;&lt;wsp:rsid wsp:val=&quot;12B97DBE&quot;/&gt;&lt;wsp:rsid wsp:val=&quot;12BB52B9&quot;/&gt;&lt;wsp:rsid wsp:val=&quot;12BB58E4&quot;/&gt;&lt;wsp:rsid wsp:val=&quot;12BC78AF&quot;/&gt;&lt;wsp:rsid wsp:val=&quot;12BE53D5&quot;/&gt;&lt;wsp:rsid wsp:val=&quot;12BE7183&quot;/&gt;&lt;wsp:rsid wsp:val=&quot;12C02EFB&quot;/&gt;&lt;wsp:rsid wsp:val=&quot;12C102BD&quot;/&gt;&lt;wsp:rsid wsp:val=&quot;12C329EB&quot;/&gt;&lt;wsp:rsid wsp:val=&quot;12C34799&quot;/&gt;&lt;wsp:rsid wsp:val=&quot;12C4776A&quot;/&gt;&lt;wsp:rsid wsp:val=&quot;12C50CAE&quot;/&gt;&lt;wsp:rsid wsp:val=&quot;12C624DB&quot;/&gt;&lt;wsp:rsid wsp:val=&quot;12C66037&quot;/&gt;&lt;wsp:rsid wsp:val=&quot;12C86253&quot;/&gt;&lt;wsp:rsid wsp:val=&quot;12C86D36&quot;/&gt;&lt;wsp:rsid wsp:val=&quot;12C94D9D&quot;/&gt;&lt;wsp:rsid wsp:val=&quot;12CA3D79&quot;/&gt;&lt;wsp:rsid wsp:val=&quot;12CB18A0&quot;/&gt;&lt;wsp:rsid wsp:val=&quot;12CC5D44&quot;/&gt;&lt;wsp:rsid wsp:val=&quot;12CC7AF2&quot;/&gt;&lt;wsp:rsid wsp:val=&quot;12CD4BAE&quot;/&gt;&lt;wsp:rsid wsp:val=&quot;12CD62EF&quot;/&gt;&lt;wsp:rsid wsp:val=&quot;12CF507A&quot;/&gt;&lt;wsp:rsid wsp:val=&quot;12D20E80&quot;/&gt;&lt;wsp:rsid wsp:val=&quot;12D270D2&quot;/&gt;&lt;wsp:rsid wsp:val=&quot;12D27590&quot;/&gt;&lt;wsp:rsid wsp:val=&quot;12D3308B&quot;/&gt;&lt;wsp:rsid wsp:val=&quot;12D53340&quot;/&gt;&lt;wsp:rsid wsp:val=&quot;12D544CC&quot;/&gt;&lt;wsp:rsid wsp:val=&quot;12D553E2&quot;/&gt;&lt;wsp:rsid wsp:val=&quot;12D60970&quot;/&gt;&lt;wsp:rsid wsp:val=&quot;12D746E8&quot;/&gt;&lt;wsp:rsid wsp:val=&quot;12D93FBD&quot;/&gt;&lt;wsp:rsid wsp:val=&quot;12DA1AE3&quot;/&gt;&lt;wsp:rsid wsp:val=&quot;12DB5F87&quot;/&gt;&lt;wsp:rsid wsp:val=&quot;12DB7D35&quot;/&gt;&lt;wsp:rsid wsp:val=&quot;12DD7CF9&quot;/&gt;&lt;wsp:rsid wsp:val=&quot;12E110C3&quot;/&gt;&lt;wsp:rsid wsp:val=&quot;12E12E71&quot;/&gt;&lt;wsp:rsid wsp:val=&quot;12E15BF5&quot;/&gt;&lt;wsp:rsid wsp:val=&quot;12E21A9C&quot;/&gt;&lt;wsp:rsid wsp:val=&quot;12E2361D&quot;/&gt;&lt;wsp:rsid wsp:val=&quot;12E27315&quot;/&gt;&lt;wsp:rsid wsp:val=&quot;12E3308D&quot;/&gt;&lt;wsp:rsid wsp:val=&quot;12E41216&quot;/&gt;&lt;wsp:rsid wsp:val=&quot;12E52961&quot;/&gt;&lt;wsp:rsid wsp:val=&quot;12E60488&quot;/&gt;&lt;wsp:rsid wsp:val=&quot;12E666D9&quot;/&gt;&lt;wsp:rsid wsp:val=&quot;12E67D42&quot;/&gt;&lt;wsp:rsid wsp:val=&quot;12E806A4&quot;/&gt;&lt;wsp:rsid wsp:val=&quot;12E82452&quot;/&gt;&lt;wsp:rsid wsp:val=&quot;12E84200&quot;/&gt;&lt;wsp:rsid wsp:val=&quot;12EA1D66&quot;/&gt;&lt;wsp:rsid wsp:val=&quot;12EA61CA&quot;/&gt;&lt;wsp:rsid wsp:val=&quot;12EC0194&quot;/&gt;&lt;wsp:rsid wsp:val=&quot;12EC15C7&quot;/&gt;&lt;wsp:rsid wsp:val=&quot;12EC1F42&quot;/&gt;&lt;wsp:rsid wsp:val=&quot;12ED7A68&quot;/&gt;&lt;wsp:rsid wsp:val=&quot;12EF1A32&quot;/&gt;&lt;wsp:rsid wsp:val=&quot;12EF37E0&quot;/&gt;&lt;wsp:rsid wsp:val=&quot;12EF558E&quot;/&gt;&lt;wsp:rsid wsp:val=&quot;12F42BA4&quot;/&gt;&lt;wsp:rsid wsp:val=&quot;12F86B39&quot;/&gt;&lt;wsp:rsid wsp:val=&quot;12F901BB&quot;/&gt;&lt;wsp:rsid wsp:val=&quot;12F9241F&quot;/&gt;&lt;wsp:rsid wsp:val=&quot;12F928B1&quot;/&gt;&lt;wsp:rsid wsp:val=&quot;12FE1C75&quot;/&gt;&lt;wsp:rsid wsp:val=&quot;12FE3FC7&quot;/&gt;&lt;wsp:rsid wsp:val=&quot;130059ED&quot;/&gt;&lt;wsp:rsid wsp:val=&quot;130152C1&quot;/&gt;&lt;wsp:rsid wsp:val=&quot;13023513&quot;/&gt;&lt;wsp:rsid wsp:val=&quot;13035B40&quot;/&gt;&lt;wsp:rsid wsp:val=&quot;1303728B&quot;/&gt;&lt;wsp:rsid wsp:val=&quot;13042B2E&quot;/&gt;&lt;wsp:rsid wsp:val=&quot;13054DB2&quot;/&gt;&lt;wsp:rsid wsp:val=&quot;13076D7C&quot;/&gt;&lt;wsp:rsid wsp:val=&quot;130829CB&quot;/&gt;&lt;wsp:rsid wsp:val=&quot;13082AF4&quot;/&gt;&lt;wsp:rsid wsp:val=&quot;130848A2&quot;/&gt;&lt;wsp:rsid wsp:val=&quot;130A36C0&quot;/&gt;&lt;wsp:rsid wsp:val=&quot;130A686C&quot;/&gt;&lt;wsp:rsid wsp:val=&quot;130C25E4&quot;/&gt;&lt;wsp:rsid wsp:val=&quot;130D1EB8&quot;/&gt;&lt;wsp:rsid wsp:val=&quot;130E5F3B&quot;/&gt;&lt;wsp:rsid wsp:val=&quot;130F60A2&quot;/&gt;&lt;wsp:rsid wsp:val=&quot;1311095B&quot;/&gt;&lt;wsp:rsid wsp:val=&quot;131119A8&quot;/&gt;&lt;wsp:rsid wsp:val=&quot;13111E52&quot;/&gt;&lt;wsp:rsid wsp:val=&quot;1312127D&quot;/&gt;&lt;wsp:rsid wsp:val=&quot;13141499&quot;/&gt;&lt;wsp:rsid wsp:val=&quot;13144FF5&quot;/&gt;&lt;wsp:rsid wsp:val=&quot;13164834&quot;/&gt;&lt;wsp:rsid wsp:val=&quot;13166FBF&quot;/&gt;&lt;wsp:rsid wsp:val=&quot;1319260B&quot;/&gt;&lt;wsp:rsid wsp:val=&quot;131B7848&quot;/&gt;&lt;wsp:rsid wsp:val=&quot;131C6F65&quot;/&gt;&lt;wsp:rsid wsp:val=&quot;131D2DE9&quot;/&gt;&lt;wsp:rsid wsp:val=&quot;131D659F&quot;/&gt;&lt;wsp:rsid wsp:val=&quot;131E2317&quot;/&gt;&lt;wsp:rsid wsp:val=&quot;131E4A44&quot;/&gt;&lt;wsp:rsid wsp:val=&quot;131F6CD8&quot;/&gt;&lt;wsp:rsid wsp:val=&quot;13201BEB&quot;/&gt;&lt;wsp:rsid wsp:val=&quot;13203999&quot;/&gt;&lt;wsp:rsid wsp:val=&quot;13207E3D&quot;/&gt;&lt;wsp:rsid wsp:val=&quot;13217712&quot;/&gt;&lt;wsp:rsid wsp:val=&quot;13225964&quot;/&gt;&lt;wsp:rsid wsp:val=&quot;1324792E&quot;/&gt;&lt;wsp:rsid wsp:val=&quot;13250FB0&quot;/&gt;&lt;wsp:rsid wsp:val=&quot;132536A6&quot;/&gt;&lt;wsp:rsid wsp:val=&quot;13255454&quot;/&gt;&lt;wsp:rsid wsp:val=&quot;132720B5&quot;/&gt;&lt;wsp:rsid wsp:val=&quot;13274D28&quot;/&gt;&lt;wsp:rsid wsp:val=&quot;13280AA0&quot;/&gt;&lt;wsp:rsid wsp:val=&quot;132A4818&quot;/&gt;&lt;wsp:rsid wsp:val=&quot;132B413A&quot;/&gt;&lt;wsp:rsid wsp:val=&quot;132F1E2E&quot;/&gt;&lt;wsp:rsid wsp:val=&quot;132F3F4B&quot;/&gt;&lt;wsp:rsid wsp:val=&quot;13312722&quot;/&gt;&lt;wsp:rsid wsp:val=&quot;13324823&quot;/&gt;&lt;wsp:rsid wsp:val=&quot;13333D5C&quot;/&gt;&lt;wsp:rsid wsp:val=&quot;13390EFF&quot;/&gt;&lt;wsp:rsid wsp:val=&quot;13394A5B&quot;/&gt;&lt;wsp:rsid wsp:val=&quot;133B07D3&quot;/&gt;&lt;wsp:rsid wsp:val=&quot;133B3026&quot;/&gt;&lt;wsp:rsid wsp:val=&quot;133B6A25&quot;/&gt;&lt;wsp:rsid wsp:val=&quot;133D454B&quot;/&gt;&lt;wsp:rsid wsp:val=&quot;133F1504&quot;/&gt;&lt;wsp:rsid wsp:val=&quot;133F3C5E&quot;/&gt;&lt;wsp:rsid wsp:val=&quot;133F73E1&quot;/&gt;&lt;wsp:rsid wsp:val=&quot;13421B62&quot;/&gt;&lt;wsp:rsid wsp:val=&quot;134277F0&quot;/&gt;&lt;wsp:rsid wsp:val=&quot;13427DB4&quot;/&gt;&lt;wsp:rsid wsp:val=&quot;13433B00&quot;/&gt;&lt;wsp:rsid wsp:val=&quot;13441D7E&quot;/&gt;&lt;wsp:rsid wsp:val=&quot;13453164&quot;/&gt;&lt;wsp:rsid wsp:val=&quot;13455F77&quot;/&gt;&lt;wsp:rsid wsp:val=&quot;134578A4&quot;/&gt;&lt;wsp:rsid wsp:val=&quot;13482EF0&quot;/&gt;&lt;wsp:rsid wsp:val=&quot;1349372A&quot;/&gt;&lt;wsp:rsid wsp:val=&quot;13494F1B&quot;/&gt;&lt;wsp:rsid wsp:val=&quot;134A7D3F&quot;/&gt;&lt;wsp:rsid wsp:val=&quot;134C478E&quot;/&gt;&lt;wsp:rsid wsp:val=&quot;134E49AB&quot;/&gt;&lt;wsp:rsid wsp:val=&quot;134E6759&quot;/&gt;&lt;wsp:rsid wsp:val=&quot;134F0723&quot;/&gt;&lt;wsp:rsid wsp:val=&quot;134F58A4&quot;/&gt;&lt;wsp:rsid wsp:val=&quot;13510A26&quot;/&gt;&lt;wsp:rsid wsp:val=&quot;13515E55&quot;/&gt;&lt;wsp:rsid wsp:val=&quot;13525B1D&quot;/&gt;&lt;wsp:rsid wsp:val=&quot;13531FC1&quot;/&gt;&lt;wsp:rsid wsp:val=&quot;13541402&quot;/&gt;&lt;wsp:rsid wsp:val=&quot;13541895&quot;/&gt;&lt;wsp:rsid wsp:val=&quot;13542DC7&quot;/&gt;&lt;wsp:rsid wsp:val=&quot;13545D39&quot;/&gt;&lt;wsp:rsid wsp:val=&quot;135573A7&quot;/&gt;&lt;wsp:rsid wsp:val=&quot;13573133&quot;/&gt;&lt;wsp:rsid wsp:val=&quot;13581385&quot;/&gt;&lt;wsp:rsid wsp:val=&quot;13593FE0&quot;/&gt;&lt;wsp:rsid wsp:val=&quot;135D4BEE&quot;/&gt;&lt;wsp:rsid wsp:val=&quot;135E44C2&quot;/&gt;&lt;wsp:rsid wsp:val=&quot;13617BEA&quot;/&gt;&lt;wsp:rsid wsp:val=&quot;13620456&quot;/&gt;&lt;wsp:rsid wsp:val=&quot;13622204&quot;/&gt;&lt;wsp:rsid wsp:val=&quot;136441CE&quot;/&gt;&lt;wsp:rsid wsp:val=&quot;136617BC&quot;/&gt;&lt;wsp:rsid wsp:val=&quot;1366491A&quot;/&gt;&lt;wsp:rsid wsp:val=&quot;136733E5&quot;/&gt;&lt;wsp:rsid wsp:val=&quot;136917E4&quot;/&gt;&lt;wsp:rsid wsp:val=&quot;136A10B9&quot;/&gt;&lt;wsp:rsid wsp:val=&quot;136C6BDF&quot;/&gt;&lt;wsp:rsid wsp:val=&quot;136E19CD&quot;/&gt;&lt;wsp:rsid wsp:val=&quot;13702B73&quot;/&gt;&lt;wsp:rsid wsp:val=&quot;13712D00&quot;/&gt;&lt;wsp:rsid wsp:val=&quot;137361BF&quot;/&gt;&lt;wsp:rsid wsp:val=&quot;13782889&quot;/&gt;&lt;wsp:rsid wsp:val=&quot;137B190B&quot;/&gt;&lt;wsp:rsid wsp:val=&quot;137D0DEC&quot;/&gt;&lt;wsp:rsid wsp:val=&quot;137D4216&quot;/&gt;&lt;wsp:rsid wsp:val=&quot;137E28CC&quot;/&gt;&lt;wsp:rsid wsp:val=&quot;137F2DB6&quot;/&gt;&lt;wsp:rsid wsp:val=&quot;137F4B64&quot;/&gt;&lt;wsp:rsid wsp:val=&quot;137F5677&quot;/&gt;&lt;wsp:rsid wsp:val=&quot;137F64CE&quot;/&gt;&lt;wsp:rsid wsp:val=&quot;138008DC&quot;/&gt;&lt;wsp:rsid wsp:val=&quot;13804F34&quot;/&gt;&lt;wsp:rsid wsp:val=&quot;138137F3&quot;/&gt;&lt;wsp:rsid wsp:val=&quot;138228A6&quot;/&gt;&lt;wsp:rsid wsp:val=&quot;13826402&quot;/&gt;&lt;wsp:rsid wsp:val=&quot;138275B2&quot;/&gt;&lt;wsp:rsid wsp:val=&quot;13855EF2&quot;/&gt;&lt;wsp:rsid wsp:val=&quot;13871D70&quot;/&gt;&lt;wsp:rsid wsp:val=&quot;13897791&quot;/&gt;&lt;wsp:rsid wsp:val=&quot;138A3509&quot;/&gt;&lt;wsp:rsid wsp:val=&quot;138B2047&quot;/&gt;&lt;wsp:rsid wsp:val=&quot;138E124B&quot;/&gt;&lt;wsp:rsid wsp:val=&quot;138F28CD&quot;/&gt;&lt;wsp:rsid wsp:val=&quot;13904FC3&quot;/&gt;&lt;wsp:rsid wsp:val=&quot;13912AE9&quot;/&gt;&lt;wsp:rsid wsp:val=&quot;13914897&quot;/&gt;&lt;wsp:rsid wsp:val=&quot;13951726&quot;/&gt;&lt;wsp:rsid wsp:val=&quot;139530F9&quot;/&gt;&lt;wsp:rsid wsp:val=&quot;1395483A&quot;/&gt;&lt;wsp:rsid wsp:val=&quot;13985C26&quot;/&gt;&lt;wsp:rsid wsp:val=&quot;139A0200&quot;/&gt;&lt;wsp:rsid wsp:val=&quot;139E0753&quot;/&gt;&lt;wsp:rsid wsp:val=&quot;139F5206&quot;/&gt;&lt;wsp:rsid wsp:val=&quot;139F6FB4&quot;/&gt;&lt;wsp:rsid wsp:val=&quot;13A20852&quot;/&gt;&lt;wsp:rsid wsp:val=&quot;13A4281C&quot;/&gt;&lt;wsp:rsid wsp:val=&quot;13A46379&quot;/&gt;&lt;wsp:rsid wsp:val=&quot;13A50343&quot;/&gt;&lt;wsp:rsid wsp:val=&quot;13A66595&quot;/&gt;&lt;wsp:rsid wsp:val=&quot;13A77A4F&quot;/&gt;&lt;wsp:rsid wsp:val=&quot;13A8699E&quot;/&gt;&lt;wsp:rsid wsp:val=&quot;13AA5959&quot;/&gt;&lt;wsp:rsid wsp:val=&quot;13AB3BAB&quot;/&gt;&lt;wsp:rsid wsp:val=&quot;13AB5044&quot;/&gt;&lt;wsp:rsid wsp:val=&quot;13AC347F&quot;/&gt;&lt;wsp:rsid wsp:val=&quot;13AC7923&quot;/&gt;&lt;wsp:rsid wsp:val=&quot;13AE5449&quot;/&gt;&lt;wsp:rsid wsp:val=&quot;13AE71F7&quot;/&gt;&lt;wsp:rsid wsp:val=&quot;13AF2F6F&quot;/&gt;&lt;wsp:rsid wsp:val=&quot;13B011C1&quot;/&gt;&lt;wsp:rsid wsp:val=&quot;13B04D27&quot;/&gt;&lt;wsp:rsid wsp:val=&quot;13B16CE7&quot;/&gt;&lt;wsp:rsid wsp:val=&quot;13B23A34&quot;/&gt;&lt;wsp:rsid wsp:val=&quot;13B32A60&quot;/&gt;&lt;wsp:rsid wsp:val=&quot;13B50FA2&quot;/&gt;&lt;wsp:rsid wsp:val=&quot;13B62550&quot;/&gt;&lt;wsp:rsid wsp:val=&quot;13B660AC&quot;/&gt;&lt;wsp:rsid wsp:val=&quot;13B81064&quot;/&gt;&lt;wsp:rsid wsp:val=&quot;13B81E24&quot;/&gt;&lt;wsp:rsid wsp:val=&quot;13BA3984&quot;/&gt;&lt;wsp:rsid wsp:val=&quot;13BA5B9C&quot;/&gt;&lt;wsp:rsid wsp:val=&quot;13BB36C2&quot;/&gt;&lt;wsp:rsid wsp:val=&quot;13BB4E14&quot;/&gt;&lt;wsp:rsid wsp:val=&quot;13BD5EC7&quot;/&gt;&lt;wsp:rsid wsp:val=&quot;13BF1404&quot;/&gt;&lt;wsp:rsid wsp:val=&quot;13BF31B2&quot;/&gt;&lt;wsp:rsid wsp:val=&quot;13C0517C&quot;/&gt;&lt;wsp:rsid wsp:val=&quot;13C20EF5&quot;/&gt;&lt;wsp:rsid wsp:val=&quot;13C44C6D&quot;/&gt;&lt;wsp:rsid wsp:val=&quot;13C46A1B&quot;/&gt;&lt;wsp:rsid wsp:val=&quot;13C50729&quot;/&gt;&lt;wsp:rsid wsp:val=&quot;13C62745&quot;/&gt;&lt;wsp:rsid wsp:val=&quot;13C702B9&quot;/&gt;&lt;wsp:rsid wsp:val=&quot;13C73778&quot;/&gt;&lt;wsp:rsid wsp:val=&quot;13C7650B&quot;/&gt;&lt;wsp:rsid wsp:val=&quot;13C92283&quot;/&gt;&lt;wsp:rsid wsp:val=&quot;13C94031&quot;/&gt;&lt;wsp:rsid wsp:val=&quot;13C95DDF&quot;/&gt;&lt;wsp:rsid wsp:val=&quot;13CA1B57&quot;/&gt;&lt;wsp:rsid wsp:val=&quot;13CB5BCC&quot;/&gt;&lt;wsp:rsid wsp:val=&quot;13CB74DA&quot;/&gt;&lt;wsp:rsid wsp:val=&quot;13CC3B21&quot;/&gt;&lt;wsp:rsid wsp:val=&quot;13CE522D&quot;/&gt;&lt;wsp:rsid wsp:val=&quot;13CE5AEB&quot;/&gt;&lt;wsp:rsid wsp:val=&quot;13D053C0&quot;/&gt;&lt;wsp:rsid wsp:val=&quot;13D21051&quot;/&gt;&lt;wsp:rsid wsp:val=&quot;13D50C28&quot;/&gt;&lt;wsp:rsid wsp:val=&quot;13D6674E&quot;/&gt;&lt;wsp:rsid wsp:val=&quot;13D67852&quot;/&gt;&lt;wsp:rsid wsp:val=&quot;13D80718&quot;/&gt;&lt;wsp:rsid wsp:val=&quot;13D824C6&quot;/&gt;&lt;wsp:rsid wsp:val=&quot;13D84274&quot;/&gt;&lt;wsp:rsid wsp:val=&quot;13D97F0D&quot;/&gt;&lt;wsp:rsid wsp:val=&quot;13DA2F6E&quot;/&gt;&lt;wsp:rsid wsp:val=&quot;13DA7FEC&quot;/&gt;&lt;wsp:rsid wsp:val=&quot;13DB3D64&quot;/&gt;&lt;wsp:rsid wsp:val=&quot;13DB48C9&quot;/&gt;&lt;wsp:rsid wsp:val=&quot;13DB5B12&quot;/&gt;&lt;wsp:rsid wsp:val=&quot;13DD188A&quot;/&gt;&lt;wsp:rsid wsp:val=&quot;13DD4AE0&quot;/&gt;&lt;wsp:rsid wsp:val=&quot;13DD7ADC&quot;/&gt;&lt;wsp:rsid wsp:val=&quot;13E40E6B&quot;/&gt;&lt;wsp:rsid wsp:val=&quot;13E54139&quot;/&gt;&lt;wsp:rsid wsp:val=&quot;13E70C89&quot;/&gt;&lt;wsp:rsid wsp:val=&quot;13E7436A&quot;/&gt;&lt;wsp:rsid wsp:val=&quot;13E75572&quot;/&gt;&lt;wsp:rsid wsp:val=&quot;13E908A4&quot;/&gt;&lt;wsp:rsid wsp:val=&quot;13EB044B&quot;/&gt;&lt;wsp:rsid wsp:val=&quot;13EB21F9&quot;/&gt;&lt;wsp:rsid wsp:val=&quot;13EB331F&quot;/&gt;&lt;wsp:rsid wsp:val=&quot;13EC47F1&quot;/&gt;&lt;wsp:rsid wsp:val=&quot;13EE3A98&quot;/&gt;&lt;wsp:rsid wsp:val=&quot;13EE5846&quot;/&gt;&lt;wsp:rsid wsp:val=&quot;13F05A62&quot;/&gt;&lt;wsp:rsid wsp:val=&quot;13F13588&quot;/&gt;&lt;wsp:rsid wsp:val=&quot;13F217DA&quot;/&gt;&lt;wsp:rsid wsp:val=&quot;13F310AE&quot;/&gt;&lt;wsp:rsid wsp:val=&quot;13F56BD4&quot;/&gt;&lt;wsp:rsid wsp:val=&quot;13F56CD2&quot;/&gt;&lt;wsp:rsid wsp:val=&quot;13FA68E0&quot;/&gt;&lt;wsp:rsid wsp:val=&quot;13FB22A7&quot;/&gt;&lt;wsp:rsid wsp:val=&quot;13FC4AB2&quot;/&gt;&lt;wsp:rsid wsp:val=&quot;13FD017F&quot;/&gt;&lt;wsp:rsid wsp:val=&quot;13FF3EF7&quot;/&gt;&lt;wsp:rsid wsp:val=&quot;13FF7A53&quot;/&gt;&lt;wsp:rsid wsp:val=&quot;1400284C&quot;/&gt;&lt;wsp:rsid wsp:val=&quot;14005579&quot;/&gt;&lt;wsp:rsid wsp:val=&quot;14011A1D&quot;/&gt;&lt;wsp:rsid wsp:val=&quot;140137CB&quot;/&gt;&lt;wsp:rsid wsp:val=&quot;14027543&quot;/&gt;&lt;wsp:rsid wsp:val=&quot;140275A9&quot;/&gt;&lt;wsp:rsid wsp:val=&quot;140654BE&quot;/&gt;&lt;wsp:rsid wsp:val=&quot;140673BA&quot;/&gt;&lt;wsp:rsid wsp:val=&quot;140809BA&quot;/&gt;&lt;wsp:rsid wsp:val=&quot;140908D1&quot;/&gt;&lt;wsp:rsid wsp:val=&quot;14092680&quot;/&gt;&lt;wsp:rsid wsp:val=&quot;140B289C&quot;/&gt;&lt;wsp:rsid wsp:val=&quot;140C03C2&quot;/&gt;&lt;wsp:rsid wsp:val=&quot;140E413A&quot;/&gt;&lt;wsp:rsid wsp:val=&quot;140F7135&quot;/&gt;&lt;wsp:rsid wsp:val=&quot;14103A0E&quot;/&gt;&lt;wsp:rsid wsp:val=&quot;141330FE&quot;/&gt;&lt;wsp:rsid wsp:val=&quot;14157276&quot;/&gt;&lt;wsp:rsid wsp:val=&quot;141573DC&quot;/&gt;&lt;wsp:rsid wsp:val=&quot;141605EF&quot;/&gt;&lt;wsp:rsid wsp:val=&quot;141A6CBF&quot;/&gt;&lt;wsp:rsid wsp:val=&quot;141B23B3&quot;/&gt;&lt;wsp:rsid wsp:val=&quot;141B4416&quot;/&gt;&lt;wsp:rsid wsp:val=&quot;141F00F5&quot;/&gt;&lt;wsp:rsid wsp:val=&quot;141F1EA3&quot;/&gt;&lt;wsp:rsid wsp:val=&quot;1421125A&quot;/&gt;&lt;wsp:rsid wsp:val=&quot;142179C9&quot;/&gt;&lt;wsp:rsid wsp:val=&quot;14236796&quot;/&gt;&lt;wsp:rsid wsp:val=&quot;14237BE5&quot;/&gt;&lt;wsp:rsid wsp:val=&quot;142474B9&quot;/&gt;&lt;wsp:rsid wsp:val=&quot;14263231&quot;/&gt;&lt;wsp:rsid wsp:val=&quot;14264FE0&quot;/&gt;&lt;wsp:rsid wsp:val=&quot;142676D5&quot;/&gt;&lt;wsp:rsid wsp:val=&quot;14290F74&quot;/&gt;&lt;wsp:rsid wsp:val=&quot;142B0848&quot;/&gt;&lt;wsp:rsid wsp:val=&quot;142B6A9A&quot;/&gt;&lt;wsp:rsid wsp:val=&quot;142E20E6&quot;/&gt;&lt;wsp:rsid wsp:val=&quot;14302626&quot;/&gt;&lt;wsp:rsid wsp:val=&quot;143040B0&quot;/&gt;&lt;wsp:rsid wsp:val=&quot;14305E5E&quot;/&gt;&lt;wsp:rsid wsp:val=&quot;14321BD6&quot;/&gt;&lt;wsp:rsid wsp:val=&quot;14325A97&quot;/&gt;&lt;wsp:rsid wsp:val=&quot;1432607A&quot;/&gt;&lt;wsp:rsid wsp:val=&quot;14327E28&quot;/&gt;&lt;wsp:rsid wsp:val=&quot;14353475&quot;/&gt;&lt;wsp:rsid wsp:val=&quot;143538C7&quot;/&gt;&lt;wsp:rsid wsp:val=&quot;14356BA6&quot;/&gt;&lt;wsp:rsid wsp:val=&quot;14373691&quot;/&gt;&lt;wsp:rsid wsp:val=&quot;14376734&quot;/&gt;&lt;wsp:rsid wsp:val=&quot;14396509&quot;/&gt;&lt;wsp:rsid wsp:val=&quot;143A0A8B&quot;/&gt;&lt;wsp:rsid wsp:val=&quot;143A4F2F&quot;/&gt;&lt;wsp:rsid wsp:val=&quot;143A6CDD&quot;/&gt;&lt;wsp:rsid wsp:val=&quot;143D057B&quot;/&gt;&lt;wsp:rsid wsp:val=&quot;14411E19&quot;/&gt;&lt;wsp:rsid wsp:val=&quot;14412BB5&quot;/&gt;&lt;wsp:rsid wsp:val=&quot;144162BD&quot;/&gt;&lt;wsp:rsid wsp:val=&quot;14430A9C&quot;/&gt;&lt;wsp:rsid wsp:val=&quot;1444190A&quot;/&gt;&lt;wsp:rsid wsp:val=&quot;14445DAD&quot;/&gt;&lt;wsp:rsid wsp:val=&quot;144638D4&quot;/&gt;&lt;wsp:rsid wsp:val=&quot;144731A8&quot;/&gt;&lt;wsp:rsid wsp:val=&quot;14483410&quot;/&gt;&lt;wsp:rsid wsp:val=&quot;1448764C&quot;/&gt;&lt;wsp:rsid wsp:val=&quot;14495172&quot;/&gt;&lt;wsp:rsid wsp:val=&quot;144B0EEA&quot;/&gt;&lt;wsp:rsid wsp:val=&quot;144C4685&quot;/&gt;&lt;wsp:rsid wsp:val=&quot;144D6A10&quot;/&gt;&lt;wsp:rsid wsp:val=&quot;144E2788&quot;/&gt;&lt;wsp:rsid wsp:val=&quot;14504752&quot;/&gt;&lt;wsp:rsid wsp:val=&quot;14506500&quot;/&gt;&lt;wsp:rsid wsp:val=&quot;14515DD5&quot;/&gt;&lt;wsp:rsid wsp:val=&quot;14517689&quot;/&gt;&lt;wsp:rsid wsp:val=&quot;14531B4D&quot;/&gt;&lt;wsp:rsid wsp:val=&quot;145417A7&quot;/&gt;&lt;wsp:rsid wsp:val=&quot;145558C5&quot;/&gt;&lt;wsp:rsid wsp:val=&quot;14555D8E&quot;/&gt;&lt;wsp:rsid wsp:val=&quot;145675CB&quot;/&gt;&lt;wsp:rsid wsp:val=&quot;1457163D&quot;/&gt;&lt;wsp:rsid wsp:val=&quot;14586859&quot;/&gt;&lt;wsp:rsid wsp:val=&quot;14593607&quot;/&gt;&lt;wsp:rsid wsp:val=&quot;145B6D23&quot;/&gt;&lt;wsp:rsid wsp:val=&quot;145C30F7&quot;/&gt;&lt;wsp:rsid wsp:val=&quot;145F4995&quot;/&gt;&lt;wsp:rsid wsp:val=&quot;145F6743&quot;/&gt;&lt;wsp:rsid wsp:val=&quot;145F6B34&quot;/&gt;&lt;wsp:rsid wsp:val=&quot;14634486&quot;/&gt;&lt;wsp:rsid wsp:val=&quot;14681A9C&quot;/&gt;&lt;wsp:rsid wsp:val=&quot;1468384A&quot;/&gt;&lt;wsp:rsid wsp:val=&quot;14691370&quot;/&gt;&lt;wsp:rsid wsp:val=&quot;146975C2&quot;/&gt;&lt;wsp:rsid wsp:val=&quot;146B6E96&quot;/&gt;&lt;wsp:rsid wsp:val=&quot;146D3A96&quot;/&gt;&lt;wsp:rsid wsp:val=&quot;146D70B2&quot;/&gt;&lt;wsp:rsid wsp:val=&quot;146E3A58&quot;/&gt;&lt;wsp:rsid wsp:val=&quot;14706BA3&quot;/&gt;&lt;wsp:rsid wsp:val=&quot;14733869&quot;/&gt;&lt;wsp:rsid wsp:val=&quot;14733F9D&quot;/&gt;&lt;wsp:rsid wsp:val=&quot;14777F31&quot;/&gt;&lt;wsp:rsid wsp:val=&quot;14784EEC&quot;/&gt;&lt;wsp:rsid wsp:val=&quot;1478581C&quot;/&gt;&lt;wsp:rsid wsp:val=&quot;147C5547&quot;/&gt;&lt;wsp:rsid wsp:val=&quot;147C72F5&quot;/&gt;&lt;wsp:rsid wsp:val=&quot;147D20BD&quot;/&gt;&lt;wsp:rsid wsp:val=&quot;147E12BF&quot;/&gt;&lt;wsp:rsid wsp:val=&quot;147E4E1C&quot;/&gt;&lt;wsp:rsid wsp:val=&quot;147F2942&quot;/&gt;&lt;wsp:rsid wsp:val=&quot;148271F9&quot;/&gt;&lt;wsp:rsid wsp:val=&quot;148368D6&quot;/&gt;&lt;wsp:rsid wsp:val=&quot;14843EA4&quot;/&gt;&lt;wsp:rsid wsp:val=&quot;148461AA&quot;/&gt;&lt;wsp:rsid wsp:val=&quot;1485084F&quot;/&gt;&lt;wsp:rsid wsp:val=&quot;148615D9&quot;/&gt;&lt;wsp:rsid wsp:val=&quot;14885C9A&quot;/&gt;&lt;wsp:rsid wsp:val=&quot;14890660&quot;/&gt;&lt;wsp:rsid wsp:val=&quot;14891574&quot;/&gt;&lt;wsp:rsid wsp:val=&quot;148937C0&quot;/&gt;&lt;wsp:rsid wsp:val=&quot;148B62DC&quot;/&gt;&lt;wsp:rsid wsp:val=&quot;148C5044&quot;/&gt;&lt;wsp:rsid wsp:val=&quot;148D505F&quot;/&gt;&lt;wsp:rsid wsp:val=&quot;148E0DD7&quot;/&gt;&lt;wsp:rsid wsp:val=&quot;148F7029&quot;/&gt;&lt;wsp:rsid wsp:val=&quot;14904B4F&quot;/&gt;&lt;wsp:rsid wsp:val=&quot;149208C7&quot;/&gt;&lt;wsp:rsid wsp:val=&quot;14926B19&quot;/&gt;&lt;wsp:rsid wsp:val=&quot;14942B30&quot;/&gt;&lt;wsp:rsid wsp:val=&quot;149438EE&quot;/&gt;&lt;wsp:rsid wsp:val=&quot;14990155&quot;/&gt;&lt;wsp:rsid wsp:val=&quot;14991C55&quot;/&gt;&lt;wsp:rsid wsp:val=&quot;149A2D26&quot;/&gt;&lt;wsp:rsid wsp:val=&quot;149C34F4&quot;/&gt;&lt;wsp:rsid wsp:val=&quot;149D101A&quot;/&gt;&lt;wsp:rsid wsp:val=&quot;149D7EE0&quot;/&gt;&lt;wsp:rsid wsp:val=&quot;149E3A0A&quot;/&gt;&lt;wsp:rsid wsp:val=&quot;149F22DB&quot;/&gt;&lt;wsp:rsid wsp:val=&quot;149F4D92&quot;/&gt;&lt;wsp:rsid wsp:val=&quot;14A04FCC&quot;/&gt;&lt;wsp:rsid wsp:val=&quot;14A16D5C&quot;/&gt;&lt;wsp:rsid wsp:val=&quot;14A27D77&quot;/&gt;&lt;wsp:rsid wsp:val=&quot;14A405FA&quot;/&gt;&lt;wsp:rsid wsp:val=&quot;14A46636&quot;/&gt;&lt;wsp:rsid wsp:val=&quot;14A800EA&quot;/&gt;&lt;wsp:rsid wsp:val=&quot;14A95C11&quot;/&gt;&lt;wsp:rsid wsp:val=&quot;14AA20B4&quot;/&gt;&lt;wsp:rsid wsp:val=&quot;14AA6509&quot;/&gt;&lt;wsp:rsid wsp:val=&quot;14AB1989&quot;/&gt;&lt;wsp:rsid wsp:val=&quot;14AD5701&quot;/&gt;&lt;wsp:rsid wsp:val=&quot;14AE3227&quot;/&gt;&lt;wsp:rsid wsp:val=&quot;14B00D4D&quot;/&gt;&lt;wsp:rsid wsp:val=&quot;14B0461A&quot;/&gt;&lt;wsp:rsid wsp:val=&quot;14B051F1&quot;/&gt;&lt;wsp:rsid wsp:val=&quot;14B233E2&quot;/&gt;&lt;wsp:rsid wsp:val=&quot;14B36F50&quot;/&gt;&lt;wsp:rsid wsp:val=&quot;14B545B5&quot;/&gt;&lt;wsp:rsid wsp:val=&quot;14B720DC&quot;/&gt;&lt;wsp:rsid wsp:val=&quot;14B95E54&quot;/&gt;&lt;wsp:rsid wsp:val=&quot;14BC1DE8&quot;/&gt;&lt;wsp:rsid wsp:val=&quot;14BC3B96&quot;/&gt;&lt;wsp:rsid wsp:val=&quot;14BC5944&quot;/&gt;&lt;wsp:rsid wsp:val=&quot;14BE16BC&quot;/&gt;&lt;wsp:rsid wsp:val=&quot;14C12F5A&quot;/&gt;&lt;wsp:rsid wsp:val=&quot;14C30A80&quot;/&gt;&lt;wsp:rsid wsp:val=&quot;14C34F24&quot;/&gt;&lt;wsp:rsid wsp:val=&quot;14C36CD2&quot;/&gt;&lt;wsp:rsid wsp:val=&quot;14C468A8&quot;/&gt;&lt;wsp:rsid wsp:val=&quot;14C52A4A&quot;/&gt;&lt;wsp:rsid wsp:val=&quot;14C60571&quot;/&gt;&lt;wsp:rsid wsp:val=&quot;14C835C4&quot;/&gt;&lt;wsp:rsid wsp:val=&quot;14CA3957&quot;/&gt;&lt;wsp:rsid wsp:val=&quot;14CA62B3&quot;/&gt;&lt;wsp:rsid wsp:val=&quot;14CC1098&quot;/&gt;&lt;wsp:rsid wsp:val=&quot;14CC26C2&quot;/&gt;&lt;wsp:rsid wsp:val=&quot;14CD5DA3&quot;/&gt;&lt;wsp:rsid wsp:val=&quot;14CF6D94&quot;/&gt;&lt;wsp:rsid wsp:val=&quot;14D01061&quot;/&gt;&lt;wsp:rsid wsp:val=&quot;14D07641&quot;/&gt;&lt;wsp:rsid wsp:val=&quot;14D507B4&quot;/&gt;&lt;wsp:rsid wsp:val=&quot;14D54096&quot;/&gt;&lt;wsp:rsid wsp:val=&quot;14D709D0&quot;/&gt;&lt;wsp:rsid wsp:val=&quot;14D7277E&quot;/&gt;&lt;wsp:rsid wsp:val=&quot;14D829B4&quot;/&gt;&lt;wsp:rsid wsp:val=&quot;14D902A4&quot;/&gt;&lt;wsp:rsid wsp:val=&quot;14DC5FE6&quot;/&gt;&lt;wsp:rsid wsp:val=&quot;14DD2C3C&quot;/&gt;&lt;wsp:rsid wsp:val=&quot;14DE58BA&quot;/&gt;&lt;wsp:rsid wsp:val=&quot;14DF145A&quot;/&gt;&lt;wsp:rsid wsp:val=&quot;14DF1632&quot;/&gt;&lt;wsp:rsid wsp:val=&quot;14DF6889&quot;/&gt;&lt;wsp:rsid wsp:val=&quot;14E05AD6&quot;/&gt;&lt;wsp:rsid wsp:val=&quot;14E135FC&quot;/&gt;&lt;wsp:rsid wsp:val=&quot;14E224D0&quot;/&gt;&lt;wsp:rsid wsp:val=&quot;14E2520A&quot;/&gt;&lt;wsp:rsid wsp:val=&quot;14E31122&quot;/&gt;&lt;wsp:rsid wsp:val=&quot;14E32ED1&quot;/&gt;&lt;wsp:rsid wsp:val=&quot;14E37374&quot;/&gt;&lt;wsp:rsid wsp:val=&quot;14E629C1&quot;/&gt;&lt;wsp:rsid wsp:val=&quot;14E66169&quot;/&gt;&lt;wsp:rsid wsp:val=&quot;14E82BDD&quot;/&gt;&lt;wsp:rsid wsp:val=&quot;14E86739&quot;/&gt;&lt;wsp:rsid wsp:val=&quot;14E95FDD&quot;/&gt;&lt;wsp:rsid wsp:val=&quot;14EA0703&quot;/&gt;&lt;wsp:rsid wsp:val=&quot;14EA24B1&quot;/&gt;&lt;wsp:rsid wsp:val=&quot;14EC447B&quot;/&gt;&lt;wsp:rsid wsp:val=&quot;14EF3F6B&quot;/&gt;&lt;wsp:rsid wsp:val=&quot;14EF5D19&quot;/&gt;&lt;wsp:rsid wsp:val=&quot;14EF7AC7&quot;/&gt;&lt;wsp:rsid wsp:val=&quot;14F11A91&quot;/&gt;&lt;wsp:rsid wsp:val=&quot;14F21366&quot;/&gt;&lt;wsp:rsid wsp:val=&quot;14F237D5&quot;/&gt;&lt;wsp:rsid wsp:val=&quot;14F275B8&quot;/&gt;&lt;wsp:rsid wsp:val=&quot;14F450DE&quot;/&gt;&lt;wsp:rsid wsp:val=&quot;14F74BCE&quot;/&gt;&lt;wsp:rsid wsp:val=&quot;14F852D9&quot;/&gt;&lt;wsp:rsid wsp:val=&quot;14F90946&quot;/&gt;&lt;wsp:rsid wsp:val=&quot;14F926F4&quot;/&gt;&lt;wsp:rsid wsp:val=&quot;14FB46BE&quot;/&gt;&lt;wsp:rsid wsp:val=&quot;14FB646C&quot;/&gt;&lt;wsp:rsid wsp:val=&quot;14FC21E4&quot;/&gt;&lt;wsp:rsid wsp:val=&quot;15007F26&quot;/&gt;&lt;wsp:rsid wsp:val=&quot;15030855&quot;/&gt;&lt;wsp:rsid wsp:val=&quot;15051099&quot;/&gt;&lt;wsp:rsid wsp:val=&quot;15067B9F&quot;/&gt;&lt;wsp:rsid wsp:val=&quot;1508123C&quot;/&gt;&lt;wsp:rsid wsp:val=&quot;15082937&quot;/&gt;&lt;wsp:rsid wsp:val=&quot;15091831&quot;/&gt;&lt;wsp:rsid wsp:val=&quot;150920A6&quot;/&gt;&lt;wsp:rsid wsp:val=&quot;150B2427&quot;/&gt;&lt;wsp:rsid wsp:val=&quot;150C0679&quot;/&gt;&lt;wsp:rsid wsp:val=&quot;150C68CB&quot;/&gt;&lt;wsp:rsid wsp:val=&quot;15112E59&quot;/&gt;&lt;wsp:rsid wsp:val=&quot;151414FB&quot;/&gt;&lt;wsp:rsid wsp:val=&quot;15155054&quot;/&gt;&lt;wsp:rsid wsp:val=&quot;151658B5&quot;/&gt;&lt;wsp:rsid wsp:val=&quot;1517558A&quot;/&gt;&lt;wsp:rsid wsp:val=&quot;15184133&quot;/&gt;&lt;wsp:rsid wsp:val=&quot;15186A1A&quot;/&gt;&lt;wsp:rsid wsp:val=&quot;15193270&quot;/&gt;&lt;wsp:rsid wsp:val=&quot;15194B44&quot;/&gt;&lt;wsp:rsid wsp:val=&quot;151C4634&quot;/&gt;&lt;wsp:rsid wsp:val=&quot;151C63E2&quot;/&gt;&lt;wsp:rsid wsp:val=&quot;151D2886&quot;/&gt;&lt;wsp:rsid wsp:val=&quot;151E03AD&quot;/&gt;&lt;wsp:rsid wsp:val=&quot;151E65FF&quot;/&gt;&lt;wsp:rsid wsp:val=&quot;151F213F&quot;/&gt;&lt;wsp:rsid wsp:val=&quot;151F49C4&quot;/&gt;&lt;wsp:rsid wsp:val=&quot;152139F9&quot;/&gt;&lt;wsp:rsid wsp:val=&quot;1522269D&quot;/&gt;&lt;wsp:rsid wsp:val=&quot;15233C15&quot;/&gt;&lt;wsp:rsid wsp:val=&quot;15237771&quot;/&gt;&lt;wsp:rsid wsp:val=&quot;152534E9&quot;/&gt;&lt;wsp:rsid wsp:val=&quot;1525798D&quot;/&gt;&lt;wsp:rsid wsp:val=&quot;1526699F&quot;/&gt;&lt;wsp:rsid wsp:val=&quot;15273705&quot;/&gt;&lt;wsp:rsid wsp:val=&quot;152A6D51&quot;/&gt;&lt;wsp:rsid wsp:val=&quot;152B2882&quot;/&gt;&lt;wsp:rsid wsp:val=&quot;152D7CF3&quot;/&gt;&lt;wsp:rsid wsp:val=&quot;152E2381&quot;/&gt;&lt;wsp:rsid wsp:val=&quot;152E4A94&quot;/&gt;&lt;wsp:rsid wsp:val=&quot;152F25BA&quot;/&gt;&lt;wsp:rsid wsp:val=&quot;152F3F76&quot;/&gt;&lt;wsp:rsid wsp:val=&quot;152F6116&quot;/&gt;&lt;wsp:rsid wsp:val=&quot;15325EAF&quot;/&gt;&lt;wsp:rsid wsp:val=&quot;1534372C&quot;/&gt;&lt;wsp:rsid wsp:val=&quot;153656F6&quot;/&gt;&lt;wsp:rsid wsp:val=&quot;1537321C&quot;/&gt;&lt;wsp:rsid wsp:val=&quot;15386004&quot;/&gt;&lt;wsp:rsid wsp:val=&quot;153876C0&quot;/&gt;&lt;wsp:rsid wsp:val=&quot;15393438&quot;/&gt;&lt;wsp:rsid wsp:val=&quot;15396F94&quot;/&gt;&lt;wsp:rsid wsp:val=&quot;153B5B31&quot;/&gt;&lt;wsp:rsid wsp:val=&quot;153C0833&quot;/&gt;&lt;wsp:rsid wsp:val=&quot;153C5E15&quot;/&gt;&lt;wsp:rsid wsp:val=&quot;154126C8&quot;/&gt;&lt;wsp:rsid wsp:val=&quot;15431BC1&quot;/&gt;&lt;wsp:rsid wsp:val=&quot;15450CF1&quot;/&gt;&lt;wsp:rsid wsp:val=&quot;15453B8B&quot;/&gt;&lt;wsp:rsid wsp:val=&quot;1548367B&quot;/&gt;&lt;wsp:rsid wsp:val=&quot;15485429&quot;/&gt;&lt;wsp:rsid wsp:val=&quot;154C41C9&quot;/&gt;&lt;wsp:rsid wsp:val=&quot;154D0B52&quot;/&gt;&lt;wsp:rsid wsp:val=&quot;154D2A40&quot;/&gt;&lt;wsp:rsid wsp:val=&quot;154D47EE&quot;/&gt;&lt;wsp:rsid wsp:val=&quot;154F0566&quot;/&gt;&lt;wsp:rsid wsp:val=&quot;154F67B8&quot;/&gt;&lt;wsp:rsid wsp:val=&quot;15500501&quot;/&gt;&lt;wsp:rsid wsp:val=&quot;155142DE&quot;/&gt;&lt;wsp:rsid wsp:val=&quot;15520056&quot;/&gt;&lt;wsp:rsid wsp:val=&quot;15521099&quot;/&gt;&lt;wsp:rsid wsp:val=&quot;155314CB&quot;/&gt;&lt;wsp:rsid wsp:val=&quot;15543DCE&quot;/&gt;&lt;wsp:rsid wsp:val=&quot;15553547&quot;/&gt;&lt;wsp:rsid wsp:val=&quot;155618F4&quot;/&gt;&lt;wsp:rsid wsp:val=&quot;15565D98&quot;/&gt;&lt;wsp:rsid wsp:val=&quot;155838BF&quot;/&gt;&lt;wsp:rsid wsp:val=&quot;155913E5&quot;/&gt;&lt;wsp:rsid wsp:val=&quot;155B2BCB&quot;/&gt;&lt;wsp:rsid wsp:val=&quot;155B6EEB&quot;/&gt;&lt;wsp:rsid wsp:val=&quot;155C30D0&quot;/&gt;&lt;wsp:rsid wsp:val=&quot;155D0ED5&quot;/&gt;&lt;wsp:rsid wsp:val=&quot;155E69FB&quot;/&gt;&lt;wsp:rsid wsp:val=&quot;15604521&quot;/&gt;&lt;wsp:rsid wsp:val=&quot;15610299&quot;/&gt;&lt;wsp:rsid wsp:val=&quot;1565422D&quot;/&gt;&lt;wsp:rsid wsp:val=&quot;15655FDB&quot;/&gt;&lt;wsp:rsid wsp:val=&quot;15660793&quot;/&gt;&lt;wsp:rsid wsp:val=&quot;15670DD1&quot;/&gt;&lt;wsp:rsid wsp:val=&quot;15671D54&quot;/&gt;&lt;wsp:rsid wsp:val=&quot;156A1844&quot;/&gt;&lt;wsp:rsid wsp:val=&quot;156A1C40&quot;/&gt;&lt;wsp:rsid wsp:val=&quot;156A53A0&quot;/&gt;&lt;wsp:rsid wsp:val=&quot;156B18BA&quot;/&gt;&lt;wsp:rsid wsp:val=&quot;156D6C3E&quot;/&gt;&lt;wsp:rsid wsp:val=&quot;156F09AD&quot;/&gt;&lt;wsp:rsid wsp:val=&quot;157224A6&quot;/&gt;&lt;wsp:rsid wsp:val=&quot;157306F8&quot;/&gt;&lt;wsp:rsid wsp:val=&quot;15732BFE&quot;/&gt;&lt;wsp:rsid wsp:val=&quot;1573694A&quot;/&gt;&lt;wsp:rsid wsp:val=&quot;15741C3B&quot;/&gt;&lt;wsp:rsid wsp:val=&quot;15751F61&quot;/&gt;&lt;wsp:rsid wsp:val=&quot;15752EC5&quot;/&gt;&lt;wsp:rsid wsp:val=&quot;157601E9&quot;/&gt;&lt;wsp:rsid wsp:val=&quot;1576751D&quot;/&gt;&lt;wsp:rsid wsp:val=&quot;15783497&quot;/&gt;&lt;wsp:rsid wsp:val=&quot;15785D0F&quot;/&gt;&lt;wsp:rsid wsp:val=&quot;15793835&quot;/&gt;&lt;wsp:rsid wsp:val=&quot;157B135B&quot;/&gt;&lt;wsp:rsid wsp:val=&quot;157B423F&quot;/&gt;&lt;wsp:rsid wsp:val=&quot;157D1577&quot;/&gt;&lt;wsp:rsid wsp:val=&quot;157D3116&quot;/&gt;&lt;wsp:rsid wsp:val=&quot;157E709D&quot;/&gt;&lt;wsp:rsid wsp:val=&quot;157F7058&quot;/&gt;&lt;wsp:rsid wsp:val=&quot;15826B8D&quot;/&gt;&lt;wsp:rsid wsp:val=&quot;158337AE&quot;/&gt;&lt;wsp:rsid wsp:val=&quot;15842905&quot;/&gt;&lt;wsp:rsid wsp:val=&quot;1585042C&quot;/&gt;&lt;wsp:rsid wsp:val=&quot;15853F88&quot;/&gt;&lt;wsp:rsid wsp:val=&quot;15875F52&quot;/&gt;&lt;wsp:rsid wsp:val=&quot;15891CCA&quot;/&gt;&lt;wsp:rsid wsp:val=&quot;158973A5&quot;/&gt;&lt;wsp:rsid wsp:val=&quot;158A3C94&quot;/&gt;&lt;wsp:rsid wsp:val=&quot;158A5A42&quot;/&gt;&lt;wsp:rsid wsp:val=&quot;158C5316&quot;/&gt;&lt;wsp:rsid wsp:val=&quot;158E5532&quot;/&gt;&lt;wsp:rsid wsp:val=&quot;158E72E0&quot;/&gt;&lt;wsp:rsid wsp:val=&quot;158F12AA&quot;/&gt;&lt;wsp:rsid wsp:val=&quot;158F3058&quot;/&gt;&lt;wsp:rsid wsp:val=&quot;15910B7E&quot;/&gt;&lt;wsp:rsid wsp:val=&quot;15916DD0&quot;/&gt;&lt;wsp:rsid wsp:val=&quot;159170B4&quot;/&gt;&lt;wsp:rsid wsp:val=&quot;159266A5&quot;/&gt;&lt;wsp:rsid wsp:val=&quot;15932B49&quot;/&gt;&lt;wsp:rsid wsp:val=&quot;1594066F&quot;/&gt;&lt;wsp:rsid wsp:val=&quot;15966195&quot;/&gt;&lt;wsp:rsid wsp:val=&quot;15977EAF&quot;/&gt;&lt;wsp:rsid wsp:val=&quot;15995BBE&quot;/&gt;&lt;wsp:rsid wsp:val=&quot;15995C85&quot;/&gt;&lt;wsp:rsid wsp:val=&quot;15997A33&quot;/&gt;&lt;wsp:rsid wsp:val=&quot;159C44A3&quot;/&gt;&lt;wsp:rsid wsp:val=&quot;159D7523&quot;/&gt;&lt;wsp:rsid wsp:val=&quot;159E5049&quot;/&gt;&lt;wsp:rsid wsp:val=&quot;159F5DA8&quot;/&gt;&lt;wsp:rsid wsp:val=&quot;15A00DC2&quot;/&gt;&lt;wsp:rsid wsp:val=&quot;15A20FDE&quot;/&gt;&lt;wsp:rsid wsp:val=&quot;15A24B3A&quot;/&gt;&lt;wsp:rsid wsp:val=&quot;15A449C5&quot;/&gt;&lt;wsp:rsid wsp:val=&quot;15A44D56&quot;/&gt;&lt;wsp:rsid wsp:val=&quot;15A478E2&quot;/&gt;&lt;wsp:rsid wsp:val=&quot;15A537A7&quot;/&gt;&lt;wsp:rsid wsp:val=&quot;15A64DD3&quot;/&gt;&lt;wsp:rsid wsp:val=&quot;15A8096A&quot;/&gt;&lt;wsp:rsid wsp:val=&quot;15A85EC8&quot;/&gt;&lt;wsp:rsid wsp:val=&quot;15AA7E92&quot;/&gt;&lt;wsp:rsid wsp:val=&quot;15AC1DEC&quot;/&gt;&lt;wsp:rsid wsp:val=&quot;15AC3C0A&quot;/&gt;&lt;wsp:rsid wsp:val=&quot;15AE1730&quot;/&gt;&lt;wsp:rsid wsp:val=&quot;15B14D7D&quot;/&gt;&lt;wsp:rsid wsp:val=&quot;15B17473&quot;/&gt;&lt;wsp:rsid wsp:val=&quot;15B30AF5&quot;/&gt;&lt;wsp:rsid wsp:val=&quot;15B41FA8&quot;/&gt;&lt;wsp:rsid wsp:val=&quot;15B42ABF&quot;/&gt;&lt;wsp:rsid wsp:val=&quot;15B63148&quot;/&gt;&lt;wsp:rsid wsp:val=&quot;15B825AF&quot;/&gt;&lt;wsp:rsid wsp:val=&quot;15B8610B&quot;/&gt;&lt;wsp:rsid wsp:val=&quot;15B91E83&quot;/&gt;&lt;wsp:rsid wsp:val=&quot;15BA6327&quot;/&gt;&lt;wsp:rsid wsp:val=&quot;15BA714B&quot;/&gt;&lt;wsp:rsid wsp:val=&quot;15BB3E4D&quot;/&gt;&lt;wsp:rsid wsp:val=&quot;15BB5BFB&quot;/&gt;&lt;wsp:rsid wsp:val=&quot;15BE479B&quot;/&gt;&lt;wsp:rsid wsp:val=&quot;15BE6E7A&quot;/&gt;&lt;wsp:rsid wsp:val=&quot;15BE749A&quot;/&gt;&lt;wsp:rsid wsp:val=&quot;15BF56EC&quot;/&gt;&lt;wsp:rsid wsp:val=&quot;15C03212&quot;/&gt;&lt;wsp:rsid wsp:val=&quot;15C471A6&quot;/&gt;&lt;wsp:rsid wsp:val=&quot;15C73FDB&quot;/&gt;&lt;wsp:rsid wsp:val=&quot;15C90318&quot;/&gt;&lt;wsp:rsid wsp:val=&quot;15CC1BB7&quot;/&gt;&lt;wsp:rsid wsp:val=&quot;15CF1144&quot;/&gt;&lt;wsp:rsid wsp:val=&quot;15CF16A7&quot;/&gt;&lt;wsp:rsid wsp:val=&quot;15D13671&quot;/&gt;&lt;wsp:rsid wsp:val=&quot;15D45280&quot;/&gt;&lt;wsp:rsid wsp:val=&quot;15D477DE&quot;/&gt;&lt;wsp:rsid wsp:val=&quot;15D57B4A&quot;/&gt;&lt;wsp:rsid wsp:val=&quot;15D62A35&quot;/&gt;&lt;wsp:rsid wsp:val=&quot;15D70496&quot;/&gt;&lt;wsp:rsid wsp:val=&quot;15DA0777&quot;/&gt;&lt;wsp:rsid wsp:val=&quot;15DA407A&quot;/&gt;&lt;wsp:rsid wsp:val=&quot;15DB004C&quot;/&gt;&lt;wsp:rsid wsp:val=&quot;15DB54D6&quot;/&gt;&lt;wsp:rsid wsp:val=&quot;15DD5B72&quot;/&gt;&lt;wsp:rsid wsp:val=&quot;15DF5D8E&quot;/&gt;&lt;wsp:rsid wsp:val=&quot;15DF7B3C&quot;/&gt;&lt;wsp:rsid wsp:val=&quot;15E163F4&quot;/&gt;&lt;wsp:rsid wsp:val=&quot;15E2762C&quot;/&gt;&lt;wsp:rsid wsp:val=&quot;15E300E0&quot;/&gt;&lt;wsp:rsid wsp:val=&quot;15E43AB8&quot;/&gt;&lt;wsp:rsid wsp:val=&quot;15E45152&quot;/&gt;&lt;wsp:rsid wsp:val=&quot;15E50ECA&quot;/&gt;&lt;wsp:rsid wsp:val=&quot;15E52C78&quot;/&gt;&lt;wsp:rsid wsp:val=&quot;15E6711C&quot;/&gt;&lt;wsp:rsid wsp:val=&quot;15E76CEE&quot;/&gt;&lt;wsp:rsid wsp:val=&quot;15E92769&quot;/&gt;&lt;wsp:rsid wsp:val=&quot;15EA64E1&quot;/&gt;&lt;wsp:rsid wsp:val=&quot;15EF3AF7&quot;/&gt;&lt;wsp:rsid wsp:val=&quot;15F01D49&quot;/&gt;&lt;wsp:rsid wsp:val=&quot;15F24C8A&quot;/&gt;&lt;wsp:rsid wsp:val=&quot;15F30929&quot;/&gt;&lt;wsp:rsid wsp:val=&quot;15F31FF9&quot;/&gt;&lt;wsp:rsid wsp:val=&quot;15F35395&quot;/&gt;&lt;wsp:rsid wsp:val=&quot;15F468C1&quot;/&gt;&lt;wsp:rsid wsp:val=&quot;15F506F5&quot;/&gt;&lt;wsp:rsid wsp:val=&quot;15F51747&quot;/&gt;&lt;wsp:rsid wsp:val=&quot;15F630D7&quot;/&gt;&lt;wsp:rsid wsp:val=&quot;15F64E85&quot;/&gt;&lt;wsp:rsid wsp:val=&quot;15F66C34&quot;/&gt;&lt;wsp:rsid wsp:val=&quot;15F9724C&quot;/&gt;&lt;wsp:rsid wsp:val=&quot;15FA6724&quot;/&gt;&lt;wsp:rsid wsp:val=&quot;15FB06EE&quot;/&gt;&lt;wsp:rsid wsp:val=&quot;15FD6214&quot;/&gt;&lt;wsp:rsid wsp:val=&quot;15FF197D&quot;/&gt;&lt;wsp:rsid wsp:val=&quot;15FF3D3A&quot;/&gt;&lt;wsp:rsid wsp:val=&quot;16017613&quot;/&gt;&lt;wsp:rsid wsp:val=&quot;16020D50&quot;/&gt;&lt;wsp:rsid wsp:val=&quot;160475A2&quot;/&gt;&lt;wsp:rsid wsp:val=&quot;1606156C&quot;/&gt;&lt;wsp:rsid wsp:val=&quot;16061850&quot;/&gt;&lt;wsp:rsid wsp:val=&quot;16084693&quot;/&gt;&lt;wsp:rsid wsp:val=&quot;160862F7&quot;/&gt;&lt;wsp:rsid wsp:val=&quot;16087E1D&quot;/&gt;&lt;wsp:rsid wsp:val=&quot;16095600&quot;/&gt;&lt;wsp:rsid wsp:val=&quot;16096967&quot;/&gt;&lt;wsp:rsid wsp:val=&quot;160B0931&quot;/&gt;&lt;wsp:rsid wsp:val=&quot;160C46A9&quot;/&gt;&lt;wsp:rsid wsp:val=&quot;16105F47&quot;/&gt;&lt;wsp:rsid wsp:val=&quot;161128D2&quot;/&gt;&lt;wsp:rsid wsp:val=&quot;16133C89&quot;/&gt;&lt;wsp:rsid wsp:val=&quot;161517B0&quot;/&gt;&lt;wsp:rsid wsp:val=&quot;1615355E&quot;/&gt;&lt;wsp:rsid wsp:val=&quot;16163BFD&quot;/&gt;&lt;wsp:rsid wsp:val=&quot;161672D6&quot;/&gt;&lt;wsp:rsid wsp:val=&quot;16176607&quot;/&gt;&lt;wsp:rsid wsp:val=&quot;1618304E&quot;/&gt;&lt;wsp:rsid wsp:val=&quot;161B1156&quot;/&gt;&lt;wsp:rsid wsp:val=&quot;161B48EC&quot;/&gt;&lt;wsp:rsid wsp:val=&quot;161B69E3&quot;/&gt;&lt;wsp:rsid wsp:val=&quot;161D2412&quot;/&gt;&lt;wsp:rsid wsp:val=&quot;161D40F7&quot;/&gt;&lt;wsp:rsid wsp:val=&quot;16221DCB&quot;/&gt;&lt;wsp:rsid wsp:val=&quot;16223ECC&quot;/&gt;&lt;wsp:rsid wsp:val=&quot;16225C7A&quot;/&gt;&lt;wsp:rsid wsp:val=&quot;162615CB&quot;/&gt;&lt;wsp:rsid wsp:val=&quot;162639BD&quot;/&gt;&lt;wsp:rsid wsp:val=&quot;16272E7D&quot;/&gt;&lt;wsp:rsid wsp:val=&quot;16290DB7&quot;/&gt;&lt;wsp:rsid wsp:val=&quot;1629525B&quot;/&gt;&lt;wsp:rsid wsp:val=&quot;162A68EF&quot;/&gt;&lt;wsp:rsid wsp:val=&quot;162B0FD3&quot;/&gt;&lt;wsp:rsid wsp:val=&quot;162D5332&quot;/&gt;&lt;wsp:rsid wsp:val=&quot;162E461F&quot;/&gt;&lt;wsp:rsid wsp:val=&quot;16300397&quot;/&gt;&lt;wsp:rsid wsp:val=&quot;163065E9&quot;/&gt;&lt;wsp:rsid wsp:val=&quot;16314110&quot;/&gt;&lt;wsp:rsid wsp:val=&quot;16316C71&quot;/&gt;&lt;wsp:rsid wsp:val=&quot;16322361&quot;/&gt;&lt;wsp:rsid wsp:val=&quot;163360DA&quot;/&gt;&lt;wsp:rsid wsp:val=&quot;16337E88&quot;/&gt;&lt;wsp:rsid wsp:val=&quot;16375AAD&quot;/&gt;&lt;wsp:rsid wsp:val=&quot;16377978&quot;/&gt;&lt;wsp:rsid wsp:val=&quot;163A1216&quot;/&gt;&lt;wsp:rsid wsp:val=&quot;163D4862&quot;/&gt;&lt;wsp:rsid wsp:val=&quot;163D633F&quot;/&gt;&lt;wsp:rsid wsp:val=&quot;163F682C&quot;/&gt;&lt;wsp:rsid wsp:val=&quot;16405589&quot;/&gt;&lt;wsp:rsid wsp:val=&quot;164125A5&quot;/&gt;&lt;wsp:rsid wsp:val=&quot;16455955&quot;/&gt;&lt;wsp:rsid wsp:val=&quot;16467BBB&quot;/&gt;&lt;wsp:rsid wsp:val=&quot;16481B85&quot;/&gt;&lt;wsp:rsid wsp:val=&quot;164B51D1&quot;/&gt;&lt;wsp:rsid wsp:val=&quot;164E081E&quot;/&gt;&lt;wsp:rsid wsp:val=&quot;1651410A&quot;/&gt;&lt;wsp:rsid wsp:val=&quot;165247B2&quot;/&gt;&lt;wsp:rsid wsp:val=&quot;16551036&quot;/&gt;&lt;wsp:rsid wsp:val=&quot;165637A0&quot;/&gt;&lt;wsp:rsid wsp:val=&quot;16565924&quot;/&gt;&lt;wsp:rsid wsp:val=&quot;1656750B&quot;/&gt;&lt;wsp:rsid wsp:val=&quot;16573B76&quot;/&gt;&lt;wsp:rsid wsp:val=&quot;1658169C&quot;/&gt;&lt;wsp:rsid wsp:val=&quot;165C6338&quot;/&gt;&lt;wsp:rsid wsp:val=&quot;165D4F05&quot;/&gt;&lt;wsp:rsid wsp:val=&quot;165E3157&quot;/&gt;&lt;wsp:rsid wsp:val=&quot;165F003B&quot;/&gt;&lt;wsp:rsid wsp:val=&quot;165F2A2B&quot;/&gt;&lt;wsp:rsid wsp:val=&quot;16610551&quot;/&gt;&lt;wsp:rsid wsp:val=&quot;16612C47&quot;/&gt;&lt;wsp:rsid wsp:val=&quot;1662251B&quot;/&gt;&lt;wsp:rsid wsp:val=&quot;1663620B&quot;/&gt;&lt;wsp:rsid wsp:val=&quot;16640041&quot;/&gt;&lt;wsp:rsid wsp:val=&quot;1664555F&quot;/&gt;&lt;wsp:rsid wsp:val=&quot;1664769B&quot;/&gt;&lt;wsp:rsid wsp:val=&quot;1665226C&quot;/&gt;&lt;wsp:rsid wsp:val=&quot;16695657&quot;/&gt;&lt;wsp:rsid wsp:val=&quot;166C5148&quot;/&gt;&lt;wsp:rsid wsp:val=&quot;166D7266&quot;/&gt;&lt;wsp:rsid wsp:val=&quot;166E2C6E&quot;/&gt;&lt;wsp:rsid wsp:val=&quot;167069E6&quot;/&gt;&lt;wsp:rsid wsp:val=&quot;167209B0&quot;/&gt;&lt;wsp:rsid wsp:val=&quot;167320FE&quot;/&gt;&lt;wsp:rsid wsp:val=&quot;16740910&quot;/&gt;&lt;wsp:rsid wsp:val=&quot;16753FFC&quot;/&gt;&lt;wsp:rsid wsp:val=&quot;16754698&quot;/&gt;&lt;wsp:rsid wsp:val=&quot;16770114&quot;/&gt;&lt;wsp:rsid wsp:val=&quot;16775FC6&quot;/&gt;&lt;wsp:rsid wsp:val=&quot;16781D3E&quot;/&gt;&lt;wsp:rsid wsp:val=&quot;167A1613&quot;/&gt;&lt;wsp:rsid wsp:val=&quot;167A5AB7&quot;/&gt;&lt;wsp:rsid wsp:val=&quot;167A7865&quot;/&gt;&lt;wsp:rsid wsp:val=&quot;167C182F&quot;/&gt;&lt;wsp:rsid wsp:val=&quot;167D1103&quot;/&gt;&lt;wsp:rsid wsp:val=&quot;167F131F&quot;/&gt;&lt;wsp:rsid wsp:val=&quot;16805733&quot;/&gt;&lt;wsp:rsid wsp:val=&quot;16810BF3&quot;/&gt;&lt;wsp:rsid wsp:val=&quot;16816227&quot;/&gt;&lt;wsp:rsid wsp:val=&quot;16816E45&quot;/&gt;&lt;wsp:rsid wsp:val=&quot;168310E2&quot;/&gt;&lt;wsp:rsid wsp:val=&quot;16831C06&quot;/&gt;&lt;wsp:rsid wsp:val=&quot;168357F5&quot;/&gt;&lt;wsp:rsid wsp:val=&quot;16851FA8&quot;/&gt;&lt;wsp:rsid wsp:val=&quot;16856CC7&quot;/&gt;&lt;wsp:rsid wsp:val=&quot;168615A5&quot;/&gt;&lt;wsp:rsid wsp:val=&quot;168626AD&quot;/&gt;&lt;wsp:rsid wsp:val=&quot;16866209&quot;/&gt;&lt;wsp:rsid wsp:val=&quot;16867DD4&quot;/&gt;&lt;wsp:rsid wsp:val=&quot;16870C40&quot;/&gt;&lt;wsp:rsid wsp:val=&quot;16873D30&quot;/&gt;&lt;wsp:rsid wsp:val=&quot;168767C3&quot;/&gt;&lt;wsp:rsid wsp:val=&quot;168B1A72&quot;/&gt;&lt;wsp:rsid wsp:val=&quot;168C5417&quot;/&gt;&lt;wsp:rsid wsp:val=&quot;168D57EA&quot;/&gt;&lt;wsp:rsid wsp:val=&quot;168E1562&quot;/&gt;&lt;wsp:rsid wsp:val=&quot;168E50BE&quot;/&gt;&lt;wsp:rsid wsp:val=&quot;16900E36&quot;/&gt;&lt;wsp:rsid wsp:val=&quot;16907088&quot;/&gt;&lt;wsp:rsid wsp:val=&quot;16937BEA&quot;/&gt;&lt;wsp:rsid wsp:val=&quot;169528F0&quot;/&gt;&lt;wsp:rsid wsp:val=&quot;1695469E&quot;/&gt;&lt;wsp:rsid wsp:val=&quot;169721C5&quot;/&gt;&lt;wsp:rsid wsp:val=&quot;169831BA&quot;/&gt;&lt;wsp:rsid wsp:val=&quot;169923E1&quot;/&gt;&lt;wsp:rsid wsp:val=&quot;169A3A63&quot;/&gt;&lt;wsp:rsid wsp:val=&quot;169B33E5&quot;/&gt;&lt;wsp:rsid wsp:val=&quot;169C2C8F&quot;/&gt;&lt;wsp:rsid wsp:val=&quot;169C3C7F&quot;/&gt;&lt;wsp:rsid wsp:val=&quot;169C5A2D&quot;/&gt;&lt;wsp:rsid wsp:val=&quot;169C6A84&quot;/&gt;&lt;wsp:rsid wsp:val=&quot;169C77DB&quot;/&gt;&lt;wsp:rsid wsp:val=&quot;169D3553&quot;/&gt;&lt;wsp:rsid wsp:val=&quot;169E0CBC&quot;/&gt;&lt;wsp:rsid wsp:val=&quot;169E79F7&quot;/&gt;&lt;wsp:rsid wsp:val=&quot;169F376F&quot;/&gt;&lt;wsp:rsid wsp:val=&quot;169F551D&quot;/&gt;&lt;wsp:rsid wsp:val=&quot;16A10D7E&quot;/&gt;&lt;wsp:rsid wsp:val=&quot;16A13043&quot;/&gt;&lt;wsp:rsid wsp:val=&quot;16A23360&quot;/&gt;&lt;wsp:rsid wsp:val=&quot;16A6065A&quot;/&gt;&lt;wsp:rsid wsp:val=&quot;16A843D2&quot;/&gt;&lt;wsp:rsid wsp:val=&quot;16AA5E76&quot;/&gt;&lt;wsp:rsid wsp:val=&quot;16AA639C&quot;/&gt;&lt;wsp:rsid wsp:val=&quot;16AD19E8&quot;/&gt;&lt;wsp:rsid wsp:val=&quot;16AD2D27&quot;/&gt;&lt;wsp:rsid wsp:val=&quot;16AD7C3A&quot;/&gt;&lt;wsp:rsid wsp:val=&quot;16B234A2&quot;/&gt;&lt;wsp:rsid wsp:val=&quot;16B26FFE&quot;/&gt;&lt;wsp:rsid wsp:val=&quot;16B5089D&quot;/&gt;&lt;wsp:rsid wsp:val=&quot;16B55461&quot;/&gt;&lt;wsp:rsid wsp:val=&quot;16B56AEF&quot;/&gt;&lt;wsp:rsid wsp:val=&quot;16B72867&quot;/&gt;&lt;wsp:rsid wsp:val=&quot;16B75DCA&quot;/&gt;&lt;wsp:rsid wsp:val=&quot;16B8213B&quot;/&gt;&lt;wsp:rsid wsp:val=&quot;16B965DF&quot;/&gt;&lt;wsp:rsid wsp:val=&quot;16BA2357&quot;/&gt;&lt;wsp:rsid wsp:val=&quot;16BA5EB3&quot;/&gt;&lt;wsp:rsid wsp:val=&quot;16BC1C2B&quot;/&gt;&lt;wsp:rsid wsp:val=&quot;16BC7E7D&quot;/&gt;&lt;wsp:rsid wsp:val=&quot;16BE1E47&quot;/&gt;&lt;wsp:rsid wsp:val=&quot;16BF171B&quot;/&gt;&lt;wsp:rsid wsp:val=&quot;16BF2289&quot;/&gt;&lt;wsp:rsid wsp:val=&quot;16C02A68&quot;/&gt;&lt;wsp:rsid wsp:val=&quot;16C16AEE&quot;/&gt;&lt;wsp:rsid wsp:val=&quot;16C17241&quot;/&gt;&lt;wsp:rsid wsp:val=&quot;16C3120C&quot;/&gt;&lt;wsp:rsid wsp:val=&quot;16C32FBA&quot;/&gt;&lt;wsp:rsid wsp:val=&quot;16CA07EC&quot;/&gt;&lt;wsp:rsid wsp:val=&quot;16CB00C0&quot;/&gt;&lt;wsp:rsid wsp:val=&quot;16CB66C2&quot;/&gt;&lt;wsp:rsid wsp:val=&quot;16CF5E02&quot;/&gt;&lt;wsp:rsid wsp:val=&quot;16D03928&quot;/&gt;&lt;wsp:rsid wsp:val=&quot;16D0459E&quot;/&gt;&lt;wsp:rsid wsp:val=&quot;16D231FD&quot;/&gt;&lt;wsp:rsid wsp:val=&quot;16D3646B&quot;/&gt;&lt;wsp:rsid wsp:val=&quot;16D36F75&quot;/&gt;&lt;wsp:rsid wsp:val=&quot;16D43419&quot;/&gt;&lt;wsp:rsid wsp:val=&quot;16D52CED&quot;/&gt;&lt;wsp:rsid wsp:val=&quot;16D55464&quot;/&gt;&lt;wsp:rsid wsp:val=&quot;16D72F09&quot;/&gt;&lt;wsp:rsid wsp:val=&quot;16D84CC1&quot;/&gt;&lt;wsp:rsid wsp:val=&quot;16D927DD&quot;/&gt;&lt;wsp:rsid wsp:val=&quot;16DA0303&quot;/&gt;&lt;wsp:rsid wsp:val=&quot;16DB47A7&quot;/&gt;&lt;wsp:rsid wsp:val=&quot;16DC407B&quot;/&gt;&lt;wsp:rsid wsp:val=&quot;16DE1BA1&quot;/&gt;&lt;wsp:rsid wsp:val=&quot;16E15D3E&quot;/&gt;&lt;wsp:rsid wsp:val=&quot;16E3365C&quot;/&gt;&lt;wsp:rsid wsp:val=&quot;16E3540A&quot;/&gt;&lt;wsp:rsid wsp:val=&quot;16E41FC1&quot;/&gt;&lt;wsp:rsid wsp:val=&quot;16E42F30&quot;/&gt;&lt;wsp:rsid wsp:val=&quot;16E66CA8&quot;/&gt;&lt;wsp:rsid wsp:val=&quot;16E86EC4&quot;/&gt;&lt;wsp:rsid wsp:val=&quot;16ED44DA&quot;/&gt;&lt;wsp:rsid wsp:val=&quot;16EE0D4D&quot;/&gt;&lt;wsp:rsid wsp:val=&quot;16EF2001&quot;/&gt;&lt;wsp:rsid wsp:val=&quot;16EF70D4&quot;/&gt;&lt;wsp:rsid wsp:val=&quot;16F13FCB&quot;/&gt;&lt;wsp:rsid wsp:val=&quot;16F21AF1&quot;/&gt;&lt;wsp:rsid wsp:val=&quot;16F2389F&quot;/&gt;&lt;wsp:rsid wsp:val=&quot;16F2564D&quot;/&gt;&lt;wsp:rsid wsp:val=&quot;16F413C5&quot;/&gt;&lt;wsp:rsid wsp:val=&quot;16F615E1&quot;/&gt;&lt;wsp:rsid wsp:val=&quot;16FC296F&quot;/&gt;&lt;wsp:rsid wsp:val=&quot;16FC64CC&quot;/&gt;&lt;wsp:rsid wsp:val=&quot;16FC7806&quot;/&gt;&lt;wsp:rsid wsp:val=&quot;16FE2B67&quot;/&gt;&lt;wsp:rsid wsp:val=&quot;17016FE1&quot;/&gt;&lt;wsp:rsid wsp:val=&quot;17017F86&quot;/&gt;&lt;wsp:rsid wsp:val=&quot;1702620D&quot;/&gt;&lt;wsp:rsid wsp:val=&quot;17033CFE&quot;/&gt;&lt;wsp:rsid wsp:val=&quot;170610F8&quot;/&gt;&lt;wsp:rsid wsp:val=&quot;17061A54&quot;/&gt;&lt;wsp:rsid wsp:val=&quot;1706734A&quot;/&gt;&lt;wsp:rsid wsp:val=&quot;170717A3&quot;/&gt;&lt;wsp:rsid wsp:val=&quot;17081314&quot;/&gt;&lt;wsp:rsid wsp:val=&quot;170A4011&quot;/&gt;&lt;wsp:rsid wsp:val=&quot;170A6E3A&quot;/&gt;&lt;wsp:rsid wsp:val=&quot;170B03AB&quot;/&gt;&lt;wsp:rsid wsp:val=&quot;170F26A3&quot;/&gt;&lt;wsp:rsid wsp:val=&quot;171001C9&quot;/&gt;&lt;wsp:rsid wsp:val=&quot;1712246D&quot;/&gt;&lt;wsp:rsid wsp:val=&quot;17122B75&quot;/&gt;&lt;wsp:rsid wsp:val=&quot;17127A9D&quot;/&gt;&lt;wsp:rsid wsp:val=&quot;17134774&quot;/&gt;&lt;wsp:rsid wsp:val=&quot;17141A67&quot;/&gt;&lt;wsp:rsid wsp:val=&quot;17147CB9&quot;/&gt;&lt;wsp:rsid wsp:val=&quot;17163A31&quot;/&gt;&lt;wsp:rsid wsp:val=&quot;171750B3&quot;/&gt;&lt;wsp:rsid wsp:val=&quot;17190E2C&quot;/&gt;&lt;wsp:rsid wsp:val=&quot;171B1048&quot;/&gt;&lt;wsp:rsid wsp:val=&quot;171B30EB&quot;/&gt;&lt;wsp:rsid wsp:val=&quot;171C091C&quot;/&gt;&lt;wsp:rsid wsp:val=&quot;171D4444&quot;/&gt;&lt;wsp:rsid wsp:val=&quot;17204276&quot;/&gt;&lt;wsp:rsid wsp:val=&quot;17205F01&quot;/&gt;&lt;wsp:rsid wsp:val=&quot;172123D6&quot;/&gt;&lt;wsp:rsid wsp:val=&quot;17215F32&quot;/&gt;&lt;wsp:rsid wsp:val=&quot;17231CAA&quot;/&gt;&lt;wsp:rsid wsp:val=&quot;17234384&quot;/&gt;&lt;wsp:rsid wsp:val=&quot;1723614E&quot;/&gt;&lt;wsp:rsid wsp:val=&quot;17245FBE&quot;/&gt;&lt;wsp:rsid wsp:val=&quot;17253C74&quot;/&gt;&lt;wsp:rsid wsp:val=&quot;172577D0&quot;/&gt;&lt;wsp:rsid wsp:val=&quot;172634B4&quot;/&gt;&lt;wsp:rsid wsp:val=&quot;17263548&quot;/&gt;&lt;wsp:rsid wsp:val=&quot;17283764&quot;/&gt;&lt;wsp:rsid wsp:val=&quot;172872C1&quot;/&gt;&lt;wsp:rsid wsp:val=&quot;17292EA9&quot;/&gt;&lt;wsp:rsid wsp:val=&quot;17297BD5&quot;/&gt;&lt;wsp:rsid wsp:val=&quot;172A4DE7&quot;/&gt;&lt;wsp:rsid wsp:val=&quot;172B0B5F&quot;/&gt;&lt;wsp:rsid wsp:val=&quot;172B6DB1&quot;/&gt;&lt;wsp:rsid wsp:val=&quot;172C5003&quot;/&gt;&lt;wsp:rsid wsp:val=&quot;172C5BE5&quot;/&gt;&lt;wsp:rsid wsp:val=&quot;17312619&quot;/&gt;&lt;wsp:rsid wsp:val=&quot;17316E86&quot;/&gt;&lt;wsp:rsid wsp:val=&quot;17340790&quot;/&gt;&lt;wsp:rsid wsp:val=&quot;17343EB7&quot;/&gt;&lt;wsp:rsid wsp:val=&quot;17345C65&quot;/&gt;&lt;wsp:rsid wsp:val=&quot;173619DD&quot;/&gt;&lt;wsp:rsid wsp:val=&quot;17367C2F&quot;/&gt;&lt;wsp:rsid wsp:val=&quot;173739A8&quot;/&gt;&lt;wsp:rsid wsp:val=&quot;173B3498&quot;/&gt;&lt;wsp:rsid wsp:val=&quot;173C0FBE&quot;/&gt;&lt;wsp:rsid wsp:val=&quot;173C2D6C&quot;/&gt;&lt;wsp:rsid wsp:val=&quot;173E4D36&quot;/&gt;&lt;wsp:rsid wsp:val=&quot;17400AAE&quot;/&gt;&lt;wsp:rsid wsp:val=&quot;1740460A&quot;/&gt;&lt;wsp:rsid wsp:val=&quot;17424826&quot;/&gt;&lt;wsp:rsid wsp:val=&quot;1743234C&quot;/&gt;&lt;wsp:rsid wsp:val=&quot;17446A3D&quot;/&gt;&lt;wsp:rsid wsp:val=&quot;174546C0&quot;/&gt;&lt;wsp:rsid wsp:val=&quot;1746135D&quot;/&gt;&lt;wsp:rsid wsp:val=&quot;17463BEB&quot;/&gt;&lt;wsp:rsid wsp:val=&quot;17487963&quot;/&gt;&lt;wsp:rsid wsp:val=&quot;174C1201&quot;/&gt;&lt;wsp:rsid wsp:val=&quot;174C4868&quot;/&gt;&lt;wsp:rsid wsp:val=&quot;174D4F79&quot;/&gt;&lt;wsp:rsid wsp:val=&quot;174D6D27&quot;/&gt;&lt;wsp:rsid wsp:val=&quot;174F14AB&quot;/&gt;&lt;wsp:rsid wsp:val=&quot;174F484D&quot;/&gt;&lt;wsp:rsid wsp:val=&quot;175005C5&quot;/&gt;&lt;wsp:rsid wsp:val=&quot;17516817&quot;/&gt;&lt;wsp:rsid wsp:val=&quot;175252F4&quot;/&gt;&lt;wsp:rsid wsp:val=&quot;17544559&quot;/&gt;&lt;wsp:rsid wsp:val=&quot;17546308&quot;/&gt;&lt;wsp:rsid wsp:val=&quot;17577BA6&quot;/&gt;&lt;wsp:rsid wsp:val=&quot;17583772&quot;/&gt;&lt;wsp:rsid wsp:val=&quot;175956CC&quot;/&gt;&lt;wsp:rsid wsp:val=&quot;175C51BC&quot;/&gt;&lt;wsp:rsid wsp:val=&quot;175D2B53&quot;/&gt;&lt;wsp:rsid wsp:val=&quot;175F1F04&quot;/&gt;&lt;wsp:rsid wsp:val=&quot;176302F9&quot;/&gt;&lt;wsp:rsid wsp:val=&quot;1763654B&quot;/&gt;&lt;wsp:rsid wsp:val=&quot;17654071&quot;/&gt;&lt;wsp:rsid wsp:val=&quot;17675B53&quot;/&gt;&lt;wsp:rsid wsp:val=&quot;1767603B&quot;/&gt;&lt;wsp:rsid wsp:val=&quot;17680005&quot;/&gt;&lt;wsp:rsid wsp:val=&quot;17681DB3&quot;/&gt;&lt;wsp:rsid wsp:val=&quot;17683B61&quot;/&gt;&lt;wsp:rsid wsp:val=&quot;17694647&quot;/&gt;&lt;wsp:rsid wsp:val=&quot;176C18A3&quot;/&gt;&lt;wsp:rsid wsp:val=&quot;176D1177&quot;/&gt;&lt;wsp:rsid wsp:val=&quot;176D70D9&quot;/&gt;&lt;wsp:rsid wsp:val=&quot;176F4EEF&quot;/&gt;&lt;wsp:rsid wsp:val=&quot;17701D14&quot;/&gt;&lt;wsp:rsid wsp:val=&quot;17712A16&quot;/&gt;&lt;wsp:rsid wsp:val=&quot;177249E0&quot;/&gt;&lt;wsp:rsid wsp:val=&quot;17735226&quot;/&gt;&lt;wsp:rsid wsp:val=&quot;177469AA&quot;/&gt;&lt;wsp:rsid wsp:val=&quot;177644D0&quot;/&gt;&lt;wsp:rsid wsp:val=&quot;1776627E&quot;/&gt;&lt;wsp:rsid wsp:val=&quot;17771FF6&quot;/&gt;&lt;wsp:rsid wsp:val=&quot;17780248&quot;/&gt;&lt;wsp:rsid wsp:val=&quot;17782D5C&quot;/&gt;&lt;wsp:rsid wsp:val=&quot;177B1AE6&quot;/&gt;&lt;wsp:rsid wsp:val=&quot;177C760C&quot;/&gt;&lt;wsp:rsid wsp:val=&quot;177D585E&quot;/&gt;&lt;wsp:rsid wsp:val=&quot;177E15D6&quot;/&gt;&lt;wsp:rsid wsp:val=&quot;177F79E2&quot;/&gt;&lt;wsp:rsid wsp:val=&quot;17800EAB&quot;/&gt;&lt;wsp:rsid wsp:val=&quot;1783099B&quot;/&gt;&lt;wsp:rsid wsp:val=&quot;17832749&quot;/&gt;&lt;wsp:rsid wsp:val=&quot;17834B0C&quot;/&gt;&lt;wsp:rsid wsp:val=&quot;17834F29&quot;/&gt;&lt;wsp:rsid wsp:val=&quot;17836008&quot;/&gt;&lt;wsp:rsid wsp:val=&quot;17852965&quot;/&gt;&lt;wsp:rsid wsp:val=&quot;17854713&quot;/&gt;&lt;wsp:rsid wsp:val=&quot;17872239&quot;/&gt;&lt;wsp:rsid wsp:val=&quot;17886BE6&quot;/&gt;&lt;wsp:rsid wsp:val=&quot;178A3AD7&quot;/&gt;&lt;wsp:rsid wsp:val=&quot;178D1819&quot;/&gt;&lt;wsp:rsid wsp:val=&quot;178D3B28&quot;/&gt;&lt;wsp:rsid wsp:val=&quot;178F5592&quot;/&gt;&lt;wsp:rsid wsp:val=&quot;17935082&quot;/&gt;&lt;wsp:rsid wsp:val=&quot;17937964&quot;/&gt;&lt;wsp:rsid wsp:val=&quot;17942BA8&quot;/&gt;&lt;wsp:rsid wsp:val=&quot;1796247C&quot;/&gt;&lt;wsp:rsid wsp:val=&quot;17964BA4&quot;/&gt;&lt;wsp:rsid wsp:val=&quot;17965B8D&quot;/&gt;&lt;wsp:rsid wsp:val=&quot;17966920&quot;/&gt;&lt;wsp:rsid wsp:val=&quot;17980C05&quot;/&gt;&lt;wsp:rsid wsp:val=&quot;17984446&quot;/&gt;&lt;wsp:rsid wsp:val=&quot;17996410&quot;/&gt;&lt;wsp:rsid wsp:val=&quot;179A7CC5&quot;/&gt;&lt;wsp:rsid wsp:val=&quot;179B3F36&quot;/&gt;&lt;wsp:rsid wsp:val=&quot;179D1A5D&quot;/&gt;&lt;wsp:rsid wsp:val=&quot;179D1EA6&quot;/&gt;&lt;wsp:rsid wsp:val=&quot;179E3A27&quot;/&gt;&lt;wsp:rsid wsp:val=&quot;17A0779F&quot;/&gt;&lt;wsp:rsid wsp:val=&quot;17A34B99&quot;/&gt;&lt;wsp:rsid wsp:val=&quot;17A4103D&quot;/&gt;&lt;wsp:rsid wsp:val=&quot;17A54DB5&quot;/&gt;&lt;wsp:rsid wsp:val=&quot;17A56B63&quot;/&gt;&lt;wsp:rsid wsp:val=&quot;17A64699&quot;/&gt;&lt;wsp:rsid wsp:val=&quot;17AA4179&quot;/&gt;&lt;wsp:rsid wsp:val=&quot;17AC7EF2&quot;/&gt;&lt;wsp:rsid wsp:val=&quot;17AE2306&quot;/&gt;&lt;wsp:rsid wsp:val=&quot;17AF79E2&quot;/&gt;&lt;wsp:rsid wsp:val=&quot;17B15508&quot;/&gt;&lt;wsp:rsid wsp:val=&quot;17B374D2&quot;/&gt;&lt;wsp:rsid wsp:val=&quot;17B40B54&quot;/&gt;&lt;wsp:rsid wsp:val=&quot;17B44FF8&quot;/&gt;&lt;wsp:rsid wsp:val=&quot;17B60D70&quot;/&gt;&lt;wsp:rsid wsp:val=&quot;17B943BD&quot;/&gt;&lt;wsp:rsid wsp:val=&quot;17BB1EE3&quot;/&gt;&lt;wsp:rsid wsp:val=&quot;17BE19D3&quot;/&gt;&lt;wsp:rsid wsp:val=&quot;17BE7C25&quot;/&gt;&lt;wsp:rsid wsp:val=&quot;17C0574B&quot;/&gt;&lt;wsp:rsid wsp:val=&quot;17C36FE9&quot;/&gt;&lt;wsp:rsid wsp:val=&quot;17C92852&quot;/&gt;&lt;wsp:rsid wsp:val=&quot;17C97A33&quot;/&gt;&lt;wsp:rsid wsp:val=&quot;17CA0378&quot;/&gt;&lt;wsp:rsid wsp:val=&quot;17CA65CA&quot;/&gt;&lt;wsp:rsid wsp:val=&quot;17CB070E&quot;/&gt;&lt;wsp:rsid wsp:val=&quot;17CC02B3&quot;/&gt;&lt;wsp:rsid wsp:val=&quot;17CE60BA&quot;/&gt;&lt;wsp:rsid wsp:val=&quot;17CF33BC&quot;/&gt;&lt;wsp:rsid wsp:val=&quot;17CF3BE0&quot;/&gt;&lt;wsp:rsid wsp:val=&quot;17CF598E&quot;/&gt;&lt;wsp:rsid wsp:val=&quot;17D10471&quot;/&gt;&lt;wsp:rsid wsp:val=&quot;17D11706&quot;/&gt;&lt;wsp:rsid wsp:val=&quot;17D17655&quot;/&gt;&lt;wsp:rsid wsp:val=&quot;17D17958&quot;/&gt;&lt;wsp:rsid wsp:val=&quot;17D2722C&quot;/&gt;&lt;wsp:rsid wsp:val=&quot;17D336D0&quot;/&gt;&lt;wsp:rsid wsp:val=&quot;17D47448&quot;/&gt;&lt;wsp:rsid wsp:val=&quot;17D66D1D&quot;/&gt;&lt;wsp:rsid wsp:val=&quot;17D73D39&quot;/&gt;&lt;wsp:rsid wsp:val=&quot;17D75109&quot;/&gt;&lt;wsp:rsid wsp:val=&quot;17DA3CAD&quot;/&gt;&lt;wsp:rsid wsp:val=&quot;17DA4A5F&quot;/&gt;&lt;wsp:rsid wsp:val=&quot;17DA6EDC&quot;/&gt;&lt;wsp:rsid wsp:val=&quot;17DB07D7&quot;/&gt;&lt;wsp:rsid wsp:val=&quot;17DB2585&quot;/&gt;&lt;wsp:rsid wsp:val=&quot;17DB3C50&quot;/&gt;&lt;wsp:rsid wsp:val=&quot;17DD454F&quot;/&gt;&lt;wsp:rsid wsp:val=&quot;17DD62FD&quot;/&gt;&lt;wsp:rsid wsp:val=&quot;17DF02C7&quot;/&gt;&lt;wsp:rsid wsp:val=&quot;17E07B9B&quot;/&gt;&lt;wsp:rsid wsp:val=&quot;17E33010&quot;/&gt;&lt;wsp:rsid wsp:val=&quot;17E67F73&quot;/&gt;&lt;wsp:rsid wsp:val=&quot;17E97897&quot;/&gt;&lt;wsp:rsid wsp:val=&quot;17EA18FC&quot;/&gt;&lt;wsp:rsid wsp:val=&quot;17EC4792&quot;/&gt;&lt;wsp:rsid wsp:val=&quot;17ED6B70&quot;/&gt;&lt;wsp:rsid wsp:val=&quot;17EE4066&quot;/&gt;&lt;wsp:rsid wsp:val=&quot;17EF6030&quot;/&gt;&lt;wsp:rsid wsp:val=&quot;17F04282&quot;/&gt;&lt;wsp:rsid wsp:val=&quot;17F05C36&quot;/&gt;&lt;wsp:rsid wsp:val=&quot;17F11DA8&quot;/&gt;&lt;wsp:rsid wsp:val=&quot;17F42A87&quot;/&gt;&lt;wsp:rsid wsp:val=&quot;17F51340&quot;/&gt;&lt;wsp:rsid wsp:val=&quot;17F76854&quot;/&gt;&lt;wsp:rsid wsp:val=&quot;17F81389&quot;/&gt;&lt;wsp:rsid wsp:val=&quot;17F83137&quot;/&gt;&lt;wsp:rsid wsp:val=&quot;17F90C5D&quot;/&gt;&lt;wsp:rsid wsp:val=&quot;17FC59E3&quot;/&gt;&lt;wsp:rsid wsp:val=&quot;17FC72FC&quot;/&gt;&lt;wsp:rsid wsp:val=&quot;17FD51E2&quot;/&gt;&lt;wsp:rsid wsp:val=&quot;17FE0021&quot;/&gt;&lt;wsp:rsid wsp:val=&quot;17FE4521&quot;/&gt;&lt;wsp:rsid wsp:val=&quot;17FF2717&quot;/&gt;&lt;wsp:rsid wsp:val=&quot;17FF6273&quot;/&gt;&lt;wsp:rsid wsp:val=&quot;17FF6452&quot;/&gt;&lt;wsp:rsid wsp:val=&quot;18003D99&quot;/&gt;&lt;wsp:rsid wsp:val=&quot;1801037E&quot;/&gt;&lt;wsp:rsid wsp:val=&quot;18025D64&quot;/&gt;&lt;wsp:rsid wsp:val=&quot;18027B12&quot;/&gt;&lt;wsp:rsid wsp:val=&quot;18041ADC&quot;/&gt;&lt;wsp:rsid wsp:val=&quot;180513B0&quot;/&gt;&lt;wsp:rsid wsp:val=&quot;180520BE&quot;/&gt;&lt;wsp:rsid wsp:val=&quot;1807337A&quot;/&gt;&lt;wsp:rsid wsp:val=&quot;18090EA0&quot;/&gt;&lt;wsp:rsid wsp:val=&quot;180A0F27&quot;/&gt;&lt;wsp:rsid wsp:val=&quot;180A2E6A&quot;/&gt;&lt;wsp:rsid wsp:val=&quot;180B23B7&quot;/&gt;&lt;wsp:rsid wsp:val=&quot;180C3251&quot;/&gt;&lt;wsp:rsid wsp:val=&quot;180C6BE2&quot;/&gt;&lt;wsp:rsid wsp:val=&quot;180E4708&quot;/&gt;&lt;wsp:rsid wsp:val=&quot;180E6167&quot;/&gt;&lt;wsp:rsid wsp:val=&quot;180F33B4&quot;/&gt;&lt;wsp:rsid wsp:val=&quot;18100480&quot;/&gt;&lt;wsp:rsid wsp:val=&quot;18115FA7&quot;/&gt;&lt;wsp:rsid wsp:val=&quot;18130B49&quot;/&gt;&lt;wsp:rsid wsp:val=&quot;1813138E&quot;/&gt;&lt;wsp:rsid wsp:val=&quot;1816180F&quot;/&gt;&lt;wsp:rsid wsp:val=&quot;18187335&quot;/&gt;&lt;wsp:rsid wsp:val=&quot;18194E5B&quot;/&gt;&lt;wsp:rsid wsp:val=&quot;181A12FF&quot;/&gt;&lt;wsp:rsid wsp:val=&quot;181B0BD3&quot;/&gt;&lt;wsp:rsid wsp:val=&quot;181B1EAC&quot;/&gt;&lt;wsp:rsid wsp:val=&quot;181F06C4&quot;/&gt;&lt;wsp:rsid wsp:val=&quot;181F6915&quot;/&gt;&lt;wsp:rsid wsp:val=&quot;1820443C&quot;/&gt;&lt;wsp:rsid wsp:val=&quot;182201B4&quot;/&gt;&lt;wsp:rsid wsp:val=&quot;1824217E&quot;/&gt;&lt;wsp:rsid wsp:val=&quot;18267CA4&quot;/&gt;&lt;wsp:rsid wsp:val=&quot;18291542&quot;/&gt;&lt;wsp:rsid wsp:val=&quot;18295740&quot;/&gt;&lt;wsp:rsid wsp:val=&quot;18297794&quot;/&gt;&lt;wsp:rsid wsp:val=&quot;182C4B8E&quot;/&gt;&lt;wsp:rsid wsp:val=&quot;182F17B2&quot;/&gt;&lt;wsp:rsid wsp:val=&quot;182F467F&quot;/&gt;&lt;wsp:rsid wsp:val=&quot;18316649&quot;/&gt;&lt;wsp:rsid wsp:val=&quot;18351C95&quot;/&gt;&lt;wsp:rsid wsp:val=&quot;18356139&quot;/&gt;&lt;wsp:rsid wsp:val=&quot;1835636A&quot;/&gt;&lt;wsp:rsid wsp:val=&quot;18360DD0&quot;/&gt;&lt;wsp:rsid wsp:val=&quot;18371EB1&quot;/&gt;&lt;wsp:rsid wsp:val=&quot;1837463A&quot;/&gt;&lt;wsp:rsid wsp:val=&quot;18383533&quot;/&gt;&lt;wsp:rsid wsp:val=&quot;183B1275&quot;/&gt;&lt;wsp:rsid wsp:val=&quot;183C74C7&quot;/&gt;&lt;wsp:rsid wsp:val=&quot;183D0B4A&quot;/&gt;&lt;wsp:rsid wsp:val=&quot;183F2B14&quot;/&gt;&lt;wsp:rsid wsp:val=&quot;18401FD4&quot;/&gt;&lt;wsp:rsid wsp:val=&quot;18414ADE&quot;/&gt;&lt;wsp:rsid wsp:val=&quot;18430E63&quot;/&gt;&lt;wsp:rsid wsp:val=&quot;1844012A&quot;/&gt;&lt;wsp:rsid wsp:val=&quot;18441ED8&quot;/&gt;&lt;wsp:rsid wsp:val=&quot;18452548&quot;/&gt;&lt;wsp:rsid wsp:val=&quot;18463EA2&quot;/&gt;&lt;wsp:rsid wsp:val=&quot;18464E68&quot;/&gt;&lt;wsp:rsid wsp:val=&quot;18475E6C&quot;/&gt;&lt;wsp:rsid wsp:val=&quot;18477C1A&quot;/&gt;&lt;wsp:rsid wsp:val=&quot;18493992&quot;/&gt;&lt;wsp:rsid wsp:val=&quot;184B14B9&quot;/&gt;&lt;wsp:rsid wsp:val=&quot;184B4C79&quot;/&gt;&lt;wsp:rsid wsp:val=&quot;184B770B&quot;/&gt;&lt;wsp:rsid wsp:val=&quot;184C6FDF&quot;/&gt;&lt;wsp:rsid wsp:val=&quot;18506ACF&quot;/&gt;&lt;wsp:rsid wsp:val=&quot;185145F5&quot;/&gt;&lt;wsp:rsid wsp:val=&quot;185442B7&quot;/&gt;&lt;wsp:rsid wsp:val=&quot;185540E5&quot;/&gt;&lt;wsp:rsid wsp:val=&quot;18561C0B&quot;/&gt;&lt;wsp:rsid wsp:val=&quot;18562723&quot;/&gt;&lt;wsp:rsid wsp:val=&quot;1856495D&quot;/&gt;&lt;wsp:rsid wsp:val=&quot;18567E5D&quot;/&gt;&lt;wsp:rsid wsp:val=&quot;185760AF&quot;/&gt;&lt;wsp:rsid wsp:val=&quot;18597E8B&quot;/&gt;&lt;wsp:rsid wsp:val=&quot;185A794E&quot;/&gt;&lt;wsp:rsid wsp:val=&quot;185B326A&quot;/&gt;&lt;wsp:rsid wsp:val=&quot;185B5474&quot;/&gt;&lt;wsp:rsid wsp:val=&quot;185C0256&quot;/&gt;&lt;wsp:rsid wsp:val=&quot;185D11EC&quot;/&gt;&lt;wsp:rsid wsp:val=&quot;185D2F9A&quot;/&gt;&lt;wsp:rsid wsp:val=&quot;185F31B6&quot;/&gt;&lt;wsp:rsid wsp:val=&quot;185F4F64&quot;/&gt;&lt;wsp:rsid wsp:val=&quot;185F56CA&quot;/&gt;&lt;wsp:rsid wsp:val=&quot;185F6D12&quot;/&gt;&lt;wsp:rsid wsp:val=&quot;185F713E&quot;/&gt;&lt;wsp:rsid wsp:val=&quot;18602A8A&quot;/&gt;&lt;wsp:rsid wsp:val=&quot;18611A70&quot;/&gt;&lt;wsp:rsid wsp:val=&quot;18626802&quot;/&gt;&lt;wsp:rsid wsp:val=&quot;18635AD1&quot;/&gt;&lt;wsp:rsid wsp:val=&quot;1864257A&quot;/&gt;&lt;wsp:rsid wsp:val=&quot;18646F61&quot;/&gt;&lt;wsp:rsid wsp:val=&quot;18694035&quot;/&gt;&lt;wsp:rsid wsp:val=&quot;18696DB0&quot;/&gt;&lt;wsp:rsid wsp:val=&quot;186D58D3&quot;/&gt;&lt;wsp:rsid wsp:val=&quot;186E164B&quot;/&gt;&lt;wsp:rsid wsp:val=&quot;186E33F9&quot;/&gt;&lt;wsp:rsid wsp:val=&quot;18700F1F&quot;/&gt;&lt;wsp:rsid wsp:val=&quot;18714C97&quot;/&gt;&lt;wsp:rsid wsp:val=&quot;18714EF8&quot;/&gt;&lt;wsp:rsid wsp:val=&quot;18722EE9&quot;/&gt;&lt;wsp:rsid wsp:val=&quot;187327BD&quot;/&gt;&lt;wsp:rsid wsp:val=&quot;187529D9&quot;/&gt;&lt;wsp:rsid wsp:val=&quot;18754787&quot;/&gt;&lt;wsp:rsid wsp:val=&quot;1876448A&quot;/&gt;&lt;wsp:rsid wsp:val=&quot;18770500&quot;/&gt;&lt;wsp:rsid wsp:val=&quot;1877409C&quot;/&gt;&lt;wsp:rsid wsp:val=&quot;18784278&quot;/&gt;&lt;wsp:rsid wsp:val=&quot;18786026&quot;/&gt;&lt;wsp:rsid wsp:val=&quot;18787DD4&quot;/&gt;&lt;wsp:rsid wsp:val=&quot;18797CF6&quot;/&gt;&lt;wsp:rsid wsp:val=&quot;187B27C4&quot;/&gt;&lt;wsp:rsid wsp:val=&quot;187D1931&quot;/&gt;&lt;wsp:rsid wsp:val=&quot;1881137E&quot;/&gt;&lt;wsp:rsid wsp:val=&quot;1881312C&quot;/&gt;&lt;wsp:rsid wsp:val=&quot;18826EA4&quot;/&gt;&lt;wsp:rsid wsp:val=&quot;18842891&quot;/&gt;&lt;wsp:rsid wsp:val=&quot;18846779&quot;/&gt;&lt;wsp:rsid wsp:val=&quot;18860743&quot;/&gt;&lt;wsp:rsid wsp:val=&quot;18876269&quot;/&gt;&lt;wsp:rsid wsp:val=&quot;18890233&quot;/&gt;&lt;wsp:rsid wsp:val=&quot;188B720A&quot;/&gt;&lt;wsp:rsid wsp:val=&quot;188C7801&quot;/&gt;&lt;wsp:rsid wsp:val=&quot;188D4859&quot;/&gt;&lt;wsp:rsid wsp:val=&quot;188D7D23&quot;/&gt;&lt;wsp:rsid wsp:val=&quot;18904044&quot;/&gt;&lt;wsp:rsid wsp:val=&quot;1893346E&quot;/&gt;&lt;wsp:rsid wsp:val=&quot;18934C0E&quot;/&gt;&lt;wsp:rsid wsp:val=&quot;18955D8E&quot;/&gt;&lt;wsp:rsid wsp:val=&quot;189577B1&quot;/&gt;&lt;wsp:rsid wsp:val=&quot;189664AC&quot;/&gt;&lt;wsp:rsid wsp:val=&quot;18972950&quot;/&gt;&lt;wsp:rsid wsp:val=&quot;189B3AC2&quot;/&gt;&lt;wsp:rsid wsp:val=&quot;189D21E0&quot;/&gt;&lt;wsp:rsid wsp:val=&quot;189D7862&quot;/&gt;&lt;wsp:rsid wsp:val=&quot;189F1804&quot;/&gt;&lt;wsp:rsid wsp:val=&quot;189F624C&quot;/&gt;&lt;wsp:rsid wsp:val=&quot;189F7A56&quot;/&gt;&lt;wsp:rsid wsp:val=&quot;18A1038B&quot;/&gt;&lt;wsp:rsid wsp:val=&quot;18A137CE&quot;/&gt;&lt;wsp:rsid wsp:val=&quot;18A1732B&quot;/&gt;&lt;wsp:rsid wsp:val=&quot;18A230A3&quot;/&gt;&lt;wsp:rsid wsp:val=&quot;18A43556&quot;/&gt;&lt;wsp:rsid wsp:val=&quot;18A46E1B&quot;/&gt;&lt;wsp:rsid wsp:val=&quot;18A72D74&quot;/&gt;&lt;wsp:rsid wsp:val=&quot;18A8690B&quot;/&gt;&lt;wsp:rsid wsp:val=&quot;18A961DF&quot;/&gt;&lt;wsp:rsid wsp:val=&quot;18AA0AF5&quot;/&gt;&lt;wsp:rsid wsp:val=&quot;18AB01A9&quot;/&gt;&lt;wsp:rsid wsp:val=&quot;18AE37F5&quot;/&gt;&lt;wsp:rsid wsp:val=&quot;18AE7C99&quot;/&gt;&lt;wsp:rsid wsp:val=&quot;18AF5EEB&quot;/&gt;&lt;wsp:rsid wsp:val=&quot;18B040D7&quot;/&gt;&lt;wsp:rsid wsp:val=&quot;18B11625&quot;/&gt;&lt;wsp:rsid wsp:val=&quot;18B21538&quot;/&gt;&lt;wsp:rsid wsp:val=&quot;18B232E6&quot;/&gt;&lt;wsp:rsid wsp:val=&quot;18B2778A&quot;/&gt;&lt;wsp:rsid wsp:val=&quot;18B27E87&quot;/&gt;&lt;wsp:rsid wsp:val=&quot;18B32A92&quot;/&gt;&lt;wsp:rsid wsp:val=&quot;18B3705E&quot;/&gt;&lt;wsp:rsid wsp:val=&quot;18B43502&quot;/&gt;&lt;wsp:rsid wsp:val=&quot;18B55378&quot;/&gt;&lt;wsp:rsid wsp:val=&quot;18B56FCC&quot;/&gt;&lt;wsp:rsid wsp:val=&quot;18B72869&quot;/&gt;&lt;wsp:rsid wsp:val=&quot;18B77C98&quot;/&gt;&lt;wsp:rsid wsp:val=&quot;18B83CF9&quot;/&gt;&lt;wsp:rsid wsp:val=&quot;18B90B18&quot;/&gt;&lt;wsp:rsid wsp:val=&quot;18BA03EC&quot;/&gt;&lt;wsp:rsid wsp:val=&quot;18BA663E&quot;/&gt;&lt;wsp:rsid wsp:val=&quot;18BB3521&quot;/&gt;&lt;wsp:rsid wsp:val=&quot;18BB7D97&quot;/&gt;&lt;wsp:rsid wsp:val=&quot;18BC23B6&quot;/&gt;&lt;wsp:rsid wsp:val=&quot;18BC4164&quot;/&gt;&lt;wsp:rsid wsp:val=&quot;18BF3C55&quot;/&gt;&lt;wsp:rsid wsp:val=&quot;18BF5A03&quot;/&gt;&lt;wsp:rsid wsp:val=&quot;18C179CD&quot;/&gt;&lt;wsp:rsid wsp:val=&quot;18C2336D&quot;/&gt;&lt;wsp:rsid wsp:val=&quot;18C354F3&quot;/&gt;&lt;wsp:rsid wsp:val=&quot;18C40550&quot;/&gt;&lt;wsp:rsid wsp:val=&quot;18C4126B&quot;/&gt;&lt;wsp:rsid wsp:val=&quot;18C64FE3&quot;/&gt;&lt;wsp:rsid wsp:val=&quot;18C80D5B&quot;/&gt;&lt;wsp:rsid wsp:val=&quot;18C9062F&quot;/&gt;&lt;wsp:rsid wsp:val=&quot;18CA044B&quot;/&gt;&lt;wsp:rsid wsp:val=&quot;18CA610E&quot;/&gt;&lt;wsp:rsid wsp:val=&quot;18CB216F&quot;/&gt;&lt;wsp:rsid wsp:val=&quot;18CB25F9&quot;/&gt;&lt;wsp:rsid wsp:val=&quot;18CD0120&quot;/&gt;&lt;wsp:rsid wsp:val=&quot;18CE3E98&quot;/&gt;&lt;wsp:rsid wsp:val=&quot;18CE5C46&quot;/&gt;&lt;wsp:rsid wsp:val=&quot;18D23988&quot;/&gt;&lt;wsp:rsid wsp:val=&quot;18D3112F&quot;/&gt;&lt;wsp:rsid wsp:val=&quot;18D37686&quot;/&gt;&lt;wsp:rsid wsp:val=&quot;18D45952&quot;/&gt;&lt;wsp:rsid wsp:val=&quot;18D522F3&quot;/&gt;&lt;wsp:rsid wsp:val=&quot;18D53221&quot;/&gt;&lt;wsp:rsid wsp:val=&quot;18D53478&quot;/&gt;&lt;wsp:rsid wsp:val=&quot;18D61623&quot;/&gt;&lt;wsp:rsid wsp:val=&quot;18D86AC4&quot;/&gt;&lt;wsp:rsid wsp:val=&quot;18DA0A8E&quot;/&gt;&lt;wsp:rsid wsp:val=&quot;18DC4807&quot;/&gt;&lt;wsp:rsid wsp:val=&quot;18DD2A01&quot;/&gt;&lt;wsp:rsid wsp:val=&quot;18DE232D&quot;/&gt;&lt;wsp:rsid wsp:val=&quot;18DE48B4&quot;/&gt;&lt;wsp:rsid wsp:val=&quot;18DF42F7&quot;/&gt;&lt;wsp:rsid wsp:val=&quot;18DF7E53&quot;/&gt;&lt;wsp:rsid wsp:val=&quot;18E04FBB&quot;/&gt;&lt;wsp:rsid wsp:val=&quot;18E16C1B&quot;/&gt;&lt;wsp:rsid wsp:val=&quot;18E5190D&quot;/&gt;&lt;wsp:rsid wsp:val=&quot;18E65685&quot;/&gt;&lt;wsp:rsid wsp:val=&quot;18E663F3&quot;/&gt;&lt;wsp:rsid wsp:val=&quot;18E75636&quot;/&gt;&lt;wsp:rsid wsp:val=&quot;18E779FE&quot;/&gt;&lt;wsp:rsid wsp:val=&quot;18E80207&quot;/&gt;&lt;wsp:rsid wsp:val=&quot;18EA1985&quot;/&gt;&lt;wsp:rsid wsp:val=&quot;18EA6F23&quot;/&gt;&lt;wsp:rsid wsp:val=&quot;18EB5994&quot;/&gt;&lt;wsp:rsid wsp:val=&quot;18ED07C2&quot;/&gt;&lt;wsp:rsid wsp:val=&quot;18EE5509&quot;/&gt;&lt;wsp:rsid wsp:val=&quot;18F002B2&quot;/&gt;&lt;wsp:rsid wsp:val=&quot;18F07ABB&quot;/&gt;&lt;wsp:rsid wsp:val=&quot;18F27B86&quot;/&gt;&lt;wsp:rsid wsp:val=&quot;18F356AC&quot;/&gt;&lt;wsp:rsid wsp:val=&quot;18F45B2D&quot;/&gt;&lt;wsp:rsid wsp:val=&quot;18F510CA&quot;/&gt;&lt;wsp:rsid wsp:val=&quot;18F71640&quot;/&gt;&lt;wsp:rsid wsp:val=&quot;18F72176&quot;/&gt;&lt;wsp:rsid wsp:val=&quot;18F733EE&quot;/&gt;&lt;wsp:rsid wsp:val=&quot;18F7519C&quot;/&gt;&lt;wsp:rsid wsp:val=&quot;18F90F15&quot;/&gt;&lt;wsp:rsid wsp:val=&quot;18F953B8&quot;/&gt;&lt;wsp:rsid wsp:val=&quot;18FB4F3C&quot;/&gt;&lt;wsp:rsid wsp:val=&quot;18FF4051&quot;/&gt;&lt;wsp:rsid wsp:val=&quot;19002E2E&quot;/&gt;&lt;wsp:rsid wsp:val=&quot;1901601B&quot;/&gt;&lt;wsp:rsid wsp:val=&quot;19033B41&quot;/&gt;&lt;wsp:rsid wsp:val=&quot;19063631&quot;/&gt;&lt;wsp:rsid wsp:val=&quot;19067AD5&quot;/&gt;&lt;wsp:rsid wsp:val=&quot;19085523&quot;/&gt;&lt;wsp:rsid wsp:val=&quot;190855FC&quot;/&gt;&lt;wsp:rsid wsp:val=&quot;190873AA&quot;/&gt;&lt;wsp:rsid wsp:val=&quot;190B0C48&quot;/&gt;&lt;wsp:rsid wsp:val=&quot;190B50EC&quot;/&gt;&lt;wsp:rsid wsp:val=&quot;190B53C1&quot;/&gt;&lt;wsp:rsid wsp:val=&quot;190D49C0&quot;/&gt;&lt;wsp:rsid wsp:val=&quot;190D7B12&quot;/&gt;&lt;wsp:rsid wsp:val=&quot;190F004F&quot;/&gt;&lt;wsp:rsid wsp:val=&quot;1910625E&quot;/&gt;&lt;wsp:rsid wsp:val=&quot;19124904&quot;/&gt;&lt;wsp:rsid wsp:val=&quot;1912647A&quot;/&gt;&lt;wsp:rsid wsp:val=&quot;19137AFC&quot;/&gt;&lt;wsp:rsid wsp:val=&quot;191436B8&quot;/&gt;&lt;wsp:rsid wsp:val=&quot;19157D18&quot;/&gt;&lt;wsp:rsid wsp:val=&quot;191656D8&quot;/&gt;&lt;wsp:rsid wsp:val=&quot;19172FD4&quot;/&gt;&lt;wsp:rsid wsp:val=&quot;191775ED&quot;/&gt;&lt;wsp:rsid wsp:val=&quot;19184F94&quot;/&gt;&lt;wsp:rsid wsp:val=&quot;19191C06&quot;/&gt;&lt;wsp:rsid wsp:val=&quot;191B532F&quot;/&gt;&lt;wsp:rsid wsp:val=&quot;191C4C03&quot;/&gt;&lt;wsp:rsid wsp:val=&quot;191D6340&quot;/&gt;&lt;wsp:rsid wsp:val=&quot;191E097B&quot;/&gt;&lt;wsp:rsid wsp:val=&quot;191E6BCD&quot;/&gt;&lt;wsp:rsid wsp:val=&quot;191F46F3&quot;/&gt;&lt;wsp:rsid wsp:val=&quot;191F64A1&quot;/&gt;&lt;wsp:rsid wsp:val=&quot;19202945&quot;/&gt;&lt;wsp:rsid wsp:val=&quot;19235F91&quot;/&gt;&lt;wsp:rsid wsp:val=&quot;1926685E&quot;/&gt;&lt;wsp:rsid wsp:val=&quot;19267830&quot;/&gt;&lt;wsp:rsid wsp:val=&quot;192817FA&quot;/&gt;&lt;wsp:rsid wsp:val=&quot;192868B6&quot;/&gt;&lt;wsp:rsid wsp:val=&quot;192936DC&quot;/&gt;&lt;wsp:rsid wsp:val=&quot;192A5572&quot;/&gt;&lt;wsp:rsid wsp:val=&quot;192C753C&quot;/&gt;&lt;wsp:rsid wsp:val=&quot;192C7B6B&quot;/&gt;&lt;wsp:rsid wsp:val=&quot;192D6E10&quot;/&gt;&lt;wsp:rsid wsp:val=&quot;192E7DCB&quot;/&gt;&lt;wsp:rsid wsp:val=&quot;192F2B88&quot;/&gt;&lt;wsp:rsid wsp:val=&quot;193059E0&quot;/&gt;&lt;wsp:rsid wsp:val=&quot;19306900&quot;/&gt;&lt;wsp:rsid wsp:val=&quot;19324FE3&quot;/&gt;&lt;wsp:rsid wsp:val=&quot;19341F4D&quot;/&gt;&lt;wsp:rsid wsp:val=&quot;193472F5&quot;/&gt;&lt;wsp:rsid wsp:val=&quot;19393A07&quot;/&gt;&lt;wsp:rsid wsp:val=&quot;193957B5&quot;/&gt;&lt;wsp:rsid wsp:val=&quot;19397563&quot;/&gt;&lt;wsp:rsid wsp:val=&quot;193A32DB&quot;/&gt;&lt;wsp:rsid wsp:val=&quot;193B3B10&quot;/&gt;&lt;wsp:rsid wsp:val=&quot;193B4AC7&quot;/&gt;&lt;wsp:rsid wsp:val=&quot;193C385F&quot;/&gt;&lt;wsp:rsid wsp:val=&quot;193C52A5&quot;/&gt;&lt;wsp:rsid wsp:val=&quot;193D3D09&quot;/&gt;&lt;wsp:rsid wsp:val=&quot;193E101D&quot;/&gt;&lt;wsp:rsid wsp:val=&quot;193E726F&quot;/&gt;&lt;wsp:rsid wsp:val=&quot;193F21E0&quot;/&gt;&lt;wsp:rsid wsp:val=&quot;194128BC&quot;/&gt;&lt;wsp:rsid wsp:val=&quot;19416F3B&quot;/&gt;&lt;wsp:rsid wsp:val=&quot;1945415A&quot;/&gt;&lt;wsp:rsid wsp:val=&quot;19495E63&quot;/&gt;&lt;wsp:rsid wsp:val=&quot;194A5C14&quot;/&gt;&lt;wsp:rsid wsp:val=&quot;194C3363&quot;/&gt;&lt;wsp:rsid wsp:val=&quot;194E7066&quot;/&gt;&lt;wsp:rsid wsp:val=&quot;194F27F2&quot;/&gt;&lt;wsp:rsid wsp:val=&quot;19510C02&quot;/&gt;&lt;wsp:rsid wsp:val=&quot;19517EAB&quot;/&gt;&lt;wsp:rsid wsp:val=&quot;19520625&quot;/&gt;&lt;wsp:rsid wsp:val=&quot;19550115&quot;/&gt;&lt;wsp:rsid wsp:val=&quot;19575C3B&quot;/&gt;&lt;wsp:rsid wsp:val=&quot;195959D3&quot;/&gt;&lt;wsp:rsid wsp:val=&quot;195B1BCF&quot;/&gt;&lt;wsp:rsid wsp:val=&quot;19616ABA&quot;/&gt;&lt;wsp:rsid wsp:val=&quot;19632832&quot;/&gt;&lt;wsp:rsid wsp:val=&quot;196565AA&quot;/&gt;&lt;wsp:rsid wsp:val=&quot;19662322&quot;/&gt;&lt;wsp:rsid wsp:val=&quot;196662D8&quot;/&gt;&lt;wsp:rsid wsp:val=&quot;1968609A&quot;/&gt;&lt;wsp:rsid wsp:val=&quot;19687456&quot;/&gt;&lt;wsp:rsid wsp:val=&quot;196A3BC0&quot;/&gt;&lt;wsp:rsid wsp:val=&quot;196B7D6D&quot;/&gt;&lt;wsp:rsid wsp:val=&quot;196D40F1&quot;/&gt;&lt;wsp:rsid wsp:val=&quot;196D545F&quot;/&gt;&lt;wsp:rsid wsp:val=&quot;196F567B&quot;/&gt;&lt;wsp:rsid wsp:val=&quot;1970274F&quot;/&gt;&lt;wsp:rsid wsp:val=&quot;19706CFD&quot;/&gt;&lt;wsp:rsid wsp:val=&quot;19715320&quot;/&gt;&lt;wsp:rsid wsp:val=&quot;19727C40&quot;/&gt;&lt;wsp:rsid wsp:val=&quot;19731ACA&quot;/&gt;&lt;wsp:rsid wsp:val=&quot;19744A3F&quot;/&gt;&lt;wsp:rsid wsp:val=&quot;19770022&quot;/&gt;&lt;wsp:rsid wsp:val=&quot;19783D45&quot;/&gt;&lt;wsp:rsid wsp:val=&quot;19785DEC&quot;/&gt;&lt;wsp:rsid wsp:val=&quot;197902A7&quot;/&gt;&lt;wsp:rsid wsp:val=&quot;19793E03&quot;/&gt;&lt;wsp:rsid wsp:val=&quot;197C38F4&quot;/&gt;&lt;wsp:rsid wsp:val=&quot;197D2182&quot;/&gt;&lt;wsp:rsid wsp:val=&quot;197D7D98&quot;/&gt;&lt;wsp:rsid wsp:val=&quot;197E141A&quot;/&gt;&lt;wsp:rsid wsp:val=&quot;198033E4&quot;/&gt;&lt;wsp:rsid wsp:val=&quot;19805192&quot;/&gt;&lt;wsp:rsid wsp:val=&quot;19813C3F&quot;/&gt;&lt;wsp:rsid wsp:val=&quot;19817847&quot;/&gt;&lt;wsp:rsid wsp:val=&quot;198253AE&quot;/&gt;&lt;wsp:rsid wsp:val=&quot;19831126&quot;/&gt;&lt;wsp:rsid wsp:val=&quot;19836A30&quot;/&gt;&lt;wsp:rsid wsp:val=&quot;19851C18&quot;/&gt;&lt;wsp:rsid wsp:val=&quot;198729C4&quot;/&gt;&lt;wsp:rsid wsp:val=&quot;19874772&quot;/&gt;&lt;wsp:rsid wsp:val=&quot;198804EA&quot;/&gt;&lt;wsp:rsid wsp:val=&quot;19883697&quot;/&gt;&lt;wsp:rsid wsp:val=&quot;198C7FDB&quot;/&gt;&lt;wsp:rsid wsp:val=&quot;1990114D&quot;/&gt;&lt;wsp:rsid wsp:val=&quot;19912269&quot;/&gt;&lt;wsp:rsid wsp:val=&quot;1991739F&quot;/&gt;&lt;wsp:rsid wsp:val=&quot;19921369&quot;/&gt;&lt;wsp:rsid wsp:val=&quot;199221EE&quot;/&gt;&lt;wsp:rsid wsp:val=&quot;19924EC5&quot;/&gt;&lt;wsp:rsid wsp:val=&quot;19940C3D&quot;/&gt;&lt;wsp:rsid wsp:val=&quot;19946E8F&quot;/&gt;&lt;wsp:rsid wsp:val=&quot;199470D8&quot;/&gt;&lt;wsp:rsid wsp:val=&quot;19960E59&quot;/&gt;&lt;wsp:rsid wsp:val=&quot;19977B91&quot;/&gt;&lt;wsp:rsid wsp:val=&quot;19984B48&quot;/&gt;&lt;wsp:rsid wsp:val=&quot;19996254&quot;/&gt;&lt;wsp:rsid wsp:val=&quot;199B042E&quot;/&gt;&lt;wsp:rsid wsp:val=&quot;199B1FCC&quot;/&gt;&lt;wsp:rsid wsp:val=&quot;199E386A&quot;/&gt;&lt;wsp:rsid wsp:val=&quot;199E7D0E&quot;/&gt;&lt;wsp:rsid wsp:val=&quot;19A075E2&quot;/&gt;&lt;wsp:rsid wsp:val=&quot;19A370D2&quot;/&gt;&lt;wsp:rsid wsp:val=&quot;19A40DEF&quot;/&gt;&lt;wsp:rsid wsp:val=&quot;19A5109C&quot;/&gt;&lt;wsp:rsid wsp:val=&quot;19A76BC3&quot;/&gt;&lt;wsp:rsid wsp:val=&quot;19A81450&quot;/&gt;&lt;wsp:rsid wsp:val=&quot;19AA006B&quot;/&gt;&lt;wsp:rsid wsp:val=&quot;19AA220F&quot;/&gt;&lt;wsp:rsid wsp:val=&quot;19AC5F87&quot;/&gt;&lt;wsp:rsid wsp:val=&quot;19AF1F1B&quot;/&gt;&lt;wsp:rsid wsp:val=&quot;19AF3CC9&quot;/&gt;&lt;wsp:rsid wsp:val=&quot;19AF5A77&quot;/&gt;&lt;wsp:rsid wsp:val=&quot;19AF7825&quot;/&gt;&lt;wsp:rsid wsp:val=&quot;19B047FA&quot;/&gt;&lt;wsp:rsid wsp:val=&quot;19B1359D&quot;/&gt;&lt;wsp:rsid wsp:val=&quot;19B250D3&quot;/&gt;&lt;wsp:rsid wsp:val=&quot;19B27315&quot;/&gt;&lt;wsp:rsid wsp:val=&quot;19B412DF&quot;/&gt;&lt;wsp:rsid wsp:val=&quot;19B50E83&quot;/&gt;&lt;wsp:rsid wsp:val=&quot;19B60BB4&quot;/&gt;&lt;wsp:rsid wsp:val=&quot;19BB08C0&quot;/&gt;&lt;wsp:rsid wsp:val=&quot;19BB2369&quot;/&gt;&lt;wsp:rsid wsp:val=&quot;19BB266E&quot;/&gt;&lt;wsp:rsid wsp:val=&quot;19BC1F42&quot;/&gt;&lt;wsp:rsid wsp:val=&quot;19BD0194&quot;/&gt;&lt;wsp:rsid wsp:val=&quot;19BD5AF3&quot;/&gt;&lt;wsp:rsid wsp:val=&quot;19BE3676&quot;/&gt;&lt;wsp:rsid wsp:val=&quot;19BE3F0C&quot;/&gt;&lt;wsp:rsid wsp:val=&quot;19C257AA&quot;/&gt;&lt;wsp:rsid wsp:val=&quot;19C57A9E&quot;/&gt;&lt;wsp:rsid wsp:val=&quot;19C71013&quot;/&gt;&lt;wsp:rsid wsp:val=&quot;19CA28B1&quot;/&gt;&lt;wsp:rsid wsp:val=&quot;19CB6F5A&quot;/&gt;&lt;wsp:rsid wsp:val=&quot;19CC6629&quot;/&gt;&lt;wsp:rsid wsp:val=&quot;19CF1C75&quot;/&gt;&lt;wsp:rsid wsp:val=&quot;19CF6119&quot;/&gt;&lt;wsp:rsid wsp:val=&quot;19CF7EC7&quot;/&gt;&lt;wsp:rsid wsp:val=&quot;19D13C3F&quot;/&gt;&lt;wsp:rsid wsp:val=&quot;19D41982&quot;/&gt;&lt;wsp:rsid wsp:val=&quot;19D56800&quot;/&gt;&lt;wsp:rsid wsp:val=&quot;19D63004&quot;/&gt;&lt;wsp:rsid wsp:val=&quot;19D674A8&quot;/&gt;&lt;wsp:rsid wsp:val=&quot;19D871A5&quot;/&gt;&lt;wsp:rsid wsp:val=&quot;19D90D46&quot;/&gt;&lt;wsp:rsid wsp:val=&quot;19D92AF4&quot;/&gt;&lt;wsp:rsid wsp:val=&quot;19D96F98&quot;/&gt;&lt;wsp:rsid wsp:val=&quot;19DB686C&quot;/&gt;&lt;wsp:rsid wsp:val=&quot;19DC39FE&quot;/&gt;&lt;wsp:rsid wsp:val=&quot;19DD0836&quot;/&gt;&lt;wsp:rsid wsp:val=&quot;19DE635C&quot;/&gt;&lt;wsp:rsid wsp:val=&quot;19DF45AE&quot;/&gt;&lt;wsp:rsid wsp:val=&quot;19E13325&quot;/&gt;&lt;wsp:rsid wsp:val=&quot;19E25344&quot;/&gt;&lt;wsp:rsid wsp:val=&quot;19E25E4D&quot;/&gt;&lt;wsp:rsid wsp:val=&quot;19E27BFB&quot;/&gt;&lt;wsp:rsid wsp:val=&quot;19E32A71&quot;/&gt;&lt;wsp:rsid wsp:val=&quot;19E41021&quot;/&gt;&lt;wsp:rsid wsp:val=&quot;19E41BC5&quot;/&gt;&lt;wsp:rsid wsp:val=&quot;19E44DBE&quot;/&gt;&lt;wsp:rsid wsp:val=&quot;19E46AD2&quot;/&gt;&lt;wsp:rsid wsp:val=&quot;19E716B5&quot;/&gt;&lt;wsp:rsid wsp:val=&quot;19E82D37&quot;/&gt;&lt;wsp:rsid wsp:val=&quot;19E86730&quot;/&gt;&lt;wsp:rsid wsp:val=&quot;19EC0A79&quot;/&gt;&lt;wsp:rsid wsp:val=&quot;19EC2827&quot;/&gt;&lt;wsp:rsid wsp:val=&quot;19ED66F3&quot;/&gt;&lt;wsp:rsid wsp:val=&quot;19F16090&quot;/&gt;&lt;wsp:rsid wsp:val=&quot;19F27994&quot;/&gt;&lt;wsp:rsid wsp:val=&quot;19F33BB6&quot;/&gt;&lt;wsp:rsid wsp:val=&quot;19F45B80&quot;/&gt;&lt;wsp:rsid wsp:val=&quot;19F4792E&quot;/&gt;&lt;wsp:rsid wsp:val=&quot;19F636A6&quot;/&gt;&lt;wsp:rsid wsp:val=&quot;19F960D3&quot;/&gt;&lt;wsp:rsid wsp:val=&quot;19FB2A6A&quot;/&gt;&lt;wsp:rsid wsp:val=&quot;19FC1ACA&quot;/&gt;&lt;wsp:rsid wsp:val=&quot;19FE07AD&quot;/&gt;&lt;wsp:rsid wsp:val=&quot;19FE255B&quot;/&gt;&lt;wsp:rsid wsp:val=&quot;19FF69FF&quot;/&gt;&lt;wsp:rsid wsp:val=&quot;1A02029D&quot;/&gt;&lt;wsp:rsid wsp:val=&quot;1A037B71&quot;/&gt;&lt;wsp:rsid wsp:val=&quot;1A051B3B&quot;/&gt;&lt;wsp:rsid wsp:val=&quot;1A073B05&quot;/&gt;&lt;wsp:rsid wsp:val=&quot;1A085187&quot;/&gt;&lt;wsp:rsid wsp:val=&quot;1A085C57&quot;/&gt;&lt;wsp:rsid wsp:val=&quot;1A09162B&quot;/&gt;&lt;wsp:rsid wsp:val=&quot;1A0A0EFF&quot;/&gt;&lt;wsp:rsid wsp:val=&quot;1A0C2EC9&quot;/&gt;&lt;wsp:rsid wsp:val=&quot;1A0D1571&quot;/&gt;&lt;wsp:rsid wsp:val=&quot;1A0E09F0&quot;/&gt;&lt;wsp:rsid wsp:val=&quot;1A125838&quot;/&gt;&lt;wsp:rsid wsp:val=&quot;1A165AF6&quot;/&gt;&lt;wsp:rsid wsp:val=&quot;1A17021F&quot;/&gt;&lt;wsp:rsid wsp:val=&quot;1A18186E&quot;/&gt;&lt;wsp:rsid wsp:val=&quot;1A1B135F&quot;/&gt;&lt;wsp:rsid wsp:val=&quot;1A1B1771&quot;/&gt;&lt;wsp:rsid wsp:val=&quot;1A1C516C&quot;/&gt;&lt;wsp:rsid wsp:val=&quot;1A1C66C0&quot;/&gt;&lt;wsp:rsid wsp:val=&quot;1A1E6914&quot;/&gt;&lt;wsp:rsid wsp:val=&quot;1A1F2BFD&quot;/&gt;&lt;wsp:rsid wsp:val=&quot;1A202A12&quot;/&gt;&lt;wsp:rsid wsp:val=&quot;1A217544&quot;/&gt;&lt;wsp:rsid wsp:val=&quot;1A246465&quot;/&gt;&lt;wsp:rsid wsp:val=&quot;1A266DE2&quot;/&gt;&lt;wsp:rsid wsp:val=&quot;1A271AB1&quot;/&gt;&lt;wsp:rsid wsp:val=&quot;1A293A7B&quot;/&gt;&lt;wsp:rsid wsp:val=&quot;1A295205&quot;/&gt;&lt;wsp:rsid wsp:val=&quot;1A2975D8&quot;/&gt;&lt;wsp:rsid wsp:val=&quot;1A2A3350&quot;/&gt;&lt;wsp:rsid wsp:val=&quot;1A2A6695&quot;/&gt;&lt;wsp:rsid wsp:val=&quot;1A2E2E40&quot;/&gt;&lt;wsp:rsid wsp:val=&quot;1A304E0A&quot;/&gt;&lt;wsp:rsid wsp:val=&quot;1A32422F&quot;/&gt;&lt;wsp:rsid wsp:val=&quot;1A3466FB&quot;/&gt;&lt;wsp:rsid wsp:val=&quot;1A362486&quot;/&gt;&lt;wsp:rsid wsp:val=&quot;1A380C99&quot;/&gt;&lt;wsp:rsid wsp:val=&quot;1A38596D&quot;/&gt;&lt;wsp:rsid wsp:val=&quot;1A3A17E5&quot;/&gt;&lt;wsp:rsid wsp:val=&quot;1A3A7A37&quot;/&gt;&lt;wsp:rsid wsp:val=&quot;1A3B37AF&quot;/&gt;&lt;wsp:rsid wsp:val=&quot;1A3D12D5&quot;/&gt;&lt;wsp:rsid wsp:val=&quot;1A3F329F&quot;/&gt;&lt;wsp:rsid wsp:val=&quot;1A401FFC&quot;/&gt;&lt;wsp:rsid wsp:val=&quot;1A41004A&quot;/&gt;&lt;wsp:rsid wsp:val=&quot;1A42393B&quot;/&gt;&lt;wsp:rsid wsp:val=&quot;1A424B3D&quot;/&gt;&lt;wsp:rsid wsp:val=&quot;1A444411&quot;/&gt;&lt;wsp:rsid wsp:val=&quot;1A481CA9&quot;/&gt;&lt;wsp:rsid wsp:val=&quot;1A4A57A0&quot;/&gt;&lt;wsp:rsid wsp:val=&quot;1A4C776A&quot;/&gt;&lt;wsp:rsid wsp:val=&quot;1A4D3FBF&quot;/&gt;&lt;wsp:rsid wsp:val=&quot;1A4E703E&quot;/&gt;&lt;wsp:rsid wsp:val=&quot;1A4F6E35&quot;/&gt;&lt;wsp:rsid wsp:val=&quot;1A501008&quot;/&gt;&lt;wsp:rsid wsp:val=&quot;1A501B1F&quot;/&gt;&lt;wsp:rsid wsp:val=&quot;1A50725A&quot;/&gt;&lt;wsp:rsid wsp:val=&quot;1A512F81&quot;/&gt;&lt;wsp:rsid wsp:val=&quot;1A516454&quot;/&gt;&lt;wsp:rsid wsp:val=&quot;1A516B2E&quot;/&gt;&lt;wsp:rsid wsp:val=&quot;1A5403CD&quot;/&gt;&lt;wsp:rsid wsp:val=&quot;1A553D7A&quot;/&gt;&lt;wsp:rsid wsp:val=&quot;1A554870&quot;/&gt;&lt;wsp:rsid wsp:val=&quot;1A55661F&quot;/&gt;&lt;wsp:rsid wsp:val=&quot;1A58610F&quot;/&gt;&lt;wsp:rsid wsp:val=&quot;1A5959E3&quot;/&gt;&lt;wsp:rsid wsp:val=&quot;1A5A3C35&quot;/&gt;&lt;wsp:rsid wsp:val=&quot;1A5B12B0&quot;/&gt;&lt;wsp:rsid wsp:val=&quot;1A5B79AD&quot;/&gt;&lt;wsp:rsid wsp:val=&quot;1A5E7759&quot;/&gt;&lt;wsp:rsid wsp:val=&quot;1A5F749D&quot;/&gt;&lt;wsp:rsid wsp:val=&quot;1A613215&quot;/&gt;&lt;wsp:rsid wsp:val=&quot;1A6152AE&quot;/&gt;&lt;wsp:rsid wsp:val=&quot;1A623519&quot;/&gt;&lt;wsp:rsid wsp:val=&quot;1A624B15&quot;/&gt;&lt;wsp:rsid wsp:val=&quot;1A626F8D&quot;/&gt;&lt;wsp:rsid wsp:val=&quot;1A642D06&quot;/&gt;&lt;wsp:rsid wsp:val=&quot;1A646862&quot;/&gt;&lt;wsp:rsid wsp:val=&quot;1A6525DA&quot;/&gt;&lt;wsp:rsid wsp:val=&quot;1A657CB6&quot;/&gt;&lt;wsp:rsid wsp:val=&quot;1A660A35&quot;/&gt;&lt;wsp:rsid wsp:val=&quot;1A664C6F&quot;/&gt;&lt;wsp:rsid wsp:val=&quot;1A670100&quot;/&gt;&lt;wsp:rsid wsp:val=&quot;1A697AC7&quot;/&gt;&lt;wsp:rsid wsp:val=&quot;1A6A7630&quot;/&gt;&lt;wsp:rsid wsp:val=&quot;1A6B4094&quot;/&gt;&lt;wsp:rsid wsp:val=&quot;1A6B5E42&quot;/&gt;&lt;wsp:rsid wsp:val=&quot;1A6C1BBA&quot;/&gt;&lt;wsp:rsid wsp:val=&quot;1A6C3968&quot;/&gt;&lt;wsp:rsid wsp:val=&quot;1A6E76E0&quot;/&gt;&lt;wsp:rsid wsp:val=&quot;1A705206&quot;/&gt;&lt;wsp:rsid wsp:val=&quot;1A7171D0&quot;/&gt;&lt;wsp:rsid wsp:val=&quot;1A732F49&quot;/&gt;&lt;wsp:rsid wsp:val=&quot;1A736AA5&quot;/&gt;&lt;wsp:rsid wsp:val=&quot;1A745FB8&quot;/&gt;&lt;wsp:rsid wsp:val=&quot;1A75281D&quot;/&gt;&lt;wsp:rsid wsp:val=&quot;1A771E18&quot;/&gt;&lt;wsp:rsid wsp:val=&quot;1A7840BB&quot;/&gt;&lt;wsp:rsid wsp:val=&quot;1A79701D&quot;/&gt;&lt;wsp:rsid wsp:val=&quot;1A7A42D7&quot;/&gt;&lt;wsp:rsid wsp:val=&quot;1A7A7E33&quot;/&gt;&lt;wsp:rsid wsp:val=&quot;1A7D4740&quot;/&gt;&lt;wsp:rsid wsp:val=&quot;1A7F0899&quot;/&gt;&lt;wsp:rsid wsp:val=&quot;1A7F18ED&quot;/&gt;&lt;wsp:rsid wsp:val=&quot;1A7F48BE&quot;/&gt;&lt;wsp:rsid wsp:val=&quot;1A7F5449&quot;/&gt;&lt;wsp:rsid wsp:val=&quot;1A7F7F26&quot;/&gt;&lt;wsp:rsid wsp:val=&quot;1A80748F&quot;/&gt;&lt;wsp:rsid wsp:val=&quot;1A8251FE&quot;/&gt;&lt;wsp:rsid wsp:val=&quot;1A831A43&quot;/&gt;&lt;wsp:rsid wsp:val=&quot;1A845156&quot;/&gt;&lt;wsp:rsid wsp:val=&quot;1A846F04&quot;/&gt;&lt;wsp:rsid wsp:val=&quot;1A8567D8&quot;/&gt;&lt;wsp:rsid wsp:val=&quot;1A862C7C&quot;/&gt;&lt;wsp:rsid wsp:val=&quot;1A872550&quot;/&gt;&lt;wsp:rsid wsp:val=&quot;1A8769F4&quot;/&gt;&lt;wsp:rsid wsp:val=&quot;1A89276C&quot;/&gt;&lt;wsp:rsid wsp:val=&quot;1A8962C8&quot;/&gt;&lt;wsp:rsid wsp:val=&quot;1A8B0838&quot;/&gt;&lt;wsp:rsid wsp:val=&quot;1A8C7B66&quot;/&gt;&lt;wsp:rsid wsp:val=&quot;1A8E7425&quot;/&gt;&lt;wsp:rsid wsp:val=&quot;1A8F5595&quot;/&gt;&lt;wsp:rsid wsp:val=&quot;1A9133CF&quot;/&gt;&lt;wsp:rsid wsp:val=&quot;1A927991&quot;/&gt;&lt;wsp:rsid wsp:val=&quot;1A930EF5&quot;/&gt;&lt;wsp:rsid wsp:val=&quot;1A937147&quot;/&gt;&lt;wsp:rsid wsp:val=&quot;1A945E79&quot;/&gt;&lt;wsp:rsid wsp:val=&quot;1A955654&quot;/&gt;&lt;wsp:rsid wsp:val=&quot;1A9616B5&quot;/&gt;&lt;wsp:rsid wsp:val=&quot;1A974E89&quot;/&gt;&lt;wsp:rsid wsp:val=&quot;1A976C37&quot;/&gt;&lt;wsp:rsid wsp:val=&quot;1A9829AF&quot;/&gt;&lt;wsp:rsid wsp:val=&quot;1A98650B&quot;/&gt;&lt;wsp:rsid wsp:val=&quot;1A99596C&quot;/&gt;&lt;wsp:rsid wsp:val=&quot;1A996BA6&quot;/&gt;&lt;wsp:rsid wsp:val=&quot;1A9A04D5&quot;/&gt;&lt;wsp:rsid wsp:val=&quot;1A9A2283&quot;/&gt;&lt;wsp:rsid wsp:val=&quot;1A9B5DC1&quot;/&gt;&lt;wsp:rsid wsp:val=&quot;1A9B5FFB&quot;/&gt;&lt;wsp:rsid wsp:val=&quot;1A9C424D&quot;/&gt;&lt;wsp:rsid wsp:val=&quot;1A9D6217&quot;/&gt;&lt;wsp:rsid wsp:val=&quot;1A9D7FC6&quot;/&gt;&lt;wsp:rsid wsp:val=&quot;1A9F3D91&quot;/&gt;&lt;wsp:rsid wsp:val=&quot;1AA44EB0&quot;/&gt;&lt;wsp:rsid wsp:val=&quot;1AA650CC&quot;/&gt;&lt;wsp:rsid wsp:val=&quot;1AA83ACA&quot;/&gt;&lt;wsp:rsid wsp:val=&quot;1AA85116&quot;/&gt;&lt;wsp:rsid wsp:val=&quot;1AA904B4&quot;/&gt;&lt;wsp:rsid wsp:val=&quot;1AA94F5A&quot;/&gt;&lt;wsp:rsid wsp:val=&quot;1AAD45DE&quot;/&gt;&lt;wsp:rsid wsp:val=&quot;1AB23A71&quot;/&gt;&lt;wsp:rsid wsp:val=&quot;1AB31597&quot;/&gt;&lt;wsp:rsid wsp:val=&quot;1AB377E9&quot;/&gt;&lt;wsp:rsid wsp:val=&quot;1AB50B4C&quot;/&gt;&lt;wsp:rsid wsp:val=&quot;1AB53561&quot;/&gt;&lt;wsp:rsid wsp:val=&quot;1AB5530F&quot;/&gt;&lt;wsp:rsid wsp:val=&quot;1AB62E35&quot;/&gt;&lt;wsp:rsid wsp:val=&quot;1AB64BE3&quot;/&gt;&lt;wsp:rsid wsp:val=&quot;1AB772D9&quot;/&gt;&lt;wsp:rsid wsp:val=&quot;1AB8095B&quot;/&gt;&lt;wsp:rsid wsp:val=&quot;1AB86BAD&quot;/&gt;&lt;wsp:rsid wsp:val=&quot;1ABA0AB0&quot;/&gt;&lt;wsp:rsid wsp:val=&quot;1ABA2925&quot;/&gt;&lt;wsp:rsid wsp:val=&quot;1ABA46D4&quot;/&gt;&lt;wsp:rsid wsp:val=&quot;1ABB36ED&quot;/&gt;&lt;wsp:rsid wsp:val=&quot;1ABC044C&quot;/&gt;&lt;wsp:rsid wsp:val=&quot;1ABC3300&quot;/&gt;&lt;wsp:rsid wsp:val=&quot;1ABC669E&quot;/&gt;&lt;wsp:rsid wsp:val=&quot;1ABE2B6C&quot;/&gt;&lt;wsp:rsid wsp:val=&quot;1ABF1CEA&quot;/&gt;&lt;wsp:rsid wsp:val=&quot;1ABF618E&quot;/&gt;&lt;wsp:rsid wsp:val=&quot;1AC1548A&quot;/&gt;&lt;wsp:rsid wsp:val=&quot;1AC15DB2&quot;/&gt;&lt;wsp:rsid wsp:val=&quot;1AC25D02&quot;/&gt;&lt;wsp:rsid wsp:val=&quot;1AC44733&quot;/&gt;&lt;wsp:rsid wsp:val=&quot;1ACB0E78&quot;/&gt;&lt;wsp:rsid wsp:val=&quot;1ACB68E1&quot;/&gt;&lt;wsp:rsid wsp:val=&quot;1ACD08AB&quot;/&gt;&lt;wsp:rsid wsp:val=&quot;1ACE63D1&quot;/&gt;&lt;wsp:rsid wsp:val=&quot;1ACF0052&quot;/&gt;&lt;wsp:rsid wsp:val=&quot;1ACF28C7&quot;/&gt;&lt;wsp:rsid wsp:val=&quot;1AD0039B&quot;/&gt;&lt;wsp:rsid wsp:val=&quot;1AD25EC1&quot;/&gt;&lt;wsp:rsid wsp:val=&quot;1AD27C6F&quot;/&gt;&lt;wsp:rsid wsp:val=&quot;1AD5775F&quot;/&gt;&lt;wsp:rsid wsp:val=&quot;1AD82DAC&quot;/&gt;&lt;wsp:rsid wsp:val=&quot;1AD82DBB&quot;/&gt;&lt;wsp:rsid wsp:val=&quot;1AD87250&quot;/&gt;&lt;wsp:rsid wsp:val=&quot;1ADA0851&quot;/&gt;&lt;wsp:rsid wsp:val=&quot;1ADB7DE9&quot;/&gt;&lt;wsp:rsid wsp:val=&quot;1ADD03C2&quot;/&gt;&lt;wsp:rsid wsp:val=&quot;1ADD6614&quot;/&gt;&lt;wsp:rsid wsp:val=&quot;1ADF0DA0&quot;/&gt;&lt;wsp:rsid wsp:val=&quot;1AE027CB&quot;/&gt;&lt;wsp:rsid wsp:val=&quot;1AE134A6&quot;/&gt;&lt;wsp:rsid wsp:val=&quot;1AE41750&quot;/&gt;&lt;wsp:rsid wsp:val=&quot;1AE42047&quot;/&gt;&lt;wsp:rsid wsp:val=&quot;1AE668CA&quot;/&gt;&lt;wsp:rsid wsp:val=&quot;1AE8445E&quot;/&gt;&lt;wsp:rsid wsp:val=&quot;1AEA223A&quot;/&gt;&lt;wsp:rsid wsp:val=&quot;1AED4AA9&quot;/&gt;&lt;wsp:rsid wsp:val=&quot;1AF000F5&quot;/&gt;&lt;wsp:rsid wsp:val=&quot;1AF04599&quot;/&gt;&lt;wsp:rsid wsp:val=&quot;1AF13E3A&quot;/&gt;&lt;wsp:rsid wsp:val=&quot;1AF220BF&quot;/&gt;&lt;wsp:rsid wsp:val=&quot;1AF23E6D&quot;/&gt;&lt;wsp:rsid wsp:val=&quot;1AF249A6&quot;/&gt;&lt;wsp:rsid wsp:val=&quot;1AF44089&quot;/&gt;&lt;wsp:rsid wsp:val=&quot;1AF53561&quot;/&gt;&lt;wsp:rsid wsp:val=&quot;1AF5395E&quot;/&gt;&lt;wsp:rsid wsp:val=&quot;1AF5570C&quot;/&gt;&lt;wsp:rsid wsp:val=&quot;1AF71484&quot;/&gt;&lt;wsp:rsid wsp:val=&quot;1AF80A52&quot;/&gt;&lt;wsp:rsid wsp:val=&quot;1AF93B85&quot;/&gt;&lt;wsp:rsid wsp:val=&quot;1AF948E2&quot;/&gt;&lt;wsp:rsid wsp:val=&quot;1AFA6E09&quot;/&gt;&lt;wsp:rsid wsp:val=&quot;1AFB691B&quot;/&gt;&lt;wsp:rsid wsp:val=&quot;1AFC1190&quot;/&gt;&lt;wsp:rsid wsp:val=&quot;1AFC4CEC&quot;/&gt;&lt;wsp:rsid wsp:val=&quot;1AFC77B4&quot;/&gt;&lt;wsp:rsid wsp:val=&quot;1AFD0A64&quot;/&gt;&lt;wsp:rsid wsp:val=&quot;1AFD2812&quot;/&gt;&lt;wsp:rsid wsp:val=&quot;1AFD7122&quot;/&gt;&lt;wsp:rsid wsp:val=&quot;1B0167A6&quot;/&gt;&lt;wsp:rsid wsp:val=&quot;1B046F80&quot;/&gt;&lt;wsp:rsid wsp:val=&quot;1B062C5C&quot;/&gt;&lt;wsp:rsid wsp:val=&quot;1B065B6B&quot;/&gt;&lt;wsp:rsid wsp:val=&quot;1B0818E3&quot;/&gt;&lt;wsp:rsid wsp:val=&quot;1B083691&quot;/&gt;&lt;wsp:rsid wsp:val=&quot;1B09565B&quot;/&gt;&lt;wsp:rsid wsp:val=&quot;1B097409&quot;/&gt;&lt;wsp:rsid wsp:val=&quot;1B0D0CA7&quot;/&gt;&lt;wsp:rsid wsp:val=&quot;1B0D6EF9&quot;/&gt;&lt;wsp:rsid wsp:val=&quot;1B0E67CD&quot;/&gt;&lt;wsp:rsid wsp:val=&quot;1B100797&quot;/&gt;&lt;wsp:rsid wsp:val=&quot;1B102545&quot;/&gt;&lt;wsp:rsid wsp:val=&quot;1B122762&quot;/&gt;&lt;wsp:rsid wsp:val=&quot;1B124510&quot;/&gt;&lt;wsp:rsid wsp:val=&quot;1B132036&quot;/&gt;&lt;wsp:rsid wsp:val=&quot;1B13463A&quot;/&gt;&lt;wsp:rsid wsp:val=&quot;1B140288&quot;/&gt;&lt;wsp:rsid wsp:val=&quot;1B1464DA&quot;/&gt;&lt;wsp:rsid wsp:val=&quot;1B164CDF&quot;/&gt;&lt;wsp:rsid wsp:val=&quot;1B171B26&quot;/&gt;&lt;wsp:rsid wsp:val=&quot;1B1738D4&quot;/&gt;&lt;wsp:rsid wsp:val=&quot;1B183A21&quot;/&gt;&lt;wsp:rsid wsp:val=&quot;1B1868FB&quot;/&gt;&lt;wsp:rsid wsp:val=&quot;1B1878E3&quot;/&gt;&lt;wsp:rsid wsp:val=&quot;1B193AF0&quot;/&gt;&lt;wsp:rsid wsp:val=&quot;1B19589E&quot;/&gt;&lt;wsp:rsid wsp:val=&quot;1B1C0EEA&quot;/&gt;&lt;wsp:rsid wsp:val=&quot;1B1C713C&quot;/&gt;&lt;wsp:rsid wsp:val=&quot;1B1D4C62&quot;/&gt;&lt;wsp:rsid wsp:val=&quot;1B1F09DB&quot;/&gt;&lt;wsp:rsid wsp:val=&quot;1B210BF7&quot;/&gt;&lt;wsp:rsid wsp:val=&quot;1B2279AD&quot;/&gt;&lt;wsp:rsid wsp:val=&quot;1B231886&quot;/&gt;&lt;wsp:rsid wsp:val=&quot;1B23671D&quot;/&gt;&lt;wsp:rsid wsp:val=&quot;1B245FF1&quot;/&gt;&lt;wsp:rsid wsp:val=&quot;1B261D69&quot;/&gt;&lt;wsp:rsid wsp:val=&quot;1B283D33&quot;/&gt;&lt;wsp:rsid wsp:val=&quot;1B291859&quot;/&gt;&lt;wsp:rsid wsp:val=&quot;1B2B55D1&quot;/&gt;&lt;wsp:rsid wsp:val=&quot;1B2B737F&quot;/&gt;&lt;wsp:rsid wsp:val=&quot;1B2D1349&quot;/&gt;&lt;wsp:rsid wsp:val=&quot;1B2E0C1E&quot;/&gt;&lt;wsp:rsid wsp:val=&quot;1B2E6E70&quot;/&gt;&lt;wsp:rsid wsp:val=&quot;1B304B82&quot;/&gt;&lt;wsp:rsid wsp:val=&quot;1B3267B5&quot;/&gt;&lt;wsp:rsid wsp:val=&quot;1B3274A2&quot;/&gt;&lt;wsp:rsid wsp:val=&quot;1B34092A&quot;/&gt;&lt;wsp:rsid wsp:val=&quot;1B3426D8&quot;/&gt;&lt;wsp:rsid wsp:val=&quot;1B356450&quot;/&gt;&lt;wsp:rsid wsp:val=&quot;1B3721C8&quot;/&gt;&lt;wsp:rsid wsp:val=&quot;1B3A6618&quot;/&gt;&lt;wsp:rsid wsp:val=&quot;1B3A75C2&quot;/&gt;&lt;wsp:rsid wsp:val=&quot;1B3B1CB8&quot;/&gt;&lt;wsp:rsid wsp:val=&quot;1B3C333B&quot;/&gt;&lt;wsp:rsid wsp:val=&quot;1B3F2E2B&quot;/&gt;&lt;wsp:rsid wsp:val=&quot;1B40161D&quot;/&gt;&lt;wsp:rsid wsp:val=&quot;1B4072CF&quot;/&gt;&lt;wsp:rsid wsp:val=&quot;1B416BA3&quot;/&gt;&lt;wsp:rsid wsp:val=&quot;1B420B0D&quot;/&gt;&lt;wsp:rsid wsp:val=&quot;1B425808&quot;/&gt;&lt;wsp:rsid wsp:val=&quot;1B441859&quot;/&gt;&lt;wsp:rsid wsp:val=&quot;1B446693&quot;/&gt;&lt;wsp:rsid wsp:val=&quot;1B4548E5&quot;/&gt;&lt;wsp:rsid wsp:val=&quot;1B46065D&quot;/&gt;&lt;wsp:rsid wsp:val=&quot;1B460869&quot;/&gt;&lt;wsp:rsid wsp:val=&quot;1B4641B9&quot;/&gt;&lt;wsp:rsid wsp:val=&quot;1B47113D&quot;/&gt;&lt;wsp:rsid wsp:val=&quot;1B486183&quot;/&gt;&lt;wsp:rsid wsp:val=&quot;1B487F31&quot;/&gt;&lt;wsp:rsid wsp:val=&quot;1B4D553A&quot;/&gt;&lt;wsp:rsid wsp:val=&quot;1B4E6A14&quot;/&gt;&lt;wsp:rsid wsp:val=&quot;1B4F12C0&quot;/&gt;&lt;wsp:rsid wsp:val=&quot;1B50328A&quot;/&gt;&lt;wsp:rsid wsp:val=&quot;1B5055FC&quot;/&gt;&lt;wsp:rsid wsp:val=&quot;1B513B85&quot;/&gt;&lt;wsp:rsid wsp:val=&quot;1B5205F1&quot;/&gt;&lt;wsp:rsid wsp:val=&quot;1B527002&quot;/&gt;&lt;wsp:rsid wsp:val=&quot;1B536E34&quot;/&gt;&lt;wsp:rsid wsp:val=&quot;1B54283C&quot;/&gt;&lt;wsp:rsid wsp:val=&quot;1B5508A0&quot;/&gt;&lt;wsp:rsid wsp:val=&quot;1B5763C6&quot;/&gt;&lt;wsp:rsid wsp:val=&quot;1B590390&quot;/&gt;&lt;wsp:rsid wsp:val=&quot;1B5A3299&quot;/&gt;&lt;wsp:rsid wsp:val=&quot;1B5A7C65&quot;/&gt;&lt;wsp:rsid wsp:val=&quot;1B5C270F&quot;/&gt;&lt;wsp:rsid wsp:val=&quot;1B5C578B&quot;/&gt;&lt;wsp:rsid wsp:val=&quot;1B5E7755&quot;/&gt;&lt;wsp:rsid wsp:val=&quot;1B6034CD&quot;/&gt;&lt;wsp:rsid wsp:val=&quot;1B617245&quot;/&gt;&lt;wsp:rsid wsp:val=&quot;1B632FBD&quot;/&gt;&lt;wsp:rsid wsp:val=&quot;1B634D6B&quot;/&gt;&lt;wsp:rsid wsp:val=&quot;1B642891&quot;/&gt;&lt;wsp:rsid wsp:val=&quot;1B656D35&quot;/&gt;&lt;wsp:rsid wsp:val=&quot;1B6606B1&quot;/&gt;&lt;wsp:rsid wsp:val=&quot;1B662AAD&quot;/&gt;&lt;wsp:rsid wsp:val=&quot;1B6B2203&quot;/&gt;&lt;wsp:rsid wsp:val=&quot;1B6B3C20&quot;/&gt;&lt;wsp:rsid wsp:val=&quot;1B6C00C4&quot;/&gt;&lt;wsp:rsid wsp:val=&quot;1B6D06BB&quot;/&gt;&lt;wsp:rsid wsp:val=&quot;1B6D1746&quot;/&gt;&lt;wsp:rsid wsp:val=&quot;1B6D5BEA&quot;/&gt;&lt;wsp:rsid wsp:val=&quot;1B6E63C8&quot;/&gt;&lt;wsp:rsid wsp:val=&quot;1B7150E0&quot;/&gt;&lt;wsp:rsid wsp:val=&quot;1B740D26&quot;/&gt;&lt;wsp:rsid wsp:val=&quot;1B745043&quot;/&gt;&lt;wsp:rsid wsp:val=&quot;1B75684C&quot;/&gt;&lt;wsp:rsid wsp:val=&quot;1B7A20B5&quot;/&gt;&lt;wsp:rsid wsp:val=&quot;1B7B0307&quot;/&gt;&lt;wsp:rsid wsp:val=&quot;1B7E3953&quot;/&gt;&lt;wsp:rsid wsp:val=&quot;1B7E7DF7&quot;/&gt;&lt;wsp:rsid wsp:val=&quot;1B803B6F&quot;/&gt;&lt;wsp:rsid wsp:val=&quot;1B80591D&quot;/&gt;&lt;wsp:rsid wsp:val=&quot;1B811695&quot;/&gt;&lt;wsp:rsid wsp:val=&quot;1B821746&quot;/&gt;&lt;wsp:rsid wsp:val=&quot;1B830F69&quot;/&gt;&lt;wsp:rsid wsp:val=&quot;1B8314EE&quot;/&gt;&lt;wsp:rsid wsp:val=&quot;1B83540D&quot;/&gt;&lt;wsp:rsid wsp:val=&quot;1B851185&quot;/&gt;&lt;wsp:rsid wsp:val=&quot;1B886580&quot;/&gt;&lt;wsp:rsid wsp:val=&quot;1B8A679C&quot;/&gt;&lt;wsp:rsid wsp:val=&quot;1B8B6070&quot;/&gt;&lt;wsp:rsid wsp:val=&quot;1B8D003A&quot;/&gt;&lt;wsp:rsid wsp:val=&quot;1B8D1DE8&quot;/&gt;&lt;wsp:rsid wsp:val=&quot;1B903686&quot;/&gt;&lt;wsp:rsid wsp:val=&quot;1B9211AC&quot;/&gt;&lt;wsp:rsid wsp:val=&quot;1B93683E&quot;/&gt;&lt;wsp:rsid wsp:val=&quot;1B940383&quot;/&gt;&lt;wsp:rsid wsp:val=&quot;1B9413C8&quot;/&gt;&lt;wsp:rsid wsp:val=&quot;1B943177&quot;/&gt;&lt;wsp:rsid wsp:val=&quot;1B966EEF&quot;/&gt;&lt;wsp:rsid wsp:val=&quot;1B971F0C&quot;/&gt;&lt;wsp:rsid wsp:val=&quot;1B972C67&quot;/&gt;&lt;wsp:rsid wsp:val=&quot;1B974235&quot;/&gt;&lt;wsp:rsid wsp:val=&quot;1B974A15&quot;/&gt;&lt;wsp:rsid wsp:val=&quot;1B99253B&quot;/&gt;&lt;wsp:rsid wsp:val=&quot;1B9969DF&quot;/&gt;&lt;wsp:rsid wsp:val=&quot;1B997ADF&quot;/&gt;&lt;wsp:rsid wsp:val=&quot;1B9A62B3&quot;/&gt;&lt;wsp:rsid wsp:val=&quot;1B9B2757&quot;/&gt;&lt;wsp:rsid wsp:val=&quot;1B9B4FD0&quot;/&gt;&lt;wsp:rsid wsp:val=&quot;1B9C202B&quot;/&gt;&lt;wsp:rsid wsp:val=&quot;1B9C64CF&quot;/&gt;&lt;wsp:rsid wsp:val=&quot;1B9E2247&quot;/&gt;&lt;wsp:rsid wsp:val=&quot;1B9E5DA3&quot;/&gt;&lt;wsp:rsid wsp:val=&quot;1B9F4DE1&quot;/&gt;&lt;wsp:rsid wsp:val=&quot;1BA07D6D&quot;/&gt;&lt;wsp:rsid wsp:val=&quot;1BA15893&quot;/&gt;&lt;wsp:rsid wsp:val=&quot;1BA16335&quot;/&gt;&lt;wsp:rsid wsp:val=&quot;1BA333BA&quot;/&gt;&lt;wsp:rsid wsp:val=&quot;1BA336A4&quot;/&gt;&lt;wsp:rsid wsp:val=&quot;1BA3785E&quot;/&gt;&lt;wsp:rsid wsp:val=&quot;1BA52394&quot;/&gt;&lt;wsp:rsid wsp:val=&quot;1BA54BF7&quot;/&gt;&lt;wsp:rsid wsp:val=&quot;1BA8306E&quot;/&gt;&lt;wsp:rsid wsp:val=&quot;1BA84E74&quot;/&gt;&lt;wsp:rsid wsp:val=&quot;1BAA4748&quot;/&gt;&lt;wsp:rsid wsp:val=&quot;1BAA7012&quot;/&gt;&lt;wsp:rsid wsp:val=&quot;1BAF7FB0&quot;/&gt;&lt;wsp:rsid wsp:val=&quot;1BB00743&quot;/&gt;&lt;wsp:rsid wsp:val=&quot;1BB05AD7&quot;/&gt;&lt;wsp:rsid wsp:val=&quot;1BB235FD&quot;/&gt;&lt;wsp:rsid wsp:val=&quot;1BB33257&quot;/&gt;&lt;wsp:rsid wsp:val=&quot;1BB43819&quot;/&gt;&lt;wsp:rsid wsp:val=&quot;1BB446E7&quot;/&gt;&lt;wsp:rsid wsp:val=&quot;1BB455C7&quot;/&gt;&lt;wsp:rsid wsp:val=&quot;1BB47375&quot;/&gt;&lt;wsp:rsid wsp:val=&quot;1BB6133F&quot;/&gt;&lt;wsp:rsid wsp:val=&quot;1BB630ED&quot;/&gt;&lt;wsp:rsid wsp:val=&quot;1BB83309&quot;/&gt;&lt;wsp:rsid wsp:val=&quot;1BB83D63&quot;/&gt;&lt;wsp:rsid wsp:val=&quot;1BB9498B&quot;/&gt;&lt;wsp:rsid wsp:val=&quot;1BBB0703&quot;/&gt;&lt;wsp:rsid wsp:val=&quot;1BBC26CD&quot;/&gt;&lt;wsp:rsid wsp:val=&quot;1BC00C8C&quot;/&gt;&lt;wsp:rsid wsp:val=&quot;1BC22CF3&quot;/&gt;&lt;wsp:rsid wsp:val=&quot;1BC33A5C&quot;/&gt;&lt;wsp:rsid wsp:val=&quot;1BC54939&quot;/&gt;&lt;wsp:rsid wsp:val=&quot;1BC6429E&quot;/&gt;&lt;wsp:rsid wsp:val=&quot;1BC7354C&quot;/&gt;&lt;wsp:rsid wsp:val=&quot;1BC81072&quot;/&gt;&lt;wsp:rsid wsp:val=&quot;1BCA4DEA&quot;/&gt;&lt;wsp:rsid wsp:val=&quot;1BCD6688&quot;/&gt;&lt;wsp:rsid wsp:val=&quot;1BCF2401&quot;/&gt;&lt;wsp:rsid wsp:val=&quot;1BCF616F&quot;/&gt;&lt;wsp:rsid wsp:val=&quot;1BD113B1&quot;/&gt;&lt;wsp:rsid wsp:val=&quot;1BD143CB&quot;/&gt;&lt;wsp:rsid wsp:val=&quot;1BD16179&quot;/&gt;&lt;wsp:rsid wsp:val=&quot;1BD51108&quot;/&gt;&lt;wsp:rsid wsp:val=&quot;1BD6378F&quot;/&gt;&lt;wsp:rsid wsp:val=&quot;1BD6553D&quot;/&gt;&lt;wsp:rsid wsp:val=&quot;1BD712B5&quot;/&gt;&lt;wsp:rsid wsp:val=&quot;1BD73063&quot;/&gt;&lt;wsp:rsid wsp:val=&quot;1BD83AE2&quot;/&gt;&lt;wsp:rsid wsp:val=&quot;1BD87507&quot;/&gt;&lt;wsp:rsid wsp:val=&quot;1BDB0DA5&quot;/&gt;&lt;wsp:rsid wsp:val=&quot;1BDB6FF7&quot;/&gt;&lt;wsp:rsid wsp:val=&quot;1BDD2D6F&quot;/&gt;&lt;wsp:rsid wsp:val=&quot;1BDD4B1E&quot;/&gt;&lt;wsp:rsid wsp:val=&quot;1BDE0896&quot;/&gt;&lt;wsp:rsid wsp:val=&quot;1BE0016A&quot;/&gt;&lt;wsp:rsid wsp:val=&quot;1BE0460E&quot;/&gt;&lt;wsp:rsid wsp:val=&quot;1BE063BC&quot;/&gt;&lt;wsp:rsid wsp:val=&quot;1BE27765&quot;/&gt;&lt;wsp:rsid wsp:val=&quot;1BE337C6&quot;/&gt;&lt;wsp:rsid wsp:val=&quot;1BE340FE&quot;/&gt;&lt;wsp:rsid wsp:val=&quot;1BE37C5A&quot;/&gt;&lt;wsp:rsid wsp:val=&quot;1BE50852&quot;/&gt;&lt;wsp:rsid wsp:val=&quot;1BE51C24&quot;/&gt;&lt;wsp:rsid wsp:val=&quot;1BE72645&quot;/&gt;&lt;wsp:rsid wsp:val=&quot;1BE834C2&quot;/&gt;&lt;wsp:rsid wsp:val=&quot;1BEA2D97&quot;/&gt;&lt;wsp:rsid wsp:val=&quot;1BEC4D61&quot;/&gt;&lt;wsp:rsid wsp:val=&quot;1BED0AD9&quot;/&gt;&lt;wsp:rsid wsp:val=&quot;1BED1C9A&quot;/&gt;&lt;wsp:rsid wsp:val=&quot;1BEE6D2B&quot;/&gt;&lt;wsp:rsid wsp:val=&quot;1BEF1D69&quot;/&gt;&lt;wsp:rsid wsp:val=&quot;1BEF65FF&quot;/&gt;&lt;wsp:rsid wsp:val=&quot;1BF12377&quot;/&gt;&lt;wsp:rsid wsp:val=&quot;1BF14125&quot;/&gt;&lt;wsp:rsid wsp:val=&quot;1BF15DCA&quot;/&gt;&lt;wsp:rsid wsp:val=&quot;1BF52663&quot;/&gt;&lt;wsp:rsid wsp:val=&quot;1BF53B0B&quot;/&gt;&lt;wsp:rsid wsp:val=&quot;1BF9122C&quot;/&gt;&lt;wsp:rsid wsp:val=&quot;1BF956CF&quot;/&gt;&lt;wsp:rsid wsp:val=&quot;1BFC644E&quot;/&gt;&lt;wsp:rsid wsp:val=&quot;1BFD51C0&quot;/&gt;&lt;wsp:rsid wsp:val=&quot;1C00442F&quot;/&gt;&lt;wsp:rsid wsp:val=&quot;1C006A5E&quot;/&gt;&lt;wsp:rsid wsp:val=&quot;1C060C5F&quot;/&gt;&lt;wsp:rsid wsp:val=&quot;1C07212D&quot;/&gt;&lt;wsp:rsid wsp:val=&quot;1C07681D&quot;/&gt;&lt;wsp:rsid wsp:val=&quot;1C094526&quot;/&gt;&lt;wsp:rsid wsp:val=&quot;1C0C5403&quot;/&gt;&lt;wsp:rsid wsp:val=&quot;1C0D44A1&quot;/&gt;&lt;wsp:rsid wsp:val=&quot;1C0D4CD7&quot;/&gt;&lt;wsp:rsid wsp:val=&quot;1C0E2F29&quot;/&gt;&lt;wsp:rsid wsp:val=&quot;1C0E52F2&quot;/&gt;&lt;wsp:rsid wsp:val=&quot;1C0F4EF3&quot;/&gt;&lt;wsp:rsid wsp:val=&quot;1C0F6623&quot;/&gt;&lt;wsp:rsid wsp:val=&quot;1C0F7C12&quot;/&gt;&lt;wsp:rsid wsp:val=&quot;1C11391D&quot;/&gt;&lt;wsp:rsid wsp:val=&quot;1C136593&quot;/&gt;&lt;wsp:rsid wsp:val=&quot;1C137840&quot;/&gt;&lt;wsp:rsid wsp:val=&quot;1C142509&quot;/&gt;&lt;wsp:rsid wsp:val=&quot;1C146065&quot;/&gt;&lt;wsp:rsid wsp:val=&quot;1C161DDD&quot;/&gt;&lt;wsp:rsid wsp:val=&quot;1C166281&quot;/&gt;&lt;wsp:rsid wsp:val=&quot;1C1918CE&quot;/&gt;&lt;wsp:rsid wsp:val=&quot;1C19367C&quot;/&gt;&lt;wsp:rsid wsp:val=&quot;1C1979F2&quot;/&gt;&lt;wsp:rsid wsp:val=&quot;1C197B20&quot;/&gt;&lt;wsp:rsid wsp:val=&quot;1C1A5BB7&quot;/&gt;&lt;wsp:rsid wsp:val=&quot;1C1B73F4&quot;/&gt;&lt;wsp:rsid wsp:val=&quot;1C1C4F1A&quot;/&gt;&lt;wsp:rsid wsp:val=&quot;1C1E6EE4&quot;/&gt;&lt;wsp:rsid wsp:val=&quot;1C204A0A&quot;/&gt;&lt;wsp:rsid wsp:val=&quot;1C220782&quot;/&gt;&lt;wsp:rsid wsp:val=&quot;1C255EC7&quot;/&gt;&lt;wsp:rsid wsp:val=&quot;1C27113C&quot;/&gt;&lt;wsp:rsid wsp:val=&quot;1C27223D&quot;/&gt;&lt;wsp:rsid wsp:val=&quot;1C273FEB&quot;/&gt;&lt;wsp:rsid wsp:val=&quot;1C275D99&quot;/&gt;&lt;wsp:rsid wsp:val=&quot;1C275E99&quot;/&gt;&lt;wsp:rsid wsp:val=&quot;1C283220&quot;/&gt;&lt;wsp:rsid wsp:val=&quot;1C2A2BB9&quot;/&gt;&lt;wsp:rsid wsp:val=&quot;1C2B39D2&quot;/&gt;&lt;wsp:rsid wsp:val=&quot;1C2C1F7B&quot;/&gt;&lt;wsp:rsid wsp:val=&quot;1C2D7127&quot;/&gt;&lt;wsp:rsid wsp:val=&quot;1C2F10F1&quot;/&gt;&lt;wsp:rsid wsp:val=&quot;1C2F4C4D&quot;/&gt;&lt;wsp:rsid wsp:val=&quot;1C3109C5&quot;/&gt;&lt;wsp:rsid wsp:val=&quot;1C316C17&quot;/&gt;&lt;wsp:rsid wsp:val=&quot;1C323C9A&quot;/&gt;&lt;wsp:rsid wsp:val=&quot;1C33298F&quot;/&gt;&lt;wsp:rsid wsp:val=&quot;1C3644FE&quot;/&gt;&lt;wsp:rsid wsp:val=&quot;1C365FDC&quot;/&gt;&lt;wsp:rsid wsp:val=&quot;1C381D54&quot;/&gt;&lt;wsp:rsid wsp:val=&quot;1C384DEE&quot;/&gt;&lt;wsp:rsid wsp:val=&quot;1C386E1E&quot;/&gt;&lt;wsp:rsid wsp:val=&quot;1C3B1844&quot;/&gt;&lt;wsp:rsid wsp:val=&quot;1C3B5CE8&quot;/&gt;&lt;wsp:rsid wsp:val=&quot;1C3B7A96&quot;/&gt;&lt;wsp:rsid wsp:val=&quot;1C3E1334&quot;/&gt;&lt;wsp:rsid wsp:val=&quot;1C3F7586&quot;/&gt;&lt;wsp:rsid wsp:val=&quot;1C427076&quot;/&gt;&lt;wsp:rsid wsp:val=&quot;1C44694B&quot;/&gt;&lt;wsp:rsid wsp:val=&quot;1C450915&quot;/&gt;&lt;wsp:rsid wsp:val=&quot;1C452B63&quot;/&gt;&lt;wsp:rsid wsp:val=&quot;1C454471&quot;/&gt;&lt;wsp:rsid wsp:val=&quot;1C493F61&quot;/&gt;&lt;wsp:rsid wsp:val=&quot;1C4A7CD9&quot;/&gt;&lt;wsp:rsid wsp:val=&quot;1C4E1577&quot;/&gt;&lt;wsp:rsid wsp:val=&quot;1C4E77C9&quot;/&gt;&lt;wsp:rsid wsp:val=&quot;1C4F3541&quot;/&gt;&lt;wsp:rsid wsp:val=&quot;1C4F709D&quot;/&gt;&lt;wsp:rsid wsp:val=&quot;1C534DE0&quot;/&gt;&lt;wsp:rsid wsp:val=&quot;1C5365F7&quot;/&gt;&lt;wsp:rsid wsp:val=&quot;1C542906&quot;/&gt;&lt;wsp:rsid wsp:val=&quot;1C550B58&quot;/&gt;&lt;wsp:rsid wsp:val=&quot;1C556925&quot;/&gt;&lt;wsp:rsid wsp:val=&quot;1C5648D0&quot;/&gt;&lt;wsp:rsid wsp:val=&quot;1C56667E&quot;/&gt;&lt;wsp:rsid wsp:val=&quot;1C5841A4&quot;/&gt;&lt;wsp:rsid wsp:val=&quot;1C597898&quot;/&gt;&lt;wsp:rsid wsp:val=&quot;1C597F1C&quot;/&gt;&lt;wsp:rsid wsp:val=&quot;1C5A43C0&quot;/&gt;&lt;wsp:rsid wsp:val=&quot;1C5A616E&quot;/&gt;&lt;wsp:rsid wsp:val=&quot;1C5B1EE6&quot;/&gt;&lt;wsp:rsid wsp:val=&quot;1C5B1F44&quot;/&gt;&lt;wsp:rsid wsp:val=&quot;1C5D5C5E&quot;/&gt;&lt;wsp:rsid wsp:val=&quot;1C5D76A9&quot;/&gt;&lt;wsp:rsid wsp:val=&quot;1C5E7925&quot;/&gt;&lt;wsp:rsid wsp:val=&quot;1C5F3784&quot;/&gt;&lt;wsp:rsid wsp:val=&quot;1C6012AB&quot;/&gt;&lt;wsp:rsid wsp:val=&quot;1C6074FD&quot;/&gt;&lt;wsp:rsid wsp:val=&quot;1C647269&quot;/&gt;&lt;wsp:rsid wsp:val=&quot;1C670E28&quot;/&gt;&lt;wsp:rsid wsp:val=&quot;1C676ADD&quot;/&gt;&lt;wsp:rsid wsp:val=&quot;1C6A081D&quot;/&gt;&lt;wsp:rsid wsp:val=&quot;1C6B037B&quot;/&gt;&lt;wsp:rsid wsp:val=&quot;1C6C40F3&quot;/&gt;&lt;wsp:rsid wsp:val=&quot;1C6C5D0E&quot;/&gt;&lt;wsp:rsid wsp:val=&quot;1C6C5EA1&quot;/&gt;&lt;wsp:rsid wsp:val=&quot;1C6D0A22&quot;/&gt;&lt;wsp:rsid wsp:val=&quot;1C6D36AD&quot;/&gt;&lt;wsp:rsid wsp:val=&quot;1C6D4832&quot;/&gt;&lt;wsp:rsid wsp:val=&quot;1C6E39C8&quot;/&gt;&lt;wsp:rsid wsp:val=&quot;1C71170A&quot;/&gt;&lt;wsp:rsid wsp:val=&quot;1C730FDE&quot;/&gt;&lt;wsp:rsid wsp:val=&quot;1C752FA8&quot;/&gt;&lt;wsp:rsid wsp:val=&quot;1C774686&quot;/&gt;&lt;wsp:rsid wsp:val=&quot;1C7A05BE&quot;/&gt;&lt;wsp:rsid wsp:val=&quot;1C7A37FF&quot;/&gt;&lt;wsp:rsid wsp:val=&quot;1C7B7E93&quot;/&gt;&lt;wsp:rsid wsp:val=&quot;1C7C3B8D&quot;/&gt;&lt;wsp:rsid wsp:val=&quot;1C7D00AF&quot;/&gt;&lt;wsp:rsid wsp:val=&quot;1C7D72F4&quot;/&gt;&lt;wsp:rsid wsp:val=&quot;1C7F3E27&quot;/&gt;&lt;wsp:rsid wsp:val=&quot;1C7F7983&quot;/&gt;&lt;wsp:rsid wsp:val=&quot;1C80194D&quot;/&gt;&lt;wsp:rsid wsp:val=&quot;1C8054A9&quot;/&gt;&lt;wsp:rsid wsp:val=&quot;1C816AA4&quot;/&gt;&lt;wsp:rsid wsp:val=&quot;1C821221&quot;/&gt;&lt;wsp:rsid wsp:val=&quot;1C827473&quot;/&gt;&lt;wsp:rsid wsp:val=&quot;1C844F99&quot;/&gt;&lt;wsp:rsid wsp:val=&quot;1C850D11&quot;/&gt;&lt;wsp:rsid wsp:val=&quot;1C857FF6&quot;/&gt;&lt;wsp:rsid wsp:val=&quot;1C8618D9&quot;/&gt;&lt;wsp:rsid wsp:val=&quot;1C872CDB&quot;/&gt;&lt;wsp:rsid wsp:val=&quot;1C874A89&quot;/&gt;&lt;wsp:rsid wsp:val=&quot;1C876837&quot;/&gt;&lt;wsp:rsid wsp:val=&quot;1C8C3E47&quot;/&gt;&lt;wsp:rsid wsp:val=&quot;1C8E097B&quot;/&gt;&lt;wsp:rsid wsp:val=&quot;1C8E7BC6&quot;/&gt;&lt;wsp:rsid wsp:val=&quot;1C8F060E&quot;/&gt;&lt;wsp:rsid wsp:val=&quot;1C9176B6&quot;/&gt;&lt;wsp:rsid wsp:val=&quot;1C93342E&quot;/&gt;&lt;wsp:rsid wsp:val=&quot;1C9378D2&quot;/&gt;&lt;wsp:rsid wsp:val=&quot;1C9571A6&quot;/&gt;&lt;wsp:rsid wsp:val=&quot;1C964CCC&quot;/&gt;&lt;wsp:rsid wsp:val=&quot;1C980A44&quot;/&gt;&lt;wsp:rsid wsp:val=&quot;1C984EE8&quot;/&gt;&lt;wsp:rsid wsp:val=&quot;1C994D2B&quot;/&gt;&lt;wsp:rsid wsp:val=&quot;1C9A0C60&quot;/&gt;&lt;wsp:rsid wsp:val=&quot;1C9A2A0F&quot;/&gt;&lt;wsp:rsid wsp:val=&quot;1C9A47BD&quot;/&gt;&lt;wsp:rsid wsp:val=&quot;1C9B22E3&quot;/&gt;&lt;wsp:rsid wsp:val=&quot;1C9D24FF&quot;/&gt;&lt;wsp:rsid wsp:val=&quot;1C9D427E&quot;/&gt;&lt;wsp:rsid wsp:val=&quot;1C9F6277&quot;/&gt;&lt;wsp:rsid wsp:val=&quot;1CA078F9&quot;/&gt;&lt;wsp:rsid wsp:val=&quot;1CA1517C&quot;/&gt;&lt;wsp:rsid wsp:val=&quot;1CA27B15&quot;/&gt;&lt;wsp:rsid wsp:val=&quot;1CA4563B&quot;/&gt;&lt;wsp:rsid wsp:val=&quot;1CA53161&quot;/&gt;&lt;wsp:rsid wsp:val=&quot;1CA53783&quot;/&gt;&lt;wsp:rsid wsp:val=&quot;1CA76EDA&quot;/&gt;&lt;wsp:rsid wsp:val=&quot;1CA81C4F&quot;/&gt;&lt;wsp:rsid wsp:val=&quot;1CA90EA4&quot;/&gt;&lt;wsp:rsid wsp:val=&quot;1CAB69CA&quot;/&gt;&lt;wsp:rsid wsp:val=&quot;1CAC44F0&quot;/&gt;&lt;wsp:rsid wsp:val=&quot;1CAD4631&quot;/&gt;&lt;wsp:rsid wsp:val=&quot;1CB02232&quot;/&gt;&lt;wsp:rsid wsp:val=&quot;1CB03FE0&quot;/&gt;&lt;wsp:rsid wsp:val=&quot;1CB05D8E&quot;/&gt;&lt;wsp:rsid wsp:val=&quot;1CB1183E&quot;/&gt;&lt;wsp:rsid wsp:val=&quot;1CB11B06&quot;/&gt;&lt;wsp:rsid wsp:val=&quot;1CB2453F&quot;/&gt;&lt;wsp:rsid wsp:val=&quot;1CB2523B&quot;/&gt;&lt;wsp:rsid wsp:val=&quot;1CB33AD0&quot;/&gt;&lt;wsp:rsid wsp:val=&quot;1CB515F6&quot;/&gt;&lt;wsp:rsid wsp:val=&quot;1CB51673&quot;/&gt;&lt;wsp:rsid wsp:val=&quot;1CB57848&quot;/&gt;&lt;wsp:rsid wsp:val=&quot;1CB80FCF&quot;/&gt;&lt;wsp:rsid wsp:val=&quot;1CB957A5&quot;/&gt;&lt;wsp:rsid wsp:val=&quot;1CBA4413&quot;/&gt;&lt;wsp:rsid wsp:val=&quot;1CBF2475&quot;/&gt;&lt;wsp:rsid wsp:val=&quot;1CBF4223&quot;/&gt;&lt;wsp:rsid wsp:val=&quot;1CC07ED6&quot;/&gt;&lt;wsp:rsid wsp:val=&quot;1CC17F9B&quot;/&gt;&lt;wsp:rsid wsp:val=&quot;1CC253C7&quot;/&gt;&lt;wsp:rsid wsp:val=&quot;1CC41428&quot;/&gt;&lt;wsp:rsid wsp:val=&quot;1CC41839&quot;/&gt;&lt;wsp:rsid wsp:val=&quot;1CC61A56&quot;/&gt;&lt;wsp:rsid wsp:val=&quot;1CC654CE&quot;/&gt;&lt;wsp:rsid wsp:val=&quot;1CC83E0A&quot;/&gt;&lt;wsp:rsid wsp:val=&quot;1CC950A2&quot;/&gt;&lt;wsp:rsid wsp:val=&quot;1CC96E50&quot;/&gt;&lt;wsp:rsid wsp:val=&quot;1CCC1DF1&quot;/&gt;&lt;wsp:rsid wsp:val=&quot;1CCD2C0F&quot;/&gt;&lt;wsp:rsid wsp:val=&quot;1CCE090A&quot;/&gt;&lt;wsp:rsid wsp:val=&quot;1CCE26B8&quot;/&gt;&lt;wsp:rsid wsp:val=&quot;1CCE4466&quot;/&gt;&lt;wsp:rsid wsp:val=&quot;1CD001DE&quot;/&gt;&lt;wsp:rsid wsp:val=&quot;1CD04682&quot;/&gt;&lt;wsp:rsid wsp:val=&quot;1CD16D69&quot;/&gt;&lt;wsp:rsid wsp:val=&quot;1CD221A8&quot;/&gt;&lt;wsp:rsid wsp:val=&quot;1CD35F20&quot;/&gt;&lt;wsp:rsid wsp:val=&quot;1CD37A8D&quot;/&gt;&lt;wsp:rsid wsp:val=&quot;1CD37CCF&quot;/&gt;&lt;wsp:rsid wsp:val=&quot;1CD51C99&quot;/&gt;&lt;wsp:rsid wsp:val=&quot;1CD557F5&quot;/&gt;&lt;wsp:rsid wsp:val=&quot;1CD55AB9&quot;/&gt;&lt;wsp:rsid wsp:val=&quot;1CD72B28&quot;/&gt;&lt;wsp:rsid wsp:val=&quot;1CD75C0A&quot;/&gt;&lt;wsp:rsid wsp:val=&quot;1CD83537&quot;/&gt;&lt;wsp:rsid wsp:val=&quot;1CD852E5&quot;/&gt;&lt;wsp:rsid wsp:val=&quot;1CD87093&quot;/&gt;&lt;wsp:rsid wsp:val=&quot;1CD93B05&quot;/&gt;&lt;wsp:rsid wsp:val=&quot;1CDA105D&quot;/&gt;&lt;wsp:rsid wsp:val=&quot;1CDA621F&quot;/&gt;&lt;wsp:rsid wsp:val=&quot;1CDB6B83&quot;/&gt;&lt;wsp:rsid wsp:val=&quot;1CDD0B4D&quot;/&gt;&lt;wsp:rsid wsp:val=&quot;1CDF48C5&quot;/&gt;&lt;wsp:rsid wsp:val=&quot;1CE04199&quot;/&gt;&lt;wsp:rsid wsp:val=&quot;1CE115DE&quot;/&gt;&lt;wsp:rsid wsp:val=&quot;1CE27F12&quot;/&gt;&lt;wsp:rsid wsp:val=&quot;1CE42ACB&quot;/&gt;&lt;wsp:rsid wsp:val=&quot;1CE43C8A&quot;/&gt;&lt;wsp:rsid wsp:val=&quot;1CE65C54&quot;/&gt;&lt;wsp:rsid wsp:val=&quot;1CE67A02&quot;/&gt;&lt;wsp:rsid wsp:val=&quot;1CE819CC&quot;/&gt;&lt;wsp:rsid wsp:val=&quot;1CEA4227&quot;/&gt;&lt;wsp:rsid wsp:val=&quot;1CEB326A&quot;/&gt;&lt;wsp:rsid wsp:val=&quot;1CEC0D90&quot;/&gt;&lt;wsp:rsid wsp:val=&quot;1CEE2D5A&quot;/&gt;&lt;wsp:rsid wsp:val=&quot;1CEE5B24&quot;/&gt;&lt;wsp:rsid wsp:val=&quot;1CEF181C&quot;/&gt;&lt;wsp:rsid wsp:val=&quot;1CF00880&quot;/&gt;&lt;wsp:rsid wsp:val=&quot;1CF0262F&quot;/&gt;&lt;wsp:rsid wsp:val=&quot;1CF06D28&quot;/&gt;&lt;wsp:rsid wsp:val=&quot;1CF245F9&quot;/&gt;&lt;wsp:rsid wsp:val=&quot;1CF3211F&quot;/&gt;&lt;wsp:rsid wsp:val=&quot;1CF5282B&quot;/&gt;&lt;wsp:rsid wsp:val=&quot;1CF55E97&quot;/&gt;&lt;wsp:rsid wsp:val=&quot;1CF71C0F&quot;/&gt;&lt;wsp:rsid wsp:val=&quot;1CF86BD6&quot;/&gt;&lt;wsp:rsid wsp:val=&quot;1CFA2C37&quot;/&gt;&lt;wsp:rsid wsp:val=&quot;1CFA525B&quot;/&gt;&lt;wsp:rsid wsp:val=&quot;1CFC5AFB&quot;/&gt;&lt;wsp:rsid wsp:val=&quot;1CFD070F&quot;/&gt;&lt;wsp:rsid wsp:val=&quot;1CFD15B8&quot;/&gt;&lt;wsp:rsid wsp:val=&quot;1CFD2F9D&quot;/&gt;&lt;wsp:rsid wsp:val=&quot;1CFD68ED&quot;/&gt;&lt;wsp:rsid wsp:val=&quot;1CFE11EF&quot;/&gt;&lt;wsp:rsid wsp:val=&quot;1CFE2A48&quot;/&gt;&lt;wsp:rsid wsp:val=&quot;1D012A8E&quot;/&gt;&lt;wsp:rsid wsp:val=&quot;1D0205B4&quot;/&gt;&lt;wsp:rsid wsp:val=&quot;1D036806&quot;/&gt;&lt;wsp:rsid wsp:val=&quot;1D061E52&quot;/&gt;&lt;wsp:rsid wsp:val=&quot;1D077978&quot;/&gt;&lt;wsp:rsid wsp:val=&quot;1D08193A&quot;/&gt;&lt;wsp:rsid wsp:val=&quot;1D097B94&quot;/&gt;&lt;wsp:rsid wsp:val=&quot;1D0B1216&quot;/&gt;&lt;wsp:rsid wsp:val=&quot;1D0E6F59&quot;/&gt;&lt;wsp:rsid wsp:val=&quot;1D104A7F&quot;/&gt;&lt;wsp:rsid wsp:val=&quot;1D114FDB&quot;/&gt;&lt;wsp:rsid wsp:val=&quot;1D117987&quot;/&gt;&lt;wsp:rsid wsp:val=&quot;1D120D12&quot;/&gt;&lt;wsp:rsid wsp:val=&quot;1D13456F&quot;/&gt;&lt;wsp:rsid wsp:val=&quot;1D13631D&quot;/&gt;&lt;wsp:rsid wsp:val=&quot;1D1502E7&quot;/&gt;&lt;wsp:rsid wsp:val=&quot;1D1830F8&quot;/&gt;&lt;wsp:rsid wsp:val=&quot;1D18357F&quot;/&gt;&lt;wsp:rsid wsp:val=&quot;1D187DD7&quot;/&gt;&lt;wsp:rsid wsp:val=&quot;1D192221&quot;/&gt;&lt;wsp:rsid wsp:val=&quot;1D1A0B73&quot;/&gt;&lt;wsp:rsid wsp:val=&quot;1D1A58FD&quot;/&gt;&lt;wsp:rsid wsp:val=&quot;1D1C3424&quot;/&gt;&lt;wsp:rsid wsp:val=&quot;1D2106EA&quot;/&gt;&lt;wsp:rsid wsp:val=&quot;1D217272&quot;/&gt;&lt;wsp:rsid wsp:val=&quot;1D24052A&quot;/&gt;&lt;wsp:rsid wsp:val=&quot;1D24677C&quot;/&gt;&lt;wsp:rsid wsp:val=&quot;1D2624F4&quot;/&gt;&lt;wsp:rsid wsp:val=&quot;1D263C41&quot;/&gt;&lt;wsp:rsid wsp:val=&quot;1D271DC8&quot;/&gt;&lt;wsp:rsid wsp:val=&quot;1D274825&quot;/&gt;&lt;wsp:rsid wsp:val=&quot;1D28626C&quot;/&gt;&lt;wsp:rsid wsp:val=&quot;1D295B40&quot;/&gt;&lt;wsp:rsid wsp:val=&quot;1D2B18B9&quot;/&gt;&lt;wsp:rsid wsp:val=&quot;1D2C2E7B&quot;/&gt;&lt;wsp:rsid wsp:val=&quot;1D2D5631&quot;/&gt;&lt;wsp:rsid wsp:val=&quot;1D2E13A9&quot;/&gt;&lt;wsp:rsid wsp:val=&quot;1D2E3157&quot;/&gt;&lt;wsp:rsid wsp:val=&quot;1D2F75FB&quot;/&gt;&lt;wsp:rsid wsp:val=&quot;1D300C7D&quot;/&gt;&lt;wsp:rsid wsp:val=&quot;1D3249F5&quot;/&gt;&lt;wsp:rsid wsp:val=&quot;1D3544E5&quot;/&gt;&lt;wsp:rsid wsp:val=&quot;1D392227&quot;/&gt;&lt;wsp:rsid wsp:val=&quot;1D396BA2&quot;/&gt;&lt;wsp:rsid wsp:val=&quot;1D3A5FA0&quot;/&gt;&lt;wsp:rsid wsp:val=&quot;1D3A7D4E&quot;/&gt;&lt;wsp:rsid wsp:val=&quot;1D3B3B30&quot;/&gt;&lt;wsp:rsid wsp:val=&quot;1D3C5874&quot;/&gt;&lt;wsp:rsid wsp:val=&quot;1D3E15EC&quot;/&gt;&lt;wsp:rsid wsp:val=&quot;1D3F136B&quot;/&gt;&lt;wsp:rsid wsp:val=&quot;1D4104C0&quot;/&gt;&lt;wsp:rsid wsp:val=&quot;1D4110DC&quot;/&gt;&lt;wsp:rsid wsp:val=&quot;1D416EFC&quot;/&gt;&lt;wsp:rsid wsp:val=&quot;1D4330A6&quot;/&gt;&lt;wsp:rsid wsp:val=&quot;1D434E54&quot;/&gt;&lt;wsp:rsid wsp:val=&quot;1D436C02&quot;/&gt;&lt;wsp:rsid wsp:val=&quot;1D44297A&quot;/&gt;&lt;wsp:rsid wsp:val=&quot;1D4604A0&quot;/&gt;&lt;wsp:rsid wsp:val=&quot;1D461FCB&quot;/&gt;&lt;wsp:rsid wsp:val=&quot;1D480B0F&quot;/&gt;&lt;wsp:rsid wsp:val=&quot;1D480D08&quot;/&gt;&lt;wsp:rsid wsp:val=&quot;1D48246B&quot;/&gt;&lt;wsp:rsid wsp:val=&quot;1D484219&quot;/&gt;&lt;wsp:rsid wsp:val=&quot;1D485019&quot;/&gt;&lt;wsp:rsid wsp:val=&quot;1D491D3F&quot;/&gt;&lt;wsp:rsid wsp:val=&quot;1D497BBF&quot;/&gt;&lt;wsp:rsid wsp:val=&quot;1D497F91&quot;/&gt;&lt;wsp:rsid wsp:val=&quot;1D4A0D98&quot;/&gt;&lt;wsp:rsid wsp:val=&quot;1D4D7A81&quot;/&gt;&lt;wsp:rsid wsp:val=&quot;1D4E6DE5&quot;/&gt;&lt;wsp:rsid wsp:val=&quot;1D4F1980&quot;/&gt;&lt;wsp:rsid wsp:val=&quot;1D5021FA&quot;/&gt;&lt;wsp:rsid wsp:val=&quot;1D5030CD&quot;/&gt;&lt;wsp:rsid wsp:val=&quot;1D507571&quot;/&gt;&lt;wsp:rsid wsp:val=&quot;1D5232E9&quot;/&gt;&lt;wsp:rsid wsp:val=&quot;1D525097&quot;/&gt;&lt;wsp:rsid wsp:val=&quot;1D561FAD&quot;/&gt;&lt;wsp:rsid wsp:val=&quot;1D570900&quot;/&gt;&lt;wsp:rsid wsp:val=&quot;1D5726AE&quot;/&gt;&lt;wsp:rsid wsp:val=&quot;1D57445C&quot;/&gt;&lt;wsp:rsid wsp:val=&quot;1D576DEB&quot;/&gt;&lt;wsp:rsid wsp:val=&quot;1D5801D4&quot;/&gt;&lt;wsp:rsid wsp:val=&quot;1D596426&quot;/&gt;&lt;wsp:rsid wsp:val=&quot;1D5A3F4C&quot;/&gt;&lt;wsp:rsid wsp:val=&quot;1D5C7CC4&quot;/&gt;&lt;wsp:rsid wsp:val=&quot;1D5E1C8E&quot;/&gt;&lt;wsp:rsid wsp:val=&quot;1D5E2B76&quot;/&gt;&lt;wsp:rsid wsp:val=&quot;1D5E5D84&quot;/&gt;&lt;wsp:rsid wsp:val=&quot;1D5F4368&quot;/&gt;&lt;wsp:rsid wsp:val=&quot;1D5F5A06&quot;/&gt;&lt;wsp:rsid wsp:val=&quot;1D5F6196&quot;/&gt;&lt;wsp:rsid wsp:val=&quot;1D61177E&quot;/&gt;&lt;wsp:rsid wsp:val=&quot;1D6132A5&quot;/&gt;&lt;wsp:rsid wsp:val=&quot;1D6372A4&quot;/&gt;&lt;wsp:rsid wsp:val=&quot;1D660B43&quot;/&gt;&lt;wsp:rsid wsp:val=&quot;1D664516&quot;/&gt;&lt;wsp:rsid wsp:val=&quot;1D6807F6&quot;/&gt;&lt;wsp:rsid wsp:val=&quot;1D683148&quot;/&gt;&lt;wsp:rsid wsp:val=&quot;1D6923E1&quot;/&gt;&lt;wsp:rsid wsp:val=&quot;1D6E17A5&quot;/&gt;&lt;wsp:rsid wsp:val=&quot;1D6F3E9B&quot;/&gt;&lt;wsp:rsid wsp:val=&quot;1D6F5C49&quot;/&gt;&lt;wsp:rsid wsp:val=&quot;1D725739&quot;/&gt;&lt;wsp:rsid wsp:val=&quot;1D736B1A&quot;/&gt;&lt;wsp:rsid wsp:val=&quot;1D74500E&quot;/&gt;&lt;wsp:rsid wsp:val=&quot;1D766BDC&quot;/&gt;&lt;wsp:rsid wsp:val=&quot;1D772D50&quot;/&gt;&lt;wsp:rsid wsp:val=&quot;1D774AFE&quot;/&gt;&lt;wsp:rsid wsp:val=&quot;1D7814FC&quot;/&gt;&lt;wsp:rsid wsp:val=&quot;1D781D53&quot;/&gt;&lt;wsp:rsid wsp:val=&quot;1D792624&quot;/&gt;&lt;wsp:rsid wsp:val=&quot;1D796AC8&quot;/&gt;&lt;wsp:rsid wsp:val=&quot;1D7E536E&quot;/&gt;&lt;wsp:rsid wsp:val=&quot;1D7E5E8C&quot;/&gt;&lt;wsp:rsid wsp:val=&quot;1D7E7C3A&quot;/&gt;&lt;wsp:rsid wsp:val=&quot;1D7F39B2&quot;/&gt;&lt;wsp:rsid wsp:val=&quot;1D803F2F&quot;/&gt;&lt;wsp:rsid wsp:val=&quot;1D813BCE&quot;/&gt;&lt;wsp:rsid wsp:val=&quot;1D821D5D&quot;/&gt;&lt;wsp:rsid wsp:val=&quot;1D863B00&quot;/&gt;&lt;wsp:rsid wsp:val=&quot;1D866AFD&quot;/&gt;&lt;wsp:rsid wsp:val=&quot;1D882867&quot;/&gt;&lt;wsp:rsid wsp:val=&quot;1D886D0B&quot;/&gt;&lt;wsp:rsid wsp:val=&quot;1D8A2A83&quot;/&gt;&lt;wsp:rsid wsp:val=&quot;1D8B67FB&quot;/&gt;&lt;wsp:rsid wsp:val=&quot;1D8C0E02&quot;/&gt;&lt;wsp:rsid wsp:val=&quot;1D8E3BF5&quot;/&gt;&lt;wsp:rsid wsp:val=&quot;1D8E56D5&quot;/&gt;&lt;wsp:rsid wsp:val=&quot;1D8F62F3&quot;/&gt;&lt;wsp:rsid wsp:val=&quot;1D90619F&quot;/&gt;&lt;wsp:rsid wsp:val=&quot;1D921938&quot;/&gt;&lt;wsp:rsid wsp:val=&quot;1D9236E6&quot;/&gt;&lt;wsp:rsid wsp:val=&quot;1D927B8A&quot;/&gt;&lt;wsp:rsid wsp:val=&quot;1D936104&quot;/&gt;&lt;wsp:rsid wsp:val=&quot;1D94745E&quot;/&gt;&lt;wsp:rsid wsp:val=&quot;1D950C10&quot;/&gt;&lt;wsp:rsid wsp:val=&quot;1D951428&quot;/&gt;&lt;wsp:rsid wsp:val=&quot;1D9531D6&quot;/&gt;&lt;wsp:rsid wsp:val=&quot;1D9838A2&quot;/&gt;&lt;wsp:rsid wsp:val=&quot;1D990F18&quot;/&gt;&lt;wsp:rsid wsp:val=&quot;1D992CC6&quot;/&gt;&lt;wsp:rsid wsp:val=&quot;1D9A259A&quot;/&gt;&lt;wsp:rsid wsp:val=&quot;1D9B4C90&quot;/&gt;&lt;wsp:rsid wsp:val=&quot;1D9B6A3E&quot;/&gt;&lt;wsp:rsid wsp:val=&quot;1D9C4564&quot;/&gt;&lt;wsp:rsid wsp:val=&quot;1D9C6312&quot;/&gt;&lt;wsp:rsid wsp:val=&quot;1D9D14E3&quot;/&gt;&lt;wsp:rsid wsp:val=&quot;1DA04055&quot;/&gt;&lt;wsp:rsid wsp:val=&quot;1DA43419&quot;/&gt;&lt;wsp:rsid wsp:val=&quot;1DA47933&quot;/&gt;&lt;wsp:rsid wsp:val=&quot;1DA533FC&quot;/&gt;&lt;wsp:rsid wsp:val=&quot;1DA653E3&quot;/&gt;&lt;wsp:rsid wsp:val=&quot;1DA76F7C&quot;/&gt;&lt;wsp:rsid wsp:val=&quot;1DA805DB&quot;/&gt;&lt;wsp:rsid wsp:val=&quot;1DAA2EFB&quot;/&gt;&lt;wsp:rsid wsp:val=&quot;1DAD0C58&quot;/&gt;&lt;wsp:rsid wsp:val=&quot;1DAD49C3&quot;/&gt;&lt;wsp:rsid wsp:val=&quot;1DAD6772&quot;/&gt;&lt;wsp:rsid wsp:val=&quot;1DAE5592&quot;/&gt;&lt;wsp:rsid wsp:val=&quot;1DAF6046&quot;/&gt;&lt;wsp:rsid wsp:val=&quot;1DB11ECA&quot;/&gt;&lt;wsp:rsid wsp:val=&quot;1DB33ED5&quot;/&gt;&lt;wsp:rsid wsp:val=&quot;1DB418AE&quot;/&gt;&lt;wsp:rsid wsp:val=&quot;1DB4365C&quot;/&gt;&lt;wsp:rsid wsp:val=&quot;1DB47B00&quot;/&gt;&lt;wsp:rsid wsp:val=&quot;1DB919B0&quot;/&gt;&lt;wsp:rsid wsp:val=&quot;1DB93368&quot;/&gt;&lt;wsp:rsid wsp:val=&quot;1DB96EC4&quot;/&gt;&lt;wsp:rsid wsp:val=&quot;1DBA2C3C&quot;/&gt;&lt;wsp:rsid wsp:val=&quot;1DBB70D0&quot;/&gt;&lt;wsp:rsid wsp:val=&quot;1DBC0763&quot;/&gt;&lt;wsp:rsid wsp:val=&quot;1DBD7BFB&quot;/&gt;&lt;wsp:rsid wsp:val=&quot;1DBE44DB&quot;/&gt;&lt;wsp:rsid wsp:val=&quot;1DC00253&quot;/&gt;&lt;wsp:rsid wsp:val=&quot;1DC05121&quot;/&gt;&lt;wsp:rsid wsp:val=&quot;1DC51D0D&quot;/&gt;&lt;wsp:rsid wsp:val=&quot;1DC615E1&quot;/&gt;&lt;wsp:rsid wsp:val=&quot;1DC6338F&quot;/&gt;&lt;wsp:rsid wsp:val=&quot;1DC75A85&quot;/&gt;&lt;wsp:rsid wsp:val=&quot;1DC85359&quot;/&gt;&lt;wsp:rsid wsp:val=&quot;1DC87107&quot;/&gt;&lt;wsp:rsid wsp:val=&quot;1DC90261&quot;/&gt;&lt;wsp:rsid wsp:val=&quot;1DCB6BF8&quot;/&gt;&lt;wsp:rsid wsp:val=&quot;1DCF493A&quot;/&gt;&lt;wsp:rsid wsp:val=&quot;1DCF66E8&quot;/&gt;&lt;wsp:rsid wsp:val=&quot;1DD12460&quot;/&gt;&lt;wsp:rsid wsp:val=&quot;1DD160A6&quot;/&gt;&lt;wsp:rsid wsp:val=&quot;1DD27F86&quot;/&gt;&lt;wsp:rsid wsp:val=&quot;1DD37047&quot;/&gt;&lt;wsp:rsid wsp:val=&quot;1DD41F50&quot;/&gt;&lt;wsp:rsid wsp:val=&quot;1DD43CFE&quot;/&gt;&lt;wsp:rsid wsp:val=&quot;1DD54528&quot;/&gt;&lt;wsp:rsid wsp:val=&quot;1DD737EE&quot;/&gt;&lt;wsp:rsid wsp:val=&quot;1DD7559C&quot;/&gt;&lt;wsp:rsid wsp:val=&quot;1DD827FE&quot;/&gt;&lt;wsp:rsid wsp:val=&quot;1DD957B9&quot;/&gt;&lt;wsp:rsid wsp:val=&quot;1DDA2343&quot;/&gt;&lt;wsp:rsid wsp:val=&quot;1DDB32DF&quot;/&gt;&lt;wsp:rsid wsp:val=&quot;1DDC0837&quot;/&gt;&lt;wsp:rsid wsp:val=&quot;1DDD0DFF&quot;/&gt;&lt;wsp:rsid wsp:val=&quot;1DDE2DCF&quot;/&gt;&lt;wsp:rsid wsp:val=&quot;1DDE692B&quot;/&gt;&lt;wsp:rsid wsp:val=&quot;1DE06B47&quot;/&gt;&lt;wsp:rsid wsp:val=&quot;1DE101C9&quot;/&gt;&lt;wsp:rsid wsp:val=&quot;1DE1194E&quot;/&gt;&lt;wsp:rsid wsp:val=&quot;1DE1641B&quot;/&gt;&lt;wsp:rsid wsp:val=&quot;1DE426A8&quot;/&gt;&lt;wsp:rsid wsp:val=&quot;1DE5415D&quot;/&gt;&lt;wsp:rsid wsp:val=&quot;1DE57CB9&quot;/&gt;&lt;wsp:rsid wsp:val=&quot;1DE657E0&quot;/&gt;&lt;wsp:rsid wsp:val=&quot;1DE67E68&quot;/&gt;&lt;wsp:rsid wsp:val=&quot;1DE81558&quot;/&gt;&lt;wsp:rsid wsp:val=&quot;1DEA1774&quot;/&gt;&lt;wsp:rsid wsp:val=&quot;1DEA6C4D&quot;/&gt;&lt;wsp:rsid wsp:val=&quot;1DEC54EC&quot;/&gt;&lt;wsp:rsid wsp:val=&quot;1DED3012&quot;/&gt;&lt;wsp:rsid wsp:val=&quot;1DED6B6E&quot;/&gt;&lt;wsp:rsid wsp:val=&quot;1DED6D0F&quot;/&gt;&lt;wsp:rsid wsp:val=&quot;1DF12B02&quot;/&gt;&lt;wsp:rsid wsp:val=&quot;1DF3059A&quot;/&gt;&lt;wsp:rsid wsp:val=&quot;1DF3687A&quot;/&gt;&lt;wsp:rsid wsp:val=&quot;1DF60E56&quot;/&gt;&lt;wsp:rsid wsp:val=&quot;1DF61EC7&quot;/&gt;&lt;wsp:rsid wsp:val=&quot;1DF919B7&quot;/&gt;&lt;wsp:rsid wsp:val=&quot;1DF93765&quot;/&gt;&lt;wsp:rsid wsp:val=&quot;1DF95513&quot;/&gt;&lt;wsp:rsid wsp:val=&quot;1DFB6BCB&quot;/&gt;&lt;wsp:rsid wsp:val=&quot;1DFC5003&quot;/&gt;&lt;wsp:rsid wsp:val=&quot;1DFD2D71&quot;/&gt;&lt;wsp:rsid wsp:val=&quot;1DFE0D7B&quot;/&gt;&lt;wsp:rsid wsp:val=&quot;1DFE6FCD&quot;/&gt;&lt;wsp:rsid wsp:val=&quot;1E002D45&quot;/&gt;&lt;wsp:rsid wsp:val=&quot;1E005185&quot;/&gt;&lt;wsp:rsid wsp:val=&quot;1E013A44&quot;/&gt;&lt;wsp:rsid wsp:val=&quot;1E075E82&quot;/&gt;&lt;wsp:rsid wsp:val=&quot;1E0A3BC4&quot;/&gt;&lt;wsp:rsid wsp:val=&quot;1E0A5972&quot;/&gt;&lt;wsp:rsid wsp:val=&quot;1E0C793C&quot;/&gt;&lt;wsp:rsid wsp:val=&quot;1E0D7210&quot;/&gt;&lt;wsp:rsid wsp:val=&quot;1E0F11DA&quot;/&gt;&lt;wsp:rsid wsp:val=&quot;1E0F160C&quot;/&gt;&lt;wsp:rsid wsp:val=&quot;1E0F4D36&quot;/&gt;&lt;wsp:rsid wsp:val=&quot;1E0F7527&quot;/&gt;&lt;wsp:rsid wsp:val=&quot;1E104D37&quot;/&gt;&lt;wsp:rsid wsp:val=&quot;1E10619E&quot;/&gt;&lt;wsp:rsid wsp:val=&quot;1E114F52&quot;/&gt;&lt;wsp:rsid wsp:val=&quot;1E116D00&quot;/&gt;&lt;wsp:rsid wsp:val=&quot;1E1341FB&quot;/&gt;&lt;wsp:rsid wsp:val=&quot;1E134B83&quot;/&gt;&lt;wsp:rsid wsp:val=&quot;1E14234D&quot;/&gt;&lt;wsp:rsid wsp:val=&quot;1E1467F1&quot;/&gt;&lt;wsp:rsid wsp:val=&quot;1E1627CB&quot;/&gt;&lt;wsp:rsid wsp:val=&quot;1E171E3D&quot;/&gt;&lt;wsp:rsid wsp:val=&quot;1E18008F&quot;/&gt;&lt;wsp:rsid wsp:val=&quot;1E1862E1&quot;/&gt;&lt;wsp:rsid wsp:val=&quot;1E1D56A5&quot;/&gt;&lt;wsp:rsid wsp:val=&quot;1E1E31CB&quot;/&gt;&lt;wsp:rsid wsp:val=&quot;1E1E563D&quot;/&gt;&lt;wsp:rsid wsp:val=&quot;1E1E766F&quot;/&gt;&lt;wsp:rsid wsp:val=&quot;1E205195&quot;/&gt;&lt;wsp:rsid wsp:val=&quot;1E222CBC&quot;/&gt;&lt;wsp:rsid wsp:val=&quot;1E2527AC&quot;/&gt;&lt;wsp:rsid wsp:val=&quot;1E25455A&quot;/&gt;&lt;wsp:rsid wsp:val=&quot;1E27575F&quot;/&gt;&lt;wsp:rsid wsp:val=&quot;1E285DF8&quot;/&gt;&lt;wsp:rsid wsp:val=&quot;1E29229C&quot;/&gt;&lt;wsp:rsid wsp:val=&quot;1E2A1AD4&quot;/&gt;&lt;wsp:rsid wsp:val=&quot;1E2A7DC2&quot;/&gt;&lt;wsp:rsid wsp:val=&quot;1E2C3B3A&quot;/&gt;&lt;wsp:rsid wsp:val=&quot;1E2C7696&quot;/&gt;&lt;wsp:rsid wsp:val=&quot;1E2D1660&quot;/&gt;&lt;wsp:rsid wsp:val=&quot;1E2D41A2&quot;/&gt;&lt;wsp:rsid wsp:val=&quot;1E2D66F3&quot;/&gt;&lt;wsp:rsid wsp:val=&quot;1E2E37DA&quot;/&gt;&lt;wsp:rsid wsp:val=&quot;1E2F7187&quot;/&gt;&lt;wsp:rsid wsp:val=&quot;1E326C77&quot;/&gt;&lt;wsp:rsid wsp:val=&quot;1E334EC9&quot;/&gt;&lt;wsp:rsid wsp:val=&quot;1E340C41&quot;/&gt;&lt;wsp:rsid wsp:val=&quot;1E360515&quot;/&gt;&lt;wsp:rsid wsp:val=&quot;1E365DE2&quot;/&gt;&lt;wsp:rsid wsp:val=&quot;1E390005&quot;/&gt;&lt;wsp:rsid wsp:val=&quot;1E3B1FCF&quot;/&gt;&lt;wsp:rsid wsp:val=&quot;1E3B3D7D&quot;/&gt;&lt;wsp:rsid wsp:val=&quot;1E3E561C&quot;/&gt;&lt;wsp:rsid wsp:val=&quot;1E401394&quot;/&gt;&lt;wsp:rsid wsp:val=&quot;1E42510C&quot;/&gt;&lt;wsp:rsid wsp:val=&quot;1E426EBA&quot;/&gt;&lt;wsp:rsid wsp:val=&quot;1E432C32&quot;/&gt;&lt;wsp:rsid wsp:val=&quot;1E446F12&quot;/&gt;&lt;wsp:rsid wsp:val=&quot;1E4569AA&quot;/&gt;&lt;wsp:rsid wsp:val=&quot;1E474D49&quot;/&gt;&lt;wsp:rsid wsp:val=&quot;1E477A2B&quot;/&gt;&lt;wsp:rsid wsp:val=&quot;1E480375&quot;/&gt;&lt;wsp:rsid wsp:val=&quot;1E496DB9&quot;/&gt;&lt;wsp:rsid wsp:val=&quot;1E4B3A5F&quot;/&gt;&lt;wsp:rsid wsp:val=&quot;1E4C1AE7&quot;/&gt;&lt;wsp:rsid wsp:val=&quot;1E5019FF&quot;/&gt;&lt;wsp:rsid wsp:val=&quot;1E51534F&quot;/&gt;&lt;wsp:rsid wsp:val=&quot;1E522E75&quot;/&gt;&lt;wsp:rsid wsp:val=&quot;1E54477C&quot;/&gt;&lt;wsp:rsid wsp:val=&quot;1E5507DD&quot;/&gt;&lt;wsp:rsid wsp:val=&quot;1E552B5D&quot;/&gt;&lt;wsp:rsid wsp:val=&quot;1E562965&quot;/&gt;&lt;wsp:rsid wsp:val=&quot;1E566E09&quot;/&gt;&lt;wsp:rsid wsp:val=&quot;1E5752B6&quot;/&gt;&lt;wsp:rsid wsp:val=&quot;1E580E02&quot;/&gt;&lt;wsp:rsid wsp:val=&quot;1E592455&quot;/&gt;&lt;wsp:rsid wsp:val=&quot;1E5974FD&quot;/&gt;&lt;wsp:rsid wsp:val=&quot;1E5B441F&quot;/&gt;&lt;wsp:rsid wsp:val=&quot;1E5B61CE&quot;/&gt;&lt;wsp:rsid wsp:val=&quot;1E5D0198&quot;/&gt;&lt;wsp:rsid wsp:val=&quot;1E5D3CF4&quot;/&gt;&lt;wsp:rsid wsp:val=&quot;1E5E7A6C&quot;/&gt;&lt;wsp:rsid wsp:val=&quot;1E601A36&quot;/&gt;&lt;wsp:rsid wsp:val=&quot;1E603227&quot;/&gt;&lt;wsp:rsid wsp:val=&quot;1E605592&quot;/&gt;&lt;wsp:rsid wsp:val=&quot;1E62130A&quot;/&gt;&lt;wsp:rsid wsp:val=&quot;1E636E30&quot;/&gt;&lt;wsp:rsid wsp:val=&quot;1E676920&quot;/&gt;&lt;wsp:rsid wsp:val=&quot;1E682698&quot;/&gt;&lt;wsp:rsid wsp:val=&quot;1E6908EA&quot;/&gt;&lt;wsp:rsid wsp:val=&quot;1E6A4663&quot;/&gt;&lt;wsp:rsid wsp:val=&quot;1E6C2189&quot;/&gt;&lt;wsp:rsid wsp:val=&quot;1E6C3E2E&quot;/&gt;&lt;wsp:rsid wsp:val=&quot;1E6D79E9&quot;/&gt;&lt;wsp:rsid wsp:val=&quot;1E6E4153&quot;/&gt;&lt;wsp:rsid wsp:val=&quot;1E6F3A27&quot;/&gt;&lt;wsp:rsid wsp:val=&quot;1E71779F&quot;/&gt;&lt;wsp:rsid wsp:val=&quot;1E731769&quot;/&gt;&lt;wsp:rsid wsp:val=&quot;1E733517&quot;/&gt;&lt;wsp:rsid wsp:val=&quot;1E7352C5&quot;/&gt;&lt;wsp:rsid wsp:val=&quot;1E74728F&quot;/&gt;&lt;wsp:rsid wsp:val=&quot;1E757DC6&quot;/&gt;&lt;wsp:rsid wsp:val=&quot;1E763007&quot;/&gt;&lt;wsp:rsid wsp:val=&quot;1E766B63&quot;/&gt;&lt;wsp:rsid wsp:val=&quot;1E7828DC&quot;/&gt;&lt;wsp:rsid wsp:val=&quot;1E7960C6&quot;/&gt;&lt;wsp:rsid wsp:val=&quot;1E796654&quot;/&gt;&lt;wsp:rsid wsp:val=&quot;1E797880&quot;/&gt;&lt;wsp:rsid wsp:val=&quot;1E7A43DA&quot;/&gt;&lt;wsp:rsid wsp:val=&quot;1E7B061E&quot;/&gt;&lt;wsp:rsid wsp:val=&quot;1E7B23CC&quot;/&gt;&lt;wsp:rsid wsp:val=&quot;1E7D4396&quot;/&gt;&lt;wsp:rsid wsp:val=&quot;1E7D7EF2&quot;/&gt;&lt;wsp:rsid wsp:val=&quot;1E7E1EBC&quot;/&gt;&lt;wsp:rsid wsp:val=&quot;1E7E3C6A&quot;/&gt;&lt;wsp:rsid wsp:val=&quot;1E804ED9&quot;/&gt;&lt;wsp:rsid wsp:val=&quot;1E82375A&quot;/&gt;&lt;wsp:rsid wsp:val=&quot;1E827BFE&quot;/&gt;&lt;wsp:rsid wsp:val=&quot;1E845724&quot;/&gt;&lt;wsp:rsid wsp:val=&quot;1E85324A&quot;/&gt;&lt;wsp:rsid wsp:val=&quot;1E860D4B&quot;/&gt;&lt;wsp:rsid wsp:val=&quot;1E870D71&quot;/&gt;&lt;wsp:rsid wsp:val=&quot;1E8A6AB3&quot;/&gt;&lt;wsp:rsid wsp:val=&quot;1E8C282B&quot;/&gt;&lt;wsp:rsid wsp:val=&quot;1E8C347C&quot;/&gt;&lt;wsp:rsid wsp:val=&quot;1E8C45D9&quot;/&gt;&lt;wsp:rsid wsp:val=&quot;1E8C6387&quot;/&gt;&lt;wsp:rsid wsp:val=&quot;1E90231B&quot;/&gt;&lt;wsp:rsid wsp:val=&quot;1E903A10&quot;/&gt;&lt;wsp:rsid wsp:val=&quot;1E9049CE&quot;/&gt;&lt;wsp:rsid wsp:val=&quot;1E911BEF&quot;/&gt;&lt;wsp:rsid wsp:val=&quot;1E915031&quot;/&gt;&lt;wsp:rsid wsp:val=&quot;1E921EBF&quot;/&gt;&lt;wsp:rsid wsp:val=&quot;1E92764B&quot;/&gt;&lt;wsp:rsid wsp:val=&quot;1E933B20&quot;/&gt;&lt;wsp:rsid wsp:val=&quot;1E937715&quot;/&gt;&lt;wsp:rsid wsp:val=&quot;1E9516DF&quot;/&gt;&lt;wsp:rsid wsp:val=&quot;1E957931&quot;/&gt;&lt;wsp:rsid wsp:val=&quot;1E97058F&quot;/&gt;&lt;wsp:rsid wsp:val=&quot;1E972D06&quot;/&gt;&lt;wsp:rsid wsp:val=&quot;1E984D2C&quot;/&gt;&lt;wsp:rsid wsp:val=&quot;1E9D4401&quot;/&gt;&lt;wsp:rsid wsp:val=&quot;1E9F255E&quot;/&gt;&lt;wsp:rsid wsp:val=&quot;1E9F430C&quot;/&gt;&lt;wsp:rsid wsp:val=&quot;1EA01E32&quot;/&gt;&lt;wsp:rsid wsp:val=&quot;1EA23DFC&quot;/&gt;&lt;wsp:rsid wsp:val=&quot;1EA27958&quot;/&gt;&lt;wsp:rsid wsp:val=&quot;1EA30273&quot;/&gt;&lt;wsp:rsid wsp:val=&quot;1EA336D1&quot;/&gt;&lt;wsp:rsid wsp:val=&quot;1EA50C8D&quot;/&gt;&lt;wsp:rsid wsp:val=&quot;1EA5569B&quot;/&gt;&lt;wsp:rsid wsp:val=&quot;1EA71413&quot;/&gt;&lt;wsp:rsid wsp:val=&quot;1EA731C1&quot;/&gt;&lt;wsp:rsid wsp:val=&quot;1EA96F39&quot;/&gt;&lt;wsp:rsid wsp:val=&quot;1EAA1A19&quot;/&gt;&lt;wsp:rsid wsp:val=&quot;1EAA2CB1&quot;/&gt;&lt;wsp:rsid wsp:val=&quot;1EAB0F03&quot;/&gt;&lt;wsp:rsid wsp:val=&quot;1EAC6902&quot;/&gt;&lt;wsp:rsid wsp:val=&quot;1EAD7B17&quot;/&gt;&lt;wsp:rsid wsp:val=&quot;1EAE09F3&quot;/&gt;&lt;wsp:rsid wsp:val=&quot;1EB12291&quot;/&gt;&lt;wsp:rsid wsp:val=&quot;1EB2020D&quot;/&gt;&lt;wsp:rsid wsp:val=&quot;1EB31B66&quot;/&gt;&lt;wsp:rsid wsp:val=&quot;1EB3600A&quot;/&gt;&lt;wsp:rsid wsp:val=&quot;1EB4768C&quot;/&gt;&lt;wsp:rsid wsp:val=&quot;1EB63404&quot;/&gt;&lt;wsp:rsid wsp:val=&quot;1EB83620&quot;/&gt;&lt;wsp:rsid wsp:val=&quot;1EB87F15&quot;/&gt;&lt;wsp:rsid wsp:val=&quot;1EBA7398&quot;/&gt;&lt;wsp:rsid wsp:val=&quot;1EBD0C36&quot;/&gt;&lt;wsp:rsid wsp:val=&quot;1EBD4792&quot;/&gt;&lt;wsp:rsid wsp:val=&quot;1EC00911&quot;/&gt;&lt;wsp:rsid wsp:val=&quot;1EC04283&quot;/&gt;&lt;wsp:rsid wsp:val=&quot;1EC10726&quot;/&gt;&lt;wsp:rsid wsp:val=&quot;1EC41FC5&quot;/&gt;&lt;wsp:rsid wsp:val=&quot;1EC4217D&quot;/&gt;&lt;wsp:rsid wsp:val=&quot;1EC65D3D&quot;/&gt;&lt;wsp:rsid wsp:val=&quot;1EC661DE&quot;/&gt;&lt;wsp:rsid wsp:val=&quot;1EC71AB5&quot;/&gt;&lt;wsp:rsid wsp:val=&quot;1EC75611&quot;/&gt;&lt;wsp:rsid wsp:val=&quot;1EC93137&quot;/&gt;&lt;wsp:rsid wsp:val=&quot;1EC9341E&quot;/&gt;&lt;wsp:rsid wsp:val=&quot;1ECB3353&quot;/&gt;&lt;wsp:rsid wsp:val=&quot;1ECC2C27&quot;/&gt;&lt;wsp:rsid wsp:val=&quot;1ECC70CB&quot;/&gt;&lt;wsp:rsid wsp:val=&quot;1ECE2E43&quot;/&gt;&lt;wsp:rsid wsp:val=&quot;1ECF44C6&quot;/&gt;&lt;wsp:rsid wsp:val=&quot;1ED0096A&quot;/&gt;&lt;wsp:rsid wsp:val=&quot;1ED3045A&quot;/&gt;&lt;wsp:rsid wsp:val=&quot;1ED33FB6&quot;/&gt;&lt;wsp:rsid wsp:val=&quot;1ED41ADC&quot;/&gt;&lt;wsp:rsid wsp:val=&quot;1ED61EF3&quot;/&gt;&lt;wsp:rsid wsp:val=&quot;1ED74A21&quot;/&gt;&lt;wsp:rsid wsp:val=&quot;1ED77C74&quot;/&gt;&lt;wsp:rsid wsp:val=&quot;1EDA01AA&quot;/&gt;&lt;wsp:rsid wsp:val=&quot;1EDA3596&quot;/&gt;&lt;wsp:rsid wsp:val=&quot;1EDD3086&quot;/&gt;&lt;wsp:rsid wsp:val=&quot;1EDD6BE3&quot;/&gt;&lt;wsp:rsid wsp:val=&quot;1EDD7E56&quot;/&gt;&lt;wsp:rsid wsp:val=&quot;1EE066D3&quot;/&gt;&lt;wsp:rsid wsp:val=&quot;1EE2069D&quot;/&gt;&lt;wsp:rsid wsp:val=&quot;1EE272D7&quot;/&gt;&lt;wsp:rsid wsp:val=&quot;1EE44415&quot;/&gt;&lt;wsp:rsid wsp:val=&quot;1EE47F71&quot;/&gt;&lt;wsp:rsid wsp:val=&quot;1EE61F3B&quot;/&gt;&lt;wsp:rsid wsp:val=&quot;1EE73F06&quot;/&gt;&lt;wsp:rsid wsp:val=&quot;1EE91A2B&quot;/&gt;&lt;wsp:rsid wsp:val=&quot;1EEE2B9E&quot;/&gt;&lt;wsp:rsid wsp:val=&quot;1EF04B68&quot;/&gt;&lt;wsp:rsid wsp:val=&quot;1EF328AA&quot;/&gt;&lt;wsp:rsid wsp:val=&quot;1EF33ABA&quot;/&gt;&lt;wsp:rsid wsp:val=&quot;1EF36406&quot;/&gt;&lt;wsp:rsid wsp:val=&quot;1EF65EF6&quot;/&gt;&lt;wsp:rsid wsp:val=&quot;1EF81C6E&quot;/&gt;&lt;wsp:rsid wsp:val=&quot;1EF83A1C&quot;/&gt;&lt;wsp:rsid wsp:val=&quot;1EFA3C38&quot;/&gt;&lt;wsp:rsid wsp:val=&quot;1EFA5547&quot;/&gt;&lt;wsp:rsid wsp:val=&quot;1EFD1033&quot;/&gt;&lt;wsp:rsid wsp:val=&quot;1EFF4DAB&quot;/&gt;&lt;wsp:rsid wsp:val=&quot;1F061F30&quot;/&gt;&lt;wsp:rsid wsp:val=&quot;1F0625DD&quot;/&gt;&lt;wsp:rsid wsp:val=&quot;1F066139&quot;/&gt;&lt;wsp:rsid wsp:val=&quot;1F0711B4&quot;/&gt;&lt;wsp:rsid wsp:val=&quot;1F093E7B&quot;/&gt;&lt;wsp:rsid wsp:val=&quot;1F095C2A&quot;/&gt;&lt;wsp:rsid wsp:val=&quot;1F0B7BF4&quot;/&gt;&lt;wsp:rsid wsp:val=&quot;1F0C1276&quot;/&gt;&lt;wsp:rsid wsp:val=&quot;1F0C2B01&quot;/&gt;&lt;wsp:rsid wsp:val=&quot;1F0E1492&quot;/&gt;&lt;wsp:rsid wsp:val=&quot;1F0E3293&quot;/&gt;&lt;wsp:rsid wsp:val=&quot;1F0E4FEE&quot;/&gt;&lt;wsp:rsid wsp:val=&quot;1F0F399E&quot;/&gt;&lt;wsp:rsid wsp:val=&quot;1F100D66&quot;/&gt;&lt;wsp:rsid wsp:val=&quot;1F120F82&quot;/&gt;&lt;wsp:rsid wsp:val=&quot;1F122D30&quot;/&gt;&lt;wsp:rsid wsp:val=&quot;1F134CFA&quot;/&gt;&lt;wsp:rsid wsp:val=&quot;1F136AA8&quot;/&gt;&lt;wsp:rsid wsp:val=&quot;1F140503&quot;/&gt;&lt;wsp:rsid wsp:val=&quot;1F145347&quot;/&gt;&lt;wsp:rsid wsp:val=&quot;1F153A2A&quot;/&gt;&lt;wsp:rsid wsp:val=&quot;1F170346&quot;/&gt;&lt;wsp:rsid wsp:val=&quot;1F176598&quot;/&gt;&lt;wsp:rsid wsp:val=&quot;1F182311&quot;/&gt;&lt;wsp:rsid wsp:val=&quot;1F1840BF&quot;/&gt;&lt;wsp:rsid wsp:val=&quot;1F1A3993&quot;/&gt;&lt;wsp:rsid wsp:val=&quot;1F204D21&quot;/&gt;&lt;wsp:rsid wsp:val=&quot;1F212F73&quot;/&gt;&lt;wsp:rsid wsp:val=&quot;1F240CB5&quot;/&gt;&lt;wsp:rsid wsp:val=&quot;1F242A63&quot;/&gt;&lt;wsp:rsid wsp:val=&quot;1F247119&quot;/&gt;&lt;wsp:rsid wsp:val=&quot;1F264A2D&quot;/&gt;&lt;wsp:rsid wsp:val=&quot;1F2667DB&quot;/&gt;&lt;wsp:rsid wsp:val=&quot;1F2820C8&quot;/&gt;&lt;wsp:rsid wsp:val=&quot;1F282554&quot;/&gt;&lt;wsp:rsid wsp:val=&quot;1F2A6B51&quot;/&gt;&lt;wsp:rsid wsp:val=&quot;1F2C36C6&quot;/&gt;&lt;wsp:rsid wsp:val=&quot;1F2E5690&quot;/&gt;&lt;wsp:rsid wsp:val=&quot;1F304E58&quot;/&gt;&lt;wsp:rsid wsp:val=&quot;1F330EF8&quot;/&gt;&lt;wsp:rsid wsp:val=&quot;1F376A06&quot;/&gt;&lt;wsp:rsid wsp:val=&quot;1F38392F&quot;/&gt;&lt;wsp:rsid wsp:val=&quot;1F3A2287&quot;/&gt;&lt;wsp:rsid wsp:val=&quot;1F3A5DE3&quot;/&gt;&lt;wsp:rsid wsp:val=&quot;1F3C1B5B&quot;/&gt;&lt;wsp:rsid wsp:val=&quot;1F3C5FFF&quot;/&gt;&lt;wsp:rsid wsp:val=&quot;1F3D3B25&quot;/&gt;&lt;wsp:rsid wsp:val=&quot;1F3E297F&quot;/&gt;&lt;wsp:rsid wsp:val=&quot;1F3F20C1&quot;/&gt;&lt;wsp:rsid wsp:val=&quot;1F3F33F9&quot;/&gt;&lt;wsp:rsid wsp:val=&quot;1F4149E1&quot;/&gt;&lt;wsp:rsid wsp:val=&quot;1F4153C3&quot;/&gt;&lt;wsp:rsid wsp:val=&quot;1F417171&quot;/&gt;&lt;wsp:rsid wsp:val=&quot;1F43738D&quot;/&gt;&lt;wsp:rsid wsp:val=&quot;1F446268&quot;/&gt;&lt;wsp:rsid wsp:val=&quot;1F446C62&quot;/&gt;&lt;wsp:rsid wsp:val=&quot;1F460C2C&quot;/&gt;&lt;wsp:rsid wsp:val=&quot;1F4629DA&quot;/&gt;&lt;wsp:rsid wsp:val=&quot;1F470500&quot;/&gt;&lt;wsp:rsid wsp:val=&quot;1F4849A4&quot;/&gt;&lt;wsp:rsid wsp:val=&quot;1F486752&quot;/&gt;&lt;wsp:rsid wsp:val=&quot;1F49071C&quot;/&gt;&lt;wsp:rsid wsp:val=&quot;1F49312F&quot;/&gt;&lt;wsp:rsid wsp:val=&quot;1F4973AD&quot;/&gt;&lt;wsp:rsid wsp:val=&quot;1F4B4494&quot;/&gt;&lt;wsp:rsid wsp:val=&quot;1F4D1FBA&quot;/&gt;&lt;wsp:rsid wsp:val=&quot;1F4D3D68&quot;/&gt;&lt;wsp:rsid wsp:val=&quot;1F4E7AE0&quot;/&gt;&lt;wsp:rsid wsp:val=&quot;1F501AAA&quot;/&gt;&lt;wsp:rsid wsp:val=&quot;1F503858&quot;/&gt;&lt;wsp:rsid wsp:val=&quot;1F52137F&quot;/&gt;&lt;wsp:rsid wsp:val=&quot;1F525822&quot;/&gt;&lt;wsp:rsid wsp:val=&quot;1F542CAF&quot;/&gt;&lt;wsp:rsid wsp:val=&quot;1F547F21&quot;/&gt;&lt;wsp:rsid wsp:val=&quot;1F550E6F&quot;/&gt;&lt;wsp:rsid wsp:val=&quot;1F572E39&quot;/&gt;&lt;wsp:rsid wsp:val=&quot;1F5823ED&quot;/&gt;&lt;wsp:rsid wsp:val=&quot;1F5B37A4&quot;/&gt;&lt;wsp:rsid wsp:val=&quot;1F5C3FAB&quot;/&gt;&lt;wsp:rsid wsp:val=&quot;1F5D41BA&quot;/&gt;&lt;wsp:rsid wsp:val=&quot;1F5D7D23&quot;/&gt;&lt;wsp:rsid wsp:val=&quot;1F5E5F75&quot;/&gt;&lt;wsp:rsid wsp:val=&quot;1F5F3A9B&quot;/&gt;&lt;wsp:rsid wsp:val=&quot;1F617814&quot;/&gt;&lt;wsp:rsid wsp:val=&quot;1F6414BC&quot;/&gt;&lt;wsp:rsid wsp:val=&quot;1F645556&quot;/&gt;&lt;wsp:rsid wsp:val=&quot;1F646875&quot;/&gt;&lt;wsp:rsid wsp:val=&quot;1F666BD8&quot;/&gt;&lt;wsp:rsid wsp:val=&quot;1F672950&quot;/&gt;&lt;wsp:rsid wsp:val=&quot;1F69491A&quot;/&gt;&lt;wsp:rsid wsp:val=&quot;1F6A69FC&quot;/&gt;&lt;wsp:rsid wsp:val=&quot;1F6C10DE&quot;/&gt;&lt;wsp:rsid wsp:val=&quot;1F6D4E7A&quot;/&gt;&lt;wsp:rsid wsp:val=&quot;1F6D7F66&quot;/&gt;&lt;wsp:rsid wsp:val=&quot;1F6F11A0&quot;/&gt;&lt;wsp:rsid wsp:val=&quot;1F705CA9&quot;/&gt;&lt;wsp:rsid wsp:val=&quot;1F737B21&quot;/&gt;&lt;wsp:rsid wsp:val=&quot;1F75506D&quot;/&gt;&lt;wsp:rsid wsp:val=&quot;1F784B5D&quot;/&gt;&lt;wsp:rsid wsp:val=&quot;1F78690B&quot;/&gt;&lt;wsp:rsid wsp:val=&quot;1F792DAF&quot;/&gt;&lt;wsp:rsid wsp:val=&quot;1F7A08D5&quot;/&gt;&lt;wsp:rsid wsp:val=&quot;1F7A2683&quot;/&gt;&lt;wsp:rsid wsp:val=&quot;1F7A27D4&quot;/&gt;&lt;wsp:rsid wsp:val=&quot;1F7A32FD&quot;/&gt;&lt;wsp:rsid wsp:val=&quot;1F7A36E2&quot;/&gt;&lt;wsp:rsid wsp:val=&quot;1F7C0BD3&quot;/&gt;&lt;wsp:rsid wsp:val=&quot;1F7C1DAA&quot;/&gt;&lt;wsp:rsid wsp:val=&quot;1F7C464D&quot;/&gt;&lt;wsp:rsid wsp:val=&quot;1F7E2174&quot;/&gt;&lt;wsp:rsid wsp:val=&quot;1F7E2E95&quot;/&gt;&lt;wsp:rsid wsp:val=&quot;1F7E6617&quot;/&gt;&lt;wsp:rsid wsp:val=&quot;1F7F2A96&quot;/&gt;&lt;wsp:rsid wsp:val=&quot;1F7F5EEC&quot;/&gt;&lt;wsp:rsid wsp:val=&quot;1F800F8E&quot;/&gt;&lt;wsp:rsid wsp:val=&quot;1F811C64&quot;/&gt;&lt;wsp:rsid wsp:val=&quot;1F8328FD&quot;/&gt;&lt;wsp:rsid wsp:val=&quot;1F833C2E&quot;/&gt;&lt;wsp:rsid wsp:val=&quot;1F83778A&quot;/&gt;&lt;wsp:rsid wsp:val=&quot;1F841754&quot;/&gt;&lt;wsp:rsid wsp:val=&quot;1F8452B0&quot;/&gt;&lt;wsp:rsid wsp:val=&quot;1F86727A&quot;/&gt;&lt;wsp:rsid wsp:val=&quot;1F8B1D63&quot;/&gt;&lt;wsp:rsid wsp:val=&quot;1F8B2AE2&quot;/&gt;&lt;wsp:rsid wsp:val=&quot;1F8B4667&quot;/&gt;&lt;wsp:rsid wsp:val=&quot;1F8B663F&quot;/&gt;&lt;wsp:rsid wsp:val=&quot;1F8D0609&quot;/&gt;&lt;wsp:rsid wsp:val=&quot;1F8F430C&quot;/&gt;&lt;wsp:rsid wsp:val=&quot;1F8F4381&quot;/&gt;&lt;wsp:rsid wsp:val=&quot;1F90634B&quot;/&gt;&lt;wsp:rsid wsp:val=&quot;1F925C1F&quot;/&gt;&lt;wsp:rsid wsp:val=&quot;1F9279CD&quot;/&gt;&lt;wsp:rsid wsp:val=&quot;1F946E5A&quot;/&gt;&lt;wsp:rsid wsp:val=&quot;1F953961&quot;/&gt;&lt;wsp:rsid wsp:val=&quot;1F9574BD&quot;/&gt;&lt;wsp:rsid wsp:val=&quot;1F971487&quot;/&gt;&lt;wsp:rsid wsp:val=&quot;1F9C084C&quot;/&gt;&lt;wsp:rsid wsp:val=&quot;1F9E2816&quot;/&gt;&lt;wsp:rsid wsp:val=&quot;1F9F20EA&quot;/&gt;&lt;wsp:rsid wsp:val=&quot;1FA140B4&quot;/&gt;&lt;wsp:rsid wsp:val=&quot;1FA3607E&quot;/&gt;&lt;wsp:rsid wsp:val=&quot;1FA53BA4&quot;/&gt;&lt;wsp:rsid wsp:val=&quot;1FA828F8&quot;/&gt;&lt;wsp:rsid wsp:val=&quot;1FAA11BB&quot;/&gt;&lt;wsp:rsid wsp:val=&quot;1FAD0CAB&quot;/&gt;&lt;wsp:rsid wsp:val=&quot;1FAF4A23&quot;/&gt;&lt;wsp:rsid wsp:val=&quot;1FB21655&quot;/&gt;&lt;wsp:rsid wsp:val=&quot;1FB21E1D&quot;/&gt;&lt;wsp:rsid wsp:val=&quot;1FB448F7&quot;/&gt;&lt;wsp:rsid wsp:val=&quot;1FB65DB1&quot;/&gt;&lt;wsp:rsid wsp:val=&quot;1FB77434&quot;/&gt;&lt;wsp:rsid wsp:val=&quot;1FB77875&quot;/&gt;&lt;wsp:rsid wsp:val=&quot;1FB976E5&quot;/&gt;&lt;wsp:rsid wsp:val=&quot;1FBB33C8&quot;/&gt;&lt;wsp:rsid wsp:val=&quot;1FBC4DE6&quot;/&gt;&lt;wsp:rsid wsp:val=&quot;1FBE0986&quot;/&gt;&lt;wsp:rsid wsp:val=&quot;1FBE4C66&quot;/&gt;&lt;wsp:rsid wsp:val=&quot;1FBE6A14&quot;/&gt;&lt;wsp:rsid wsp:val=&quot;1FC14756&quot;/&gt;&lt;wsp:rsid wsp:val=&quot;1FC31414&quot;/&gt;&lt;wsp:rsid wsp:val=&quot;1FC3227C&quot;/&gt;&lt;wsp:rsid wsp:val=&quot;1FC55FF4&quot;/&gt;&lt;wsp:rsid wsp:val=&quot;1FC57DA2&quot;/&gt;&lt;wsp:rsid wsp:val=&quot;1FC61D6D&quot;/&gt;&lt;wsp:rsid wsp:val=&quot;1FC81641&quot;/&gt;&lt;wsp:rsid wsp:val=&quot;1FCA53B9&quot;/&gt;&lt;wsp:rsid wsp:val=&quot;1FCF0C21&quot;/&gt;&lt;wsp:rsid wsp:val=&quot;1FCF190A&quot;/&gt;&lt;wsp:rsid wsp:val=&quot;1FCF6E73&quot;/&gt;&lt;wsp:rsid wsp:val=&quot;1FD06747&quot;/&gt;&lt;wsp:rsid wsp:val=&quot;1FD1431F&quot;/&gt;&lt;wsp:rsid wsp:val=&quot;1FD174F6&quot;/&gt;&lt;wsp:rsid wsp:val=&quot;1FD3171B&quot;/&gt;&lt;wsp:rsid wsp:val=&quot;1FD46237&quot;/&gt;&lt;wsp:rsid wsp:val=&quot;1FD5000E&quot;/&gt;&lt;wsp:rsid wsp:val=&quot;1FD5034D&quot;/&gt;&lt;wsp:rsid wsp:val=&quot;1FD53D5E&quot;/&gt;&lt;wsp:rsid wsp:val=&quot;1FD60202&quot;/&gt;&lt;wsp:rsid wsp:val=&quot;1FD87954&quot;/&gt;&lt;wsp:rsid wsp:val=&quot;1FD9384E&quot;/&gt;&lt;wsp:rsid wsp:val=&quot;1FDB383D&quot;/&gt;&lt;wsp:rsid wsp:val=&quot;1FDB75C6&quot;/&gt;&lt;wsp:rsid wsp:val=&quot;1FDC333E&quot;/&gt;&lt;wsp:rsid wsp:val=&quot;1FDC6E9A&quot;/&gt;&lt;wsp:rsid wsp:val=&quot;1FDE0E64&quot;/&gt;&lt;wsp:rsid wsp:val=&quot;1FDE70B6&quot;/&gt;&lt;wsp:rsid wsp:val=&quot;1FDF698A&quot;/&gt;&lt;wsp:rsid wsp:val=&quot;1FE3647B&quot;/&gt;&lt;wsp:rsid wsp:val=&quot;1FE521F3&quot;/&gt;&lt;wsp:rsid wsp:val=&quot;1FE6508C&quot;/&gt;&lt;wsp:rsid wsp:val=&quot;1FE741BD&quot;/&gt;&lt;wsp:rsid wsp:val=&quot;1FE7539E&quot;/&gt;&lt;wsp:rsid wsp:val=&quot;1FE8583F&quot;/&gt;&lt;wsp:rsid wsp:val=&quot;1FED72F9&quot;/&gt;&lt;wsp:rsid wsp:val=&quot;1FEE5E46&quot;/&gt;&lt;wsp:rsid wsp:val=&quot;1FEF4E1F&quot;/&gt;&lt;wsp:rsid wsp:val=&quot;1FF00B97&quot;/&gt;&lt;wsp:rsid wsp:val=&quot;1FF21896&quot;/&gt;&lt;wsp:rsid wsp:val=&quot;1FF40688&quot;/&gt;&lt;wsp:rsid wsp:val=&quot;1FF67686&quot;/&gt;&lt;wsp:rsid wsp:val=&quot;1FF7057B&quot;/&gt;&lt;wsp:rsid wsp:val=&quot;1FF82189&quot;/&gt;&lt;wsp:rsid wsp:val=&quot;1FF93490&quot;/&gt;&lt;wsp:rsid wsp:val=&quot;1FFD25F1&quot;/&gt;&lt;wsp:rsid wsp:val=&quot;1FFE5062&quot;/&gt;&lt;wsp:rsid wsp:val=&quot;1FFF72A8&quot;/&gt;&lt;wsp:rsid wsp:val=&quot;20000DDB&quot;/&gt;&lt;wsp:rsid wsp:val=&quot;2000527E&quot;/&gt;&lt;wsp:rsid wsp:val=&quot;20016901&quot;/&gt;&lt;wsp:rsid wsp:val=&quot;20032679&quot;/&gt;&lt;wsp:rsid wsp:val=&quot;20036B1D&quot;/&gt;&lt;wsp:rsid wsp:val=&quot;20037379&quot;/&gt;&lt;wsp:rsid wsp:val=&quot;20085EE1&quot;/&gt;&lt;wsp:rsid wsp:val=&quot;200A18C7&quot;/&gt;&lt;wsp:rsid wsp:val=&quot;200A1C59&quot;/&gt;&lt;wsp:rsid wsp:val=&quot;200B777F&quot;/&gt;&lt;wsp:rsid wsp:val=&quot;200C041C&quot;/&gt;&lt;wsp:rsid wsp:val=&quot;200C18AC&quot;/&gt;&lt;wsp:rsid wsp:val=&quot;200F0B71&quot;/&gt;&lt;wsp:rsid wsp:val=&quot;200F101E&quot;/&gt;&lt;wsp:rsid wsp:val=&quot;200F70B2&quot;/&gt;&lt;wsp:rsid wsp:val=&quot;201223C3&quot;/&gt;&lt;wsp:rsid wsp:val=&quot;20144886&quot;/&gt;&lt;wsp:rsid wsp:val=&quot;201523AC&quot;/&gt;&lt;wsp:rsid wsp:val=&quot;20156253&quot;/&gt;&lt;wsp:rsid wsp:val=&quot;20166850&quot;/&gt;&lt;wsp:rsid wsp:val=&quot;2017552F&quot;/&gt;&lt;wsp:rsid wsp:val=&quot;201900EE&quot;/&gt;&lt;wsp:rsid wsp:val=&quot;20192A20&quot;/&gt;&lt;wsp:rsid wsp:val=&quot;201A1264&quot;/&gt;&lt;wsp:rsid wsp:val=&quot;201B7F11&quot;/&gt;&lt;wsp:rsid wsp:val=&quot;201C198C&quot;/&gt;&lt;wsp:rsid wsp:val=&quot;201C373B&quot;/&gt;&lt;wsp:rsid wsp:val=&quot;20210D51&quot;/&gt;&lt;wsp:rsid wsp:val=&quot;2022758D&quot;/&gt;&lt;wsp:rsid wsp:val=&quot;20234AC9&quot;/&gt;&lt;wsp:rsid wsp:val=&quot;2024673D&quot;/&gt;&lt;wsp:rsid wsp:val=&quot;20256A93&quot;/&gt;&lt;wsp:rsid wsp:val=&quot;20270A5D&quot;/&gt;&lt;wsp:rsid wsp:val=&quot;20286583&quot;/&gt;&lt;wsp:rsid wsp:val=&quot;20291B63&quot;/&gt;&lt;wsp:rsid wsp:val=&quot;202B5CA9&quot;/&gt;&lt;wsp:rsid wsp:val=&quot;202C7E22&quot;/&gt;&lt;wsp:rsid wsp:val=&quot;202E07CC&quot;/&gt;&lt;wsp:rsid wsp:val=&quot;202F09E9&quot;/&gt;&lt;wsp:rsid wsp:val=&quot;202F16C0&quot;/&gt;&lt;wsp:rsid wsp:val=&quot;202F346E&quot;/&gt;&lt;wsp:rsid wsp:val=&quot;203171E6&quot;/&gt;&lt;wsp:rsid wsp:val=&quot;20344F28&quot;/&gt;&lt;wsp:rsid wsp:val=&quot;203458FD&quot;/&gt;&lt;wsp:rsid wsp:val=&quot;20356FAB&quot;/&gt;&lt;wsp:rsid wsp:val=&quot;20362A4E&quot;/&gt;&lt;wsp:rsid wsp:val=&quot;20363689&quot;/&gt;&lt;wsp:rsid wsp:val=&quot;203768AC&quot;/&gt;&lt;wsp:rsid wsp:val=&quot;2038066E&quot;/&gt;&lt;wsp:rsid wsp:val=&quot;20384A18&quot;/&gt;&lt;wsp:rsid wsp:val=&quot;203A2555&quot;/&gt;&lt;wsp:rsid wsp:val=&quot;203B0065&quot;/&gt;&lt;wsp:rsid wsp:val=&quot;203C3DDD&quot;/&gt;&lt;wsp:rsid wsp:val=&quot;203C5B8B&quot;/&gt;&lt;wsp:rsid wsp:val=&quot;203C5DBA&quot;/&gt;&lt;wsp:rsid wsp:val=&quot;203F473B&quot;/&gt;&lt;wsp:rsid wsp:val=&quot;203F550C&quot;/&gt;&lt;wsp:rsid wsp:val=&quot;204038CD&quot;/&gt;&lt;wsp:rsid wsp:val=&quot;204131A1&quot;/&gt;&lt;wsp:rsid wsp:val=&quot;20474C5B&quot;/&gt;&lt;wsp:rsid wsp:val=&quot;204A2F8F&quot;/&gt;&lt;wsp:rsid wsp:val=&quot;204C04C4&quot;/&gt;&lt;wsp:rsid wsp:val=&quot;20511636&quot;/&gt;&lt;wsp:rsid wsp:val=&quot;20517888&quot;/&gt;&lt;wsp:rsid wsp:val=&quot;20524514&quot;/&gt;&lt;wsp:rsid wsp:val=&quot;20531852&quot;/&gt;&lt;wsp:rsid wsp:val=&quot;20532B88&quot;/&gt;&lt;wsp:rsid wsp:val=&quot;20536A69&quot;/&gt;&lt;wsp:rsid wsp:val=&quot;205454D1&quot;/&gt;&lt;wsp:rsid wsp:val=&quot;20564103&quot;/&gt;&lt;wsp:rsid wsp:val=&quot;205729C5&quot;/&gt;&lt;wsp:rsid wsp:val=&quot;205904EB&quot;/&gt;&lt;wsp:rsid wsp:val=&quot;205B0707&quot;/&gt;&lt;wsp:rsid wsp:val=&quot;205B24B5&quot;/&gt;&lt;wsp:rsid wsp:val=&quot;205B3F14&quot;/&gt;&lt;wsp:rsid wsp:val=&quot;205D447F&quot;/&gt;&lt;wsp:rsid wsp:val=&quot;205F0ADF&quot;/&gt;&lt;wsp:rsid wsp:val=&quot;20605E29&quot;/&gt;&lt;wsp:rsid wsp:val=&quot;20614072&quot;/&gt;&lt;wsp:rsid wsp:val=&quot;20621A95&quot;/&gt;&lt;wsp:rsid wsp:val=&quot;20623843&quot;/&gt;&lt;wsp:rsid wsp:val=&quot;206334A0&quot;/&gt;&lt;wsp:rsid wsp:val=&quot;2063580D&quot;/&gt;&lt;wsp:rsid wsp:val=&quot;20650234&quot;/&gt;&lt;wsp:rsid wsp:val=&quot;20670E5A&quot;/&gt;&lt;wsp:rsid wsp:val=&quot;20671BE0&quot;/&gt;&lt;wsp:rsid wsp:val=&quot;20686458&quot;/&gt;&lt;wsp:rsid wsp:val=&quot;20686980&quot;/&gt;&lt;wsp:rsid wsp:val=&quot;20692E24&quot;/&gt;&lt;wsp:rsid wsp:val=&quot;206B1AB6&quot;/&gt;&lt;wsp:rsid wsp:val=&quot;206B2BEF&quot;/&gt;&lt;wsp:rsid wsp:val=&quot;206C021E&quot;/&gt;&lt;wsp:rsid wsp:val=&quot;206C2914&quot;/&gt;&lt;wsp:rsid wsp:val=&quot;206C3758&quot;/&gt;&lt;wsp:rsid wsp:val=&quot;206D21E8&quot;/&gt;&lt;wsp:rsid wsp:val=&quot;206D3F96&quot;/&gt;&lt;wsp:rsid wsp:val=&quot;206F381A&quot;/&gt;&lt;wsp:rsid wsp:val=&quot;206F41B2&quot;/&gt;&lt;wsp:rsid wsp:val=&quot;206F5F60&quot;/&gt;&lt;wsp:rsid wsp:val=&quot;2072219B&quot;/&gt;&lt;wsp:rsid wsp:val=&quot;207277FE&quot;/&gt;&lt;wsp:rsid wsp:val=&quot;20743577&quot;/&gt;&lt;wsp:rsid wsp:val=&quot;20745325&quot;/&gt;&lt;wsp:rsid wsp:val=&quot;20752354&quot;/&gt;&lt;wsp:rsid wsp:val=&quot;207672EF&quot;/&gt;&lt;wsp:rsid wsp:val=&quot;2077343C&quot;/&gt;&lt;wsp:rsid wsp:val=&quot;20790B8D&quot;/&gt;&lt;wsp:rsid wsp:val=&quot;20796DDF&quot;/&gt;&lt;wsp:rsid wsp:val=&quot;207B1DBD&quot;/&gt;&lt;wsp:rsid wsp:val=&quot;207C324D&quot;/&gt;&lt;wsp:rsid wsp:val=&quot;207E61A3&quot;/&gt;&lt;wsp:rsid wsp:val=&quot;208337BA&quot;/&gt;&lt;wsp:rsid wsp:val=&quot;208539D6&quot;/&gt;&lt;wsp:rsid wsp:val=&quot;20854C75&quot;/&gt;&lt;wsp:rsid wsp:val=&quot;20857532&quot;/&gt;&lt;wsp:rsid wsp:val=&quot;208741C9&quot;/&gt;&lt;wsp:rsid wsp:val=&quot;20875058&quot;/&gt;&lt;wsp:rsid wsp:val=&quot;208D63E6&quot;/&gt;&lt;wsp:rsid wsp:val=&quot;208F215E&quot;/&gt;&lt;wsp:rsid wsp:val=&quot;208F6602&quot;/&gt;&lt;wsp:rsid wsp:val=&quot;209115D5&quot;/&gt;&lt;wsp:rsid wsp:val=&quot;209314D4&quot;/&gt;&lt;wsp:rsid wsp:val=&quot;20931C4F&quot;/&gt;&lt;wsp:rsid wsp:val=&quot;20942964&quot;/&gt;&lt;wsp:rsid wsp:val=&quot;20943C19&quot;/&gt;&lt;wsp:rsid wsp:val=&quot;20961DB0&quot;/&gt;&lt;wsp:rsid wsp:val=&quot;209634ED&quot;/&gt;&lt;wsp:rsid wsp:val=&quot;20963CB8&quot;/&gt;&lt;wsp:rsid wsp:val=&quot;20971013&quot;/&gt;&lt;wsp:rsid wsp:val=&quot;20977E55&quot;/&gt;&lt;wsp:rsid wsp:val=&quot;2099776D&quot;/&gt;&lt;wsp:rsid wsp:val=&quot;209B6D55&quot;/&gt;&lt;wsp:rsid wsp:val=&quot;209D2ACD&quot;/&gt;&lt;wsp:rsid wsp:val=&quot;209E23A2&quot;/&gt;&lt;wsp:rsid wsp:val=&quot;209E2EE2&quot;/&gt;&lt;wsp:rsid wsp:val=&quot;20A0611A&quot;/&gt;&lt;wsp:rsid wsp:val=&quot;20A42459&quot;/&gt;&lt;wsp:rsid wsp:val=&quot;20A459ED&quot;/&gt;&lt;wsp:rsid wsp:val=&quot;20A52598&quot;/&gt;&lt;wsp:rsid wsp:val=&quot;20A53730&quot;/&gt;&lt;wsp:rsid wsp:val=&quot;20A756FA&quot;/&gt;&lt;wsp:rsid wsp:val=&quot;20A81A1B&quot;/&gt;&lt;wsp:rsid wsp:val=&quot;20A839AB&quot;/&gt;&lt;wsp:rsid wsp:val=&quot;20A976C4&quot;/&gt;&lt;wsp:rsid wsp:val=&quot;20AA343C&quot;/&gt;&lt;wsp:rsid wsp:val=&quot;20AC2D10&quot;/&gt;&lt;wsp:rsid wsp:val=&quot;20AC4ABE&quot;/&gt;&lt;wsp:rsid wsp:val=&quot;20AE6A88&quot;/&gt;&lt;wsp:rsid wsp:val=&quot;20AF1471&quot;/&gt;&lt;wsp:rsid wsp:val=&quot;20B07FB6&quot;/&gt;&lt;wsp:rsid wsp:val=&quot;20B10327&quot;/&gt;&lt;wsp:rsid wsp:val=&quot;20B120D5&quot;/&gt;&lt;wsp:rsid wsp:val=&quot;20B147CB&quot;/&gt;&lt;wsp:rsid wsp:val=&quot;20B16579&quot;/&gt;&lt;wsp:rsid wsp:val=&quot;20B179F6&quot;/&gt;&lt;wsp:rsid wsp:val=&quot;20B3409F&quot;/&gt;&lt;wsp:rsid wsp:val=&quot;20B35E4D&quot;/&gt;&lt;wsp:rsid wsp:val=&quot;20B646FB&quot;/&gt;&lt;wsp:rsid wsp:val=&quot;20B6593D&quot;/&gt;&lt;wsp:rsid wsp:val=&quot;20B816B5&quot;/&gt;&lt;wsp:rsid wsp:val=&quot;20B83463&quot;/&gt;&lt;wsp:rsid wsp:val=&quot;20BB1758&quot;/&gt;&lt;wsp:rsid wsp:val=&quot;20BC06E0&quot;/&gt;&lt;wsp:rsid wsp:val=&quot;20BC72BC&quot;/&gt;&lt;wsp:rsid wsp:val=&quot;20BD316F&quot;/&gt;&lt;wsp:rsid wsp:val=&quot;20BE2A44&quot;/&gt;&lt;wsp:rsid wsp:val=&quot;20C0056A&quot;/&gt;&lt;wsp:rsid wsp:val=&quot;20C130C2&quot;/&gt;&lt;wsp:rsid wsp:val=&quot;20C27BBB&quot;/&gt;&lt;wsp:rsid wsp:val=&quot;20C55B80&quot;/&gt;&lt;wsp:rsid wsp:val=&quot;20C718F8&quot;/&gt;&lt;wsp:rsid wsp:val=&quot;20C77B4A&quot;/&gt;&lt;wsp:rsid wsp:val=&quot;20C80E1E&quot;/&gt;&lt;wsp:rsid wsp:val=&quot;20C91B14&quot;/&gt;&lt;wsp:rsid wsp:val=&quot;20C95670&quot;/&gt;&lt;wsp:rsid wsp:val=&quot;20CA7BDE&quot;/&gt;&lt;wsp:rsid wsp:val=&quot;20CC33B3&quot;/&gt;&lt;wsp:rsid wsp:val=&quot;20CC6F0F&quot;/&gt;&lt;wsp:rsid wsp:val=&quot;20CD5881&quot;/&gt;&lt;wsp:rsid wsp:val=&quot;20CE0ED9&quot;/&gt;&lt;wsp:rsid wsp:val=&quot;20D02EA3&quot;/&gt;&lt;wsp:rsid wsp:val=&quot;20D063EC&quot;/&gt;&lt;wsp:rsid wsp:val=&quot;20D12BB7&quot;/&gt;&lt;wsp:rsid wsp:val=&quot;20D2063F&quot;/&gt;&lt;wsp:rsid wsp:val=&quot;20D22906&quot;/&gt;&lt;wsp:rsid wsp:val=&quot;20D34741&quot;/&gt;&lt;wsp:rsid wsp:val=&quot;20D52267&quot;/&gt;&lt;wsp:rsid wsp:val=&quot;20D65FDF&quot;/&gt;&lt;wsp:rsid wsp:val=&quot;20D67D8D&quot;/&gt;&lt;wsp:rsid wsp:val=&quot;20D83B05&quot;/&gt;&lt;wsp:rsid wsp:val=&quot;20D860E5&quot;/&gt;&lt;wsp:rsid wsp:val=&quot;20D9162C&quot;/&gt;&lt;wsp:rsid wsp:val=&quot;20DB35F6&quot;/&gt;&lt;wsp:rsid wsp:val=&quot;20DD2C3A&quot;/&gt;&lt;wsp:rsid wsp:val=&quot;20DE6AF4&quot;/&gt;&lt;wsp:rsid wsp:val=&quot;20DE6C42&quot;/&gt;&lt;wsp:rsid wsp:val=&quot;20DE7A50&quot;/&gt;&lt;wsp:rsid wsp:val=&quot;20DF30E6&quot;/&gt;&lt;wsp:rsid wsp:val=&quot;20E029BA&quot;/&gt;&lt;wsp:rsid wsp:val=&quot;20E24FCC&quot;/&gt;&lt;wsp:rsid wsp:val=&quot;20E406FC&quot;/&gt;&lt;wsp:rsid wsp:val=&quot;20E409E8&quot;/&gt;&lt;wsp:rsid wsp:val=&quot;20E57FD0&quot;/&gt;&lt;wsp:rsid wsp:val=&quot;20E701EC&quot;/&gt;&lt;wsp:rsid wsp:val=&quot;20E922CE&quot;/&gt;&lt;wsp:rsid wsp:val=&quot;20E92DBD&quot;/&gt;&lt;wsp:rsid wsp:val=&quot;20E96173&quot;/&gt;&lt;wsp:rsid wsp:val=&quot;20EA0BE3&quot;/&gt;&lt;wsp:rsid wsp:val=&quot;20EA55E7&quot;/&gt;&lt;wsp:rsid wsp:val=&quot;20EC0C4F&quot;/&gt;&lt;wsp:rsid wsp:val=&quot;20ED7D96&quot;/&gt;&lt;wsp:rsid wsp:val=&quot;20EE3E02&quot;/&gt;&lt;wsp:rsid wsp:val=&quot;20EF2BFD&quot;/&gt;&lt;wsp:rsid wsp:val=&quot;20F052F3&quot;/&gt;&lt;wsp:rsid wsp:val=&quot;20F16975&quot;/&gt;&lt;wsp:rsid wsp:val=&quot;20F3093F&quot;/&gt;&lt;wsp:rsid wsp:val=&quot;20F44810&quot;/&gt;&lt;wsp:rsid wsp:val=&quot;20F50871&quot;/&gt;&lt;wsp:rsid wsp:val=&quot;20F52909&quot;/&gt;&lt;wsp:rsid wsp:val=&quot;20F546B7&quot;/&gt;&lt;wsp:rsid wsp:val=&quot;20F87D04&quot;/&gt;&lt;wsp:rsid wsp:val=&quot;20FA0E09&quot;/&gt;&lt;wsp:rsid wsp:val=&quot;20FA3A7C&quot;/&gt;&lt;wsp:rsid wsp:val=&quot;20FD1BD4&quot;/&gt;&lt;wsp:rsid wsp:val=&quot;20FD531A&quot;/&gt;&lt;wsp:rsid wsp:val=&quot;20FF5536&quot;/&gt;&lt;wsp:rsid wsp:val=&quot;21004E0A&quot;/&gt;&lt;wsp:rsid wsp:val=&quot;210112AE&quot;/&gt;&lt;wsp:rsid wsp:val=&quot;210251C1&quot;/&gt;&lt;wsp:rsid wsp:val=&quot;21025544&quot;/&gt;&lt;wsp:rsid wsp:val=&quot;21042B4C&quot;/&gt;&lt;wsp:rsid wsp:val=&quot;210A7A37&quot;/&gt;&lt;wsp:rsid wsp:val=&quot;210C1A01&quot;/&gt;&lt;wsp:rsid wsp:val=&quot;210C37AF&quot;/&gt;&lt;wsp:rsid wsp:val=&quot;210C7C53&quot;/&gt;&lt;wsp:rsid wsp:val=&quot;210E39CB&quot;/&gt;&lt;wsp:rsid wsp:val=&quot;210E7527&quot;/&gt;&lt;wsp:rsid wsp:val=&quot;210F504D&quot;/&gt;&lt;wsp:rsid wsp:val=&quot;21111EDC&quot;/&gt;&lt;wsp:rsid wsp:val=&quot;21115269&quot;/&gt;&lt;wsp:rsid wsp:val=&quot;21117017&quot;/&gt;&lt;wsp:rsid wsp:val=&quot;21156E19&quot;/&gt;&lt;wsp:rsid wsp:val=&quot;2116462E&quot;/&gt;&lt;wsp:rsid wsp:val=&quot;21166F0F&quot;/&gt;&lt;wsp:rsid wsp:val=&quot;2117610B&quot;/&gt;&lt;wsp:rsid wsp:val=&quot;211865F8&quot;/&gt;&lt;wsp:rsid wsp:val=&quot;211A2370&quot;/&gt;&lt;wsp:rsid wsp:val=&quot;211A411E&quot;/&gt;&lt;wsp:rsid wsp:val=&quot;211B1C44&quot;/&gt;&lt;wsp:rsid wsp:val=&quot;211D59BC&quot;/&gt;&lt;wsp:rsid wsp:val=&quot;211E3538&quot;/&gt;&lt;wsp:rsid wsp:val=&quot;211F09E2&quot;/&gt;&lt;wsp:rsid wsp:val=&quot;211F1734&quot;/&gt;&lt;wsp:rsid wsp:val=&quot;21201F53&quot;/&gt;&lt;wsp:rsid wsp:val=&quot;212154AC&quot;/&gt;&lt;wsp:rsid wsp:val=&quot;2122245F&quot;/&gt;&lt;wsp:rsid wsp:val=&quot;21246D4B&quot;/&gt;&lt;wsp:rsid wsp:val=&quot;2127304A&quot;/&gt;&lt;wsp:rsid wsp:val=&quot;2127683B&quot;/&gt;&lt;wsp:rsid wsp:val=&quot;2129610F&quot;/&gt;&lt;wsp:rsid wsp:val=&quot;212B632B&quot;/&gt;&lt;wsp:rsid wsp:val=&quot;212D20A3&quot;/&gt;&lt;wsp:rsid wsp:val=&quot;212D2986&quot;/&gt;&lt;wsp:rsid wsp:val=&quot;212D49A1&quot;/&gt;&lt;wsp:rsid wsp:val=&quot;21332FC8&quot;/&gt;&lt;wsp:rsid wsp:val=&quot;213333E4&quot;/&gt;&lt;wsp:rsid wsp:val=&quot;21333432&quot;/&gt;&lt;wsp:rsid wsp:val=&quot;21345B69&quot;/&gt;&lt;wsp:rsid wsp:val=&quot;213571AA&quot;/&gt;&lt;wsp:rsid wsp:val=&quot;21374CD0&quot;/&gt;&lt;wsp:rsid wsp:val=&quot;213827F6&quot;/&gt;&lt;wsp:rsid wsp:val=&quot;21395B15&quot;/&gt;&lt;wsp:rsid wsp:val=&quot;213A06E6&quot;/&gt;&lt;wsp:rsid wsp:val=&quot;213A3073&quot;/&gt;&lt;wsp:rsid wsp:val=&quot;213B74B1&quot;/&gt;&lt;wsp:rsid wsp:val=&quot;213D4AD5&quot;/&gt;&lt;wsp:rsid wsp:val=&quot;213D64F3&quot;/&gt;&lt;wsp:rsid wsp:val=&quot;213D7067&quot;/&gt;&lt;wsp:rsid wsp:val=&quot;213D7E0C&quot;/&gt;&lt;wsp:rsid wsp:val=&quot;21420783&quot;/&gt;&lt;wsp:rsid wsp:val=&quot;21423675&quot;/&gt;&lt;wsp:rsid wsp:val=&quot;21442F49&quot;/&gt;&lt;wsp:rsid wsp:val=&quot;21444369&quot;/&gt;&lt;wsp:rsid wsp:val=&quot;21453DE1&quot;/&gt;&lt;wsp:rsid wsp:val=&quot;214557F9&quot;/&gt;&lt;wsp:rsid wsp:val=&quot;21455F28&quot;/&gt;&lt;wsp:rsid wsp:val=&quot;21455FC2&quot;/&gt;&lt;wsp:rsid wsp:val=&quot;21470C8B&quot;/&gt;&lt;wsp:rsid wsp:val=&quot;21486EDD&quot;/&gt;&lt;wsp:rsid wsp:val=&quot;214923C2&quot;/&gt;&lt;wsp:rsid wsp:val=&quot;21494A03&quot;/&gt;&lt;wsp:rsid wsp:val=&quot;214B09CE&quot;/&gt;&lt;wsp:rsid wsp:val=&quot;214B2529&quot;/&gt;&lt;wsp:rsid wsp:val=&quot;214B42D7&quot;/&gt;&lt;wsp:rsid wsp:val=&quot;214D4BFC&quot;/&gt;&lt;wsp:rsid wsp:val=&quot;214E201A&quot;/&gt;&lt;wsp:rsid wsp:val=&quot;214E3DC8&quot;/&gt;&lt;wsp:rsid wsp:val=&quot;214E5B76&quot;/&gt;&lt;wsp:rsid wsp:val=&quot;214F1F02&quot;/&gt;&lt;wsp:rsid wsp:val=&quot;215313DE&quot;/&gt;&lt;wsp:rsid wsp:val=&quot;21535882&quot;/&gt;&lt;wsp:rsid wsp:val=&quot;21570ECE&quot;/&gt;&lt;wsp:rsid wsp:val=&quot;215727DE&quot;/&gt;&lt;wsp:rsid wsp:val=&quot;215804A8&quot;/&gt;&lt;wsp:rsid wsp:val=&quot;21596DDD&quot;/&gt;&lt;wsp:rsid wsp:val=&quot;215A2310&quot;/&gt;&lt;wsp:rsid wsp:val=&quot;215A451A&quot;/&gt;&lt;wsp:rsid wsp:val=&quot;215C64E4&quot;/&gt;&lt;wsp:rsid wsp:val=&quot;215D04AF&quot;/&gt;&lt;wsp:rsid wsp:val=&quot;215F7D83&quot;/&gt;&lt;wsp:rsid wsp:val=&quot;21611D4D&quot;/&gt;&lt;wsp:rsid wsp:val=&quot;21616461&quot;/&gt;&lt;wsp:rsid wsp:val=&quot;21627873&quot;/&gt;&lt;wsp:rsid wsp:val=&quot;216361B0&quot;/&gt;&lt;wsp:rsid wsp:val=&quot;2164183D&quot;/&gt;&lt;wsp:rsid wsp:val=&quot;21661111&quot;/&gt;&lt;wsp:rsid wsp:val=&quot;216830DB&quot;/&gt;&lt;wsp:rsid wsp:val=&quot;21690C01&quot;/&gt;&lt;wsp:rsid wsp:val=&quot;21692022&quot;/&gt;&lt;wsp:rsid wsp:val=&quot;21693A14&quot;/&gt;&lt;wsp:rsid wsp:val=&quot;216A5E6B&quot;/&gt;&lt;wsp:rsid wsp:val=&quot;216B7513&quot;/&gt;&lt;wsp:rsid wsp:val=&quot;216C24A0&quot;/&gt;&lt;wsp:rsid wsp:val=&quot;216D06F2&quot;/&gt;&lt;wsp:rsid wsp:val=&quot;216E32C3&quot;/&gt;&lt;wsp:rsid wsp:val=&quot;216E7FC6&quot;/&gt;&lt;wsp:rsid wsp:val=&quot;21701F90&quot;/&gt;&lt;wsp:rsid wsp:val=&quot;21717AB6&quot;/&gt;&lt;wsp:rsid wsp:val=&quot;21724024&quot;/&gt;&lt;wsp:rsid wsp:val=&quot;217355DC&quot;/&gt;&lt;wsp:rsid wsp:val=&quot;21751354&quot;/&gt;&lt;wsp:rsid wsp:val=&quot;21753196&quot;/&gt;&lt;wsp:rsid wsp:val=&quot;217575A6&quot;/&gt;&lt;wsp:rsid wsp:val=&quot;21763195&quot;/&gt;&lt;wsp:rsid wsp:val=&quot;21771570&quot;/&gt;&lt;wsp:rsid wsp:val=&quot;2177331E&quot;/&gt;&lt;wsp:rsid wsp:val=&quot;217750CC&quot;/&gt;&lt;wsp:rsid wsp:val=&quot;21787C6A&quot;/&gt;&lt;wsp:rsid wsp:val=&quot;217A696B&quot;/&gt;&lt;wsp:rsid wsp:val=&quot;217D46AD&quot;/&gt;&lt;wsp:rsid wsp:val=&quot;21817CF9&quot;/&gt;&lt;wsp:rsid wsp:val=&quot;21821CC3&quot;/&gt;&lt;wsp:rsid wsp:val=&quot;21845A3B&quot;/&gt;&lt;wsp:rsid wsp:val=&quot;21857B95&quot;/&gt;&lt;wsp:rsid wsp:val=&quot;218617B3&quot;/&gt;&lt;wsp:rsid wsp:val=&quot;21863561&quot;/&gt;&lt;wsp:rsid wsp:val=&quot;2186530F&quot;/&gt;&lt;wsp:rsid wsp:val=&quot;218872DA&quot;/&gt;&lt;wsp:rsid wsp:val=&quot;21894E00&quot;/&gt;&lt;wsp:rsid wsp:val=&quot;218A3F2C&quot;/&gt;&lt;wsp:rsid wsp:val=&quot;218B6AFD&quot;/&gt;&lt;wsp:rsid wsp:val=&quot;218D48F0&quot;/&gt;&lt;wsp:rsid wsp:val=&quot;219043E0&quot;/&gt;&lt;wsp:rsid wsp:val=&quot;21921F06&quot;/&gt;&lt;wsp:rsid wsp:val=&quot;219263AA&quot;/&gt;&lt;wsp:rsid wsp:val=&quot;21935491&quot;/&gt;&lt;wsp:rsid wsp:val=&quot;21935C7E&quot;/&gt;&lt;wsp:rsid wsp:val=&quot;219537A4&quot;/&gt;&lt;wsp:rsid wsp:val=&quot;21983295&quot;/&gt;&lt;wsp:rsid wsp:val=&quot;219915B7&quot;/&gt;&lt;wsp:rsid wsp:val=&quot;219A3017&quot;/&gt;&lt;wsp:rsid wsp:val=&quot;219D4A4B&quot;/&gt;&lt;wsp:rsid wsp:val=&quot;219E4D4F&quot;/&gt;&lt;wsp:rsid wsp:val=&quot;219F4623&quot;/&gt;&lt;wsp:rsid wsp:val=&quot;219F4CC2&quot;/&gt;&lt;wsp:rsid wsp:val=&quot;21A10D23&quot;/&gt;&lt;wsp:rsid wsp:val=&quot;21A34A70&quot;/&gt;&lt;wsp:rsid wsp:val=&quot;21A460DD&quot;/&gt;&lt;wsp:rsid wsp:val=&quot;21A711FA&quot;/&gt;&lt;wsp:rsid wsp:val=&quot;21A841CC&quot;/&gt;&lt;wsp:rsid wsp:val=&quot;21A8797C&quot;/&gt;&lt;wsp:rsid wsp:val=&quot;21A97250&quot;/&gt;&lt;wsp:rsid wsp:val=&quot;21AA3516&quot;/&gt;&lt;wsp:rsid wsp:val=&quot;21AB2FC8&quot;/&gt;&lt;wsp:rsid wsp:val=&quot;21AC1A98&quot;/&gt;&lt;wsp:rsid wsp:val=&quot;21AD4F92&quot;/&gt;&lt;wsp:rsid wsp:val=&quot;21AE4866&quot;/&gt;&lt;wsp:rsid wsp:val=&quot;21B24356&quot;/&gt;&lt;wsp:rsid wsp:val=&quot;21B46321&quot;/&gt;&lt;wsp:rsid wsp:val=&quot;21B52099&quot;/&gt;&lt;wsp:rsid wsp:val=&quot;21B7196D&quot;/&gt;&lt;wsp:rsid wsp:val=&quot;21B87493&quot;/&gt;&lt;wsp:rsid wsp:val=&quot;21B96280&quot;/&gt;&lt;wsp:rsid wsp:val=&quot;21BA145D&quot;/&gt;&lt;wsp:rsid wsp:val=&quot;21BA320B&quot;/&gt;&lt;wsp:rsid wsp:val=&quot;21BE0F4D&quot;/&gt;&lt;wsp:rsid wsp:val=&quot;21BE2CFB&quot;/&gt;&lt;wsp:rsid wsp:val=&quot;21BF6A73&quot;/&gt;&lt;wsp:rsid wsp:val=&quot;21C422DC&quot;/&gt;&lt;wsp:rsid wsp:val=&quot;21C4408A&quot;/&gt;&lt;wsp:rsid wsp:val=&quot;21C81DCC&quot;/&gt;&lt;wsp:rsid wsp:val=&quot;21C83ECE&quot;/&gt;&lt;wsp:rsid wsp:val=&quot;21C916A0&quot;/&gt;&lt;wsp:rsid wsp:val=&quot;21CA5B44&quot;/&gt;&lt;wsp:rsid wsp:val=&quot;21CB71C6&quot;/&gt;&lt;wsp:rsid wsp:val=&quot;21CC24F4&quot;/&gt;&lt;wsp:rsid wsp:val=&quot;21CE7D40&quot;/&gt;&lt;wsp:rsid wsp:val=&quot;21CF4F08&quot;/&gt;&lt;wsp:rsid wsp:val=&quot;21D4251F&quot;/&gt;&lt;wsp:rsid wsp:val=&quot;21D56297&quot;/&gt;&lt;wsp:rsid wsp:val=&quot;21D70261&quot;/&gt;&lt;wsp:rsid wsp:val=&quot;21D839C3&quot;/&gt;&lt;wsp:rsid wsp:val=&quot;21D86395&quot;/&gt;&lt;wsp:rsid wsp:val=&quot;21D86594&quot;/&gt;&lt;wsp:rsid wsp:val=&quot;21D92534&quot;/&gt;&lt;wsp:rsid wsp:val=&quot;21DA565B&quot;/&gt;&lt;wsp:rsid wsp:val=&quot;21DC13D3&quot;/&gt;&lt;wsp:rsid wsp:val=&quot;21DC1B04&quot;/&gt;&lt;wsp:rsid wsp:val=&quot;21DE318A&quot;/&gt;&lt;wsp:rsid wsp:val=&quot;21DF0EC4&quot;/&gt;&lt;wsp:rsid wsp:val=&quot;21DF2C72&quot;/&gt;&lt;wsp:rsid wsp:val=&quot;21E07116&quot;/&gt;&lt;wsp:rsid wsp:val=&quot;21E14C3C&quot;/&gt;&lt;wsp:rsid wsp:val=&quot;21E169EA&quot;/&gt;&lt;wsp:rsid wsp:val=&quot;21E26FB5&quot;/&gt;&lt;wsp:rsid wsp:val=&quot;21E32762&quot;/&gt;&lt;wsp:rsid wsp:val=&quot;21E909DA&quot;/&gt;&lt;wsp:rsid wsp:val=&quot;21EB5ABA&quot;/&gt;&lt;wsp:rsid wsp:val=&quot;21EB7868&quot;/&gt;&lt;wsp:rsid wsp:val=&quot;21EF55AB&quot;/&gt;&lt;wsp:rsid wsp:val=&quot;21EF5B80&quot;/&gt;&lt;wsp:rsid wsp:val=&quot;21F259FA&quot;/&gt;&lt;wsp:rsid wsp:val=&quot;21F4496F&quot;/&gt;&lt;wsp:rsid wsp:val=&quot;21F66939&quot;/&gt;&lt;wsp:rsid wsp:val=&quot;21F726B1&quot;/&gt;&lt;wsp:rsid wsp:val=&quot;21F7445F&quot;/&gt;&lt;wsp:rsid wsp:val=&quot;21F7620D&quot;/&gt;&lt;wsp:rsid wsp:val=&quot;21F93D33&quot;/&gt;&lt;wsp:rsid wsp:val=&quot;21FA7AAB&quot;/&gt;&lt;wsp:rsid wsp:val=&quot;21FE134A&quot;/&gt;&lt;wsp:rsid wsp:val=&quot;21FE1DF5&quot;/&gt;&lt;wsp:rsid wsp:val=&quot;21FE56DE&quot;/&gt;&lt;wsp:rsid wsp:val=&quot;21FE759C&quot;/&gt;&lt;wsp:rsid wsp:val=&quot;21FF6B6E&quot;/&gt;&lt;wsp:rsid wsp:val=&quot;22002BCF&quot;/&gt;&lt;wsp:rsid wsp:val=&quot;220152DE&quot;/&gt;&lt;wsp:rsid wsp:val=&quot;220426D8&quot;/&gt;&lt;wsp:rsid wsp:val=&quot;22056B7C&quot;/&gt;&lt;wsp:rsid wsp:val=&quot;220628F4&quot;/&gt;&lt;wsp:rsid wsp:val=&quot;220646A2&quot;/&gt;&lt;wsp:rsid wsp:val=&quot;22066450&quot;/&gt;&lt;wsp:rsid wsp:val=&quot;22097CEF&quot;/&gt;&lt;wsp:rsid wsp:val=&quot;220A4192&quot;/&gt;&lt;wsp:rsid wsp:val=&quot;220A731F&quot;/&gt;&lt;wsp:rsid wsp:val=&quot;220D5A31&quot;/&gt;&lt;wsp:rsid wsp:val=&quot;220D77DF&quot;/&gt;&lt;wsp:rsid wsp:val=&quot;220F17A9&quot;/&gt;&lt;wsp:rsid wsp:val=&quot;2210107D&quot;/&gt;&lt;wsp:rsid wsp:val=&quot;22123047&quot;/&gt;&lt;wsp:rsid wsp:val=&quot;22124DF5&quot;/&gt;&lt;wsp:rsid wsp:val=&quot;22153965&quot;/&gt;&lt;wsp:rsid wsp:val=&quot;221548E5&quot;/&gt;&lt;wsp:rsid wsp:val=&quot;22160D89&quot;/&gt;&lt;wsp:rsid wsp:val=&quot;2217065D&quot;/&gt;&lt;wsp:rsid wsp:val=&quot;2217240B&quot;/&gt;&lt;wsp:rsid wsp:val=&quot;221943D6&quot;/&gt;&lt;wsp:rsid wsp:val=&quot;22196AD9&quot;/&gt;&lt;wsp:rsid wsp:val=&quot;221A18C9&quot;/&gt;&lt;wsp:rsid wsp:val=&quot;221A365E&quot;/&gt;&lt;wsp:rsid wsp:val=&quot;221A55CD&quot;/&gt;&lt;wsp:rsid wsp:val=&quot;2221328A&quot;/&gt;&lt;wsp:rsid wsp:val=&quot;22214839&quot;/&gt;&lt;wsp:rsid wsp:val=&quot;2221772E&quot;/&gt;&lt;wsp:rsid wsp:val=&quot;22235B21&quot;/&gt;&lt;wsp:rsid wsp:val=&quot;22266AF2&quot;/&gt;&lt;wsp:rsid wsp:val=&quot;22277E86&quot;/&gt;&lt;wsp:rsid wsp:val=&quot;222A0391&quot;/&gt;&lt;wsp:rsid wsp:val=&quot;222A213F&quot;/&gt;&lt;wsp:rsid wsp:val=&quot;222A65E3&quot;/&gt;&lt;wsp:rsid wsp:val=&quot;222B5EB7&quot;/&gt;&lt;wsp:rsid wsp:val=&quot;222D1C2F&quot;/&gt;&lt;wsp:rsid wsp:val=&quot;223034CD&quot;/&gt;&lt;wsp:rsid wsp:val=&quot;223125F1&quot;/&gt;&lt;wsp:rsid wsp:val=&quot;22321C56&quot;/&gt;&lt;wsp:rsid wsp:val=&quot;22322E8D&quot;/&gt;&lt;wsp:rsid wsp:val=&quot;223236E9&quot;/&gt;&lt;wsp:rsid wsp:val=&quot;22340C98&quot;/&gt;&lt;wsp:rsid wsp:val=&quot;22356D36&quot;/&gt;&lt;wsp:rsid wsp:val=&quot;22394A78&quot;/&gt;&lt;wsp:rsid wsp:val=&quot;223A1B0E&quot;/&gt;&lt;wsp:rsid wsp:val=&quot;223B07F0&quot;/&gt;&lt;wsp:rsid wsp:val=&quot;223B259E&quot;/&gt;&lt;wsp:rsid wsp:val=&quot;223B7F62&quot;/&gt;&lt;wsp:rsid wsp:val=&quot;223C00C4&quot;/&gt;&lt;wsp:rsid wsp:val=&quot;223C0251&quot;/&gt;&lt;wsp:rsid wsp:val=&quot;223F181A&quot;/&gt;&lt;wsp:rsid wsp:val=&quot;22405E06&quot;/&gt;&lt;wsp:rsid wsp:val=&quot;2241392C&quot;/&gt;&lt;wsp:rsid wsp:val=&quot;22425184&quot;/&gt;&lt;wsp:rsid wsp:val=&quot;224312FC&quot;/&gt;&lt;wsp:rsid wsp:val=&quot;22431452&quot;/&gt;&lt;wsp:rsid wsp:val=&quot;22442C3C&quot;/&gt;&lt;wsp:rsid wsp:val=&quot;2245341D&quot;/&gt;&lt;wsp:rsid wsp:val=&quot;22460F43&quot;/&gt;&lt;wsp:rsid wsp:val=&quot;22484CBB&quot;/&gt;&lt;wsp:rsid wsp:val=&quot;224C4614&quot;/&gt;&lt;wsp:rsid wsp:val=&quot;224C6559&quot;/&gt;&lt;wsp:rsid wsp:val=&quot;224C7D46&quot;/&gt;&lt;wsp:rsid wsp:val=&quot;224D0523&quot;/&gt;&lt;wsp:rsid wsp:val=&quot;2250591D&quot;/&gt;&lt;wsp:rsid wsp:val=&quot;22525B39&quot;/&gt;&lt;wsp:rsid wsp:val=&quot;22543660&quot;/&gt;&lt;wsp:rsid wsp:val=&quot;22561186&quot;/&gt;&lt;wsp:rsid wsp:val=&quot;225673D8&quot;/&gt;&lt;wsp:rsid wsp:val=&quot;22573150&quot;/&gt;&lt;wsp:rsid wsp:val=&quot;22576990&quot;/&gt;&lt;wsp:rsid wsp:val=&quot;22590C76&quot;/&gt;&lt;wsp:rsid wsp:val=&quot;22596EC8&quot;/&gt;&lt;wsp:rsid wsp:val=&quot;225B49EE&quot;/&gt;&lt;wsp:rsid wsp:val=&quot;225C2514&quot;/&gt;&lt;wsp:rsid wsp:val=&quot;225C3529&quot;/&gt;&lt;wsp:rsid wsp:val=&quot;225D0766&quot;/&gt;&lt;wsp:rsid wsp:val=&quot;225E003A&quot;/&gt;&lt;wsp:rsid wsp:val=&quot;225E628C&quot;/&gt;&lt;wsp:rsid wsp:val=&quot;22607368&quot;/&gt;&lt;wsp:rsid wsp:val=&quot;22623FCE&quot;/&gt;&lt;wsp:rsid wsp:val=&quot;226513C9&quot;/&gt;&lt;wsp:rsid wsp:val=&quot;22665141&quot;/&gt;&lt;wsp:rsid wsp:val=&quot;22665859&quot;/&gt;&lt;wsp:rsid wsp:val=&quot;22680EB9&quot;/&gt;&lt;wsp:rsid wsp:val=&quot;2268710B&quot;/&gt;&lt;wsp:rsid wsp:val=&quot;226B24CD&quot;/&gt;&lt;wsp:rsid wsp:val=&quot;226B2757&quot;/&gt;&lt;wsp:rsid wsp:val=&quot;226B475F&quot;/&gt;&lt;wsp:rsid wsp:val=&quot;226C68FD&quot;/&gt;&lt;wsp:rsid wsp:val=&quot;226D1E92&quot;/&gt;&lt;wsp:rsid wsp:val=&quot;226D4721&quot;/&gt;&lt;wsp:rsid wsp:val=&quot;226E2973&quot;/&gt;&lt;wsp:rsid wsp:val=&quot;226E3EE9&quot;/&gt;&lt;wsp:rsid wsp:val=&quot;226F30E0&quot;/&gt;&lt;wsp:rsid wsp:val=&quot;226F7C8D&quot;/&gt;&lt;wsp:rsid wsp:val=&quot;227105D1&quot;/&gt;&lt;wsp:rsid wsp:val=&quot;22717D6E&quot;/&gt;&lt;wsp:rsid wsp:val=&quot;227317B0&quot;/&gt;&lt;wsp:rsid wsp:val=&quot;22737F8A&quot;/&gt;&lt;wsp:rsid wsp:val=&quot;22794E74&quot;/&gt;&lt;wsp:rsid wsp:val=&quot;227B5090&quot;/&gt;&lt;wsp:rsid wsp:val=&quot;227B7D85&quot;/&gt;&lt;wsp:rsid wsp:val=&quot;227C332F&quot;/&gt;&lt;wsp:rsid wsp:val=&quot;227C4964&quot;/&gt;&lt;wsp:rsid wsp:val=&quot;227E692E&quot;/&gt;&lt;wsp:rsid wsp:val=&quot;22811F32&quot;/&gt;&lt;wsp:rsid wsp:val=&quot;22813D29&quot;/&gt;&lt;wsp:rsid wsp:val=&quot;22827E15&quot;/&gt;&lt;wsp:rsid wsp:val=&quot;22834CFD&quot;/&gt;&lt;wsp:rsid wsp:val=&quot;2285011F&quot;/&gt;&lt;wsp:rsid wsp:val=&quot;228526B8&quot;/&gt;&lt;wsp:rsid wsp:val=&quot;22857CBD&quot;/&gt;&lt;wsp:rsid wsp:val=&quot;22866796&quot;/&gt;&lt;wsp:rsid wsp:val=&quot;22877591&quot;/&gt;&lt;wsp:rsid wsp:val=&quot;228A1178&quot;/&gt;&lt;wsp:rsid wsp:val=&quot;228C104B&quot;/&gt;&lt;wsp:rsid wsp:val=&quot;228E38D5&quot;/&gt;&lt;wsp:rsid wsp:val=&quot;228F28EA&quot;/&gt;&lt;wsp:rsid wsp:val=&quot;22934188&quot;/&gt;&lt;wsp:rsid wsp:val=&quot;22963C78&quot;/&gt;&lt;wsp:rsid wsp:val=&quot;22965A26&quot;/&gt;&lt;wsp:rsid wsp:val=&quot;2296695B&quot;/&gt;&lt;wsp:rsid wsp:val=&quot;22993768&quot;/&gt;&lt;wsp:rsid wsp:val=&quot;22993C71&quot;/&gt;&lt;wsp:rsid wsp:val=&quot;229B128E&quot;/&gt;&lt;wsp:rsid wsp:val=&quot;229D4A1D&quot;/&gt;&lt;wsp:rsid wsp:val=&quot;229E200E&quot;/&gt;&lt;wsp:rsid wsp:val=&quot;229E2B2D&quot;/&gt;&lt;wsp:rsid wsp:val=&quot;229E75D3&quot;/&gt;&lt;wsp:rsid wsp:val=&quot;22A00653&quot;/&gt;&lt;wsp:rsid wsp:val=&quot;22A06A15&quot;/&gt;&lt;wsp:rsid wsp:val=&quot;22A20FA7&quot;/&gt;&lt;wsp:rsid wsp:val=&quot;22AA3280&quot;/&gt;&lt;wsp:rsid wsp:val=&quot;22AA7723&quot;/&gt;&lt;wsp:rsid wsp:val=&quot;22AD2D70&quot;/&gt;&lt;wsp:rsid wsp:val=&quot;22AE59A2&quot;/&gt;&lt;wsp:rsid wsp:val=&quot;22B1460E&quot;/&gt;&lt;wsp:rsid wsp:val=&quot;22B362C9&quot;/&gt;&lt;wsp:rsid wsp:val=&quot;22B660C8&quot;/&gt;&lt;wsp:rsid wsp:val=&quot;22B8599C&quot;/&gt;&lt;wsp:rsid wsp:val=&quot;22B91715&quot;/&gt;&lt;wsp:rsid wsp:val=&quot;22B934C3&quot;/&gt;&lt;wsp:rsid wsp:val=&quot;22BA5BB9&quot;/&gt;&lt;wsp:rsid wsp:val=&quot;22BD1205&quot;/&gt;&lt;wsp:rsid wsp:val=&quot;22BD28C6&quot;/&gt;&lt;wsp:rsid wsp:val=&quot;22BE6D2B&quot;/&gt;&lt;wsp:rsid wsp:val=&quot;22BF02C5&quot;/&gt;&lt;wsp:rsid wsp:val=&quot;22BF52C9&quot;/&gt;&lt;wsp:rsid wsp:val=&quot;22C3455E&quot;/&gt;&lt;wsp:rsid wsp:val=&quot;22C36737&quot;/&gt;&lt;wsp:rsid wsp:val=&quot;22C407E5&quot;/&gt;&lt;wsp:rsid wsp:val=&quot;22C500B9&quot;/&gt;&lt;wsp:rsid wsp:val=&quot;22C52798&quot;/&gt;&lt;wsp:rsid wsp:val=&quot;22C541CF&quot;/&gt;&lt;wsp:rsid wsp:val=&quot;22C5630B&quot;/&gt;&lt;wsp:rsid wsp:val=&quot;22C73E32&quot;/&gt;&lt;wsp:rsid wsp:val=&quot;22C77C89&quot;/&gt;&lt;wsp:rsid wsp:val=&quot;22C81958&quot;/&gt;&lt;wsp:rsid wsp:val=&quot;22CA4D90&quot;/&gt;&lt;wsp:rsid wsp:val=&quot;22CA56D0&quot;/&gt;&lt;wsp:rsid wsp:val=&quot;22CB2372&quot;/&gt;&lt;wsp:rsid wsp:val=&quot;22CE51C0&quot;/&gt;&lt;wsp:rsid wsp:val=&quot;22CF1618&quot;/&gt;&lt;wsp:rsid wsp:val=&quot;22CF718A&quot;/&gt;&lt;wsp:rsid wsp:val=&quot;22D24584&quot;/&gt;&lt;wsp:rsid wsp:val=&quot;22D327D6&quot;/&gt;&lt;wsp:rsid wsp:val=&quot;22D36C7A&quot;/&gt;&lt;wsp:rsid wsp:val=&quot;22D402FC&quot;/&gt;&lt;wsp:rsid wsp:val=&quot;22D801D2&quot;/&gt;&lt;wsp:rsid wsp:val=&quot;22D84291&quot;/&gt;&lt;wsp:rsid wsp:val=&quot;22D8603F&quot;/&gt;&lt;wsp:rsid wsp:val=&quot;22D95913&quot;/&gt;&lt;wsp:rsid wsp:val=&quot;22DB5B2F&quot;/&gt;&lt;wsp:rsid wsp:val=&quot;22DB78DD&quot;/&gt;&lt;wsp:rsid wsp:val=&quot;22DB7A75&quot;/&gt;&lt;wsp:rsid wsp:val=&quot;22DD3655&quot;/&gt;&lt;wsp:rsid wsp:val=&quot;22DD5403&quot;/&gt;&lt;wsp:rsid wsp:val=&quot;22DE07AD&quot;/&gt;&lt;wsp:rsid wsp:val=&quot;22E5075C&quot;/&gt;&lt;wsp:rsid wsp:val=&quot;22E542B8&quot;/&gt;&lt;wsp:rsid wsp:val=&quot;22E7490B&quot;/&gt;&lt;wsp:rsid wsp:val=&quot;22E91B93&quot;/&gt;&lt;wsp:rsid wsp:val=&quot;22E91FFA&quot;/&gt;&lt;wsp:rsid wsp:val=&quot;22E946E5&quot;/&gt;&lt;wsp:rsid wsp:val=&quot;22EB44B3&quot;/&gt;&lt;wsp:rsid wsp:val=&quot;22EC3898&quot;/&gt;&lt;wsp:rsid wsp:val=&quot;22EC5646&quot;/&gt;&lt;wsp:rsid wsp:val=&quot;22ED0263&quot;/&gt;&lt;wsp:rsid wsp:val=&quot;22EE5862&quot;/&gt;&lt;wsp:rsid wsp:val=&quot;22EF08E4&quot;/&gt;&lt;wsp:rsid wsp:val=&quot;22F015DA&quot;/&gt;&lt;wsp:rsid wsp:val=&quot;22F108A9&quot;/&gt;&lt;wsp:rsid wsp:val=&quot;22F10F18&quot;/&gt;&lt;wsp:rsid wsp:val=&quot;22F15352&quot;/&gt;&lt;wsp:rsid wsp:val=&quot;22F16BE4&quot;/&gt;&lt;wsp:rsid wsp:val=&quot;22F4099F&quot;/&gt;&lt;wsp:rsid wsp:val=&quot;22F422C8&quot;/&gt;&lt;wsp:rsid wsp:val=&quot;22F47480&quot;/&gt;&lt;wsp:rsid wsp:val=&quot;22F56BF1&quot;/&gt;&lt;wsp:rsid wsp:val=&quot;22F716CB&quot;/&gt;&lt;wsp:rsid wsp:val=&quot;22F72A56&quot;/&gt;&lt;wsp:rsid wsp:val=&quot;22F83FEB&quot;/&gt;&lt;wsp:rsid wsp:val=&quot;22FA533E&quot;/&gt;&lt;wsp:rsid wsp:val=&quot;22FC1543&quot;/&gt;&lt;wsp:rsid wsp:val=&quot;22FC5438&quot;/&gt;&lt;wsp:rsid wsp:val=&quot;22FF35CB&quot;/&gt;&lt;wsp:rsid wsp:val=&quot;23000B70&quot;/&gt;&lt;wsp:rsid wsp:val=&quot;23024E6A&quot;/&gt;&lt;wsp:rsid wsp:val=&quot;23033BCA&quot;/&gt;&lt;wsp:rsid wsp:val=&quot;23046E34&quot;/&gt;&lt;wsp:rsid wsp:val=&quot;2305495A&quot;/&gt;&lt;wsp:rsid wsp:val=&quot;230564EA&quot;/&gt;&lt;wsp:rsid wsp:val=&quot;23056708&quot;/&gt;&lt;wsp:rsid wsp:val=&quot;2307511C&quot;/&gt;&lt;wsp:rsid wsp:val=&quot;23076924&quot;/&gt;&lt;wsp:rsid wsp:val=&quot;230E1A60&quot;/&gt;&lt;wsp:rsid wsp:val=&quot;230E380E&quot;/&gt;&lt;wsp:rsid wsp:val=&quot;230E3DFE&quot;/&gt;&lt;wsp:rsid wsp:val=&quot;230E7CB2&quot;/&gt;&lt;wsp:rsid wsp:val=&quot;231132FF&quot;/&gt;&lt;wsp:rsid wsp:val=&quot;231150AD&quot;/&gt;&lt;wsp:rsid wsp:val=&quot;231177A3&quot;/&gt;&lt;wsp:rsid wsp:val=&quot;231352C9&quot;/&gt;&lt;wsp:rsid wsp:val=&quot;23144B9D&quot;/&gt;&lt;wsp:rsid wsp:val=&quot;23152DEF&quot;/&gt;&lt;wsp:rsid wsp:val=&quot;231921B3&quot;/&gt;&lt;wsp:rsid wsp:val=&quot;231A0B85&quot;/&gt;&lt;wsp:rsid wsp:val=&quot;231A54B6&quot;/&gt;&lt;wsp:rsid wsp:val=&quot;231B5F2B&quot;/&gt;&lt;wsp:rsid wsp:val=&quot;231D6147&quot;/&gt;&lt;wsp:rsid wsp:val=&quot;231F5A1C&quot;/&gt;&lt;wsp:rsid wsp:val=&quot;231F7E56&quot;/&gt;&lt;wsp:rsid wsp:val=&quot;23201794&quot;/&gt;&lt;wsp:rsid wsp:val=&quot;232118FA&quot;/&gt;&lt;wsp:rsid wsp:val=&quot;23215CC3&quot;/&gt;&lt;wsp:rsid wsp:val=&quot;2322375E&quot;/&gt;&lt;wsp:rsid wsp:val=&quot;23226D27&quot;/&gt;&lt;wsp:rsid wsp:val=&quot;23244DE0&quot;/&gt;&lt;wsp:rsid wsp:val=&quot;23247D44&quot;/&gt;&lt;wsp:rsid wsp:val=&quot;23250B58&quot;/&gt;&lt;wsp:rsid wsp:val=&quot;23251FF0&quot;/&gt;&lt;wsp:rsid wsp:val=&quot;232548A1&quot;/&gt;&lt;wsp:rsid wsp:val=&quot;23255AD4&quot;/&gt;&lt;wsp:rsid wsp:val=&quot;23294AEC&quot;/&gt;&lt;wsp:rsid wsp:val=&quot;232A2389&quot;/&gt;&lt;wsp:rsid wsp:val=&quot;232A43C0&quot;/&gt;&lt;wsp:rsid wsp:val=&quot;232C0139&quot;/&gt;&lt;wsp:rsid wsp:val=&quot;232C1EE7&quot;/&gt;&lt;wsp:rsid wsp:val=&quot;232C638A&quot;/&gt;&lt;wsp:rsid wsp:val=&quot;232E2103&quot;/&gt;&lt;wsp:rsid wsp:val=&quot;2331574F&quot;/&gt;&lt;wsp:rsid wsp:val=&quot;233157B8&quot;/&gt;&lt;wsp:rsid wsp:val=&quot;233314C7&quot;/&gt;&lt;wsp:rsid wsp:val=&quot;23333275&quot;/&gt;&lt;wsp:rsid wsp:val=&quot;23353491&quot;/&gt;&lt;wsp:rsid wsp:val=&quot;2335523F&quot;/&gt;&lt;wsp:rsid wsp:val=&quot;23360FB7&quot;/&gt;&lt;wsp:rsid wsp:val=&quot;23362D65&quot;/&gt;&lt;wsp:rsid wsp:val=&quot;233644C7&quot;/&gt;&lt;wsp:rsid wsp:val=&quot;2338088B&quot;/&gt;&lt;wsp:rsid wsp:val=&quot;233817E5&quot;/&gt;&lt;wsp:rsid wsp:val=&quot;23384D2F&quot;/&gt;&lt;wsp:rsid wsp:val=&quot;23395C89&quot;/&gt;&lt;wsp:rsid wsp:val=&quot;233A0AA7&quot;/&gt;&lt;wsp:rsid wsp:val=&quot;233A2855&quot;/&gt;&lt;wsp:rsid wsp:val=&quot;233B18FF&quot;/&gt;&lt;wsp:rsid wsp:val=&quot;233C28CB&quot;/&gt;&lt;wsp:rsid wsp:val=&quot;233D2346&quot;/&gt;&lt;wsp:rsid wsp:val=&quot;233D40F4&quot;/&gt;&lt;wsp:rsid wsp:val=&quot;233F28CD&quot;/&gt;&lt;wsp:rsid wsp:val=&quot;233F60BE&quot;/&gt;&lt;wsp:rsid wsp:val=&quot;233F7E6C&quot;/&gt;&lt;wsp:rsid wsp:val=&quot;23405992&quot;/&gt;&lt;wsp:rsid wsp:val=&quot;23411E36&quot;/&gt;&lt;wsp:rsid wsp:val=&quot;2342795C&quot;/&gt;&lt;wsp:rsid wsp:val=&quot;23446EF2&quot;/&gt;&lt;wsp:rsid wsp:val=&quot;2346744C&quot;/&gt;&lt;wsp:rsid wsp:val=&quot;23474F72&quot;/&gt;&lt;wsp:rsid wsp:val=&quot;23476D20&quot;/&gt;&lt;wsp:rsid wsp:val=&quot;234839B9&quot;/&gt;&lt;wsp:rsid wsp:val=&quot;23483ACC&quot;/&gt;&lt;wsp:rsid wsp:val=&quot;23490CEA&quot;/&gt;&lt;wsp:rsid wsp:val=&quot;23492A98&quot;/&gt;&lt;wsp:rsid wsp:val=&quot;234A05BF&quot;/&gt;&lt;wsp:rsid wsp:val=&quot;234C3850&quot;/&gt;&lt;wsp:rsid wsp:val=&quot;234C4337&quot;/&gt;&lt;wsp:rsid wsp:val=&quot;234E6301&quot;/&gt;&lt;wsp:rsid wsp:val=&quot;234F4B40&quot;/&gt;&lt;wsp:rsid wsp:val=&quot;235002CB&quot;/&gt;&lt;wsp:rsid wsp:val=&quot;235021D1&quot;/&gt;&lt;wsp:rsid wsp:val=&quot;23513661&quot;/&gt;&lt;wsp:rsid wsp:val=&quot;23521160&quot;/&gt;&lt;wsp:rsid wsp:val=&quot;23525258&quot;/&gt;&lt;wsp:rsid wsp:val=&quot;23531B69&quot;/&gt;&lt;wsp:rsid wsp:val=&quot;235356C5&quot;/&gt;&lt;wsp:rsid wsp:val=&quot;235651B5&quot;/&gt;&lt;wsp:rsid wsp:val=&quot;23566F63&quot;/&gt;&lt;wsp:rsid wsp:val=&quot;23576154&quot;/&gt;&lt;wsp:rsid wsp:val=&quot;23593283&quot;/&gt;&lt;wsp:rsid wsp:val=&quot;235947F0&quot;/&gt;&lt;wsp:rsid wsp:val=&quot;235A2EF8&quot;/&gt;&lt;wsp:rsid wsp:val=&quot;235B248E&quot;/&gt;&lt;wsp:rsid wsp:val=&quot;235B2E51&quot;/&gt;&lt;wsp:rsid wsp:val=&quot;235C0A1E&quot;/&gt;&lt;wsp:rsid wsp:val=&quot;235D02F2&quot;/&gt;&lt;wsp:rsid wsp:val=&quot;235D6544&quot;/&gt;&lt;wsp:rsid wsp:val=&quot;235F050E&quot;/&gt;&lt;wsp:rsid wsp:val=&quot;235F3807&quot;/&gt;&lt;wsp:rsid wsp:val=&quot;235F406A&quot;/&gt;&lt;wsp:rsid wsp:val=&quot;23641680&quot;/&gt;&lt;wsp:rsid wsp:val=&quot;236478D2&quot;/&gt;&lt;wsp:rsid wsp:val=&quot;236553F8&quot;/&gt;&lt;wsp:rsid wsp:val=&quot;236773C3&quot;/&gt;&lt;wsp:rsid wsp:val=&quot;23696C97&quot;/&gt;&lt;wsp:rsid wsp:val=&quot;236B2A0F&quot;/&gt;&lt;wsp:rsid wsp:val=&quot;236C2E3A&quot;/&gt;&lt;wsp:rsid wsp:val=&quot;236E0751&quot;/&gt;&lt;wsp:rsid wsp:val=&quot;237044C9&quot;/&gt;&lt;wsp:rsid wsp:val=&quot;23706277&quot;/&gt;&lt;wsp:rsid wsp:val=&quot;23713D9D&quot;/&gt;&lt;wsp:rsid wsp:val=&quot;23755842&quot;/&gt;&lt;wsp:rsid wsp:val=&quot;23757D31&quot;/&gt;&lt;wsp:rsid wsp:val=&quot;237613B4&quot;/&gt;&lt;wsp:rsid wsp:val=&quot;23766ABD&quot;/&gt;&lt;wsp:rsid wsp:val=&quot;23784951&quot;/&gt;&lt;wsp:rsid wsp:val=&quot;237A0EA4&quot;/&gt;&lt;wsp:rsid wsp:val=&quot;237A70F6&quot;/&gt;&lt;wsp:rsid wsp:val=&quot;237C10C0&quot;/&gt;&lt;wsp:rsid wsp:val=&quot;237C661D&quot;/&gt;&lt;wsp:rsid wsp:val=&quot;237E524F&quot;/&gt;&lt;wsp:rsid wsp:val=&quot;23810FFF&quot;/&gt;&lt;wsp:rsid wsp:val=&quot;238166D6&quot;/&gt;&lt;wsp:rsid wsp:val=&quot;23827D58&quot;/&gt;&lt;wsp:rsid wsp:val=&quot;23841D23&quot;/&gt;&lt;wsp:rsid wsp:val=&quot;23841DA8&quot;/&gt;&lt;wsp:rsid wsp:val=&quot;23843AD1&quot;/&gt;&lt;wsp:rsid wsp:val=&quot;23846E58&quot;/&gt;&lt;wsp:rsid wsp:val=&quot;23847F75&quot;/&gt;&lt;wsp:rsid wsp:val=&quot;238612AD&quot;/&gt;&lt;wsp:rsid wsp:val=&quot;23863CED&quot;/&gt;&lt;wsp:rsid wsp:val=&quot;23865A9B&quot;/&gt;&lt;wsp:rsid wsp:val=&quot;2386783E&quot;/&gt;&lt;wsp:rsid wsp:val=&quot;23887A65&quot;/&gt;&lt;wsp:rsid wsp:val=&quot;23890495&quot;/&gt;&lt;wsp:rsid wsp:val=&quot;23891DF0&quot;/&gt;&lt;wsp:rsid wsp:val=&quot;238B4E5F&quot;/&gt;&lt;wsp:rsid wsp:val=&quot;238C2C77&quot;/&gt;&lt;wsp:rsid wsp:val=&quot;238C6E29&quot;/&gt;&lt;wsp:rsid wsp:val=&quot;238D37BF&quot;/&gt;&lt;wsp:rsid wsp:val=&quot;23910AF4&quot;/&gt;&lt;wsp:rsid wsp:val=&quot;23922691&quot;/&gt;&lt;wsp:rsid wsp:val=&quot;2392443F&quot;/&gt;&lt;wsp:rsid wsp:val=&quot;23952182&quot;/&gt;&lt;wsp:rsid wsp:val=&quot;23953F30&quot;/&gt;&lt;wsp:rsid wsp:val=&quot;23963804&quot;/&gt;&lt;wsp:rsid wsp:val=&quot;23977CA8&quot;/&gt;&lt;wsp:rsid wsp:val=&quot;2398757C&quot;/&gt;&lt;wsp:rsid wsp:val=&quot;239A1546&quot;/&gt;&lt;wsp:rsid wsp:val=&quot;239A32F4&quot;/&gt;&lt;wsp:rsid wsp:val=&quot;239C52BE&quot;/&gt;&lt;wsp:rsid wsp:val=&quot;239D1036&quot;/&gt;&lt;wsp:rsid wsp:val=&quot;239D2DE4&quot;/&gt;&lt;wsp:rsid wsp:val=&quot;239E21FE&quot;/&gt;&lt;wsp:rsid wsp:val=&quot;23A10B26&quot;/&gt;&lt;wsp:rsid wsp:val=&quot;23A3664D&quot;/&gt;&lt;wsp:rsid wsp:val=&quot;23A3680E&quot;/&gt;&lt;wsp:rsid wsp:val=&quot;23A44173&quot;/&gt;&lt;wsp:rsid wsp:val=&quot;23A777BF&quot;/&gt;&lt;wsp:rsid wsp:val=&quot;23A80CA6&quot;/&gt;&lt;wsp:rsid wsp:val=&quot;23A957E6&quot;/&gt;&lt;wsp:rsid wsp:val=&quot;23AA169B&quot;/&gt;&lt;wsp:rsid wsp:val=&quot;23AB72AF&quot;/&gt;&lt;wsp:rsid wsp:val=&quot;23AC0E53&quot;/&gt;&lt;wsp:rsid wsp:val=&quot;23AD74CB&quot;/&gt;&lt;wsp:rsid wsp:val=&quot;23AE6D9F&quot;/&gt;&lt;wsp:rsid wsp:val=&quot;23B02B18&quot;/&gt;&lt;wsp:rsid wsp:val=&quot;23B24AE2&quot;/&gt;&lt;wsp:rsid wsp:val=&quot;23B26890&quot;/&gt;&lt;wsp:rsid wsp:val=&quot;23B32608&quot;/&gt;&lt;wsp:rsid wsp:val=&quot;23B4085A&quot;/&gt;&lt;wsp:rsid wsp:val=&quot;23B75C54&quot;/&gt;&lt;wsp:rsid wsp:val=&quot;23B86660&quot;/&gt;&lt;wsp:rsid wsp:val=&quot;23B87C1E&quot;/&gt;&lt;wsp:rsid wsp:val=&quot;23B91A9E&quot;/&gt;&lt;wsp:rsid wsp:val=&quot;23BA1BE8&quot;/&gt;&lt;wsp:rsid wsp:val=&quot;23BC51F1&quot;/&gt;&lt;wsp:rsid wsp:val=&quot;23BF0BC5&quot;/&gt;&lt;wsp:rsid wsp:val=&quot;23BF0FAD&quot;/&gt;&lt;wsp:rsid wsp:val=&quot;23BF2D5B&quot;/&gt;&lt;wsp:rsid wsp:val=&quot;23C10881&quot;/&gt;&lt;wsp:rsid wsp:val=&quot;23C12F77&quot;/&gt;&lt;wsp:rsid wsp:val=&quot;23C2284B&quot;/&gt;&lt;wsp:rsid wsp:val=&quot;23C245F9&quot;/&gt;&lt;wsp:rsid wsp:val=&quot;23C40371&quot;/&gt;&lt;wsp:rsid wsp:val=&quot;23C44815&quot;/&gt;&lt;wsp:rsid wsp:val=&quot;23C465C3&quot;/&gt;&lt;wsp:rsid wsp:val=&quot;23C53D41&quot;/&gt;&lt;wsp:rsid wsp:val=&quot;23C57FBE&quot;/&gt;&lt;wsp:rsid wsp:val=&quot;23C640E9&quot;/&gt;&lt;wsp:rsid wsp:val=&quot;23C860B3&quot;/&gt;&lt;wsp:rsid wsp:val=&quot;23C87E61&quot;/&gt;&lt;wsp:rsid wsp:val=&quot;23CA0100&quot;/&gt;&lt;wsp:rsid wsp:val=&quot;23CB16FF&quot;/&gt;&lt;wsp:rsid wsp:val=&quot;23CB5BA3&quot;/&gt;&lt;wsp:rsid wsp:val=&quot;23CD36CA&quot;/&gt;&lt;wsp:rsid wsp:val=&quot;23CE11F0&quot;/&gt;&lt;wsp:rsid wsp:val=&quot;23CE2811&quot;/&gt;&lt;wsp:rsid wsp:val=&quot;23D02696&quot;/&gt;&lt;wsp:rsid wsp:val=&quot;23D031BA&quot;/&gt;&lt;wsp:rsid wsp:val=&quot;23D245E4&quot;/&gt;&lt;wsp:rsid wsp:val=&quot;23D26F32&quot;/&gt;&lt;wsp:rsid wsp:val=&quot;23D305B4&quot;/&gt;&lt;wsp:rsid wsp:val=&quot;23D34A58&quot;/&gt;&lt;wsp:rsid wsp:val=&quot;23D36806&quot;/&gt;&lt;wsp:rsid wsp:val=&quot;23D42CAA&quot;/&gt;&lt;wsp:rsid wsp:val=&quot;23D507D0&quot;/&gt;&lt;wsp:rsid wsp:val=&quot;23D74548&quot;/&gt;&lt;wsp:rsid wsp:val=&quot;23DA1943&quot;/&gt;&lt;wsp:rsid wsp:val=&quot;23DA7B95&quot;/&gt;&lt;wsp:rsid wsp:val=&quot;23DE1C48&quot;/&gt;&lt;wsp:rsid wsp:val=&quot;23DE5576&quot;/&gt;&lt;wsp:rsid wsp:val=&quot;23E1714E&quot;/&gt;&lt;wsp:rsid wsp:val=&quot;23E3589A&quot;/&gt;&lt;wsp:rsid wsp:val=&quot;23E40A13&quot;/&gt;&lt;wsp:rsid wsp:val=&quot;23E427C1&quot;/&gt;&lt;wsp:rsid wsp:val=&quot;23E660C1&quot;/&gt;&lt;wsp:rsid wsp:val=&quot;23E66539&quot;/&gt;&lt;wsp:rsid wsp:val=&quot;23E9602A&quot;/&gt;&lt;wsp:rsid wsp:val=&quot;23E97DD8&quot;/&gt;&lt;wsp:rsid wsp:val=&quot;23ED1676&quot;/&gt;&lt;wsp:rsid wsp:val=&quot;23ED46EB&quot;/&gt;&lt;wsp:rsid wsp:val=&quot;23ED5B1A&quot;/&gt;&lt;wsp:rsid wsp:val=&quot;23EE3640&quot;/&gt;&lt;wsp:rsid wsp:val=&quot;23F0560A&quot;/&gt;&lt;wsp:rsid wsp:val=&quot;23F24EDE&quot;/&gt;&lt;wsp:rsid wsp:val=&quot;23F37E91&quot;/&gt;&lt;wsp:rsid wsp:val=&quot;23F5732E&quot;/&gt;&lt;wsp:rsid wsp:val=&quot;23F66979&quot;/&gt;&lt;wsp:rsid wsp:val=&quot;23F70746&quot;/&gt;&lt;wsp:rsid wsp:val=&quot;23F85E1A&quot;/&gt;&lt;wsp:rsid wsp:val=&quot;23F93B71&quot;/&gt;&lt;wsp:rsid wsp:val=&quot;23F944BF&quot;/&gt;&lt;wsp:rsid wsp:val=&quot;23FA0D14&quot;/&gt;&lt;wsp:rsid wsp:val=&quot;23FC1649&quot;/&gt;&lt;wsp:rsid wsp:val=&quot;23FE7D27&quot;/&gt;&lt;wsp:rsid wsp:val=&quot;23FF75FB&quot;/&gt;&lt;wsp:rsid wsp:val=&quot;240115C5&quot;/&gt;&lt;wsp:rsid wsp:val=&quot;240210CD&quot;/&gt;&lt;wsp:rsid wsp:val=&quot;240370EB&quot;/&gt;&lt;wsp:rsid wsp:val=&quot;24042E63&quot;/&gt;&lt;wsp:rsid wsp:val=&quot;240510B5&quot;/&gt;&lt;wsp:rsid wsp:val=&quot;24053736&quot;/&gt;&lt;wsp:rsid wsp:val=&quot;24061B78&quot;/&gt;&lt;wsp:rsid wsp:val=&quot;2409047A&quot;/&gt;&lt;wsp:rsid wsp:val=&quot;24094C88&quot;/&gt;&lt;wsp:rsid wsp:val=&quot;240A66CC&quot;/&gt;&lt;wsp:rsid wsp:val=&quot;24102A4E&quot;/&gt;&lt;wsp:rsid wsp:val=&quot;24107A5A&quot;/&gt;&lt;wsp:rsid wsp:val=&quot;24111CD9&quot;/&gt;&lt;wsp:rsid wsp:val=&quot;24134E54&quot;/&gt;&lt;wsp:rsid wsp:val=&quot;241430A6&quot;/&gt;&lt;wsp:rsid wsp:val=&quot;24150BCD&quot;/&gt;&lt;wsp:rsid wsp:val=&quot;2419690F&quot;/&gt;&lt;wsp:rsid wsp:val=&quot;241A4435&quot;/&gt;&lt;wsp:rsid wsp:val=&quot;241C01AD&quot;/&gt;&lt;wsp:rsid wsp:val=&quot;241C1F5B&quot;/&gt;&lt;wsp:rsid wsp:val=&quot;241E2177&quot;/&gt;&lt;wsp:rsid wsp:val=&quot;242332EA&quot;/&gt;&lt;wsp:rsid wsp:val=&quot;24253506&quot;/&gt;&lt;wsp:rsid wsp:val=&quot;24264B88&quot;/&gt;&lt;wsp:rsid wsp:val=&quot;242816A1&quot;/&gt;&lt;wsp:rsid wsp:val=&quot;24284DA4&quot;/&gt;&lt;wsp:rsid wsp:val=&quot;24285550&quot;/&gt;&lt;wsp:rsid wsp:val=&quot;24295A04&quot;/&gt;&lt;wsp:rsid wsp:val=&quot;242A28CA&quot;/&gt;&lt;wsp:rsid wsp:val=&quot;242B6642&quot;/&gt;&lt;wsp:rsid wsp:val=&quot;242D14B2&quot;/&gt;&lt;wsp:rsid wsp:val=&quot;242D24F0&quot;/&gt;&lt;wsp:rsid wsp:val=&quot;242D5F16&quot;/&gt;&lt;wsp:rsid wsp:val=&quot;242F7EE0&quot;/&gt;&lt;wsp:rsid wsp:val=&quot;24303C58&quot;/&gt;&lt;wsp:rsid wsp:val=&quot;24311EAA&quot;/&gt;&lt;wsp:rsid wsp:val=&quot;2432177F&quot;/&gt;&lt;wsp:rsid wsp:val=&quot;243279D1&quot;/&gt;&lt;wsp:rsid wsp:val=&quot;243472A5&quot;/&gt;&lt;wsp:rsid wsp:val=&quot;2436209C&quot;/&gt;&lt;wsp:rsid wsp:val=&quot;243674C1&quot;/&gt;&lt;wsp:rsid wsp:val=&quot;24392B0D&quot;/&gt;&lt;wsp:rsid wsp:val=&quot;243A525D&quot;/&gt;&lt;wsp:rsid wsp:val=&quot;243A6885&quot;/&gt;&lt;wsp:rsid wsp:val=&quot;243C25FD&quot;/&gt;&lt;wsp:rsid wsp:val=&quot;243C2F8D&quot;/&gt;&lt;wsp:rsid wsp:val=&quot;243D04AF&quot;/&gt;&lt;wsp:rsid wsp:val=&quot;243E6375&quot;/&gt;&lt;wsp:rsid wsp:val=&quot;243F4D56&quot;/&gt;&lt;wsp:rsid wsp:val=&quot;24425E3B&quot;/&gt;&lt;wsp:rsid wsp:val=&quot;24434A5C&quot;/&gt;&lt;wsp:rsid wsp:val=&quot;24443260&quot;/&gt;&lt;wsp:rsid wsp:val=&quot;244A4D1A&quot;/&gt;&lt;wsp:rsid wsp:val=&quot;244B1E69&quot;/&gt;&lt;wsp:rsid wsp:val=&quot;244D480A&quot;/&gt;&lt;wsp:rsid wsp:val=&quot;245265B7&quot;/&gt;&lt;wsp:rsid wsp:val=&quot;2454306B&quot;/&gt;&lt;wsp:rsid wsp:val=&quot;24545B99&quot;/&gt;&lt;wsp:rsid wsp:val=&quot;24561B4D&quot;/&gt;&lt;wsp:rsid wsp:val=&quot;24577437&quot;/&gt;&lt;wsp:rsid wsp:val=&quot;2458446D&quot;/&gt;&lt;wsp:rsid wsp:val=&quot;245931AF&quot;/&gt;&lt;wsp:rsid wsp:val=&quot;245A04CE&quot;/&gt;&lt;wsp:rsid wsp:val=&quot;245C2C9F&quot;/&gt;&lt;wsp:rsid wsp:val=&quot;245C67FB&quot;/&gt;&lt;wsp:rsid wsp:val=&quot;245C7023&quot;/&gt;&lt;wsp:rsid wsp:val=&quot;245D6108&quot;/&gt;&lt;wsp:rsid wsp:val=&quot;245E4322&quot;/&gt;&lt;wsp:rsid wsp:val=&quot;24612064&quot;/&gt;&lt;wsp:rsid wsp:val=&quot;24632CC1&quot;/&gt;&lt;wsp:rsid wsp:val=&quot;24633790&quot;/&gt;&lt;wsp:rsid wsp:val=&quot;2463402E&quot;/&gt;&lt;wsp:rsid wsp:val=&quot;24661428&quot;/&gt;&lt;wsp:rsid wsp:val=&quot;246758CC&quot;/&gt;&lt;wsp:rsid wsp:val=&quot;24677167&quot;/&gt;&lt;wsp:rsid wsp:val=&quot;24681644&quot;/&gt;&lt;wsp:rsid wsp:val=&quot;246833F2&quot;/&gt;&lt;wsp:rsid wsp:val=&quot;246851A0&quot;/&gt;&lt;wsp:rsid wsp:val=&quot;246856A3&quot;/&gt;&lt;wsp:rsid wsp:val=&quot;246C03EF&quot;/&gt;&lt;wsp:rsid wsp:val=&quot;246C2EE2&quot;/&gt;&lt;wsp:rsid wsp:val=&quot;246D0A09&quot;/&gt;&lt;wsp:rsid wsp:val=&quot;246D6C5B&quot;/&gt;&lt;wsp:rsid wsp:val=&quot;246E7DD4&quot;/&gt;&lt;wsp:rsid wsp:val=&quot;246F29D3&quot;/&gt;&lt;wsp:rsid wsp:val=&quot;246F652F&quot;/&gt;&lt;wsp:rsid wsp:val=&quot;24704055&quot;/&gt;&lt;wsp:rsid wsp:val=&quot;2471674B&quot;/&gt;&lt;wsp:rsid wsp:val=&quot;24727BE5&quot;/&gt;&lt;wsp:rsid wsp:val=&quot;24741D97&quot;/&gt;&lt;wsp:rsid wsp:val=&quot;24753802&quot;/&gt;&lt;wsp:rsid wsp:val=&quot;24773635&quot;/&gt;&lt;wsp:rsid wsp:val=&quot;2479115B&quot;/&gt;&lt;wsp:rsid wsp:val=&quot;247965B0&quot;/&gt;&lt;wsp:rsid wsp:val=&quot;247966B3&quot;/&gt;&lt;wsp:rsid wsp:val=&quot;247973AD&quot;/&gt;&lt;wsp:rsid wsp:val=&quot;247B1BF4&quot;/&gt;&lt;wsp:rsid wsp:val=&quot;247B4ED4&quot;/&gt;&lt;wsp:rsid wsp:val=&quot;247D4CF8&quot;/&gt;&lt;wsp:rsid wsp:val=&quot;247D50F0&quot;/&gt;&lt;wsp:rsid wsp:val=&quot;247E6772&quot;/&gt;&lt;wsp:rsid wsp:val=&quot;2480698E&quot;/&gt;&lt;wsp:rsid wsp:val=&quot;24816262&quot;/&gt;&lt;wsp:rsid wsp:val=&quot;248322AB&quot;/&gt;&lt;wsp:rsid wsp:val=&quot;24855D52&quot;/&gt;&lt;wsp:rsid wsp:val=&quot;24861ACA&quot;/&gt;&lt;wsp:rsid wsp:val=&quot;24883A94&quot;/&gt;&lt;wsp:rsid wsp:val=&quot;24885842&quot;/&gt;&lt;wsp:rsid wsp:val=&quot;248A15BB&quot;/&gt;&lt;wsp:rsid wsp:val=&quot;248A5117&quot;/&gt;&lt;wsp:rsid wsp:val=&quot;248B0D95&quot;/&gt;&lt;wsp:rsid wsp:val=&quot;248B1ECD&quot;/&gt;&lt;wsp:rsid wsp:val=&quot;248D10AB&quot;/&gt;&lt;wsp:rsid wsp:val=&quot;248D2E59&quot;/&gt;&lt;wsp:rsid wsp:val=&quot;248E1534&quot;/&gt;&lt;wsp:rsid wsp:val=&quot;248F076C&quot;/&gt;&lt;wsp:rsid wsp:val=&quot;248F4E23&quot;/&gt;&lt;wsp:rsid wsp:val=&quot;24922B77&quot;/&gt;&lt;wsp:rsid wsp:val=&quot;249266C1&quot;/&gt;&lt;wsp:rsid wsp:val=&quot;24960699&quot;/&gt;&lt;wsp:rsid wsp:val=&quot;24970470&quot;/&gt;&lt;wsp:rsid wsp:val=&quot;249776D4&quot;/&gt;&lt;wsp:rsid wsp:val=&quot;24997A50&quot;/&gt;&lt;wsp:rsid wsp:val=&quot;249B37C8&quot;/&gt;&lt;wsp:rsid wsp:val=&quot;249B5576&quot;/&gt;&lt;wsp:rsid wsp:val=&quot;249D12EE&quot;/&gt;&lt;wsp:rsid wsp:val=&quot;249D1730&quot;/&gt;&lt;wsp:rsid wsp:val=&quot;249D4C1D&quot;/&gt;&lt;wsp:rsid wsp:val=&quot;249E0BC2&quot;/&gt;&lt;wsp:rsid wsp:val=&quot;24A04DA1&quot;/&gt;&lt;wsp:rsid wsp:val=&quot;24A04DBD&quot;/&gt;&lt;wsp:rsid wsp:val=&quot;24A26904&quot;/&gt;&lt;wsp:rsid wsp:val=&quot;24A3267C&quot;/&gt;&lt;wsp:rsid wsp:val=&quot;24A415E4&quot;/&gt;&lt;wsp:rsid wsp:val=&quot;24A51F50&quot;/&gt;&lt;wsp:rsid wsp:val=&quot;24A63F04&quot;/&gt;&lt;wsp:rsid wsp:val=&quot;24A65CC9&quot;/&gt;&lt;wsp:rsid wsp:val=&quot;24AA68E6&quot;/&gt;&lt;wsp:rsid wsp:val=&quot;24AE34FB&quot;/&gt;&lt;wsp:rsid wsp:val=&quot;24B102DB&quot;/&gt;&lt;wsp:rsid wsp:val=&quot;24B16B47&quot;/&gt;&lt;wsp:rsid wsp:val=&quot;24B47998&quot;/&gt;&lt;wsp:rsid wsp:val=&quot;24B93C4E&quot;/&gt;&lt;wsp:rsid wsp:val=&quot;24BB5C18&quot;/&gt;&lt;wsp:rsid wsp:val=&quot;24BD373E&quot;/&gt;&lt;wsp:rsid wsp:val=&quot;24BE2528&quot;/&gt;&lt;wsp:rsid wsp:val=&quot;24BF09F7&quot;/&gt;&lt;wsp:rsid wsp:val=&quot;24C0322E&quot;/&gt;&lt;wsp:rsid wsp:val=&quot;24C06D8A&quot;/&gt;&lt;wsp:rsid wsp:val=&quot;24C30629&quot;/&gt;&lt;wsp:rsid wsp:val=&quot;24C3087B&quot;/&gt;&lt;wsp:rsid wsp:val=&quot;24C3328E&quot;/&gt;&lt;wsp:rsid wsp:val=&quot;24C573A0&quot;/&gt;&lt;wsp:rsid wsp:val=&quot;24C745BD&quot;/&gt;&lt;wsp:rsid wsp:val=&quot;24C820E3&quot;/&gt;&lt;wsp:rsid wsp:val=&quot;24CA19B7&quot;/&gt;&lt;wsp:rsid wsp:val=&quot;24CC07F0&quot;/&gt;&lt;wsp:rsid wsp:val=&quot;24CC572F&quot;/&gt;&lt;wsp:rsid wsp:val=&quot;24CC5C1F&quot;/&gt;&lt;wsp:rsid wsp:val=&quot;24CD1292&quot;/&gt;&lt;wsp:rsid wsp:val=&quot;24CD14A7&quot;/&gt;&lt;wsp:rsid wsp:val=&quot;24CE594B&quot;/&gt;&lt;wsp:rsid wsp:val=&quot;24CF1C50&quot;/&gt;&lt;wsp:rsid wsp:val=&quot;24CF521F&quot;/&gt;&lt;wsp:rsid wsp:val=&quot;24D10F97&quot;/&gt;&lt;wsp:rsid wsp:val=&quot;24D10FB3&quot;/&gt;&lt;wsp:rsid wsp:val=&quot;24D25CCF&quot;/&gt;&lt;wsp:rsid wsp:val=&quot;24D26ABE&quot;/&gt;&lt;wsp:rsid wsp:val=&quot;24D34D10&quot;/&gt;&lt;wsp:rsid wsp:val=&quot;24D42836&quot;/&gt;&lt;wsp:rsid wsp:val=&quot;24D740D4&quot;/&gt;&lt;wsp:rsid wsp:val=&quot;24D90223&quot;/&gt;&lt;wsp:rsid wsp:val=&quot;24D97C08&quot;/&gt;&lt;wsp:rsid wsp:val=&quot;24DB0068&quot;/&gt;&lt;wsp:rsid wsp:val=&quot;24DB3BC4&quot;/&gt;&lt;wsp:rsid wsp:val=&quot;24DC16EA&quot;/&gt;&lt;wsp:rsid wsp:val=&quot;24E0742D&quot;/&gt;&lt;wsp:rsid wsp:val=&quot;24E32A79&quot;/&gt;&lt;wsp:rsid wsp:val=&quot;24E52C95&quot;/&gt;&lt;wsp:rsid wsp:val=&quot;24E54A43&quot;/&gt;&lt;wsp:rsid wsp:val=&quot;24E6133A&quot;/&gt;&lt;wsp:rsid wsp:val=&quot;24E94533&quot;/&gt;&lt;wsp:rsid wsp:val=&quot;24EA3E07&quot;/&gt;&lt;wsp:rsid wsp:val=&quot;24EE1B49&quot;/&gt;&lt;wsp:rsid wsp:val=&quot;24F01F86&quot;/&gt;&lt;wsp:rsid wsp:val=&quot;24F1163A&quot;/&gt;&lt;wsp:rsid wsp:val=&quot;24F353B2&quot;/&gt;&lt;wsp:rsid wsp:val=&quot;24F37160&quot;/&gt;&lt;wsp:rsid wsp:val=&quot;24F609FE&quot;/&gt;&lt;wsp:rsid wsp:val=&quot;24F86524&quot;/&gt;&lt;wsp:rsid wsp:val=&quot;24F904EE&quot;/&gt;&lt;wsp:rsid wsp:val=&quot;24FB4266&quot;/&gt;&lt;wsp:rsid wsp:val=&quot;24FB7DC2&quot;/&gt;&lt;wsp:rsid wsp:val=&quot;24FD3B3B&quot;/&gt;&lt;wsp:rsid wsp:val=&quot;24FE5B05&quot;/&gt;&lt;wsp:rsid wsp:val=&quot;2500362B&quot;/&gt;&lt;wsp:rsid wsp:val=&quot;2503462D&quot;/&gt;&lt;wsp:rsid wsp:val=&quot;25040928&quot;/&gt;&lt;wsp:rsid wsp:val=&quot;25050981&quot;/&gt;&lt;wsp:rsid wsp:val=&quot;25072C0B&quot;/&gt;&lt;wsp:rsid wsp:val=&quot;250A6257&quot;/&gt;&lt;wsp:rsid wsp:val=&quot;250C6474&quot;/&gt;&lt;wsp:rsid wsp:val=&quot;250D7A7E&quot;/&gt;&lt;wsp:rsid wsp:val=&quot;250E3F9A&quot;/&gt;&lt;wsp:rsid wsp:val=&quot;250E5D48&quot;/&gt;&lt;wsp:rsid wsp:val=&quot;250E7A49&quot;/&gt;&lt;wsp:rsid wsp:val=&quot;250F386E&quot;/&gt;&lt;wsp:rsid wsp:val=&quot;25115838&quot;/&gt;&lt;wsp:rsid wsp:val=&quot;251315B0&quot;/&gt;&lt;wsp:rsid wsp:val=&quot;25131844&quot;/&gt;&lt;wsp:rsid wsp:val=&quot;2513335E&quot;/&gt;&lt;wsp:rsid wsp:val=&quot;25137802&quot;/&gt;&lt;wsp:rsid wsp:val=&quot;25140E84&quot;/&gt;&lt;wsp:rsid wsp:val=&quot;25145328&quot;/&gt;&lt;wsp:rsid wsp:val=&quot;25162E4E&quot;/&gt;&lt;wsp:rsid wsp:val=&quot;25184E18&quot;/&gt;&lt;wsp:rsid wsp:val=&quot;251946ED&quot;/&gt;&lt;wsp:rsid wsp:val=&quot;251B2213&quot;/&gt;&lt;wsp:rsid wsp:val=&quot;251C5778&quot;/&gt;&lt;wsp:rsid wsp:val=&quot;251D5F8B&quot;/&gt;&lt;wsp:rsid wsp:val=&quot;251D70E5&quot;/&gt;&lt;wsp:rsid wsp:val=&quot;252029B8&quot;/&gt;&lt;wsp:rsid wsp:val=&quot;25207829&quot;/&gt;&lt;wsp:rsid wsp:val=&quot;25213E48&quot;/&gt;&lt;wsp:rsid wsp:val=&quot;2526682A&quot;/&gt;&lt;wsp:rsid wsp:val=&quot;2527505B&quot;/&gt;&lt;wsp:rsid wsp:val=&quot;25276E09&quot;/&gt;&lt;wsp:rsid wsp:val=&quot;25284930&quot;/&gt;&lt;wsp:rsid wsp:val=&quot;252B4B4C&quot;/&gt;&lt;wsp:rsid wsp:val=&quot;252C2672&quot;/&gt;&lt;wsp:rsid wsp:val=&quot;252D53FE&quot;/&gt;&lt;wsp:rsid wsp:val=&quot;252E0198&quot;/&gt;&lt;wsp:rsid wsp:val=&quot;252E1F46&quot;/&gt;&lt;wsp:rsid wsp:val=&quot;252F5CBE&quot;/&gt;&lt;wsp:rsid wsp:val=&quot;25304E39&quot;/&gt;&lt;wsp:rsid wsp:val=&quot;25333A00&quot;/&gt;&lt;wsp:rsid wsp:val=&quot;253357AE&quot;/&gt;&lt;wsp:rsid wsp:val=&quot;2533755C&quot;/&gt;&lt;wsp:rsid wsp:val=&quot;25357778&quot;/&gt;&lt;wsp:rsid wsp:val=&quot;25382DC5&quot;/&gt;&lt;wsp:rsid wsp:val=&quot;253A4D8F&quot;/&gt;&lt;wsp:rsid wsp:val=&quot;253B2191&quot;/&gt;&lt;wsp:rsid wsp:val=&quot;253B28B5&quot;/&gt;&lt;wsp:rsid wsp:val=&quot;253C797D&quot;/&gt;&lt;wsp:rsid wsp:val=&quot;253D662D&quot;/&gt;&lt;wsp:rsid wsp:val=&quot;253F05F7&quot;/&gt;&lt;wsp:rsid wsp:val=&quot;253F4153&quot;/&gt;&lt;wsp:rsid wsp:val=&quot;2540170A&quot;/&gt;&lt;wsp:rsid wsp:val=&quot;25401C79&quot;/&gt;&lt;wsp:rsid wsp:val=&quot;25407ECB&quot;/&gt;&lt;wsp:rsid wsp:val=&quot;25421E95&quot;/&gt;&lt;wsp:rsid wsp:val=&quot;25453733&quot;/&gt;&lt;wsp:rsid wsp:val=&quot;254C6870&quot;/&gt;&lt;wsp:rsid wsp:val=&quot;254E0756&quot;/&gt;&lt;wsp:rsid wsp:val=&quot;254E25E8&quot;/&gt;&lt;wsp:rsid wsp:val=&quot;254F010E&quot;/&gt;&lt;wsp:rsid wsp:val=&quot;255046A7&quot;/&gt;&lt;wsp:rsid wsp:val=&quot;255120D8&quot;/&gt;&lt;wsp:rsid wsp:val=&quot;25513E86&quot;/&gt;&lt;wsp:rsid wsp:val=&quot;25537BFE&quot;/&gt;&lt;wsp:rsid wsp:val=&quot;25551BC9&quot;/&gt;&lt;wsp:rsid wsp:val=&quot;2556149D&quot;/&gt;&lt;wsp:rsid wsp:val=&quot;255641A7&quot;/&gt;&lt;wsp:rsid wsp:val=&quot;25565941&quot;/&gt;&lt;wsp:rsid wsp:val=&quot;255676EF&quot;/&gt;&lt;wsp:rsid wsp:val=&quot;25586A2F&quot;/&gt;&lt;wsp:rsid wsp:val=&quot;255A0F8D&quot;/&gt;&lt;wsp:rsid wsp:val=&quot;255B2F57&quot;/&gt;&lt;wsp:rsid wsp:val=&quot;255B4D05&quot;/&gt;&lt;wsp:rsid wsp:val=&quot;255D592E&quot;/&gt;&lt;wsp:rsid wsp:val=&quot;255F47F5&quot;/&gt;&lt;wsp:rsid wsp:val=&quot;25600F79&quot;/&gt;&lt;wsp:rsid wsp:val=&quot;256040C9&quot;/&gt;&lt;wsp:rsid wsp:val=&quot;256112DB&quot;/&gt;&lt;wsp:rsid wsp:val=&quot;256242E5&quot;/&gt;&lt;wsp:rsid wsp:val=&quot;25627E42&quot;/&gt;&lt;wsp:rsid wsp:val=&quot;256476B6&quot;/&gt;&lt;wsp:rsid wsp:val=&quot;2567514D&quot;/&gt;&lt;wsp:rsid wsp:val=&quot;25695674&quot;/&gt;&lt;wsp:rsid wsp:val=&quot;25697422&quot;/&gt;&lt;wsp:rsid wsp:val=&quot;256B7A37&quot;/&gt;&lt;wsp:rsid wsp:val=&quot;256C2A6E&quot;/&gt;&lt;wsp:rsid wsp:val=&quot;256C6F12&quot;/&gt;&lt;wsp:rsid wsp:val=&quot;256D6D51&quot;/&gt;&lt;wsp:rsid wsp:val=&quot;256E38EB&quot;/&gt;&lt;wsp:rsid wsp:val=&quot;256E4A38&quot;/&gt;&lt;wsp:rsid wsp:val=&quot;256E67E6&quot;/&gt;&lt;wsp:rsid wsp:val=&quot;256F255E&quot;/&gt;&lt;wsp:rsid wsp:val=&quot;25706A02&quot;/&gt;&lt;wsp:rsid wsp:val=&quot;25722260&quot;/&gt;&lt;wsp:rsid wsp:val=&quot;2572431F&quot;/&gt;&lt;wsp:rsid wsp:val=&quot;257302A1&quot;/&gt;&lt;wsp:rsid wsp:val=&quot;2573204F&quot;/&gt;&lt;wsp:rsid wsp:val=&quot;25733DFD&quot;/&gt;&lt;wsp:rsid wsp:val=&quot;25754019&quot;/&gt;&lt;wsp:rsid wsp:val=&quot;257858B7&quot;/&gt;&lt;wsp:rsid wsp:val=&quot;25787665&quot;/&gt;&lt;wsp:rsid wsp:val=&quot;257B0F03&quot;/&gt;&lt;wsp:rsid wsp:val=&quot;257F27A2&quot;/&gt;&lt;wsp:rsid wsp:val=&quot;257F6C45&quot;/&gt;&lt;wsp:rsid wsp:val=&quot;25826736&quot;/&gt;&lt;wsp:rsid wsp:val=&quot;25826799&quot;/&gt;&lt;wsp:rsid wsp:val=&quot;258424AE&quot;/&gt;&lt;wsp:rsid wsp:val=&quot;2584425C&quot;/&gt;&lt;wsp:rsid wsp:val=&quot;25880798&quot;/&gt;&lt;wsp:rsid wsp:val=&quot;25891872&quot;/&gt;&lt;wsp:rsid wsp:val=&quot;258B55EA&quot;/&gt;&lt;wsp:rsid wsp:val=&quot;258C0DDD&quot;/&gt;&lt;wsp:rsid wsp:val=&quot;258C59D8&quot;/&gt;&lt;wsp:rsid wsp:val=&quot;258D5C34&quot;/&gt;&lt;wsp:rsid wsp:val=&quot;258E6E89&quot;/&gt;&lt;wsp:rsid wsp:val=&quot;259049AF&quot;/&gt;&lt;wsp:rsid wsp:val=&quot;25910727&quot;/&gt;&lt;wsp:rsid wsp:val=&quot;259124D5&quot;/&gt;&lt;wsp:rsid wsp:val=&quot;259326F1&quot;/&gt;&lt;wsp:rsid wsp:val=&quot;2593449F&quot;/&gt;&lt;wsp:rsid wsp:val=&quot;2593624D&quot;/&gt;&lt;wsp:rsid wsp:val=&quot;259455FA&quot;/&gt;&lt;wsp:rsid wsp:val=&quot;25950217&quot;/&gt;&lt;wsp:rsid wsp:val=&quot;259721E1&quot;/&gt;&lt;wsp:rsid wsp:val=&quot;259B403D&quot;/&gt;&lt;wsp:rsid wsp:val=&quot;259C009E&quot;/&gt;&lt;wsp:rsid wsp:val=&quot;259C15A5&quot;/&gt;&lt;wsp:rsid wsp:val=&quot;259C77F7&quot;/&gt;&lt;wsp:rsid wsp:val=&quot;259D531E&quot;/&gt;&lt;wsp:rsid wsp:val=&quot;259E2E5A&quot;/&gt;&lt;wsp:rsid wsp:val=&quot;259F3E4E&quot;/&gt;&lt;wsp:rsid wsp:val=&quot;25A0096A&quot;/&gt;&lt;wsp:rsid wsp:val=&quot;25A052DE&quot;/&gt;&lt;wsp:rsid wsp:val=&quot;25A42208&quot;/&gt;&lt;wsp:rsid wsp:val=&quot;25A61866&quot;/&gt;&lt;wsp:rsid wsp:val=&quot;25A71CF8&quot;/&gt;&lt;wsp:rsid wsp:val=&quot;25A725E0&quot;/&gt;&lt;wsp:rsid wsp:val=&quot;25A769EE&quot;/&gt;&lt;wsp:rsid wsp:val=&quot;25A95A70&quot;/&gt;&lt;wsp:rsid wsp:val=&quot;25AB17E9&quot;/&gt;&lt;wsp:rsid wsp:val=&quot;25AB7A3A&quot;/&gt;&lt;wsp:rsid wsp:val=&quot;25AE3087&quot;/&gt;&lt;wsp:rsid wsp:val=&quot;25B12B77&quot;/&gt;&lt;wsp:rsid wsp:val=&quot;25B1777F&quot;/&gt;&lt;wsp:rsid wsp:val=&quot;25B82157&quot;/&gt;&lt;wsp:rsid wsp:val=&quot;25B849F4&quot;/&gt;&lt;wsp:rsid wsp:val=&quot;25BA7C7E&quot;/&gt;&lt;wsp:rsid wsp:val=&quot;25BC1C48&quot;/&gt;&lt;wsp:rsid wsp:val=&quot;25BC57A4&quot;/&gt;&lt;wsp:rsid wsp:val=&quot;25BF0E4C&quot;/&gt;&lt;wsp:rsid wsp:val=&quot;25C12DBA&quot;/&gt;&lt;wsp:rsid wsp:val=&quot;25C26B32&quot;/&gt;&lt;wsp:rsid wsp:val=&quot;25C32FD6&quot;/&gt;&lt;wsp:rsid wsp:val=&quot;25C4081F&quot;/&gt;&lt;wsp:rsid wsp:val=&quot;25C55B68&quot;/&gt;&lt;wsp:rsid wsp:val=&quot;25C61BC9&quot;/&gt;&lt;wsp:rsid wsp:val=&quot;25C66622&quot;/&gt;&lt;wsp:rsid wsp:val=&quot;25C77554&quot;/&gt;&lt;wsp:rsid wsp:val=&quot;25CB1E8B&quot;/&gt;&lt;wsp:rsid wsp:val=&quot;25CE197B&quot;/&gt;&lt;wsp:rsid wsp:val=&quot;25D23219&quot;/&gt;&lt;wsp:rsid wsp:val=&quot;25D24FC7&quot;/&gt;&lt;wsp:rsid wsp:val=&quot;25D30D3F&quot;/&gt;&lt;wsp:rsid wsp:val=&quot;25D56865&quot;/&gt;&lt;wsp:rsid wsp:val=&quot;25D61896&quot;/&gt;&lt;wsp:rsid wsp:val=&quot;25D93E01&quot;/&gt;&lt;wsp:rsid wsp:val=&quot;25DA20CE&quot;/&gt;&lt;wsp:rsid wsp:val=&quot;25DC295F&quot;/&gt;&lt;wsp:rsid wsp:val=&quot;25DC4098&quot;/&gt;&lt;wsp:rsid wsp:val=&quot;25E036D8&quot;/&gt;&lt;wsp:rsid wsp:val=&quot;25E1345C&quot;/&gt;&lt;wsp:rsid wsp:val=&quot;25E35426&quot;/&gt;&lt;wsp:rsid wsp:val=&quot;25E46AA9&quot;/&gt;&lt;wsp:rsid wsp:val=&quot;25E62821&quot;/&gt;&lt;wsp:rsid wsp:val=&quot;25E66CC5&quot;/&gt;&lt;wsp:rsid wsp:val=&quot;25E904C5&quot;/&gt;&lt;wsp:rsid wsp:val=&quot;25E90563&quot;/&gt;&lt;wsp:rsid wsp:val=&quot;25E940BF&quot;/&gt;&lt;wsp:rsid wsp:val=&quot;25EB42DB&quot;/&gt;&lt;wsp:rsid wsp:val=&quot;25EB5898&quot;/&gt;&lt;wsp:rsid wsp:val=&quot;25EB7E37&quot;/&gt;&lt;wsp:rsid wsp:val=&quot;25EC2D81&quot;/&gt;&lt;wsp:rsid wsp:val=&quot;25ED1E01&quot;/&gt;&lt;wsp:rsid wsp:val=&quot;25F24B85&quot;/&gt;&lt;wsp:rsid wsp:val=&quot;25F25669&quot;/&gt;&lt;wsp:rsid wsp:val=&quot;25F27417&quot;/&gt;&lt;wsp:rsid wsp:val=&quot;25F3318F&quot;/&gt;&lt;wsp:rsid wsp:val=&quot;25F34F1D&quot;/&gt;&lt;wsp:rsid wsp:val=&quot;25F36015&quot;/&gt;&lt;wsp:rsid wsp:val=&quot;25F43AB3&quot;/&gt;&lt;wsp:rsid wsp:val=&quot;25F52A64&quot;/&gt;&lt;wsp:rsid wsp:val=&quot;25F54C47&quot;/&gt;&lt;wsp:rsid wsp:val=&quot;25F5515A&quot;/&gt;&lt;wsp:rsid wsp:val=&quot;25F72C80&quot;/&gt;&lt;wsp:rsid wsp:val=&quot;25F82554&quot;/&gt;&lt;wsp:rsid wsp:val=&quot;25FC33D9&quot;/&gt;&lt;wsp:rsid wsp:val=&quot;25FC3DF2&quot;/&gt;&lt;wsp:rsid wsp:val=&quot;25FC7AAD&quot;/&gt;&lt;wsp:rsid wsp:val=&quot;25FD5DBC&quot;/&gt;&lt;wsp:rsid wsp:val=&quot;25FE400E&quot;/&gt;&lt;wsp:rsid wsp:val=&quot;260158AC&quot;/&gt;&lt;wsp:rsid wsp:val=&quot;2601765A&quot;/&gt;&lt;wsp:rsid wsp:val=&quot;26031625&quot;/&gt;&lt;wsp:rsid wsp:val=&quot;26040EF9&quot;/&gt;&lt;wsp:rsid wsp:val=&quot;2604714B&quot;/&gt;&lt;wsp:rsid wsp:val=&quot;260578BB&quot;/&gt;&lt;wsp:rsid wsp:val=&quot;2607705C&quot;/&gt;&lt;wsp:rsid wsp:val=&quot;26082FEA&quot;/&gt;&lt;wsp:rsid wsp:val=&quot;260B672B&quot;/&gt;&lt;wsp:rsid wsp:val=&quot;260D24A3&quot;/&gt;&lt;wsp:rsid wsp:val=&quot;260D4251&quot;/&gt;&lt;wsp:rsid wsp:val=&quot;260D5FFF&quot;/&gt;&lt;wsp:rsid wsp:val=&quot;26102CD7&quot;/&gt;&lt;wsp:rsid wsp:val=&quot;2610789E&quot;/&gt;&lt;wsp:rsid wsp:val=&quot;26121868&quot;/&gt;&lt;wsp:rsid wsp:val=&quot;26124F7C&quot;/&gt;&lt;wsp:rsid wsp:val=&quot;26151358&quot;/&gt;&lt;wsp:rsid wsp:val=&quot;26154EB4&quot;/&gt;&lt;wsp:rsid wsp:val=&quot;26163F80&quot;/&gt;&lt;wsp:rsid wsp:val=&quot;26192BF6&quot;/&gt;&lt;wsp:rsid wsp:val=&quot;261A3D6A&quot;/&gt;&lt;wsp:rsid wsp:val=&quot;261E020C&quot;/&gt;&lt;wsp:rsid wsp:val=&quot;261F093B&quot;/&gt;&lt;wsp:rsid wsp:val=&quot;26211093&quot;/&gt;&lt;wsp:rsid wsp:val=&quot;26233A75&quot;/&gt;&lt;wsp:rsid wsp:val=&quot;2624159B&quot;/&gt;&lt;wsp:rsid wsp:val=&quot;26246953&quot;/&gt;&lt;wsp:rsid wsp:val=&quot;26247A14&quot;/&gt;&lt;wsp:rsid wsp:val=&quot;26265313&quot;/&gt;&lt;wsp:rsid wsp:val=&quot;26273AE3&quot;/&gt;&lt;wsp:rsid wsp:val=&quot;26282E39&quot;/&gt;&lt;wsp:rsid wsp:val=&quot;26284BE7&quot;/&gt;&lt;wsp:rsid wsp:val=&quot;2629095F&quot;/&gt;&lt;wsp:rsid wsp:val=&quot;26296882&quot;/&gt;&lt;wsp:rsid wsp:val=&quot;262A4E03&quot;/&gt;&lt;wsp:rsid wsp:val=&quot;262B0B7B&quot;/&gt;&lt;wsp:rsid wsp:val=&quot;262D4649&quot;/&gt;&lt;wsp:rsid wsp:val=&quot;262E41C8&quot;/&gt;&lt;wsp:rsid wsp:val=&quot;262F4B27&quot;/&gt;&lt;wsp:rsid wsp:val=&quot;26301CEE&quot;/&gt;&lt;wsp:rsid wsp:val=&quot;26306192&quot;/&gt;&lt;wsp:rsid wsp:val=&quot;26311886&quot;/&gt;&lt;wsp:rsid wsp:val=&quot;263317DE&quot;/&gt;&lt;wsp:rsid wsp:val=&quot;26345C82&quot;/&gt;&lt;wsp:rsid wsp:val=&quot;26350999&quot;/&gt;&lt;wsp:rsid wsp:val=&quot;26355556&quot;/&gt;&lt;wsp:rsid wsp:val=&quot;2636186A&quot;/&gt;&lt;wsp:rsid wsp:val=&quot;263712CE&quot;/&gt;&lt;wsp:rsid wsp:val=&quot;2637307C&quot;/&gt;&lt;wsp:rsid wsp:val=&quot;263A491A&quot;/&gt;&lt;wsp:rsid wsp:val=&quot;263B64F1&quot;/&gt;&lt;wsp:rsid wsp:val=&quot;263B7010&quot;/&gt;&lt;wsp:rsid wsp:val=&quot;263C0693&quot;/&gt;&lt;wsp:rsid wsp:val=&quot;263C4B36&quot;/&gt;&lt;wsp:rsid wsp:val=&quot;263C68E5&quot;/&gt;&lt;wsp:rsid wsp:val=&quot;263F0183&quot;/&gt;&lt;wsp:rsid wsp:val=&quot;263F63D5&quot;/&gt;&lt;wsp:rsid wsp:val=&quot;26435EC5&quot;/&gt;&lt;wsp:rsid wsp:val=&quot;26437C73&quot;/&gt;&lt;wsp:rsid wsp:val=&quot;26446FFE&quot;/&gt;&lt;wsp:rsid wsp:val=&quot;264834DB&quot;/&gt;&lt;wsp:rsid wsp:val=&quot;264D28A0&quot;/&gt;&lt;wsp:rsid wsp:val=&quot;264D464E&quot;/&gt;&lt;wsp:rsid wsp:val=&quot;264D6D44&quot;/&gt;&lt;wsp:rsid wsp:val=&quot;264E00B0&quot;/&gt;&lt;wsp:rsid wsp:val=&quot;264E342E&quot;/&gt;&lt;wsp:rsid wsp:val=&quot;264F6618&quot;/&gt;&lt;wsp:rsid wsp:val=&quot;265005E2&quot;/&gt;&lt;wsp:rsid wsp:val=&quot;2650413E&quot;/&gt;&lt;wsp:rsid wsp:val=&quot;26543C2E&quot;/&gt;&lt;wsp:rsid wsp:val=&quot;26555BF8&quot;/&gt;&lt;wsp:rsid wsp:val=&quot;26575474&quot;/&gt;&lt;wsp:rsid wsp:val=&quot;26591245&quot;/&gt;&lt;wsp:rsid wsp:val=&quot;265956E8&quot;/&gt;&lt;wsp:rsid wsp:val=&quot;265D4AA1&quot;/&gt;&lt;wsp:rsid wsp:val=&quot;265E17FF&quot;/&gt;&lt;wsp:rsid wsp:val=&quot;265E685B&quot;/&gt;&lt;wsp:rsid wsp:val=&quot;266100F9&quot;/&gt;&lt;wsp:rsid wsp:val=&quot;2661459D&quot;/&gt;&lt;wsp:rsid wsp:val=&quot;26622587&quot;/&gt;&lt;wsp:rsid wsp:val=&quot;26627EDE&quot;/&gt;&lt;wsp:rsid wsp:val=&quot;26633A17&quot;/&gt;&lt;wsp:rsid wsp:val=&quot;26633E71&quot;/&gt;&lt;wsp:rsid wsp:val=&quot;26642ABF&quot;/&gt;&lt;wsp:rsid wsp:val=&quot;26643BF2&quot;/&gt;&lt;wsp:rsid wsp:val=&quot;26647BE9&quot;/&gt;&lt;wsp:rsid wsp:val=&quot;2665408D&quot;/&gt;&lt;wsp:rsid wsp:val=&quot;26663961&quot;/&gt;&lt;wsp:rsid wsp:val=&quot;26667E05&quot;/&gt;&lt;wsp:rsid wsp:val=&quot;26667F9E&quot;/&gt;&lt;wsp:rsid wsp:val=&quot;26676DC9&quot;/&gt;&lt;wsp:rsid wsp:val=&quot;26681488&quot;/&gt;&lt;wsp:rsid wsp:val=&quot;2668592C&quot;/&gt;&lt;wsp:rsid wsp:val=&quot;266A3452&quot;/&gt;&lt;wsp:rsid wsp:val=&quot;266B0F78&quot;/&gt;&lt;wsp:rsid wsp:val=&quot;266D2F42&quot;/&gt;&lt;wsp:rsid wsp:val=&quot;266D4CF0&quot;/&gt;&lt;wsp:rsid wsp:val=&quot;266F6CBA&quot;/&gt;&lt;wsp:rsid wsp:val=&quot;267047E0&quot;/&gt;&lt;wsp:rsid wsp:val=&quot;2670658E&quot;/&gt;&lt;wsp:rsid wsp:val=&quot;26712A32&quot;/&gt;&lt;wsp:rsid wsp:val=&quot;2672207C&quot;/&gt;&lt;wsp:rsid wsp:val=&quot;267267AA&quot;/&gt;&lt;wsp:rsid wsp:val=&quot;2674499C&quot;/&gt;&lt;wsp:rsid wsp:val=&quot;26751385&quot;/&gt;&lt;wsp:rsid wsp:val=&quot;26760048&quot;/&gt;&lt;wsp:rsid wsp:val=&quot;26775B6F&quot;/&gt;&lt;wsp:rsid wsp:val=&quot;267775BA&quot;/&gt;&lt;wsp:rsid wsp:val=&quot;2678103A&quot;/&gt;&lt;wsp:rsid wsp:val=&quot;267B1C9E&quot;/&gt;&lt;wsp:rsid wsp:val=&quot;267D4C70&quot;/&gt;&lt;wsp:rsid wsp:val=&quot;267E514F&quot;/&gt;&lt;wsp:rsid wsp:val=&quot;267E6EFD&quot;/&gt;&lt;wsp:rsid wsp:val=&quot;26802C75&quot;/&gt;&lt;wsp:rsid wsp:val=&quot;26804A23&quot;/&gt;&lt;wsp:rsid wsp:val=&quot;26805352&quot;/&gt;&lt;wsp:rsid wsp:val=&quot;26810235&quot;/&gt;&lt;wsp:rsid wsp:val=&quot;26833001&quot;/&gt;&lt;wsp:rsid wsp:val=&quot;26834513&quot;/&gt;&lt;wsp:rsid wsp:val=&quot;26842FEA&quot;/&gt;&lt;wsp:rsid wsp:val=&quot;2685028B&quot;/&gt;&lt;wsp:rsid wsp:val=&quot;2685203A&quot;/&gt;&lt;wsp:rsid wsp:val=&quot;26864004&quot;/&gt;&lt;wsp:rsid wsp:val=&quot;26871982&quot;/&gt;&lt;wsp:rsid wsp:val=&quot;26887D7C&quot;/&gt;&lt;wsp:rsid wsp:val=&quot;26890114&quot;/&gt;&lt;wsp:rsid wsp:val=&quot;268A0303&quot;/&gt;&lt;wsp:rsid wsp:val=&quot;268A7650&quot;/&gt;&lt;wsp:rsid wsp:val=&quot;268B1793&quot;/&gt;&lt;wsp:rsid wsp:val=&quot;268C786C&quot;/&gt;&lt;wsp:rsid wsp:val=&quot;268E7D4E&quot;/&gt;&lt;wsp:rsid wsp:val=&quot;268F4C66&quot;/&gt;&lt;wsp:rsid wsp:val=&quot;26920BFA&quot;/&gt;&lt;wsp:rsid wsp:val=&quot;26926577&quot;/&gt;&lt;wsp:rsid wsp:val=&quot;26926958&quot;/&gt;&lt;wsp:rsid wsp:val=&quot;269404CF&quot;/&gt;&lt;wsp:rsid wsp:val=&quot;269432A2&quot;/&gt;&lt;wsp:rsid wsp:val=&quot;269621FC&quot;/&gt;&lt;wsp:rsid wsp:val=&quot;26971D6D&quot;/&gt;&lt;wsp:rsid wsp:val=&quot;26984D6C&quot;/&gt;&lt;wsp:rsid wsp:val=&quot;26992656&quot;/&gt;&lt;wsp:rsid wsp:val=&quot;269A2E50&quot;/&gt;&lt;wsp:rsid wsp:val=&quot;269A47EB&quot;/&gt;&lt;wsp:rsid wsp:val=&quot;269B185D&quot;/&gt;&lt;wsp:rsid wsp:val=&quot;269E759F&quot;/&gt;&lt;wsp:rsid wsp:val=&quot;269E75BC&quot;/&gt;&lt;wsp:rsid wsp:val=&quot;269F2B0B&quot;/&gt;&lt;wsp:rsid wsp:val=&quot;26A06E73&quot;/&gt;&lt;wsp:rsid wsp:val=&quot;26A12BEB&quot;/&gt;&lt;wsp:rsid wsp:val=&quot;26A1499A&quot;/&gt;&lt;wsp:rsid wsp:val=&quot;26A34BB6&quot;/&gt;&lt;wsp:rsid wsp:val=&quot;26A5092E&quot;/&gt;&lt;wsp:rsid wsp:val=&quot;26A61FB0&quot;/&gt;&lt;wsp:rsid wsp:val=&quot;26A76454&quot;/&gt;&lt;wsp:rsid wsp:val=&quot;26A85D28&quot;/&gt;&lt;wsp:rsid wsp:val=&quot;26AA35DB&quot;/&gt;&lt;wsp:rsid wsp:val=&quot;26AB75C6&quot;/&gt;&lt;wsp:rsid wsp:val=&quot;26AF0EEB&quot;/&gt;&lt;wsp:rsid wsp:val=&quot;26B172D2&quot;/&gt;&lt;wsp:rsid wsp:val=&quot;26B20955&quot;/&gt;&lt;wsp:rsid wsp:val=&quot;26B26BA7&quot;/&gt;&lt;wsp:rsid wsp:val=&quot;26B3099F&quot;/&gt;&lt;wsp:rsid wsp:val=&quot;26B50445&quot;/&gt;&lt;wsp:rsid wsp:val=&quot;26B53A57&quot;/&gt;&lt;wsp:rsid wsp:val=&quot;26B75F6B&quot;/&gt;&lt;wsp:rsid wsp:val=&quot;26B801BD&quot;/&gt;&lt;wsp:rsid wsp:val=&quot;26B8182B&quot;/&gt;&lt;wsp:rsid wsp:val=&quot;26B818B1&quot;/&gt;&lt;wsp:rsid wsp:val=&quot;26B91CE3&quot;/&gt;&lt;wsp:rsid wsp:val=&quot;26B96187&quot;/&gt;&lt;wsp:rsid wsp:val=&quot;26BA5B8F&quot;/&gt;&lt;wsp:rsid wsp:val=&quot;26BB5A5B&quot;/&gt;&lt;wsp:rsid wsp:val=&quot;26BC17D3&quot;/&gt;&lt;wsp:rsid wsp:val=&quot;26BC2B51&quot;/&gt;&lt;wsp:rsid wsp:val=&quot;26BC6698&quot;/&gt;&lt;wsp:rsid wsp:val=&quot;26BD5C77&quot;/&gt;&lt;wsp:rsid wsp:val=&quot;26BE554B&quot;/&gt;&lt;wsp:rsid wsp:val=&quot;26C1503C&quot;/&gt;&lt;wsp:rsid wsp:val=&quot;26C3701B&quot;/&gt;&lt;wsp:rsid wsp:val=&quot;26C54B2C&quot;/&gt;&lt;wsp:rsid wsp:val=&quot;26CA0394&quot;/&gt;&lt;wsp:rsid wsp:val=&quot;26CC38C1&quot;/&gt;&lt;wsp:rsid wsp:val=&quot;26CC5EBA&quot;/&gt;&lt;wsp:rsid wsp:val=&quot;26CD1C32&quot;/&gt;&lt;wsp:rsid wsp:val=&quot;26CF59AB&quot;/&gt;&lt;wsp:rsid wsp:val=&quot;26CF7759&quot;/&gt;&lt;wsp:rsid wsp:val=&quot;26D07EC7&quot;/&gt;&lt;wsp:rsid wsp:val=&quot;26D11723&quot;/&gt;&lt;wsp:rsid wsp:val=&quot;26D20FF7&quot;/&gt;&lt;wsp:rsid wsp:val=&quot;26D22DA5&quot;/&gt;&lt;wsp:rsid wsp:val=&quot;26D3779C&quot;/&gt;&lt;wsp:rsid wsp:val=&quot;26D44D6F&quot;/&gt;&lt;wsp:rsid wsp:val=&quot;26D625F8&quot;/&gt;&lt;wsp:rsid wsp:val=&quot;26D66D39&quot;/&gt;&lt;wsp:rsid wsp:val=&quot;26D905D7&quot;/&gt;&lt;wsp:rsid wsp:val=&quot;26D92385&quot;/&gt;&lt;wsp:rsid wsp:val=&quot;26D97AE9&quot;/&gt;&lt;wsp:rsid wsp:val=&quot;26DA78A1&quot;/&gt;&lt;wsp:rsid wsp:val=&quot;26DB434F&quot;/&gt;&lt;wsp:rsid wsp:val=&quot;26DD00C8&quot;/&gt;&lt;wsp:rsid wsp:val=&quot;26DD2094&quot;/&gt;&lt;wsp:rsid wsp:val=&quot;26DE5BEE&quot;/&gt;&lt;wsp:rsid wsp:val=&quot;26DE799C&quot;/&gt;&lt;wsp:rsid wsp:val=&quot;26DF4B02&quot;/&gt;&lt;wsp:rsid wsp:val=&quot;26E10E4C&quot;/&gt;&lt;wsp:rsid wsp:val=&quot;26E11D97&quot;/&gt;&lt;wsp:rsid wsp:val=&quot;26E1248B&quot;/&gt;&lt;wsp:rsid wsp:val=&quot;26E20A62&quot;/&gt;&lt;wsp:rsid wsp:val=&quot;26E2106F&quot;/&gt;&lt;wsp:rsid wsp:val=&quot;26E222DC&quot;/&gt;&lt;wsp:rsid wsp:val=&quot;26E2748C&quot;/&gt;&lt;wsp:rsid wsp:val=&quot;26E36D60&quot;/&gt;&lt;wsp:rsid wsp:val=&quot;26E50D2A&quot;/&gt;&lt;wsp:rsid wsp:val=&quot;26E52AD8&quot;/&gt;&lt;wsp:rsid wsp:val=&quot;26E8081A&quot;/&gt;&lt;wsp:rsid wsp:val=&quot;26EA0A6E&quot;/&gt;&lt;wsp:rsid wsp:val=&quot;26EB3E67&quot;/&gt;&lt;wsp:rsid wsp:val=&quot;26EB6016&quot;/&gt;&lt;wsp:rsid wsp:val=&quot;26EF3957&quot;/&gt;&lt;wsp:rsid wsp:val=&quot;26EF3ACE&quot;/&gt;&lt;wsp:rsid wsp:val=&quot;26EF7DFB&quot;/&gt;&lt;wsp:rsid wsp:val=&quot;26F0218F&quot;/&gt;&lt;wsp:rsid wsp:val=&quot;26F15921&quot;/&gt;&lt;wsp:rsid wsp:val=&quot;26F251F5&quot;/&gt;&lt;wsp:rsid wsp:val=&quot;26F64CE5&quot;/&gt;&lt;wsp:rsid wsp:val=&quot;26F6767D&quot;/&gt;&lt;wsp:rsid wsp:val=&quot;26F70A5D&quot;/&gt;&lt;wsp:rsid wsp:val=&quot;26F7280B&quot;/&gt;&lt;wsp:rsid wsp:val=&quot;26F86CAF&quot;/&gt;&lt;wsp:rsid wsp:val=&quot;26FA33AF&quot;/&gt;&lt;wsp:rsid wsp:val=&quot;26FA7EC6&quot;/&gt;&lt;wsp:rsid wsp:val=&quot;26FB054E&quot;/&gt;&lt;wsp:rsid wsp:val=&quot;26FB22FC&quot;/&gt;&lt;wsp:rsid wsp:val=&quot;26FB45C4&quot;/&gt;&lt;wsp:rsid wsp:val=&quot;26FC6074&quot;/&gt;&lt;wsp:rsid wsp:val=&quot;26FD3D8F&quot;/&gt;&lt;wsp:rsid wsp:val=&quot;26FE2E1D&quot;/&gt;&lt;wsp:rsid wsp:val=&quot;26FF43D5&quot;/&gt;&lt;wsp:rsid wsp:val=&quot;2702368A&quot;/&gt;&lt;wsp:rsid wsp:val=&quot;27024548&quot;/&gt;&lt;wsp:rsid wsp:val=&quot;270311B0&quot;/&gt;&lt;wsp:rsid wsp:val=&quot;2705317A&quot;/&gt;&lt;wsp:rsid wsp:val=&quot;27070CA1&quot;/&gt;&lt;wsp:rsid wsp:val=&quot;27072B67&quot;/&gt;&lt;wsp:rsid wsp:val=&quot;27075144&quot;/&gt;&lt;wsp:rsid wsp:val=&quot;270A0791&quot;/&gt;&lt;wsp:rsid wsp:val=&quot;270A253F&quot;/&gt;&lt;wsp:rsid wsp:val=&quot;270B3494&quot;/&gt;&lt;wsp:rsid wsp:val=&quot;270C62B7&quot;/&gt;&lt;wsp:rsid wsp:val=&quot;270D202F&quot;/&gt;&lt;wsp:rsid wsp:val=&quot;270D32BD&quot;/&gt;&lt;wsp:rsid wsp:val=&quot;270E20AE&quot;/&gt;&lt;wsp:rsid wsp:val=&quot;270F3ECA&quot;/&gt;&lt;wsp:rsid wsp:val=&quot;27100E1A&quot;/&gt;&lt;wsp:rsid wsp:val=&quot;2714225E&quot;/&gt;&lt;wsp:rsid wsp:val=&quot;271433BD&quot;/&gt;&lt;wsp:rsid wsp:val=&quot;27165388&quot;/&gt;&lt;wsp:rsid wsp:val=&quot;27167136&quot;/&gt;&lt;wsp:rsid wsp:val=&quot;27182EAE&quot;/&gt;&lt;wsp:rsid wsp:val=&quot;271909D4&quot;/&gt;&lt;wsp:rsid wsp:val=&quot;271D04C4&quot;/&gt;&lt;wsp:rsid wsp:val=&quot;271D6716&quot;/&gt;&lt;wsp:rsid wsp:val=&quot;271F3365&quot;/&gt;&lt;wsp:rsid wsp:val=&quot;2720227E&quot;/&gt;&lt;wsp:rsid wsp:val=&quot;27207FB4&quot;/&gt;&lt;wsp:rsid wsp:val=&quot;27220FDE&quot;/&gt;&lt;wsp:rsid wsp:val=&quot;2724208F&quot;/&gt;&lt;wsp:rsid wsp:val=&quot;2725381D&quot;/&gt;&lt;wsp:rsid wsp:val=&quot;27266572&quot;/&gt;&lt;wsp:rsid wsp:val=&quot;27276D3D&quot;/&gt;&lt;wsp:rsid wsp:val=&quot;27277595&quot;/&gt;&lt;wsp:rsid wsp:val=&quot;27286E69&quot;/&gt;&lt;wsp:rsid wsp:val=&quot;272A498F&quot;/&gt;&lt;wsp:rsid wsp:val=&quot;272D33E5&quot;/&gt;&lt;wsp:rsid wsp:val=&quot;27313F6F&quot;/&gt;&lt;wsp:rsid wsp:val=&quot;27321A96&quot;/&gt;&lt;wsp:rsid wsp:val=&quot;27337CE7&quot;/&gt;&lt;wsp:rsid wsp:val=&quot;27343A60&quot;/&gt;&lt;wsp:rsid wsp:val=&quot;2734580E&quot;/&gt;&lt;wsp:rsid wsp:val=&quot;27361586&quot;/&gt;&lt;wsp:rsid wsp:val=&quot;27391076&quot;/&gt;&lt;wsp:rsid wsp:val=&quot;27392E24&quot;/&gt;&lt;wsp:rsid wsp:val=&quot;27394565&quot;/&gt;&lt;wsp:rsid wsp:val=&quot;273A18F4&quot;/&gt;&lt;wsp:rsid wsp:val=&quot;273A72C8&quot;/&gt;&lt;wsp:rsid wsp:val=&quot;273B094A&quot;/&gt;&lt;wsp:rsid wsp:val=&quot;273B6B9C&quot;/&gt;&lt;wsp:rsid wsp:val=&quot;273D2914&quot;/&gt;&lt;wsp:rsid wsp:val=&quot;273D46C2&quot;/&gt;&lt;wsp:rsid wsp:val=&quot;273E043A&quot;/&gt;&lt;wsp:rsid wsp:val=&quot;273E668C&quot;/&gt;&lt;wsp:rsid wsp:val=&quot;273F48DE&quot;/&gt;&lt;wsp:rsid wsp:val=&quot;27402404&quot;/&gt;&lt;wsp:rsid wsp:val=&quot;274134AA&quot;/&gt;&lt;wsp:rsid wsp:val=&quot;274243CE&quot;/&gt;&lt;wsp:rsid wsp:val=&quot;27424B60&quot;/&gt;&lt;wsp:rsid wsp:val=&quot;27427F2B&quot;/&gt;&lt;wsp:rsid wsp:val=&quot;274301E8&quot;/&gt;&lt;wsp:rsid wsp:val=&quot;27433CA3&quot;/&gt;&lt;wsp:rsid wsp:val=&quot;27435A51&quot;/&gt;&lt;wsp:rsid wsp:val=&quot;27436AA7&quot;/&gt;&lt;wsp:rsid wsp:val=&quot;27441678&quot;/&gt;&lt;wsp:rsid wsp:val=&quot;274A3283&quot;/&gt;&lt;wsp:rsid wsp:val=&quot;274A5031&quot;/&gt;&lt;wsp:rsid wsp:val=&quot;274A634F&quot;/&gt;&lt;wsp:rsid wsp:val=&quot;274B7E0A&quot;/&gt;&lt;wsp:rsid wsp:val=&quot;274C0DA9&quot;/&gt;&lt;wsp:rsid wsp:val=&quot;274C2B57&quot;/&gt;&lt;wsp:rsid wsp:val=&quot;274C6FFB&quot;/&gt;&lt;wsp:rsid wsp:val=&quot;274E2D73&quot;/&gt;&lt;wsp:rsid wsp:val=&quot;274E68CF&quot;/&gt;&lt;wsp:rsid wsp:val=&quot;274F505D&quot;/&gt;&lt;wsp:rsid wsp:val=&quot;275066B9&quot;/&gt;&lt;wsp:rsid wsp:val=&quot;27507C1B&quot;/&gt;&lt;wsp:rsid wsp:val=&quot;27513C7C&quot;/&gt;&lt;wsp:rsid wsp:val=&quot;27514612&quot;/&gt;&lt;wsp:rsid wsp:val=&quot;27533EE6&quot;/&gt;&lt;wsp:rsid wsp:val=&quot;27541A0C&quot;/&gt;&lt;wsp:rsid wsp:val=&quot;27545EB0&quot;/&gt;&lt;wsp:rsid wsp:val=&quot;275814FC&quot;/&gt;&lt;wsp:rsid wsp:val=&quot;275859A0&quot;/&gt;&lt;wsp:rsid wsp:val=&quot;27594FDF&quot;/&gt;&lt;wsp:rsid wsp:val=&quot;275A1718&quot;/&gt;&lt;wsp:rsid wsp:val=&quot;275A34C6&quot;/&gt;&lt;wsp:rsid wsp:val=&quot;275B304F&quot;/&gt;&lt;wsp:rsid wsp:val=&quot;275D2FB6&quot;/&gt;&lt;wsp:rsid wsp:val=&quot;275D3041&quot;/&gt;&lt;wsp:rsid wsp:val=&quot;27604855&quot;/&gt;&lt;wsp:rsid wsp:val=&quot;27607710&quot;/&gt;&lt;wsp:rsid wsp:val=&quot;276205CD&quot;/&gt;&lt;wsp:rsid wsp:val=&quot;27644345&quot;/&gt;&lt;wsp:rsid wsp:val=&quot;276A122F&quot;/&gt;&lt;wsp:rsid wsp:val=&quot;276A3840&quot;/&gt;&lt;wsp:rsid wsp:val=&quot;276E31A4&quot;/&gt;&lt;wsp:rsid wsp:val=&quot;276E51C4&quot;/&gt;&lt;wsp:rsid wsp:val=&quot;277057A2&quot;/&gt;&lt;wsp:rsid wsp:val=&quot;27706FB8&quot;/&gt;&lt;wsp:rsid wsp:val=&quot;27710810&quot;/&gt;&lt;wsp:rsid wsp:val=&quot;277125BE&quot;/&gt;&lt;wsp:rsid wsp:val=&quot;27726DC1&quot;/&gt;&lt;wsp:rsid wsp:val=&quot;27750300&quot;/&gt;&lt;wsp:rsid wsp:val=&quot;27753077&quot;/&gt;&lt;wsp:rsid wsp:val=&quot;27761936&quot;/&gt;&lt;wsp:rsid wsp:val=&quot;27765E26&quot;/&gt;&lt;wsp:rsid wsp:val=&quot;27791C52&quot;/&gt;&lt;wsp:rsid wsp:val=&quot;277A5916&quot;/&gt;&lt;wsp:rsid wsp:val=&quot;277B343D&quot;/&gt;&lt;wsp:rsid wsp:val=&quot;277B51EB&quot;/&gt;&lt;wsp:rsid wsp:val=&quot;277B6EE9&quot;/&gt;&lt;wsp:rsid wsp:val=&quot;277D0F63&quot;/&gt;&lt;wsp:rsid wsp:val=&quot;277D1E1B&quot;/&gt;&lt;wsp:rsid wsp:val=&quot;27800A53&quot;/&gt;&lt;wsp:rsid wsp:val=&quot;27802801&quot;/&gt;&lt;wsp:rsid wsp:val=&quot;27822A1D&quot;/&gt;&lt;wsp:rsid wsp:val=&quot;278241EB&quot;/&gt;&lt;wsp:rsid wsp:val=&quot;278247CB&quot;/&gt;&lt;wsp:rsid wsp:val=&quot;27856069&quot;/&gt;&lt;wsp:rsid wsp:val=&quot;27857F9B&quot;/&gt;&lt;wsp:rsid wsp:val=&quot;27893DAB&quot;/&gt;&lt;wsp:rsid wsp:val=&quot;27897806&quot;/&gt;&lt;wsp:rsid wsp:val=&quot;278A18D2&quot;/&gt;&lt;wsp:rsid wsp:val=&quot;278B7B24&quot;/&gt;&lt;wsp:rsid wsp:val=&quot;278B7D5D&quot;/&gt;&lt;wsp:rsid wsp:val=&quot;278C389C&quot;/&gt;&lt;wsp:rsid wsp:val=&quot;278C73F8&quot;/&gt;&lt;wsp:rsid wsp:val=&quot;278E4F1E&quot;/&gt;&lt;wsp:rsid wsp:val=&quot;279029B7&quot;/&gt;&lt;wsp:rsid wsp:val=&quot;2790513A&quot;/&gt;&lt;wsp:rsid wsp:val=&quot;2792259F&quot;/&gt;&lt;wsp:rsid wsp:val=&quot;27952750&quot;/&gt;&lt;wsp:rsid wsp:val=&quot;27966247&quot;/&gt;&lt;wsp:rsid wsp:val=&quot;279664C8&quot;/&gt;&lt;wsp:rsid wsp:val=&quot;27983FEE&quot;/&gt;&lt;wsp:rsid wsp:val=&quot;279A1B15&quot;/&gt;&lt;wsp:rsid wsp:val=&quot;279A2500&quot;/&gt;&lt;wsp:rsid wsp:val=&quot;279B763B&quot;/&gt;&lt;wsp:rsid wsp:val=&quot;279C473B&quot;/&gt;&lt;wsp:rsid wsp:val=&quot;279D1605&quot;/&gt;&lt;wsp:rsid wsp:val=&quot;279D6E90&quot;/&gt;&lt;wsp:rsid wsp:val=&quot;279D7F0B&quot;/&gt;&lt;wsp:rsid wsp:val=&quot;279F3713&quot;/&gt;&lt;wsp:rsid wsp:val=&quot;279F712B&quot;/&gt;&lt;wsp:rsid wsp:val=&quot;27A02EA3&quot;/&gt;&lt;wsp:rsid wsp:val=&quot;27A17CA4&quot;/&gt;&lt;wsp:rsid wsp:val=&quot;27A22094&quot;/&gt;&lt;wsp:rsid wsp:val=&quot;27A44741&quot;/&gt;&lt;wsp:rsid wsp:val=&quot;27A612A3&quot;/&gt;&lt;wsp:rsid wsp:val=&quot;27A61EA5&quot;/&gt;&lt;wsp:rsid wsp:val=&quot;27A6670B&quot;/&gt;&lt;wsp:rsid wsp:val=&quot;27A74232&quot;/&gt;&lt;wsp:rsid wsp:val=&quot;27A97FAA&quot;/&gt;&lt;wsp:rsid wsp:val=&quot;27AB1F74&quot;/&gt;&lt;wsp:rsid wsp:val=&quot;27AB3D22&quot;/&gt;&lt;wsp:rsid wsp:val=&quot;27AB7DE0&quot;/&gt;&lt;wsp:rsid wsp:val=&quot;27AC35F6&quot;/&gt;&lt;wsp:rsid wsp:val=&quot;27AC5CEC&quot;/&gt;&lt;wsp:rsid wsp:val=&quot;27AE3812&quot;/&gt;&lt;wsp:rsid wsp:val=&quot;27AE736E&quot;/&gt;&lt;wsp:rsid wsp:val=&quot;27AF1AC7&quot;/&gt;&lt;wsp:rsid wsp:val=&quot;27AF30E6&quot;/&gt;&lt;wsp:rsid wsp:val=&quot;27B02F57&quot;/&gt;&lt;wsp:rsid wsp:val=&quot;27B04698&quot;/&gt;&lt;wsp:rsid wsp:val=&quot;27B0758A&quot;/&gt;&lt;wsp:rsid wsp:val=&quot;27B0795B&quot;/&gt;&lt;wsp:rsid wsp:val=&quot;27B106F9&quot;/&gt;&lt;wsp:rsid wsp:val=&quot;27B16194&quot;/&gt;&lt;wsp:rsid wsp:val=&quot;27B32BD6&quot;/&gt;&lt;wsp:rsid wsp:val=&quot;27B626C7&quot;/&gt;&lt;wsp:rsid wsp:val=&quot;27B66DC9&quot;/&gt;&lt;wsp:rsid wsp:val=&quot;27B84691&quot;/&gt;&lt;wsp:rsid wsp:val=&quot;27BA21B7&quot;/&gt;&lt;wsp:rsid wsp:val=&quot;27BB2F34&quot;/&gt;&lt;wsp:rsid wsp:val=&quot;27BB7CDD&quot;/&gt;&lt;wsp:rsid wsp:val=&quot;27BC580C&quot;/&gt;&lt;wsp:rsid wsp:val=&quot;27BC723E&quot;/&gt;&lt;wsp:rsid wsp:val=&quot;27BD2B44&quot;/&gt;&lt;wsp:rsid wsp:val=&quot;27BD5803&quot;/&gt;&lt;wsp:rsid wsp:val=&quot;27BF77CD&quot;/&gt;&lt;wsp:rsid wsp:val=&quot;27C052F3&quot;/&gt;&lt;wsp:rsid wsp:val=&quot;27C2106B&quot;/&gt;&lt;wsp:rsid wsp:val=&quot;27C22E19&quot;/&gt;&lt;wsp:rsid wsp:val=&quot;27C27F3D&quot;/&gt;&lt;wsp:rsid wsp:val=&quot;27C35E3F&quot;/&gt;&lt;wsp:rsid wsp:val=&quot;27C43F9E&quot;/&gt;&lt;wsp:rsid wsp:val=&quot;27C46B92&quot;/&gt;&lt;wsp:rsid wsp:val=&quot;27C546B8&quot;/&gt;&lt;wsp:rsid wsp:val=&quot;27C941A8&quot;/&gt;&lt;wsp:rsid wsp:val=&quot;27CB0FB5&quot;/&gt;&lt;wsp:rsid wsp:val=&quot;27CC3C98&quot;/&gt;&lt;wsp:rsid wsp:val=&quot;27CE17BE&quot;/&gt;&lt;wsp:rsid wsp:val=&quot;27CE5C62&quot;/&gt;&lt;wsp:rsid wsp:val=&quot;27D17500&quot;/&gt;&lt;wsp:rsid wsp:val=&quot;27D2015E&quot;/&gt;&lt;wsp:rsid wsp:val=&quot;27D35027&quot;/&gt;&lt;wsp:rsid wsp:val=&quot;27D549D1&quot;/&gt;&lt;wsp:rsid wsp:val=&quot;27D8263D&quot;/&gt;&lt;wsp:rsid wsp:val=&quot;27D8568C&quot;/&gt;&lt;wsp:rsid wsp:val=&quot;27D86AE1&quot;/&gt;&lt;wsp:rsid wsp:val=&quot;27DA4607&quot;/&gt;&lt;wsp:rsid wsp:val=&quot;27DA63B5&quot;/&gt;&lt;wsp:rsid wsp:val=&quot;27DD5EA5&quot;/&gt;&lt;wsp:rsid wsp:val=&quot;27DF1C1D&quot;/&gt;&lt;wsp:rsid wsp:val=&quot;27DF39CB&quot;/&gt;&lt;wsp:rsid wsp:val=&quot;27DF5779&quot;/&gt;&lt;wsp:rsid wsp:val=&quot;27E014F2&quot;/&gt;&lt;wsp:rsid wsp:val=&quot;27E15995&quot;/&gt;&lt;wsp:rsid wsp:val=&quot;27E20E2A&quot;/&gt;&lt;wsp:rsid wsp:val=&quot;27E234BC&quot;/&gt;&lt;wsp:rsid wsp:val=&quot;27E4630B&quot;/&gt;&lt;wsp:rsid wsp:val=&quot;27E61651&quot;/&gt;&lt;wsp:rsid wsp:val=&quot;27E70AD2&quot;/&gt;&lt;wsp:rsid wsp:val=&quot;27E82557&quot;/&gt;&lt;wsp:rsid wsp:val=&quot;27EB2370&quot;/&gt;&lt;wsp:rsid wsp:val=&quot;27F07987&quot;/&gt;&lt;wsp:rsid wsp:val=&quot;27F12FBB&quot;/&gt;&lt;wsp:rsid wsp:val=&quot;27F136FF&quot;/&gt;&lt;wsp:rsid wsp:val=&quot;27F154AD&quot;/&gt;&lt;wsp:rsid wsp:val=&quot;27F27A1F&quot;/&gt;&lt;wsp:rsid wsp:val=&quot;27F37477&quot;/&gt;&lt;wsp:rsid wsp:val=&quot;27F4323D&quot;/&gt;&lt;wsp:rsid wsp:val=&quot;27F531EF&quot;/&gt;&lt;wsp:rsid wsp:val=&quot;27F57BD6&quot;/&gt;&lt;wsp:rsid wsp:val=&quot;27F751B9&quot;/&gt;&lt;wsp:rsid wsp:val=&quot;27F84A8D&quot;/&gt;&lt;wsp:rsid wsp:val=&quot;27F90751&quot;/&gt;&lt;wsp:rsid wsp:val=&quot;27FA6A57&quot;/&gt;&lt;wsp:rsid wsp:val=&quot;27FC27CF&quot;/&gt;&lt;wsp:rsid wsp:val=&quot;27FC2C9F&quot;/&gt;&lt;wsp:rsid wsp:val=&quot;27FC632B&quot;/&gt;&lt;wsp:rsid wsp:val=&quot;27FD6419&quot;/&gt;&lt;wsp:rsid wsp:val=&quot;27FE6547&quot;/&gt;&lt;wsp:rsid wsp:val=&quot;28012102&quot;/&gt;&lt;wsp:rsid wsp:val=&quot;28041431&quot;/&gt;&lt;wsp:rsid wsp:val=&quot;28043432&quot;/&gt;&lt;wsp:rsid wsp:val=&quot;28060F58&quot;/&gt;&lt;wsp:rsid wsp:val=&quot;28074CD0&quot;/&gt;&lt;wsp:rsid wsp:val=&quot;280B7BC3&quot;/&gt;&lt;wsp:rsid wsp:val=&quot;280D0F4C&quot;/&gt;&lt;wsp:rsid wsp:val=&quot;280D24E3&quot;/&gt;&lt;wsp:rsid wsp:val=&quot;280E2503&quot;/&gt;&lt;wsp:rsid wsp:val=&quot;28100718&quot;/&gt;&lt;wsp:rsid wsp:val=&quot;281178FD&quot;/&gt;&lt;wsp:rsid wsp:val=&quot;28123DA1&quot;/&gt;&lt;wsp:rsid wsp:val=&quot;28124CBB&quot;/&gt;&lt;wsp:rsid wsp:val=&quot;28133675&quot;/&gt;&lt;wsp:rsid wsp:val=&quot;28135D30&quot;/&gt;&lt;wsp:rsid wsp:val=&quot;28140F26&quot;/&gt;&lt;wsp:rsid wsp:val=&quot;28164F13&quot;/&gt;&lt;wsp:rsid wsp:val=&quot;28165994&quot;/&gt;&lt;wsp:rsid wsp:val=&quot;28177609&quot;/&gt;&lt;wsp:rsid wsp:val=&quot;281803AC&quot;/&gt;&lt;wsp:rsid wsp:val=&quot;281A2C55&quot;/&gt;&lt;wsp:rsid wsp:val=&quot;281C01F3&quot;/&gt;&lt;wsp:rsid wsp:val=&quot;281C077C&quot;/&gt;&lt;wsp:rsid wsp:val=&quot;281F201A&quot;/&gt;&lt;wsp:rsid wsp:val=&quot;281F5094&quot;/&gt;&lt;wsp:rsid wsp:val=&quot;28235FAE&quot;/&gt;&lt;wsp:rsid wsp:val=&quot;28275C5B&quot;/&gt;&lt;wsp:rsid wsp:val=&quot;28277C8E&quot;/&gt;&lt;wsp:rsid wsp:val=&quot;28292C63&quot;/&gt;&lt;wsp:rsid wsp:val=&quot;282B09BF&quot;/&gt;&lt;wsp:rsid wsp:val=&quot;282C5617&quot;/&gt;&lt;wsp:rsid wsp:val=&quot;282E04AF&quot;/&gt;&lt;wsp:rsid wsp:val=&quot;282E6701&quot;/&gt;&lt;wsp:rsid wsp:val=&quot;28304227&quot;/&gt;&lt;wsp:rsid wsp:val=&quot;28305FD5&quot;/&gt;&lt;wsp:rsid wsp:val=&quot;28322399&quot;/&gt;&lt;wsp:rsid wsp:val=&quot;28322D6E&quot;/&gt;&lt;wsp:rsid wsp:val=&quot;283261F1&quot;/&gt;&lt;wsp:rsid wsp:val=&quot;28333D17&quot;/&gt;&lt;wsp:rsid wsp:val=&quot;28341F69&quot;/&gt;&lt;wsp:rsid wsp:val=&quot;2835183D&quot;/&gt;&lt;wsp:rsid wsp:val=&quot;28357A8F&quot;/&gt;&lt;wsp:rsid wsp:val=&quot;283B2990&quot;/&gt;&lt;wsp:rsid wsp:val=&quot;283C2BCC&quot;/&gt;&lt;wsp:rsid wsp:val=&quot;283C5EAB&quot;/&gt;&lt;wsp:rsid wsp:val=&quot;283E2A52&quot;/&gt;&lt;wsp:rsid wsp:val=&quot;284167A7&quot;/&gt;&lt;wsp:rsid wsp:val=&quot;284303FE&quot;/&gt;&lt;wsp:rsid wsp:val=&quot;28433CF3&quot;/&gt;&lt;wsp:rsid wsp:val=&quot;28447CD2&quot;/&gt;&lt;wsp:rsid wsp:val=&quot;28457D54&quot;/&gt;&lt;wsp:rsid wsp:val=&quot;284611E4&quot;/&gt;&lt;wsp:rsid wsp:val=&quot;28472674&quot;/&gt;&lt;wsp:rsid wsp:val=&quot;28485A15&quot;/&gt;&lt;wsp:rsid wsp:val=&quot;284952E9&quot;/&gt;&lt;wsp:rsid wsp:val=&quot;28497097&quot;/&gt;&lt;wsp:rsid wsp:val=&quot;284B2485&quot;/&gt;&lt;wsp:rsid wsp:val=&quot;284B4370&quot;/&gt;&lt;wsp:rsid wsp:val=&quot;284D302B&quot;/&gt;&lt;wsp:rsid wsp:val=&quot;284D4DD9&quot;/&gt;&lt;wsp:rsid wsp:val=&quot;284E28FF&quot;/&gt;&lt;wsp:rsid wsp:val=&quot;284F6DA3&quot;/&gt;&lt;wsp:rsid wsp:val=&quot;28500425&quot;/&gt;&lt;wsp:rsid wsp:val=&quot;2850260F&quot;/&gt;&lt;wsp:rsid wsp:val=&quot;285223EF&quot;/&gt;&lt;wsp:rsid wsp:val=&quot;28537F15&quot;/&gt;&lt;wsp:rsid wsp:val=&quot;285443B9&quot;/&gt;&lt;wsp:rsid wsp:val=&quot;28546167&quot;/&gt;&lt;wsp:rsid wsp:val=&quot;28550131&quot;/&gt;&lt;wsp:rsid wsp:val=&quot;28574869&quot;/&gt;&lt;wsp:rsid wsp:val=&quot;28595F19&quot;/&gt;&lt;wsp:rsid wsp:val=&quot;285A6182&quot;/&gt;&lt;wsp:rsid wsp:val=&quot;285C14C0&quot;/&gt;&lt;wsp:rsid wsp:val=&quot;285C326E&quot;/&gt;&lt;wsp:rsid wsp:val=&quot;285D746B&quot;/&gt;&lt;wsp:rsid wsp:val=&quot;28612632&quot;/&gt;&lt;wsp:rsid wsp:val=&quot;2862536E&quot;/&gt;&lt;wsp:rsid wsp:val=&quot;28643ED1&quot;/&gt;&lt;wsp:rsid wsp:val=&quot;286444FC&quot;/&gt;&lt;wsp:rsid wsp:val=&quot;2869124C&quot;/&gt;&lt;wsp:rsid wsp:val=&quot;28697739&quot;/&gt;&lt;wsp:rsid wsp:val=&quot;286A598B&quot;/&gt;&lt;wsp:rsid wsp:val=&quot;286A5FDD&quot;/&gt;&lt;wsp:rsid wsp:val=&quot;286B1703&quot;/&gt;&lt;wsp:rsid wsp:val=&quot;286D008D&quot;/&gt;&lt;wsp:rsid wsp:val=&quot;286D0FD7&quot;/&gt;&lt;wsp:rsid wsp:val=&quot;286D7229&quot;/&gt;&lt;wsp:rsid wsp:val=&quot;286E4D4F&quot;/&gt;&lt;wsp:rsid wsp:val=&quot;28700AC7&quot;/&gt;&lt;wsp:rsid wsp:val=&quot;287265EE&quot;/&gt;&lt;wsp:rsid wsp:val=&quot;28732366&quot;/&gt;&lt;wsp:rsid wsp:val=&quot;28741B8A&quot;/&gt;&lt;wsp:rsid wsp:val=&quot;28744960&quot;/&gt;&lt;wsp:rsid wsp:val=&quot;28744BDA&quot;/&gt;&lt;wsp:rsid wsp:val=&quot;2874680A&quot;/&gt;&lt;wsp:rsid wsp:val=&quot;287560DE&quot;/&gt;&lt;wsp:rsid wsp:val=&quot;287656A9&quot;/&gt;&lt;wsp:rsid wsp:val=&quot;28771E56&quot;/&gt;&lt;wsp:rsid wsp:val=&quot;28773C04&quot;/&gt;&lt;wsp:rsid wsp:val=&quot;287776D3&quot;/&gt;&lt;wsp:rsid wsp:val=&quot;287814A2&quot;/&gt;&lt;wsp:rsid wsp:val=&quot;287C121A&quot;/&gt;&lt;wsp:rsid wsp:val=&quot;287C56BE&quot;/&gt;&lt;wsp:rsid wsp:val=&quot;287F6DC5&quot;/&gt;&lt;wsp:rsid wsp:val=&quot;287F6F5C&quot;/&gt;&lt;wsp:rsid wsp:val=&quot;288051AE&quot;/&gt;&lt;wsp:rsid wsp:val=&quot;28812455&quot;/&gt;&lt;wsp:rsid wsp:val=&quot;28844573&quot;/&gt;&lt;wsp:rsid wsp:val=&quot;28846321&quot;/&gt;&lt;wsp:rsid wsp:val=&quot;288502C1&quot;/&gt;&lt;wsp:rsid wsp:val=&quot;28862099&quot;/&gt;&lt;wsp:rsid wsp:val=&quot;288822B5&quot;/&gt;&lt;wsp:rsid wsp:val=&quot;288A1B89&quot;/&gt;&lt;wsp:rsid wsp:val=&quot;288A4920&quot;/&gt;&lt;wsp:rsid wsp:val=&quot;288B5901&quot;/&gt;&lt;wsp:rsid wsp:val=&quot;28902F18&quot;/&gt;&lt;wsp:rsid wsp:val=&quot;28904CC6&quot;/&gt;&lt;wsp:rsid wsp:val=&quot;289112ED&quot;/&gt;&lt;wsp:rsid wsp:val=&quot;28926C90&quot;/&gt;&lt;wsp:rsid wsp:val=&quot;28940C5A&quot;/&gt;&lt;wsp:rsid wsp:val=&quot;28942A08&quot;/&gt;&lt;wsp:rsid wsp:val=&quot;289447B6&quot;/&gt;&lt;wsp:rsid wsp:val=&quot;289522DC&quot;/&gt;&lt;wsp:rsid wsp:val=&quot;28954CDC&quot;/&gt;&lt;wsp:rsid wsp:val=&quot;28956780&quot;/&gt;&lt;wsp:rsid wsp:val=&quot;28976054&quot;/&gt;&lt;wsp:rsid wsp:val=&quot;28990963&quot;/&gt;&lt;wsp:rsid wsp:val=&quot;28991DCC&quot;/&gt;&lt;wsp:rsid wsp:val=&quot;289B1FDE&quot;/&gt;&lt;wsp:rsid wsp:val=&quot;289B5978&quot;/&gt;&lt;wsp:rsid wsp:val=&quot;289D1D2D&quot;/&gt;&lt;wsp:rsid wsp:val=&quot;289F721E&quot;/&gt;&lt;wsp:rsid wsp:val=&quot;28A10C81&quot;/&gt;&lt;wsp:rsid wsp:val=&quot;28A16ED3&quot;/&gt;&lt;wsp:rsid wsp:val=&quot;28A54C15&quot;/&gt;&lt;wsp:rsid wsp:val=&quot;28A8200F&quot;/&gt;&lt;wsp:rsid wsp:val=&quot;28A945E1&quot;/&gt;&lt;wsp:rsid wsp:val=&quot;28A95D87&quot;/&gt;&lt;wsp:rsid wsp:val=&quot;28AA3FD9&quot;/&gt;&lt;wsp:rsid wsp:val=&quot;28AB7D51&quot;/&gt;&lt;wsp:rsid wsp:val=&quot;28AD1D1C&quot;/&gt;&lt;wsp:rsid wsp:val=&quot;28AD5878&quot;/&gt;&lt;wsp:rsid wsp:val=&quot;28AF339E&quot;/&gt;&lt;wsp:rsid wsp:val=&quot;28B07116&quot;/&gt;&lt;wsp:rsid wsp:val=&quot;28B409B4&quot;/&gt;&lt;wsp:rsid wsp:val=&quot;28B44E58&quot;/&gt;&lt;wsp:rsid wsp:val=&quot;28B45344&quot;/&gt;&lt;wsp:rsid wsp:val=&quot;28B5472C&quot;/&gt;&lt;wsp:rsid wsp:val=&quot;28B9421C&quot;/&gt;&lt;wsp:rsid wsp:val=&quot;28BA1D43&quot;/&gt;&lt;wsp:rsid wsp:val=&quot;28BA5566&quot;/&gt;&lt;wsp:rsid wsp:val=&quot;28BC1F5F&quot;/&gt;&lt;wsp:rsid wsp:val=&quot;28BC5ABB&quot;/&gt;&lt;wsp:rsid wsp:val=&quot;28BE7A85&quot;/&gt;&lt;wsp:rsid wsp:val=&quot;28BF50C6&quot;/&gt;&lt;wsp:rsid wsp:val=&quot;28C130D1&quot;/&gt;&lt;wsp:rsid wsp:val=&quot;28C332ED&quot;/&gt;&lt;wsp:rsid wsp:val=&quot;28C3700C&quot;/&gt;&lt;wsp:rsid wsp:val=&quot;28C45F55&quot;/&gt;&lt;wsp:rsid wsp:val=&quot;28C47AA8&quot;/&gt;&lt;wsp:rsid wsp:val=&quot;28C50E13&quot;/&gt;&lt;wsp:rsid wsp:val=&quot;28C50F38&quot;/&gt;&lt;wsp:rsid wsp:val=&quot;28C56E58&quot;/&gt;&lt;wsp:rsid wsp:val=&quot;28C57065&quot;/&gt;&lt;wsp:rsid wsp:val=&quot;28C63B09&quot;/&gt;&lt;wsp:rsid wsp:val=&quot;28C80903&quot;/&gt;&lt;wsp:rsid wsp:val=&quot;28C826B1&quot;/&gt;&lt;wsp:rsid wsp:val=&quot;28CB3F50&quot;/&gt;&lt;wsp:rsid wsp:val=&quot;28CC03F4&quot;/&gt;&lt;wsp:rsid wsp:val=&quot;28CD229B&quot;/&gt;&lt;wsp:rsid wsp:val=&quot;28CD2F26&quot;/&gt;&lt;wsp:rsid wsp:val=&quot;28CD5F1A&quot;/&gt;&lt;wsp:rsid wsp:val=&quot;28D163A6&quot;/&gt;&lt;wsp:rsid wsp:val=&quot;28D4759D&quot;/&gt;&lt;wsp:rsid wsp:val=&quot;28D67719&quot;/&gt;&lt;wsp:rsid wsp:val=&quot;28D728F5&quot;/&gt;&lt;wsp:rsid wsp:val=&quot;28D95D96&quot;/&gt;&lt;wsp:rsid wsp:val=&quot;28D9666D&quot;/&gt;&lt;wsp:rsid wsp:val=&quot;28DA340F&quot;/&gt;&lt;wsp:rsid wsp:val=&quot;28DC615D&quot;/&gt;&lt;wsp:rsid wsp:val=&quot;28DC73E2&quot;/&gt;&lt;wsp:rsid wsp:val=&quot;28DC7F0B&quot;/&gt;&lt;wsp:rsid wsp:val=&quot;28E03E9F&quot;/&gt;&lt;wsp:rsid wsp:val=&quot;28E079FB&quot;/&gt;&lt;wsp:rsid wsp:val=&quot;28E13773&quot;/&gt;&lt;wsp:rsid wsp:val=&quot;28E15521&quot;/&gt;&lt;wsp:rsid wsp:val=&quot;28E219C5&quot;/&gt;&lt;wsp:rsid wsp:val=&quot;28E31299&quot;/&gt;&lt;wsp:rsid wsp:val=&quot;28E3573D&quot;/&gt;&lt;wsp:rsid wsp:val=&quot;28E37000&quot;/&gt;&lt;wsp:rsid wsp:val=&quot;28E374EB&quot;/&gt;&lt;wsp:rsid wsp:val=&quot;28E4124D&quot;/&gt;&lt;wsp:rsid wsp:val=&quot;28E53263&quot;/&gt;&lt;wsp:rsid wsp:val=&quot;28E55011&quot;/&gt;&lt;wsp:rsid wsp:val=&quot;28E619B2&quot;/&gt;&lt;wsp:rsid wsp:val=&quot;28E76FDC&quot;/&gt;&lt;wsp:rsid wsp:val=&quot;28E82D54&quot;/&gt;&lt;wsp:rsid wsp:val=&quot;28E868B0&quot;/&gt;&lt;wsp:rsid wsp:val=&quot;28E86EA3&quot;/&gt;&lt;wsp:rsid wsp:val=&quot;28EA0527&quot;/&gt;&lt;wsp:rsid wsp:val=&quot;28EA087A&quot;/&gt;&lt;wsp:rsid wsp:val=&quot;28EA2628&quot;/&gt;&lt;wsp:rsid wsp:val=&quot;28EC095D&quot;/&gt;&lt;wsp:rsid wsp:val=&quot;28EE0144&quot;/&gt;&lt;wsp:rsid wsp:val=&quot;28EF5E90&quot;/&gt;&lt;wsp:rsid wsp:val=&quot;28F2772E&quot;/&gt;&lt;wsp:rsid wsp:val=&quot;28F434A6&quot;/&gt;&lt;wsp:rsid wsp:val=&quot;28F60FCD&quot;/&gt;&lt;wsp:rsid wsp:val=&quot;28F76096&quot;/&gt;&lt;wsp:rsid wsp:val=&quot;28F90ABD&quot;/&gt;&lt;wsp:rsid wsp:val=&quot;28F9286B&quot;/&gt;&lt;wsp:rsid wsp:val=&quot;28FB789F&quot;/&gt;&lt;wsp:rsid wsp:val=&quot;28FC235B&quot;/&gt;&lt;wsp:rsid wsp:val=&quot;28FD16C4&quot;/&gt;&lt;wsp:rsid wsp:val=&quot;28FD67FF&quot;/&gt;&lt;wsp:rsid wsp:val=&quot;28FE4325&quot;/&gt;&lt;wsp:rsid wsp:val=&quot;29003BF9&quot;/&gt;&lt;wsp:rsid wsp:val=&quot;29015BC3&quot;/&gt;&lt;wsp:rsid wsp:val=&quot;29017971&quot;/&gt;&lt;wsp:rsid wsp:val=&quot;29046EDC&quot;/&gt;&lt;wsp:rsid wsp:val=&quot;29053906&quot;/&gt;&lt;wsp:rsid wsp:val=&quot;290563CB&quot;/&gt;&lt;wsp:rsid wsp:val=&quot;290731DA&quot;/&gt;&lt;wsp:rsid wsp:val=&quot;29080D00&quot;/&gt;&lt;wsp:rsid wsp:val=&quot;290B223D&quot;/&gt;&lt;wsp:rsid wsp:val=&quot;291122AA&quot;/&gt;&lt;wsp:rsid wsp:val=&quot;29115E06&quot;/&gt;&lt;wsp:rsid wsp:val=&quot;29121B7F&quot;/&gt;&lt;wsp:rsid wsp:val=&quot;2912392D&quot;/&gt;&lt;wsp:rsid wsp:val=&quot;29127DD1&quot;/&gt;&lt;wsp:rsid wsp:val=&quot;2914053D&quot;/&gt;&lt;wsp:rsid wsp:val=&quot;29144A30&quot;/&gt;&lt;wsp:rsid wsp:val=&quot;291476A5&quot;/&gt;&lt;wsp:rsid wsp:val=&quot;291678C1&quot;/&gt;&lt;wsp:rsid wsp:val=&quot;29183639&quot;/&gt;&lt;wsp:rsid wsp:val=&quot;2919115F&quot;/&gt;&lt;wsp:rsid wsp:val=&quot;29191410&quot;/&gt;&lt;wsp:rsid wsp:val=&quot;291B6C85&quot;/&gt;&lt;wsp:rsid wsp:val=&quot;291C47AB&quot;/&gt;&lt;wsp:rsid wsp:val=&quot;291E22D1&quot;/&gt;&lt;wsp:rsid wsp:val=&quot;291E6775&quot;/&gt;&lt;wsp:rsid wsp:val=&quot;2920429C&quot;/&gt;&lt;wsp:rsid wsp:val=&quot;2920604A&quot;/&gt;&lt;wsp:rsid wsp:val=&quot;29206EB8&quot;/&gt;&lt;wsp:rsid wsp:val=&quot;29211DC2&quot;/&gt;&lt;wsp:rsid wsp:val=&quot;29227034&quot;/&gt;&lt;wsp:rsid wsp:val=&quot;292565A7&quot;/&gt;&lt;wsp:rsid wsp:val=&quot;292813A2&quot;/&gt;&lt;wsp:rsid wsp:val=&quot;29297E32&quot;/&gt;&lt;wsp:rsid wsp:val=&quot;292A6EC8&quot;/&gt;&lt;wsp:rsid wsp:val=&quot;292A7B94&quot;/&gt;&lt;wsp:rsid wsp:val=&quot;292B00E6&quot;/&gt;&lt;wsp:rsid wsp:val=&quot;292C0E92&quot;/&gt;&lt;wsp:rsid wsp:val=&quot;292C49EE&quot;/&gt;&lt;wsp:rsid wsp:val=&quot;292C587F&quot;/&gt;&lt;wsp:rsid wsp:val=&quot;292D1BA5&quot;/&gt;&lt;wsp:rsid wsp:val=&quot;292F2731&quot;/&gt;&lt;wsp:rsid wsp:val=&quot;292F400E&quot;/&gt;&lt;wsp:rsid wsp:val=&quot;29341ACA&quot;/&gt;&lt;wsp:rsid wsp:val=&quot;2934401A&quot;/&gt;&lt;wsp:rsid wsp:val=&quot;29353D69&quot;/&gt;&lt;wsp:rsid wsp:val=&quot;29361C72&quot;/&gt;&lt;wsp:rsid wsp:val=&quot;29361D11&quot;/&gt;&lt;wsp:rsid wsp:val=&quot;2936586D&quot;/&gt;&lt;wsp:rsid wsp:val=&quot;29373393&quot;/&gt;&lt;wsp:rsid wsp:val=&quot;293935AF&quot;/&gt;&lt;wsp:rsid wsp:val=&quot;2939535D&quot;/&gt;&lt;wsp:rsid wsp:val=&quot;2939710B&quot;/&gt;&lt;wsp:rsid wsp:val=&quot;293A007B&quot;/&gt;&lt;wsp:rsid wsp:val=&quot;293B10D5&quot;/&gt;&lt;wsp:rsid wsp:val=&quot;293C27AC&quot;/&gt;&lt;wsp:rsid wsp:val=&quot;293C5380&quot;/&gt;&lt;wsp:rsid wsp:val=&quot;293D6BFB&quot;/&gt;&lt;wsp:rsid wsp:val=&quot;293E2974&quot;/&gt;&lt;wsp:rsid wsp:val=&quot;293E4FA7&quot;/&gt;&lt;wsp:rsid wsp:val=&quot;29403455&quot;/&gt;&lt;wsp:rsid wsp:val=&quot;29424212&quot;/&gt;&lt;wsp:rsid wsp:val=&quot;29430E8F&quot;/&gt;&lt;wsp:rsid wsp:val=&quot;294361DC&quot;/&gt;&lt;wsp:rsid wsp:val=&quot;29471828&quot;/&gt;&lt;wsp:rsid wsp:val=&quot;29477A7A&quot;/&gt;&lt;wsp:rsid wsp:val=&quot;294837F2&quot;/&gt;&lt;wsp:rsid wsp:val=&quot;294A6EAE&quot;/&gt;&lt;wsp:rsid wsp:val=&quot;294C6E3F&quot;/&gt;&lt;wsp:rsid wsp:val=&quot;294F4B81&quot;/&gt;&lt;wsp:rsid wsp:val=&quot;29506096&quot;/&gt;&lt;wsp:rsid wsp:val=&quot;29511E01&quot;/&gt;&lt;wsp:rsid wsp:val=&quot;29514455&quot;/&gt;&lt;wsp:rsid wsp:val=&quot;295201CD&quot;/&gt;&lt;wsp:rsid wsp:val=&quot;295474FF&quot;/&gt;&lt;wsp:rsid wsp:val=&quot;29564161&quot;/&gt;&lt;wsp:rsid wsp:val=&quot;29567CBD&quot;/&gt;&lt;wsp:rsid wsp:val=&quot;29575C73&quot;/&gt;&lt;wsp:rsid wsp:val=&quot;29595666&quot;/&gt;&lt;wsp:rsid wsp:val=&quot;29596949&quot;/&gt;&lt;wsp:rsid wsp:val=&quot;295D54F0&quot;/&gt;&lt;wsp:rsid wsp:val=&quot;29622D86&quot;/&gt;&lt;wsp:rsid wsp:val=&quot;29626662&quot;/&gt;&lt;wsp:rsid wsp:val=&quot;296323DA&quot;/&gt;&lt;wsp:rsid wsp:val=&quot;2964062C&quot;/&gt;&lt;wsp:rsid wsp:val=&quot;29671ECA&quot;/&gt;&lt;wsp:rsid wsp:val=&quot;296C128F&quot;/&gt;&lt;wsp:rsid wsp:val=&quot;29712D49&quot;/&gt;&lt;wsp:rsid wsp:val=&quot;29714AF7&quot;/&gt;&lt;wsp:rsid wsp:val=&quot;2973261D&quot;/&gt;&lt;wsp:rsid wsp:val=&quot;29736AC1&quot;/&gt;&lt;wsp:rsid wsp:val=&quot;29752839&quot;/&gt;&lt;wsp:rsid wsp:val=&quot;2976035F&quot;/&gt;&lt;wsp:rsid wsp:val=&quot;2976210D&quot;/&gt;&lt;wsp:rsid wsp:val=&quot;29763EBB&quot;/&gt;&lt;wsp:rsid wsp:val=&quot;297665B1&quot;/&gt;&lt;wsp:rsid wsp:val=&quot;29785E86&quot;/&gt;&lt;wsp:rsid wsp:val=&quot;29787C34&quot;/&gt;&lt;wsp:rsid wsp:val=&quot;29791BFE&quot;/&gt;&lt;wsp:rsid wsp:val=&quot;297B5976&quot;/&gt;&lt;wsp:rsid wsp:val=&quot;297D16EE&quot;/&gt;&lt;wsp:rsid wsp:val=&quot;298011DE&quot;/&gt;&lt;wsp:rsid wsp:val=&quot;29820AB2&quot;/&gt;&lt;wsp:rsid wsp:val=&quot;29824F56&quot;/&gt;&lt;wsp:rsid wsp:val=&quot;29826D04&quot;/&gt;&lt;wsp:rsid wsp:val=&quot;298365D8&quot;/&gt;&lt;wsp:rsid wsp:val=&quot;29842A7C&quot;/&gt;&lt;wsp:rsid wsp:val=&quot;2984482A&quot;/&gt;&lt;wsp:rsid wsp:val=&quot;29844C90&quot;/&gt;&lt;wsp:rsid wsp:val=&quot;29852351&quot;/&gt;&lt;wsp:rsid wsp:val=&quot;298654FF&quot;/&gt;&lt;wsp:rsid wsp:val=&quot;2987256D&quot;/&gt;&lt;wsp:rsid wsp:val=&quot;29874881&quot;/&gt;&lt;wsp:rsid wsp:val=&quot;298760C9&quot;/&gt;&lt;wsp:rsid wsp:val=&quot;298962E5&quot;/&gt;&lt;wsp:rsid wsp:val=&quot;298C36DF&quot;/&gt;&lt;wsp:rsid wsp:val=&quot;298E38FB&quot;/&gt;&lt;wsp:rsid wsp:val=&quot;298E7457&quot;/&gt;&lt;wsp:rsid wsp:val=&quot;298F1421&quot;/&gt;&lt;wsp:rsid wsp:val=&quot;298F4F7D&quot;/&gt;&lt;wsp:rsid wsp:val=&quot;299042C3&quot;/&gt;&lt;wsp:rsid wsp:val=&quot;29911D35&quot;/&gt;&lt;wsp:rsid wsp:val=&quot;29916F47&quot;/&gt;&lt;wsp:rsid wsp:val=&quot;299270AF&quot;/&gt;&lt;wsp:rsid wsp:val=&quot;29934A6D&quot;/&gt;&lt;wsp:rsid wsp:val=&quot;29946A38&quot;/&gt;&lt;wsp:rsid wsp:val=&quot;29956DFE&quot;/&gt;&lt;wsp:rsid wsp:val=&quot;29974847&quot;/&gt;&lt;wsp:rsid wsp:val=&quot;299A1CC3&quot;/&gt;&lt;wsp:rsid wsp:val=&quot;299A22A0&quot;/&gt;&lt;wsp:rsid wsp:val=&quot;299B7DC6&quot;/&gt;&lt;wsp:rsid wsp:val=&quot;299D58EC&quot;/&gt;&lt;wsp:rsid wsp:val=&quot;299E3412&quot;/&gt;&lt;wsp:rsid wsp:val=&quot;299F1664&quot;/&gt;&lt;wsp:rsid wsp:val=&quot;29A22F02&quot;/&gt;&lt;wsp:rsid wsp:val=&quot;29A44ECD&quot;/&gt;&lt;wsp:rsid wsp:val=&quot;29A529F3&quot;/&gt;&lt;wsp:rsid wsp:val=&quot;29A547A1&quot;/&gt;&lt;wsp:rsid wsp:val=&quot;29A749BD&quot;/&gt;&lt;wsp:rsid wsp:val=&quot;29AB625B&quot;/&gt;&lt;wsp:rsid wsp:val=&quot;29AC5B2F&quot;/&gt;&lt;wsp:rsid wsp:val=&quot;29AD17B3&quot;/&gt;&lt;wsp:rsid wsp:val=&quot;29AE18A7&quot;/&gt;&lt;wsp:rsid wsp:val=&quot;29AE5D4B&quot;/&gt;&lt;wsp:rsid wsp:val=&quot;29B0281D&quot;/&gt;&lt;wsp:rsid wsp:val=&quot;29B03871&quot;/&gt;&lt;wsp:rsid wsp:val=&quot;29B175E9&quot;/&gt;&lt;wsp:rsid wsp:val=&quot;29B35110&quot;/&gt;&lt;wsp:rsid wsp:val=&quot;29B7592F&quot;/&gt;&lt;wsp:rsid wsp:val=&quot;29B82726&quot;/&gt;&lt;wsp:rsid wsp:val=&quot;29B9024C&quot;/&gt;&lt;wsp:rsid wsp:val=&quot;29BA649E&quot;/&gt;&lt;wsp:rsid wsp:val=&quot;29BB2216&quot;/&gt;&lt;wsp:rsid wsp:val=&quot;29BB3FC4&quot;/&gt;&lt;wsp:rsid wsp:val=&quot;29BC23C8&quot;/&gt;&lt;wsp:rsid wsp:val=&quot;29BD6562&quot;/&gt;&lt;wsp:rsid wsp:val=&quot;29C0782D&quot;/&gt;&lt;wsp:rsid wsp:val=&quot;29C235A5&quot;/&gt;&lt;wsp:rsid wsp:val=&quot;29C34ADE&quot;/&gt;&lt;wsp:rsid wsp:val=&quot;29C44CF4&quot;/&gt;&lt;wsp:rsid wsp:val=&quot;29C54E43&quot;/&gt;&lt;wsp:rsid wsp:val=&quot;29C55BD3&quot;/&gt;&lt;wsp:rsid wsp:val=&quot;29C70CDD&quot;/&gt;&lt;wsp:rsid wsp:val=&quot;29C94933&quot;/&gt;&lt;wsp:rsid wsp:val=&quot;29CB1FF6&quot;/&gt;&lt;wsp:rsid wsp:val=&quot;29CB68D8&quot;/&gt;&lt;wsp:rsid wsp:val=&quot;29CC61D1&quot;/&gt;&lt;wsp:rsid wsp:val=&quot;29CC7F7F&quot;/&gt;&lt;wsp:rsid wsp:val=&quot;29CD6057&quot;/&gt;&lt;wsp:rsid wsp:val=&quot;29CE5AA6&quot;/&gt;&lt;wsp:rsid wsp:val=&quot;29CE5DA6&quot;/&gt;&lt;wsp:rsid wsp:val=&quot;29CF181E&quot;/&gt;&lt;wsp:rsid wsp:val=&quot;29D049D8&quot;/&gt;&lt;wsp:rsid wsp:val=&quot;29D07A70&quot;/&gt;&lt;wsp:rsid wsp:val=&quot;29D23611&quot;/&gt;&lt;wsp:rsid wsp:val=&quot;29D3130E&quot;/&gt;&lt;wsp:rsid wsp:val=&quot;29D37560&quot;/&gt;&lt;wsp:rsid wsp:val=&quot;29D46E34&quot;/&gt;&lt;wsp:rsid wsp:val=&quot;29D532D8&quot;/&gt;&lt;wsp:rsid wsp:val=&quot;29D67050&quot;/&gt;&lt;wsp:rsid wsp:val=&quot;29D81A29&quot;/&gt;&lt;wsp:rsid wsp:val=&quot;29D81A5D&quot;/&gt;&lt;wsp:rsid wsp:val=&quot;29D85AE2&quot;/&gt;&lt;wsp:rsid wsp:val=&quot;29D92EB9&quot;/&gt;&lt;wsp:rsid wsp:val=&quot;29DA08EE&quot;/&gt;&lt;wsp:rsid wsp:val=&quot;29DA6B40&quot;/&gt;&lt;wsp:rsid wsp:val=&quot;29DB188C&quot;/&gt;&lt;wsp:rsid wsp:val=&quot;29DD218D&quot;/&gt;&lt;wsp:rsid wsp:val=&quot;29DE69D7&quot;/&gt;&lt;wsp:rsid wsp:val=&quot;29DF5F05&quot;/&gt;&lt;wsp:rsid wsp:val=&quot;29DF7CB3&quot;/&gt;&lt;wsp:rsid wsp:val=&quot;29E03A2B&quot;/&gt;&lt;wsp:rsid wsp:val=&quot;29E11C7D&quot;/&gt;&lt;wsp:rsid wsp:val=&quot;29E21551&quot;/&gt;&lt;wsp:rsid wsp:val=&quot;29E277A3&quot;/&gt;&lt;wsp:rsid wsp:val=&quot;29E325E0&quot;/&gt;&lt;wsp:rsid wsp:val=&quot;29E4170D&quot;/&gt;&lt;wsp:rsid wsp:val=&quot;29E43E3B&quot;/&gt;&lt;wsp:rsid wsp:val=&quot;29E7008E&quot;/&gt;&lt;wsp:rsid wsp:val=&quot;29E74DB9&quot;/&gt;&lt;wsp:rsid wsp:val=&quot;29E90B31&quot;/&gt;&lt;wsp:rsid wsp:val=&quot;29E929AE&quot;/&gt;&lt;wsp:rsid wsp:val=&quot;29E96D83&quot;/&gt;&lt;wsp:rsid wsp:val=&quot;29EE7EF6&quot;/&gt;&lt;wsp:rsid wsp:val=&quot;29F251A1&quot;/&gt;&lt;wsp:rsid wsp:val=&quot;29F375EE&quot;/&gt;&lt;wsp:rsid wsp:val=&quot;29F37C02&quot;/&gt;&lt;wsp:rsid wsp:val=&quot;29F47AC1&quot;/&gt;&lt;wsp:rsid wsp:val=&quot;29F55728&quot;/&gt;&lt;wsp:rsid wsp:val=&quot;29F6190F&quot;/&gt;&lt;wsp:rsid wsp:val=&quot;29F6324E&quot;/&gt;&lt;wsp:rsid wsp:val=&quot;29F714A0&quot;/&gt;&lt;wsp:rsid wsp:val=&quot;29F80D74&quot;/&gt;&lt;wsp:rsid wsp:val=&quot;29F814D9&quot;/&gt;&lt;wsp:rsid wsp:val=&quot;29F86FC6&quot;/&gt;&lt;wsp:rsid wsp:val=&quot;29F9586B&quot;/&gt;&lt;wsp:rsid wsp:val=&quot;29FA2D3E&quot;/&gt;&lt;wsp:rsid wsp:val=&quot;29FD45DD&quot;/&gt;&lt;wsp:rsid wsp:val=&quot;29FF0355&quot;/&gt;&lt;wsp:rsid wsp:val=&quot;29FF2103&quot;/&gt;&lt;wsp:rsid wsp:val=&quot;29FF6BD6&quot;/&gt;&lt;wsp:rsid wsp:val=&quot;2A0140CD&quot;/&gt;&lt;wsp:rsid wsp:val=&quot;2A027E45&quot;/&gt;&lt;wsp:rsid wsp:val=&quot;2A03697A&quot;/&gt;&lt;wsp:rsid wsp:val=&quot;2A043BBD&quot;/&gt;&lt;wsp:rsid wsp:val=&quot;2A070FB7&quot;/&gt;&lt;wsp:rsid wsp:val=&quot;2A077209&quot;/&gt;&lt;wsp:rsid wsp:val=&quot;2A091F98&quot;/&gt;&lt;wsp:rsid wsp:val=&quot;2A092F82&quot;/&gt;&lt;wsp:rsid wsp:val=&quot;2A0B7489&quot;/&gt;&lt;wsp:rsid wsp:val=&quot;2A0D1313&quot;/&gt;&lt;wsp:rsid wsp:val=&quot;2A0E2346&quot;/&gt;&lt;wsp:rsid wsp:val=&quot;2A0F5E0A&quot;/&gt;&lt;wsp:rsid wsp:val=&quot;2A104310&quot;/&gt;&lt;wsp:rsid wsp:val=&quot;2A1060BE&quot;/&gt;&lt;wsp:rsid wsp:val=&quot;2A110088&quot;/&gt;&lt;wsp:rsid wsp:val=&quot;2A111E36&quot;/&gt;&lt;wsp:rsid wsp:val=&quot;2A12586E&quot;/&gt;&lt;wsp:rsid wsp:val=&quot;2A133E00&quot;/&gt;&lt;wsp:rsid wsp:val=&quot;2A13795C&quot;/&gt;&lt;wsp:rsid wsp:val=&quot;2A1536D4&quot;/&gt;&lt;wsp:rsid wsp:val=&quot;2A161EB6&quot;/&gt;&lt;wsp:rsid wsp:val=&quot;2A175819&quot;/&gt;&lt;wsp:rsid wsp:val=&quot;2A1C2BC3&quot;/&gt;&lt;wsp:rsid wsp:val=&quot;2A1C2CB5&quot;/&gt;&lt;wsp:rsid wsp:val=&quot;2A1D07DB&quot;/&gt;&lt;wsp:rsid wsp:val=&quot;2A1D2DF3&quot;/&gt;&lt;wsp:rsid wsp:val=&quot;2A1D6A2D&quot;/&gt;&lt;wsp:rsid wsp:val=&quot;2A1E5633&quot;/&gt;&lt;wsp:rsid wsp:val=&quot;2A1F41BD&quot;/&gt;&lt;wsp:rsid wsp:val=&quot;2A202079&quot;/&gt;&lt;wsp:rsid wsp:val=&quot;2A2102CB&quot;/&gt;&lt;wsp:rsid wsp:val=&quot;2A222295&quot;/&gt;&lt;wsp:rsid wsp:val=&quot;2A255F01&quot;/&gt;&lt;wsp:rsid wsp:val=&quot;2A257690&quot;/&gt;&lt;wsp:rsid wsp:val=&quot;2A261D85&quot;/&gt;&lt;wsp:rsid wsp:val=&quot;2A263B34&quot;/&gt;&lt;wsp:rsid wsp:val=&quot;2A27165A&quot;/&gt;&lt;wsp:rsid wsp:val=&quot;2A293624&quot;/&gt;&lt;wsp:rsid wsp:val=&quot;2A2953D2&quot;/&gt;&lt;wsp:rsid wsp:val=&quot;2A297E40&quot;/&gt;&lt;wsp:rsid wsp:val=&quot;2A2B2EF8&quot;/&gt;&lt;wsp:rsid wsp:val=&quot;2A2C6C70&quot;/&gt;&lt;wsp:rsid wsp:val=&quot;2A30050E&quot;/&gt;&lt;wsp:rsid wsp:val=&quot;2A306760&quot;/&gt;&lt;wsp:rsid wsp:val=&quot;2A3111A3&quot;/&gt;&lt;wsp:rsid wsp:val=&quot;2A314286&quot;/&gt;&lt;wsp:rsid wsp:val=&quot;2A333AC3&quot;/&gt;&lt;wsp:rsid wsp:val=&quot;2A335204&quot;/&gt;&lt;wsp:rsid wsp:val=&quot;2A351FC9&quot;/&gt;&lt;wsp:rsid wsp:val=&quot;2A360FB4&quot;/&gt;&lt;wsp:rsid wsp:val=&quot;2A383867&quot;/&gt;&lt;wsp:rsid wsp:val=&quot;2A385615&quot;/&gt;&lt;wsp:rsid wsp:val=&quot;2A39669A&quot;/&gt;&lt;wsp:rsid wsp:val=&quot;2A3A313B&quot;/&gt;&lt;wsp:rsid wsp:val=&quot;2A3C5105&quot;/&gt;&lt;wsp:rsid wsp:val=&quot;2A3D2C2B&quot;/&gt;&lt;wsp:rsid wsp:val=&quot;2A410C98&quot;/&gt;&lt;wsp:rsid wsp:val=&quot;2A426494&quot;/&gt;&lt;wsp:rsid wsp:val=&quot;2A44220C&quot;/&gt;&lt;wsp:rsid wsp:val=&quot;2A44494B&quot;/&gt;&lt;wsp:rsid wsp:val=&quot;2A452503&quot;/&gt;&lt;wsp:rsid wsp:val=&quot;2A456A43&quot;/&gt;&lt;wsp:rsid wsp:val=&quot;2A465F84&quot;/&gt;&lt;wsp:rsid wsp:val=&quot;2A467ADE&quot;/&gt;&lt;wsp:rsid wsp:val=&quot;2A467D32&quot;/&gt;&lt;wsp:rsid wsp:val=&quot;2A473AAA&quot;/&gt;&lt;wsp:rsid wsp:val=&quot;2A497822&quot;/&gt;&lt;wsp:rsid wsp:val=&quot;2A4B17EC&quot;/&gt;&lt;wsp:rsid wsp:val=&quot;2A4B1FF1&quot;/&gt;&lt;wsp:rsid wsp:val=&quot;2A4B446B&quot;/&gt;&lt;wsp:rsid wsp:val=&quot;2A4D5650&quot;/&gt;&lt;wsp:rsid wsp:val=&quot;2A4D7312&quot;/&gt;&lt;wsp:rsid wsp:val=&quot;2A4D7C8D&quot;/&gt;&lt;wsp:rsid wsp:val=&quot;2A4E1F42&quot;/&gt;&lt;wsp:rsid wsp:val=&quot;2A4E308A&quot;/&gt;&lt;wsp:rsid wsp:val=&quot;2A4F0498&quot;/&gt;&lt;wsp:rsid wsp:val=&quot;2A506E02&quot;/&gt;&lt;wsp:rsid wsp:val=&quot;2A5330AD&quot;/&gt;&lt;wsp:rsid wsp:val=&quot;2A5561C7&quot;/&gt;&lt;wsp:rsid wsp:val=&quot;2A557F75&quot;/&gt;&lt;wsp:rsid wsp:val=&quot;2A571F3F&quot;/&gt;&lt;wsp:rsid wsp:val=&quot;2A587A65&quot;/&gt;&lt;wsp:rsid wsp:val=&quot;2A5A6C6E&quot;/&gt;&lt;wsp:rsid wsp:val=&quot;2A5C2CCF&quot;/&gt;&lt;wsp:rsid wsp:val=&quot;2A5C7555&quot;/&gt;&lt;wsp:rsid wsp:val=&quot;2A5E32CD&quot;/&gt;&lt;wsp:rsid wsp:val=&quot;2A5F2BA2&quot;/&gt;&lt;wsp:rsid wsp:val=&quot;2A6037AC&quot;/&gt;&lt;wsp:rsid wsp:val=&quot;2A623D4A&quot;/&gt;&lt;wsp:rsid wsp:val=&quot;2A662182&quot;/&gt;&lt;wsp:rsid wsp:val=&quot;2A681272&quot;/&gt;&lt;wsp:rsid wsp:val=&quot;2A6824BE&quot;/&gt;&lt;wsp:rsid wsp:val=&quot;2A68414C&quot;/&gt;&lt;wsp:rsid wsp:val=&quot;2A685EFA&quot;/&gt;&lt;wsp:rsid wsp:val=&quot;2A6C6B5B&quot;/&gt;&lt;wsp:rsid wsp:val=&quot;2A6E1037&quot;/&gt;&lt;wsp:rsid wsp:val=&quot;2A6E548C&quot;/&gt;&lt;wsp:rsid wsp:val=&quot;2A701253&quot;/&gt;&lt;wsp:rsid wsp:val=&quot;2A704DAF&quot;/&gt;&lt;wsp:rsid wsp:val=&quot;2A717F62&quot;/&gt;&lt;wsp:rsid wsp:val=&quot;2A7228D5&quot;/&gt;&lt;wsp:rsid wsp:val=&quot;2A726D79&quot;/&gt;&lt;wsp:rsid wsp:val=&quot;2A73664D&quot;/&gt;&lt;wsp:rsid wsp:val=&quot;2A736B07&quot;/&gt;&lt;wsp:rsid wsp:val=&quot;2A7523C5&quot;/&gt;&lt;wsp:rsid wsp:val=&quot;2A7725E1&quot;/&gt;&lt;wsp:rsid wsp:val=&quot;2A77438F&quot;/&gt;&lt;wsp:rsid wsp:val=&quot;2A783C63&quot;/&gt;&lt;wsp:rsid wsp:val=&quot;2A78776A&quot;/&gt;&lt;wsp:rsid wsp:val=&quot;2A790107&quot;/&gt;&lt;wsp:rsid wsp:val=&quot;2A7A79DB&quot;/&gt;&lt;wsp:rsid wsp:val=&quot;2A7C3754&quot;/&gt;&lt;wsp:rsid wsp:val=&quot;2A7E571E&quot;/&gt;&lt;wsp:rsid wsp:val=&quot;2A7F3244&quot;/&gt;&lt;wsp:rsid wsp:val=&quot;2A816FBC&quot;/&gt;&lt;wsp:rsid wsp:val=&quot;2A84085A&quot;/&gt;&lt;wsp:rsid wsp:val=&quot;2A841E75&quot;/&gt;&lt;wsp:rsid wsp:val=&quot;2A842608&quot;/&gt;&lt;wsp:rsid wsp:val=&quot;2A862824&quot;/&gt;&lt;wsp:rsid wsp:val=&quot;2A88659C&quot;/&gt;&lt;wsp:rsid wsp:val=&quot;2A8922A4&quot;/&gt;&lt;wsp:rsid wsp:val=&quot;2A89317C&quot;/&gt;&lt;wsp:rsid wsp:val=&quot;2A8940C2&quot;/&gt;&lt;wsp:rsid wsp:val=&quot;2A895828&quot;/&gt;&lt;wsp:rsid wsp:val=&quot;2A895E70&quot;/&gt;&lt;wsp:rsid wsp:val=&quot;2A8A2314&quot;/&gt;&lt;wsp:rsid wsp:val=&quot;2A8B1BE9&quot;/&gt;&lt;wsp:rsid wsp:val=&quot;2A8B3997&quot;/&gt;&lt;wsp:rsid wsp:val=&quot;2A900FAD&quot;/&gt;&lt;wsp:rsid wsp:val=&quot;2A9144DF&quot;/&gt;&lt;wsp:rsid wsp:val=&quot;2A930A9D&quot;/&gt;&lt;wsp:rsid wsp:val=&quot;2A9520EF&quot;/&gt;&lt;wsp:rsid wsp:val=&quot;2A952A67&quot;/&gt;&lt;wsp:rsid wsp:val=&quot;2A970BD3&quot;/&gt;&lt;wsp:rsid wsp:val=&quot;2A9767DF&quot;/&gt;&lt;wsp:rsid wsp:val=&quot;2A9860B3&quot;/&gt;&lt;wsp:rsid wsp:val=&quot;2A9943B2&quot;/&gt;&lt;wsp:rsid wsp:val=&quot;2A9A1E2C&quot;/&gt;&lt;wsp:rsid wsp:val=&quot;2A9C1476&quot;/&gt;&lt;wsp:rsid wsp:val=&quot;2A9D0465&quot;/&gt;&lt;wsp:rsid wsp:val=&quot;2AA31C54&quot;/&gt;&lt;wsp:rsid wsp:val=&quot;2AA36F32&quot;/&gt;&lt;wsp:rsid wsp:val=&quot;2AA42CAA&quot;/&gt;&lt;wsp:rsid wsp:val=&quot;2AA70B88&quot;/&gt;&lt;wsp:rsid wsp:val=&quot;2AA719AA&quot;/&gt;&lt;wsp:rsid wsp:val=&quot;2AA74552&quot;/&gt;&lt;wsp:rsid wsp:val=&quot;2AAA6513&quot;/&gt;&lt;wsp:rsid wsp:val=&quot;2AAB73FB&quot;/&gt;&lt;wsp:rsid wsp:val=&quot;2AAD6003&quot;/&gt;&lt;wsp:rsid wsp:val=&quot;2AAE58D7&quot;/&gt;&lt;wsp:rsid wsp:val=&quot;2AB0164F&quot;/&gt;&lt;wsp:rsid wsp:val=&quot;2AB02639&quot;/&gt;&lt;wsp:rsid wsp:val=&quot;2AB23619&quot;/&gt;&lt;wsp:rsid wsp:val=&quot;2AB24F59&quot;/&gt;&lt;wsp:rsid wsp:val=&quot;2AB34AAA&quot;/&gt;&lt;wsp:rsid wsp:val=&quot;2AB56C65&quot;/&gt;&lt;wsp:rsid wsp:val=&quot;2AB729DE&quot;/&gt;&lt;wsp:rsid wsp:val=&quot;2AB7478C&quot;/&gt;&lt;wsp:rsid wsp:val=&quot;2AB90504&quot;/&gt;&lt;wsp:rsid wsp:val=&quot;2AB92AF5&quot;/&gt;&lt;wsp:rsid wsp:val=&quot;2AB949A8&quot;/&gt;&lt;wsp:rsid wsp:val=&quot;2ABC13D1&quot;/&gt;&lt;wsp:rsid wsp:val=&quot;2ABC4498&quot;/&gt;&lt;wsp:rsid wsp:val=&quot;2ABE5B1A&quot;/&gt;&lt;wsp:rsid wsp:val=&quot;2AC1385C&quot;/&gt;&lt;wsp:rsid wsp:val=&quot;2AC31382&quot;/&gt;&lt;wsp:rsid wsp:val=&quot;2AC450FA&quot;/&gt;&lt;wsp:rsid wsp:val=&quot;2AC46EA9&quot;/&gt;&lt;wsp:rsid wsp:val=&quot;2AC717C5&quot;/&gt;&lt;wsp:rsid wsp:val=&quot;2ACA2711&quot;/&gt;&lt;wsp:rsid wsp:val=&quot;2ACA2BB1&quot;/&gt;&lt;wsp:rsid wsp:val=&quot;2ACB46DB&quot;/&gt;&lt;wsp:rsid wsp:val=&quot;2ACB7893&quot;/&gt;&lt;wsp:rsid wsp:val=&quot;2ACD2201&quot;/&gt;&lt;wsp:rsid wsp:val=&quot;2ACD3FAF&quot;/&gt;&lt;wsp:rsid wsp:val=&quot;2ACE1666&quot;/&gt;&lt;wsp:rsid wsp:val=&quot;2AD025B0&quot;/&gt;&lt;wsp:rsid wsp:val=&quot;2AD27817&quot;/&gt;&lt;wsp:rsid wsp:val=&quot;2AD4533E&quot;/&gt;&lt;wsp:rsid wsp:val=&quot;2AD510B6&quot;/&gt;&lt;wsp:rsid wsp:val=&quot;2AD64354&quot;/&gt;&lt;wsp:rsid wsp:val=&quot;2AD73080&quot;/&gt;&lt;wsp:rsid wsp:val=&quot;2AD74E2E&quot;/&gt;&lt;wsp:rsid wsp:val=&quot;2AD92954&quot;/&gt;&lt;wsp:rsid wsp:val=&quot;2ADB491E&quot;/&gt;&lt;wsp:rsid wsp:val=&quot;2ADC2444&quot;/&gt;&lt;wsp:rsid wsp:val=&quot;2ADC41F2&quot;/&gt;&lt;wsp:rsid wsp:val=&quot;2ADE0265&quot;/&gt;&lt;wsp:rsid wsp:val=&quot;2ADE2AE6&quot;/&gt;&lt;wsp:rsid wsp:val=&quot;2ADE6E32&quot;/&gt;&lt;wsp:rsid wsp:val=&quot;2AE00186&quot;/&gt;&lt;wsp:rsid wsp:val=&quot;2AE01BD6&quot;/&gt;&lt;wsp:rsid wsp:val=&quot;2AE412F9&quot;/&gt;&lt;wsp:rsid wsp:val=&quot;2AE5579D&quot;/&gt;&lt;wsp:rsid wsp:val=&quot;2AE5754B&quot;/&gt;&lt;wsp:rsid wsp:val=&quot;2AE57DE8&quot;/&gt;&lt;wsp:rsid wsp:val=&quot;2AE82B97&quot;/&gt;&lt;wsp:rsid wsp:val=&quot;2AE8528D&quot;/&gt;&lt;wsp:rsid wsp:val=&quot;2AE9690F&quot;/&gt;&lt;wsp:rsid wsp:val=&quot;2AEA2DB3&quot;/&gt;&lt;wsp:rsid wsp:val=&quot;2AED28A3&quot;/&gt;&lt;wsp:rsid wsp:val=&quot;2AEE0D42&quot;/&gt;&lt;wsp:rsid wsp:val=&quot;2AEF03C9&quot;/&gt;&lt;wsp:rsid wsp:val=&quot;2AF10F5C&quot;/&gt;&lt;wsp:rsid wsp:val=&quot;2AF43C32&quot;/&gt;&lt;wsp:rsid wsp:val=&quot;2AF459E0&quot;/&gt;&lt;wsp:rsid wsp:val=&quot;2AF47A0E&quot;/&gt;&lt;wsp:rsid wsp:val=&quot;2AF82279&quot;/&gt;&lt;wsp:rsid wsp:val=&quot;2AF91248&quot;/&gt;&lt;wsp:rsid wsp:val=&quot;2AFB461F&quot;/&gt;&lt;wsp:rsid wsp:val=&quot;2AFB4FC0&quot;/&gt;&lt;wsp:rsid wsp:val=&quot;2AFC1611&quot;/&gt;&lt;wsp:rsid wsp:val=&quot;2AFC41A2&quot;/&gt;&lt;wsp:rsid wsp:val=&quot;2B0025D7&quot;/&gt;&lt;wsp:rsid wsp:val=&quot;2B0032AF&quot;/&gt;&lt;wsp:rsid wsp:val=&quot;2B0100FD&quot;/&gt;&lt;wsp:rsid wsp:val=&quot;2B02634F&quot;/&gt;&lt;wsp:rsid wsp:val=&quot;2B0379D1&quot;/&gt;&lt;wsp:rsid wsp:val=&quot;2B053749&quot;/&gt;&lt;wsp:rsid wsp:val=&quot;2B057BED&quot;/&gt;&lt;wsp:rsid wsp:val=&quot;2B071CF2&quot;/&gt;&lt;wsp:rsid wsp:val=&quot;2B08148B&quot;/&gt;&lt;wsp:rsid wsp:val=&quot;2B0B1A6F&quot;/&gt;&lt;wsp:rsid wsp:val=&quot;2B0B2D29&quot;/&gt;&lt;wsp:rsid wsp:val=&quot;2B0C5B64&quot;/&gt;&lt;wsp:rsid wsp:val=&quot;2B0D6AA1&quot;/&gt;&lt;wsp:rsid wsp:val=&quot;2B0F281A&quot;/&gt;&lt;wsp:rsid wsp:val=&quot;2B116592&quot;/&gt;&lt;wsp:rsid wsp:val=&quot;2B12230A&quot;/&gt;&lt;wsp:rsid wsp:val=&quot;2B125F6C&quot;/&gt;&lt;wsp:rsid wsp:val=&quot;2B146082&quot;/&gt;&lt;wsp:rsid wsp:val=&quot;2B147E30&quot;/&gt;&lt;wsp:rsid wsp:val=&quot;2B17347C&quot;/&gt;&lt;wsp:rsid wsp:val=&quot;2B1B7EB7&quot;/&gt;&lt;wsp:rsid wsp:val=&quot;2B1C2A88&quot;/&gt;&lt;wsp:rsid wsp:val=&quot;2B1C4F36&quot;/&gt;&lt;wsp:rsid wsp:val=&quot;2B1C6CE5&quot;/&gt;&lt;wsp:rsid wsp:val=&quot;2B2160A9&quot;/&gt;&lt;wsp:rsid wsp:val=&quot;2B2251B9&quot;/&gt;&lt;wsp:rsid wsp:val=&quot;2B230073&quot;/&gt;&lt;wsp:rsid wsp:val=&quot;2B231E21&quot;/&gt;&lt;wsp:rsid wsp:val=&quot;2B245F87&quot;/&gt;&lt;wsp:rsid wsp:val=&quot;2B2636BF&quot;/&gt;&lt;wsp:rsid wsp:val=&quot;2B277B63&quot;/&gt;&lt;wsp:rsid wsp:val=&quot;2B2838DB&quot;/&gt;&lt;wsp:rsid wsp:val=&quot;2B2C33CC&quot;/&gt;&lt;wsp:rsid wsp:val=&quot;2B2D0EF2&quot;/&gt;&lt;wsp:rsid wsp:val=&quot;2B2D4A4E&quot;/&gt;&lt;wsp:rsid wsp:val=&quot;2B2D7144&quot;/&gt;&lt;wsp:rsid wsp:val=&quot;2B30453E&quot;/&gt;&lt;wsp:rsid wsp:val=&quot;2B307525&quot;/&gt;&lt;wsp:rsid wsp:val=&quot;2B3109E2&quot;/&gt;&lt;wsp:rsid wsp:val=&quot;2B326508&quot;/&gt;&lt;wsp:rsid wsp:val=&quot;2B3352EE&quot;/&gt;&lt;wsp:rsid wsp:val=&quot;2B342280&quot;/&gt;&lt;wsp:rsid wsp:val=&quot;2B365FF8&quot;/&gt;&lt;wsp:rsid wsp:val=&quot;2B367DA6&quot;/&gt;&lt;wsp:rsid wsp:val=&quot;2B372091&quot;/&gt;&lt;wsp:rsid wsp:val=&quot;2B3836F1&quot;/&gt;&lt;wsp:rsid wsp:val=&quot;2B397896&quot;/&gt;&lt;wsp:rsid wsp:val=&quot;2B3B0DBE&quot;/&gt;&lt;wsp:rsid wsp:val=&quot;2B3E4EAD&quot;/&gt;&lt;wsp:rsid wsp:val=&quot;2B3E6C5B&quot;/&gt;&lt;wsp:rsid wsp:val=&quot;2B3F2B94&quot;/&gt;&lt;wsp:rsid wsp:val=&quot;2B3F54CD&quot;/&gt;&lt;wsp:rsid wsp:val=&quot;2B4029D3&quot;/&gt;&lt;wsp:rsid wsp:val=&quot;2B4465E7&quot;/&gt;&lt;wsp:rsid wsp:val=&quot;2B45448D&quot;/&gt;&lt;wsp:rsid wsp:val=&quot;2B4638FA&quot;/&gt;&lt;wsp:rsid wsp:val=&quot;2B465B0F&quot;/&gt;&lt;wsp:rsid wsp:val=&quot;2B471FB3&quot;/&gt;&lt;wsp:rsid wsp:val=&quot;2B473D61&quot;/&gt;&lt;wsp:rsid wsp:val=&quot;2B477185&quot;/&gt;&lt;wsp:rsid wsp:val=&quot;2B4C1378&quot;/&gt;&lt;wsp:rsid wsp:val=&quot;2B4D6C1E&quot;/&gt;&lt;wsp:rsid wsp:val=&quot;2B4F0E68&quot;/&gt;&lt;wsp:rsid wsp:val=&quot;2B4F5673&quot;/&gt;&lt;wsp:rsid wsp:val=&quot;2B512E08&quot;/&gt;&lt;wsp:rsid wsp:val=&quot;2B512E32&quot;/&gt;&lt;wsp:rsid wsp:val=&quot;2B522706&quot;/&gt;&lt;wsp:rsid wsp:val=&quot;2B535728&quot;/&gt;&lt;wsp:rsid wsp:val=&quot;2B536BAA&quot;/&gt;&lt;wsp:rsid wsp:val=&quot;2B54003D&quot;/&gt;&lt;wsp:rsid wsp:val=&quot;2B566C7A&quot;/&gt;&lt;wsp:rsid wsp:val=&quot;2B577D1D&quot;/&gt;&lt;wsp:rsid wsp:val=&quot;2B593A95&quot;/&gt;&lt;wsp:rsid wsp:val=&quot;2B5A7935&quot;/&gt;&lt;wsp:rsid wsp:val=&quot;2B5E10AB&quot;/&gt;&lt;wsp:rsid wsp:val=&quot;2B5E554F&quot;/&gt;&lt;wsp:rsid wsp:val=&quot;2B612949&quot;/&gt;&lt;wsp:rsid wsp:val=&quot;2B613A37&quot;/&gt;&lt;wsp:rsid wsp:val=&quot;2B614ECC&quot;/&gt;&lt;wsp:rsid wsp:val=&quot;2B621AD2&quot;/&gt;&lt;wsp:rsid wsp:val=&quot;2B634913&quot;/&gt;&lt;wsp:rsid wsp:val=&quot;2B64127E&quot;/&gt;&lt;wsp:rsid wsp:val=&quot;2B667F60&quot;/&gt;&lt;wsp:rsid wsp:val=&quot;2B69017C&quot;/&gt;&lt;wsp:rsid wsp:val=&quot;2B6A7A50&quot;/&gt;&lt;wsp:rsid wsp:val=&quot;2B6D7540&quot;/&gt;&lt;wsp:rsid wsp:val=&quot;2B6F150A&quot;/&gt;&lt;wsp:rsid wsp:val=&quot;2B6F32B8&quot;/&gt;&lt;wsp:rsid wsp:val=&quot;2B6F5066&quot;/&gt;&lt;wsp:rsid wsp:val=&quot;2B7045BA&quot;/&gt;&lt;wsp:rsid wsp:val=&quot;2B710DDE&quot;/&gt;&lt;wsp:rsid wsp:val=&quot;2B716E31&quot;/&gt;&lt;wsp:rsid wsp:val=&quot;2B724B56&quot;/&gt;&lt;wsp:rsid wsp:val=&quot;2B726905&quot;/&gt;&lt;wsp:rsid wsp:val=&quot;2B7554AB&quot;/&gt;&lt;wsp:rsid wsp:val=&quot;2B7663F5&quot;/&gt;&lt;wsp:rsid wsp:val=&quot;2B7756A4&quot;/&gt;&lt;wsp:rsid wsp:val=&quot;2B7803BF&quot;/&gt;&lt;wsp:rsid wsp:val=&quot;2B795EE5&quot;/&gt;&lt;wsp:rsid wsp:val=&quot;2B7B144C&quot;/&gt;&lt;wsp:rsid wsp:val=&quot;2B7B3A0B&quot;/&gt;&lt;wsp:rsid wsp:val=&quot;2B7D58BA&quot;/&gt;&lt;wsp:rsid wsp:val=&quot;2B7D7783&quot;/&gt;&lt;wsp:rsid wsp:val=&quot;2B7E52A9&quot;/&gt;&lt;wsp:rsid wsp:val=&quot;2B7F1994&quot;/&gt;&lt;wsp:rsid wsp:val=&quot;2B8054C5&quot;/&gt;&lt;wsp:rsid wsp:val=&quot;2B807273&quot;/&gt;&lt;wsp:rsid wsp:val=&quot;2B834329&quot;/&gt;&lt;wsp:rsid wsp:val=&quot;2B836D64&quot;/&gt;&lt;wsp:rsid wsp:val=&quot;2B872ED7&quot;/&gt;&lt;wsp:rsid wsp:val=&quot;2B8A1EA0&quot;/&gt;&lt;wsp:rsid wsp:val=&quot;2B8A6344&quot;/&gt;&lt;wsp:rsid wsp:val=&quot;2B8B66EB&quot;/&gt;&lt;wsp:rsid wsp:val=&quot;2B8D191A&quot;/&gt;&lt;wsp:rsid wsp:val=&quot;2B8E7BE2&quot;/&gt;&lt;wsp:rsid wsp:val=&quot;2B8F1669&quot;/&gt;&lt;wsp:rsid wsp:val=&quot;2B911481&quot;/&gt;&lt;wsp:rsid wsp:val=&quot;2B9351F9&quot;/&gt;&lt;wsp:rsid wsp:val=&quot;2B936FA7&quot;/&gt;&lt;wsp:rsid wsp:val=&quot;2B940F71&quot;/&gt;&lt;wsp:rsid wsp:val=&quot;2B9729CB&quot;/&gt;&lt;wsp:rsid wsp:val=&quot;2B97636B&quot;/&gt;&lt;wsp:rsid wsp:val=&quot;2B98280F&quot;/&gt;&lt;wsp:rsid wsp:val=&quot;2B986A2C&quot;/&gt;&lt;wsp:rsid wsp:val=&quot;2B9A1328&quot;/&gt;&lt;wsp:rsid wsp:val=&quot;2B9C3C6C&quot;/&gt;&lt;wsp:rsid wsp:val=&quot;2B9D1BD3&quot;/&gt;&lt;wsp:rsid wsp:val=&quot;2B9D7E25&quot;/&gt;&lt;wsp:rsid wsp:val=&quot;2B9F2CC0&quot;/&gt;&lt;wsp:rsid wsp:val=&quot;2BA016C4&quot;/&gt;&lt;wsp:rsid wsp:val=&quot;2BA03472&quot;/&gt;&lt;wsp:rsid wsp:val=&quot;2BA44493&quot;/&gt;&lt;wsp:rsid wsp:val=&quot;2BA47406&quot;/&gt;&lt;wsp:rsid wsp:val=&quot;2BA50A88&quot;/&gt;&lt;wsp:rsid wsp:val=&quot;2BA54F2C&quot;/&gt;&lt;wsp:rsid wsp:val=&quot;2BA56CDA&quot;/&gt;&lt;wsp:rsid wsp:val=&quot;2BA86521&quot;/&gt;&lt;wsp:rsid wsp:val=&quot;2BA936A8&quot;/&gt;&lt;wsp:rsid wsp:val=&quot;2BAA14CE&quot;/&gt;&lt;wsp:rsid wsp:val=&quot;2BAB5541&quot;/&gt;&lt;wsp:rsid wsp:val=&quot;2BAC1E16&quot;/&gt;&lt;wsp:rsid wsp:val=&quot;2BAE2033&quot;/&gt;&lt;wsp:rsid wsp:val=&quot;2BAF20E2&quot;/&gt;&lt;wsp:rsid wsp:val=&quot;2BB04CB3&quot;/&gt;&lt;wsp:rsid wsp:val=&quot;2BB05DAB&quot;/&gt;&lt;wsp:rsid wsp:val=&quot;2BB331A5&quot;/&gt;&lt;wsp:rsid wsp:val=&quot;2BBA09D7&quot;/&gt;&lt;wsp:rsid wsp:val=&quot;2BBC3256&quot;/&gt;&lt;wsp:rsid wsp:val=&quot;2BBD4024&quot;/&gt;&lt;wsp:rsid wsp:val=&quot;2BBF5FEE&quot;/&gt;&lt;wsp:rsid wsp:val=&quot;2BC2163A&quot;/&gt;&lt;wsp:rsid wsp:val=&quot;2BC31734&quot;/&gt;&lt;wsp:rsid wsp:val=&quot;2BC453B2&quot;/&gt;&lt;wsp:rsid wsp:val=&quot;2BC66ED9&quot;/&gt;&lt;wsp:rsid wsp:val=&quot;2BC730F4&quot;/&gt;&lt;wsp:rsid wsp:val=&quot;2BC90C1A&quot;/&gt;&lt;wsp:rsid wsp:val=&quot;2BC929C8&quot;/&gt;&lt;wsp:rsid wsp:val=&quot;2BCC24B9&quot;/&gt;&lt;wsp:rsid wsp:val=&quot;2BCD76CE&quot;/&gt;&lt;wsp:rsid wsp:val=&quot;2BCE4483&quot;/&gt;&lt;wsp:rsid wsp:val=&quot;2BCF5242&quot;/&gt;&lt;wsp:rsid wsp:val=&quot;2BD05855&quot;/&gt;&lt;wsp:rsid wsp:val=&quot;2BD1572D&quot;/&gt;&lt;wsp:rsid wsp:val=&quot;2BD355F5&quot;/&gt;&lt;wsp:rsid wsp:val=&quot;2BD440AE&quot;/&gt;&lt;wsp:rsid wsp:val=&quot;2BD55811&quot;/&gt;&lt;wsp:rsid wsp:val=&quot;2BD63337&quot;/&gt;&lt;wsp:rsid wsp:val=&quot;2BD66E93&quot;/&gt;&lt;wsp:rsid wsp:val=&quot;2BD7250D&quot;/&gt;&lt;wsp:rsid wsp:val=&quot;2BD870AF&quot;/&gt;&lt;wsp:rsid wsp:val=&quot;2BD9091A&quot;/&gt;&lt;wsp:rsid wsp:val=&quot;2BD96984&quot;/&gt;&lt;wsp:rsid wsp:val=&quot;2BDA4BD6&quot;/&gt;&lt;wsp:rsid wsp:val=&quot;2BDA6A14&quot;/&gt;&lt;wsp:rsid wsp:val=&quot;2BDB094E&quot;/&gt;&lt;wsp:rsid wsp:val=&quot;2BDB26FC&quot;/&gt;&lt;wsp:rsid wsp:val=&quot;2BDD3CD0&quot;/&gt;&lt;wsp:rsid wsp:val=&quot;2BDE30D5&quot;/&gt;&lt;wsp:rsid wsp:val=&quot;2BDE3F9A&quot;/&gt;&lt;wsp:rsid wsp:val=&quot;2BDF043E&quot;/&gt;&lt;wsp:rsid wsp:val=&quot;2BDF11C1&quot;/&gt;&lt;wsp:rsid wsp:val=&quot;2BDF21C9&quot;/&gt;&lt;wsp:rsid wsp:val=&quot;2BDF24A6&quot;/&gt;&lt;wsp:rsid wsp:val=&quot;2BE21CDC&quot;/&gt;&lt;wsp:rsid wsp:val=&quot;2BE27F2E&quot;/&gt;&lt;wsp:rsid wsp:val=&quot;2BE315B0&quot;/&gt;&lt;wsp:rsid wsp:val=&quot;2BE55328&quot;/&gt;&lt;wsp:rsid wsp:val=&quot;2BE617CC&quot;/&gt;&lt;wsp:rsid wsp:val=&quot;2BE63B1F&quot;/&gt;&lt;wsp:rsid wsp:val=&quot;2BE8587B&quot;/&gt;&lt;wsp:rsid wsp:val=&quot;2BE912BD&quot;/&gt;&lt;wsp:rsid wsp:val=&quot;2BEA0B91&quot;/&gt;&lt;wsp:rsid wsp:val=&quot;2BEE242F&quot;/&gt;&lt;wsp:rsid wsp:val=&quot;2BEF7575&quot;/&gt;&lt;wsp:rsid wsp:val=&quot;2BF00C46&quot;/&gt;&lt;wsp:rsid wsp:val=&quot;2BF0264B&quot;/&gt;&lt;wsp:rsid wsp:val=&quot;2BF11F1F&quot;/&gt;&lt;wsp:rsid wsp:val=&quot;2BF33EE9&quot;/&gt;&lt;wsp:rsid wsp:val=&quot;2BF35C97&quot;/&gt;&lt;wsp:rsid wsp:val=&quot;2BF437BD&quot;/&gt;&lt;wsp:rsid wsp:val=&quot;2BF57C61&quot;/&gt;&lt;wsp:rsid wsp:val=&quot;2BF612E4&quot;/&gt;&lt;wsp:rsid wsp:val=&quot;2BF67536&quot;/&gt;&lt;wsp:rsid wsp:val=&quot;2BF81500&quot;/&gt;&lt;wsp:rsid wsp:val=&quot;2BF8505C&quot;/&gt;&lt;wsp:rsid wsp:val=&quot;2BFA7026&quot;/&gt;&lt;wsp:rsid wsp:val=&quot;2BFB2D9E&quot;/&gt;&lt;wsp:rsid wsp:val=&quot;2BFC0FF0&quot;/&gt;&lt;wsp:rsid wsp:val=&quot;2BFD2672&quot;/&gt;&lt;wsp:rsid wsp:val=&quot;2BFF463C&quot;/&gt;&lt;wsp:rsid wsp:val=&quot;2C025EDA&quot;/&gt;&lt;wsp:rsid wsp:val=&quot;2C027C88&quot;/&gt;&lt;wsp:rsid wsp:val=&quot;2C041C52&quot;/&gt;&lt;wsp:rsid wsp:val=&quot;2C0435DB&quot;/&gt;&lt;wsp:rsid wsp:val=&quot;2C043A79&quot;/&gt;&lt;wsp:rsid wsp:val=&quot;2C05030B&quot;/&gt;&lt;wsp:rsid wsp:val=&quot;2C051FF5&quot;/&gt;&lt;wsp:rsid wsp:val=&quot;2C0734F1&quot;/&gt;&lt;wsp:rsid wsp:val=&quot;2C09011C&quot;/&gt;&lt;wsp:rsid wsp:val=&quot;2C091613&quot;/&gt;&lt;wsp:rsid wsp:val=&quot;2C0A4D8F&quot;/&gt;&lt;wsp:rsid wsp:val=&quot;2C1005F7&quot;/&gt;&lt;wsp:rsid wsp:val=&quot;2C133D9F&quot;/&gt;&lt;wsp:rsid wsp:val=&quot;2C167BD8&quot;/&gt;&lt;wsp:rsid wsp:val=&quot;2C1703A3&quot;/&gt;&lt;wsp:rsid wsp:val=&quot;2C1752F1&quot;/&gt;&lt;wsp:rsid wsp:val=&quot;2C1A3224&quot;/&gt;&lt;wsp:rsid wsp:val=&quot;2C1A4943&quot;/&gt;&lt;wsp:rsid wsp:val=&quot;2C1C3440&quot;/&gt;&lt;wsp:rsid wsp:val=&quot;2C1C7CD3&quot;/&gt;&lt;wsp:rsid wsp:val=&quot;2C1D2D14&quot;/&gt;&lt;wsp:rsid wsp:val=&quot;2C1D33FB&quot;/&gt;&lt;wsp:rsid wsp:val=&quot;2C1D4AC2&quot;/&gt;&lt;wsp:rsid wsp:val=&quot;2C1D7A22&quot;/&gt;&lt;wsp:rsid wsp:val=&quot;2C1F6A8C&quot;/&gt;&lt;wsp:rsid wsp:val=&quot;2C210A56&quot;/&gt;&lt;wsp:rsid wsp:val=&quot;2C212804&quot;/&gt;&lt;wsp:rsid wsp:val=&quot;2C2422F5&quot;/&gt;&lt;wsp:rsid wsp:val=&quot;2C2440A3&quot;/&gt;&lt;wsp:rsid wsp:val=&quot;2C253164&quot;/&gt;&lt;wsp:rsid wsp:val=&quot;2C2661CB&quot;/&gt;&lt;wsp:rsid wsp:val=&quot;2C267E1B&quot;/&gt;&lt;wsp:rsid wsp:val=&quot;2C273B93&quot;/&gt;&lt;wsp:rsid wsp:val=&quot;2C275941&quot;/&gt;&lt;wsp:rsid wsp:val=&quot;2C293467&quot;/&gt;&lt;wsp:rsid wsp:val=&quot;2C2A3767&quot;/&gt;&lt;wsp:rsid wsp:val=&quot;2C2A71DF&quot;/&gt;&lt;wsp:rsid wsp:val=&quot;2C2C11A9&quot;/&gt;&lt;wsp:rsid wsp:val=&quot;2C2E0A7D&quot;/&gt;&lt;wsp:rsid wsp:val=&quot;2C2E3173&quot;/&gt;&lt;wsp:rsid wsp:val=&quot;2C302A48&quot;/&gt;&lt;wsp:rsid wsp:val=&quot;2C31056E&quot;/&gt;&lt;wsp:rsid wsp:val=&quot;2C315A5A&quot;/&gt;&lt;wsp:rsid wsp:val=&quot;2C332538&quot;/&gt;&lt;wsp:rsid wsp:val=&quot;2C35087A&quot;/&gt;&lt;wsp:rsid wsp:val=&quot;2C387880&quot;/&gt;&lt;wsp:rsid wsp:val=&quot;2C3A1B18&quot;/&gt;&lt;wsp:rsid wsp:val=&quot;2C3A5674&quot;/&gt;&lt;wsp:rsid wsp:val=&quot;2C3B3CAE&quot;/&gt;&lt;wsp:rsid wsp:val=&quot;2C3C763E&quot;/&gt;&lt;wsp:rsid wsp:val=&quot;2C3E306D&quot;/&gt;&lt;wsp:rsid wsp:val=&quot;2C3F28B9&quot;/&gt;&lt;wsp:rsid wsp:val=&quot;2C3F2C8B&quot;/&gt;&lt;wsp:rsid wsp:val=&quot;2C414C55&quot;/&gt;&lt;wsp:rsid wsp:val=&quot;2C4165DB&quot;/&gt;&lt;wsp:rsid wsp:val=&quot;2C416A03&quot;/&gt;&lt;wsp:rsid wsp:val=&quot;2C4209CD&quot;/&gt;&lt;wsp:rsid wsp:val=&quot;2C43743C&quot;/&gt;&lt;wsp:rsid wsp:val=&quot;2C484235&quot;/&gt;&lt;wsp:rsid wsp:val=&quot;2C4869F0&quot;/&gt;&lt;wsp:rsid wsp:val=&quot;2C4958B7&quot;/&gt;&lt;wsp:rsid wsp:val=&quot;2C4B162F&quot;/&gt;&lt;wsp:rsid wsp:val=&quot;2C4B1C25&quot;/&gt;&lt;wsp:rsid wsp:val=&quot;2C4B5AD3&quot;/&gt;&lt;wsp:rsid wsp:val=&quot;2C4C35F9&quot;/&gt;&lt;wsp:rsid wsp:val=&quot;2C4D184B&quot;/&gt;&lt;wsp:rsid wsp:val=&quot;2C4D5A97&quot;/&gt;&lt;wsp:rsid wsp:val=&quot;2C4E1120&quot;/&gt;&lt;wsp:rsid wsp:val=&quot;2C4E7372&quot;/&gt;&lt;wsp:rsid wsp:val=&quot;2C534309&quot;/&gt;&lt;wsp:rsid wsp:val=&quot;2C536736&quot;/&gt;&lt;wsp:rsid wsp:val=&quot;2C550700&quot;/&gt;&lt;wsp:rsid wsp:val=&quot;2C567FD4&quot;/&gt;&lt;wsp:rsid wsp:val=&quot;2C572442&quot;/&gt;&lt;wsp:rsid wsp:val=&quot;2C576226&quot;/&gt;&lt;wsp:rsid wsp:val=&quot;2C5A5D16&quot;/&gt;&lt;wsp:rsid wsp:val=&quot;2C5C383D&quot;/&gt;&lt;wsp:rsid wsp:val=&quot;2C6023A6&quot;/&gt;&lt;wsp:rsid wsp:val=&quot;2C602C01&quot;/&gt;&lt;wsp:rsid wsp:val=&quot;2C622E1D&quot;/&gt;&lt;wsp:rsid wsp:val=&quot;2C632468&quot;/&gt;&lt;wsp:rsid wsp:val=&quot;2C6646BB&quot;/&gt;&lt;wsp:rsid wsp:val=&quot;2C666469&quot;/&gt;&lt;wsp:rsid wsp:val=&quot;2C6941AB&quot;/&gt;&lt;wsp:rsid wsp:val=&quot;2C6B1CD2&quot;/&gt;&lt;wsp:rsid wsp:val=&quot;2C6D3C9C&quot;/&gt;&lt;wsp:rsid wsp:val=&quot;2C6E096F&quot;/&gt;&lt;wsp:rsid wsp:val=&quot;2C6E531E&quot;/&gt;&lt;wsp:rsid wsp:val=&quot;2C6F1D04&quot;/&gt;&lt;wsp:rsid wsp:val=&quot;2C6F72CA&quot;/&gt;&lt;wsp:rsid wsp:val=&quot;2C701096&quot;/&gt;&lt;wsp:rsid wsp:val=&quot;2C701E9B&quot;/&gt;&lt;wsp:rsid wsp:val=&quot;2C7072E8&quot;/&gt;&lt;wsp:rsid wsp:val=&quot;2C714E0E&quot;/&gt;&lt;wsp:rsid wsp:val=&quot;2C7212B2&quot;/&gt;&lt;wsp:rsid wsp:val=&quot;2C732934&quot;/&gt;&lt;wsp:rsid wsp:val=&quot;2C73502A&quot;/&gt;&lt;wsp:rsid wsp:val=&quot;2C742D57&quot;/&gt;&lt;wsp:rsid wsp:val=&quot;2C752B50&quot;/&gt;&lt;wsp:rsid wsp:val=&quot;2C7768C8&quot;/&gt;&lt;wsp:rsid wsp:val=&quot;2C7843EE&quot;/&gt;&lt;wsp:rsid wsp:val=&quot;2C792640&quot;/&gt;&lt;wsp:rsid wsp:val=&quot;2C795A94&quot;/&gt;&lt;wsp:rsid wsp:val=&quot;2C7A4279&quot;/&gt;&lt;wsp:rsid wsp:val=&quot;2C7D37B3&quot;/&gt;&lt;wsp:rsid wsp:val=&quot;2C7E7C57&quot;/&gt;&lt;wsp:rsid wsp:val=&quot;2C7F39CF&quot;/&gt;&lt;wsp:rsid wsp:val=&quot;2C8132A3&quot;/&gt;&lt;wsp:rsid wsp:val=&quot;2C82701B&quot;/&gt;&lt;wsp:rsid wsp:val=&quot;2C832906&quot;/&gt;&lt;wsp:rsid wsp:val=&quot;2C840FE5&quot;/&gt;&lt;wsp:rsid wsp:val=&quot;2C8608B9&quot;/&gt;&lt;wsp:rsid wsp:val=&quot;2C866B0B&quot;/&gt;&lt;wsp:rsid wsp:val=&quot;2C872E2D&quot;/&gt;&lt;wsp:rsid wsp:val=&quot;2C884632&quot;/&gt;&lt;wsp:rsid wsp:val=&quot;2C892158&quot;/&gt;&lt;wsp:rsid wsp:val=&quot;2C8B4122&quot;/&gt;&lt;wsp:rsid wsp:val=&quot;2C8B51FB&quot;/&gt;&lt;wsp:rsid wsp:val=&quot;2C8E17A8&quot;/&gt;&lt;wsp:rsid wsp:val=&quot;2C8E3C12&quot;/&gt;&lt;wsp:rsid wsp:val=&quot;2C901738&quot;/&gt;&lt;wsp:rsid wsp:val=&quot;2C9103E2&quot;/&gt;&lt;wsp:rsid wsp:val=&quot;2C923702&quot;/&gt;&lt;wsp:rsid wsp:val=&quot;2C9254B0&quot;/&gt;&lt;wsp:rsid wsp:val=&quot;2C9303A0&quot;/&gt;&lt;wsp:rsid wsp:val=&quot;2C931228&quot;/&gt;&lt;wsp:rsid wsp:val=&quot;2C934D84&quot;/&gt;&lt;wsp:rsid wsp:val=&quot;2C950AFD&quot;/&gt;&lt;wsp:rsid wsp:val=&quot;2C970CD4&quot;/&gt;&lt;wsp:rsid wsp:val=&quot;2C994A91&quot;/&gt;&lt;wsp:rsid wsp:val=&quot;2C9A25B7&quot;/&gt;&lt;wsp:rsid wsp:val=&quot;2C9A4365&quot;/&gt;&lt;wsp:rsid wsp:val=&quot;2C9A6113&quot;/&gt;&lt;wsp:rsid wsp:val=&quot;2C9C1E8B&quot;/&gt;&lt;wsp:rsid wsp:val=&quot;2C9E3E55&quot;/&gt;&lt;wsp:rsid wsp:val=&quot;2C9F197B&quot;/&gt;&lt;wsp:rsid wsp:val=&quot;2C9F20B0&quot;/&gt;&lt;wsp:rsid wsp:val=&quot;2C9F63A9&quot;/&gt;&lt;wsp:rsid wsp:val=&quot;2C9F7BCD&quot;/&gt;&lt;wsp:rsid wsp:val=&quot;2CA174A1&quot;/&gt;&lt;wsp:rsid wsp:val=&quot;2CA23219&quot;/&gt;&lt;wsp:rsid wsp:val=&quot;2CA43435&quot;/&gt;&lt;wsp:rsid wsp:val=&quot;2CA451E4&quot;/&gt;&lt;wsp:rsid wsp:val=&quot;2CA46F92&quot;/&gt;&lt;wsp:rsid wsp:val=&quot;2CA70830&quot;/&gt;&lt;wsp:rsid wsp:val=&quot;2CAB0320&quot;/&gt;&lt;wsp:rsid wsp:val=&quot;2CAD4098&quot;/&gt;&lt;wsp:rsid wsp:val=&quot;2CAE7587&quot;/&gt;&lt;wsp:rsid wsp:val=&quot;2CAE7E10&quot;/&gt;&lt;wsp:rsid wsp:val=&quot;2CB01DDA&quot;/&gt;&lt;wsp:rsid wsp:val=&quot;2CB216AE&quot;/&gt;&lt;wsp:rsid wsp:val=&quot;2CB2345D&quot;/&gt;&lt;wsp:rsid wsp:val=&quot;2CB2481F&quot;/&gt;&lt;wsp:rsid wsp:val=&quot;2CB371D5&quot;/&gt;&lt;wsp:rsid wsp:val=&quot;2CB42A1C&quot;/&gt;&lt;wsp:rsid wsp:val=&quot;2CB43679&quot;/&gt;&lt;wsp:rsid wsp:val=&quot;2CB46D5B&quot;/&gt;&lt;wsp:rsid wsp:val=&quot;2CB504DE&quot;/&gt;&lt;wsp:rsid wsp:val=&quot;2CB50C49&quot;/&gt;&lt;wsp:rsid wsp:val=&quot;2CB573F1&quot;/&gt;&lt;wsp:rsid wsp:val=&quot;2CB73169&quot;/&gt;&lt;wsp:rsid wsp:val=&quot;2CB74F17&quot;/&gt;&lt;wsp:rsid wsp:val=&quot;2CB76CC5&quot;/&gt;&lt;wsp:rsid wsp:val=&quot;2CB82A3D&quot;/&gt;&lt;wsp:rsid wsp:val=&quot;2CB847EB&quot;/&gt;&lt;wsp:rsid wsp:val=&quot;2CB90C8F&quot;/&gt;&lt;wsp:rsid wsp:val=&quot;2CBA0563&quot;/&gt;&lt;wsp:rsid wsp:val=&quot;2CBA1E1E&quot;/&gt;&lt;wsp:rsid wsp:val=&quot;2CBB4441&quot;/&gt;&lt;wsp:rsid wsp:val=&quot;2CC00E82&quot;/&gt;&lt;wsp:rsid wsp:val=&quot;2CC118F2&quot;/&gt;&lt;wsp:rsid wsp:val=&quot;2CC15D95&quot;/&gt;&lt;wsp:rsid wsp:val=&quot;2CC17B44&quot;/&gt;&lt;wsp:rsid wsp:val=&quot;2CC3566A&quot;/&gt;&lt;wsp:rsid wsp:val=&quot;2CC64125&quot;/&gt;&lt;wsp:rsid wsp:val=&quot;2CC80ED2&quot;/&gt;&lt;wsp:rsid wsp:val=&quot;2CC94C4A&quot;/&gt;&lt;wsp:rsid wsp:val=&quot;2CC969F8&quot;/&gt;&lt;wsp:rsid wsp:val=&quot;2CCB451E&quot;/&gt;&lt;wsp:rsid wsp:val=&quot;2CCB6C14&quot;/&gt;&lt;wsp:rsid wsp:val=&quot;2CCC7C29&quot;/&gt;&lt;wsp:rsid wsp:val=&quot;2CCD0296&quot;/&gt;&lt;wsp:rsid wsp:val=&quot;2CCF6918&quot;/&gt;&lt;wsp:rsid wsp:val=&quot;2CD07D87&quot;/&gt;&lt;wsp:rsid wsp:val=&quot;2CD35299&quot;/&gt;&lt;wsp:rsid wsp:val=&quot;2CD45AC9&quot;/&gt;&lt;wsp:rsid wsp:val=&quot;2CD47877&quot;/&gt;&lt;wsp:rsid wsp:val=&quot;2CD535EF&quot;/&gt;&lt;wsp:rsid wsp:val=&quot;2CD86C3B&quot;/&gt;&lt;wsp:rsid wsp:val=&quot;2CDC672B&quot;/&gt;&lt;wsp:rsid wsp:val=&quot;2CDF446E&quot;/&gt;&lt;wsp:rsid wsp:val=&quot;2CE101E6&quot;/&gt;&lt;wsp:rsid wsp:val=&quot;2CE43832&quot;/&gt;&lt;wsp:rsid wsp:val=&quot;2CE576AE&quot;/&gt;&lt;wsp:rsid wsp:val=&quot;2CE61FCE&quot;/&gt;&lt;wsp:rsid wsp:val=&quot;2CE7345E&quot;/&gt;&lt;wsp:rsid wsp:val=&quot;2CEA52EC&quot;/&gt;&lt;wsp:rsid wsp:val=&quot;2CEB2E12&quot;/&gt;&lt;wsp:rsid wsp:val=&quot;2CEB4BC0&quot;/&gt;&lt;wsp:rsid wsp:val=&quot;2CED0939&quot;/&gt;&lt;wsp:rsid wsp:val=&quot;2CEF46B1&quot;/&gt;&lt;wsp:rsid wsp:val=&quot;2CEF6E8C&quot;/&gt;&lt;wsp:rsid wsp:val=&quot;2CF00429&quot;/&gt;&lt;wsp:rsid wsp:val=&quot;2CF021D7&quot;/&gt;&lt;wsp:rsid wsp:val=&quot;2CF03F85&quot;/&gt;&lt;wsp:rsid wsp:val=&quot;2CF170E1&quot;/&gt;&lt;wsp:rsid wsp:val=&quot;2CF31A01&quot;/&gt;&lt;wsp:rsid wsp:val=&quot;2CF41CC7&quot;/&gt;&lt;wsp:rsid wsp:val=&quot;2CF55A3F&quot;/&gt;&lt;wsp:rsid wsp:val=&quot;2CF57C1C&quot;/&gt;&lt;wsp:rsid wsp:val=&quot;2CF94162&quot;/&gt;&lt;wsp:rsid wsp:val=&quot;2CFA6D03&quot;/&gt;&lt;wsp:rsid wsp:val=&quot;2CFB44A5&quot;/&gt;&lt;wsp:rsid wsp:val=&quot;2CFC0B7C&quot;/&gt;&lt;wsp:rsid wsp:val=&quot;2CFE66A2&quot;/&gt;&lt;wsp:rsid wsp:val=&quot;2CFF1472&quot;/&gt;&lt;wsp:rsid wsp:val=&quot;2D005746&quot;/&gt;&lt;wsp:rsid wsp:val=&quot;2D012636&quot;/&gt;&lt;wsp:rsid wsp:val=&quot;2D016192&quot;/&gt;&lt;wsp:rsid wsp:val=&quot;2D031F0A&quot;/&gt;&lt;wsp:rsid wsp:val=&quot;2D0363AE&quot;/&gt;&lt;wsp:rsid wsp:val=&quot;2D045C82&quot;/&gt;&lt;wsp:rsid wsp:val=&quot;2D076515&quot;/&gt;&lt;wsp:rsid wsp:val=&quot;2D0839C4&quot;/&gt;&lt;wsp:rsid wsp:val=&quot;2D087520&quot;/&gt;&lt;wsp:rsid wsp:val=&quot;2D095281&quot;/&gt;&lt;wsp:rsid wsp:val=&quot;2D0A3299&quot;/&gt;&lt;wsp:rsid wsp:val=&quot;2D0B0DBF&quot;/&gt;&lt;wsp:rsid wsp:val=&quot;2D0D0FDB&quot;/&gt;&lt;wsp:rsid wsp:val=&quot;2D0D2D89&quot;/&gt;&lt;wsp:rsid wsp:val=&quot;2D0F6B01&quot;/&gt;&lt;wsp:rsid wsp:val=&quot;2D12039F&quot;/&gt;&lt;wsp:rsid wsp:val=&quot;2D12214D&quot;/&gt;&lt;wsp:rsid wsp:val=&quot;2D126B82&quot;/&gt;&lt;wsp:rsid wsp:val=&quot;2D126CD3&quot;/&gt;&lt;wsp:rsid wsp:val=&quot;2D14247A&quot;/&gt;&lt;wsp:rsid wsp:val=&quot;2D145EC5&quot;/&gt;&lt;wsp:rsid wsp:val=&quot;2D173C07&quot;/&gt;&lt;wsp:rsid wsp:val=&quot;2D177764&quot;/&gt;&lt;wsp:rsid wsp:val=&quot;2D1934DC&quot;/&gt;&lt;wsp:rsid wsp:val=&quot;2D197980&quot;/&gt;&lt;wsp:rsid wsp:val=&quot;2D1B36F8&quot;/&gt;&lt;wsp:rsid wsp:val=&quot;2D1B54A6&quot;/&gt;&lt;wsp:rsid wsp:val=&quot;2D1C121E&quot;/&gt;&lt;wsp:rsid wsp:val=&quot;2D1E4F96&quot;/&gt;&lt;wsp:rsid wsp:val=&quot;2D1E6D44&quot;/&gt;&lt;wsp:rsid wsp:val=&quot;2D200D0E&quot;/&gt;&lt;wsp:rsid wsp:val=&quot;2D20215E&quot;/&gt;&lt;wsp:rsid wsp:val=&quot;2D2105E2&quot;/&gt;&lt;wsp:rsid wsp:val=&quot;2D23435A&quot;/&gt;&lt;wsp:rsid wsp:val=&quot;2D2500D2&quot;/&gt;&lt;wsp:rsid wsp:val=&quot;2D265BF9&quot;/&gt;&lt;wsp:rsid wsp:val=&quot;2D2D342B&quot;/&gt;&lt;wsp:rsid wsp:val=&quot;2D314CC9&quot;/&gt;&lt;wsp:rsid wsp:val=&quot;2D3227EF&quot;/&gt;&lt;wsp:rsid wsp:val=&quot;2D3305D4&quot;/&gt;&lt;wsp:rsid wsp:val=&quot;2D3312B2&quot;/&gt;&lt;wsp:rsid wsp:val=&quot;2D347A8C&quot;/&gt;&lt;wsp:rsid wsp:val=&quot;2D35408E&quot;/&gt;&lt;wsp:rsid wsp:val=&quot;2D355E3C&quot;/&gt;&lt;wsp:rsid wsp:val=&quot;2D391DD0&quot;/&gt;&lt;wsp:rsid wsp:val=&quot;2D393B7E&quot;/&gt;&lt;wsp:rsid wsp:val=&quot;2D3A16A4&quot;/&gt;&lt;wsp:rsid wsp:val=&quot;2D3A4195&quot;/&gt;&lt;wsp:rsid wsp:val=&quot;2D3E1194&quot;/&gt;&lt;wsp:rsid wsp:val=&quot;2D3E2F42&quot;/&gt;&lt;wsp:rsid wsp:val=&quot;2D3E73E6&quot;/&gt;&lt;wsp:rsid wsp:val=&quot;2D410C84&quot;/&gt;&lt;wsp:rsid wsp:val=&quot;2D41586D&quot;/&gt;&lt;wsp:rsid wsp:val=&quot;2D426ED6&quot;/&gt;&lt;wsp:rsid wsp:val=&quot;2D430559&quot;/&gt;&lt;wsp:rsid wsp:val=&quot;2D4349FC&quot;/&gt;&lt;wsp:rsid wsp:val=&quot;2D450775&quot;/&gt;&lt;wsp:rsid wsp:val=&quot;2D4542D1&quot;/&gt;&lt;wsp:rsid wsp:val=&quot;2D4744ED&quot;/&gt;&lt;wsp:rsid wsp:val=&quot;2D480265&quot;/&gt;&lt;wsp:rsid wsp:val=&quot;2D4D7629&quot;/&gt;&lt;wsp:rsid wsp:val=&quot;2D4F15F3&quot;/&gt;&lt;wsp:rsid wsp:val=&quot;2D517119&quot;/&gt;&lt;wsp:rsid wsp:val=&quot;2D524C40&quot;/&gt;&lt;wsp:rsid wsp:val=&quot;2D534021&quot;/&gt;&lt;wsp:rsid wsp:val=&quot;2D5409B8&quot;/&gt;&lt;wsp:rsid wsp:val=&quot;2D5655D2&quot;/&gt;&lt;wsp:rsid wsp:val=&quot;2D5704A8&quot;/&gt;&lt;wsp:rsid wsp:val=&quot;2D580E5F&quot;/&gt;&lt;wsp:rsid wsp:val=&quot;2D594220&quot;/&gt;&lt;wsp:rsid wsp:val=&quot;2D597D7C&quot;/&gt;&lt;wsp:rsid wsp:val=&quot;2D5B1D46&quot;/&gt;&lt;wsp:rsid wsp:val=&quot;2D5B77E0&quot;/&gt;&lt;wsp:rsid wsp:val=&quot;2D5D3823&quot;/&gt;&lt;wsp:rsid wsp:val=&quot;2D613652&quot;/&gt;&lt;wsp:rsid wsp:val=&quot;2D616C31&quot;/&gt;&lt;wsp:rsid wsp:val=&quot;2D6648F3&quot;/&gt;&lt;wsp:rsid wsp:val=&quot;2D67693D&quot;/&gt;&lt;wsp:rsid wsp:val=&quot;2D687FBF&quot;/&gt;&lt;wsp:rsid wsp:val=&quot;2D6A3D37&quot;/&gt;&lt;wsp:rsid wsp:val=&quot;2D6C0765&quot;/&gt;&lt;wsp:rsid wsp:val=&quot;2D6C3F53&quot;/&gt;&lt;wsp:rsid wsp:val=&quot;2D6C5D01&quot;/&gt;&lt;wsp:rsid wsp:val=&quot;2D6F57F1&quot;/&gt;&lt;wsp:rsid wsp:val=&quot;2D6F75A0&quot;/&gt;&lt;wsp:rsid wsp:val=&quot;2D71156A&quot;/&gt;&lt;wsp:rsid wsp:val=&quot;2D720E3E&quot;/&gt;&lt;wsp:rsid wsp:val=&quot;2D727090&quot;/&gt;&lt;wsp:rsid wsp:val=&quot;2D7352E2&quot;/&gt;&lt;wsp:rsid wsp:val=&quot;2D742E08&quot;/&gt;&lt;wsp:rsid wsp:val=&quot;2D747BBB&quot;/&gt;&lt;wsp:rsid wsp:val=&quot;2D76092E&quot;/&gt;&lt;wsp:rsid wsp:val=&quot;2D7626DC&quot;/&gt;&lt;wsp:rsid wsp:val=&quot;2D766B80&quot;/&gt;&lt;wsp:rsid wsp:val=&quot;2D7746A6&quot;/&gt;&lt;wsp:rsid wsp:val=&quot;2D784137&quot;/&gt;&lt;wsp:rsid wsp:val=&quot;2D79041E&quot;/&gt;&lt;wsp:rsid wsp:val=&quot;2D7921CC&quot;/&gt;&lt;wsp:rsid wsp:val=&quot;2D7C3A6A&quot;/&gt;&lt;wsp:rsid wsp:val=&quot;2D7D7F0E&quot;/&gt;&lt;wsp:rsid wsp:val=&quot;2D7E3C87&quot;/&gt;&lt;wsp:rsid wsp:val=&quot;2D7E5A35&quot;/&gt;&lt;wsp:rsid wsp:val=&quot;2D7E6DEA&quot;/&gt;&lt;wsp:rsid wsp:val=&quot;2D806BDB&quot;/&gt;&lt;wsp:rsid wsp:val=&quot;2D8079FF&quot;/&gt;&lt;wsp:rsid wsp:val=&quot;2D820DFF&quot;/&gt;&lt;wsp:rsid wsp:val=&quot;2D834DF9&quot;/&gt;&lt;wsp:rsid wsp:val=&quot;2D855015&quot;/&gt;&lt;wsp:rsid wsp:val=&quot;2D856DC3&quot;/&gt;&lt;wsp:rsid wsp:val=&quot;2D8748E9&quot;/&gt;&lt;wsp:rsid wsp:val=&quot;2D8A262B&quot;/&gt;&lt;wsp:rsid wsp:val=&quot;2D8C1F00&quot;/&gt;&lt;wsp:rsid wsp:val=&quot;2D8D03EA&quot;/&gt;&lt;wsp:rsid wsp:val=&quot;2D8D5C78&quot;/&gt;&lt;wsp:rsid wsp:val=&quot;2D8D660E&quot;/&gt;&lt;wsp:rsid wsp:val=&quot;2D8E211C&quot;/&gt;&lt;wsp:rsid wsp:val=&quot;2D8F7C42&quot;/&gt;&lt;wsp:rsid wsp:val=&quot;2D9139BA&quot;/&gt;&lt;wsp:rsid wsp:val=&quot;2D917516&quot;/&gt;&lt;wsp:rsid wsp:val=&quot;2D933910&quot;/&gt;&lt;wsp:rsid wsp:val=&quot;2D937732&quot;/&gt;&lt;wsp:rsid wsp:val=&quot;2D945258&quot;/&gt;&lt;wsp:rsid wsp:val=&quot;2D964B2C&quot;/&gt;&lt;wsp:rsid wsp:val=&quot;2D991937&quot;/&gt;&lt;wsp:rsid wsp:val=&quot;2D99286E&quot;/&gt;&lt;wsp:rsid wsp:val=&quot;2D9B0395&quot;/&gt;&lt;wsp:rsid wsp:val=&quot;2D9B2143&quot;/&gt;&lt;wsp:rsid wsp:val=&quot;2D9B65E7&quot;/&gt;&lt;wsp:rsid wsp:val=&quot;2D9D68F1&quot;/&gt;&lt;wsp:rsid wsp:val=&quot;2D9E0A23&quot;/&gt;&lt;wsp:rsid wsp:val=&quot;2D9E1C33&quot;/&gt;&lt;wsp:rsid wsp:val=&quot;2D9E56F5&quot;/&gt;&lt;wsp:rsid wsp:val=&quot;2DA07759&quot;/&gt;&lt;wsp:rsid wsp:val=&quot;2DA134D1&quot;/&gt;&lt;wsp:rsid wsp:val=&quot;2DA21723&quot;/&gt;&lt;wsp:rsid wsp:val=&quot;2DA60308&quot;/&gt;&lt;wsp:rsid wsp:val=&quot;2DA717C6&quot;/&gt;&lt;wsp:rsid wsp:val=&quot;2DA74F8B&quot;/&gt;&lt;wsp:rsid wsp:val=&quot;2DA75F41&quot;/&gt;&lt;wsp:rsid wsp:val=&quot;2DA76D39&quot;/&gt;&lt;wsp:rsid wsp:val=&quot;2DAA682A&quot;/&gt;&lt;wsp:rsid wsp:val=&quot;2DAD258B&quot;/&gt;&lt;wsp:rsid wsp:val=&quot;2DB01B2B&quot;/&gt;&lt;wsp:rsid wsp:val=&quot;2DB15E0A&quot;/&gt;&lt;wsp:rsid wsp:val=&quot;2DB16695&quot;/&gt;&lt;wsp:rsid wsp:val=&quot;2DB31B82&quot;/&gt;&lt;wsp:rsid wsp:val=&quot;2DB41456&quot;/&gt;&lt;wsp:rsid wsp:val=&quot;2DB476A8&quot;/&gt;&lt;wsp:rsid wsp:val=&quot;2DB51313&quot;/&gt;&lt;wsp:rsid wsp:val=&quot;2DB60A5F&quot;/&gt;&lt;wsp:rsid wsp:val=&quot;2DB66F7C&quot;/&gt;&lt;wsp:rsid wsp:val=&quot;2DB67697&quot;/&gt;&lt;wsp:rsid wsp:val=&quot;2DB72D0B&quot;/&gt;&lt;wsp:rsid wsp:val=&quot;2DB80F46&quot;/&gt;&lt;wsp:rsid wsp:val=&quot;2DB87198&quot;/&gt;&lt;wsp:rsid wsp:val=&quot;2DB9360F&quot;/&gt;&lt;wsp:rsid wsp:val=&quot;2DB96A6D&quot;/&gt;&lt;wsp:rsid wsp:val=&quot;2DBB27E5&quot;/&gt;&lt;wsp:rsid wsp:val=&quot;2DBD50E7&quot;/&gt;&lt;wsp:rsid wsp:val=&quot;2DBE0D2E&quot;/&gt;&lt;wsp:rsid wsp:val=&quot;2DBE22D5&quot;/&gt;&lt;wsp:rsid wsp:val=&quot;2DBE3570&quot;/&gt;&lt;wsp:rsid wsp:val=&quot;2DBE4083&quot;/&gt;&lt;wsp:rsid wsp:val=&quot;2DBF0527&quot;/&gt;&lt;wsp:rsid wsp:val=&quot;2DC01BA9&quot;/&gt;&lt;wsp:rsid wsp:val=&quot;2DC20E96&quot;/&gt;&lt;wsp:rsid wsp:val=&quot;2DC3161E&quot;/&gt;&lt;wsp:rsid wsp:val=&quot;2DC378EB&quot;/&gt;&lt;wsp:rsid wsp:val=&quot;2DC415DB&quot;/&gt;&lt;wsp:rsid wsp:val=&quot;2DC45B3D&quot;/&gt;&lt;wsp:rsid wsp:val=&quot;2DC63113&quot;/&gt;&lt;wsp:rsid wsp:val=&quot;2DC73C58&quot;/&gt;&lt;wsp:rsid wsp:val=&quot;2DC86CB0&quot;/&gt;&lt;wsp:rsid wsp:val=&quot;2DCA2A28&quot;/&gt;&lt;wsp:rsid wsp:val=&quot;2DCD2AB1&quot;/&gt;&lt;wsp:rsid wsp:val=&quot;2DCE2518&quot;/&gt;&lt;wsp:rsid wsp:val=&quot;2DCE784E&quot;/&gt;&lt;wsp:rsid wsp:val=&quot;2DCF0F92&quot;/&gt;&lt;wsp:rsid wsp:val=&quot;2DD218DC&quot;/&gt;&lt;wsp:rsid wsp:val=&quot;2DD22E73&quot;/&gt;&lt;wsp:rsid wsp:val=&quot;2DD7249E&quot;/&gt;&lt;wsp:rsid wsp:val=&quot;2DD815E9&quot;/&gt;&lt;wsp:rsid wsp:val=&quot;2DD83397&quot;/&gt;&lt;wsp:rsid wsp:val=&quot;2DDB2E87&quot;/&gt;&lt;wsp:rsid wsp:val=&quot;2DDB4C35&quot;/&gt;&lt;wsp:rsid wsp:val=&quot;2DDC5E7F&quot;/&gt;&lt;wsp:rsid wsp:val=&quot;2DDD09AD&quot;/&gt;&lt;wsp:rsid wsp:val=&quot;2DDD6BFF&quot;/&gt;&lt;wsp:rsid wsp:val=&quot;2DDE64D3&quot;/&gt;&lt;wsp:rsid wsp:val=&quot;2DDF14E4&quot;/&gt;&lt;wsp:rsid wsp:val=&quot;2DE23A09&quot;/&gt;&lt;wsp:rsid wsp:val=&quot;2DE24215&quot;/&gt;&lt;wsp:rsid wsp:val=&quot;2DE37BA3&quot;/&gt;&lt;wsp:rsid wsp:val=&quot;2DE47157&quot;/&gt;&lt;wsp:rsid wsp:val=&quot;2DE57862&quot;/&gt;&lt;wsp:rsid wsp:val=&quot;2DE7182C&quot;/&gt;&lt;wsp:rsid wsp:val=&quot;2DE735DA&quot;/&gt;&lt;wsp:rsid wsp:val=&quot;2DE8408C&quot;/&gt;&lt;wsp:rsid wsp:val=&quot;2DE955A4&quot;/&gt;&lt;wsp:rsid wsp:val=&quot;2DEA30CA&quot;/&gt;&lt;wsp:rsid wsp:val=&quot;2DEB087C&quot;/&gt;&lt;wsp:rsid wsp:val=&quot;2DEB6A75&quot;/&gt;&lt;wsp:rsid wsp:val=&quot;2DEC0BF0&quot;/&gt;&lt;wsp:rsid wsp:val=&quot;2DEC299E&quot;/&gt;&lt;wsp:rsid wsp:val=&quot;2DEF06E0&quot;/&gt;&lt;wsp:rsid wsp:val=&quot;2DEF248E&quot;/&gt;&lt;wsp:rsid wsp:val=&quot;2DEF3750&quot;/&gt;&lt;wsp:rsid wsp:val=&quot;2DEF6E3B&quot;/&gt;&lt;wsp:rsid wsp:val=&quot;2DF12E9C&quot;/&gt;&lt;wsp:rsid wsp:val=&quot;2DF16206&quot;/&gt;&lt;wsp:rsid wsp:val=&quot;2DF31F7F&quot;/&gt;&lt;wsp:rsid wsp:val=&quot;2DF45CF7&quot;/&gt;&lt;wsp:rsid wsp:val=&quot;2DF53F49&quot;/&gt;&lt;wsp:rsid wsp:val=&quot;2DF730F6&quot;/&gt;&lt;wsp:rsid wsp:val=&quot;2DF83A39&quot;/&gt;&lt;wsp:rsid wsp:val=&quot;2DF87595&quot;/&gt;&lt;wsp:rsid wsp:val=&quot;2DF9688E&quot;/&gt;&lt;wsp:rsid wsp:val=&quot;2DFB52D7&quot;/&gt;&lt;wsp:rsid wsp:val=&quot;2DFC5422&quot;/&gt;&lt;wsp:rsid wsp:val=&quot;2DFD4BAB&quot;/&gt;&lt;wsp:rsid wsp:val=&quot;2DFF1133&quot;/&gt;&lt;wsp:rsid wsp:val=&quot;2E00644A&quot;/&gt;&lt;wsp:rsid wsp:val=&quot;2E020414&quot;/&gt;&lt;wsp:rsid wsp:val=&quot;2E0210B7&quot;/&gt;&lt;wsp:rsid wsp:val=&quot;2E032598&quot;/&gt;&lt;wsp:rsid wsp:val=&quot;2E033B70&quot;/&gt;&lt;wsp:rsid wsp:val=&quot;2E040986&quot;/&gt;&lt;wsp:rsid wsp:val=&quot;2E041312&quot;/&gt;&lt;wsp:rsid wsp:val=&quot;2E045F3A&quot;/&gt;&lt;wsp:rsid wsp:val=&quot;2E0622F6&quot;/&gt;&lt;wsp:rsid wsp:val=&quot;2E0917A2&quot;/&gt;&lt;wsp:rsid wsp:val=&quot;2E0979F4&quot;/&gt;&lt;wsp:rsid wsp:val=&quot;2E0B02C8&quot;/&gt;&lt;wsp:rsid wsp:val=&quot;2E0C1292&quot;/&gt;&lt;wsp:rsid wsp:val=&quot;2E0E0B66&quot;/&gt;&lt;wsp:rsid wsp:val=&quot;2E0E500A&quot;/&gt;&lt;wsp:rsid wsp:val=&quot;2E1168A9&quot;/&gt;&lt;wsp:rsid wsp:val=&quot;2E132621&quot;/&gt;&lt;wsp:rsid wsp:val=&quot;2E13617D&quot;/&gt;&lt;wsp:rsid wsp:val=&quot;2E1476CE&quot;/&gt;&lt;wsp:rsid wsp:val=&quot;2E150147&quot;/&gt;&lt;wsp:rsid wsp:val=&quot;2E1819E5&quot;/&gt;&lt;wsp:rsid wsp:val=&quot;2E1B663D&quot;/&gt;&lt;wsp:rsid wsp:val=&quot;2E1D349F&quot;/&gt;&lt;wsp:rsid wsp:val=&quot;2E1E4B22&quot;/&gt;&lt;wsp:rsid wsp:val=&quot;2E1F0FC6&quot;/&gt;&lt;wsp:rsid wsp:val=&quot;2E1F4A69&quot;/&gt;&lt;wsp:rsid wsp:val=&quot;2E204D3E&quot;/&gt;&lt;wsp:rsid wsp:val=&quot;2E2122D0&quot;/&gt;&lt;wsp:rsid wsp:val=&quot;2E232138&quot;/&gt;&lt;wsp:rsid wsp:val=&quot;2E24038A&quot;/&gt;&lt;wsp:rsid wsp:val=&quot;2E2465DC&quot;/&gt;&lt;wsp:rsid wsp:val=&quot;2E255EB0&quot;/&gt;&lt;wsp:rsid wsp:val=&quot;2E271C28&quot;/&gt;&lt;wsp:rsid wsp:val=&quot;2E2A34C6&quot;/&gt;&lt;wsp:rsid wsp:val=&quot;2E2B796A&quot;/&gt;&lt;wsp:rsid wsp:val=&quot;2E2C723F&quot;/&gt;&lt;wsp:rsid wsp:val=&quot;2E2E026D&quot;/&gt;&lt;wsp:rsid wsp:val=&quot;2E2E2FB7&quot;/&gt;&lt;wsp:rsid wsp:val=&quot;2E2F6D2F&quot;/&gt;&lt;wsp:rsid wsp:val=&quot;2E312AA7&quot;/&gt;&lt;wsp:rsid wsp:val=&quot;2E314855&quot;/&gt;&lt;wsp:rsid wsp:val=&quot;2E344345&quot;/&gt;&lt;wsp:rsid wsp:val=&quot;2E36586F&quot;/&gt;&lt;wsp:rsid wsp:val=&quot;2E36630F&quot;/&gt;&lt;wsp:rsid wsp:val=&quot;2E374561&quot;/&gt;&lt;wsp:rsid wsp:val=&quot;2E383EF0&quot;/&gt;&lt;wsp:rsid wsp:val=&quot;2E395380&quot;/&gt;&lt;wsp:rsid wsp:val=&quot;2E3B3926&quot;/&gt;&lt;wsp:rsid wsp:val=&quot;2E3B56D4&quot;/&gt;&lt;wsp:rsid wsp:val=&quot;2E3B7332&quot;/&gt;&lt;wsp:rsid wsp:val=&quot;2E3C4320&quot;/&gt;&lt;wsp:rsid wsp:val=&quot;2E3D31FA&quot;/&gt;&lt;wsp:rsid wsp:val=&quot;2E3F51C4&quot;/&gt;&lt;wsp:rsid wsp:val=&quot;2E41385B&quot;/&gt;&lt;wsp:rsid wsp:val=&quot;2E41718E&quot;/&gt;&lt;wsp:rsid wsp:val=&quot;2E427D13&quot;/&gt;&lt;wsp:rsid wsp:val=&quot;2E432744&quot;/&gt;&lt;wsp:rsid wsp:val=&quot;2E440A2C&quot;/&gt;&lt;wsp:rsid wsp:val=&quot;2E450300&quot;/&gt;&lt;wsp:rsid wsp:val=&quot;2E467984&quot;/&gt;&lt;wsp:rsid wsp:val=&quot;2E4722CA&quot;/&gt;&lt;wsp:rsid wsp:val=&quot;2E4B1DBB&quot;/&gt;&lt;wsp:rsid wsp:val=&quot;2E4B2DD8&quot;/&gt;&lt;wsp:rsid wsp:val=&quot;2E4B3B69&quot;/&gt;&lt;wsp:rsid wsp:val=&quot;2E4C5B33&quot;/&gt;&lt;wsp:rsid wsp:val=&quot;2E5073D1&quot;/&gt;&lt;wsp:rsid wsp:val=&quot;2E530AF8&quot;/&gt;&lt;wsp:rsid wsp:val=&quot;2E56250D&quot;/&gt;&lt;wsp:rsid wsp:val=&quot;2E580034&quot;/&gt;&lt;wsp:rsid wsp:val=&quot;2E5844D8&quot;/&gt;&lt;wsp:rsid wsp:val=&quot;2E586286&quot;/&gt;&lt;wsp:rsid wsp:val=&quot;2E5A0250&quot;/&gt;&lt;wsp:rsid wsp:val=&quot;2E5A1FFE&quot;/&gt;&lt;wsp:rsid wsp:val=&quot;2E5D734C&quot;/&gt;&lt;wsp:rsid wsp:val=&quot;2E5F03D1&quot;/&gt;&lt;wsp:rsid wsp:val=&quot;2E6115DE&quot;/&gt;&lt;wsp:rsid wsp:val=&quot;2E61338C&quot;/&gt;&lt;wsp:rsid wsp:val=&quot;2E620EB2&quot;/&gt;&lt;wsp:rsid wsp:val=&quot;2E625356&quot;/&gt;&lt;wsp:rsid wsp:val=&quot;2E627104&quot;/&gt;&lt;wsp:rsid wsp:val=&quot;2E637A64&quot;/&gt;&lt;wsp:rsid wsp:val=&quot;2E642E7C&quot;/&gt;&lt;wsp:rsid wsp:val=&quot;2E667F96&quot;/&gt;&lt;wsp:rsid wsp:val=&quot;2E67296D&quot;/&gt;&lt;wsp:rsid wsp:val=&quot;2E67471B&quot;/&gt;&lt;wsp:rsid wsp:val=&quot;2E693FEF&quot;/&gt;&lt;wsp:rsid wsp:val=&quot;2E6D4270&quot;/&gt;&lt;wsp:rsid wsp:val=&quot;2E702BF1&quot;/&gt;&lt;wsp:rsid wsp:val=&quot;2E7035CF&quot;/&gt;&lt;wsp:rsid wsp:val=&quot;2E717347&quot;/&gt;&lt;wsp:rsid wsp:val=&quot;2E725599&quot;/&gt;&lt;wsp:rsid wsp:val=&quot;2E7330BF&quot;/&gt;&lt;wsp:rsid wsp:val=&quot;2E741572&quot;/&gt;&lt;wsp:rsid wsp:val=&quot;2E742A02&quot;/&gt;&lt;wsp:rsid wsp:val=&quot;2E755089&quot;/&gt;&lt;wsp:rsid wsp:val=&quot;2E756E38&quot;/&gt;&lt;wsp:rsid wsp:val=&quot;2E772BB0&quot;/&gt;&lt;wsp:rsid wsp:val=&quot;2E792950&quot;/&gt;&lt;wsp:rsid wsp:val=&quot;2E7A26A0&quot;/&gt;&lt;wsp:rsid wsp:val=&quot;2E7B3D22&quot;/&gt;&lt;wsp:rsid wsp:val=&quot;2E7D3F3E&quot;/&gt;&lt;wsp:rsid wsp:val=&quot;2E7F25F4&quot;/&gt;&lt;wsp:rsid wsp:val=&quot;2E7F6685&quot;/&gt;&lt;wsp:rsid wsp:val=&quot;2E7F7D69&quot;/&gt;&lt;wsp:rsid wsp:val=&quot;2E804A02&quot;/&gt;&lt;wsp:rsid wsp:val=&quot;2E81758A&quot;/&gt;&lt;wsp:rsid wsp:val=&quot;2E821554&quot;/&gt;&lt;wsp:rsid wsp:val=&quot;2E8226AB&quot;/&gt;&lt;wsp:rsid wsp:val=&quot;2E823302&quot;/&gt;&lt;wsp:rsid wsp:val=&quot;2E840E29&quot;/&gt;&lt;wsp:rsid wsp:val=&quot;2E8928E3&quot;/&gt;&lt;wsp:rsid wsp:val=&quot;2E894691&quot;/&gt;&lt;wsp:rsid wsp:val=&quot;2E8B21B7&quot;/&gt;&lt;wsp:rsid wsp:val=&quot;2E8B665B&quot;/&gt;&lt;wsp:rsid wsp:val=&quot;2E8B77F8&quot;/&gt;&lt;wsp:rsid wsp:val=&quot;2E8C5F2F&quot;/&gt;&lt;wsp:rsid wsp:val=&quot;2E8D23D3&quot;/&gt;&lt;wsp:rsid wsp:val=&quot;2E8E0627&quot;/&gt;&lt;wsp:rsid wsp:val=&quot;2E8E1CA7&quot;/&gt;&lt;wsp:rsid wsp:val=&quot;2E903C71&quot;/&gt;&lt;wsp:rsid wsp:val=&quot;2E905510&quot;/&gt;&lt;wsp:rsid wsp:val=&quot;2E9077CD&quot;/&gt;&lt;wsp:rsid wsp:val=&quot;2E913546&quot;/&gt;&lt;wsp:rsid wsp:val=&quot;2E91369D&quot;/&gt;&lt;wsp:rsid wsp:val=&quot;2E9141EB&quot;/&gt;&lt;wsp:rsid wsp:val=&quot;2E921798&quot;/&gt;&lt;wsp:rsid wsp:val=&quot;2E933762&quot;/&gt;&lt;wsp:rsid wsp:val=&quot;2E935510&quot;/&gt;&lt;wsp:rsid wsp:val=&quot;2E951288&quot;/&gt;&lt;wsp:rsid wsp:val=&quot;2E954DE4&quot;/&gt;&lt;wsp:rsid wsp:val=&quot;2E9574DA&quot;/&gt;&lt;wsp:rsid wsp:val=&quot;2E975000&quot;/&gt;&lt;wsp:rsid wsp:val=&quot;2E976DAE&quot;/&gt;&lt;wsp:rsid wsp:val=&quot;2E982B26&quot;/&gt;&lt;wsp:rsid wsp:val=&quot;2E99698C&quot;/&gt;&lt;wsp:rsid wsp:val=&quot;2E9A4AF0&quot;/&gt;&lt;wsp:rsid wsp:val=&quot;2E9A689E&quot;/&gt;&lt;wsp:rsid wsp:val=&quot;2E9B6172&quot;/&gt;&lt;wsp:rsid wsp:val=&quot;2E9C077D&quot;/&gt;&lt;wsp:rsid wsp:val=&quot;2EA119DB&quot;/&gt;&lt;wsp:rsid wsp:val=&quot;2EA15E7F&quot;/&gt;&lt;wsp:rsid wsp:val=&quot;2EA25753&quot;/&gt;&lt;wsp:rsid wsp:val=&quot;2EA27501&quot;/&gt;&lt;wsp:rsid wsp:val=&quot;2EA339A5&quot;/&gt;&lt;wsp:rsid wsp:val=&quot;2EA35ACD&quot;/&gt;&lt;wsp:rsid wsp:val=&quot;2EA67CB0&quot;/&gt;&lt;wsp:rsid wsp:val=&quot;2EA72D69&quot;/&gt;&lt;wsp:rsid wsp:val=&quot;2EA80FBB&quot;/&gt;&lt;wsp:rsid wsp:val=&quot;2EA901B0&quot;/&gt;&lt;wsp:rsid wsp:val=&quot;2EA94D33&quot;/&gt;&lt;wsp:rsid wsp:val=&quot;2EAB4607&quot;/&gt;&lt;wsp:rsid wsp:val=&quot;2EAE074D&quot;/&gt;&lt;wsp:rsid wsp:val=&quot;2EB07E70&quot;/&gt;&lt;wsp:rsid wsp:val=&quot;2EB15996&quot;/&gt;&lt;wsp:rsid wsp:val=&quot;2EB21E3A&quot;/&gt;&lt;wsp:rsid wsp:val=&quot;2EB23BE8&quot;/&gt;&lt;wsp:rsid wsp:val=&quot;2EB37960&quot;/&gt;&lt;wsp:rsid wsp:val=&quot;2EB57234&quot;/&gt;&lt;wsp:rsid wsp:val=&quot;2EB77450&quot;/&gt;&lt;wsp:rsid wsp:val=&quot;2EB813E6&quot;/&gt;&lt;wsp:rsid wsp:val=&quot;2EB86D24&quot;/&gt;&lt;wsp:rsid wsp:val=&quot;2EBA1135&quot;/&gt;&lt;wsp:rsid wsp:val=&quot;2EBA484A&quot;/&gt;&lt;wsp:rsid wsp:val=&quot;2EBC05C2&quot;/&gt;&lt;wsp:rsid wsp:val=&quot;2EBC4A66&quot;/&gt;&lt;wsp:rsid wsp:val=&quot;2EBE0643&quot;/&gt;&lt;wsp:rsid wsp:val=&quot;2EBE1C67&quot;/&gt;&lt;wsp:rsid wsp:val=&quot;2EBE2687&quot;/&gt;&lt;wsp:rsid wsp:val=&quot;2EBE493E&quot;/&gt;&lt;wsp:rsid wsp:val=&quot;2EC041FE&quot;/&gt;&lt;wsp:rsid wsp:val=&quot;2EC13E2B&quot;/&gt;&lt;wsp:rsid wsp:val=&quot;2EC14B6F&quot;/&gt;&lt;wsp:rsid wsp:val=&quot;2EC15BD9&quot;/&gt;&lt;wsp:rsid wsp:val=&quot;2EC1611A&quot;/&gt;&lt;wsp:rsid wsp:val=&quot;2EC21951&quot;/&gt;&lt;wsp:rsid wsp:val=&quot;2EC35DF5&quot;/&gt;&lt;wsp:rsid wsp:val=&quot;2EC41B6D&quot;/&gt;&lt;wsp:rsid wsp:val=&quot;2EC456C9&quot;/&gt;&lt;wsp:rsid wsp:val=&quot;2EC76F67&quot;/&gt;&lt;wsp:rsid wsp:val=&quot;2EC8340B&quot;/&gt;&lt;wsp:rsid wsp:val=&quot;2EC90F31&quot;/&gt;&lt;wsp:rsid wsp:val=&quot;2EC9236B&quot;/&gt;&lt;wsp:rsid wsp:val=&quot;2EC92CDF&quot;/&gt;&lt;wsp:rsid wsp:val=&quot;2ECB6480&quot;/&gt;&lt;wsp:rsid wsp:val=&quot;2ECB6A58&quot;/&gt;&lt;wsp:rsid wsp:val=&quot;2ECD6C74&quot;/&gt;&lt;wsp:rsid wsp:val=&quot;2ECE217C&quot;/&gt;&lt;wsp:rsid wsp:val=&quot;2ECE6548&quot;/&gt;&lt;wsp:rsid wsp:val=&quot;2ECF4A9C&quot;/&gt;&lt;wsp:rsid wsp:val=&quot;2ED00512&quot;/&gt;&lt;wsp:rsid wsp:val=&quot;2ED022C0&quot;/&gt;&lt;wsp:rsid wsp:val=&quot;2ED2428A&quot;/&gt;&lt;wsp:rsid wsp:val=&quot;2ED27DE6&quot;/&gt;&lt;wsp:rsid wsp:val=&quot;2ED3590C&quot;/&gt;&lt;wsp:rsid wsp:val=&quot;2ED50AD1&quot;/&gt;&lt;wsp:rsid wsp:val=&quot;2ED55B28&quot;/&gt;&lt;wsp:rsid wsp:val=&quot;2ED578D6&quot;/&gt;&lt;wsp:rsid wsp:val=&quot;2EDB6DBC&quot;/&gt;&lt;wsp:rsid wsp:val=&quot;2EDE1FC9&quot;/&gt;&lt;wsp:rsid wsp:val=&quot;2EDF0755&quot;/&gt;&lt;wsp:rsid wsp:val=&quot;2EDF19C0&quot;/&gt;&lt;wsp:rsid wsp:val=&quot;2EDF2503&quot;/&gt;&lt;wsp:rsid wsp:val=&quot;2EDF4591&quot;/&gt;&lt;wsp:rsid wsp:val=&quot;2EE06AF8&quot;/&gt;&lt;wsp:rsid wsp:val=&quot;2EE24216&quot;/&gt;&lt;wsp:rsid wsp:val=&quot;2EE47B19&quot;/&gt;&lt;wsp:rsid wsp:val=&quot;2EE6563F&quot;/&gt;&lt;wsp:rsid wsp:val=&quot;2EE67D35&quot;/&gt;&lt;wsp:rsid wsp:val=&quot;2EE713B8&quot;/&gt;&lt;wsp:rsid wsp:val=&quot;2EE8585B&quot;/&gt;&lt;wsp:rsid wsp:val=&quot;2EEA0214&quot;/&gt;&lt;wsp:rsid wsp:val=&quot;2EEA15D4&quot;/&gt;&lt;wsp:rsid wsp:val=&quot;2EEA16A4&quot;/&gt;&lt;wsp:rsid wsp:val=&quot;2EEB70FA&quot;/&gt;&lt;wsp:rsid wsp:val=&quot;2EED10C4&quot;/&gt;&lt;wsp:rsid wsp:val=&quot;2EED4C20&quot;/&gt;&lt;wsp:rsid wsp:val=&quot;2EEE1637&quot;/&gt;&lt;wsp:rsid wsp:val=&quot;2EEF4086&quot;/&gt;&lt;wsp:rsid wsp:val=&quot;2EF02962&quot;/&gt;&lt;wsp:rsid wsp:val=&quot;2EF04710&quot;/&gt;&lt;wsp:rsid wsp:val=&quot;2EF266DA&quot;/&gt;&lt;wsp:rsid wsp:val=&quot;2EF46CED&quot;/&gt;&lt;wsp:rsid wsp:val=&quot;2EF51D26&quot;/&gt;&lt;wsp:rsid wsp:val=&quot;2EF523B2&quot;/&gt;&lt;wsp:rsid wsp:val=&quot;2EF57F78&quot;/&gt;&lt;wsp:rsid wsp:val=&quot;2EF7784D&quot;/&gt;&lt;wsp:rsid wsp:val=&quot;2EFC1307&quot;/&gt;&lt;wsp:rsid wsp:val=&quot;2EFC30B5&quot;/&gt;&lt;wsp:rsid wsp:val=&quot;2EFC4E63&quot;/&gt;&lt;wsp:rsid wsp:val=&quot;2EFD4110&quot;/&gt;&lt;wsp:rsid wsp:val=&quot;2EFE0BDB&quot;/&gt;&lt;wsp:rsid wsp:val=&quot;2EFE6E2D&quot;/&gt;&lt;wsp:rsid wsp:val=&quot;2EFF4953&quot;/&gt;&lt;wsp:rsid wsp:val=&quot;2EFF6701&quot;/&gt;&lt;wsp:rsid wsp:val=&quot;2F000DF7&quot;/&gt;&lt;wsp:rsid wsp:val=&quot;2F002D93&quot;/&gt;&lt;wsp:rsid wsp:val=&quot;2F005A0D&quot;/&gt;&lt;wsp:rsid wsp:val=&quot;2F01691D&quot;/&gt;&lt;wsp:rsid wsp:val=&quot;2F030FE4&quot;/&gt;&lt;wsp:rsid wsp:val=&quot;2F032695&quot;/&gt;&lt;wsp:rsid wsp:val=&quot;2F034443&quot;/&gt;&lt;wsp:rsid wsp:val=&quot;2F081A5A&quot;/&gt;&lt;wsp:rsid wsp:val=&quot;2F087CAC&quot;/&gt;&lt;wsp:rsid wsp:val=&quot;2F0A0C8E&quot;/&gt;&lt;wsp:rsid wsp:val=&quot;2F0A1147&quot;/&gt;&lt;wsp:rsid wsp:val=&quot;2F0A60BD&quot;/&gt;&lt;wsp:rsid wsp:val=&quot;2F0B32F8&quot;/&gt;&lt;wsp:rsid wsp:val=&quot;2F0B67A3&quot;/&gt;&lt;wsp:rsid wsp:val=&quot;2F0E760F&quot;/&gt;&lt;wsp:rsid wsp:val=&quot;2F1321AD&quot;/&gt;&lt;wsp:rsid wsp:val=&quot;2F1403FE&quot;/&gt;&lt;wsp:rsid wsp:val=&quot;2F146650&quot;/&gt;&lt;wsp:rsid wsp:val=&quot;2F154177&quot;/&gt;&lt;wsp:rsid wsp:val=&quot;2F171C9D&quot;/&gt;&lt;wsp:rsid wsp:val=&quot;2F181B51&quot;/&gt;&lt;wsp:rsid wsp:val=&quot;2F186C3C&quot;/&gt;&lt;wsp:rsid wsp:val=&quot;2F1877C3&quot;/&gt;&lt;wsp:rsid wsp:val=&quot;2F195A15&quot;/&gt;&lt;wsp:rsid wsp:val=&quot;2F1A0783&quot;/&gt;&lt;wsp:rsid wsp:val=&quot;2F1C3757&quot;/&gt;&lt;wsp:rsid wsp:val=&quot;2F1C72B3&quot;/&gt;&lt;wsp:rsid wsp:val=&quot;2F1D4533&quot;/&gt;&lt;wsp:rsid wsp:val=&quot;2F1E302B&quot;/&gt;&lt;wsp:rsid wsp:val=&quot;2F1E74CF&quot;/&gt;&lt;wsp:rsid wsp:val=&quot;2F210D6D&quot;/&gt;&lt;wsp:rsid wsp:val=&quot;2F2318FC&quot;/&gt;&lt;wsp:rsid wsp:val=&quot;2F25260C&quot;/&gt;&lt;wsp:rsid wsp:val=&quot;2F266384&quot;/&gt;&lt;wsp:rsid wsp:val=&quot;2F2732C1&quot;/&gt;&lt;wsp:rsid wsp:val=&quot;2F2B399A&quot;/&gt;&lt;wsp:rsid wsp:val=&quot;2F2B74F6&quot;/&gt;&lt;wsp:rsid wsp:val=&quot;2F2C2940&quot;/&gt;&lt;wsp:rsid wsp:val=&quot;2F2D28E7&quot;/&gt;&lt;wsp:rsid wsp:val=&quot;2F2D326E&quot;/&gt;&lt;wsp:rsid wsp:val=&quot;2F2F5238&quot;/&gt;&lt;wsp:rsid wsp:val=&quot;2F320885&quot;/&gt;&lt;wsp:rsid wsp:val=&quot;2F337E9A&quot;/&gt;&lt;wsp:rsid wsp:val=&quot;2F3445FD&quot;/&gt;&lt;wsp:rsid wsp:val=&quot;2F37233F&quot;/&gt;&lt;wsp:rsid wsp:val=&quot;2F3825F9&quot;/&gt;&lt;wsp:rsid wsp:val=&quot;2F382935&quot;/&gt;&lt;wsp:rsid wsp:val=&quot;2F391C13&quot;/&gt;&lt;wsp:rsid wsp:val=&quot;2F39218E&quot;/&gt;&lt;wsp:rsid wsp:val=&quot;2F3960B7&quot;/&gt;&lt;wsp:rsid wsp:val=&quot;2F3A5E9B&quot;/&gt;&lt;wsp:rsid wsp:val=&quot;2F3B7ABC&quot;/&gt;&lt;wsp:rsid wsp:val=&quot;2F3C1703&quot;/&gt;&lt;wsp:rsid wsp:val=&quot;2F3C5BA7&quot;/&gt;&lt;wsp:rsid wsp:val=&quot;2F3D15F2&quot;/&gt;&lt;wsp:rsid wsp:val=&quot;2F416BFE&quot;/&gt;&lt;wsp:rsid wsp:val=&quot;2F4405B8&quot;/&gt;&lt;wsp:rsid wsp:val=&quot;2F4528CB&quot;/&gt;&lt;wsp:rsid wsp:val=&quot;2F454A5C&quot;/&gt;&lt;wsp:rsid wsp:val=&quot;2F462582&quot;/&gt;&lt;wsp:rsid wsp:val=&quot;2F4772C6&quot;/&gt;&lt;wsp:rsid wsp:val=&quot;2F4862FA&quot;/&gt;&lt;wsp:rsid wsp:val=&quot;2F49593D&quot;/&gt;&lt;wsp:rsid wsp:val=&quot;2F4A2072&quot;/&gt;&lt;wsp:rsid wsp:val=&quot;2F4C5E70&quot;/&gt;&lt;wsp:rsid wsp:val=&quot;2F4D1B62&quot;/&gt;&lt;wsp:rsid wsp:val=&quot;2F4D5775&quot;/&gt;&lt;wsp:rsid wsp:val=&quot;2F4E5C64&quot;/&gt;&lt;wsp:rsid wsp:val=&quot;2F4F58DB&quot;/&gt;&lt;wsp:rsid wsp:val=&quot;2F502541&quot;/&gt;&lt;wsp:rsid wsp:val=&quot;2F511653&quot;/&gt;&lt;wsp:rsid wsp:val=&quot;2F522CD5&quot;/&gt;&lt;wsp:rsid wsp:val=&quot;2F566C69&quot;/&gt;&lt;wsp:rsid wsp:val=&quot;2F5729E1&quot;/&gt;&lt;wsp:rsid wsp:val=&quot;2F580725&quot;/&gt;&lt;wsp:rsid wsp:val=&quot;2F591BB5&quot;/&gt;&lt;wsp:rsid wsp:val=&quot;2F5922B5&quot;/&gt;&lt;wsp:rsid wsp:val=&quot;2F594063&quot;/&gt;&lt;wsp:rsid wsp:val=&quot;2F5971AC&quot;/&gt;&lt;wsp:rsid wsp:val=&quot;2F5A3045&quot;/&gt;&lt;wsp:rsid wsp:val=&quot;2F5B35AF&quot;/&gt;&lt;wsp:rsid wsp:val=&quot;2F5C3B54&quot;/&gt;&lt;wsp:rsid wsp:val=&quot;2F5D19C6&quot;/&gt;&lt;wsp:rsid wsp:val=&quot;2F5E78CC&quot;/&gt;&lt;wsp:rsid wsp:val=&quot;2F600347&quot;/&gt;&lt;wsp:rsid wsp:val=&quot;2F601896&quot;/&gt;&lt;wsp:rsid wsp:val=&quot;2F603644&quot;/&gt;&lt;wsp:rsid wsp:val=&quot;2F6243A8&quot;/&gt;&lt;wsp:rsid wsp:val=&quot;2F67051F&quot;/&gt;&lt;wsp:rsid wsp:val=&quot;2F67112F&quot;/&gt;&lt;wsp:rsid wsp:val=&quot;2F672A78&quot;/&gt;&lt;wsp:rsid wsp:val=&quot;2F6824F8&quot;/&gt;&lt;wsp:rsid wsp:val=&quot;2F6964B6&quot;/&gt;&lt;wsp:rsid wsp:val=&quot;2F696CB2&quot;/&gt;&lt;wsp:rsid wsp:val=&quot;2F6A44C2&quot;/&gt;&lt;wsp:rsid wsp:val=&quot;2F6B3D97&quot;/&gt;&lt;wsp:rsid wsp:val=&quot;2F6B59C3&quot;/&gt;&lt;wsp:rsid wsp:val=&quot;2F6C023B&quot;/&gt;&lt;wsp:rsid wsp:val=&quot;2F6D7B0F&quot;/&gt;&lt;wsp:rsid wsp:val=&quot;2F6E6D7E&quot;/&gt;&lt;wsp:rsid wsp:val=&quot;2F6F3887&quot;/&gt;&lt;wsp:rsid wsp:val=&quot;2F7075FF&quot;/&gt;&lt;wsp:rsid wsp:val=&quot;2F715851&quot;/&gt;&lt;wsp:rsid wsp:val=&quot;2F745341&quot;/&gt;&lt;wsp:rsid wsp:val=&quot;2F747421&quot;/&gt;&lt;wsp:rsid wsp:val=&quot;2F77098D&quot;/&gt;&lt;wsp:rsid wsp:val=&quot;2F7739FD&quot;/&gt;&lt;wsp:rsid wsp:val=&quot;2F7852FC&quot;/&gt;&lt;wsp:rsid wsp:val=&quot;2F79399B&quot;/&gt;&lt;wsp:rsid wsp:val=&quot;2F7A1A4C&quot;/&gt;&lt;wsp:rsid wsp:val=&quot;2F7B222C&quot;/&gt;&lt;wsp:rsid wsp:val=&quot;2F7C226F&quot;/&gt;&lt;wsp:rsid wsp:val=&quot;2F7E1D1C&quot;/&gt;&lt;wsp:rsid wsp:val=&quot;2F7E7F6E&quot;/&gt;&lt;wsp:rsid wsp:val=&quot;2F803CE6&quot;/&gt;&lt;wsp:rsid wsp:val=&quot;2F805A94&quot;/&gt;&lt;wsp:rsid wsp:val=&quot;2F814DA1&quot;/&gt;&lt;wsp:rsid wsp:val=&quot;2F8310E0&quot;/&gt;&lt;wsp:rsid wsp:val=&quot;2F8337D6&quot;/&gt;&lt;wsp:rsid wsp:val=&quot;2F833C5E&quot;/&gt;&lt;wsp:rsid wsp:val=&quot;2F8512FC&quot;/&gt;&lt;wsp:rsid wsp:val=&quot;2F860BD0&quot;/&gt;&lt;wsp:rsid wsp:val=&quot;2F875074&quot;/&gt;&lt;wsp:rsid wsp:val=&quot;2F882B9B&quot;/&gt;&lt;wsp:rsid wsp:val=&quot;2F8A35B4&quot;/&gt;&lt;wsp:rsid wsp:val=&quot;2F8A6913&quot;/&gt;&lt;wsp:rsid wsp:val=&quot;2F8D6403&quot;/&gt;&lt;wsp:rsid wsp:val=&quot;2F8E04F5&quot;/&gt;&lt;wsp:rsid wsp:val=&quot;2F8F5CD7&quot;/&gt;&lt;wsp:rsid wsp:val=&quot;2F8F63FC&quot;/&gt;&lt;wsp:rsid wsp:val=&quot;2F911A4F&quot;/&gt;&lt;wsp:rsid wsp:val=&quot;2F923A19&quot;/&gt;&lt;wsp:rsid wsp:val=&quot;2F927575&quot;/&gt;&lt;wsp:rsid wsp:val=&quot;2F947791&quot;/&gt;&lt;wsp:rsid wsp:val=&quot;2F963509&quot;/&gt;&lt;wsp:rsid wsp:val=&quot;2F967065&quot;/&gt;&lt;wsp:rsid wsp:val=&quot;2F997048&quot;/&gt;&lt;wsp:rsid wsp:val=&quot;2F9B467C&quot;/&gt;&lt;wsp:rsid wsp:val=&quot;2F9C03F4&quot;/&gt;&lt;wsp:rsid wsp:val=&quot;2F9E5F1A&quot;/&gt;&lt;wsp:rsid wsp:val=&quot;2FA01C92&quot;/&gt;&lt;wsp:rsid wsp:val=&quot;2FA23C5C&quot;/&gt;&lt;wsp:rsid wsp:val=&quot;2FA31782&quot;/&gt;&lt;wsp:rsid wsp:val=&quot;2FA4299B&quot;/&gt;&lt;wsp:rsid wsp:val=&quot;2FA501BC&quot;/&gt;&lt;wsp:rsid wsp:val=&quot;2FA54233&quot;/&gt;&lt;wsp:rsid wsp:val=&quot;2FA774C5&quot;/&gt;&lt;wsp:rsid wsp:val=&quot;2FAA0D63&quot;/&gt;&lt;wsp:rsid wsp:val=&quot;2FAA2B11&quot;/&gt;&lt;wsp:rsid wsp:val=&quot;2FAC6889&quot;/&gt;&lt;wsp:rsid wsp:val=&quot;2FAD0853&quot;/&gt;&lt;wsp:rsid wsp:val=&quot;2FAD2601&quot;/&gt;&lt;wsp:rsid wsp:val=&quot;2FAF45CB&quot;/&gt;&lt;wsp:rsid wsp:val=&quot;2FB13E9F&quot;/&gt;&lt;wsp:rsid wsp:val=&quot;2FB43990&quot;/&gt;&lt;wsp:rsid wsp:val=&quot;2FB4573E&quot;/&gt;&lt;wsp:rsid wsp:val=&quot;2FB614B6&quot;/&gt;&lt;wsp:rsid wsp:val=&quot;2FB63264&quot;/&gt;&lt;wsp:rsid wsp:val=&quot;2FB714D1&quot;/&gt;&lt;wsp:rsid wsp:val=&quot;2FB92D54&quot;/&gt;&lt;wsp:rsid wsp:val=&quot;2FBA3D21&quot;/&gt;&lt;wsp:rsid wsp:val=&quot;2FBB2F70&quot;/&gt;&lt;wsp:rsid wsp:val=&quot;2FC5794B&quot;/&gt;&lt;wsp:rsid wsp:val=&quot;2FC60D0F&quot;/&gt;&lt;wsp:rsid wsp:val=&quot;2FC70985&quot;/&gt;&lt;wsp:rsid wsp:val=&quot;2FC75471&quot;/&gt;&lt;wsp:rsid wsp:val=&quot;2FC81EC3&quot;/&gt;&lt;wsp:rsid wsp:val=&quot;2FC9658A&quot;/&gt;&lt;wsp:rsid wsp:val=&quot;2FC96724&quot;/&gt;&lt;wsp:rsid wsp:val=&quot;2FCA6D0F&quot;/&gt;&lt;wsp:rsid wsp:val=&quot;2FCB7306&quot;/&gt;&lt;wsp:rsid wsp:val=&quot;2FCC6F2B&quot;/&gt;&lt;wsp:rsid wsp:val=&quot;2FCD1ED3&quot;/&gt;&lt;wsp:rsid wsp:val=&quot;2FCD67FF&quot;/&gt;&lt;wsp:rsid wsp:val=&quot;2FD065E6&quot;/&gt;&lt;wsp:rsid wsp:val=&quot;2FD211B5&quot;/&gt;&lt;wsp:rsid wsp:val=&quot;2FD32E80&quot;/&gt;&lt;wsp:rsid wsp:val=&quot;2FD45DE0&quot;/&gt;&lt;wsp:rsid wsp:val=&quot;2FD47B8E&quot;/&gt;&lt;wsp:rsid wsp:val=&quot;2FD7142C&quot;/&gt;&lt;wsp:rsid wsp:val=&quot;2FD77070&quot;/&gt;&lt;wsp:rsid wsp:val=&quot;2FD8190A&quot;/&gt;&lt;wsp:rsid wsp:val=&quot;2FD951A4&quot;/&gt;&lt;wsp:rsid wsp:val=&quot;2FD96870&quot;/&gt;&lt;wsp:rsid wsp:val=&quot;2FDF5AD0&quot;/&gt;&lt;wsp:rsid wsp:val=&quot;2FDF6E49&quot;/&gt;&lt;wsp:rsid wsp:val=&quot;2FE0009C&quot;/&gt;&lt;wsp:rsid wsp:val=&quot;2FE2558D&quot;/&gt;&lt;wsp:rsid wsp:val=&quot;2FE36023&quot;/&gt;&lt;wsp:rsid wsp:val=&quot;2FE43D81&quot;/&gt;&lt;wsp:rsid wsp:val=&quot;2FE47EAD&quot;/&gt;&lt;wsp:rsid wsp:val=&quot;2FE523C9&quot;/&gt;&lt;wsp:rsid wsp:val=&quot;2FE64BD8&quot;/&gt;&lt;wsp:rsid wsp:val=&quot;2FE7539E&quot;/&gt;&lt;wsp:rsid wsp:val=&quot;2FE75B13&quot;/&gt;&lt;wsp:rsid wsp:val=&quot;2FE778C1&quot;/&gt;&lt;wsp:rsid wsp:val=&quot;2FEA115F&quot;/&gt;&lt;wsp:rsid wsp:val=&quot;2FEA5603&quot;/&gt;&lt;wsp:rsid wsp:val=&quot;2FEA73B1&quot;/&gt;&lt;wsp:rsid wsp:val=&quot;2FEB51AF&quot;/&gt;&lt;wsp:rsid wsp:val=&quot;2FEB5CCB&quot;/&gt;&lt;wsp:rsid wsp:val=&quot;2FEC073B&quot;/&gt;&lt;wsp:rsid wsp:val=&quot;2FEE50F3&quot;/&gt;&lt;wsp:rsid wsp:val=&quot;2FEE6EA1&quot;/&gt;&lt;wsp:rsid wsp:val=&quot;2FEF1830&quot;/&gt;&lt;wsp:rsid wsp:val=&quot;2FEF49C8&quot;/&gt;&lt;wsp:rsid wsp:val=&quot;2FEF6701&quot;/&gt;&lt;wsp:rsid wsp:val=&quot;2FF10740&quot;/&gt;&lt;wsp:rsid wsp:val=&quot;2FF278D5&quot;/&gt;&lt;wsp:rsid wsp:val=&quot;2FF41FDE&quot;/&gt;&lt;wsp:rsid wsp:val=&quot;2FF5347D&quot;/&gt;&lt;wsp:rsid wsp:val=&quot;2FF7387C&quot;/&gt;&lt;wsp:rsid wsp:val=&quot;2FFA3A98&quot;/&gt;&lt;wsp:rsid wsp:val=&quot;2FFD70E5&quot;/&gt;&lt;wsp:rsid wsp:val=&quot;2FFE62F9&quot;/&gt;&lt;wsp:rsid wsp:val=&quot;3002294D&quot;/&gt;&lt;wsp:rsid wsp:val=&quot;30047496&quot;/&gt;&lt;wsp:rsid wsp:val=&quot;300541EB&quot;/&gt;&lt;wsp:rsid wsp:val=&quot;30087370&quot;/&gt;&lt;wsp:rsid wsp:val=&quot;30093CDB&quot;/&gt;&lt;wsp:rsid wsp:val=&quot;300968A8&quot;/&gt;&lt;wsp:rsid wsp:val=&quot;300A3D8C&quot;/&gt;&lt;wsp:rsid wsp:val=&quot;300C557A&quot;/&gt;&lt;wsp:rsid wsp:val=&quot;300C7328&quot;/&gt;&lt;wsp:rsid wsp:val=&quot;300D4E4E&quot;/&gt;&lt;wsp:rsid wsp:val=&quot;300F6E18&quot;/&gt;&lt;wsp:rsid wsp:val=&quot;3012466B&quot;/&gt;&lt;wsp:rsid wsp:val=&quot;301306B6&quot;/&gt;&lt;wsp:rsid wsp:val=&quot;30134B5A&quot;/&gt;&lt;wsp:rsid wsp:val=&quot;301663F8&quot;/&gt;&lt;wsp:rsid wsp:val=&quot;301745ED&quot;/&gt;&lt;wsp:rsid wsp:val=&quot;30180806&quot;/&gt;&lt;wsp:rsid wsp:val=&quot;30182170&quot;/&gt;&lt;wsp:rsid wsp:val=&quot;301870A8&quot;/&gt;&lt;wsp:rsid wsp:val=&quot;301937F3&quot;/&gt;&lt;wsp:rsid wsp:val=&quot;30197C97&quot;/&gt;&lt;wsp:rsid wsp:val=&quot;301A241E&quot;/&gt;&lt;wsp:rsid wsp:val=&quot;301B756B&quot;/&gt;&lt;wsp:rsid wsp:val=&quot;301D7787&quot;/&gt;&lt;wsp:rsid wsp:val=&quot;301E7081&quot;/&gt;&lt;wsp:rsid wsp:val=&quot;30201025&quot;/&gt;&lt;wsp:rsid wsp:val=&quot;30206F5A&quot;/&gt;&lt;wsp:rsid wsp:val=&quot;302208F9&quot;/&gt;&lt;wsp:rsid wsp:val=&quot;302243E3&quot;/&gt;&lt;wsp:rsid wsp:val=&quot;30241C87&quot;/&gt;&lt;wsp:rsid wsp:val=&quot;30246A80&quot;/&gt;&lt;wsp:rsid wsp:val=&quot;3026317E&quot;/&gt;&lt;wsp:rsid wsp:val=&quot;30267BAB&quot;/&gt;&lt;wsp:rsid wsp:val=&quot;30274161&quot;/&gt;&lt;wsp:rsid wsp:val=&quot;30281C88&quot;/&gt;&lt;wsp:rsid wsp:val=&quot;302A3C52&quot;/&gt;&lt;wsp:rsid wsp:val=&quot;302C5C1C&quot;/&gt;&lt;wsp:rsid wsp:val=&quot;302C79CA&quot;/&gt;&lt;wsp:rsid wsp:val=&quot;302F4737&quot;/&gt;&lt;wsp:rsid wsp:val=&quot;30307B56&quot;/&gt;&lt;wsp:rsid wsp:val=&quot;30316D8E&quot;/&gt;&lt;wsp:rsid wsp:val=&quot;3034062C&quot;/&gt;&lt;wsp:rsid wsp:val=&quot;30360E95&quot;/&gt;&lt;wsp:rsid wsp:val=&quot;30384C45&quot;/&gt;&lt;wsp:rsid wsp:val=&quot;30384E78&quot;/&gt;&lt;wsp:rsid wsp:val=&quot;303B7C0D&quot;/&gt;&lt;wsp:rsid wsp:val=&quot;303D1BD7&quot;/&gt;&lt;wsp:rsid wsp:val=&quot;303E6F0A&quot;/&gt;&lt;wsp:rsid wsp:val=&quot;303F124E&quot;/&gt;&lt;wsp:rsid wsp:val=&quot;303F594F&quot;/&gt;&lt;wsp:rsid wsp:val=&quot;303F76FD&quot;/&gt;&lt;wsp:rsid wsp:val=&quot;30403475&quot;/&gt;&lt;wsp:rsid wsp:val=&quot;30404B18&quot;/&gt;&lt;wsp:rsid wsp:val=&quot;304059BC&quot;/&gt;&lt;wsp:rsid wsp:val=&quot;30420F9B&quot;/&gt;&lt;wsp:rsid wsp:val=&quot;304271ED&quot;/&gt;&lt;wsp:rsid wsp:val=&quot;304308C8&quot;/&gt;&lt;wsp:rsid wsp:val=&quot;30465CF1&quot;/&gt;&lt;wsp:rsid wsp:val=&quot;30473ADA&quot;/&gt;&lt;wsp:rsid wsp:val=&quot;3049057C&quot;/&gt;&lt;wsp:rsid wsp:val=&quot;3049232A&quot;/&gt;&lt;wsp:rsid wsp:val=&quot;304940D8&quot;/&gt;&lt;wsp:rsid wsp:val=&quot;304A60A2&quot;/&gt;&lt;wsp:rsid wsp:val=&quot;304B42F4&quot;/&gt;&lt;wsp:rsid wsp:val=&quot;304C3BC8&quot;/&gt;&lt;wsp:rsid wsp:val=&quot;304C48ED&quot;/&gt;&lt;wsp:rsid wsp:val=&quot;304C5976&quot;/&gt;&lt;wsp:rsid wsp:val=&quot;304E7940&quot;/&gt;&lt;wsp:rsid wsp:val=&quot;30517430&quot;/&gt;&lt;wsp:rsid wsp:val=&quot;305331A8&quot;/&gt;&lt;wsp:rsid wsp:val=&quot;30533F6E&quot;/&gt;&lt;wsp:rsid wsp:val=&quot;30534F57&quot;/&gt;&lt;wsp:rsid wsp:val=&quot;30550CCF&quot;/&gt;&lt;wsp:rsid wsp:val=&quot;305667F5&quot;/&gt;&lt;wsp:rsid wsp:val=&quot;30566D3E&quot;/&gt;&lt;wsp:rsid wsp:val=&quot;30580BC9&quot;/&gt;&lt;wsp:rsid wsp:val=&quot;30586A11&quot;/&gt;&lt;wsp:rsid wsp:val=&quot;305A4537&quot;/&gt;&lt;wsp:rsid wsp:val=&quot;305A62E5&quot;/&gt;&lt;wsp:rsid wsp:val=&quot;305D4027&quot;/&gt;&lt;wsp:rsid wsp:val=&quot;305D4040&quot;/&gt;&lt;wsp:rsid wsp:val=&quot;305E34B5&quot;/&gt;&lt;wsp:rsid wsp:val=&quot;305E56A9&quot;/&gt;&lt;wsp:rsid wsp:val=&quot;305F1B4D&quot;/&gt;&lt;wsp:rsid wsp:val=&quot;306058C5&quot;/&gt;&lt;wsp:rsid wsp:val=&quot;3060709E&quot;/&gt;&lt;wsp:rsid wsp:val=&quot;30613E51&quot;/&gt;&lt;wsp:rsid wsp:val=&quot;3062519A&quot;/&gt;&lt;wsp:rsid wsp:val=&quot;30653C62&quot;/&gt;&lt;wsp:rsid wsp:val=&quot;30696528&quot;/&gt;&lt;wsp:rsid wsp:val=&quot;306A22A0&quot;/&gt;&lt;wsp:rsid wsp:val=&quot;306F1BBA&quot;/&gt;&lt;wsp:rsid wsp:val=&quot;306F78B6&quot;/&gt;&lt;wsp:rsid wsp:val=&quot;30703D5A&quot;/&gt;&lt;wsp:rsid wsp:val=&quot;30711881&quot;/&gt;&lt;wsp:rsid wsp:val=&quot;307153DD&quot;/&gt;&lt;wsp:rsid wsp:val=&quot;3073716F&quot;/&gt;&lt;wsp:rsid wsp:val=&quot;3075311F&quot;/&gt;&lt;wsp:rsid wsp:val=&quot;30757063&quot;/&gt;&lt;wsp:rsid wsp:val=&quot;30766E97&quot;/&gt;&lt;wsp:rsid wsp:val=&quot;307A24E3&quot;/&gt;&lt;wsp:rsid wsp:val=&quot;307A6987&quot;/&gt;&lt;wsp:rsid wsp:val=&quot;307C26FF&quot;/&gt;&lt;wsp:rsid wsp:val=&quot;307D6477&quot;/&gt;&lt;wsp:rsid wsp:val=&quot;307F3F9D&quot;/&gt;&lt;wsp:rsid wsp:val=&quot;307F7AFA&quot;/&gt;&lt;wsp:rsid wsp:val=&quot;30815AC1&quot;/&gt;&lt;wsp:rsid wsp:val=&quot;30841DBC&quot;/&gt;&lt;wsp:rsid wsp:val=&quot;308570DA&quot;/&gt;&lt;wsp:rsid wsp:val=&quot;3086532C&quot;/&gt;&lt;wsp:rsid wsp:val=&quot;3088073D&quot;/&gt;&lt;wsp:rsid wsp:val=&quot;30881BCD&quot;/&gt;&lt;wsp:rsid wsp:val=&quot;30892064&quot;/&gt;&lt;wsp:rsid wsp:val=&quot;3089305D&quot;/&gt;&lt;wsp:rsid wsp:val=&quot;30896BCA&quot;/&gt;&lt;wsp:rsid wsp:val=&quot;308A51D5&quot;/&gt;&lt;wsp:rsid wsp:val=&quot;308C0D28&quot;/&gt;&lt;wsp:rsid wsp:val=&quot;308C66BA&quot;/&gt;&lt;wsp:rsid wsp:val=&quot;308D19DE&quot;/&gt;&lt;wsp:rsid wsp:val=&quot;308E41E1&quot;/&gt;&lt;wsp:rsid wsp:val=&quot;309061AB&quot;/&gt;&lt;wsp:rsid wsp:val=&quot;30915A7F&quot;/&gt;&lt;wsp:rsid wsp:val=&quot;309537C1&quot;/&gt;&lt;wsp:rsid wsp:val=&quot;30953AAB&quot;/&gt;&lt;wsp:rsid wsp:val=&quot;30974EC3&quot;/&gt;&lt;wsp:rsid wsp:val=&quot;309A0DD7&quot;/&gt;&lt;wsp:rsid wsp:val=&quot;309A2B85&quot;/&gt;&lt;wsp:rsid wsp:val=&quot;309C68FD&quot;/&gt;&lt;wsp:rsid wsp:val=&quot;309D28EB&quot;/&gt;&lt;wsp:rsid wsp:val=&quot;309D65F0&quot;/&gt;&lt;wsp:rsid wsp:val=&quot;309F019C&quot;/&gt;&lt;wsp:rsid wsp:val=&quot;30A05CC2&quot;/&gt;&lt;wsp:rsid wsp:val=&quot;30A43A04&quot;/&gt;&lt;wsp:rsid wsp:val=&quot;30A457B2&quot;/&gt;&lt;wsp:rsid wsp:val=&quot;30A47560&quot;/&gt;&lt;wsp:rsid wsp:val=&quot;30A532D8&quot;/&gt;&lt;wsp:rsid wsp:val=&quot;30A734F4&quot;/&gt;&lt;wsp:rsid wsp:val=&quot;30A9101A&quot;/&gt;&lt;wsp:rsid wsp:val=&quot;30A92DC8&quot;/&gt;&lt;wsp:rsid wsp:val=&quot;30A9726C&quot;/&gt;&lt;wsp:rsid wsp:val=&quot;30AA3AD7&quot;/&gt;&lt;wsp:rsid wsp:val=&quot;30AB4D93&quot;/&gt;&lt;wsp:rsid wsp:val=&quot;30AB4F67&quot;/&gt;&lt;wsp:rsid wsp:val=&quot;30AD0B0B&quot;/&gt;&lt;wsp:rsid wsp:val=&quot;30AE03DF&quot;/&gt;&lt;wsp:rsid wsp:val=&quot;30AF33F6&quot;/&gt;&lt;wsp:rsid wsp:val=&quot;30B023A9&quot;/&gt;&lt;wsp:rsid wsp:val=&quot;30B26121&quot;/&gt;&lt;wsp:rsid wsp:val=&quot;30B654E5&quot;/&gt;&lt;wsp:rsid wsp:val=&quot;30B70C77&quot;/&gt;&lt;wsp:rsid wsp:val=&quot;30B85942&quot;/&gt;&lt;wsp:rsid wsp:val=&quot;30B860DB&quot;/&gt;&lt;wsp:rsid wsp:val=&quot;30B874AF&quot;/&gt;&lt;wsp:rsid wsp:val=&quot;30B87E4A&quot;/&gt;&lt;wsp:rsid wsp:val=&quot;30BA35CC&quot;/&gt;&lt;wsp:rsid wsp:val=&quot;30BC0D4E&quot;/&gt;&lt;wsp:rsid wsp:val=&quot;30BC5EEC&quot;/&gt;&lt;wsp:rsid wsp:val=&quot;30BE33DD&quot;/&gt;&lt;wsp:rsid wsp:val=&quot;30C23E8A&quot;/&gt;&lt;wsp:rsid wsp:val=&quot;30C40126&quot;/&gt;&lt;wsp:rsid wsp:val=&quot;30C419B0&quot;/&gt;&lt;wsp:rsid wsp:val=&quot;30C43B12&quot;/&gt;&lt;wsp:rsid wsp:val=&quot;30C5530F&quot;/&gt;&lt;wsp:rsid wsp:val=&quot;30C55B0E&quot;/&gt;&lt;wsp:rsid wsp:val=&quot;30C65728&quot;/&gt;&lt;wsp:rsid wsp:val=&quot;30C916BD&quot;/&gt;&lt;wsp:rsid wsp:val=&quot;30C9346B&quot;/&gt;&lt;wsp:rsid wsp:val=&quot;30C96FC7&quot;/&gt;&lt;wsp:rsid wsp:val=&quot;30CB0F91&quot;/&gt;&lt;wsp:rsid wsp:val=&quot;30CC4D09&quot;/&gt;&lt;wsp:rsid wsp:val=&quot;30CC6AB7&quot;/&gt;&lt;wsp:rsid wsp:val=&quot;30D0230B&quot;/&gt;&lt;wsp:rsid wsp:val=&quot;30D047F9&quot;/&gt;&lt;wsp:rsid wsp:val=&quot;30D065A7&quot;/&gt;&lt;wsp:rsid wsp:val=&quot;30D140CD&quot;/&gt;&lt;wsp:rsid wsp:val=&quot;30D20571&quot;/&gt;&lt;wsp:rsid wsp:val=&quot;30D342E9&quot;/&gt;&lt;wsp:rsid wsp:val=&quot;30D36097&quot;/&gt;&lt;wsp:rsid wsp:val=&quot;30D37E45&quot;/&gt;&lt;wsp:rsid wsp:val=&quot;30D50061&quot;/&gt;&lt;wsp:rsid wsp:val=&quot;30D77936&quot;/&gt;&lt;wsp:rsid wsp:val=&quot;30D8545C&quot;/&gt;&lt;wsp:rsid wsp:val=&quot;30DB6CFA&quot;/&gt;&lt;wsp:rsid wsp:val=&quot;30DD2A72&quot;/&gt;&lt;wsp:rsid wsp:val=&quot;30DD6966&quot;/&gt;&lt;wsp:rsid wsp:val=&quot;30DD6F16&quot;/&gt;&lt;wsp:rsid wsp:val=&quot;30DF67EA&quot;/&gt;&lt;wsp:rsid wsp:val=&quot;30E12562&quot;/&gt;&lt;wsp:rsid wsp:val=&quot;30E218A0&quot;/&gt;&lt;wsp:rsid wsp:val=&quot;30E262DA&quot;/&gt;&lt;wsp:rsid wsp:val=&quot;30E2642D&quot;/&gt;&lt;wsp:rsid wsp:val=&quot;30E3277E&quot;/&gt;&lt;wsp:rsid wsp:val=&quot;30E3452C&quot;/&gt;&lt;wsp:rsid wsp:val=&quot;30E6401D&quot;/&gt;&lt;wsp:rsid wsp:val=&quot;30E67B79&quot;/&gt;&lt;wsp:rsid wsp:val=&quot;30E81B43&quot;/&gt;&lt;wsp:rsid wsp:val=&quot;30E84DC0&quot;/&gt;&lt;wsp:rsid wsp:val=&quot;30E91417&quot;/&gt;&lt;wsp:rsid wsp:val=&quot;30E918A5&quot;/&gt;&lt;wsp:rsid wsp:val=&quot;30E94F09&quot;/&gt;&lt;wsp:rsid wsp:val=&quot;30E958BB&quot;/&gt;&lt;wsp:rsid wsp:val=&quot;30E97669&quot;/&gt;&lt;wsp:rsid wsp:val=&quot;30E97ADA&quot;/&gt;&lt;wsp:rsid wsp:val=&quot;30EA0F6A&quot;/&gt;&lt;wsp:rsid wsp:val=&quot;30EC0F07&quot;/&gt;&lt;wsp:rsid wsp:val=&quot;30ED53AB&quot;/&gt;&lt;wsp:rsid wsp:val=&quot;30EE01DF&quot;/&gt;&lt;wsp:rsid wsp:val=&quot;30EE4C7F&quot;/&gt;&lt;wsp:rsid wsp:val=&quot;30F009F7&quot;/&gt;&lt;wsp:rsid wsp:val=&quot;30F02036&quot;/&gt;&lt;wsp:rsid wsp:val=&quot;30F524B2&quot;/&gt;&lt;wsp:rsid wsp:val=&quot;30F5600E&quot;/&gt;&lt;wsp:rsid wsp:val=&quot;30F85AFE&quot;/&gt;&lt;wsp:rsid wsp:val=&quot;30F86B09&quot;/&gt;&lt;wsp:rsid wsp:val=&quot;30F93D50&quot;/&gt;&lt;wsp:rsid wsp:val=&quot;30F949FE&quot;/&gt;&lt;wsp:rsid wsp:val=&quot;30FA1876&quot;/&gt;&lt;wsp:rsid wsp:val=&quot;30FA7AC8&quot;/&gt;&lt;wsp:rsid wsp:val=&quot;30FC114A&quot;/&gt;&lt;wsp:rsid wsp:val=&quot;30FC55EE&quot;/&gt;&lt;wsp:rsid wsp:val=&quot;30FE3DE8&quot;/&gt;&lt;wsp:rsid wsp:val=&quot;30FF0C3A&quot;/&gt;&lt;wsp:rsid wsp:val=&quot;30FF1D00&quot;/&gt;&lt;wsp:rsid wsp:val=&quot;30FF50DE&quot;/&gt;&lt;wsp:rsid wsp:val=&quot;310149B3&quot;/&gt;&lt;wsp:rsid wsp:val=&quot;3102072B&quot;/&gt;&lt;wsp:rsid wsp:val=&quot;3103697D&quot;/&gt;&lt;wsp:rsid wsp:val=&quot;31036C3B&quot;/&gt;&lt;wsp:rsid wsp:val=&quot;310444A3&quot;/&gt;&lt;wsp:rsid wsp:val=&quot;31061FC9&quot;/&gt;&lt;wsp:rsid wsp:val=&quot;310712E0&quot;/&gt;&lt;wsp:rsid wsp:val=&quot;310821E5&quot;/&gt;&lt;wsp:rsid wsp:val=&quot;31091AB9&quot;/&gt;&lt;wsp:rsid wsp:val=&quot;31097D0B&quot;/&gt;&lt;wsp:rsid wsp:val=&quot;310D6ED5&quot;/&gt;&lt;wsp:rsid wsp:val=&quot;31102784&quot;/&gt;&lt;wsp:rsid wsp:val=&quot;31104BF6&quot;/&gt;&lt;wsp:rsid wsp:val=&quot;31115856&quot;/&gt;&lt;wsp:rsid wsp:val=&quot;31124E12&quot;/&gt;&lt;wsp:rsid wsp:val=&quot;31132938&quot;/&gt;&lt;wsp:rsid wsp:val=&quot;311346E6&quot;/&gt;&lt;wsp:rsid wsp:val=&quot;311566B0&quot;/&gt;&lt;wsp:rsid wsp:val=&quot;31165B12&quot;/&gt;&lt;wsp:rsid wsp:val=&quot;31175F84&quot;/&gt;&lt;wsp:rsid wsp:val=&quot;31177F87&quot;/&gt;&lt;wsp:rsid wsp:val=&quot;31182B58&quot;/&gt;&lt;wsp:rsid wsp:val=&quot;311A1F18&quot;/&gt;&lt;wsp:rsid wsp:val=&quot;311A3CC6&quot;/&gt;&lt;wsp:rsid wsp:val=&quot;311B5125&quot;/&gt;&lt;wsp:rsid wsp:val=&quot;311B7D98&quot;/&gt;&lt;wsp:rsid wsp:val=&quot;311C17EC&quot;/&gt;&lt;wsp:rsid wsp:val=&quot;311C7A3E&quot;/&gt;&lt;wsp:rsid wsp:val=&quot;311D7312&quot;/&gt;&lt;wsp:rsid wsp:val=&quot;311E2ED7&quot;/&gt;&lt;wsp:rsid wsp:val=&quot;311F308B&quot;/&gt;&lt;wsp:rsid wsp:val=&quot;31200A1B&quot;/&gt;&lt;wsp:rsid wsp:val=&quot;31210BB1&quot;/&gt;&lt;wsp:rsid wsp:val=&quot;31226909&quot;/&gt;&lt;wsp:rsid wsp:val=&quot;31230DCD&quot;/&gt;&lt;wsp:rsid wsp:val=&quot;312468F3&quot;/&gt;&lt;wsp:rsid wsp:val=&quot;31271F3F&quot;/&gt;&lt;wsp:rsid wsp:val=&quot;31280191&quot;/&gt;&lt;wsp:rsid wsp:val=&quot;3129239C&quot;/&gt;&lt;wsp:rsid wsp:val=&quot;312A215B&quot;/&gt;&lt;wsp:rsid wsp:val=&quot;312B4CBC&quot;/&gt;&lt;wsp:rsid wsp:val=&quot;312B5ED3&quot;/&gt;&lt;wsp:rsid wsp:val=&quot;312E4039&quot;/&gt;&lt;wsp:rsid wsp:val=&quot;312F2BA5&quot;/&gt;&lt;wsp:rsid wsp:val=&quot;31307046&quot;/&gt;&lt;wsp:rsid wsp:val=&quot;31311AD6&quot;/&gt;&lt;wsp:rsid wsp:val=&quot;31327262&quot;/&gt;&lt;wsp:rsid wsp:val=&quot;313308E4&quot;/&gt;&lt;wsp:rsid wsp:val=&quot;313316FE&quot;/&gt;&lt;wsp:rsid wsp:val=&quot;31342FDA&quot;/&gt;&lt;wsp:rsid wsp:val=&quot;31350B00&quot;/&gt;&lt;wsp:rsid wsp:val=&quot;313624B6&quot;/&gt;&lt;wsp:rsid wsp:val=&quot;31374878&quot;/&gt;&lt;wsp:rsid wsp:val=&quot;313A7EC4&quot;/&gt;&lt;wsp:rsid wsp:val=&quot;313C1E8F&quot;/&gt;&lt;wsp:rsid wsp:val=&quot;313C59EB&quot;/&gt;&lt;wsp:rsid wsp:val=&quot;313F34CE&quot;/&gt;&lt;wsp:rsid wsp:val=&quot;313F372D&quot;/&gt;&lt;wsp:rsid wsp:val=&quot;31411253&quot;/&gt;&lt;wsp:rsid wsp:val=&quot;31434FCB&quot;/&gt;&lt;wsp:rsid wsp:val=&quot;31442AF1&quot;/&gt;&lt;wsp:rsid wsp:val=&quot;31473867&quot;/&gt;&lt;wsp:rsid wsp:val=&quot;31480833&quot;/&gt;&lt;wsp:rsid wsp:val=&quot;31496359&quot;/&gt;&lt;wsp:rsid wsp:val=&quot;314A04F0&quot;/&gt;&lt;wsp:rsid wsp:val=&quot;314A45AB&quot;/&gt;&lt;wsp:rsid wsp:val=&quot;314B303F&quot;/&gt;&lt;wsp:rsid wsp:val=&quot;314B3E80&quot;/&gt;&lt;wsp:rsid wsp:val=&quot;31503085&quot;/&gt;&lt;wsp:rsid wsp:val=&quot;3150593A&quot;/&gt;&lt;wsp:rsid wsp:val=&quot;315216B2&quot;/&gt;&lt;wsp:rsid wsp:val=&quot;31530A22&quot;/&gt;&lt;wsp:rsid wsp:val=&quot;31533EC8&quot;/&gt;&lt;wsp:rsid wsp:val=&quot;315409BD&quot;/&gt;&lt;wsp:rsid wsp:val=&quot;31540F86&quot;/&gt;&lt;wsp:rsid wsp:val=&quot;315419A0&quot;/&gt;&lt;wsp:rsid wsp:val=&quot;315471D8&quot;/&gt;&lt;wsp:rsid wsp:val=&quot;31554CFE&quot;/&gt;&lt;wsp:rsid wsp:val=&quot;315619EE&quot;/&gt;&lt;wsp:rsid wsp:val=&quot;31570A76&quot;/&gt;&lt;wsp:rsid wsp:val=&quot;3157541A&quot;/&gt;&lt;wsp:rsid wsp:val=&quot;31592A40&quot;/&gt;&lt;wsp:rsid wsp:val=&quot;31597D3A&quot;/&gt;&lt;wsp:rsid wsp:val=&quot;315A2315&quot;/&gt;&lt;wsp:rsid wsp:val=&quot;315A40C3&quot;/&gt;&lt;wsp:rsid wsp:val=&quot;315C42DF&quot;/&gt;&lt;wsp:rsid wsp:val=&quot;315C449C&quot;/&gt;&lt;wsp:rsid wsp:val=&quot;315C608D&quot;/&gt;&lt;wsp:rsid wsp:val=&quot;315D71B8&quot;/&gt;&lt;wsp:rsid wsp:val=&quot;316255FD&quot;/&gt;&lt;wsp:rsid wsp:val=&quot;31644F41&quot;/&gt;&lt;wsp:rsid wsp:val=&quot;31650EAE&quot;/&gt;&lt;wsp:rsid wsp:val=&quot;316521F1&quot;/&gt;&lt;wsp:rsid wsp:val=&quot;31653193&quot;/&gt;&lt;wsp:rsid wsp:val=&quot;31660129&quot;/&gt;&lt;wsp:rsid wsp:val=&quot;31660CB9&quot;/&gt;&lt;wsp:rsid wsp:val=&quot;31662A68&quot;/&gt;&lt;wsp:rsid wsp:val=&quot;3166515D&quot;/&gt;&lt;wsp:rsid wsp:val=&quot;316737CE&quot;/&gt;&lt;wsp:rsid wsp:val=&quot;316B214F&quot;/&gt;&lt;wsp:rsid wsp:val=&quot;316B4522&quot;/&gt;&lt;wsp:rsid wsp:val=&quot;316B62D0&quot;/&gt;&lt;wsp:rsid wsp:val=&quot;316D2048&quot;/&gt;&lt;wsp:rsid wsp:val=&quot;316D3DF6&quot;/&gt;&lt;wsp:rsid wsp:val=&quot;316F7181&quot;/&gt;&lt;wsp:rsid wsp:val=&quot;31701B38&quot;/&gt;&lt;wsp:rsid wsp:val=&quot;317038E6&quot;/&gt;&lt;wsp:rsid wsp:val=&quot;31704B31&quot;/&gt;&lt;wsp:rsid wsp:val=&quot;31753B49&quot;/&gt;&lt;wsp:rsid wsp:val=&quot;31771119&quot;/&gt;&lt;wsp:rsid wsp:val=&quot;3179279B&quot;/&gt;&lt;wsp:rsid wsp:val=&quot;31796C3F&quot;/&gt;&lt;wsp:rsid wsp:val=&quot;317A6513&quot;/&gt;&lt;wsp:rsid wsp:val=&quot;317C5CA4&quot;/&gt;&lt;wsp:rsid wsp:val=&quot;317D0ABA&quot;/&gt;&lt;wsp:rsid wsp:val=&quot;317F1D7B&quot;/&gt;&lt;wsp:rsid wsp:val=&quot;317F3195&quot;/&gt;&lt;wsp:rsid wsp:val=&quot;317F3B29&quot;/&gt;&lt;wsp:rsid wsp:val=&quot;31803DAC&quot;/&gt;&lt;wsp:rsid wsp:val=&quot;31853836&quot;/&gt;&lt;wsp:rsid wsp:val=&quot;3186310A&quot;/&gt;&lt;wsp:rsid wsp:val=&quot;31864EB8&quot;/&gt;&lt;wsp:rsid wsp:val=&quot;31866D56&quot;/&gt;&lt;wsp:rsid wsp:val=&quot;31874330&quot;/&gt;&lt;wsp:rsid wsp:val=&quot;318956D7&quot;/&gt;&lt;wsp:rsid wsp:val=&quot;318D26EA&quot;/&gt;&lt;wsp:rsid wsp:val=&quot;318E5A74&quot;/&gt;&lt;wsp:rsid wsp:val=&quot;319066C4&quot;/&gt;&lt;wsp:rsid wsp:val=&quot;31943A79&quot;/&gt;&lt;wsp:rsid wsp:val=&quot;31966E5D&quot;/&gt;&lt;wsp:rsid wsp:val=&quot;31967CDB&quot;/&gt;&lt;wsp:rsid wsp:val=&quot;31983D3C&quot;/&gt;&lt;wsp:rsid wsp:val=&quot;319C292D&quot;/&gt;&lt;wsp:rsid wsp:val=&quot;319C46DB&quot;/&gt;&lt;wsp:rsid wsp:val=&quot;319C528E&quot;/&gt;&lt;wsp:rsid wsp:val=&quot;319E0453&quot;/&gt;&lt;wsp:rsid wsp:val=&quot;319E6025&quot;/&gt;&lt;wsp:rsid wsp:val=&quot;319F103E&quot;/&gt;&lt;wsp:rsid wsp:val=&quot;31A135F7&quot;/&gt;&lt;wsp:rsid wsp:val=&quot;31A55C86&quot;/&gt;&lt;wsp:rsid wsp:val=&quot;31A57A34&quot;/&gt;&lt;wsp:rsid wsp:val=&quot;31A67308&quot;/&gt;&lt;wsp:rsid wsp:val=&quot;31A737AC&quot;/&gt;&lt;wsp:rsid wsp:val=&quot;31A83080&quot;/&gt;&lt;wsp:rsid wsp:val=&quot;31A91211&quot;/&gt;&lt;wsp:rsid wsp:val=&quot;31AA329C&quot;/&gt;&lt;wsp:rsid wsp:val=&quot;31AA504A&quot;/&gt;&lt;wsp:rsid wsp:val=&quot;31AB2B70&quot;/&gt;&lt;wsp:rsid wsp:val=&quot;31AC5F47&quot;/&gt;&lt;wsp:rsid wsp:val=&quot;31AD68E8&quot;/&gt;&lt;wsp:rsid wsp:val=&quot;31AD77A6&quot;/&gt;&lt;wsp:rsid wsp:val=&quot;31AE385F&quot;/&gt;&lt;wsp:rsid wsp:val=&quot;31AF2660&quot;/&gt;&lt;wsp:rsid wsp:val=&quot;31AF440F&quot;/&gt;&lt;wsp:rsid wsp:val=&quot;31B00187&quot;/&gt;&lt;wsp:rsid wsp:val=&quot;31B163D9&quot;/&gt;&lt;wsp:rsid wsp:val=&quot;31B22151&quot;/&gt;&lt;wsp:rsid wsp:val=&quot;31B25CAD&quot;/&gt;&lt;wsp:rsid wsp:val=&quot;31B732C3&quot;/&gt;&lt;wsp:rsid wsp:val=&quot;31B8181D&quot;/&gt;&lt;wsp:rsid wsp:val=&quot;31B82709&quot;/&gt;&lt;wsp:rsid wsp:val=&quot;31B859B9&quot;/&gt;&lt;wsp:rsid wsp:val=&quot;31B867A1&quot;/&gt;&lt;wsp:rsid wsp:val=&quot;31B9528D&quot;/&gt;&lt;wsp:rsid wsp:val=&quot;31B9703B&quot;/&gt;&lt;wsp:rsid wsp:val=&quot;31BC3137&quot;/&gt;&lt;wsp:rsid wsp:val=&quot;31BD655C&quot;/&gt;&lt;wsp:rsid wsp:val=&quot;31BE7043&quot;/&gt;&lt;wsp:rsid wsp:val=&quot;31BF1AB8&quot;/&gt;&lt;wsp:rsid wsp:val=&quot;31C272B4&quot;/&gt;&lt;wsp:rsid wsp:val=&quot;31C27D50&quot;/&gt;&lt;wsp:rsid wsp:val=&quot;31C31505&quot;/&gt;&lt;wsp:rsid wsp:val=&quot;31C3435E&quot;/&gt;&lt;wsp:rsid wsp:val=&quot;31C51E84&quot;/&gt;&lt;wsp:rsid wsp:val=&quot;31C679AA&quot;/&gt;&lt;wsp:rsid wsp:val=&quot;31C75BFC&quot;/&gt;&lt;wsp:rsid wsp:val=&quot;31CA1248&quot;/&gt;&lt;wsp:rsid wsp:val=&quot;31CC3212&quot;/&gt;&lt;wsp:rsid wsp:val=&quot;31CD2AE7&quot;/&gt;&lt;wsp:rsid wsp:val=&quot;31CD6F8B&quot;/&gt;&lt;wsp:rsid wsp:val=&quot;31CF4AB1&quot;/&gt;&lt;wsp:rsid wsp:val=&quot;31CF71ED&quot;/&gt;&lt;wsp:rsid wsp:val=&quot;31D04385&quot;/&gt;&lt;wsp:rsid wsp:val=&quot;31D05482&quot;/&gt;&lt;wsp:rsid wsp:val=&quot;31D07E6C&quot;/&gt;&lt;wsp:rsid wsp:val=&quot;31D245A1&quot;/&gt;&lt;wsp:rsid wsp:val=&quot;31D64091&quot;/&gt;&lt;wsp:rsid wsp:val=&quot;31D9148B&quot;/&gt;&lt;wsp:rsid wsp:val=&quot;31DA66C0&quot;/&gt;&lt;wsp:rsid wsp:val=&quot;31DC0F7C&quot;/&gt;&lt;wsp:rsid wsp:val=&quot;31DD5420&quot;/&gt;&lt;wsp:rsid wsp:val=&quot;31DE2F46&quot;/&gt;&lt;wsp:rsid wsp:val=&quot;31E139C2&quot;/&gt;&lt;wsp:rsid wsp:val=&quot;31E16592&quot;/&gt;&lt;wsp:rsid wsp:val=&quot;31E22A36&quot;/&gt;&lt;wsp:rsid wsp:val=&quot;31E3230A&quot;/&gt;&lt;wsp:rsid wsp:val=&quot;31E653D6&quot;/&gt;&lt;wsp:rsid wsp:val=&quot;31E87920&quot;/&gt;&lt;wsp:rsid wsp:val=&quot;31EA35E4&quot;/&gt;&lt;wsp:rsid wsp:val=&quot;31EE089B&quot;/&gt;&lt;wsp:rsid wsp:val=&quot;31EE4B36&quot;/&gt;&lt;wsp:rsid wsp:val=&quot;31EF5153&quot;/&gt;&lt;wsp:rsid wsp:val=&quot;31F14A27&quot;/&gt;&lt;wsp:rsid wsp:val=&quot;31F167D5&quot;/&gt;&lt;wsp:rsid wsp:val=&quot;31F2254D&quot;/&gt;&lt;wsp:rsid wsp:val=&quot;31F369F1&quot;/&gt;&lt;wsp:rsid wsp:val=&quot;31F43B9D&quot;/&gt;&lt;wsp:rsid wsp:val=&quot;31F6203D&quot;/&gt;&lt;wsp:rsid wsp:val=&quot;31F75DB5&quot;/&gt;&lt;wsp:rsid wsp:val=&quot;31F84007&quot;/&gt;&lt;wsp:rsid wsp:val=&quot;31F97D80&quot;/&gt;&lt;wsp:rsid wsp:val=&quot;31FA30D9&quot;/&gt;&lt;wsp:rsid wsp:val=&quot;31FB08BE&quot;/&gt;&lt;wsp:rsid wsp:val=&quot;31FB0B7D&quot;/&gt;&lt;wsp:rsid wsp:val=&quot;31FB3AF8&quot;/&gt;&lt;wsp:rsid wsp:val=&quot;31FD161E&quot;/&gt;&lt;wsp:rsid wsp:val=&quot;31FE7144&quot;/&gt;&lt;wsp:rsid wsp:val=&quot;32004C6A&quot;/&gt;&lt;wsp:rsid wsp:val=&quot;32010381&quot;/&gt;&lt;wsp:rsid wsp:val=&quot;320209E2&quot;/&gt;&lt;wsp:rsid wsp:val=&quot;32022CFB&quot;/&gt;&lt;wsp:rsid wsp:val=&quot;32026C34&quot;/&gt;&lt;wsp:rsid wsp:val=&quot;32061EAF&quot;/&gt;&lt;wsp:rsid wsp:val=&quot;3207424B&quot;/&gt;&lt;wsp:rsid wsp:val=&quot;320960CA&quot;/&gt;&lt;wsp:rsid wsp:val=&quot;320A70C6&quot;/&gt;&lt;wsp:rsid wsp:val=&quot;320C1861&quot;/&gt;&lt;wsp:rsid wsp:val=&quot;320C697E&quot;/&gt;&lt;wsp:rsid wsp:val=&quot;320D1CB4&quot;/&gt;&lt;wsp:rsid wsp:val=&quot;320F27B6&quot;/&gt;&lt;wsp:rsid wsp:val=&quot;32116E77&quot;/&gt;&lt;wsp:rsid wsp:val=&quot;321227F0&quot;/&gt;&lt;wsp:rsid wsp:val=&quot;32132BEF&quot;/&gt;&lt;wsp:rsid wsp:val=&quot;32133BAD&quot;/&gt;&lt;wsp:rsid wsp:val=&quot;3216448E&quot;/&gt;&lt;wsp:rsid wsp:val=&quot;32170C86&quot;/&gt;&lt;wsp:rsid wsp:val=&quot;321859F5&quot;/&gt;&lt;wsp:rsid wsp:val=&quot;32186458&quot;/&gt;&lt;wsp:rsid wsp:val=&quot;321A5A83&quot;/&gt;&lt;wsp:rsid wsp:val=&quot;321B5F48&quot;/&gt;&lt;wsp:rsid wsp:val=&quot;321B7CF6&quot;/&gt;&lt;wsp:rsid wsp:val=&quot;321D3A6E&quot;/&gt;&lt;wsp:rsid wsp:val=&quot;321F09AA&quot;/&gt;&lt;wsp:rsid wsp:val=&quot;322070BA&quot;/&gt;&lt;wsp:rsid wsp:val=&quot;322272D6&quot;/&gt;&lt;wsp:rsid wsp:val=&quot;32244DFC&quot;/&gt;&lt;wsp:rsid wsp:val=&quot;32250B75&quot;/&gt;&lt;wsp:rsid wsp:val=&quot;3227483B&quot;/&gt;&lt;wsp:rsid wsp:val=&quot;322748ED&quot;/&gt;&lt;wsp:rsid wsp:val=&quot;32290665&quot;/&gt;&lt;wsp:rsid wsp:val=&quot;322A1CE7&quot;/&gt;&lt;wsp:rsid wsp:val=&quot;322A7F39&quot;/&gt;&lt;wsp:rsid wsp:val=&quot;322B1F07&quot;/&gt;&lt;wsp:rsid wsp:val=&quot;322C1F03&quot;/&gt;&lt;wsp:rsid wsp:val=&quot;322C3CB1&quot;/&gt;&lt;wsp:rsid wsp:val=&quot;322C5A5F&quot;/&gt;&lt;wsp:rsid wsp:val=&quot;322E5C09&quot;/&gt;&lt;wsp:rsid wsp:val=&quot;322E5C7B&quot;/&gt;&lt;wsp:rsid wsp:val=&quot;322E7A29&quot;/&gt;&lt;wsp:rsid wsp:val=&quot;322F1F88&quot;/&gt;&lt;wsp:rsid wsp:val=&quot;323112C7&quot;/&gt;&lt;wsp:rsid wsp:val=&quot;32317519&quot;/&gt;&lt;wsp:rsid wsp:val=&quot;32333292&quot;/&gt;&lt;wsp:rsid wsp:val=&quot;323365A6&quot;/&gt;&lt;wsp:rsid wsp:val=&quot;3234700A&quot;/&gt;&lt;wsp:rsid wsp:val=&quot;32353BD1&quot;/&gt;&lt;wsp:rsid wsp:val=&quot;3236068C&quot;/&gt;&lt;wsp:rsid wsp:val=&quot;323808A8&quot;/&gt;&lt;wsp:rsid wsp:val=&quot;323A1AE2&quot;/&gt;&lt;wsp:rsid wsp:val=&quot;323B0398&quot;/&gt;&lt;wsp:rsid wsp:val=&quot;323B2146&quot;/&gt;&lt;wsp:rsid wsp:val=&quot;323B45CD&quot;/&gt;&lt;wsp:rsid wsp:val=&quot;323D7C6C&quot;/&gt;&lt;wsp:rsid wsp:val=&quot;323E39E4&quot;/&gt;&lt;wsp:rsid wsp:val=&quot;323F1C36&quot;/&gt;&lt;wsp:rsid wsp:val=&quot;32400B34&quot;/&gt;&lt;wsp:rsid wsp:val=&quot;3240150B&quot;/&gt;&lt;wsp:rsid wsp:val=&quot;3240775C&quot;/&gt;&lt;wsp:rsid wsp:val=&quot;32427031&quot;/&gt;&lt;wsp:rsid wsp:val=&quot;324541CB&quot;/&gt;&lt;wsp:rsid wsp:val=&quot;32456B21&quot;/&gt;&lt;wsp:rsid wsp:val=&quot;324845D6&quot;/&gt;&lt;wsp:rsid wsp:val=&quot;32496611&quot;/&gt;&lt;wsp:rsid wsp:val=&quot;324A05DB&quot;/&gt;&lt;wsp:rsid wsp:val=&quot;324A2389&quot;/&gt;&lt;wsp:rsid wsp:val=&quot;324D2CF5&quot;/&gt;&lt;wsp:rsid wsp:val=&quot;324E1D3A&quot;/&gt;&lt;wsp:rsid wsp:val=&quot;324E3C27&quot;/&gt;&lt;wsp:rsid wsp:val=&quot;32513718&quot;/&gt;&lt;wsp:rsid wsp:val=&quot;32536FBE&quot;/&gt;&lt;wsp:rsid wsp:val=&quot;32537490&quot;/&gt;&lt;wsp:rsid wsp:val=&quot;32543208&quot;/&gt;&lt;wsp:rsid wsp:val=&quot;32544FB6&quot;/&gt;&lt;wsp:rsid wsp:val=&quot;32546D64&quot;/&gt;&lt;wsp:rsid wsp:val=&quot;3256215C&quot;/&gt;&lt;wsp:rsid wsp:val=&quot;32566F80&quot;/&gt;&lt;wsp:rsid wsp:val=&quot;325717F3&quot;/&gt;&lt;wsp:rsid wsp:val=&quot;325B4596&quot;/&gt;&lt;wsp:rsid wsp:val=&quot;325D20BC&quot;/&gt;&lt;wsp:rsid wsp:val=&quot;326150E4&quot;/&gt;&lt;wsp:rsid wsp:val=&quot;326162E8&quot;/&gt;&lt;wsp:rsid wsp:val=&quot;32617E42&quot;/&gt;&lt;wsp:rsid wsp:val=&quot;32621481&quot;/&gt;&lt;wsp:rsid wsp:val=&quot;32622D33&quot;/&gt;&lt;wsp:rsid wsp:val=&quot;32625925&quot;/&gt;&lt;wsp:rsid wsp:val=&quot;32630FC4&quot;/&gt;&lt;wsp:rsid wsp:val=&quot;3263498F&quot;/&gt;&lt;wsp:rsid wsp:val=&quot;3264344B&quot;/&gt;&lt;wsp:rsid wsp:val=&quot;32655415&quot;/&gt;&lt;wsp:rsid wsp:val=&quot;326571C3&quot;/&gt;&lt;wsp:rsid wsp:val=&quot;32696CB3&quot;/&gt;&lt;wsp:rsid wsp:val=&quot;326A6587&quot;/&gt;&lt;wsp:rsid wsp:val=&quot;326B00AC&quot;/&gt;&lt;wsp:rsid wsp:val=&quot;326E42CA&quot;/&gt;&lt;wsp:rsid wsp:val=&quot;326E7E26&quot;/&gt;&lt;wsp:rsid wsp:val=&quot;326F3B9E&quot;/&gt;&lt;wsp:rsid wsp:val=&quot;32700F83&quot;/&gt;&lt;wsp:rsid wsp:val=&quot;32701D7C&quot;/&gt;&lt;wsp:rsid wsp:val=&quot;32715B68&quot;/&gt;&lt;wsp:rsid wsp:val=&quot;32717916&quot;/&gt;&lt;wsp:rsid wsp:val=&quot;32735E3B&quot;/&gt;&lt;wsp:rsid wsp:val=&quot;32764F2C&quot;/&gt;&lt;wsp:rsid wsp:val=&quot;32780935&quot;/&gt;&lt;wsp:rsid wsp:val=&quot;3278199E&quot;/&gt;&lt;wsp:rsid wsp:val=&quot;32786EF6&quot;/&gt;&lt;wsp:rsid wsp:val=&quot;32794A1C&quot;/&gt;&lt;wsp:rsid wsp:val=&quot;327A0EC0&quot;/&gt;&lt;wsp:rsid wsp:val=&quot;327A2C6E&quot;/&gt;&lt;wsp:rsid wsp:val=&quot;327B0795&quot;/&gt;&lt;wsp:rsid wsp:val=&quot;327B2096&quot;/&gt;&lt;wsp:rsid wsp:val=&quot;327B2543&quot;/&gt;&lt;wsp:rsid wsp:val=&quot;327C031F&quot;/&gt;&lt;wsp:rsid wsp:val=&quot;327C2EF0&quot;/&gt;&lt;wsp:rsid wsp:val=&quot;327D37D4&quot;/&gt;&lt;wsp:rsid wsp:val=&quot;327D62BB&quot;/&gt;&lt;wsp:rsid wsp:val=&quot;327D63F4&quot;/&gt;&lt;wsp:rsid wsp:val=&quot;327E018E&quot;/&gt;&lt;wsp:rsid wsp:val=&quot;327F0285&quot;/&gt;&lt;wsp:rsid wsp:val=&quot;32803FFD&quot;/&gt;&lt;wsp:rsid wsp:val=&quot;328210D9&quot;/&gt;&lt;wsp:rsid wsp:val=&quot;32821B23&quot;/&gt;&lt;wsp:rsid wsp:val=&quot;328238D1&quot;/&gt;&lt;wsp:rsid wsp:val=&quot;32841682&quot;/&gt;&lt;wsp:rsid wsp:val=&quot;32847649&quot;/&gt;&lt;wsp:rsid wsp:val=&quot;32870EE7&quot;/&gt;&lt;wsp:rsid wsp:val=&quot;32875432&quot;/&gt;&lt;wsp:rsid wsp:val=&quot;328E3BC4&quot;/&gt;&lt;wsp:rsid wsp:val=&quot;328F43F1&quot;/&gt;&lt;wsp:rsid wsp:val=&quot;328F5FEE&quot;/&gt;&lt;wsp:rsid wsp:val=&quot;32902492&quot;/&gt;&lt;wsp:rsid wsp:val=&quot;32911D66&quot;/&gt;&lt;wsp:rsid wsp:val=&quot;3291620A&quot;/&gt;&lt;wsp:rsid wsp:val=&quot;32917FB8&quot;/&gt;&lt;wsp:rsid wsp:val=&quot;32935A2E&quot;/&gt;&lt;wsp:rsid wsp:val=&quot;32935ADE&quot;/&gt;&lt;wsp:rsid wsp:val=&quot;32957AA8&quot;/&gt;&lt;wsp:rsid wsp:val=&quot;329655CE&quot;/&gt;&lt;wsp:rsid wsp:val=&quot;32981347&quot;/&gt;&lt;wsp:rsid wsp:val=&quot;329A4CFF&quot;/&gt;&lt;wsp:rsid wsp:val=&quot;329D070B&quot;/&gt;&lt;wsp:rsid wsp:val=&quot;329E6876&quot;/&gt;&lt;wsp:rsid wsp:val=&quot;329F26D5&quot;/&gt;&lt;wsp:rsid wsp:val=&quot;329F4483&quot;/&gt;&lt;wsp:rsid wsp:val=&quot;32A221C5&quot;/&gt;&lt;wsp:rsid wsp:val=&quot;32A23F73&quot;/&gt;&lt;wsp:rsid wsp:val=&quot;32A777DC&quot;/&gt;&lt;wsp:rsid wsp:val=&quot;32A93554&quot;/&gt;&lt;wsp:rsid wsp:val=&quot;32A95302&quot;/&gt;&lt;wsp:rsid wsp:val=&quot;32A970B0&quot;/&gt;&lt;wsp:rsid wsp:val=&quot;32A97B09&quot;/&gt;&lt;wsp:rsid wsp:val=&quot;32AB107A&quot;/&gt;&lt;wsp:rsid wsp:val=&quot;32AB72CC&quot;/&gt;&lt;wsp:rsid wsp:val=&quot;32AC094E&quot;/&gt;&lt;wsp:rsid wsp:val=&quot;32AD73EA&quot;/&gt;&lt;wsp:rsid wsp:val=&quot;32B048E2&quot;/&gt;&lt;wsp:rsid wsp:val=&quot;32B141B6&quot;/&gt;&lt;wsp:rsid wsp:val=&quot;32B31CDC&quot;/&gt;&lt;wsp:rsid wsp:val=&quot;32B35B90&quot;/&gt;&lt;wsp:rsid wsp:val=&quot;32B37F2E&quot;/&gt;&lt;wsp:rsid wsp:val=&quot;32B47B52&quot;/&gt;&lt;wsp:rsid wsp:val=&quot;32B53CA7&quot;/&gt;&lt;wsp:rsid wsp:val=&quot;32B67A1F&quot;/&gt;&lt;wsp:rsid wsp:val=&quot;32B8116A&quot;/&gt;&lt;wsp:rsid wsp:val=&quot;32B85545&quot;/&gt;&lt;wsp:rsid wsp:val=&quot;32B86E31&quot;/&gt;&lt;wsp:rsid wsp:val=&quot;32BA1751&quot;/&gt;&lt;wsp:rsid wsp:val=&quot;32BB6DE3&quot;/&gt;&lt;wsp:rsid wsp:val=&quot;32BD2B5B&quot;/&gt;&lt;wsp:rsid wsp:val=&quot;32BF0681&quot;/&gt;&lt;wsp:rsid wsp:val=&quot;32C043F9&quot;/&gt;&lt;wsp:rsid wsp:val=&quot;32C073EC&quot;/&gt;&lt;wsp:rsid wsp:val=&quot;32C12BB8&quot;/&gt;&lt;wsp:rsid wsp:val=&quot;32C51A10&quot;/&gt;&lt;wsp:rsid wsp:val=&quot;32C65507&quot;/&gt;&lt;wsp:rsid wsp:val=&quot;32C65EB4&quot;/&gt;&lt;wsp:rsid wsp:val=&quot;32C75788&quot;/&gt;&lt;wsp:rsid wsp:val=&quot;32C959A4&quot;/&gt;&lt;wsp:rsid wsp:val=&quot;32C97752&quot;/&gt;&lt;wsp:rsid wsp:val=&quot;32CA1246&quot;/&gt;&lt;wsp:rsid wsp:val=&quot;32CB5278&quot;/&gt;&lt;wsp:rsid wsp:val=&quot;32CD3EEF&quot;/&gt;&lt;wsp:rsid wsp:val=&quot;32D00AE0&quot;/&gt;&lt;wsp:rsid wsp:val=&quot;32D00F65&quot;/&gt;&lt;wsp:rsid wsp:val=&quot;32D020E4&quot;/&gt;&lt;wsp:rsid wsp:val=&quot;32D103B5&quot;/&gt;&lt;wsp:rsid wsp:val=&quot;32D22AAA&quot;/&gt;&lt;wsp:rsid wsp:val=&quot;32D3237F&quot;/&gt;&lt;wsp:rsid wsp:val=&quot;32D33A39&quot;/&gt;&lt;wsp:rsid wsp:val=&quot;32D3412D&quot;/&gt;&lt;wsp:rsid wsp:val=&quot;32D50A2F&quot;/&gt;&lt;wsp:rsid wsp:val=&quot;32D54F54&quot;/&gt;&lt;wsp:rsid wsp:val=&quot;32D560F7&quot;/&gt;&lt;wsp:rsid wsp:val=&quot;32D61E6F&quot;/&gt;&lt;wsp:rsid wsp:val=&quot;32D64894&quot;/&gt;&lt;wsp:rsid wsp:val=&quot;32D87995&quot;/&gt;&lt;wsp:rsid wsp:val=&quot;32D978AB&quot;/&gt;&lt;wsp:rsid wsp:val=&quot;32DA370D&quot;/&gt;&lt;wsp:rsid wsp:val=&quot;32DC622C&quot;/&gt;&lt;wsp:rsid wsp:val=&quot;32DC7485&quot;/&gt;&lt;wsp:rsid wsp:val=&quot;32DC7BA4&quot;/&gt;&lt;wsp:rsid wsp:val=&quot;32DD4FAB&quot;/&gt;&lt;wsp:rsid wsp:val=&quot;32DD69CE&quot;/&gt;&lt;wsp:rsid wsp:val=&quot;32DF0D23&quot;/&gt;&lt;wsp:rsid wsp:val=&quot;32DF371D&quot;/&gt;&lt;wsp:rsid wsp:val=&quot;32E14A9C&quot;/&gt;&lt;wsp:rsid wsp:val=&quot;32E20814&quot;/&gt;&lt;wsp:rsid wsp:val=&quot;32E34B0D&quot;/&gt;&lt;wsp:rsid wsp:val=&quot;32E4458C&quot;/&gt;&lt;wsp:rsid wsp:val=&quot;32E60304&quot;/&gt;&lt;wsp:rsid wsp:val=&quot;32E620B2&quot;/&gt;&lt;wsp:rsid wsp:val=&quot;32E77BD8&quot;/&gt;&lt;wsp:rsid wsp:val=&quot;32EB1CC0&quot;/&gt;&lt;wsp:rsid wsp:val=&quot;32EB3B6C&quot;/&gt;&lt;wsp:rsid wsp:val=&quot;32EB76C8&quot;/&gt;&lt;wsp:rsid wsp:val=&quot;32EC3440&quot;/&gt;&lt;wsp:rsid wsp:val=&quot;32EC51EE&quot;/&gt;&lt;wsp:rsid wsp:val=&quot;32EE71B8&quot;/&gt;&lt;wsp:rsid wsp:val=&quot;32EF5865&quot;/&gt;&lt;wsp:rsid wsp:val=&quot;32F02F31&quot;/&gt;&lt;wsp:rsid wsp:val=&quot;32F12805&quot;/&gt;&lt;wsp:rsid wsp:val=&quot;32F15B31&quot;/&gt;&lt;wsp:rsid wsp:val=&quot;32F26CA9&quot;/&gt;&lt;wsp:rsid wsp:val=&quot;32F43417&quot;/&gt;&lt;wsp:rsid wsp:val=&quot;32F50547&quot;/&gt;&lt;wsp:rsid wsp:val=&quot;32F6606D&quot;/&gt;&lt;wsp:rsid wsp:val=&quot;32F66DD2&quot;/&gt;&lt;wsp:rsid wsp:val=&quot;32F95AD3&quot;/&gt;&lt;wsp:rsid wsp:val=&quot;32FA3DAF&quot;/&gt;&lt;wsp:rsid wsp:val=&quot;32FB467E&quot;/&gt;&lt;wsp:rsid wsp:val=&quot;32FC18D5&quot;/&gt;&lt;wsp:rsid wsp:val=&quot;32FD05B3&quot;/&gt;&lt;wsp:rsid wsp:val=&quot;32FE0135&quot;/&gt;&lt;wsp:rsid wsp:val=&quot;32FF13C6&quot;/&gt;&lt;wsp:rsid wsp:val=&quot;32FF69F4&quot;/&gt;&lt;wsp:rsid wsp:val=&quot;3300527E&quot;/&gt;&lt;wsp:rsid wsp:val=&quot;3300608A&quot;/&gt;&lt;wsp:rsid wsp:val=&quot;330144FD&quot;/&gt;&lt;wsp:rsid wsp:val=&quot;3301513E&quot;/&gt;&lt;wsp:rsid wsp:val=&quot;33016EEC&quot;/&gt;&lt;wsp:rsid wsp:val=&quot;33022C64&quot;/&gt;&lt;wsp:rsid wsp:val=&quot;33024A12&quot;/&gt;&lt;wsp:rsid wsp:val=&quot;33027F46&quot;/&gt;&lt;wsp:rsid wsp:val=&quot;33055437&quot;/&gt;&lt;wsp:rsid wsp:val=&quot;33063E70&quot;/&gt;&lt;wsp:rsid wsp:val=&quot;33072028&quot;/&gt;&lt;wsp:rsid wsp:val=&quot;33072578&quot;/&gt;&lt;wsp:rsid wsp:val=&quot;33092244&quot;/&gt;&lt;wsp:rsid wsp:val=&quot;33097BA2&quot;/&gt;&lt;wsp:rsid wsp:val=&quot;330A66D8&quot;/&gt;&lt;wsp:rsid wsp:val=&quot;330E33B7&quot;/&gt;&lt;wsp:rsid wsp:val=&quot;33134E71&quot;/&gt;&lt;wsp:rsid wsp:val=&quot;33154745&quot;/&gt;&lt;wsp:rsid wsp:val=&quot;3317670F&quot;/&gt;&lt;wsp:rsid wsp:val=&quot;33185FE3&quot;/&gt;&lt;wsp:rsid wsp:val=&quot;3319216C&quot;/&gt;&lt;wsp:rsid wsp:val=&quot;331A61FF&quot;/&gt;&lt;wsp:rsid wsp:val=&quot;331C3D26&quot;/&gt;&lt;wsp:rsid wsp:val=&quot;331D184C&quot;/&gt;&lt;wsp:rsid wsp:val=&quot;331D35FA&quot;/&gt;&lt;wsp:rsid wsp:val=&quot;332008FE&quot;/&gt;&lt;wsp:rsid wsp:val=&quot;332115EC&quot;/&gt;&lt;wsp:rsid wsp:val=&quot;3321758E&quot;/&gt;&lt;wsp:rsid wsp:val=&quot;3322087E&quot;/&gt;&lt;wsp:rsid wsp:val=&quot;33227393&quot;/&gt;&lt;wsp:rsid wsp:val=&quot;332350B4&quot;/&gt;&lt;wsp:rsid wsp:val=&quot;33242BDA&quot;/&gt;&lt;wsp:rsid wsp:val=&quot;33244988&quot;/&gt;&lt;wsp:rsid wsp:val=&quot;33260700&quot;/&gt;&lt;wsp:rsid wsp:val=&quot;33264BA4&quot;/&gt;&lt;wsp:rsid wsp:val=&quot;33265787&quot;/&gt;&lt;wsp:rsid wsp:val=&quot;33266952&quot;/&gt;&lt;wsp:rsid wsp:val=&quot;3328091C&quot;/&gt;&lt;wsp:rsid wsp:val=&quot;332901F1&quot;/&gt;&lt;wsp:rsid wsp:val=&quot;33292712&quot;/&gt;&lt;wsp:rsid wsp:val=&quot;332B1C2F&quot;/&gt;&lt;wsp:rsid wsp:val=&quot;332C1A8F&quot;/&gt;&lt;wsp:rsid wsp:val=&quot;332D7CE1&quot;/&gt;&lt;wsp:rsid wsp:val=&quot;332E5807&quot;/&gt;&lt;wsp:rsid wsp:val=&quot;3330157F&quot;/&gt;&lt;wsp:rsid wsp:val=&quot;333015F2&quot;/&gt;&lt;wsp:rsid wsp:val=&quot;33332E1D&quot;/&gt;&lt;wsp:rsid wsp:val=&quot;33352DD5&quot;/&gt;&lt;wsp:rsid wsp:val=&quot;33353039&quot;/&gt;&lt;wsp:rsid wsp:val=&quot;33371083&quot;/&gt;&lt;wsp:rsid wsp:val=&quot;333756F5&quot;/&gt;&lt;wsp:rsid wsp:val=&quot;33386686&quot;/&gt;&lt;wsp:rsid wsp:val=&quot;333A0650&quot;/&gt;&lt;wsp:rsid wsp:val=&quot;333C2987&quot;/&gt;&lt;wsp:rsid wsp:val=&quot;333C6176&quot;/&gt;&lt;wsp:rsid wsp:val=&quot;333F7A14&quot;/&gt;&lt;wsp:rsid wsp:val=&quot;334109B7&quot;/&gt;&lt;wsp:rsid wsp:val=&quot;334119DE&quot;/&gt;&lt;wsp:rsid wsp:val=&quot;33412F5E&quot;/&gt;&lt;wsp:rsid wsp:val=&quot;33423060&quot;/&gt;&lt;wsp:rsid wsp:val=&quot;33435756&quot;/&gt;&lt;wsp:rsid wsp:val=&quot;33466FF4&quot;/&gt;&lt;wsp:rsid wsp:val=&quot;33482D6D&quot;/&gt;&lt;wsp:rsid wsp:val=&quot;33492641&quot;/&gt;&lt;wsp:rsid wsp:val=&quot;334943EF&quot;/&gt;&lt;wsp:rsid wsp:val=&quot;334B6320&quot;/&gt;&lt;wsp:rsid wsp:val=&quot;334C6678&quot;/&gt;&lt;wsp:rsid wsp:val=&quot;3353526D&quot;/&gt;&lt;wsp:rsid wsp:val=&quot;33550C7E&quot;/&gt;&lt;wsp:rsid wsp:val=&quot;33550FE6&quot;/&gt;&lt;wsp:rsid wsp:val=&quot;33557238&quot;/&gt;&lt;wsp:rsid wsp:val=&quot;33572FB0&quot;/&gt;&lt;wsp:rsid wsp:val=&quot;33582884&quot;/&gt;&lt;wsp:rsid wsp:val=&quot;335A2AA0&quot;/&gt;&lt;wsp:rsid wsp:val=&quot;335A65FC&quot;/&gt;&lt;wsp:rsid wsp:val=&quot;335C5F80&quot;/&gt;&lt;wsp:rsid wsp:val=&quot;335C671B&quot;/&gt;&lt;wsp:rsid wsp:val=&quot;335D7EF6&quot;/&gt;&lt;wsp:rsid wsp:val=&quot;335F1E64&quot;/&gt;&lt;wsp:rsid wsp:val=&quot;335F3C12&quot;/&gt;&lt;wsp:rsid wsp:val=&quot;33613D3A&quot;/&gt;&lt;wsp:rsid wsp:val=&quot;3361798A&quot;/&gt;&lt;wsp:rsid wsp:val=&quot;33621533&quot;/&gt;&lt;wsp:rsid wsp:val=&quot;33623A54&quot;/&gt;&lt;wsp:rsid wsp:val=&quot;33661445&quot;/&gt;&lt;wsp:rsid wsp:val=&quot;3366334E&quot;/&gt;&lt;wsp:rsid wsp:val=&quot;336851BD&quot;/&gt;&lt;wsp:rsid wsp:val=&quot;33686F6B&quot;/&gt;&lt;wsp:rsid wsp:val=&quot;33694A91&quot;/&gt;&lt;wsp:rsid wsp:val=&quot;3369683F&quot;/&gt;&lt;wsp:rsid wsp:val=&quot;336A463A&quot;/&gt;&lt;wsp:rsid wsp:val=&quot;336B6A5B&quot;/&gt;&lt;wsp:rsid wsp:val=&quot;336F654B&quot;/&gt;&lt;wsp:rsid wsp:val=&quot;33705886&quot;/&gt;&lt;wsp:rsid wsp:val=&quot;33707BCD&quot;/&gt;&lt;wsp:rsid wsp:val=&quot;33723946&quot;/&gt;&lt;wsp:rsid wsp:val=&quot;33727DEA&quot;/&gt;&lt;wsp:rsid wsp:val=&quot;33753436&quot;/&gt;&lt;wsp:rsid wsp:val=&quot;33753AAD&quot;/&gt;&lt;wsp:rsid wsp:val=&quot;337551E4&quot;/&gt;&lt;wsp:rsid wsp:val=&quot;33770F5C&quot;/&gt;&lt;wsp:rsid wsp:val=&quot;33775400&quot;/&gt;&lt;wsp:rsid wsp:val=&quot;337771AE&quot;/&gt;&lt;wsp:rsid wsp:val=&quot;33784CD4&quot;/&gt;&lt;wsp:rsid wsp:val=&quot;33785759&quot;/&gt;&lt;wsp:rsid wsp:val=&quot;33791178&quot;/&gt;&lt;wsp:rsid wsp:val=&quot;337A0A4C&quot;/&gt;&lt;wsp:rsid wsp:val=&quot;337E053C&quot;/&gt;&lt;wsp:rsid wsp:val=&quot;337E678E&quot;/&gt;&lt;wsp:rsid wsp:val=&quot;337E715C&quot;/&gt;&lt;wsp:rsid wsp:val=&quot;33802506&quot;/&gt;&lt;wsp:rsid wsp:val=&quot;33813B89&quot;/&gt;&lt;wsp:rsid wsp:val=&quot;33833DA5&quot;/&gt;&lt;wsp:rsid wsp:val=&quot;33835B53&quot;/&gt;&lt;wsp:rsid wsp:val=&quot;33837C74&quot;/&gt;&lt;wsp:rsid wsp:val=&quot;33843121&quot;/&gt;&lt;wsp:rsid wsp:val=&quot;33843679&quot;/&gt;&lt;wsp:rsid wsp:val=&quot;338611ED&quot;/&gt;&lt;wsp:rsid wsp:val=&quot;338701BF&quot;/&gt;&lt;wsp:rsid wsp:val=&quot;33872D14&quot;/&gt;&lt;wsp:rsid wsp:val=&quot;33890C8F&quot;/&gt;&lt;wsp:rsid wsp:val=&quot;338A5133&quot;/&gt;&lt;wsp:rsid wsp:val=&quot;338B2C59&quot;/&gt;&lt;wsp:rsid wsp:val=&quot;338B3428&quot;/&gt;&lt;wsp:rsid wsp:val=&quot;338B4A07&quot;/&gt;&lt;wsp:rsid wsp:val=&quot;338C2B83&quot;/&gt;&lt;wsp:rsid wsp:val=&quot;338F44F8&quot;/&gt;&lt;wsp:rsid wsp:val=&quot;339064C2&quot;/&gt;&lt;wsp:rsid wsp:val=&quot;33945FB2&quot;/&gt;&lt;wsp:rsid wsp:val=&quot;33955886&quot;/&gt;&lt;wsp:rsid wsp:val=&quot;33957634&quot;/&gt;&lt;wsp:rsid wsp:val=&quot;33977850&quot;/&gt;&lt;wsp:rsid wsp:val=&quot;339A10EE&quot;/&gt;&lt;wsp:rsid wsp:val=&quot;339C2DF7&quot;/&gt;&lt;wsp:rsid wsp:val=&quot;339C6C14&quot;/&gt;&lt;wsp:rsid wsp:val=&quot;339F04B3&quot;/&gt;&lt;wsp:rsid wsp:val=&quot;33A04957&quot;/&gt;&lt;wsp:rsid wsp:val=&quot;33A1422B&quot;/&gt;&lt;wsp:rsid wsp:val=&quot;33A146B4&quot;/&gt;&lt;wsp:rsid wsp:val=&quot;33A15FD9&quot;/&gt;&lt;wsp:rsid wsp:val=&quot;33A3249C&quot;/&gt;&lt;wsp:rsid wsp:val=&quot;33A45AC9&quot;/&gt;&lt;wsp:rsid wsp:val=&quot;33A51F6D&quot;/&gt;&lt;wsp:rsid wsp:val=&quot;33A65CE5&quot;/&gt;&lt;wsp:rsid wsp:val=&quot;33A70526&quot;/&gt;&lt;wsp:rsid wsp:val=&quot;33A855B9&quot;/&gt;&lt;wsp:rsid wsp:val=&quot;33A871B4&quot;/&gt;&lt;wsp:rsid wsp:val=&quot;33AA3B64&quot;/&gt;&lt;wsp:rsid wsp:val=&quot;33AB50A9&quot;/&gt;&lt;wsp:rsid wsp:val=&quot;33AD0E22&quot;/&gt;&lt;wsp:rsid wsp:val=&quot;33AD2D2F&quot;/&gt;&lt;wsp:rsid wsp:val=&quot;33AD7074&quot;/&gt;&lt;wsp:rsid wsp:val=&quot;33AF0D6E&quot;/&gt;&lt;wsp:rsid wsp:val=&quot;33AF6948&quot;/&gt;&lt;wsp:rsid wsp:val=&quot;33B026C0&quot;/&gt;&lt;wsp:rsid wsp:val=&quot;33B0446E&quot;/&gt;&lt;wsp:rsid wsp:val=&quot;33B15C85&quot;/&gt;&lt;wsp:rsid wsp:val=&quot;33B26438&quot;/&gt;&lt;wsp:rsid wsp:val=&quot;33B3020A&quot;/&gt;&lt;wsp:rsid wsp:val=&quot;33B421B0&quot;/&gt;&lt;wsp:rsid wsp:val=&quot;33B51A84&quot;/&gt;&lt;wsp:rsid wsp:val=&quot;33B73A4E&quot;/&gt;&lt;wsp:rsid wsp:val=&quot;33B757FC&quot;/&gt;&lt;wsp:rsid wsp:val=&quot;33B95A18&quot;/&gt;&lt;wsp:rsid wsp:val=&quot;33BC2E13&quot;/&gt;&lt;wsp:rsid wsp:val=&quot;33BC72B7&quot;/&gt;&lt;wsp:rsid wsp:val=&quot;33BF4552&quot;/&gt;&lt;wsp:rsid wsp:val=&quot;33C300CE&quot;/&gt;&lt;wsp:rsid wsp:val=&quot;33C47F8B&quot;/&gt;&lt;wsp:rsid wsp:val=&quot;33C543BD&quot;/&gt;&lt;wsp:rsid wsp:val=&quot;33C63C91&quot;/&gt;&lt;wsp:rsid wsp:val=&quot;33C77B10&quot;/&gt;&lt;wsp:rsid wsp:val=&quot;33CA19D4&quot;/&gt;&lt;wsp:rsid wsp:val=&quot;33CB48B5&quot;/&gt;&lt;wsp:rsid wsp:val=&quot;33CC574C&quot;/&gt;&lt;wsp:rsid wsp:val=&quot;33CD6DCE&quot;/&gt;&lt;wsp:rsid wsp:val=&quot;33CF73DF&quot;/&gt;&lt;wsp:rsid wsp:val=&quot;33D01842&quot;/&gt;&lt;wsp:rsid wsp:val=&quot;33D01E45&quot;/&gt;&lt;wsp:rsid wsp:val=&quot;33D068BE&quot;/&gt;&lt;wsp:rsid wsp:val=&quot;33D12D62&quot;/&gt;&lt;wsp:rsid wsp:val=&quot;33D22636&quot;/&gt;&lt;wsp:rsid wsp:val=&quot;33D4015C&quot;/&gt;&lt;wsp:rsid wsp:val=&quot;33D535A4&quot;/&gt;&lt;wsp:rsid wsp:val=&quot;33D60378&quot;/&gt;&lt;wsp:rsid wsp:val=&quot;33D740F0&quot;/&gt;&lt;wsp:rsid wsp:val=&quot;33D75E9F&quot;/&gt;&lt;wsp:rsid wsp:val=&quot;33D75EC4&quot;/&gt;&lt;wsp:rsid wsp:val=&quot;33D77C4D&quot;/&gt;&lt;wsp:rsid wsp:val=&quot;33D87354&quot;/&gt;&lt;wsp:rsid wsp:val=&quot;33D87904&quot;/&gt;&lt;wsp:rsid wsp:val=&quot;33D934D4&quot;/&gt;&lt;wsp:rsid wsp:val=&quot;33D97E69&quot;/&gt;&lt;wsp:rsid wsp:val=&quot;33DC1707&quot;/&gt;&lt;wsp:rsid wsp:val=&quot;33DC34B5&quot;/&gt;&lt;wsp:rsid wsp:val=&quot;33DD2188&quot;/&gt;&lt;wsp:rsid wsp:val=&quot;33DE0FDB&quot;/&gt;&lt;wsp:rsid wsp:val=&quot;33DE23AA&quot;/&gt;&lt;wsp:rsid wsp:val=&quot;33E0214E&quot;/&gt;&lt;wsp:rsid wsp:val=&quot;33E04D53&quot;/&gt;&lt;wsp:rsid wsp:val=&quot;33E2081F&quot;/&gt;&lt;wsp:rsid wsp:val=&quot;33E273C6&quot;/&gt;&lt;wsp:rsid wsp:val=&quot;33E34843&quot;/&gt;&lt;wsp:rsid wsp:val=&quot;33E5680D&quot;/&gt;&lt;wsp:rsid wsp:val=&quot;33E660E2&quot;/&gt;&lt;wsp:rsid wsp:val=&quot;33E8451E&quot;/&gt;&lt;wsp:rsid wsp:val=&quot;33EA060C&quot;/&gt;&lt;wsp:rsid wsp:val=&quot;33EC2188&quot;/&gt;&lt;wsp:rsid wsp:val=&quot;33EC2A6C&quot;/&gt;&lt;wsp:rsid wsp:val=&quot;33EC6C5A&quot;/&gt;&lt;wsp:rsid wsp:val=&quot;33F16241&quot;/&gt;&lt;wsp:rsid wsp:val=&quot;33F26834&quot;/&gt;&lt;wsp:rsid wsp:val=&quot;33F46A50&quot;/&gt;&lt;wsp:rsid wsp:val=&quot;33F56325&quot;/&gt;&lt;wsp:rsid wsp:val=&quot;33FA125E&quot;/&gt;&lt;wsp:rsid wsp:val=&quot;33FB393B&quot;/&gt;&lt;wsp:rsid wsp:val=&quot;33FB7DDF&quot;/&gt;&lt;wsp:rsid wsp:val=&quot;33FD3B57&quot;/&gt;&lt;wsp:rsid wsp:val=&quot;33FE2F6A&quot;/&gt;&lt;wsp:rsid wsp:val=&quot;33FE342B&quot;/&gt;&lt;wsp:rsid wsp:val=&quot;34000F51&quot;/&gt;&lt;wsp:rsid wsp:val=&quot;34001345&quot;/&gt;&lt;wsp:rsid wsp:val=&quot;34034EE6&quot;/&gt;&lt;wsp:rsid wsp:val=&quot;34043352&quot;/&gt;&lt;wsp:rsid wsp:val=&quot;34044EE1&quot;/&gt;&lt;wsp:rsid wsp:val=&quot;34052A0C&quot;/&gt;&lt;wsp:rsid wsp:val=&quot;340547BA&quot;/&gt;&lt;wsp:rsid wsp:val=&quot;34060532&quot;/&gt;&lt;wsp:rsid wsp:val=&quot;34076784&quot;/&gt;&lt;wsp:rsid wsp:val=&quot;34081665&quot;/&gt;&lt;wsp:rsid wsp:val=&quot;340A0022&quot;/&gt;&lt;wsp:rsid wsp:val=&quot;340A1DD0&quot;/&gt;&lt;wsp:rsid wsp:val=&quot;340A6274&quot;/&gt;&lt;wsp:rsid wsp:val=&quot;340B78F6&quot;/&gt;&lt;wsp:rsid wsp:val=&quot;340E07E5&quot;/&gt;&lt;wsp:rsid wsp:val=&quot;340F388A&quot;/&gt;&lt;wsp:rsid wsp:val=&quot;340F5638&quot;/&gt;&lt;wsp:rsid wsp:val=&quot;34104BC5&quot;/&gt;&lt;wsp:rsid wsp:val=&quot;34110C26&quot;/&gt;&lt;wsp:rsid wsp:val=&quot;3411315F&quot;/&gt;&lt;wsp:rsid wsp:val=&quot;34117602&quot;/&gt;&lt;wsp:rsid wsp:val=&quot;34122977&quot;/&gt;&lt;wsp:rsid wsp:val=&quot;34140EA1&quot;/&gt;&lt;wsp:rsid wsp:val=&quot;34173357&quot;/&gt;&lt;wsp:rsid wsp:val=&quot;34180991&quot;/&gt;&lt;wsp:rsid wsp:val=&quot;34183C16&quot;/&gt;&lt;wsp:rsid wsp:val=&quot;341964B7&quot;/&gt;&lt;wsp:rsid wsp:val=&quot;341A0848&quot;/&gt;&lt;wsp:rsid wsp:val=&quot;341A39D8&quot;/&gt;&lt;wsp:rsid wsp:val=&quot;341D6847&quot;/&gt;&lt;wsp:rsid wsp:val=&quot;341E1D1F&quot;/&gt;&lt;wsp:rsid wsp:val=&quot;341F4EED&quot;/&gt;&lt;wsp:rsid wsp:val=&quot;342033A2&quot;/&gt;&lt;wsp:rsid wsp:val=&quot;34204CF4&quot;/&gt;&lt;wsp:rsid wsp:val=&quot;342127BC&quot;/&gt;&lt;wsp:rsid wsp:val=&quot;342310E4&quot;/&gt;&lt;wsp:rsid wsp:val=&quot;34235B30&quot;/&gt;&lt;wsp:rsid wsp:val=&quot;34235BF7&quot;/&gt;&lt;wsp:rsid wsp:val=&quot;342509B8&quot;/&gt;&lt;wsp:rsid wsp:val=&quot;34254E5C&quot;/&gt;&lt;wsp:rsid wsp:val=&quot;3425595B&quot;/&gt;&lt;wsp:rsid wsp:val=&quot;34270BD4&quot;/&gt;&lt;wsp:rsid wsp:val=&quot;342819A5&quot;/&gt;&lt;wsp:rsid wsp:val=&quot;342829A7&quot;/&gt;&lt;wsp:rsid wsp:val=&quot;3428494C&quot;/&gt;&lt;wsp:rsid wsp:val=&quot;3428577F&quot;/&gt;&lt;wsp:rsid wsp:val=&quot;342A2472&quot;/&gt;&lt;wsp:rsid wsp:val=&quot;342A4220&quot;/&gt;&lt;wsp:rsid wsp:val=&quot;342B407E&quot;/&gt;&lt;wsp:rsid wsp:val=&quot;342B71E2&quot;/&gt;&lt;wsp:rsid wsp:val=&quot;342C0EC1&quot;/&gt;&lt;wsp:rsid wsp:val=&quot;342D3D10&quot;/&gt;&lt;wsp:rsid wsp:val=&quot;342D5ABF&quot;/&gt;&lt;wsp:rsid wsp:val=&quot;342D6CBE&quot;/&gt;&lt;wsp:rsid wsp:val=&quot;34311A53&quot;/&gt;&lt;wsp:rsid wsp:val=&quot;34313801&quot;/&gt;&lt;wsp:rsid wsp:val=&quot;34321327&quot;/&gt;&lt;wsp:rsid wsp:val=&quot;34360E17&quot;/&gt;&lt;wsp:rsid wsp:val=&quot;34362BC5&quot;/&gt;&lt;wsp:rsid wsp:val=&quot;343668E0&quot;/&gt;&lt;wsp:rsid wsp:val=&quot;34390907&quot;/&gt;&lt;wsp:rsid wsp:val=&quot;343B467F&quot;/&gt;&lt;wsp:rsid wsp:val=&quot;343B642D&quot;/&gt;&lt;wsp:rsid wsp:val=&quot;343B6886&quot;/&gt;&lt;wsp:rsid wsp:val=&quot;343C1A77&quot;/&gt;&lt;wsp:rsid wsp:val=&quot;343C4012&quot;/&gt;&lt;wsp:rsid wsp:val=&quot;343D21A6&quot;/&gt;&lt;wsp:rsid wsp:val=&quot;343E1A7A&quot;/&gt;&lt;wsp:rsid wsp:val=&quot;343F3CA4&quot;/&gt;&lt;wsp:rsid wsp:val=&quot;34433534&quot;/&gt;&lt;wsp:rsid wsp:val=&quot;3445105A&quot;/&gt;&lt;wsp:rsid wsp:val=&quot;34474DD2&quot;/&gt;&lt;wsp:rsid wsp:val=&quot;34476B80&quot;/&gt;&lt;wsp:rsid wsp:val=&quot;34480B4A&quot;/&gt;&lt;wsp:rsid wsp:val=&quot;344828F8&quot;/&gt;&lt;wsp:rsid wsp:val=&quot;34494D56&quot;/&gt;&lt;wsp:rsid wsp:val=&quot;344A2B14&quot;/&gt;&lt;wsp:rsid wsp:val=&quot;344C063B&quot;/&gt;&lt;wsp:rsid wsp:val=&quot;344D3C74&quot;/&gt;&lt;wsp:rsid wsp:val=&quot;344D6161&quot;/&gt;&lt;wsp:rsid wsp:val=&quot;344D6FBB&quot;/&gt;&lt;wsp:rsid wsp:val=&quot;344E43B3&quot;/&gt;&lt;wsp:rsid wsp:val=&quot;344F012B&quot;/&gt;&lt;wsp:rsid wsp:val=&quot;344F0BC8&quot;/&gt;&lt;wsp:rsid wsp:val=&quot;344F3C87&quot;/&gt;&lt;wsp:rsid wsp:val=&quot;34513182&quot;/&gt;&lt;wsp:rsid wsp:val=&quot;345179FF&quot;/&gt;&lt;wsp:rsid wsp:val=&quot;34525525&quot;/&gt;&lt;wsp:rsid wsp:val=&quot;345319C9&quot;/&gt;&lt;wsp:rsid wsp:val=&quot;34533777&quot;/&gt;&lt;wsp:rsid wsp:val=&quot;34544A3A&quot;/&gt;&lt;wsp:rsid wsp:val=&quot;34576638&quot;/&gt;&lt;wsp:rsid wsp:val=&quot;34592D57&quot;/&gt;&lt;wsp:rsid wsp:val=&quot;345968B4&quot;/&gt;&lt;wsp:rsid wsp:val=&quot;345A624E&quot;/&gt;&lt;wsp:rsid wsp:val=&quot;345B6AD0&quot;/&gt;&lt;wsp:rsid wsp:val=&quot;345D3948&quot;/&gt;&lt;wsp:rsid wsp:val=&quot;345E3ECA&quot;/&gt;&lt;wsp:rsid wsp:val=&quot;34607C42&quot;/&gt;&lt;wsp:rsid wsp:val=&quot;3461254A&quot;/&gt;&lt;wsp:rsid wsp:val=&quot;34613160&quot;/&gt;&lt;wsp:rsid wsp:val=&quot;34621C0C&quot;/&gt;&lt;wsp:rsid wsp:val=&quot;346239BA&quot;/&gt;&lt;wsp:rsid wsp:val=&quot;34627E5E&quot;/&gt;&lt;wsp:rsid wsp:val=&quot;3464452F&quot;/&gt;&lt;wsp:rsid wsp:val=&quot;34645984&quot;/&gt;&lt;wsp:rsid wsp:val=&quot;34655258&quot;/&gt;&lt;wsp:rsid wsp:val=&quot;34670FD0&quot;/&gt;&lt;wsp:rsid wsp:val=&quot;34675474&quot;/&gt;&lt;wsp:rsid wsp:val=&quot;34677222&quot;/&gt;&lt;wsp:rsid wsp:val=&quot;34684D49&quot;/&gt;&lt;wsp:rsid wsp:val=&quot;346A0AC1&quot;/&gt;&lt;wsp:rsid wsp:val=&quot;346B6CBF&quot;/&gt;&lt;wsp:rsid wsp:val=&quot;346C4839&quot;/&gt;&lt;wsp:rsid wsp:val=&quot;346E05B1&quot;/&gt;&lt;wsp:rsid wsp:val=&quot;346E6803&quot;/&gt;&lt;wsp:rsid wsp:val=&quot;34711E4F&quot;/&gt;&lt;wsp:rsid wsp:val=&quot;34714439&quot;/&gt;&lt;wsp:rsid wsp:val=&quot;34717457&quot;/&gt;&lt;wsp:rsid wsp:val=&quot;347559B3&quot;/&gt;&lt;wsp:rsid wsp:val=&quot;34763D72&quot;/&gt;&lt;wsp:rsid wsp:val=&quot;347676D7&quot;/&gt;&lt;wsp:rsid wsp:val=&quot;347831DE&quot;/&gt;&lt;wsp:rsid wsp:val=&quot;34790D04&quot;/&gt;&lt;wsp:rsid wsp:val=&quot;347B4A7C&quot;/&gt;&lt;wsp:rsid wsp:val=&quot;347D25A2&quot;/&gt;&lt;wsp:rsid wsp:val=&quot;34806536&quot;/&gt;&lt;wsp:rsid wsp:val=&quot;3482405C&quot;/&gt;&lt;wsp:rsid wsp:val=&quot;34853B4C&quot;/&gt;&lt;wsp:rsid wsp:val=&quot;348558FB&quot;/&gt;&lt;wsp:rsid wsp:val=&quot;34863867&quot;/&gt;&lt;wsp:rsid wsp:val=&quot;34872C8E&quot;/&gt;&lt;wsp:rsid wsp:val=&quot;34880F47&quot;/&gt;&lt;wsp:rsid wsp:val=&quot;34894B89&quot;/&gt;&lt;wsp:rsid wsp:val=&quot;348A2F11&quot;/&gt;&lt;wsp:rsid wsp:val=&quot;348A4CBF&quot;/&gt;&lt;wsp:rsid wsp:val=&quot;348A615B&quot;/&gt;&lt;wsp:rsid wsp:val=&quot;348C4BEA&quot;/&gt;&lt;wsp:rsid wsp:val=&quot;348C4EDB&quot;/&gt;&lt;wsp:rsid wsp:val=&quot;348C6C89&quot;/&gt;&lt;wsp:rsid wsp:val=&quot;348E2A01&quot;/&gt;&lt;wsp:rsid wsp:val=&quot;348F22D5&quot;/&gt;&lt;wsp:rsid wsp:val=&quot;3490732E&quot;/&gt;&lt;wsp:rsid wsp:val=&quot;34911E0A&quot;/&gt;&lt;wsp:rsid wsp:val=&quot;3491429F&quot;/&gt;&lt;wsp:rsid wsp:val=&quot;3492329A&quot;/&gt;&lt;wsp:rsid wsp:val=&quot;34931DC5&quot;/&gt;&lt;wsp:rsid wsp:val=&quot;34945B3E&quot;/&gt;&lt;wsp:rsid wsp:val=&quot;349670D1&quot;/&gt;&lt;wsp:rsid wsp:val=&quot;34983880&quot;/&gt;&lt;wsp:rsid wsp:val=&quot;3498562E&quot;/&gt;&lt;wsp:rsid wsp:val=&quot;349A13A6&quot;/&gt;&lt;wsp:rsid wsp:val=&quot;349A586E&quot;/&gt;&lt;wsp:rsid wsp:val=&quot;349B3370&quot;/&gt;&lt;wsp:rsid wsp:val=&quot;349B6ECC&quot;/&gt;&lt;wsp:rsid wsp:val=&quot;349D2C44&quot;/&gt;&lt;wsp:rsid wsp:val=&quot;349D49F2&quot;/&gt;&lt;wsp:rsid wsp:val=&quot;349E076A&quot;/&gt;&lt;wsp:rsid wsp:val=&quot;349E64E4&quot;/&gt;&lt;wsp:rsid wsp:val=&quot;34A00986&quot;/&gt;&lt;wsp:rsid wsp:val=&quot;34A044E2&quot;/&gt;&lt;wsp:rsid wsp:val=&quot;34A23D01&quot;/&gt;&lt;wsp:rsid wsp:val=&quot;34A2408A&quot;/&gt;&lt;wsp:rsid wsp:val=&quot;34A35D81&quot;/&gt;&lt;wsp:rsid wsp:val=&quot;34A405FC&quot;/&gt;&lt;wsp:rsid wsp:val=&quot;34A43FD3&quot;/&gt;&lt;wsp:rsid wsp:val=&quot;34A51AF9&quot;/&gt;&lt;wsp:rsid wsp:val=&quot;34A55F9D&quot;/&gt;&lt;wsp:rsid wsp:val=&quot;34A6665F&quot;/&gt;&lt;wsp:rsid wsp:val=&quot;34AA5361&quot;/&gt;&lt;wsp:rsid wsp:val=&quot;34AB35B3&quot;/&gt;&lt;wsp:rsid wsp:val=&quot;34AC10D9&quot;/&gt;&lt;wsp:rsid wsp:val=&quot;34AC2E87&quot;/&gt;&lt;wsp:rsid wsp:val=&quot;34AE2A73&quot;/&gt;&lt;wsp:rsid wsp:val=&quot;34AF4725&quot;/&gt;&lt;wsp:rsid wsp:val=&quot;34B04487&quot;/&gt;&lt;wsp:rsid wsp:val=&quot;34B166F0&quot;/&gt;&lt;wsp:rsid wsp:val=&quot;34B26104&quot;/&gt;&lt;wsp:rsid wsp:val=&quot;34B32468&quot;/&gt;&lt;wsp:rsid wsp:val=&quot;34B47F8E&quot;/&gt;&lt;wsp:rsid wsp:val=&quot;34B561E0&quot;/&gt;&lt;wsp:rsid wsp:val=&quot;34B61205&quot;/&gt;&lt;wsp:rsid wsp:val=&quot;34B8182C&quot;/&gt;&lt;wsp:rsid wsp:val=&quot;34B87A7E&quot;/&gt;&lt;wsp:rsid wsp:val=&quot;34BA1A48&quot;/&gt;&lt;wsp:rsid wsp:val=&quot;34BA2757&quot;/&gt;&lt;wsp:rsid wsp:val=&quot;34BC4A49&quot;/&gt;&lt;wsp:rsid wsp:val=&quot;34BD32E6&quot;/&gt;&lt;wsp:rsid wsp:val=&quot;34BD62A8&quot;/&gt;&lt;wsp:rsid wsp:val=&quot;34BE0E27&quot;/&gt;&lt;wsp:rsid wsp:val=&quot;34C12DD7&quot;/&gt;&lt;wsp:rsid wsp:val=&quot;34C226AB&quot;/&gt;&lt;wsp:rsid wsp:val=&quot;34C27960&quot;/&gt;&lt;wsp:rsid wsp:val=&quot;34C401D1&quot;/&gt;&lt;wsp:rsid wsp:val=&quot;34C44675&quot;/&gt;&lt;wsp:rsid wsp:val=&quot;34C46423&quot;/&gt;&lt;wsp:rsid wsp:val=&quot;34C56129&quot;/&gt;&lt;wsp:rsid wsp:val=&quot;34C6218A&quot;/&gt;&lt;wsp:rsid wsp:val=&quot;34CA0B0B&quot;/&gt;&lt;wsp:rsid wsp:val=&quot;34CB5A03&quot;/&gt;&lt;wsp:rsid wsp:val=&quot;34CC4428&quot;/&gt;&lt;wsp:rsid wsp:val=&quot;34CC52D7&quot;/&gt;&lt;wsp:rsid wsp:val=&quot;34CE091C&quot;/&gt;&lt;wsp:rsid wsp:val=&quot;34CE1050&quot;/&gt;&lt;wsp:rsid wsp:val=&quot;34CE2DFE&quot;/&gt;&lt;wsp:rsid wsp:val=&quot;34CE72A2&quot;/&gt;&lt;wsp:rsid wsp:val=&quot;34D10B40&quot;/&gt;&lt;wsp:rsid wsp:val=&quot;34D32B0A&quot;/&gt;&lt;wsp:rsid wsp:val=&quot;34D36666&quot;/&gt;&lt;wsp:rsid wsp:val=&quot;34D412B5&quot;/&gt;&lt;wsp:rsid wsp:val=&quot;34D67F04&quot;/&gt;&lt;wsp:rsid wsp:val=&quot;34D81ECE&quot;/&gt;&lt;wsp:rsid wsp:val=&quot;34D97104&quot;/&gt;&lt;wsp:rsid wsp:val=&quot;34DA3E98&quot;/&gt;&lt;wsp:rsid wsp:val=&quot;34DA5C46&quot;/&gt;&lt;wsp:rsid wsp:val=&quot;34DC2F20&quot;/&gt;&lt;wsp:rsid wsp:val=&quot;34DD74E5&quot;/&gt;&lt;wsp:rsid wsp:val=&quot;34DF500B&quot;/&gt;&lt;wsp:rsid wsp:val=&quot;34E00D83&quot;/&gt;&lt;wsp:rsid wsp:val=&quot;34E15813&quot;/&gt;&lt;wsp:rsid wsp:val=&quot;34E22105&quot;/&gt;&lt;wsp:rsid wsp:val=&quot;34E22D4D&quot;/&gt;&lt;wsp:rsid wsp:val=&quot;34E23F87&quot;/&gt;&lt;wsp:rsid wsp:val=&quot;34E40873&quot;/&gt;&lt;wsp:rsid wsp:val=&quot;34E46AC5&quot;/&gt;&lt;wsp:rsid wsp:val=&quot;34E940DB&quot;/&gt;&lt;wsp:rsid wsp:val=&quot;34EA39B0&quot;/&gt;&lt;wsp:rsid wsp:val=&quot;34EB1585&quot;/&gt;&lt;wsp:rsid wsp:val=&quot;34EB1C02&quot;/&gt;&lt;wsp:rsid wsp:val=&quot;34EB7E44&quot;/&gt;&lt;wsp:rsid wsp:val=&quot;34EC3231&quot;/&gt;&lt;wsp:rsid wsp:val=&quot;34EC3BCC&quot;/&gt;&lt;wsp:rsid wsp:val=&quot;34EC7728&quot;/&gt;&lt;wsp:rsid wsp:val=&quot;34EE7F06&quot;/&gt;&lt;wsp:rsid wsp:val=&quot;34F01FCB&quot;/&gt;&lt;wsp:rsid wsp:val=&quot;34F14D3E&quot;/&gt;&lt;wsp:rsid wsp:val=&quot;34F27F15&quot;/&gt;&lt;wsp:rsid wsp:val=&quot;34F32864&quot;/&gt;&lt;wsp:rsid wsp:val=&quot;34F32E56&quot;/&gt;&lt;wsp:rsid wsp:val=&quot;34F462AA&quot;/&gt;&lt;wsp:rsid wsp:val=&quot;34F5482E&quot;/&gt;&lt;wsp:rsid wsp:val=&quot;34F74B86&quot;/&gt;&lt;wsp:rsid wsp:val=&quot;34F767F8&quot;/&gt;&lt;wsp:rsid wsp:val=&quot;34FA1E45&quot;/&gt;&lt;wsp:rsid wsp:val=&quot;34FB796B&quot;/&gt;&lt;wsp:rsid wsp:val=&quot;34FD7B87&quot;/&gt;&lt;wsp:rsid wsp:val=&quot;34FF38FF&quot;/&gt;&lt;wsp:rsid wsp:val=&quot;350031D3&quot;/&gt;&lt;wsp:rsid wsp:val=&quot;35011425&quot;/&gt;&lt;wsp:rsid wsp:val=&quot;35026F4B&quot;/&gt;&lt;wsp:rsid wsp:val=&quot;35042CC3&quot;/&gt;&lt;wsp:rsid wsp:val=&quot;35066A3B&quot;/&gt;&lt;wsp:rsid wsp:val=&quot;35076034&quot;/&gt;&lt;wsp:rsid wsp:val=&quot;35085F28&quot;/&gt;&lt;wsp:rsid wsp:val=&quot;350A6CA2&quot;/&gt;&lt;wsp:rsid wsp:val=&quot;350B22A4&quot;/&gt;&lt;wsp:rsid wsp:val=&quot;350E58F0&quot;/&gt;&lt;wsp:rsid wsp:val=&quot;350E769E&quot;/&gt;&lt;wsp:rsid wsp:val=&quot;35101D41&quot;/&gt;&lt;wsp:rsid wsp:val=&quot;351078BA&quot;/&gt;&lt;wsp:rsid wsp:val=&quot;351142FA&quot;/&gt;&lt;wsp:rsid wsp:val=&quot;35125950&quot;/&gt;&lt;wsp:rsid wsp:val=&quot;35151850&quot;/&gt;&lt;wsp:rsid wsp:val=&quot;35154ED0&quot;/&gt;&lt;wsp:rsid wsp:val=&quot;35166D02&quot;/&gt;&lt;wsp:rsid wsp:val=&quot;351729F7&quot;/&gt;&lt;wsp:rsid wsp:val=&quot;3518051D&quot;/&gt;&lt;wsp:rsid wsp:val=&quot;351849C1&quot;/&gt;&lt;wsp:rsid wsp:val=&quot;351A24E7&quot;/&gt;&lt;wsp:rsid wsp:val=&quot;351A4352&quot;/&gt;&lt;wsp:rsid wsp:val=&quot;351A5A93&quot;/&gt;&lt;wsp:rsid wsp:val=&quot;351B6F23&quot;/&gt;&lt;wsp:rsid wsp:val=&quot;351C03B3&quot;/&gt;&lt;wsp:rsid wsp:val=&quot;351C625F&quot;/&gt;&lt;wsp:rsid wsp:val=&quot;351E44B9&quot;/&gt;&lt;wsp:rsid wsp:val=&quot;351F18AB&quot;/&gt;&lt;wsp:rsid wsp:val=&quot;351F7AFD&quot;/&gt;&lt;wsp:rsid wsp:val=&quot;35203BE3&quot;/&gt;&lt;wsp:rsid wsp:val=&quot;35230286&quot;/&gt;&lt;wsp:rsid wsp:val=&quot;352549E8&quot;/&gt;&lt;wsp:rsid wsp:val=&quot;35264036&quot;/&gt;&lt;wsp:rsid wsp:val=&quot;35264236&quot;/&gt;&lt;wsp:rsid wsp:val=&quot;35270760&quot;/&gt;&lt;wsp:rsid wsp:val=&quot;352A3E47&quot;/&gt;&lt;wsp:rsid wsp:val=&quot;352A5588&quot;/&gt;&lt;wsp:rsid wsp:val=&quot;352B0250&quot;/&gt;&lt;wsp:rsid wsp:val=&quot;352B04F3&quot;/&gt;&lt;wsp:rsid wsp:val=&quot;352B70C1&quot;/&gt;&lt;wsp:rsid wsp:val=&quot;352C5D76&quot;/&gt;&lt;wsp:rsid wsp:val=&quot;35303AB8&quot;/&gt;&lt;wsp:rsid wsp:val=&quot;35307911&quot;/&gt;&lt;wsp:rsid wsp:val=&quot;35313D1A&quot;/&gt;&lt;wsp:rsid wsp:val=&quot;35374790&quot;/&gt;&lt;wsp:rsid wsp:val=&quot;35382942&quot;/&gt;&lt;wsp:rsid wsp:val=&quot;353978DB&quot;/&gt;&lt;wsp:rsid wsp:val=&quot;353A0493&quot;/&gt;&lt;wsp:rsid wsp:val=&quot;353A3B27&quot;/&gt;&lt;wsp:rsid wsp:val=&quot;353A66E5&quot;/&gt;&lt;wsp:rsid wsp:val=&quot;353A782C&quot;/&gt;&lt;wsp:rsid wsp:val=&quot;353C06AF&quot;/&gt;&lt;wsp:rsid wsp:val=&quot;353F42E9&quot;/&gt;&lt;wsp:rsid wsp:val=&quot;3542559A&quot;/&gt;&lt;wsp:rsid wsp:val=&quot;3543355E&quot;/&gt;&lt;wsp:rsid wsp:val=&quot;35447E07&quot;/&gt;&lt;wsp:rsid wsp:val=&quot;3545606E&quot;/&gt;&lt;wsp:rsid wsp:val=&quot;35457D22&quot;/&gt;&lt;wsp:rsid wsp:val=&quot;35470E02&quot;/&gt;&lt;wsp:rsid wsp:val=&quot;35492DCC&quot;/&gt;&lt;wsp:rsid wsp:val=&quot;35494B7A&quot;/&gt;&lt;wsp:rsid wsp:val=&quot;35496928&quot;/&gt;&lt;wsp:rsid wsp:val=&quot;354B5DA0&quot;/&gt;&lt;wsp:rsid wsp:val=&quot;354E2190&quot;/&gt;&lt;wsp:rsid wsp:val=&quot;354F21C3&quot;/&gt;&lt;wsp:rsid wsp:val=&quot;35527ED3&quot;/&gt;&lt;wsp:rsid wsp:val=&quot;35531555&quot;/&gt;&lt;wsp:rsid wsp:val=&quot;355359F9&quot;/&gt;&lt;wsp:rsid wsp:val=&quot;35560E8C&quot;/&gt;&lt;wsp:rsid wsp:val=&quot;35572E64&quot;/&gt;&lt;wsp:rsid wsp:val=&quot;355754E9&quot;/&gt;&lt;wsp:rsid wsp:val=&quot;35577297&quot;/&gt;&lt;wsp:rsid wsp:val=&quot;355808F5&quot;/&gt;&lt;wsp:rsid wsp:val=&quot;355A0B35&quot;/&gt;&lt;wsp:rsid wsp:val=&quot;355B7EB7&quot;/&gt;&lt;wsp:rsid wsp:val=&quot;355C665B&quot;/&gt;&lt;wsp:rsid wsp:val=&quot;355D4A8E&quot;/&gt;&lt;wsp:rsid wsp:val=&quot;355E0625&quot;/&gt;&lt;wsp:rsid wsp:val=&quot;355E12E1&quot;/&gt;&lt;wsp:rsid wsp:val=&quot;355E7296&quot;/&gt;&lt;wsp:rsid wsp:val=&quot;355F614C&quot;/&gt;&lt;wsp:rsid wsp:val=&quot;355F7EFA&quot;/&gt;&lt;wsp:rsid wsp:val=&quot;3562552D&quot;/&gt;&lt;wsp:rsid wsp:val=&quot;356279A2&quot;/&gt;&lt;wsp:rsid wsp:val=&quot;35633E8E&quot;/&gt;&lt;wsp:rsid wsp:val=&quot;35661288&quot;/&gt;&lt;wsp:rsid wsp:val=&quot;3566572C&quot;/&gt;&lt;wsp:rsid wsp:val=&quot;35675000&quot;/&gt;&lt;wsp:rsid wsp:val=&quot;356822B0&quot;/&gt;&lt;wsp:rsid wsp:val=&quot;35683252&quot;/&gt;&lt;wsp:rsid wsp:val=&quot;356833E9&quot;/&gt;&lt;wsp:rsid wsp:val=&quot;356B689E&quot;/&gt;&lt;wsp:rsid wsp:val=&quot;356C2617&quot;/&gt;&lt;wsp:rsid wsp:val=&quot;356D0868&quot;/&gt;&lt;wsp:rsid wsp:val=&quot;356D6ABA&quot;/&gt;&lt;wsp:rsid wsp:val=&quot;356E2833&quot;/&gt;&lt;wsp:rsid wsp:val=&quot;356E45E1&quot;/&gt;&lt;wsp:rsid wsp:val=&quot;356E638F&quot;/&gt;&lt;wsp:rsid wsp:val=&quot;35704BDF&quot;/&gt;&lt;wsp:rsid wsp:val=&quot;357339A5&quot;/&gt;&lt;wsp:rsid wsp:val=&quot;35773495&quot;/&gt;&lt;wsp:rsid wsp:val=&quot;35777939&quot;/&gt;&lt;wsp:rsid wsp:val=&quot;35792986&quot;/&gt;&lt;wsp:rsid wsp:val=&quot;35795557&quot;/&gt;&lt;wsp:rsid wsp:val=&quot;35796F70&quot;/&gt;&lt;wsp:rsid wsp:val=&quot;357C36EF&quot;/&gt;&lt;wsp:rsid wsp:val=&quot;357C4F4F&quot;/&gt;&lt;wsp:rsid wsp:val=&quot;357C6CFE&quot;/&gt;&lt;wsp:rsid wsp:val=&quot;357D4824&quot;/&gt;&lt;wsp:rsid wsp:val=&quot;357F059C&quot;/&gt;&lt;wsp:rsid wsp:val=&quot;357F234A&quot;/&gt;&lt;wsp:rsid wsp:val=&quot;35815504&quot;/&gt;&lt;wsp:rsid wsp:val=&quot;35845BB2&quot;/&gt;&lt;wsp:rsid wsp:val=&quot;3586192A&quot;/&gt;&lt;wsp:rsid wsp:val=&quot;358833D3&quot;/&gt;&lt;wsp:rsid wsp:val=&quot;3588605C&quot;/&gt;&lt;wsp:rsid wsp:val=&quot;358A766C&quot;/&gt;&lt;wsp:rsid wsp:val=&quot;358B6DBD&quot;/&gt;&lt;wsp:rsid wsp:val=&quot;358C5FA8&quot;/&gt;&lt;wsp:rsid wsp:val=&quot;358E07DF&quot;/&gt;&lt;wsp:rsid wsp:val=&quot;358F1B65&quot;/&gt;&lt;wsp:rsid wsp:val=&quot;358F4C83&quot;/&gt;&lt;wsp:rsid wsp:val=&quot;359009FB&quot;/&gt;&lt;wsp:rsid wsp:val=&quot;35906305&quot;/&gt;&lt;wsp:rsid wsp:val=&quot;359202CF&quot;/&gt;&lt;wsp:rsid wsp:val=&quot;35942299&quot;/&gt;&lt;wsp:rsid wsp:val=&quot;35977693&quot;/&gt;&lt;wsp:rsid wsp:val=&quot;359823FA&quot;/&gt;&lt;wsp:rsid wsp:val=&quot;3598340C&quot;/&gt;&lt;wsp:rsid wsp:val=&quot;359A3628&quot;/&gt;&lt;wsp:rsid wsp:val=&quot;359A53D6&quot;/&gt;&lt;wsp:rsid wsp:val=&quot;359A7184&quot;/&gt;&lt;wsp:rsid wsp:val=&quot;359D6D3A&quot;/&gt;&lt;wsp:rsid wsp:val=&quot;359E4EC6&quot;/&gt;&lt;wsp:rsid wsp:val=&quot;359E55F9&quot;/&gt;&lt;wsp:rsid wsp:val=&quot;359E6C74&quot;/&gt;&lt;wsp:rsid wsp:val=&quot;35A10512&quot;/&gt;&lt;wsp:rsid wsp:val=&quot;35A324DC&quot;/&gt;&lt;wsp:rsid wsp:val=&quot;35A46254&quot;/&gt;&lt;wsp:rsid wsp:val=&quot;35A61FCC&quot;/&gt;&lt;wsp:rsid wsp:val=&quot;35A65B28&quot;/&gt;&lt;wsp:rsid wsp:val=&quot;35A71D1B&quot;/&gt;&lt;wsp:rsid wsp:val=&quot;35A7240B&quot;/&gt;&lt;wsp:rsid wsp:val=&quot;35A77DEC&quot;/&gt;&lt;wsp:rsid wsp:val=&quot;35A818A1&quot;/&gt;&lt;wsp:rsid wsp:val=&quot;35A973C7&quot;/&gt;&lt;wsp:rsid wsp:val=&quot;35AC2828&quot;/&gt;&lt;wsp:rsid wsp:val=&quot;35AE2B8C&quot;/&gt;&lt;wsp:rsid wsp:val=&quot;35AE68B5&quot;/&gt;&lt;wsp:rsid wsp:val=&quot;35B45823&quot;/&gt;&lt;wsp:rsid wsp:val=&quot;35B46497&quot;/&gt;&lt;wsp:rsid wsp:val=&quot;35B50461&quot;/&gt;&lt;wsp:rsid wsp:val=&quot;35B53880&quot;/&gt;&lt;wsp:rsid wsp:val=&quot;35B778E1&quot;/&gt;&lt;wsp:rsid wsp:val=&quot;35B93AAE&quot;/&gt;&lt;wsp:rsid wsp:val=&quot;35B9585C&quot;/&gt;&lt;wsp:rsid wsp:val=&quot;35BB1907&quot;/&gt;&lt;wsp:rsid wsp:val=&quot;35BC359E&quot;/&gt;&lt;wsp:rsid wsp:val=&quot;35BC534C&quot;/&gt;&lt;wsp:rsid wsp:val=&quot;35BF6BEA&quot;/&gt;&lt;wsp:rsid wsp:val=&quot;35C15DF1&quot;/&gt;&lt;wsp:rsid wsp:val=&quot;35C16E06&quot;/&gt;&lt;wsp:rsid wsp:val=&quot;35C30488&quot;/&gt;&lt;wsp:rsid wsp:val=&quot;35C42453&quot;/&gt;&lt;wsp:rsid wsp:val=&quot;35C44201&quot;/&gt;&lt;wsp:rsid wsp:val=&quot;35C6441D&quot;/&gt;&lt;wsp:rsid wsp:val=&quot;35C80195&quot;/&gt;&lt;wsp:rsid wsp:val=&quot;35C80866&quot;/&gt;&lt;wsp:rsid wsp:val=&quot;35C96E26&quot;/&gt;&lt;wsp:rsid wsp:val=&quot;35CA5CBB&quot;/&gt;&lt;wsp:rsid wsp:val=&quot;35CB1ADD&quot;/&gt;&lt;wsp:rsid wsp:val=&quot;35CC3248&quot;/&gt;&lt;wsp:rsid wsp:val=&quot;35CD57AB&quot;/&gt;&lt;wsp:rsid wsp:val=&quot;35CE2F97&quot;/&gt;&lt;wsp:rsid wsp:val=&quot;35D02BA5&quot;/&gt;&lt;wsp:rsid wsp:val=&quot;35D244E9&quot;/&gt;&lt;wsp:rsid wsp:val=&quot;35D40299&quot;/&gt;&lt;wsp:rsid wsp:val=&quot;35D408E8&quot;/&gt;&lt;wsp:rsid wsp:val=&quot;35D42696&quot;/&gt;&lt;wsp:rsid wsp:val=&quot;35D45AC1&quot;/&gt;&lt;wsp:rsid wsp:val=&quot;35D46C6E&quot;/&gt;&lt;wsp:rsid wsp:val=&quot;35D54660&quot;/&gt;&lt;wsp:rsid wsp:val=&quot;35D5640E&quot;/&gt;&lt;wsp:rsid wsp:val=&quot;35D703D8&quot;/&gt;&lt;wsp:rsid wsp:val=&quot;35D73F34&quot;/&gt;&lt;wsp:rsid wsp:val=&quot;35D77BA3&quot;/&gt;&lt;wsp:rsid wsp:val=&quot;35D8035B&quot;/&gt;&lt;wsp:rsid wsp:val=&quot;35D94150&quot;/&gt;&lt;wsp:rsid wsp:val=&quot;35DC59EE&quot;/&gt;&lt;wsp:rsid wsp:val=&quot;35DC779C&quot;/&gt;&lt;wsp:rsid wsp:val=&quot;35DF717A&quot;/&gt;&lt;wsp:rsid wsp:val=&quot;35E0728C&quot;/&gt;&lt;wsp:rsid wsp:val=&quot;35E07D68&quot;/&gt;&lt;wsp:rsid wsp:val=&quot;35E13004&quot;/&gt;&lt;wsp:rsid wsp:val=&quot;35E21E89&quot;/&gt;&lt;wsp:rsid wsp:val=&quot;35E228B3&quot;/&gt;&lt;wsp:rsid wsp:val=&quot;35E25ABC&quot;/&gt;&lt;wsp:rsid wsp:val=&quot;35E34738&quot;/&gt;&lt;wsp:rsid wsp:val=&quot;35E36D7D&quot;/&gt;&lt;wsp:rsid wsp:val=&quot;35E62D20&quot;/&gt;&lt;wsp:rsid wsp:val=&quot;35E825E5&quot;/&gt;&lt;wsp:rsid wsp:val=&quot;35E84393&quot;/&gt;&lt;wsp:rsid wsp:val=&quot;35EA664E&quot;/&gt;&lt;wsp:rsid wsp:val=&quot;35EA79B1&quot;/&gt;&lt;wsp:rsid wsp:val=&quot;35EB5C31&quot;/&gt;&lt;wsp:rsid wsp:val=&quot;35EB7B67&quot;/&gt;&lt;wsp:rsid wsp:val=&quot;35ED19A9&quot;/&gt;&lt;wsp:rsid wsp:val=&quot;35ED7BFB&quot;/&gt;&lt;wsp:rsid wsp:val=&quot;35EF3A10&quot;/&gt;&lt;wsp:rsid wsp:val=&quot;35EF5721&quot;/&gt;&lt;wsp:rsid wsp:val=&quot;35F434A9&quot;/&gt;&lt;wsp:rsid wsp:val=&quot;35F5085E&quot;/&gt;&lt;wsp:rsid wsp:val=&quot;35F54B06&quot;/&gt;&lt;wsp:rsid wsp:val=&quot;35F745D6&quot;/&gt;&lt;wsp:rsid wsp:val=&quot;35F80DD4&quot;/&gt;&lt;wsp:rsid wsp:val=&quot;35F9034E&quot;/&gt;&lt;wsp:rsid wsp:val=&quot;35F90AD9&quot;/&gt;&lt;wsp:rsid wsp:val=&quot;35F920FC&quot;/&gt;&lt;wsp:rsid wsp:val=&quot;35F93D60&quot;/&gt;&lt;wsp:rsid wsp:val=&quot;35F965A0&quot;/&gt;&lt;wsp:rsid wsp:val=&quot;35FC1BEC&quot;/&gt;&lt;wsp:rsid wsp:val=&quot;35FD36D6&quot;/&gt;&lt;wsp:rsid wsp:val=&quot;36010FB1&quot;/&gt;&lt;wsp:rsid wsp:val=&quot;36017203&quot;/&gt;&lt;wsp:rsid wsp:val=&quot;36024A57&quot;/&gt;&lt;wsp:rsid wsp:val=&quot;360311CD&quot;/&gt;&lt;wsp:rsid wsp:val=&quot;36035EE7&quot;/&gt;&lt;wsp:rsid wsp:val=&quot;36050807&quot;/&gt;&lt;wsp:rsid wsp:val=&quot;36050AA1&quot;/&gt;&lt;wsp:rsid wsp:val=&quot;36054F45&quot;/&gt;&lt;wsp:rsid wsp:val=&quot;36074A7F&quot;/&gt;&lt;wsp:rsid wsp:val=&quot;360867E3&quot;/&gt;&lt;wsp:rsid wsp:val=&quot;360A255B&quot;/&gt;&lt;wsp:rsid wsp:val=&quot;360B0081&quot;/&gt;&lt;wsp:rsid wsp:val=&quot;360B1E2F&quot;/&gt;&lt;wsp:rsid wsp:val=&quot;360D3DFA&quot;/&gt;&lt;wsp:rsid wsp:val=&quot;360F37B0&quot;/&gt;&lt;wsp:rsid wsp:val=&quot;360F461D&quot;/&gt;&lt;wsp:rsid wsp:val=&quot;3611037B&quot;/&gt;&lt;wsp:rsid wsp:val=&quot;36136865&quot;/&gt;&lt;wsp:rsid wsp:val=&quot;36136ED2&quot;/&gt;&lt;wsp:rsid wsp:val=&quot;36145188&quot;/&gt;&lt;wsp:rsid wsp:val=&quot;36154A5C&quot;/&gt;&lt;wsp:rsid wsp:val=&quot;36160F00&quot;/&gt;&lt;wsp:rsid wsp:val=&quot;36174C78&quot;/&gt;&lt;wsp:rsid wsp:val=&quot;36176A26&quot;/&gt;&lt;wsp:rsid wsp:val=&quot;3619279E&quot;/&gt;&lt;wsp:rsid wsp:val=&quot;36192E2B&quot;/&gt;&lt;wsp:rsid wsp:val=&quot;361B6516&quot;/&gt;&lt;wsp:rsid wsp:val=&quot;361C228F&quot;/&gt;&lt;wsp:rsid wsp:val=&quot;361C5DEB&quot;/&gt;&lt;wsp:rsid wsp:val=&quot;361D1957&quot;/&gt;&lt;wsp:rsid wsp:val=&quot;361E1B63&quot;/&gt;&lt;wsp:rsid wsp:val=&quot;361E7DB5&quot;/&gt;&lt;wsp:rsid wsp:val=&quot;362058DB&quot;/&gt;&lt;wsp:rsid wsp:val=&quot;36215DD4&quot;/&gt;&lt;wsp:rsid wsp:val=&quot;36252EF1&quot;/&gt;&lt;wsp:rsid wsp:val=&quot;36280AEC&quot;/&gt;&lt;wsp:rsid wsp:val=&quot;362829E1&quot;/&gt;&lt;wsp:rsid wsp:val=&quot;3628478F&quot;/&gt;&lt;wsp:rsid wsp:val=&quot;362941D9&quot;/&gt;&lt;wsp:rsid wsp:val=&quot;362C0487&quot;/&gt;&lt;wsp:rsid wsp:val=&quot;362C0724&quot;/&gt;&lt;wsp:rsid wsp:val=&quot;362C4585&quot;/&gt;&lt;wsp:rsid wsp:val=&quot;362D7FF8&quot;/&gt;&lt;wsp:rsid wsp:val=&quot;362F1394&quot;/&gt;&lt;wsp:rsid wsp:val=&quot;362F3A74&quot;/&gt;&lt;wsp:rsid wsp:val=&quot;362F3D70&quot;/&gt;&lt;wsp:rsid wsp:val=&quot;36317AE8&quot;/&gt;&lt;wsp:rsid wsp:val=&quot;36341386&quot;/&gt;&lt;wsp:rsid wsp:val=&quot;363475D8&quot;/&gt;&lt;wsp:rsid wsp:val=&quot;363870C8&quot;/&gt;&lt;wsp:rsid wsp:val=&quot;36394BEF&quot;/&gt;&lt;wsp:rsid wsp:val=&quot;363B2715&quot;/&gt;&lt;wsp:rsid wsp:val=&quot;363B44C3&quot;/&gt;&lt;wsp:rsid wsp:val=&quot;363C023B&quot;/&gt;&lt;wsp:rsid wsp:val=&quot;363E0457&quot;/&gt;&lt;wsp:rsid wsp:val=&quot;363E2205&quot;/&gt;&lt;wsp:rsid wsp:val=&quot;36402219&quot;/&gt;&lt;wsp:rsid wsp:val=&quot;364041CF&quot;/&gt;&lt;wsp:rsid wsp:val=&quot;36414748&quot;/&gt;&lt;wsp:rsid wsp:val=&quot;36415851&quot;/&gt;&lt;wsp:rsid wsp:val=&quot;36416B0C&quot;/&gt;&lt;wsp:rsid wsp:val=&quot;364315C9&quot;/&gt;&lt;wsp:rsid wsp:val=&quot;3644480A&quot;/&gt;&lt;wsp:rsid wsp:val=&quot;364517E5&quot;/&gt;&lt;wsp:rsid wsp:val=&quot;364610BA&quot;/&gt;&lt;wsp:rsid wsp:val=&quot;364705BA&quot;/&gt;&lt;wsp:rsid wsp:val=&quot;36485A5A&quot;/&gt;&lt;wsp:rsid wsp:val=&quot;364C2B74&quot;/&gt;&lt;wsp:rsid wsp:val=&quot;364D46C5&quot;/&gt;&lt;wsp:rsid wsp:val=&quot;364F50F5&quot;/&gt;&lt;wsp:rsid wsp:val=&quot;36525CB0&quot;/&gt;&lt;wsp:rsid wsp:val=&quot;36564428&quot;/&gt;&lt;wsp:rsid wsp:val=&quot;365657A0&quot;/&gt;&lt;wsp:rsid wsp:val=&quot;36581519&quot;/&gt;&lt;wsp:rsid wsp:val=&quot;36590DED&quot;/&gt;&lt;wsp:rsid wsp:val=&quot;36592B9B&quot;/&gt;&lt;wsp:rsid wsp:val=&quot;365B2DB7&quot;/&gt;&lt;wsp:rsid wsp:val=&quot;365D08DD&quot;/&gt;&lt;wsp:rsid wsp:val=&quot;365E4655&quot;/&gt;&lt;wsp:rsid wsp:val=&quot;365E6403&quot;/&gt;&lt;wsp:rsid wsp:val=&quot;3661600C&quot;/&gt;&lt;wsp:rsid wsp:val=&quot;36617B8A&quot;/&gt;&lt;wsp:rsid wsp:val=&quot;36620180&quot;/&gt;&lt;wsp:rsid wsp:val=&quot;36624145&quot;/&gt;&lt;wsp:rsid wsp:val=&quot;36632CA7&quot;/&gt;&lt;wsp:rsid wsp:val=&quot;36633A19&quot;/&gt;&lt;wsp:rsid wsp:val=&quot;36637EBD&quot;/&gt;&lt;wsp:rsid wsp:val=&quot;366539A2&quot;/&gt;&lt;wsp:rsid wsp:val=&quot;36657792&quot;/&gt;&lt;wsp:rsid wsp:val=&quot;3667350A&quot;/&gt;&lt;wsp:rsid wsp:val=&quot;36681030&quot;/&gt;&lt;wsp:rsid wsp:val=&quot;3669402C&quot;/&gt;&lt;wsp:rsid wsp:val=&quot;366B28CE&quot;/&gt;&lt;wsp:rsid wsp:val=&quot;366C4FC4&quot;/&gt;&lt;wsp:rsid wsp:val=&quot;366D4898&quot;/&gt;&lt;wsp:rsid wsp:val=&quot;366D6646&quot;/&gt;&lt;wsp:rsid wsp:val=&quot;366F23BE&quot;/&gt;&lt;wsp:rsid wsp:val=&quot;366F6862&quot;/&gt;&lt;wsp:rsid wsp:val=&quot;367125DA&quot;/&gt;&lt;wsp:rsid wsp:val=&quot;36721EAF&quot;/&gt;&lt;wsp:rsid wsp:val=&quot;36731F4F&quot;/&gt;&lt;wsp:rsid wsp:val=&quot;36745C27&quot;/&gt;&lt;wsp:rsid wsp:val=&quot;367479D5&quot;/&gt;&lt;wsp:rsid wsp:val=&quot;367774C5&quot;/&gt;&lt;wsp:rsid wsp:val=&quot;36783969&quot;/&gt;&lt;wsp:rsid wsp:val=&quot;36787A25&quot;/&gt;&lt;wsp:rsid wsp:val=&quot;36794FEB&quot;/&gt;&lt;wsp:rsid wsp:val=&quot;367B0D63&quot;/&gt;&lt;wsp:rsid wsp:val=&quot;367B26F5&quot;/&gt;&lt;wsp:rsid wsp:val=&quot;367E0853&quot;/&gt;&lt;wsp:rsid wsp:val=&quot;367E2601&quot;/&gt;&lt;wsp:rsid wsp:val=&quot;367F1E99&quot;/&gt;&lt;wsp:rsid wsp:val=&quot;3680281D&quot;/&gt;&lt;wsp:rsid wsp:val=&quot;36820344&quot;/&gt;&lt;wsp:rsid wsp:val=&quot;36841C9D&quot;/&gt;&lt;wsp:rsid wsp:val=&quot;36851BE2&quot;/&gt;&lt;wsp:rsid wsp:val=&quot;36877708&quot;/&gt;&lt;wsp:rsid wsp:val=&quot;368816D2&quot;/&gt;&lt;wsp:rsid wsp:val=&quot;36883480&quot;/&gt;&lt;wsp:rsid wsp:val=&quot;36884365&quot;/&gt;&lt;wsp:rsid wsp:val=&quot;368A369C&quot;/&gt;&lt;wsp:rsid wsp:val=&quot;368C11C2&quot;/&gt;&lt;wsp:rsid wsp:val=&quot;368D7DBF&quot;/&gt;&lt;wsp:rsid wsp:val=&quot;368E4F3A&quot;/&gt;&lt;wsp:rsid wsp:val=&quot;368E6085&quot;/&gt;&lt;wsp:rsid wsp:val=&quot;36906B2F&quot;/&gt;&lt;wsp:rsid wsp:val=&quot;369167D9&quot;/&gt;&lt;wsp:rsid wsp:val=&quot;36922B60&quot;/&gt;&lt;wsp:rsid wsp:val=&quot;36923549&quot;/&gt;&lt;wsp:rsid wsp:val=&quot;36952C22&quot;/&gt;&lt;wsp:rsid wsp:val=&quot;36956164&quot;/&gt;&lt;wsp:rsid wsp:val=&quot;36962041&quot;/&gt;&lt;wsp:rsid wsp:val=&quot;36963DEF&quot;/&gt;&lt;wsp:rsid wsp:val=&quot;36977DA8&quot;/&gt;&lt;wsp:rsid wsp:val=&quot;3699568D&quot;/&gt;&lt;wsp:rsid wsp:val=&quot;369E0EF6&quot;/&gt;&lt;wsp:rsid wsp:val=&quot;369E310A&quot;/&gt;&lt;wsp:rsid wsp:val=&quot;369F3478&quot;/&gt;&lt;wsp:rsid wsp:val=&quot;36A007CA&quot;/&gt;&lt;wsp:rsid wsp:val=&quot;36A07989&quot;/&gt;&lt;wsp:rsid wsp:val=&quot;36A24542&quot;/&gt;&lt;wsp:rsid wsp:val=&quot;36A3230F&quot;/&gt;&lt;wsp:rsid wsp:val=&quot;36A36510&quot;/&gt;&lt;wsp:rsid wsp:val=&quot;36A4650C&quot;/&gt;&lt;wsp:rsid wsp:val=&quot;36A55DE0&quot;/&gt;&lt;wsp:rsid wsp:val=&quot;36A738F6&quot;/&gt;&lt;wsp:rsid wsp:val=&quot;36AA1648&quot;/&gt;&lt;wsp:rsid wsp:val=&quot;36AA5156&quot;/&gt;&lt;wsp:rsid wsp:val=&quot;36AA5AEC&quot;/&gt;&lt;wsp:rsid wsp:val=&quot;36AA64F4&quot;/&gt;&lt;wsp:rsid wsp:val=&quot;36AA789A&quot;/&gt;&lt;wsp:rsid wsp:val=&quot;36AC3612&quot;/&gt;&lt;wsp:rsid wsp:val=&quot;36AC53C0&quot;/&gt;&lt;wsp:rsid wsp:val=&quot;36AE1139&quot;/&gt;&lt;wsp:rsid wsp:val=&quot;36AE40D9&quot;/&gt;&lt;wsp:rsid wsp:val=&quot;36AF3103&quot;/&gt;&lt;wsp:rsid wsp:val=&quot;36AF37C9&quot;/&gt;&lt;wsp:rsid wsp:val=&quot;36AF4EB1&quot;/&gt;&lt;wsp:rsid wsp:val=&quot;36B14785&quot;/&gt;&lt;wsp:rsid wsp:val=&quot;36B2214A&quot;/&gt;&lt;wsp:rsid wsp:val=&quot;36B349A1&quot;/&gt;&lt;wsp:rsid wsp:val=&quot;36B424C7&quot;/&gt;&lt;wsp:rsid wsp:val=&quot;36B64491&quot;/&gt;&lt;wsp:rsid wsp:val=&quot;36B67FED&quot;/&gt;&lt;wsp:rsid wsp:val=&quot;36B75FBF&quot;/&gt;&lt;wsp:rsid wsp:val=&quot;36B81FB7&quot;/&gt;&lt;wsp:rsid wsp:val=&quot;36B85FBC&quot;/&gt;&lt;wsp:rsid wsp:val=&quot;36B9188B&quot;/&gt;&lt;wsp:rsid wsp:val=&quot;36BB1AA7&quot;/&gt;&lt;wsp:rsid wsp:val=&quot;36BB3856&quot;/&gt;&lt;wsp:rsid wsp:val=&quot;36BD0C45&quot;/&gt;&lt;wsp:rsid wsp:val=&quot;36BD137C&quot;/&gt;&lt;wsp:rsid wsp:val=&quot;36BD5820&quot;/&gt;&lt;wsp:rsid wsp:val=&quot;36BE50F4&quot;/&gt;&lt;wsp:rsid wsp:val=&quot;36BE6EA2&quot;/&gt;&lt;wsp:rsid wsp:val=&quot;36BF32BE&quot;/&gt;&lt;wsp:rsid wsp:val=&quot;36BF3346&quot;/&gt;&lt;wsp:rsid wsp:val=&quot;36C02C1A&quot;/&gt;&lt;wsp:rsid wsp:val=&quot;36C13652&quot;/&gt;&lt;wsp:rsid wsp:val=&quot;36C26992&quot;/&gt;&lt;wsp:rsid wsp:val=&quot;36C344B8&quot;/&gt;&lt;wsp:rsid wsp:val=&quot;36C50230&quot;/&gt;&lt;wsp:rsid wsp:val=&quot;36C7044C&quot;/&gt;&lt;wsp:rsid wsp:val=&quot;36C73FA8&quot;/&gt;&lt;wsp:rsid wsp:val=&quot;36C928B7&quot;/&gt;&lt;wsp:rsid wsp:val=&quot;36C95800&quot;/&gt;&lt;wsp:rsid wsp:val=&quot;36C96F41&quot;/&gt;&lt;wsp:rsid wsp:val=&quot;36C97D20&quot;/&gt;&lt;wsp:rsid wsp:val=&quot;36CB0232&quot;/&gt;&lt;wsp:rsid wsp:val=&quot;36CB1861&quot;/&gt;&lt;wsp:rsid wsp:val=&quot;36CD2B09&quot;/&gt;&lt;wsp:rsid wsp:val=&quot;36D44B31&quot;/&gt;&lt;wsp:rsid wsp:val=&quot;36D474BE&quot;/&gt;&lt;wsp:rsid wsp:val=&quot;36D6243D&quot;/&gt;&lt;wsp:rsid wsp:val=&quot;36D641EB&quot;/&gt;&lt;wsp:rsid wsp:val=&quot;36D668E1&quot;/&gt;&lt;wsp:rsid wsp:val=&quot;36D81F7B&quot;/&gt;&lt;wsp:rsid wsp:val=&quot;36D84407&quot;/&gt;&lt;wsp:rsid wsp:val=&quot;36D94C2F&quot;/&gt;&lt;wsp:rsid wsp:val=&quot;36DB7A54&quot;/&gt;&lt;wsp:rsid wsp:val=&quot;36DD37CC&quot;/&gt;&lt;wsp:rsid wsp:val=&quot;36DD6847&quot;/&gt;&lt;wsp:rsid wsp:val=&quot;36E060E6&quot;/&gt;&lt;wsp:rsid wsp:val=&quot;36E42DAC&quot;/&gt;&lt;wsp:rsid wsp:val=&quot;36E508D2&quot;/&gt;&lt;wsp:rsid wsp:val=&quot;36E56B24&quot;/&gt;&lt;wsp:rsid wsp:val=&quot;36E763F9&quot;/&gt;&lt;wsp:rsid wsp:val=&quot;36E81A0D&quot;/&gt;&lt;wsp:rsid wsp:val=&quot;36E87269&quot;/&gt;&lt;wsp:rsid wsp:val=&quot;36E903C3&quot;/&gt;&lt;wsp:rsid wsp:val=&quot;36E94DEA&quot;/&gt;&lt;wsp:rsid wsp:val=&quot;36EA5EE9&quot;/&gt;&lt;wsp:rsid wsp:val=&quot;36EA7C97&quot;/&gt;&lt;wsp:rsid wsp:val=&quot;36EB413B&quot;/&gt;&lt;wsp:rsid wsp:val=&quot;36EB5449&quot;/&gt;&lt;wsp:rsid wsp:val=&quot;36EB70D6&quot;/&gt;&lt;wsp:rsid wsp:val=&quot;36F01751&quot;/&gt;&lt;wsp:rsid wsp:val=&quot;36F17277&quot;/&gt;&lt;wsp:rsid wsp:val=&quot;36F26843&quot;/&gt;&lt;wsp:rsid wsp:val=&quot;36F80606&quot;/&gt;&lt;wsp:rsid wsp:val=&quot;36F9612C&quot;/&gt;&lt;wsp:rsid wsp:val=&quot;36FA002A&quot;/&gt;&lt;wsp:rsid wsp:val=&quot;36FA437E&quot;/&gt;&lt;wsp:rsid wsp:val=&quot;36FC6348&quot;/&gt;&lt;wsp:rsid wsp:val=&quot;3701395E&quot;/&gt;&lt;wsp:rsid wsp:val=&quot;37021484&quot;/&gt;&lt;wsp:rsid wsp:val=&quot;37024FE0&quot;/&gt;&lt;wsp:rsid wsp:val=&quot;37030562&quot;/&gt;&lt;wsp:rsid wsp:val=&quot;370451FC&quot;/&gt;&lt;wsp:rsid wsp:val=&quot;37060F75&quot;/&gt;&lt;wsp:rsid wsp:val=&quot;37092813&quot;/&gt;&lt;wsp:rsid wsp:val=&quot;370945C1&quot;/&gt;&lt;wsp:rsid wsp:val=&quot;3709636F&quot;/&gt;&lt;wsp:rsid wsp:val=&quot;370A0339&quot;/&gt;&lt;wsp:rsid wsp:val=&quot;370A4123&quot;/&gt;&lt;wsp:rsid wsp:val=&quot;370C2303&quot;/&gt;&lt;wsp:rsid wsp:val=&quot;370E607B&quot;/&gt;&lt;wsp:rsid wsp:val=&quot;370F0072&quot;/&gt;&lt;wsp:rsid wsp:val=&quot;37102B66&quot;/&gt;&lt;wsp:rsid wsp:val=&quot;37113FF6&quot;/&gt;&lt;wsp:rsid wsp:val=&quot;37117919&quot;/&gt;&lt;wsp:rsid wsp:val=&quot;37117D67&quot;/&gt;&lt;wsp:rsid wsp:val=&quot;37135440&quot;/&gt;&lt;wsp:rsid wsp:val=&quot;37136916&quot;/&gt;&lt;wsp:rsid wsp:val=&quot;37152F66&quot;/&gt;&lt;wsp:rsid wsp:val=&quot;37160A8C&quot;/&gt;&lt;wsp:rsid wsp:val=&quot;37164F30&quot;/&gt;&lt;wsp:rsid wsp:val=&quot;37166CDE&quot;/&gt;&lt;wsp:rsid wsp:val=&quot;37171BA5&quot;/&gt;&lt;wsp:rsid wsp:val=&quot;3718034F&quot;/&gt;&lt;wsp:rsid wsp:val=&quot;37182A56&quot;/&gt;&lt;wsp:rsid wsp:val=&quot;371A057C&quot;/&gt;&lt;wsp:rsid wsp:val=&quot;371B42F4&quot;/&gt;&lt;wsp:rsid wsp:val=&quot;371B6954&quot;/&gt;&lt;wsp:rsid wsp:val=&quot;371F2036&quot;/&gt;&lt;wsp:rsid wsp:val=&quot;37205A14&quot;/&gt;&lt;wsp:rsid wsp:val=&quot;37223D14&quot;/&gt;&lt;wsp:rsid wsp:val=&quot;372638FC&quot;/&gt;&lt;wsp:rsid wsp:val=&quot;37265173&quot;/&gt;&lt;wsp:rsid wsp:val=&quot;37270EEB&quot;/&gt;&lt;wsp:rsid wsp:val=&quot;37272C99&quot;/&gt;&lt;wsp:rsid wsp:val=&quot;37275389&quot;/&gt;&lt;wsp:rsid wsp:val=&quot;372A45A8&quot;/&gt;&lt;wsp:rsid wsp:val=&quot;372B2789&quot;/&gt;&lt;wsp:rsid wsp:val=&quot;372C6501&quot;/&gt;&lt;wsp:rsid wsp:val=&quot;372D208E&quot;/&gt;&lt;wsp:rsid wsp:val=&quot;372E15D9&quot;/&gt;&lt;wsp:rsid wsp:val=&quot;372E2279&quot;/&gt;&lt;wsp:rsid wsp:val=&quot;372E4027&quot;/&gt;&lt;wsp:rsid wsp:val=&quot;372F1B4E&quot;/&gt;&lt;wsp:rsid wsp:val=&quot;37302B91&quot;/&gt;&lt;wsp:rsid wsp:val=&quot;37313B18&quot;/&gt;&lt;wsp:rsid wsp:val=&quot;3733163E&quot;/&gt;&lt;wsp:rsid wsp:val=&quot;37337890&quot;/&gt;&lt;wsp:rsid wsp:val=&quot;3736112E&quot;/&gt;&lt;wsp:rsid wsp:val=&quot;37362EDC&quot;/&gt;&lt;wsp:rsid wsp:val=&quot;37390D45&quot;/&gt;&lt;wsp:rsid wsp:val=&quot;373945F7&quot;/&gt;&lt;wsp:rsid wsp:val=&quot;373A0C1E&quot;/&gt;&lt;wsp:rsid wsp:val=&quot;373B1ADF&quot;/&gt;&lt;wsp:rsid wsp:val=&quot;373B4692&quot;/&gt;&lt;wsp:rsid wsp:val=&quot;373C0021&quot;/&gt;&lt;wsp:rsid wsp:val=&quot;373C4996&quot;/&gt;&lt;wsp:rsid wsp:val=&quot;373D24BC&quot;/&gt;&lt;wsp:rsid wsp:val=&quot;373D426B&quot;/&gt;&lt;wsp:rsid wsp:val=&quot;373E3439&quot;/&gt;&lt;wsp:rsid wsp:val=&quot;373F6235&quot;/&gt;&lt;wsp:rsid wsp:val=&quot;373F7FE3&quot;/&gt;&lt;wsp:rsid wsp:val=&quot;374101FF&quot;/&gt;&lt;wsp:rsid wsp:val=&quot;374126E0&quot;/&gt;&lt;wsp:rsid wsp:val=&quot;37425D25&quot;/&gt;&lt;wsp:rsid wsp:val=&quot;37427AD3&quot;/&gt;&lt;wsp:rsid wsp:val=&quot;37450315&quot;/&gt;&lt;wsp:rsid wsp:val=&quot;37461371&quot;/&gt;&lt;wsp:rsid wsp:val=&quot;374750E9&quot;/&gt;&lt;wsp:rsid wsp:val=&quot;37475D5C&quot;/&gt;&lt;wsp:rsid wsp:val=&quot;37490E61&quot;/&gt;&lt;wsp:rsid wsp:val=&quot;37492C8F&quot;/&gt;&lt;wsp:rsid wsp:val=&quot;374B4BD9&quot;/&gt;&lt;wsp:rsid wsp:val=&quot;374C5617&quot;/&gt;&lt;wsp:rsid wsp:val=&quot;374E0226&quot;/&gt;&lt;wsp:rsid wsp:val=&quot;374F3F98&quot;/&gt;&lt;wsp:rsid wsp:val=&quot;37503F9E&quot;/&gt;&lt;wsp:rsid wsp:val=&quot;37517D16&quot;/&gt;&lt;wsp:rsid wsp:val=&quot;375241BA&quot;/&gt;&lt;wsp:rsid wsp:val=&quot;37537F32&quot;/&gt;&lt;wsp:rsid wsp:val=&quot;375515B4&quot;/&gt;&lt;wsp:rsid wsp:val=&quot;37555A58&quot;/&gt;&lt;wsp:rsid wsp:val=&quot;37557806&quot;/&gt;&lt;wsp:rsid wsp:val=&quot;37570D4C&quot;/&gt;&lt;wsp:rsid wsp:val=&quot;375712CB&quot;/&gt;&lt;wsp:rsid wsp:val=&quot;375810A4&quot;/&gt;&lt;wsp:rsid wsp:val=&quot;375872F6&quot;/&gt;&lt;wsp:rsid wsp:val=&quot;375A12C0&quot;/&gt;&lt;wsp:rsid wsp:val=&quot;375C0B95&quot;/&gt;&lt;wsp:rsid wsp:val=&quot;375C6DE7&quot;/&gt;&lt;wsp:rsid wsp:val=&quot;375D490D&quot;/&gt;&lt;wsp:rsid wsp:val=&quot;375D66BB&quot;/&gt;&lt;wsp:rsid wsp:val=&quot;37607F59&quot;/&gt;&lt;wsp:rsid wsp:val=&quot;37621F23&quot;/&gt;&lt;wsp:rsid wsp:val=&quot;37636BC6&quot;/&gt;&lt;wsp:rsid wsp:val=&quot;37643EED&quot;/&gt;&lt;wsp:rsid wsp:val=&quot;37660868&quot;/&gt;&lt;wsp:rsid wsp:val=&quot;3768578B&quot;/&gt;&lt;wsp:rsid wsp:val=&quot;37695060&quot;/&gt;&lt;wsp:rsid wsp:val=&quot;376E08C8&quot;/&gt;&lt;wsp:rsid wsp:val=&quot;376E7052&quot;/&gt;&lt;wsp:rsid wsp:val=&quot;37702892&quot;/&gt;&lt;wsp:rsid wsp:val=&quot;37721F02&quot;/&gt;&lt;wsp:rsid wsp:val=&quot;37724BC9&quot;/&gt;&lt;wsp:rsid wsp:val=&quot;37733392&quot;/&gt;&lt;wsp:rsid wsp:val=&quot;3776777C&quot;/&gt;&lt;wsp:rsid wsp:val=&quot;37773C20&quot;/&gt;&lt;wsp:rsid wsp:val=&quot;377A488F&quot;/&gt;&lt;wsp:rsid wsp:val=&quot;377A726D&quot;/&gt;&lt;wsp:rsid wsp:val=&quot;377C1237&quot;/&gt;&lt;wsp:rsid wsp:val=&quot;377F0D27&quot;/&gt;&lt;wsp:rsid wsp:val=&quot;37804506&quot;/&gt;&lt;wsp:rsid wsp:val=&quot;378105FB&quot;/&gt;&lt;wsp:rsid wsp:val=&quot;378202B6&quot;/&gt;&lt;wsp:rsid wsp:val=&quot;37824373&quot;/&gt;&lt;wsp:rsid wsp:val=&quot;378404AE&quot;/&gt;&lt;wsp:rsid wsp:val=&quot;37865C12&quot;/&gt;&lt;wsp:rsid wsp:val=&quot;37873738&quot;/&gt;&lt;wsp:rsid wsp:val=&quot;37893954&quot;/&gt;&lt;wsp:rsid wsp:val=&quot;37895702&quot;/&gt;&lt;wsp:rsid wsp:val=&quot;37896CF9&quot;/&gt;&lt;wsp:rsid wsp:val=&quot;378974B0&quot;/&gt;&lt;wsp:rsid wsp:val=&quot;378B3228&quot;/&gt;&lt;wsp:rsid wsp:val=&quot;37920A5A&quot;/&gt;&lt;wsp:rsid wsp:val=&quot;3793032E&quot;/&gt;&lt;wsp:rsid wsp:val=&quot;37943E0C&quot;/&gt;&lt;wsp:rsid wsp:val=&quot;379522F8&quot;/&gt;&lt;wsp:rsid wsp:val=&quot;379540A7&quot;/&gt;&lt;wsp:rsid wsp:val=&quot;37963D3E&quot;/&gt;&lt;wsp:rsid wsp:val=&quot;37971BCD&quot;/&gt;&lt;wsp:rsid wsp:val=&quot;37991DE9&quot;/&gt;&lt;wsp:rsid wsp:val=&quot;379A44BE&quot;/&gt;&lt;wsp:rsid wsp:val=&quot;379A790F&quot;/&gt;&lt;wsp:rsid wsp:val=&quot;379B110E&quot;/&gt;&lt;wsp:rsid wsp:val=&quot;379B425F&quot;/&gt;&lt;wsp:rsid wsp:val=&quot;379C0E5D&quot;/&gt;&lt;wsp:rsid wsp:val=&quot;379D2F5B&quot;/&gt;&lt;wsp:rsid wsp:val=&quot;379D5254&quot;/&gt;&lt;wsp:rsid wsp:val=&quot;379D5444&quot;/&gt;&lt;wsp:rsid wsp:val=&quot;379E11AD&quot;/&gt;&lt;wsp:rsid wsp:val=&quot;379E73FF&quot;/&gt;&lt;wsp:rsid wsp:val=&quot;37A03134&quot;/&gt;&lt;wsp:rsid wsp:val=&quot;37A147F9&quot;/&gt;&lt;wsp:rsid wsp:val=&quot;37A34A15&quot;/&gt;&lt;wsp:rsid wsp:val=&quot;37A4078E&quot;/&gt;&lt;wsp:rsid wsp:val=&quot;37A4253C&quot;/&gt;&lt;wsp:rsid wsp:val=&quot;37A442EA&quot;/&gt;&lt;wsp:rsid wsp:val=&quot;37A464EF&quot;/&gt;&lt;wsp:rsid wsp:val=&quot;37A47026&quot;/&gt;&lt;wsp:rsid wsp:val=&quot;37A662B4&quot;/&gt;&lt;wsp:rsid wsp:val=&quot;37A9436D&quot;/&gt;&lt;wsp:rsid wsp:val=&quot;37A95DA4&quot;/&gt;&lt;wsp:rsid wsp:val=&quot;37AC319E&quot;/&gt;&lt;wsp:rsid wsp:val=&quot;37AC3523&quot;/&gt;&lt;wsp:rsid wsp:val=&quot;37AE5168&quot;/&gt;&lt;wsp:rsid wsp:val=&quot;37AE5E43&quot;/&gt;&lt;wsp:rsid wsp:val=&quot;37AF7904&quot;/&gt;&lt;wsp:rsid wsp:val=&quot;37B00763&quot;/&gt;&lt;wsp:rsid wsp:val=&quot;37B22EAA&quot;/&gt;&lt;wsp:rsid wsp:val=&quot;37B24C58&quot;/&gt;&lt;wsp:rsid wsp:val=&quot;37B46AF7&quot;/&gt;&lt;wsp:rsid wsp:val=&quot;37B47EDC&quot;/&gt;&lt;wsp:rsid wsp:val=&quot;37B66669&quot;/&gt;&lt;wsp:rsid wsp:val=&quot;37B704C1&quot;/&gt;&lt;wsp:rsid wsp:val=&quot;37BA5308&quot;/&gt;&lt;wsp:rsid wsp:val=&quot;37BA58BB&quot;/&gt;&lt;wsp:rsid wsp:val=&quot;37BA70D1&quot;/&gt;&lt;wsp:rsid wsp:val=&quot;37BC7885&quot;/&gt;&lt;wsp:rsid wsp:val=&quot;37BD53AB&quot;/&gt;&lt;wsp:rsid wsp:val=&quot;37BE184F&quot;/&gt;&lt;wsp:rsid wsp:val=&quot;37BF0F9F&quot;/&gt;&lt;wsp:rsid wsp:val=&quot;37C31F61&quot;/&gt;&lt;wsp:rsid wsp:val=&quot;37C41F7E&quot;/&gt;&lt;wsp:rsid wsp:val=&quot;37C4498C&quot;/&gt;&lt;wsp:rsid wsp:val=&quot;37C63D34&quot;/&gt;&lt;wsp:rsid wsp:val=&quot;37C8622A&quot;/&gt;&lt;wsp:rsid wsp:val=&quot;37C9041E&quot;/&gt;&lt;wsp:rsid wsp:val=&quot;37C92A4B&quot;/&gt;&lt;wsp:rsid wsp:val=&quot;37CB536B&quot;/&gt;&lt;wsp:rsid wsp:val=&quot;37CD1A92&quot;/&gt;&lt;wsp:rsid wsp:val=&quot;37CE2D3B&quot;/&gt;&lt;wsp:rsid wsp:val=&quot;37CF74A2&quot;/&gt;&lt;wsp:rsid wsp:val=&quot;37D2266D&quot;/&gt;&lt;wsp:rsid wsp:val=&quot;37D4129F&quot;/&gt;&lt;wsp:rsid wsp:val=&quot;37D42E21&quot;/&gt;&lt;wsp:rsid wsp:val=&quot;37D44BCF&quot;/&gt;&lt;wsp:rsid wsp:val=&quot;37D63BBF&quot;/&gt;&lt;wsp:rsid wsp:val=&quot;37D72911&quot;/&gt;&lt;wsp:rsid wsp:val=&quot;37D848AC&quot;/&gt;&lt;wsp:rsid wsp:val=&quot;37D864DF&quot;/&gt;&lt;wsp:rsid wsp:val=&quot;37D921E5&quot;/&gt;&lt;wsp:rsid wsp:val=&quot;37DA41AF&quot;/&gt;&lt;wsp:rsid wsp:val=&quot;37DC1CD5&quot;/&gt;&lt;wsp:rsid wsp:val=&quot;37DF17C6&quot;/&gt;&lt;wsp:rsid wsp:val=&quot;37DF3574&quot;/&gt;&lt;wsp:rsid wsp:val=&quot;37DF63B2&quot;/&gt;&lt;wsp:rsid wsp:val=&quot;37E00298&quot;/&gt;&lt;wsp:rsid wsp:val=&quot;37E04580&quot;/&gt;&lt;wsp:rsid wsp:val=&quot;37E172EC&quot;/&gt;&lt;wsp:rsid wsp:val=&quot;37E33064&quot;/&gt;&lt;wsp:rsid wsp:val=&quot;37E42938&quot;/&gt;&lt;wsp:rsid wsp:val=&quot;37E64902&quot;/&gt;&lt;wsp:rsid wsp:val=&quot;37E666B0&quot;/&gt;&lt;wsp:rsid wsp:val=&quot;37E908F4&quot;/&gt;&lt;wsp:rsid wsp:val=&quot;37EB23AA&quot;/&gt;&lt;wsp:rsid wsp:val=&quot;37ED3EE3&quot;/&gt;&lt;wsp:rsid wsp:val=&quot;37ED7A3F&quot;/&gt;&lt;wsp:rsid wsp:val=&quot;37EE37B7&quot;/&gt;&lt;wsp:rsid wsp:val=&quot;37EF1A09&quot;/&gt;&lt;wsp:rsid wsp:val=&quot;37EF5EA7&quot;/&gt;&lt;wsp:rsid wsp:val=&quot;37F039D3&quot;/&gt;&lt;wsp:rsid wsp:val=&quot;37F214F9&quot;/&gt;&lt;wsp:rsid wsp:val=&quot;37F25055&quot;/&gt;&lt;wsp:rsid wsp:val=&quot;37F330E7&quot;/&gt;&lt;wsp:rsid wsp:val=&quot;37F45271&quot;/&gt;&lt;wsp:rsid wsp:val=&quot;37F4701F&quot;/&gt;&lt;wsp:rsid wsp:val=&quot;37F52D97&quot;/&gt;&lt;wsp:rsid wsp:val=&quot;37F54EF7&quot;/&gt;&lt;wsp:rsid wsp:val=&quot;37F65BD2&quot;/&gt;&lt;wsp:rsid wsp:val=&quot;37F7266B&quot;/&gt;&lt;wsp:rsid wsp:val=&quot;37F83D4F&quot;/&gt;&lt;wsp:rsid wsp:val=&quot;37F871F5&quot;/&gt;&lt;wsp:rsid wsp:val=&quot;37FA0E55&quot;/&gt;&lt;wsp:rsid wsp:val=&quot;37FB65FF&quot;/&gt;&lt;wsp:rsid wsp:val=&quot;37FC4126&quot;/&gt;&lt;wsp:rsid wsp:val=&quot;37FC58DA&quot;/&gt;&lt;wsp:rsid wsp:val=&quot;37FC5ED4&quot;/&gt;&lt;wsp:rsid wsp:val=&quot;37FE39FA&quot;/&gt;&lt;wsp:rsid wsp:val=&quot;38001AA6&quot;/&gt;&lt;wsp:rsid wsp:val=&quot;38012567&quot;/&gt;&lt;wsp:rsid wsp:val=&quot;380134EA&quot;/&gt;&lt;wsp:rsid wsp:val=&quot;38037262&quot;/&gt;&lt;wsp:rsid wsp:val=&quot;38064FA4&quot;/&gt;&lt;wsp:rsid wsp:val=&quot;38084878&quot;/&gt;&lt;wsp:rsid wsp:val=&quot;380A30F5&quot;/&gt;&lt;wsp:rsid wsp:val=&quot;380B25BB&quot;/&gt;&lt;wsp:rsid wsp:val=&quot;380B6117&quot;/&gt;&lt;wsp:rsid wsp:val=&quot;380B6EA8&quot;/&gt;&lt;wsp:rsid wsp:val=&quot;380D685F&quot;/&gt;&lt;wsp:rsid wsp:val=&quot;380F7A5F&quot;/&gt;&lt;wsp:rsid wsp:val=&quot;3810197F&quot;/&gt;&lt;wsp:rsid wsp:val=&quot;38142318&quot;/&gt;&lt;wsp:rsid wsp:val=&quot;38156F95&quot;/&gt;&lt;wsp:rsid wsp:val=&quot;38163439&quot;/&gt;&lt;wsp:rsid wsp:val=&quot;38172D0E&quot;/&gt;&lt;wsp:rsid wsp:val=&quot;38174ABC&quot;/&gt;&lt;wsp:rsid wsp:val=&quot;381B3A34&quot;/&gt;&lt;wsp:rsid wsp:val=&quot;381C0324&quot;/&gt;&lt;wsp:rsid wsp:val=&quot;381F1BC2&quot;/&gt;&lt;wsp:rsid wsp:val=&quot;3821593A&quot;/&gt;&lt;wsp:rsid wsp:val=&quot;382316B2&quot;/&gt;&lt;wsp:rsid wsp:val=&quot;38233460&quot;/&gt;&lt;wsp:rsid wsp:val=&quot;3825644C&quot;/&gt;&lt;wsp:rsid wsp:val=&quot;38272B03&quot;/&gt;&lt;wsp:rsid wsp:val=&quot;38283467&quot;/&gt;&lt;wsp:rsid wsp:val=&quot;38286CC9&quot;/&gt;&lt;wsp:rsid wsp:val=&quot;38287B99&quot;/&gt;&lt;wsp:rsid wsp:val=&quot;382B3BE6&quot;/&gt;&lt;wsp:rsid wsp:val=&quot;382B67B9&quot;/&gt;&lt;wsp:rsid wsp:val=&quot;382C4A0B&quot;/&gt;&lt;wsp:rsid wsp:val=&quot;382C5E49&quot;/&gt;&lt;wsp:rsid wsp:val=&quot;382F0057&quot;/&gt;&lt;wsp:rsid wsp:val=&quot;38303DCF&quot;/&gt;&lt;wsp:rsid wsp:val=&quot;38312021&quot;/&gt;&lt;wsp:rsid wsp:val=&quot;38327B47&quot;/&gt;&lt;wsp:rsid wsp:val=&quot;3833774F&quot;/&gt;&lt;wsp:rsid wsp:val=&quot;3836588A&quot;/&gt;&lt;wsp:rsid wsp:val=&quot;38366EFB&quot;/&gt;&lt;wsp:rsid wsp:val=&quot;38390ED6&quot;/&gt;&lt;wsp:rsid wsp:val=&quot;383C4522&quot;/&gt;&lt;wsp:rsid wsp:val=&quot;383D6DCE&quot;/&gt;&lt;wsp:rsid wsp:val=&quot;383E473E&quot;/&gt;&lt;wsp:rsid wsp:val=&quot;383E64EC&quot;/&gt;&lt;wsp:rsid wsp:val=&quot;383F6DF1&quot;/&gt;&lt;wsp:rsid wsp:val=&quot;38402B7E&quot;/&gt;&lt;wsp:rsid wsp:val=&quot;38415ABB&quot;/&gt;&lt;wsp:rsid wsp:val=&quot;384348A8&quot;/&gt;&lt;wsp:rsid wsp:val=&quot;384358B1&quot;/&gt;&lt;wsp:rsid wsp:val=&quot;38463A7C&quot;/&gt;&lt;wsp:rsid wsp:val=&quot;38472A51&quot;/&gt;&lt;wsp:rsid wsp:val=&quot;38481119&quot;/&gt;&lt;wsp:rsid wsp:val=&quot;384A6C3F&quot;/&gt;&lt;wsp:rsid wsp:val=&quot;384B0C09&quot;/&gt;&lt;wsp:rsid wsp:val=&quot;384D4981&quot;/&gt;&lt;wsp:rsid wsp:val=&quot;384D672F&quot;/&gt;&lt;wsp:rsid wsp:val=&quot;384F06F9&quot;/&gt;&lt;wsp:rsid wsp:val=&quot;38507FCD&quot;/&gt;&lt;wsp:rsid wsp:val=&quot;38513DBE&quot;/&gt;&lt;wsp:rsid wsp:val=&quot;38521E38&quot;/&gt;&lt;wsp:rsid wsp:val=&quot;38521F98&quot;/&gt;&lt;wsp:rsid wsp:val=&quot;38523D46&quot;/&gt;&lt;wsp:rsid wsp:val=&quot;385351A0&quot;/&gt;&lt;wsp:rsid wsp:val=&quot;38543F62&quot;/&gt;&lt;wsp:rsid wsp:val=&quot;38545D10&quot;/&gt;&lt;wsp:rsid wsp:val=&quot;385555E4&quot;/&gt;&lt;wsp:rsid wsp:val=&quot;38575800&quot;/&gt;&lt;wsp:rsid wsp:val=&quot;385775AE&quot;/&gt;&lt;wsp:rsid wsp:val=&quot;385B43FD&quot;/&gt;&lt;wsp:rsid wsp:val=&quot;385B709E&quot;/&gt;&lt;wsp:rsid wsp:val=&quot;385C2E16&quot;/&gt;&lt;wsp:rsid wsp:val=&quot;385D255A&quot;/&gt;&lt;wsp:rsid wsp:val=&quot;385F1B63&quot;/&gt;&lt;wsp:rsid wsp:val=&quot;386121DB&quot;/&gt;&lt;wsp:rsid wsp:val=&quot;3862042D&quot;/&gt;&lt;wsp:rsid wsp:val=&quot;38621BE4&quot;/&gt;&lt;wsp:rsid wsp:val=&quot;38635F53&quot;/&gt;&lt;wsp:rsid wsp:val=&quot;38637D01&quot;/&gt;&lt;wsp:rsid wsp:val=&quot;38673C95&quot;/&gt;&lt;wsp:rsid wsp:val=&quot;38680BB0&quot;/&gt;&lt;wsp:rsid wsp:val=&quot;386817BB&quot;/&gt;&lt;wsp:rsid wsp:val=&quot;38683569&quot;/&gt;&lt;wsp:rsid wsp:val=&quot;386D5023&quot;/&gt;&lt;wsp:rsid wsp:val=&quot;386F47D8&quot;/&gt;&lt;wsp:rsid wsp:val=&quot;38710670&quot;/&gt;&lt;wsp:rsid wsp:val=&quot;387129B4&quot;/&gt;&lt;wsp:rsid wsp:val=&quot;387168C2&quot;/&gt;&lt;wsp:rsid wsp:val=&quot;3872263A&quot;/&gt;&lt;wsp:rsid wsp:val=&quot;38741A6E&quot;/&gt;&lt;wsp:rsid wsp:val=&quot;387719FE&quot;/&gt;&lt;wsp:rsid wsp:val=&quot;387839B1&quot;/&gt;&lt;wsp:rsid wsp:val=&quot;38795776&quot;/&gt;&lt;wsp:rsid wsp:val=&quot;387B329C&quot;/&gt;&lt;wsp:rsid wsp:val=&quot;387C0DC3&quot;/&gt;&lt;wsp:rsid wsp:val=&quot;387C7014&quot;/&gt;&lt;wsp:rsid wsp:val=&quot;387D5266&quot;/&gt;&lt;wsp:rsid wsp:val=&quot;387E1DB5&quot;/&gt;&lt;wsp:rsid wsp:val=&quot;387E4B3B&quot;/&gt;&lt;wsp:rsid wsp:val=&quot;387E56F1&quot;/&gt;&lt;wsp:rsid wsp:val=&quot;38804D57&quot;/&gt;&lt;wsp:rsid wsp:val=&quot;38822931&quot;/&gt;&lt;wsp:rsid wsp:val=&quot;38860C60&quot;/&gt;&lt;wsp:rsid wsp:val=&quot;38874CB5&quot;/&gt;&lt;wsp:rsid wsp:val=&quot;388760E5&quot;/&gt;&lt;wsp:rsid wsp:val=&quot;38883C0B&quot;/&gt;&lt;wsp:rsid wsp:val=&quot;388872E7&quot;/&gt;&lt;wsp:rsid wsp:val=&quot;38887767&quot;/&gt;&lt;wsp:rsid wsp:val=&quot;388A1731&quot;/&gt;&lt;wsp:rsid wsp:val=&quot;388A7983&quot;/&gt;&lt;wsp:rsid wsp:val=&quot;388B6865&quot;/&gt;&lt;wsp:rsid wsp:val=&quot;388C54AA&quot;/&gt;&lt;wsp:rsid wsp:val=&quot;388C7258&quot;/&gt;&lt;wsp:rsid wsp:val=&quot;388D2FD0&quot;/&gt;&lt;wsp:rsid wsp:val=&quot;38910D12&quot;/&gt;&lt;wsp:rsid wsp:val=&quot;38912AC0&quot;/&gt;&lt;wsp:rsid wsp:val=&quot;38924FF7&quot;/&gt;&lt;wsp:rsid wsp:val=&quot;38926838&quot;/&gt;&lt;wsp:rsid wsp:val=&quot;38932E51&quot;/&gt;&lt;wsp:rsid wsp:val=&quot;389425B0&quot;/&gt;&lt;wsp:rsid wsp:val=&quot;3894610C&quot;/&gt;&lt;wsp:rsid wsp:val=&quot;389600D6&quot;/&gt;&lt;wsp:rsid wsp:val=&quot;38966328&quot;/&gt;&lt;wsp:rsid wsp:val=&quot;38983E4E&quot;/&gt;&lt;wsp:rsid wsp:val=&quot;38991974&quot;/&gt;&lt;wsp:rsid wsp:val=&quot;389A7B4F&quot;/&gt;&lt;wsp:rsid wsp:val=&quot;389B393F&quot;/&gt;&lt;wsp:rsid wsp:val=&quot;389D76B7&quot;/&gt;&lt;wsp:rsid wsp:val=&quot;389E09C9&quot;/&gt;&lt;wsp:rsid wsp:val=&quot;389E6F8B&quot;/&gt;&lt;wsp:rsid wsp:val=&quot;38A00F55&quot;/&gt;&lt;wsp:rsid wsp:val=&quot;38A24CCD&quot;/&gt;&lt;wsp:rsid wsp:val=&quot;38A345A1&quot;/&gt;&lt;wsp:rsid wsp:val=&quot;38A4740C&quot;/&gt;&lt;wsp:rsid wsp:val=&quot;38A547BD&quot;/&gt;&lt;wsp:rsid wsp:val=&quot;38A5656B&quot;/&gt;&lt;wsp:rsid wsp:val=&quot;38A65E3F&quot;/&gt;&lt;wsp:rsid wsp:val=&quot;38A87E0A&quot;/&gt;&lt;wsp:rsid wsp:val=&quot;38AA1DD4&quot;/&gt;&lt;wsp:rsid wsp:val=&quot;38AB2FCD&quot;/&gt;&lt;wsp:rsid wsp:val=&quot;38AC5B4C&quot;/&gt;&lt;wsp:rsid wsp:val=&quot;38AD5420&quot;/&gt;&lt;wsp:rsid wsp:val=&quot;38AD71CE&quot;/&gt;&lt;wsp:rsid wsp:val=&quot;38AE3672&quot;/&gt;&lt;wsp:rsid wsp:val=&quot;38AF194E&quot;/&gt;&lt;wsp:rsid wsp:val=&quot;38AF451F&quot;/&gt;&lt;wsp:rsid wsp:val=&quot;38B042E6&quot;/&gt;&lt;wsp:rsid wsp:val=&quot;38B13162&quot;/&gt;&lt;wsp:rsid wsp:val=&quot;38B14F10&quot;/&gt;&lt;wsp:rsid wsp:val=&quot;38B302F9&quot;/&gt;&lt;wsp:rsid wsp:val=&quot;38B4055C&quot;/&gt;&lt;wsp:rsid wsp:val=&quot;38B62526&quot;/&gt;&lt;wsp:rsid wsp:val=&quot;38B8629F&quot;/&gt;&lt;wsp:rsid wsp:val=&quot;38B95B73&quot;/&gt;&lt;wsp:rsid wsp:val=&quot;38BA2A4A&quot;/&gt;&lt;wsp:rsid wsp:val=&quot;38BB5D8F&quot;/&gt;&lt;wsp:rsid wsp:val=&quot;38BE13DB&quot;/&gt;&lt;wsp:rsid wsp:val=&quot;38BF587F&quot;/&gt;&lt;wsp:rsid wsp:val=&quot;38C20ECB&quot;/&gt;&lt;wsp:rsid wsp:val=&quot;38C22C79&quot;/&gt;&lt;wsp:rsid wsp:val=&quot;38C42E95&quot;/&gt;&lt;wsp:rsid wsp:val=&quot;38C5276A&quot;/&gt;&lt;wsp:rsid wsp:val=&quot;38C57E86&quot;/&gt;&lt;wsp:rsid wsp:val=&quot;38C67BD5&quot;/&gt;&lt;wsp:rsid wsp:val=&quot;38C74734&quot;/&gt;&lt;wsp:rsid wsp:val=&quot;38C764E2&quot;/&gt;&lt;wsp:rsid wsp:val=&quot;38CA3FBC&quot;/&gt;&lt;wsp:rsid wsp:val=&quot;38CC7FAC&quot;/&gt;&lt;wsp:rsid wsp:val=&quot;38CD7870&quot;/&gt;&lt;wsp:rsid wsp:val=&quot;38CF183A&quot;/&gt;&lt;wsp:rsid wsp:val=&quot;38CF5396&quot;/&gt;&lt;wsp:rsid wsp:val=&quot;38D155B2&quot;/&gt;&lt;wsp:rsid wsp:val=&quot;38D34E86&quot;/&gt;&lt;wsp:rsid wsp:val=&quot;38D44DA9&quot;/&gt;&lt;wsp:rsid wsp:val=&quot;38D46E50&quot;/&gt;&lt;wsp:rsid wsp:val=&quot;38D56239&quot;/&gt;&lt;wsp:rsid wsp:val=&quot;38D62BC9&quot;/&gt;&lt;wsp:rsid wsp:val=&quot;38D86941&quot;/&gt;&lt;wsp:rsid wsp:val=&quot;38D94467&quot;/&gt;&lt;wsp:rsid wsp:val=&quot;38DB1F8D&quot;/&gt;&lt;wsp:rsid wsp:val=&quot;38DD5D05&quot;/&gt;&lt;wsp:rsid wsp:val=&quot;38E075A3&quot;/&gt;&lt;wsp:rsid wsp:val=&quot;38E2156D&quot;/&gt;&lt;wsp:rsid wsp:val=&quot;38E2331B&quot;/&gt;&lt;wsp:rsid wsp:val=&quot;38E250CA&quot;/&gt;&lt;wsp:rsid wsp:val=&quot;38E67EE2&quot;/&gt;&lt;wsp:rsid wsp:val=&quot;38E86458&quot;/&gt;&lt;wsp:rsid wsp:val=&quot;38EC7CF6&quot;/&gt;&lt;wsp:rsid wsp:val=&quot;38F06B94&quot;/&gt;&lt;wsp:rsid wsp:val=&quot;38F10544&quot;/&gt;&lt;wsp:rsid wsp:val=&quot;38F12CD3&quot;/&gt;&lt;wsp:rsid wsp:val=&quot;38F372D7&quot;/&gt;&lt;wsp:rsid wsp:val=&quot;38F4304F&quot;/&gt;&lt;wsp:rsid wsp:val=&quot;38F60B75&quot;/&gt;&lt;wsp:rsid wsp:val=&quot;38F7443E&quot;/&gt;&lt;wsp:rsid wsp:val=&quot;38F82D14&quot;/&gt;&lt;wsp:rsid wsp:val=&quot;38F94775&quot;/&gt;&lt;wsp:rsid wsp:val=&quot;38FA0FB5&quot;/&gt;&lt;wsp:rsid wsp:val=&quot;38FA41FB&quot;/&gt;&lt;wsp:rsid wsp:val=&quot;38FB43DD&quot;/&gt;&lt;wsp:rsid wsp:val=&quot;38FC13E4&quot;/&gt;&lt;wsp:rsid wsp:val=&quot;38FE0016&quot;/&gt;&lt;wsp:rsid wsp:val=&quot;38FE686D&quot;/&gt;&lt;wsp:rsid wsp:val=&quot;390019F4&quot;/&gt;&lt;wsp:rsid wsp:val=&quot;390239BE&quot;/&gt;&lt;wsp:rsid wsp:val=&quot;3905525C&quot;/&gt;&lt;wsp:rsid wsp:val=&quot;39060070&quot;/&gt;&lt;wsp:rsid wsp:val=&quot;39062BB4&quot;/&gt;&lt;wsp:rsid wsp:val=&quot;39094D4C&quot;/&gt;&lt;wsp:rsid wsp:val=&quot;390A4523&quot;/&gt;&lt;wsp:rsid wsp:val=&quot;390B7A49&quot;/&gt;&lt;wsp:rsid wsp:val=&quot;390E4110&quot;/&gt;&lt;wsp:rsid wsp:val=&quot;390F0F9B&quot;/&gt;&lt;wsp:rsid wsp:val=&quot;390F4B3F&quot;/&gt;&lt;wsp:rsid wsp:val=&quot;39111E53&quot;/&gt;&lt;wsp:rsid wsp:val=&quot;391159AF&quot;/&gt;&lt;wsp:rsid wsp:val=&quot;3914724D&quot;/&gt;&lt;wsp:rsid wsp:val=&quot;391835B0&quot;/&gt;&lt;wsp:rsid wsp:val=&quot;39191B60&quot;/&gt;&lt;wsp:rsid wsp:val=&quot;39195BD6&quot;/&gt;&lt;wsp:rsid wsp:val=&quot;391B04A7&quot;/&gt;&lt;wsp:rsid wsp:val=&quot;391B05DB&quot;/&gt;&lt;wsp:rsid wsp:val=&quot;391D1E5E&quot;/&gt;&lt;wsp:rsid wsp:val=&quot;391D4354&quot;/&gt;&lt;wsp:rsid wsp:val=&quot;391F2DAA&quot;/&gt;&lt;wsp:rsid wsp:val=&quot;39205BF2&quot;/&gt;&lt;wsp:rsid wsp:val=&quot;392334FC&quot;/&gt;&lt;wsp:rsid wsp:val=&quot;39241B86&quot;/&gt;&lt;wsp:rsid wsp:val=&quot;392576AC&quot;/&gt;&lt;wsp:rsid wsp:val=&quot;392751D2&quot;/&gt;&lt;wsp:rsid wsp:val=&quot;392971ED&quot;/&gt;&lt;wsp:rsid wsp:val=&quot;392B4462&quot;/&gt;&lt;wsp:rsid wsp:val=&quot;392F4087&quot;/&gt;&lt;wsp:rsid wsp:val=&quot;39306E52&quot;/&gt;&lt;wsp:rsid wsp:val=&quot;39307317&quot;/&gt;&lt;wsp:rsid wsp:val=&quot;39311BAD&quot;/&gt;&lt;wsp:rsid wsp:val=&quot;39316051&quot;/&gt;&lt;wsp:rsid wsp:val=&quot;39316DD0&quot;/&gt;&lt;wsp:rsid wsp:val=&quot;39325651&quot;/&gt;&lt;wsp:rsid wsp:val=&quot;39335925&quot;/&gt;&lt;wsp:rsid wsp:val=&quot;39341601&quot;/&gt;&lt;wsp:rsid wsp:val=&quot;3934169D&quot;/&gt;&lt;wsp:rsid wsp:val=&quot;393578EF&quot;/&gt;&lt;wsp:rsid wsp:val=&quot;393671C3&quot;/&gt;&lt;wsp:rsid wsp:val=&quot;39382F3B&quot;/&gt;&lt;wsp:rsid wsp:val=&quot;39383970&quot;/&gt;&lt;wsp:rsid wsp:val=&quot;3939544D&quot;/&gt;&lt;wsp:rsid wsp:val=&quot;393A3157&quot;/&gt;&lt;wsp:rsid wsp:val=&quot;393A4F06&quot;/&gt;&lt;wsp:rsid wsp:val=&quot;393D0C91&quot;/&gt;&lt;wsp:rsid wsp:val=&quot;393D49F6&quot;/&gt;&lt;wsp:rsid wsp:val=&quot;393D67A4&quot;/&gt;&lt;wsp:rsid wsp:val=&quot;393F251C&quot;/&gt;&lt;wsp:rsid wsp:val=&quot;39404092&quot;/&gt;&lt;wsp:rsid wsp:val=&quot;39406294&quot;/&gt;&lt;wsp:rsid wsp:val=&quot;394151DB&quot;/&gt;&lt;wsp:rsid wsp:val=&quot;39423DBA&quot;/&gt;&lt;wsp:rsid wsp:val=&quot;39427A81&quot;/&gt;&lt;wsp:rsid wsp:val=&quot;39445009&quot;/&gt;&lt;wsp:rsid wsp:val=&quot;39445D84&quot;/&gt;&lt;wsp:rsid wsp:val=&quot;39455658&quot;/&gt;&lt;wsp:rsid wsp:val=&quot;39475A91&quot;/&gt;&lt;wsp:rsid wsp:val=&quot;39477622&quot;/&gt;&lt;wsp:rsid wsp:val=&quot;39484534&quot;/&gt;&lt;wsp:rsid wsp:val=&quot;394915ED&quot;/&gt;&lt;wsp:rsid wsp:val=&quot;394A0EC1&quot;/&gt;&lt;wsp:rsid wsp:val=&quot;394A3540&quot;/&gt;&lt;wsp:rsid wsp:val=&quot;394C4C39&quot;/&gt;&lt;wsp:rsid wsp:val=&quot;394F0285&quot;/&gt;&lt;wsp:rsid wsp:val=&quot;395104A1&quot;/&gt;&lt;wsp:rsid wsp:val=&quot;395313F4&quot;/&gt;&lt;wsp:rsid wsp:val=&quot;39535FC7&quot;/&gt;&lt;wsp:rsid wsp:val=&quot;39551D3F&quot;/&gt;&lt;wsp:rsid wsp:val=&quot;39553AED&quot;/&gt;&lt;wsp:rsid wsp:val=&quot;39557F91&quot;/&gt;&lt;wsp:rsid wsp:val=&quot;39561614&quot;/&gt;&lt;wsp:rsid wsp:val=&quot;395D6E46&quot;/&gt;&lt;wsp:rsid wsp:val=&quot;39643D30&quot;/&gt;&lt;wsp:rsid wsp:val=&quot;39650654&quot;/&gt;&lt;wsp:rsid wsp:val=&quot;39656F67&quot;/&gt;&lt;wsp:rsid wsp:val=&quot;39665CFB&quot;/&gt;&lt;wsp:rsid wsp:val=&quot;39667EF3&quot;/&gt;&lt;wsp:rsid wsp:val=&quot;39673821&quot;/&gt;&lt;wsp:rsid wsp:val=&quot;39677CC5&quot;/&gt;&lt;wsp:rsid wsp:val=&quot;396957EB&quot;/&gt;&lt;wsp:rsid wsp:val=&quot;396A50BF&quot;/&gt;&lt;wsp:rsid wsp:val=&quot;396C0E37&quot;/&gt;&lt;wsp:rsid wsp:val=&quot;396F26D5&quot;/&gt;&lt;wsp:rsid wsp:val=&quot;39700927&quot;/&gt;&lt;wsp:rsid wsp:val=&quot;39702384&quot;/&gt;&lt;wsp:rsid wsp:val=&quot;3971644D&quot;/&gt;&lt;wsp:rsid wsp:val=&quot;397228F1&quot;/&gt;&lt;wsp:rsid wsp:val=&quot;39736669&quot;/&gt;&lt;wsp:rsid wsp:val=&quot;39761CC4&quot;/&gt;&lt;wsp:rsid wsp:val=&quot;39777F08&quot;/&gt;&lt;wsp:rsid wsp:val=&quot;397A3554&quot;/&gt;&lt;wsp:rsid wsp:val=&quot;397A79F8&quot;/&gt;&lt;wsp:rsid wsp:val=&quot;397C1E1E&quot;/&gt;&lt;wsp:rsid wsp:val=&quot;397C551E&quot;/&gt;&lt;wsp:rsid wsp:val=&quot;397D1296&quot;/&gt;&lt;wsp:rsid wsp:val=&quot;397D3044&quot;/&gt;&lt;wsp:rsid wsp:val=&quot;397D5501&quot;/&gt;&lt;wsp:rsid wsp:val=&quot;397E6971&quot;/&gt;&lt;wsp:rsid wsp:val=&quot;397E7B4D&quot;/&gt;&lt;wsp:rsid wsp:val=&quot;397F6DBC&quot;/&gt;&lt;wsp:rsid wsp:val=&quot;39803F30&quot;/&gt;&lt;wsp:rsid wsp:val=&quot;39842625&quot;/&gt;&lt;wsp:rsid wsp:val=&quot;3986014B&quot;/&gt;&lt;wsp:rsid wsp:val=&quot;398610CE&quot;/&gt;&lt;wsp:rsid wsp:val=&quot;39872A47&quot;/&gt;&lt;wsp:rsid wsp:val=&quot;398B750F&quot;/&gt;&lt;wsp:rsid wsp:val=&quot;398D1190&quot;/&gt;&lt;wsp:rsid wsp:val=&quot;398E34A3&quot;/&gt;&lt;wsp:rsid wsp:val=&quot;398E7860&quot;/&gt;&lt;wsp:rsid wsp:val=&quot;39902D77&quot;/&gt;&lt;wsp:rsid wsp:val=&quot;39904B26&quot;/&gt;&lt;wsp:rsid wsp:val=&quot;39916AF0&quot;/&gt;&lt;wsp:rsid wsp:val=&quot;399239C7&quot;/&gt;&lt;wsp:rsid wsp:val=&quot;39927671&quot;/&gt;&lt;wsp:rsid wsp:val=&quot;39930ABA&quot;/&gt;&lt;wsp:rsid wsp:val=&quot;399436D2&quot;/&gt;&lt;wsp:rsid wsp:val=&quot;399565E0&quot;/&gt;&lt;wsp:rsid wsp:val=&quot;39964993&quot;/&gt;&lt;wsp:rsid wsp:val=&quot;3996700F&quot;/&gt;&lt;wsp:rsid wsp:val=&quot;39970912&quot;/&gt;&lt;wsp:rsid wsp:val=&quot;39972358&quot;/&gt;&lt;wsp:rsid wsp:val=&quot;39990BFA&quot;/&gt;&lt;wsp:rsid wsp:val=&quot;399B34CA&quot;/&gt;&lt;wsp:rsid wsp:val=&quot;399C171C&quot;/&gt;&lt;wsp:rsid wsp:val=&quot;399E6185&quot;/&gt;&lt;wsp:rsid wsp:val=&quot;399F745E&quot;/&gt;&lt;wsp:rsid wsp:val=&quot;39A131D7&quot;/&gt;&lt;wsp:rsid wsp:val=&quot;39A14595&quot;/&gt;&lt;wsp:rsid wsp:val=&quot;39A14F85&quot;/&gt;&lt;wsp:rsid wsp:val=&quot;39A30504&quot;/&gt;&lt;wsp:rsid wsp:val=&quot;39A44657&quot;/&gt;&lt;wsp:rsid wsp:val=&quot;39A46823&quot;/&gt;&lt;wsp:rsid wsp:val=&quot;39A607ED&quot;/&gt;&lt;wsp:rsid wsp:val=&quot;39A9208B&quot;/&gt;&lt;wsp:rsid wsp:val=&quot;39A95BE7&quot;/&gt;&lt;wsp:rsid wsp:val=&quot;39AB195F&quot;/&gt;&lt;wsp:rsid wsp:val=&quot;39AF63D9&quot;/&gt;&lt;wsp:rsid wsp:val=&quot;39B051C8&quot;/&gt;&lt;wsp:rsid wsp:val=&quot;39B12CEE&quot;/&gt;&lt;wsp:rsid wsp:val=&quot;39B20F40&quot;/&gt;&lt;wsp:rsid wsp:val=&quot;39B27192&quot;/&gt;&lt;wsp:rsid wsp:val=&quot;39B742F7&quot;/&gt;&lt;wsp:rsid wsp:val=&quot;39B8138C&quot;/&gt;&lt;wsp:rsid wsp:val=&quot;39B8407C&quot;/&gt;&lt;wsp:rsid wsp:val=&quot;39B90520&quot;/&gt;&lt;wsp:rsid wsp:val=&quot;39BA4298&quot;/&gt;&lt;wsp:rsid wsp:val=&quot;39BA7DF4&quot;/&gt;&lt;wsp:rsid wsp:val=&quot;39BC591B&quot;/&gt;&lt;wsp:rsid wsp:val=&quot;39BD78E5&quot;/&gt;&lt;wsp:rsid wsp:val=&quot;39BF18AF&quot;/&gt;&lt;wsp:rsid wsp:val=&quot;39C173D5&quot;/&gt;&lt;wsp:rsid wsp:val=&quot;39C3314D&quot;/&gt;&lt;wsp:rsid wsp:val=&quot;39C4792F&quot;/&gt;&lt;wsp:rsid wsp:val=&quot;39C62C3D&quot;/&gt;&lt;wsp:rsid wsp:val=&quot;39C63F54&quot;/&gt;&lt;wsp:rsid wsp:val=&quot;39C80763&quot;/&gt;&lt;wsp:rsid wsp:val=&quot;39C87DCA&quot;/&gt;&lt;wsp:rsid wsp:val=&quot;39CE38A0&quot;/&gt;&lt;wsp:rsid wsp:val=&quot;39CE564E&quot;/&gt;&lt;wsp:rsid wsp:val=&quot;39D013C6&quot;/&gt;&lt;wsp:rsid wsp:val=&quot;39D07618&quot;/&gt;&lt;wsp:rsid wsp:val=&quot;39D215E2&quot;/&gt;&lt;wsp:rsid wsp:val=&quot;39D2513E&quot;/&gt;&lt;wsp:rsid wsp:val=&quot;39D76BF8&quot;/&gt;&lt;wsp:rsid wsp:val=&quot;39DA2245&quot;/&gt;&lt;wsp:rsid wsp:val=&quot;39DC420F&quot;/&gt;&lt;wsp:rsid wsp:val=&quot;39DC5FBD&quot;/&gt;&lt;wsp:rsid wsp:val=&quot;39DE7F87&quot;/&gt;&lt;wsp:rsid wsp:val=&quot;39DF3CFF&quot;/&gt;&lt;wsp:rsid wsp:val=&quot;39DF5C78&quot;/&gt;&lt;wsp:rsid wsp:val=&quot;39DF785B&quot;/&gt;&lt;wsp:rsid wsp:val=&quot;39E15381&quot;/&gt;&lt;wsp:rsid wsp:val=&quot;39E3574B&quot;/&gt;&lt;wsp:rsid wsp:val=&quot;39E3734B&quot;/&gt;&lt;wsp:rsid wsp:val=&quot;39E60BE9&quot;/&gt;&lt;wsp:rsid wsp:val=&quot;39E62997&quot;/&gt;&lt;wsp:rsid wsp:val=&quot;39E6440A&quot;/&gt;&lt;wsp:rsid wsp:val=&quot;39E6508D&quot;/&gt;&lt;wsp:rsid wsp:val=&quot;39E76710&quot;/&gt;&lt;wsp:rsid wsp:val=&quot;39E84962&quot;/&gt;&lt;wsp:rsid wsp:val=&quot;39E906DA&quot;/&gt;&lt;wsp:rsid wsp:val=&quot;39EB091C&quot;/&gt;&lt;wsp:rsid wsp:val=&quot;39ED01CA&quot;/&gt;&lt;wsp:rsid wsp:val=&quot;39EE7A9E&quot;/&gt;&lt;wsp:rsid wsp:val=&quot;39EF3F42&quot;/&gt;&lt;wsp:rsid wsp:val=&quot;39F01A68&quot;/&gt;&lt;wsp:rsid wsp:val=&quot;39F257E0&quot;/&gt;&lt;wsp:rsid wsp:val=&quot;39F2758E&quot;/&gt;&lt;wsp:rsid wsp:val=&quot;39F32179&quot;/&gt;&lt;wsp:rsid wsp:val=&quot;39F33306&quot;/&gt;&lt;wsp:rsid wsp:val=&quot;39F477B4&quot;/&gt;&lt;wsp:rsid wsp:val=&quot;39F71049&quot;/&gt;&lt;wsp:rsid wsp:val=&quot;39F74BA5&quot;/&gt;&lt;wsp:rsid wsp:val=&quot;39F83C4E&quot;/&gt;&lt;wsp:rsid wsp:val=&quot;39F94DC1&quot;/&gt;&lt;wsp:rsid wsp:val=&quot;39F96B6F&quot;/&gt;&lt;wsp:rsid wsp:val=&quot;39FA28E7&quot;/&gt;&lt;wsp:rsid wsp:val=&quot;39FE0F50&quot;/&gt;&lt;wsp:rsid wsp:val=&quot;39FE4185&quot;/&gt;&lt;wsp:rsid wsp:val=&quot;39FF3A59&quot;/&gt;&lt;wsp:rsid wsp:val=&quot;3A013C75&quot;/&gt;&lt;wsp:rsid wsp:val=&quot;3A033549&quot;/&gt;&lt;wsp:rsid wsp:val=&quot;3A0472C2&quot;/&gt;&lt;wsp:rsid wsp:val=&quot;3A06303A&quot;/&gt;&lt;wsp:rsid wsp:val=&quot;3A064DE8&quot;/&gt;&lt;wsp:rsid wsp:val=&quot;3A07786C&quot;/&gt;&lt;wsp:rsid wsp:val=&quot;3A080B60&quot;/&gt;&lt;wsp:rsid wsp:val=&quot;3A0B0650&quot;/&gt;&lt;wsp:rsid wsp:val=&quot;3A0B1FE4&quot;/&gt;&lt;wsp:rsid wsp:val=&quot;3A0D43C8&quot;/&gt;&lt;wsp:rsid wsp:val=&quot;3A10210A&quot;/&gt;&lt;wsp:rsid wsp:val=&quot;3A103EB8&quot;/&gt;&lt;wsp:rsid wsp:val=&quot;3A12378C&quot;/&gt;&lt;wsp:rsid wsp:val=&quot;3A127C30&quot;/&gt;&lt;wsp:rsid wsp:val=&quot;3A137505&quot;/&gt;&lt;wsp:rsid wsp:val=&quot;3A1439A9&quot;/&gt;&lt;wsp:rsid wsp:val=&quot;3A1514CF&quot;/&gt;&lt;wsp:rsid wsp:val=&quot;3A15327D&quot;/&gt;&lt;wsp:rsid wsp:val=&quot;3A155D47&quot;/&gt;&lt;wsp:rsid wsp:val=&quot;3A173499&quot;/&gt;&lt;wsp:rsid wsp:val=&quot;3A175247&quot;/&gt;&lt;wsp:rsid wsp:val=&quot;3A176FF5&quot;/&gt;&lt;wsp:rsid wsp:val=&quot;3A185C7A&quot;/&gt;&lt;wsp:rsid wsp:val=&quot;3A1A0893&quot;/&gt;&lt;wsp:rsid wsp:val=&quot;3A1A679C&quot;/&gt;&lt;wsp:rsid wsp:val=&quot;3A1B1BB9&quot;/&gt;&lt;wsp:rsid wsp:val=&quot;3A1C460B&quot;/&gt;&lt;wsp:rsid wsp:val=&quot;3A1D44D9&quot;/&gt;&lt;wsp:rsid wsp:val=&quot;3A233BEC&quot;/&gt;&lt;wsp:rsid wsp:val=&quot;3A241712&quot;/&gt;&lt;wsp:rsid wsp:val=&quot;3A245469&quot;/&gt;&lt;wsp:rsid wsp:val=&quot;3A25040D&quot;/&gt;&lt;wsp:rsid wsp:val=&quot;3A255BB6&quot;/&gt;&lt;wsp:rsid wsp:val=&quot;3A2619FB&quot;/&gt;&lt;wsp:rsid wsp:val=&quot;3A26548A&quot;/&gt;&lt;wsp:rsid wsp:val=&quot;3A282FB0&quot;/&gt;&lt;wsp:rsid wsp:val=&quot;3A296D28&quot;/&gt;&lt;wsp:rsid wsp:val=&quot;3A2A31CC&quot;/&gt;&lt;wsp:rsid wsp:val=&quot;3A2A4F7A&quot;/&gt;&lt;wsp:rsid wsp:val=&quot;3A2B2AA0&quot;/&gt;&lt;wsp:rsid wsp:val=&quot;3A2C570F&quot;/&gt;&lt;wsp:rsid wsp:val=&quot;3A2E2C61&quot;/&gt;&lt;wsp:rsid wsp:val=&quot;3A2F07E2&quot;/&gt;&lt;wsp:rsid wsp:val=&quot;3A2F2590&quot;/&gt;&lt;wsp:rsid wsp:val=&quot;3A2F25D4&quot;/&gt;&lt;wsp:rsid wsp:val=&quot;3A2F628B&quot;/&gt;&lt;wsp:rsid wsp:val=&quot;3A311201&quot;/&gt;&lt;wsp:rsid wsp:val=&quot;3A323FC3&quot;/&gt;&lt;wsp:rsid wsp:val=&quot;3A331955&quot;/&gt;&lt;wsp:rsid wsp:val=&quot;3A347BA7&quot;/&gt;&lt;wsp:rsid wsp:val=&quot;3A355331&quot;/&gt;&lt;wsp:rsid wsp:val=&quot;3A3556CD&quot;/&gt;&lt;wsp:rsid wsp:val=&quot;3A361B71&quot;/&gt;&lt;wsp:rsid wsp:val=&quot;3A3A2CE3&quot;/&gt;&lt;wsp:rsid wsp:val=&quot;3A3C2EFF&quot;/&gt;&lt;wsp:rsid wsp:val=&quot;3A4019E9&quot;/&gt;&lt;wsp:rsid wsp:val=&quot;3A410DCE&quot;/&gt;&lt;wsp:rsid wsp:val=&quot;3A4122C4&quot;/&gt;&lt;wsp:rsid wsp:val=&quot;3A414072&quot;/&gt;&lt;wsp:rsid wsp:val=&quot;3A437DEA&quot;/&gt;&lt;wsp:rsid wsp:val=&quot;3A44036E&quot;/&gt;&lt;wsp:rsid wsp:val=&quot;3A461688&quot;/&gt;&lt;wsp:rsid wsp:val=&quot;3A465B2C&quot;/&gt;&lt;wsp:rsid wsp:val=&quot;3A466755&quot;/&gt;&lt;wsp:rsid wsp:val=&quot;3A4818A4&quot;/&gt;&lt;wsp:rsid wsp:val=&quot;3A4A73CA&quot;/&gt;&lt;wsp:rsid wsp:val=&quot;3A4B4EF0&quot;/&gt;&lt;wsp:rsid wsp:val=&quot;3A4C3887&quot;/&gt;&lt;wsp:rsid wsp:val=&quot;3A4D4A47&quot;/&gt;&lt;wsp:rsid wsp:val=&quot;3A4F4F2D&quot;/&gt;&lt;wsp:rsid wsp:val=&quot;3A5169AB&quot;/&gt;&lt;wsp:rsid wsp:val=&quot;3A51788C&quot;/&gt;&lt;wsp:rsid wsp:val=&quot;3A541FF7&quot;/&gt;&lt;wsp:rsid wsp:val=&quot;3A543DA5&quot;/&gt;&lt;wsp:rsid wsp:val=&quot;3A575643&quot;/&gt;&lt;wsp:rsid wsp:val=&quot;3A5913BB&quot;/&gt;&lt;wsp:rsid wsp:val=&quot;3A5A447A&quot;/&gt;&lt;wsp:rsid wsp:val=&quot;3A5B3385&quot;/&gt;&lt;wsp:rsid wsp:val=&quot;3A5B574A&quot;/&gt;&lt;wsp:rsid wsp:val=&quot;3A5D6AE5&quot;/&gt;&lt;wsp:rsid wsp:val=&quot;3A5E4C24&quot;/&gt;&lt;wsp:rsid wsp:val=&quot;3A5E69D2&quot;/&gt;&lt;wsp:rsid wsp:val=&quot;3A5F274A&quot;/&gt;&lt;wsp:rsid wsp:val=&quot;3A606BEE&quot;/&gt;&lt;wsp:rsid wsp:val=&quot;3A612966&quot;/&gt;&lt;wsp:rsid wsp:val=&quot;3A63223A&quot;/&gt;&lt;wsp:rsid wsp:val=&quot;3A636C6D&quot;/&gt;&lt;wsp:rsid wsp:val=&quot;3A647D60&quot;/&gt;&lt;wsp:rsid wsp:val=&quot;3A663EE1&quot;/&gt;&lt;wsp:rsid wsp:val=&quot;3A667F7C&quot;/&gt;&lt;wsp:rsid wsp:val=&quot;3A687850&quot;/&gt;&lt;wsp:rsid wsp:val=&quot;3A6A35C8&quot;/&gt;&lt;wsp:rsid wsp:val=&quot;3A6B24B9&quot;/&gt;&lt;wsp:rsid wsp:val=&quot;3A6B5F4D&quot;/&gt;&lt;wsp:rsid wsp:val=&quot;3A6B7341&quot;/&gt;&lt;wsp:rsid wsp:val=&quot;3A6C5593&quot;/&gt;&lt;wsp:rsid wsp:val=&quot;3A707DE1&quot;/&gt;&lt;wsp:rsid wsp:val=&quot;3A72452B&quot;/&gt;&lt;wsp:rsid wsp:val=&quot;3A757B75&quot;/&gt;&lt;wsp:rsid wsp:val=&quot;3A763C53&quot;/&gt;&lt;wsp:rsid wsp:val=&quot;3A784304&quot;/&gt;&lt;wsp:rsid wsp:val=&quot;3A79202A&quot;/&gt;&lt;wsp:rsid wsp:val=&quot;3A79380C&quot;/&gt;&lt;wsp:rsid wsp:val=&quot;3A7A3A64&quot;/&gt;&lt;wsp:rsid wsp:val=&quot;3A7E7074&quot;/&gt;&lt;wsp:rsid wsp:val=&quot;3A7E7310&quot;/&gt;&lt;wsp:rsid wsp:val=&quot;3A802DEC&quot;/&gt;&lt;wsp:rsid wsp:val=&quot;3A810912&quot;/&gt;&lt;wsp:rsid wsp:val=&quot;3A816B64&quot;/&gt;&lt;wsp:rsid wsp:val=&quot;3A8328DC&quot;/&gt;&lt;wsp:rsid wsp:val=&quot;3A856654&quot;/&gt;&lt;wsp:rsid wsp:val=&quot;3A86417A&quot;/&gt;&lt;wsp:rsid wsp:val=&quot;3A872856&quot;/&gt;&lt;wsp:rsid wsp:val=&quot;3A884996&quot;/&gt;&lt;wsp:rsid wsp:val=&quot;3A8A77C7&quot;/&gt;&lt;wsp:rsid wsp:val=&quot;3A8B75BA&quot;/&gt;&lt;wsp:rsid wsp:val=&quot;3A8F74D3&quot;/&gt;&lt;wsp:rsid wsp:val=&quot;3A9028D6&quot;/&gt;&lt;wsp:rsid wsp:val=&quot;3A914FF9&quot;/&gt;&lt;wsp:rsid wsp:val=&quot;3A9248CD&quot;/&gt;&lt;wsp:rsid wsp:val=&quot;3A941DDB&quot;/&gt;&lt;wsp:rsid wsp:val=&quot;3A943F6D&quot;/&gt;&lt;wsp:rsid wsp:val=&quot;3A9643BE&quot;/&gt;&lt;wsp:rsid wsp:val=&quot;3A976388&quot;/&gt;&lt;wsp:rsid wsp:val=&quot;3A992100&quot;/&gt;&lt;wsp:rsid wsp:val=&quot;3A9B5E78&quot;/&gt;&lt;wsp:rsid wsp:val=&quot;3A9B7C26&quot;/&gt;&lt;wsp:rsid wsp:val=&quot;3A9C574C&quot;/&gt;&lt;wsp:rsid wsp:val=&quot;3A9E028E&quot;/&gt;&lt;wsp:rsid wsp:val=&quot;3AA30888&quot;/&gt;&lt;wsp:rsid wsp:val=&quot;3AA33889&quot;/&gt;&lt;wsp:rsid wsp:val=&quot;3AA34D2C&quot;/&gt;&lt;wsp:rsid wsp:val=&quot;3AA54601&quot;/&gt;&lt;wsp:rsid wsp:val=&quot;3AA80595&quot;/&gt;&lt;wsp:rsid wsp:val=&quot;3AA84F4E&quot;/&gt;&lt;wsp:rsid wsp:val=&quot;3AAA60BB&quot;/&gt;&lt;wsp:rsid wsp:val=&quot;3AAD14C4&quot;/&gt;&lt;wsp:rsid wsp:val=&quot;3AB02FA5&quot;/&gt;&lt;wsp:rsid wsp:val=&quot;3AB115D7&quot;/&gt;&lt;wsp:rsid wsp:val=&quot;3AB24F6F&quot;/&gt;&lt;wsp:rsid wsp:val=&quot;3AB4781F&quot;/&gt;&lt;wsp:rsid wsp:val=&quot;3AB64A60&quot;/&gt;&lt;wsp:rsid wsp:val=&quot;3AB6680E&quot;/&gt;&lt;wsp:rsid wsp:val=&quot;3AB962FE&quot;/&gt;&lt;wsp:rsid wsp:val=&quot;3ABB2076&quot;/&gt;&lt;wsp:rsid wsp:val=&quot;3ABB3E24&quot;/&gt;&lt;wsp:rsid wsp:val=&quot;3AC0143A&quot;/&gt;&lt;wsp:rsid wsp:val=&quot;3AC0768C&quot;/&gt;&lt;wsp:rsid wsp:val=&quot;3AC132B4&quot;/&gt;&lt;wsp:rsid wsp:val=&quot;3AC25823&quot;/&gt;&lt;wsp:rsid wsp:val=&quot;3AC30F2B&quot;/&gt;&lt;wsp:rsid wsp:val=&quot;3AC3717D&quot;/&gt;&lt;wsp:rsid wsp:val=&quot;3AC54CA3&quot;/&gt;&lt;wsp:rsid wsp:val=&quot;3AC834FB&quot;/&gt;&lt;wsp:rsid wsp:val=&quot;3AC86541&quot;/&gt;&lt;wsp:rsid wsp:val=&quot;3AC96ADB&quot;/&gt;&lt;wsp:rsid wsp:val=&quot;3ACA4067&quot;/&gt;&lt;wsp:rsid wsp:val=&quot;3ACB24DB&quot;/&gt;&lt;wsp:rsid wsp:val=&quot;3ACC4283&quot;/&gt;&lt;wsp:rsid wsp:val=&quot;3ACC6031&quot;/&gt;&lt;wsp:rsid wsp:val=&quot;3ACC7DDF&quot;/&gt;&lt;wsp:rsid wsp:val=&quot;3ACF167E&quot;/&gt;&lt;wsp:rsid wsp:val=&quot;3ACF78CF&quot;/&gt;&lt;wsp:rsid wsp:val=&quot;3AD35612&quot;/&gt;&lt;wsp:rsid wsp:val=&quot;3AD71C07&quot;/&gt;&lt;wsp:rsid wsp:val=&quot;3AD76784&quot;/&gt;&lt;wsp:rsid wsp:val=&quot;3AD818AF&quot;/&gt;&lt;wsp:rsid wsp:val=&quot;3AD82C28&quot;/&gt;&lt;wsp:rsid wsp:val=&quot;3ADC3D9A&quot;/&gt;&lt;wsp:rsid wsp:val=&quot;3ADD023E&quot;/&gt;&lt;wsp:rsid wsp:val=&quot;3ADD1FEC&quot;/&gt;&lt;wsp:rsid wsp:val=&quot;3ADE3FB6&quot;/&gt;&lt;wsp:rsid wsp:val=&quot;3ADE5D64&quot;/&gt;&lt;wsp:rsid wsp:val=&quot;3AE0388B&quot;/&gt;&lt;wsp:rsid wsp:val=&quot;3AE2555B&quot;/&gt;&lt;wsp:rsid wsp:val=&quot;3AE31593&quot;/&gt;&lt;wsp:rsid wsp:val=&quot;3AE35129&quot;/&gt;&lt;wsp:rsid wsp:val=&quot;3AE461D5&quot;/&gt;&lt;wsp:rsid wsp:val=&quot;3AE52BFA&quot;/&gt;&lt;wsp:rsid wsp:val=&quot;3AE71BE5&quot;/&gt;&lt;wsp:rsid wsp:val=&quot;3AE84EDD&quot;/&gt;&lt;wsp:rsid wsp:val=&quot;3AE96BE3&quot;/&gt;&lt;wsp:rsid wsp:val=&quot;3AEA295B&quot;/&gt;&lt;wsp:rsid wsp:val=&quot;3AEA40B8&quot;/&gt;&lt;wsp:rsid wsp:val=&quot;3AEA64B7&quot;/&gt;&lt;wsp:rsid wsp:val=&quot;3AEC0481&quot;/&gt;&lt;wsp:rsid wsp:val=&quot;3AEC7B7A&quot;/&gt;&lt;wsp:rsid wsp:val=&quot;3AED5FA8&quot;/&gt;&lt;wsp:rsid wsp:val=&quot;3AEE244B&quot;/&gt;&lt;wsp:rsid wsp:val=&quot;3AEF7F72&quot;/&gt;&lt;wsp:rsid wsp:val=&quot;3AF02707&quot;/&gt;&lt;wsp:rsid wsp:val=&quot;3AF25027&quot;/&gt;&lt;wsp:rsid wsp:val=&quot;3AF410E4&quot;/&gt;&lt;wsp:rsid wsp:val=&quot;3AF61300&quot;/&gt;&lt;wsp:rsid wsp:val=&quot;3AF64E5C&quot;/&gt;&lt;wsp:rsid wsp:val=&quot;3AF70BD4&quot;/&gt;&lt;wsp:rsid wsp:val=&quot;3AF76FF8&quot;/&gt;&lt;wsp:rsid wsp:val=&quot;3AFA0DF0&quot;/&gt;&lt;wsp:rsid wsp:val=&quot;3AFC23EB&quot;/&gt;&lt;wsp:rsid wsp:val=&quot;3AFD4CED&quot;/&gt;&lt;wsp:rsid wsp:val=&quot;3AFF0E7D&quot;/&gt;&lt;wsp:rsid wsp:val=&quot;3AFF6407&quot;/&gt;&lt;wsp:rsid wsp:val=&quot;3B007A89&quot;/&gt;&lt;wsp:rsid wsp:val=&quot;3B021A53&quot;/&gt;&lt;wsp:rsid wsp:val=&quot;3B051543&quot;/&gt;&lt;wsp:rsid wsp:val=&quot;3B053A83&quot;/&gt;&lt;wsp:rsid wsp:val=&quot;3B057795&quot;/&gt;&lt;wsp:rsid wsp:val=&quot;3B084B8F&quot;/&gt;&lt;wsp:rsid wsp:val=&quot;3B091033&quot;/&gt;&lt;wsp:rsid wsp:val=&quot;3B0A1C96&quot;/&gt;&lt;wsp:rsid wsp:val=&quot;3B0A2042&quot;/&gt;&lt;wsp:rsid wsp:val=&quot;3B0A5E7F&quot;/&gt;&lt;wsp:rsid wsp:val=&quot;3B0A6C5F&quot;/&gt;&lt;wsp:rsid wsp:val=&quot;3B0C4680&quot;/&gt;&lt;wsp:rsid wsp:val=&quot;3B0D1C2F&quot;/&gt;&lt;wsp:rsid wsp:val=&quot;3B0E03F8&quot;/&gt;&lt;wsp:rsid wsp:val=&quot;3B0E263C&quot;/&gt;&lt;wsp:rsid wsp:val=&quot;3B141B02&quot;/&gt;&lt;wsp:rsid wsp:val=&quot;3B143534&quot;/&gt;&lt;wsp:rsid wsp:val=&quot;3B1479D8&quot;/&gt;&lt;wsp:rsid wsp:val=&quot;3B196D9D&quot;/&gt;&lt;wsp:rsid wsp:val=&quot;3B1B2B15&quot;/&gt;&lt;wsp:rsid wsp:val=&quot;3B1B48C3&quot;/&gt;&lt;wsp:rsid wsp:val=&quot;3B1B6E04&quot;/&gt;&lt;wsp:rsid wsp:val=&quot;3B1D1699&quot;/&gt;&lt;wsp:rsid wsp:val=&quot;3B1D688D&quot;/&gt;&lt;wsp:rsid wsp:val=&quot;3B1E43B3&quot;/&gt;&lt;wsp:rsid wsp:val=&quot;3B20637D&quot;/&gt;&lt;wsp:rsid wsp:val=&quot;3B211535&quot;/&gt;&lt;wsp:rsid wsp:val=&quot;3B2229C5&quot;/&gt;&lt;wsp:rsid wsp:val=&quot;3B2306F7&quot;/&gt;&lt;wsp:rsid wsp:val=&quot;3B2319C9&quot;/&gt;&lt;wsp:rsid wsp:val=&quot;3B24625C&quot;/&gt;&lt;wsp:rsid wsp:val=&quot;3B29048F&quot;/&gt;&lt;wsp:rsid wsp:val=&quot;3B2A2D58&quot;/&gt;&lt;wsp:rsid wsp:val=&quot;3B2C2F74&quot;/&gt;&lt;wsp:rsid wsp:val=&quot;3B2E2848&quot;/&gt;&lt;wsp:rsid wsp:val=&quot;3B312338&quot;/&gt;&lt;wsp:rsid wsp:val=&quot;3B3140E6&quot;/&gt;&lt;wsp:rsid wsp:val=&quot;3B334302&quot;/&gt;&lt;wsp:rsid wsp:val=&quot;3B33508B&quot;/&gt;&lt;wsp:rsid wsp:val=&quot;3B3360B0&quot;/&gt;&lt;wsp:rsid wsp:val=&quot;3B345984&quot;/&gt;&lt;wsp:rsid wsp:val=&quot;3B347B68&quot;/&gt;&lt;wsp:rsid wsp:val=&quot;3B36794F&quot;/&gt;&lt;wsp:rsid wsp:val=&quot;3B3763D1&quot;/&gt;&lt;wsp:rsid wsp:val=&quot;3B381919&quot;/&gt;&lt;wsp:rsid wsp:val=&quot;3B3836C7&quot;/&gt;&lt;wsp:rsid wsp:val=&quot;3B385475&quot;/&gt;&lt;wsp:rsid wsp:val=&quot;3B3911ED&quot;/&gt;&lt;wsp:rsid wsp:val=&quot;3B3B31B7&quot;/&gt;&lt;wsp:rsid wsp:val=&quot;3B3B6D13&quot;/&gt;&lt;wsp:rsid wsp:val=&quot;3B3E6803&quot;/&gt;&lt;wsp:rsid wsp:val=&quot;3B40257B&quot;/&gt;&lt;wsp:rsid wsp:val=&quot;3B404329&quot;/&gt;&lt;wsp:rsid wsp:val=&quot;3B410B1F&quot;/&gt;&lt;wsp:rsid wsp:val=&quot;3B424545&quot;/&gt;&lt;wsp:rsid wsp:val=&quot;3B455DE4&quot;/&gt;&lt;wsp:rsid wsp:val=&quot;3B462D16&quot;/&gt;&lt;wsp:rsid wsp:val=&quot;3B47368F&quot;/&gt;&lt;wsp:rsid wsp:val=&quot;3B47390A&quot;/&gt;&lt;wsp:rsid wsp:val=&quot;3B491430&quot;/&gt;&lt;wsp:rsid wsp:val=&quot;3B4B758E&quot;/&gt;&lt;wsp:rsid wsp:val=&quot;3B4E0FE9&quot;/&gt;&lt;wsp:rsid wsp:val=&quot;3B4E2EEA&quot;/&gt;&lt;wsp:rsid wsp:val=&quot;3B4F6010&quot;/&gt;&lt;wsp:rsid wsp:val=&quot;3B510614&quot;/&gt;&lt;wsp:rsid wsp:val=&quot;3B512721&quot;/&gt;&lt;wsp:rsid wsp:val=&quot;3B516536&quot;/&gt;&lt;wsp:rsid wsp:val=&quot;3B530501&quot;/&gt;&lt;wsp:rsid wsp:val=&quot;3B53405D&quot;/&gt;&lt;wsp:rsid wsp:val=&quot;3B546F95&quot;/&gt;&lt;wsp:rsid wsp:val=&quot;3B547DD5&quot;/&gt;&lt;wsp:rsid wsp:val=&quot;3B572D45&quot;/&gt;&lt;wsp:rsid wsp:val=&quot;3B585B17&quot;/&gt;&lt;wsp:rsid wsp:val=&quot;3B5A16C6&quot;/&gt;&lt;wsp:rsid wsp:val=&quot;3B5A363D&quot;/&gt;&lt;wsp:rsid wsp:val=&quot;3B5B1163&quot;/&gt;&lt;wsp:rsid wsp:val=&quot;3B5B73B5&quot;/&gt;&lt;wsp:rsid wsp:val=&quot;3B5D137F&quot;/&gt;&lt;wsp:rsid wsp:val=&quot;3B5D256D&quot;/&gt;&lt;wsp:rsid wsp:val=&quot;3B5D312D&quot;/&gt;&lt;wsp:rsid wsp:val=&quot;3B5D4EDB&quot;/&gt;&lt;wsp:rsid wsp:val=&quot;3B5F0C53&quot;/&gt;&lt;wsp:rsid wsp:val=&quot;3B5F14D7&quot;/&gt;&lt;wsp:rsid wsp:val=&quot;3B5F6EA5&quot;/&gt;&lt;wsp:rsid wsp:val=&quot;3B602C1D&quot;/&gt;&lt;wsp:rsid wsp:val=&quot;3B6224F2&quot;/&gt;&lt;wsp:rsid wsp:val=&quot;3B643EB9&quot;/&gt;&lt;wsp:rsid wsp:val=&quot;3B6463EC&quot;/&gt;&lt;wsp:rsid wsp:val=&quot;3B651FE2&quot;/&gt;&lt;wsp:rsid wsp:val=&quot;3B6577A0&quot;/&gt;&lt;wsp:rsid wsp:val=&quot;3B697D24&quot;/&gt;&lt;wsp:rsid wsp:val=&quot;3B6B3A9C&quot;/&gt;&lt;wsp:rsid wsp:val=&quot;3B6B584A&quot;/&gt;&lt;wsp:rsid wsp:val=&quot;3B6C15C2&quot;/&gt;&lt;wsp:rsid wsp:val=&quot;3B6C3370&quot;/&gt;&lt;wsp:rsid wsp:val=&quot;3B6E533A&quot;/&gt;&lt;wsp:rsid wsp:val=&quot;3B710987&quot;/&gt;&lt;wsp:rsid wsp:val=&quot;3B716BD9&quot;/&gt;&lt;wsp:rsid wsp:val=&quot;3B7346FF&quot;/&gt;&lt;wsp:rsid wsp:val=&quot;3B742225&quot;/&gt;&lt;wsp:rsid wsp:val=&quot;3B744E3E&quot;/&gt;&lt;wsp:rsid wsp:val=&quot;3B7753B5&quot;/&gt;&lt;wsp:rsid wsp:val=&quot;3B792A78&quot;/&gt;&lt;wsp:rsid wsp:val=&quot;3B794C4F&quot;/&gt;&lt;wsp:rsid wsp:val=&quot;3B7A06E1&quot;/&gt;&lt;wsp:rsid wsp:val=&quot;3B7A49D5&quot;/&gt;&lt;wsp:rsid wsp:val=&quot;3B7B1805&quot;/&gt;&lt;wsp:rsid wsp:val=&quot;3B7E5BB4&quot;/&gt;&lt;wsp:rsid wsp:val=&quot;3B7F4E52&quot;/&gt;&lt;wsp:rsid wsp:val=&quot;3B805322&quot;/&gt;&lt;wsp:rsid wsp:val=&quot;3B83709F&quot;/&gt;&lt;wsp:rsid wsp:val=&quot;3B8406BA&quot;/&gt;&lt;wsp:rsid wsp:val=&quot;3B841D62&quot;/&gt;&lt;wsp:rsid wsp:val=&quot;3B842468&quot;/&gt;&lt;wsp:rsid wsp:val=&quot;3B84690C&quot;/&gt;&lt;wsp:rsid wsp:val=&quot;3B853F89&quot;/&gt;&lt;wsp:rsid wsp:val=&quot;3B893F22&quot;/&gt;&lt;wsp:rsid wsp:val=&quot;3B8A37F6&quot;/&gt;&lt;wsp:rsid wsp:val=&quot;3B8B1A48&quot;/&gt;&lt;wsp:rsid wsp:val=&quot;3B8E1539&quot;/&gt;&lt;wsp:rsid wsp:val=&quot;3B912DD7&quot;/&gt;&lt;wsp:rsid wsp:val=&quot;3B916673&quot;/&gt;&lt;wsp:rsid wsp:val=&quot;3B93199A&quot;/&gt;&lt;wsp:rsid wsp:val=&quot;3B934DA1&quot;/&gt;&lt;wsp:rsid wsp:val=&quot;3B9823B7&quot;/&gt;&lt;wsp:rsid wsp:val=&quot;3B985F13&quot;/&gt;&lt;wsp:rsid wsp:val=&quot;3B9A612F&quot;/&gt;&lt;wsp:rsid wsp:val=&quot;3B9A7EDD&quot;/&gt;&lt;wsp:rsid wsp:val=&quot;3B9B676C&quot;/&gt;&lt;wsp:rsid wsp:val=&quot;3B9C138F&quot;/&gt;&lt;wsp:rsid wsp:val=&quot;3B9C1EA7&quot;/&gt;&lt;wsp:rsid wsp:val=&quot;3B9D352A&quot;/&gt;&lt;wsp:rsid wsp:val=&quot;3B9D6381&quot;/&gt;&lt;wsp:rsid wsp:val=&quot;3B9E00AB&quot;/&gt;&lt;wsp:rsid wsp:val=&quot;3B9F72A2&quot;/&gt;&lt;wsp:rsid wsp:val=&quot;3BA23236&quot;/&gt;&lt;wsp:rsid wsp:val=&quot;3BA26D92&quot;/&gt;&lt;wsp:rsid wsp:val=&quot;3BA31EEA&quot;/&gt;&lt;wsp:rsid wsp:val=&quot;3BA40D5C&quot;/&gt;&lt;wsp:rsid wsp:val=&quot;3BA448B8&quot;/&gt;&lt;wsp:rsid wsp:val=&quot;3BA64AD4&quot;/&gt;&lt;wsp:rsid wsp:val=&quot;3BA90120&quot;/&gt;&lt;wsp:rsid wsp:val=&quot;3BA945C4&quot;/&gt;&lt;wsp:rsid wsp:val=&quot;3BAA5C47&quot;/&gt;&lt;wsp:rsid wsp:val=&quot;3BAC7C11&quot;/&gt;&lt;wsp:rsid wsp:val=&quot;3BB00B62&quot;/&gt;&lt;wsp:rsid wsp:val=&quot;3BB05953&quot;/&gt;&lt;wsp:rsid wsp:val=&quot;3BB07701&quot;/&gt;&lt;wsp:rsid wsp:val=&quot;3BB16FD5&quot;/&gt;&lt;wsp:rsid wsp:val=&quot;3BB506E3&quot;/&gt;&lt;wsp:rsid wsp:val=&quot;3BB50897&quot;/&gt;&lt;wsp:rsid wsp:val=&quot;3BB56AC5&quot;/&gt;&lt;wsp:rsid wsp:val=&quot;3BB645EB&quot;/&gt;&lt;wsp:rsid wsp:val=&quot;3BB80364&quot;/&gt;&lt;wsp:rsid wsp:val=&quot;3BB91697&quot;/&gt;&lt;wsp:rsid wsp:val=&quot;3BBA232E&quot;/&gt;&lt;wsp:rsid wsp:val=&quot;3BBC42F8&quot;/&gt;&lt;wsp:rsid wsp:val=&quot;3BBC60A6&quot;/&gt;&lt;wsp:rsid wsp:val=&quot;3BBD3BCC&quot;/&gt;&lt;wsp:rsid wsp:val=&quot;3BBD597A&quot;/&gt;&lt;wsp:rsid wsp:val=&quot;3BBF5B96&quot;/&gt;&lt;wsp:rsid wsp:val=&quot;3BC1190E&quot;/&gt;&lt;wsp:rsid wsp:val=&quot;3BC145A2&quot;/&gt;&lt;wsp:rsid wsp:val=&quot;3BC1546A&quot;/&gt;&lt;wsp:rsid wsp:val=&quot;3BC211E2&quot;/&gt;&lt;wsp:rsid wsp:val=&quot;3BC23194&quot;/&gt;&lt;wsp:rsid wsp:val=&quot;3BC27434&quot;/&gt;&lt;wsp:rsid wsp:val=&quot;3BC6195C&quot;/&gt;&lt;wsp:rsid wsp:val=&quot;3BC767F9&quot;/&gt;&lt;wsp:rsid wsp:val=&quot;3BC92571&quot;/&gt;&lt;wsp:rsid wsp:val=&quot;3BC958A8&quot;/&gt;&lt;wsp:rsid wsp:val=&quot;3BC96A15&quot;/&gt;&lt;wsp:rsid wsp:val=&quot;3BCA5C37&quot;/&gt;&lt;wsp:rsid wsp:val=&quot;3BCC0557&quot;/&gt;&lt;wsp:rsid wsp:val=&quot;3BCC2061&quot;/&gt;&lt;wsp:rsid wsp:val=&quot;3BCC3E0F&quot;/&gt;&lt;wsp:rsid wsp:val=&quot;3BCE7B87&quot;/&gt;&lt;wsp:rsid wsp:val=&quot;3BD02172&quot;/&gt;&lt;wsp:rsid wsp:val=&quot;3BD056AD&quot;/&gt;&lt;wsp:rsid wsp:val=&quot;3BD3519D&quot;/&gt;&lt;wsp:rsid wsp:val=&quot;3BD66A3C&quot;/&gt;&lt;wsp:rsid wsp:val=&quot;3BD74C8E&quot;/&gt;&lt;wsp:rsid wsp:val=&quot;3BD776DA&quot;/&gt;&lt;wsp:rsid wsp:val=&quot;3BD80A06&quot;/&gt;&lt;wsp:rsid wsp:val=&quot;3BD827B4&quot;/&gt;&lt;wsp:rsid wsp:val=&quot;3BD86C58&quot;/&gt;&lt;wsp:rsid wsp:val=&quot;3BDB4052&quot;/&gt;&lt;wsp:rsid wsp:val=&quot;3BDC04F6&quot;/&gt;&lt;wsp:rsid wsp:val=&quot;3BDD601C&quot;/&gt;&lt;wsp:rsid wsp:val=&quot;3BDD7DCA&quot;/&gt;&lt;wsp:rsid wsp:val=&quot;3BDE2AC7&quot;/&gt;&lt;wsp:rsid wsp:val=&quot;3BDF36C0&quot;/&gt;&lt;wsp:rsid wsp:val=&quot;3BE112ED&quot;/&gt;&lt;wsp:rsid wsp:val=&quot;3BE1671C&quot;/&gt;&lt;wsp:rsid wsp:val=&quot;3BE23632&quot;/&gt;&lt;wsp:rsid wsp:val=&quot;3BE334BE&quot;/&gt;&lt;wsp:rsid wsp:val=&quot;3BE349CE&quot;/&gt;&lt;wsp:rsid wsp:val=&quot;3BE41159&quot;/&gt;&lt;wsp:rsid wsp:val=&quot;3BE473AB&quot;/&gt;&lt;wsp:rsid wsp:val=&quot;3BE61375&quot;/&gt;&lt;wsp:rsid wsp:val=&quot;3BE63CCF&quot;/&gt;&lt;wsp:rsid wsp:val=&quot;3BE66FC9&quot;/&gt;&lt;wsp:rsid wsp:val=&quot;3BE7089C&quot;/&gt;&lt;wsp:rsid wsp:val=&quot;3BE70C49&quot;/&gt;&lt;wsp:rsid wsp:val=&quot;3BE92C13&quot;/&gt;&lt;wsp:rsid wsp:val=&quot;3BE9676F&quot;/&gt;&lt;wsp:rsid wsp:val=&quot;3BEB005B&quot;/&gt;&lt;wsp:rsid wsp:val=&quot;3BEC625F&quot;/&gt;&lt;wsp:rsid wsp:val=&quot;3BED2703&quot;/&gt;&lt;wsp:rsid wsp:val=&quot;3BF07AFD&quot;/&gt;&lt;wsp:rsid wsp:val=&quot;3BF21AC7&quot;/&gt;&lt;wsp:rsid wsp:val=&quot;3BF27D19&quot;/&gt;&lt;wsp:rsid wsp:val=&quot;3BF33A92&quot;/&gt;&lt;wsp:rsid wsp:val=&quot;3BF375EE&quot;/&gt;&lt;wsp:rsid wsp:val=&quot;3BF55114&quot;/&gt;&lt;wsp:rsid wsp:val=&quot;3BF62E7B&quot;/&gt;&lt;wsp:rsid wsp:val=&quot;3BF910A8&quot;/&gt;&lt;wsp:rsid wsp:val=&quot;3BFC2946&quot;/&gt;&lt;wsp:rsid wsp:val=&quot;3BFC64A2&quot;/&gt;&lt;wsp:rsid wsp:val=&quot;3BFD221A&quot;/&gt;&lt;wsp:rsid wsp:val=&quot;3BFE66BE&quot;/&gt;&lt;wsp:rsid wsp:val=&quot;3BFE7989&quot;/&gt;&lt;wsp:rsid wsp:val=&quot;3BFF237D&quot;/&gt;&lt;wsp:rsid wsp:val=&quot;3BFF33E6&quot;/&gt;&lt;wsp:rsid wsp:val=&quot;3BFF5F92&quot;/&gt;&lt;wsp:rsid wsp:val=&quot;3C0178D1&quot;/&gt;&lt;wsp:rsid wsp:val=&quot;3C026603&quot;/&gt;&lt;wsp:rsid wsp:val=&quot;3C0417FB&quot;/&gt;&lt;wsp:rsid wsp:val=&quot;3C0435A9&quot;/&gt;&lt;wsp:rsid wsp:val=&quot;3C055B17&quot;/&gt;&lt;wsp:rsid wsp:val=&quot;3C065573&quot;/&gt;&lt;wsp:rsid wsp:val=&quot;3C067321&quot;/&gt;&lt;wsp:rsid wsp:val=&quot;3C0812EB&quot;/&gt;&lt;wsp:rsid wsp:val=&quot;3C08753D&quot;/&gt;&lt;wsp:rsid wsp:val=&quot;3C0A04F9&quot;/&gt;&lt;wsp:rsid wsp:val=&quot;3C0B455A&quot;/&gt;&lt;wsp:rsid wsp:val=&quot;3C0C5463&quot;/&gt;&lt;wsp:rsid wsp:val=&quot;3C0C59EA&quot;/&gt;&lt;wsp:rsid wsp:val=&quot;3C0E28B1&quot;/&gt;&lt;wsp:rsid wsp:val=&quot;3C101F4E&quot;/&gt;&lt;wsp:rsid wsp:val=&quot;3C12157C&quot;/&gt;&lt;wsp:rsid wsp:val=&quot;3C125CC6&quot;/&gt;&lt;wsp:rsid wsp:val=&quot;3C131A3E&quot;/&gt;&lt;wsp:rsid wsp:val=&quot;3C135E94&quot;/&gt;&lt;wsp:rsid wsp:val=&quot;3C14417C&quot;/&gt;&lt;wsp:rsid wsp:val=&quot;3C145487&quot;/&gt;&lt;wsp:rsid wsp:val=&quot;3C153A08&quot;/&gt;&lt;wsp:rsid wsp:val=&quot;3C1736E3&quot;/&gt;&lt;wsp:rsid wsp:val=&quot;3C177780&quot;/&gt;&lt;wsp:rsid wsp:val=&quot;3C1852A6&quot;/&gt;&lt;wsp:rsid wsp:val=&quot;3C1A101E&quot;/&gt;&lt;wsp:rsid wsp:val=&quot;3C1A2DCC&quot;/&gt;&lt;wsp:rsid wsp:val=&quot;3C1A67DC&quot;/&gt;&lt;wsp:rsid wsp:val=&quot;3C1A68AD&quot;/&gt;&lt;wsp:rsid wsp:val=&quot;3C1A7270&quot;/&gt;&lt;wsp:rsid wsp:val=&quot;3C1C18F8&quot;/&gt;&lt;wsp:rsid wsp:val=&quot;3C1C4D96&quot;/&gt;&lt;wsp:rsid wsp:val=&quot;3C1E0B0E&quot;/&gt;&lt;wsp:rsid wsp:val=&quot;3C1E28BD&quot;/&gt;&lt;wsp:rsid wsp:val=&quot;3C1F03E3&quot;/&gt;&lt;wsp:rsid wsp:val=&quot;3C20271F&quot;/&gt;&lt;wsp:rsid wsp:val=&quot;3C210428&quot;/&gt;&lt;wsp:rsid wsp:val=&quot;3C221C81&quot;/&gt;&lt;wsp:rsid wsp:val=&quot;3C243C4B&quot;/&gt;&lt;wsp:rsid wsp:val=&quot;3C2679C3&quot;/&gt;&lt;wsp:rsid wsp:val=&quot;3C277297&quot;/&gt;&lt;wsp:rsid wsp:val=&quot;3C294F12&quot;/&gt;&lt;wsp:rsid wsp:val=&quot;3C2974B3&quot;/&gt;&lt;wsp:rsid wsp:val=&quot;3C2B6D87&quot;/&gt;&lt;wsp:rsid wsp:val=&quot;3C2B7AFE&quot;/&gt;&lt;wsp:rsid wsp:val=&quot;3C2D0D52&quot;/&gt;&lt;wsp:rsid wsp:val=&quot;3C2D2B00&quot;/&gt;&lt;wsp:rsid wsp:val=&quot;3C2D6FA3&quot;/&gt;&lt;wsp:rsid wsp:val=&quot;3C2E0626&quot;/&gt;&lt;wsp:rsid wsp:val=&quot;3C2E7589&quot;/&gt;&lt;wsp:rsid wsp:val=&quot;3C2F4ACA&quot;/&gt;&lt;wsp:rsid wsp:val=&quot;3C2F6E1E&quot;/&gt;&lt;wsp:rsid wsp:val=&quot;3C320116&quot;/&gt;&lt;wsp:rsid wsp:val=&quot;3C3224E4&quot;/&gt;&lt;wsp:rsid wsp:val=&quot;3C345DD1&quot;/&gt;&lt;wsp:rsid wsp:val=&quot;3C352F86&quot;/&gt;&lt;wsp:rsid wsp:val=&quot;3C355E58&quot;/&gt;&lt;wsp:rsid wsp:val=&quot;3C387BE8&quot;/&gt;&lt;wsp:rsid wsp:val=&quot;3C3976F6&quot;/&gt;&lt;wsp:rsid wsp:val=&quot;3C3A6FCB&quot;/&gt;&lt;wsp:rsid wsp:val=&quot;3C3C0F95&quot;/&gt;&lt;wsp:rsid wsp:val=&quot;3C3E2F5F&quot;/&gt;&lt;wsp:rsid wsp:val=&quot;3C3F0648&quot;/&gt;&lt;wsp:rsid wsp:val=&quot;3C403B27&quot;/&gt;&lt;wsp:rsid wsp:val=&quot;3C406CD7&quot;/&gt;&lt;wsp:rsid wsp:val=&quot;3C4147FD&quot;/&gt;&lt;wsp:rsid wsp:val=&quot;3C4165AB&quot;/&gt;&lt;wsp:rsid wsp:val=&quot;3C41761B&quot;/&gt;&lt;wsp:rsid wsp:val=&quot;3C420004&quot;/&gt;&lt;wsp:rsid wsp:val=&quot;3C432323&quot;/&gt;&lt;wsp:rsid wsp:val=&quot;3C447E49&quot;/&gt;&lt;wsp:rsid wsp:val=&quot;3C460065&quot;/&gt;&lt;wsp:rsid wsp:val=&quot;3C461E13&quot;/&gt;&lt;wsp:rsid wsp:val=&quot;3C46443A&quot;/&gt;&lt;wsp:rsid wsp:val=&quot;3C495460&quot;/&gt;&lt;wsp:rsid wsp:val=&quot;3C4B567C&quot;/&gt;&lt;wsp:rsid wsp:val=&quot;3C4D6CFE&quot;/&gt;&lt;wsp:rsid wsp:val=&quot;3C4E2A76&quot;/&gt;&lt;wsp:rsid wsp:val=&quot;3C4F64BA&quot;/&gt;&lt;wsp:rsid wsp:val=&quot;3C5067EE&quot;/&gt;&lt;wsp:rsid wsp:val=&quot;3C526A0A&quot;/&gt;&lt;wsp:rsid wsp:val=&quot;3C53008C&quot;/&gt;&lt;wsp:rsid wsp:val=&quot;3C530193&quot;/&gt;&lt;wsp:rsid wsp:val=&quot;3C534C12&quot;/&gt;&lt;wsp:rsid wsp:val=&quot;3C544530&quot;/&gt;&lt;wsp:rsid wsp:val=&quot;3C5462DE&quot;/&gt;&lt;wsp:rsid wsp:val=&quot;3C547ECE&quot;/&gt;&lt;wsp:rsid wsp:val=&quot;3C577273&quot;/&gt;&lt;wsp:rsid wsp:val=&quot;3C591B47&quot;/&gt;&lt;wsp:rsid wsp:val=&quot;3C5938F5&quot;/&gt;&lt;wsp:rsid wsp:val=&quot;3C5C6BA4&quot;/&gt;&lt;wsp:rsid wsp:val=&quot;3C5E53AF&quot;/&gt;&lt;wsp:rsid wsp:val=&quot;3C5F2ED5&quot;/&gt;&lt;wsp:rsid wsp:val=&quot;3C5F6A31&quot;/&gt;&lt;wsp:rsid wsp:val=&quot;3C601127&quot;/&gt;&lt;wsp:rsid wsp:val=&quot;3C60496F&quot;/&gt;&lt;wsp:rsid wsp:val=&quot;3C616C4D&quot;/&gt;&lt;wsp:rsid wsp:val=&quot;3C6224D2&quot;/&gt;&lt;wsp:rsid wsp:val=&quot;3C6329C5&quot;/&gt;&lt;wsp:rsid wsp:val=&quot;3C636521&quot;/&gt;&lt;wsp:rsid wsp:val=&quot;3C642299&quot;/&gt;&lt;wsp:rsid wsp:val=&quot;3C6504EB&quot;/&gt;&lt;wsp:rsid wsp:val=&quot;3C666012&quot;/&gt;&lt;wsp:rsid wsp:val=&quot;3C680BB5&quot;/&gt;&lt;wsp:rsid wsp:val=&quot;3C683B38&quot;/&gt;&lt;wsp:rsid wsp:val=&quot;3C6D114E&quot;/&gt;&lt;wsp:rsid wsp:val=&quot;3C6D2D06&quot;/&gt;&lt;wsp:rsid wsp:val=&quot;3C6E4B61&quot;/&gt;&lt;wsp:rsid wsp:val=&quot;3C6F136A&quot;/&gt;&lt;wsp:rsid wsp:val=&quot;3C6F2411&quot;/&gt;&lt;wsp:rsid wsp:val=&quot;3C6F26D5&quot;/&gt;&lt;wsp:rsid wsp:val=&quot;3C6F3118&quot;/&gt;&lt;wsp:rsid wsp:val=&quot;3C723457&quot;/&gt;&lt;wsp:rsid wsp:val=&quot;3C752089&quot;/&gt;&lt;wsp:rsid wsp:val=&quot;3C77021F&quot;/&gt;&lt;wsp:rsid wsp:val=&quot;3C771FCD&quot;/&gt;&lt;wsp:rsid wsp:val=&quot;3C793F97&quot;/&gt;&lt;wsp:rsid wsp:val=&quot;3C795D45&quot;/&gt;&lt;wsp:rsid wsp:val=&quot;3C7E15AD&quot;/&gt;&lt;wsp:rsid wsp:val=&quot;3C7E335B&quot;/&gt;&lt;wsp:rsid wsp:val=&quot;3C7F0E81&quot;/&gt;&lt;wsp:rsid wsp:val=&quot;3C805325&quot;/&gt;&lt;wsp:rsid wsp:val=&quot;3C822F4C&quot;/&gt;&lt;wsp:rsid wsp:val=&quot;3C834E15&quot;/&gt;&lt;wsp:rsid wsp:val=&quot;3C835B1D&quot;/&gt;&lt;wsp:rsid wsp:val=&quot;3C8446EA&quot;/&gt;&lt;wsp:rsid wsp:val=&quot;3C88242C&quot;/&gt;&lt;wsp:rsid wsp:val=&quot;3C8A61A4&quot;/&gt;&lt;wsp:rsid wsp:val=&quot;3C8B4AF4&quot;/&gt;&lt;wsp:rsid wsp:val=&quot;3C8C1F1C&quot;/&gt;&lt;wsp:rsid wsp:val=&quot;3C8D56E2&quot;/&gt;&lt;wsp:rsid wsp:val=&quot;3C8F37BA&quot;/&gt;&lt;wsp:rsid wsp:val=&quot;3C8F7316&quot;/&gt;&lt;wsp:rsid wsp:val=&quot;3C9012E0&quot;/&gt;&lt;wsp:rsid wsp:val=&quot;3C90308E&quot;/&gt;&lt;wsp:rsid wsp:val=&quot;3C917532&quot;/&gt;&lt;wsp:rsid wsp:val=&quot;3C925059&quot;/&gt;&lt;wsp:rsid wsp:val=&quot;3C942B7F&quot;/&gt;&lt;wsp:rsid wsp:val=&quot;3C94492D&quot;/&gt;&lt;wsp:rsid wsp:val=&quot;3C9506A5&quot;/&gt;&lt;wsp:rsid wsp:val=&quot;3C964B49&quot;/&gt;&lt;wsp:rsid wsp:val=&quot;3C9708C1&quot;/&gt;&lt;wsp:rsid wsp:val=&quot;3C97266F&quot;/&gt;&lt;wsp:rsid wsp:val=&quot;3C991F43&quot;/&gt;&lt;wsp:rsid wsp:val=&quot;3C9B215F&quot;/&gt;&lt;wsp:rsid wsp:val=&quot;3C9B3F0D&quot;/&gt;&lt;wsp:rsid wsp:val=&quot;3C9C5234&quot;/&gt;&lt;wsp:rsid wsp:val=&quot;3C9E39FD&quot;/&gt;&lt;wsp:rsid wsp:val=&quot;3CA01523&quot;/&gt;&lt;wsp:rsid wsp:val=&quot;3CA07775&quot;/&gt;&lt;wsp:rsid wsp:val=&quot;3CA1704A&quot;/&gt;&lt;wsp:rsid wsp:val=&quot;3CA562E6&quot;/&gt;&lt;wsp:rsid wsp:val=&quot;3CA56B3A&quot;/&gt;&lt;wsp:rsid wsp:val=&quot;3CA628B2&quot;/&gt;&lt;wsp:rsid wsp:val=&quot;3CA8662A&quot;/&gt;&lt;wsp:rsid wsp:val=&quot;3CAA05F4&quot;/&gt;&lt;wsp:rsid wsp:val=&quot;3CAB1C76&quot;/&gt;&lt;wsp:rsid wsp:val=&quot;3CAB4D29&quot;/&gt;&lt;wsp:rsid wsp:val=&quot;3CAC35E8&quot;/&gt;&lt;wsp:rsid wsp:val=&quot;3CAD1E92&quot;/&gt;&lt;wsp:rsid wsp:val=&quot;3CAD3C40&quot;/&gt;&lt;wsp:rsid wsp:val=&quot;3CAE221A&quot;/&gt;&lt;wsp:rsid wsp:val=&quot;3CAE25AF&quot;/&gt;&lt;wsp:rsid wsp:val=&quot;3CAF1767&quot;/&gt;&lt;wsp:rsid wsp:val=&quot;3CB11983&quot;/&gt;&lt;wsp:rsid wsp:val=&quot;3CB2733A&quot;/&gt;&lt;wsp:rsid wsp:val=&quot;3CB2745A&quot;/&gt;&lt;wsp:rsid wsp:val=&quot;3CB274A9&quot;/&gt;&lt;wsp:rsid wsp:val=&quot;3CB44FCF&quot;/&gt;&lt;wsp:rsid wsp:val=&quot;3CB52AF5&quot;/&gt;&lt;wsp:rsid wsp:val=&quot;3CB72D11&quot;/&gt;&lt;wsp:rsid wsp:val=&quot;3CB732CC&quot;/&gt;&lt;wsp:rsid wsp:val=&quot;3CB76A42&quot;/&gt;&lt;wsp:rsid wsp:val=&quot;3CB837AC&quot;/&gt;&lt;wsp:rsid wsp:val=&quot;3CB90837&quot;/&gt;&lt;wsp:rsid wsp:val=&quot;3CBA010B&quot;/&gt;&lt;wsp:rsid wsp:val=&quot;3CBB630E&quot;/&gt;&lt;wsp:rsid wsp:val=&quot;3CBD0327&quot;/&gt;&lt;wsp:rsid wsp:val=&quot;3CBE19AA&quot;/&gt;&lt;wsp:rsid wsp:val=&quot;3CC176EC&quot;/&gt;&lt;wsp:rsid wsp:val=&quot;3CC316B6&quot;/&gt;&lt;wsp:rsid wsp:val=&quot;3CC33464&quot;/&gt;&lt;wsp:rsid wsp:val=&quot;3CC571DC&quot;/&gt;&lt;wsp:rsid wsp:val=&quot;3CC57E27&quot;/&gt;&lt;wsp:rsid wsp:val=&quot;3CC66AB0&quot;/&gt;&lt;wsp:rsid wsp:val=&quot;3CCA034E&quot;/&gt;&lt;wsp:rsid wsp:val=&quot;3CCA2A44&quot;/&gt;&lt;wsp:rsid wsp:val=&quot;3CCA65A0&quot;/&gt;&lt;wsp:rsid wsp:val=&quot;3CCB2319&quot;/&gt;&lt;wsp:rsid wsp:val=&quot;3CCB40C7&quot;/&gt;&lt;wsp:rsid wsp:val=&quot;3CCC056A&quot;/&gt;&lt;wsp:rsid wsp:val=&quot;3CCC471E&quot;/&gt;&lt;wsp:rsid wsp:val=&quot;3CCD14F4&quot;/&gt;&lt;wsp:rsid wsp:val=&quot;3CCD42E3&quot;/&gt;&lt;wsp:rsid wsp:val=&quot;3CCD7E3F&quot;/&gt;&lt;wsp:rsid wsp:val=&quot;3CCF1E09&quot;/&gt;&lt;wsp:rsid wsp:val=&quot;3CCF3BB7&quot;/&gt;&lt;wsp:rsid wsp:val=&quot;3CD13DD3&quot;/&gt;&lt;wsp:rsid wsp:val=&quot;3CD1792F&quot;/&gt;&lt;wsp:rsid wsp:val=&quot;3CD218F9&quot;/&gt;&lt;wsp:rsid wsp:val=&quot;3CD25455&quot;/&gt;&lt;wsp:rsid wsp:val=&quot;3CD270CE&quot;/&gt;&lt;wsp:rsid wsp:val=&quot;3CD27ED4&quot;/&gt;&lt;wsp:rsid wsp:val=&quot;3CD53C84&quot;/&gt;&lt;wsp:rsid wsp:val=&quot;3CD70CBD&quot;/&gt;&lt;wsp:rsid wsp:val=&quot;3CD92C87&quot;/&gt;&lt;wsp:rsid wsp:val=&quot;3CD94A35&quot;/&gt;&lt;wsp:rsid wsp:val=&quot;3CDA245A&quot;/&gt;&lt;wsp:rsid wsp:val=&quot;3CDA2E38&quot;/&gt;&lt;wsp:rsid wsp:val=&quot;3CDC0F86&quot;/&gt;&lt;wsp:rsid wsp:val=&quot;3CDE4963&quot;/&gt;&lt;wsp:rsid wsp:val=&quot;3CE04016&quot;/&gt;&lt;wsp:rsid wsp:val=&quot;3CE07B72&quot;/&gt;&lt;wsp:rsid wsp:val=&quot;3CE2168B&quot;/&gt;&lt;wsp:rsid wsp:val=&quot;3CE27D8E&quot;/&gt;&lt;wsp:rsid wsp:val=&quot;3CE358B4&quot;/&gt;&lt;wsp:rsid wsp:val=&quot;3CE47E75&quot;/&gt;&lt;wsp:rsid wsp:val=&quot;3CE533DA&quot;/&gt;&lt;wsp:rsid wsp:val=&quot;3CE60A40&quot;/&gt;&lt;wsp:rsid wsp:val=&quot;3CE82ECA&quot;/&gt;&lt;wsp:rsid wsp:val=&quot;3CE8383B&quot;/&gt;&lt;wsp:rsid wsp:val=&quot;3CEB3763&quot;/&gt;&lt;wsp:rsid wsp:val=&quot;3CED04E1&quot;/&gt;&lt;wsp:rsid wsp:val=&quot;3CED6733&quot;/&gt;&lt;wsp:rsid wsp:val=&quot;3CEE4EEF&quot;/&gt;&lt;wsp:rsid wsp:val=&quot;3CEF4259&quot;/&gt;&lt;wsp:rsid wsp:val=&quot;3CF03B2D&quot;/&gt;&lt;wsp:rsid wsp:val=&quot;3CF11D7F&quot;/&gt;&lt;wsp:rsid wsp:val=&quot;3CF17FD1&quot;/&gt;&lt;wsp:rsid wsp:val=&quot;3CF30BDC&quot;/&gt;&lt;wsp:rsid wsp:val=&quot;3CF4361D&quot;/&gt;&lt;wsp:rsid wsp:val=&quot;3CF61143&quot;/&gt;&lt;wsp:rsid wsp:val=&quot;3CF655E7&quot;/&gt;&lt;wsp:rsid wsp:val=&quot;3CF8135F&quot;/&gt;&lt;wsp:rsid wsp:val=&quot;3CFC0724&quot;/&gt;&lt;wsp:rsid wsp:val=&quot;3CFC24D2&quot;/&gt;&lt;wsp:rsid wsp:val=&quot;3CFC7B86&quot;/&gt;&lt;wsp:rsid wsp:val=&quot;3CFD6976&quot;/&gt;&lt;wsp:rsid wsp:val=&quot;3D015D3A&quot;/&gt;&lt;wsp:rsid wsp:val=&quot;3D031AB2&quot;/&gt;&lt;wsp:rsid wsp:val=&quot;3D033860&quot;/&gt;&lt;wsp:rsid wsp:val=&quot;3D053A7C&quot;/&gt;&lt;wsp:rsid wsp:val=&quot;3D053AAD&quot;/&gt;&lt;wsp:rsid wsp:val=&quot;3D08531B&quot;/&gt;&lt;wsp:rsid wsp:val=&quot;3D0A1093&quot;/&gt;&lt;wsp:rsid wsp:val=&quot;3D0A4BEF&quot;/&gt;&lt;wsp:rsid wsp:val=&quot;3D0C0967&quot;/&gt;&lt;wsp:rsid wsp:val=&quot;3D0E0B83&quot;/&gt;&lt;wsp:rsid wsp:val=&quot;3D0E5E2B&quot;/&gt;&lt;wsp:rsid wsp:val=&quot;3D0F66A9&quot;/&gt;&lt;wsp:rsid wsp:val=&quot;3D112421&quot;/&gt;&lt;wsp:rsid wsp:val=&quot;3D141F11&quot;/&gt;&lt;wsp:rsid wsp:val=&quot;3D143CBF&quot;/&gt;&lt;wsp:rsid wsp:val=&quot;3D145A6E&quot;/&gt;&lt;wsp:rsid wsp:val=&quot;3D147979&quot;/&gt;&lt;wsp:rsid wsp:val=&quot;3D1579D1&quot;/&gt;&lt;wsp:rsid wsp:val=&quot;3D167A38&quot;/&gt;&lt;wsp:rsid wsp:val=&quot;3D1811D9&quot;/&gt;&lt;wsp:rsid wsp:val=&quot;3D197528&quot;/&gt;&lt;wsp:rsid wsp:val=&quot;3D1C4922&quot;/&gt;&lt;wsp:rsid wsp:val=&quot;3D1C7B5A&quot;/&gt;&lt;wsp:rsid wsp:val=&quot;3D1D0FEA&quot;/&gt;&lt;wsp:rsid wsp:val=&quot;3D1E06B7&quot;/&gt;&lt;wsp:rsid wsp:val=&quot;3D1E68EC&quot;/&gt;&lt;wsp:rsid wsp:val=&quot;3D1F4D9A&quot;/&gt;&lt;wsp:rsid wsp:val=&quot;3D204412&quot;/&gt;&lt;wsp:rsid wsp:val=&quot;3D211F38&quot;/&gt;&lt;wsp:rsid wsp:val=&quot;3D22228B&quot;/&gt;&lt;wsp:rsid wsp:val=&quot;3D233F03&quot;/&gt;&lt;wsp:rsid wsp:val=&quot;3D243E9C&quot;/&gt;&lt;wsp:rsid wsp:val=&quot;3D247E6C&quot;/&gt;&lt;wsp:rsid wsp:val=&quot;3D251A29&quot;/&gt;&lt;wsp:rsid wsp:val=&quot;3D255ECD&quot;/&gt;&lt;wsp:rsid wsp:val=&quot;3D2757A1&quot;/&gt;&lt;wsp:rsid wsp:val=&quot;3D2832C7&quot;/&gt;&lt;wsp:rsid wsp:val=&quot;3D2860FD&quot;/&gt;&lt;wsp:rsid wsp:val=&quot;3D2A703F&quot;/&gt;&lt;wsp:rsid wsp:val=&quot;3D2C2DB7&quot;/&gt;&lt;wsp:rsid wsp:val=&quot;3D2E2FD3&quot;/&gt;&lt;wsp:rsid wsp:val=&quot;3D2F0AF9&quot;/&gt;&lt;wsp:rsid wsp:val=&quot;3D31661F&quot;/&gt;&lt;wsp:rsid wsp:val=&quot;3D324146&quot;/&gt;&lt;wsp:rsid wsp:val=&quot;3D332398&quot;/&gt;&lt;wsp:rsid wsp:val=&quot;3D34205A&quot;/&gt;&lt;wsp:rsid wsp:val=&quot;3D343F2F&quot;/&gt;&lt;wsp:rsid wsp:val=&quot;3D346110&quot;/&gt;&lt;wsp:rsid wsp:val=&quot;3D3632D2&quot;/&gt;&lt;wsp:rsid wsp:val=&quot;3D371E6A&quot;/&gt;&lt;wsp:rsid wsp:val=&quot;3D3A1978&quot;/&gt;&lt;wsp:rsid wsp:val=&quot;3D3A19A2&quot;/&gt;&lt;wsp:rsid wsp:val=&quot;3D3B2FFA&quot;/&gt;&lt;wsp:rsid wsp:val=&quot;3D3D3216&quot;/&gt;&lt;wsp:rsid wsp:val=&quot;3D404AB5&quot;/&gt;&lt;wsp:rsid wsp:val=&quot;3D406863&quot;/&gt;&lt;wsp:rsid wsp:val=&quot;3D417AC7&quot;/&gt;&lt;wsp:rsid wsp:val=&quot;3D4225DB&quot;/&gt;&lt;wsp:rsid wsp:val=&quot;3D424389&quot;/&gt;&lt;wsp:rsid wsp:val=&quot;3D4520CB&quot;/&gt;&lt;wsp:rsid wsp:val=&quot;3D474095&quot;/&gt;&lt;wsp:rsid wsp:val=&quot;3D485717&quot;/&gt;&lt;wsp:rsid wsp:val=&quot;3D493D04&quot;/&gt;&lt;wsp:rsid wsp:val=&quot;3D4A5933&quot;/&gt;&lt;wsp:rsid wsp:val=&quot;3D4A76E1&quot;/&gt;&lt;wsp:rsid wsp:val=&quot;3D4B2926&quot;/&gt;&lt;wsp:rsid wsp:val=&quot;3D4E5423&quot;/&gt;&lt;wsp:rsid wsp:val=&quot;3D4F2F4A&quot;/&gt;&lt;wsp:rsid wsp:val=&quot;3D4F6AA6&quot;/&gt;&lt;wsp:rsid wsp:val=&quot;3D513F0C&quot;/&gt;&lt;wsp:rsid wsp:val=&quot;3D5347E8&quot;/&gt;&lt;wsp:rsid wsp:val=&quot;3D5356C5&quot;/&gt;&lt;wsp:rsid wsp:val=&quot;3D5440BC&quot;/&gt;&lt;wsp:rsid wsp:val=&quot;3D5565A9&quot;/&gt;&lt;wsp:rsid wsp:val=&quot;3D567E34&quot;/&gt;&lt;wsp:rsid wsp:val=&quot;3D5800D7&quot;/&gt;&lt;wsp:rsid wsp:val=&quot;3D583BAC&quot;/&gt;&lt;wsp:rsid wsp:val=&quot;3D58755E&quot;/&gt;&lt;wsp:rsid wsp:val=&quot;3D5A3DC8&quot;/&gt;&lt;wsp:rsid wsp:val=&quot;3D5D28F2&quot;/&gt;&lt;wsp:rsid wsp:val=&quot;3D5F3856&quot;/&gt;&lt;wsp:rsid wsp:val=&quot;3D600CB3&quot;/&gt;&lt;wsp:rsid wsp:val=&quot;3D605157&quot;/&gt;&lt;wsp:rsid wsp:val=&quot;3D6108B8&quot;/&gt;&lt;wsp:rsid wsp:val=&quot;3D624A2B&quot;/&gt;&lt;wsp:rsid wsp:val=&quot;3D633921&quot;/&gt;&lt;wsp:rsid wsp:val=&quot;3D65276D&quot;/&gt;&lt;wsp:rsid wsp:val=&quot;3D667A0D&quot;/&gt;&lt;wsp:rsid wsp:val=&quot;3D670293&quot;/&gt;&lt;wsp:rsid wsp:val=&quot;3D687B67&quot;/&gt;&lt;wsp:rsid wsp:val=&quot;3D69400B&quot;/&gt;&lt;wsp:rsid wsp:val=&quot;3D6C33A0&quot;/&gt;&lt;wsp:rsid wsp:val=&quot;3D6C3AFB&quot;/&gt;&lt;wsp:rsid wsp:val=&quot;3D6D4830&quot;/&gt;&lt;wsp:rsid wsp:val=&quot;3D70539A&quot;/&gt;&lt;wsp:rsid wsp:val=&quot;3D711112&quot;/&gt;&lt;wsp:rsid wsp:val=&quot;3D714641&quot;/&gt;&lt;wsp:rsid wsp:val=&quot;3D7164C9&quot;/&gt;&lt;wsp:rsid wsp:val=&quot;3D732013&quot;/&gt;&lt;wsp:rsid wsp:val=&quot;3D74475E&quot;/&gt;&lt;wsp:rsid wsp:val=&quot;3D74650C&quot;/&gt;&lt;wsp:rsid wsp:val=&quot;3D7529B0&quot;/&gt;&lt;wsp:rsid wsp:val=&quot;3D7604D6&quot;/&gt;&lt;wsp:rsid wsp:val=&quot;3D766728&quot;/&gt;&lt;wsp:rsid wsp:val=&quot;3D781943&quot;/&gt;&lt;wsp:rsid wsp:val=&quot;3D7824A0&quot;/&gt;&lt;wsp:rsid wsp:val=&quot;3D785FFC&quot;/&gt;&lt;wsp:rsid wsp:val=&quot;3D791D75&quot;/&gt;&lt;wsp:rsid wsp:val=&quot;3D7B789B&quot;/&gt;&lt;wsp:rsid wsp:val=&quot;3D7D3613&quot;/&gt;&lt;wsp:rsid wsp:val=&quot;3D7F382F&quot;/&gt;&lt;wsp:rsid wsp:val=&quot;3D802CA6&quot;/&gt;&lt;wsp:rsid wsp:val=&quot;3D846F19&quot;/&gt;&lt;wsp:rsid wsp:val=&quot;3D853F47&quot;/&gt;&lt;wsp:rsid wsp:val=&quot;3D855688&quot;/&gt;&lt;wsp:rsid wsp:val=&quot;3D8726E3&quot;/&gt;&lt;wsp:rsid wsp:val=&quot;3D8C7CFA&quot;/&gt;&lt;wsp:rsid wsp:val=&quot;3D8D3E1A&quot;/&gt;&lt;wsp:rsid wsp:val=&quot;3D8D44B9&quot;/&gt;&lt;wsp:rsid wsp:val=&quot;3D8F1598&quot;/&gt;&lt;wsp:rsid wsp:val=&quot;3D913562&quot;/&gt;&lt;wsp:rsid wsp:val=&quot;3D915310&quot;/&gt;&lt;wsp:rsid wsp:val=&quot;3D9170BE&quot;/&gt;&lt;wsp:rsid wsp:val=&quot;3D931088&quot;/&gt;&lt;wsp:rsid wsp:val=&quot;3D934583&quot;/&gt;&lt;wsp:rsid wsp:val=&quot;3D9372DA&quot;/&gt;&lt;wsp:rsid wsp:val=&quot;3D946844&quot;/&gt;&lt;wsp:rsid wsp:val=&quot;3D962926&quot;/&gt;&lt;wsp:rsid wsp:val=&quot;3D9A41C5&quot;/&gt;&lt;wsp:rsid wsp:val=&quot;3D9A641E&quot;/&gt;&lt;wsp:rsid wsp:val=&quot;3D9B1CEB&quot;/&gt;&lt;wsp:rsid wsp:val=&quot;3D9E65F4&quot;/&gt;&lt;wsp:rsid wsp:val=&quot;3DA0319B&quot;/&gt;&lt;wsp:rsid wsp:val=&quot;3DA037A5&quot;/&gt;&lt;wsp:rsid wsp:val=&quot;3DA2751D&quot;/&gt;&lt;wsp:rsid wsp:val=&quot;3DA54918&quot;/&gt;&lt;wsp:rsid wsp:val=&quot;3DA6700D&quot;/&gt;&lt;wsp:rsid wsp:val=&quot;3DA74B34&quot;/&gt;&lt;wsp:rsid wsp:val=&quot;3DA768E2&quot;/&gt;&lt;wsp:rsid wsp:val=&quot;3DA8670D&quot;/&gt;&lt;wsp:rsid wsp:val=&quot;3DA94A83&quot;/&gt;&lt;wsp:rsid wsp:val=&quot;3DA950AA&quot;/&gt;&lt;wsp:rsid wsp:val=&quot;3DAA64A0&quot;/&gt;&lt;wsp:rsid wsp:val=&quot;3DAA6CF2&quot;/&gt;&lt;wsp:rsid wsp:val=&quot;3DAB4624&quot;/&gt;&lt;wsp:rsid wsp:val=&quot;3DAB63D2&quot;/&gt;&lt;wsp:rsid wsp:val=&quot;3DAE1A1E&quot;/&gt;&lt;wsp:rsid wsp:val=&quot;3DAE7C70&quot;/&gt;&lt;wsp:rsid wsp:val=&quot;3DAF26F9&quot;/&gt;&lt;wsp:rsid wsp:val=&quot;3DB0660E&quot;/&gt;&lt;wsp:rsid wsp:val=&quot;3DB1150E&quot;/&gt;&lt;wsp:rsid wsp:val=&quot;3DB35B35&quot;/&gt;&lt;wsp:rsid wsp:val=&quot;3DB549D1&quot;/&gt;&lt;wsp:rsid wsp:val=&quot;3DB57B1A&quot;/&gt;&lt;wsp:rsid wsp:val=&quot;3DB645BB&quot;/&gt;&lt;wsp:rsid wsp:val=&quot;3DB64D77&quot;/&gt;&lt;wsp:rsid wsp:val=&quot;3DB66B25&quot;/&gt;&lt;wsp:rsid wsp:val=&quot;3DB70C61&quot;/&gt;&lt;wsp:rsid wsp:val=&quot;3DB72FC9&quot;/&gt;&lt;wsp:rsid wsp:val=&quot;3DB76351&quot;/&gt;&lt;wsp:rsid wsp:val=&quot;3DB80AEF&quot;/&gt;&lt;wsp:rsid wsp:val=&quot;3DB8289D&quot;/&gt;&lt;wsp:rsid wsp:val=&quot;3DB861BE&quot;/&gt;&lt;wsp:rsid wsp:val=&quot;3DB86D41&quot;/&gt;&lt;wsp:rsid wsp:val=&quot;3DBA21C5&quot;/&gt;&lt;wsp:rsid wsp:val=&quot;3DBB4109&quot;/&gt;&lt;wsp:rsid wsp:val=&quot;3DBB413B&quot;/&gt;&lt;wsp:rsid wsp:val=&quot;3DBB5757&quot;/&gt;&lt;wsp:rsid wsp:val=&quot;3DBC05DF&quot;/&gt;&lt;wsp:rsid wsp:val=&quot;3DBD7EB3&quot;/&gt;&lt;wsp:rsid wsp:val=&quot;3DC01751&quot;/&gt;&lt;wsp:rsid wsp:val=&quot;3DC079A3&quot;/&gt;&lt;wsp:rsid wsp:val=&quot;3DC1717A&quot;/&gt;&lt;wsp:rsid wsp:val=&quot;3DC2371B&quot;/&gt;&lt;wsp:rsid wsp:val=&quot;3DC4168B&quot;/&gt;&lt;wsp:rsid wsp:val=&quot;3DC54F0A&quot;/&gt;&lt;wsp:rsid wsp:val=&quot;3DC56D68&quot;/&gt;&lt;wsp:rsid wsp:val=&quot;3DC76F84&quot;/&gt;&lt;wsp:rsid wsp:val=&quot;3DCB25D0&quot;/&gt;&lt;wsp:rsid wsp:val=&quot;3DCC459A&quot;/&gt;&lt;wsp:rsid wsp:val=&quot;3DCC6348&quot;/&gt;&lt;wsp:rsid wsp:val=&quot;3DCF3BCD&quot;/&gt;&lt;wsp:rsid wsp:val=&quot;3DCF679E&quot;/&gt;&lt;wsp:rsid wsp:val=&quot;3DD0408A&quot;/&gt;&lt;wsp:rsid wsp:val=&quot;3DD0505D&quot;/&gt;&lt;wsp:rsid wsp:val=&quot;3DD07BE6&quot;/&gt;&lt;wsp:rsid wsp:val=&quot;3DD11BB1&quot;/&gt;&lt;wsp:rsid wsp:val=&quot;3DD220DA&quot;/&gt;&lt;wsp:rsid wsp:val=&quot;3DD516A1&quot;/&gt;&lt;wsp:rsid wsp:val=&quot;3DD5344F&quot;/&gt;&lt;wsp:rsid wsp:val=&quot;3DD65008&quot;/&gt;&lt;wsp:rsid wsp:val=&quot;3DD86A9B&quot;/&gt;&lt;wsp:rsid wsp:val=&quot;3DDA38B1&quot;/&gt;&lt;wsp:rsid wsp:val=&quot;3DDA6CB7&quot;/&gt;&lt;wsp:rsid wsp:val=&quot;3DDC47DD&quot;/&gt;&lt;wsp:rsid wsp:val=&quot;3DDD20DC&quot;/&gt;&lt;wsp:rsid wsp:val=&quot;3DDD2303&quot;/&gt;&lt;wsp:rsid wsp:val=&quot;3DDD67A7&quot;/&gt;&lt;wsp:rsid wsp:val=&quot;3DDF607B&quot;/&gt;&lt;wsp:rsid wsp:val=&quot;3DE06F26&quot;/&gt;&lt;wsp:rsid wsp:val=&quot;3DE11DF4&quot;/&gt;&lt;wsp:rsid wsp:val=&quot;3DE25B6C&quot;/&gt;&lt;wsp:rsid wsp:val=&quot;3DE33297&quot;/&gt;&lt;wsp:rsid wsp:val=&quot;3DE6565C&quot;/&gt;&lt;wsp:rsid wsp:val=&quot;3DE6740A&quot;/&gt;&lt;wsp:rsid wsp:val=&quot;3DE713D4&quot;/&gt;&lt;wsp:rsid wsp:val=&quot;3DE73182&quot;/&gt;&lt;wsp:rsid wsp:val=&quot;3DE90CA8&quot;/&gt;&lt;wsp:rsid wsp:val=&quot;3DEA2D86&quot;/&gt;&lt;wsp:rsid wsp:val=&quot;3DEA4138&quot;/&gt;&lt;wsp:rsid wsp:val=&quot;3DEA67CE&quot;/&gt;&lt;wsp:rsid wsp:val=&quot;3DEB0EC4&quot;/&gt;&lt;wsp:rsid wsp:val=&quot;3DEB4A20&quot;/&gt;&lt;wsp:rsid wsp:val=&quot;3DEC0798&quot;/&gt;&lt;wsp:rsid wsp:val=&quot;3DEC2546&quot;/&gt;&lt;wsp:rsid wsp:val=&quot;3DEF6791&quot;/&gt;&lt;wsp:rsid wsp:val=&quot;3DF07218&quot;/&gt;&lt;wsp:rsid wsp:val=&quot;3DF15DAF&quot;/&gt;&lt;wsp:rsid wsp:val=&quot;3DF245B0&quot;/&gt;&lt;wsp:rsid wsp:val=&quot;3DF338D5&quot;/&gt;&lt;wsp:rsid wsp:val=&quot;3DF37D79&quot;/&gt;&lt;wsp:rsid wsp:val=&quot;3DF5589F&quot;/&gt;&lt;wsp:rsid wsp:val=&quot;3DF77869&quot;/&gt;&lt;wsp:rsid wsp:val=&quot;3DF8538F&quot;/&gt;&lt;wsp:rsid wsp:val=&quot;3DFA2EB5&quot;/&gt;&lt;wsp:rsid wsp:val=&quot;3DFA4C63&quot;/&gt;&lt;wsp:rsid wsp:val=&quot;3DFB09DB&quot;/&gt;&lt;wsp:rsid wsp:val=&quot;3DFB2BEA&quot;/&gt;&lt;wsp:rsid wsp:val=&quot;3DFB393E&quot;/&gt;&lt;wsp:rsid wsp:val=&quot;3DFC5847&quot;/&gt;&lt;wsp:rsid wsp:val=&quot;3DFD4754&quot;/&gt;&lt;wsp:rsid wsp:val=&quot;3DFD6502&quot;/&gt;&lt;wsp:rsid wsp:val=&quot;3DFE0BF8&quot;/&gt;&lt;wsp:rsid wsp:val=&quot;3E012FF6&quot;/&gt;&lt;wsp:rsid wsp:val=&quot;3E04123E&quot;/&gt;&lt;wsp:rsid wsp:val=&quot;3E06185A&quot;/&gt;&lt;wsp:rsid wsp:val=&quot;3E0755D2&quot;/&gt;&lt;wsp:rsid wsp:val=&quot;3E0930F8&quot;/&gt;&lt;wsp:rsid wsp:val=&quot;3E0B50C2&quot;/&gt;&lt;wsp:rsid wsp:val=&quot;3E0B6E71&quot;/&gt;&lt;wsp:rsid wsp:val=&quot;3E0D0E3B&quot;/&gt;&lt;wsp:rsid wsp:val=&quot;3E122832&quot;/&gt;&lt;wsp:rsid wsp:val=&quot;3E1321C9&quot;/&gt;&lt;wsp:rsid wsp:val=&quot;3E160F33&quot;/&gt;&lt;wsp:rsid wsp:val=&quot;3E171CB9&quot;/&gt;&lt;wsp:rsid wsp:val=&quot;3E173A67&quot;/&gt;&lt;wsp:rsid wsp:val=&quot;3E18333B&quot;/&gt;&lt;wsp:rsid wsp:val=&quot;3E194160&quot;/&gt;&lt;wsp:rsid wsp:val=&quot;3E1A5306&quot;/&gt;&lt;wsp:rsid wsp:val=&quot;3E1B0A01&quot;/&gt;&lt;wsp:rsid wsp:val=&quot;3E1C107E&quot;/&gt;&lt;wsp:rsid wsp:val=&quot;3E1C72D0&quot;/&gt;&lt;wsp:rsid wsp:val=&quot;3E1D35CC&quot;/&gt;&lt;wsp:rsid wsp:val=&quot;3E1D4DF6&quot;/&gt;&lt;wsp:rsid wsp:val=&quot;3E1F13B5&quot;/&gt;&lt;wsp:rsid wsp:val=&quot;3E2066E9&quot;/&gt;&lt;wsp:rsid wsp:val=&quot;3E23097A&quot;/&gt;&lt;wsp:rsid wsp:val=&quot;3E246184&quot;/&gt;&lt;wsp:rsid wsp:val=&quot;3E281C07&quot;/&gt;&lt;wsp:rsid wsp:val=&quot;3E285C74&quot;/&gt;&lt;wsp:rsid wsp:val=&quot;3E2972F7&quot;/&gt;&lt;wsp:rsid wsp:val=&quot;3E2B12C1&quot;/&gt;&lt;wsp:rsid wsp:val=&quot;3E2B7513&quot;/&gt;&lt;wsp:rsid wsp:val=&quot;3E2C6DE7&quot;/&gt;&lt;wsp:rsid wsp:val=&quot;3E2D5039&quot;/&gt;&lt;wsp:rsid wsp:val=&quot;3E304B29&quot;/&gt;&lt;wsp:rsid wsp:val=&quot;3E3143FD&quot;/&gt;&lt;wsp:rsid wsp:val=&quot;3E330175&quot;/&gt;&lt;wsp:rsid wsp:val=&quot;3E3363C7&quot;/&gt;&lt;wsp:rsid wsp:val=&quot;3E342474&quot;/&gt;&lt;wsp:rsid wsp:val=&quot;3E375EB7&quot;/&gt;&lt;wsp:rsid wsp:val=&quot;3E3839DE&quot;/&gt;&lt;wsp:rsid wsp:val=&quot;3E3A59A8&quot;/&gt;&lt;wsp:rsid wsp:val=&quot;3E3A7756&quot;/&gt;&lt;wsp:rsid wsp:val=&quot;3E3B3C99&quot;/&gt;&lt;wsp:rsid wsp:val=&quot;3E3C1720&quot;/&gt;&lt;wsp:rsid wsp:val=&quot;3E3C34CE&quot;/&gt;&lt;wsp:rsid wsp:val=&quot;3E3C527C&quot;/&gt;&lt;wsp:rsid wsp:val=&quot;3E400AD9&quot;/&gt;&lt;wsp:rsid wsp:val=&quot;3E416D36&quot;/&gt;&lt;wsp:rsid wsp:val=&quot;3E4203B8&quot;/&gt;&lt;wsp:rsid wsp:val=&quot;3E42660A&quot;/&gt;&lt;wsp:rsid wsp:val=&quot;3E4800C5&quot;/&gt;&lt;wsp:rsid wsp:val=&quot;3E483C21&quot;/&gt;&lt;wsp:rsid wsp:val=&quot;3E491066&quot;/&gt;&lt;wsp:rsid wsp:val=&quot;3E493DC2&quot;/&gt;&lt;wsp:rsid wsp:val=&quot;3E495BEB&quot;/&gt;&lt;wsp:rsid wsp:val=&quot;3E497999&quot;/&gt;&lt;wsp:rsid wsp:val=&quot;3E4C733C&quot;/&gt;&lt;wsp:rsid wsp:val=&quot;3E4E4FAF&quot;/&gt;&lt;wsp:rsid wsp:val=&quot;3E511B77&quot;/&gt;&lt;wsp:rsid wsp:val=&quot;3E522CF1&quot;/&gt;&lt;wsp:rsid wsp:val=&quot;3E524A9F&quot;/&gt;&lt;wsp:rsid wsp:val=&quot;3E55633E&quot;/&gt;&lt;wsp:rsid wsp:val=&quot;3E570308&quot;/&gt;&lt;wsp:rsid wsp:val=&quot;3E5720B6&quot;/&gt;&lt;wsp:rsid wsp:val=&quot;3E5C1230&quot;/&gt;&lt;wsp:rsid wsp:val=&quot;3E5D51F2&quot;/&gt;&lt;wsp:rsid wsp:val=&quot;3E5E3444&quot;/&gt;&lt;wsp:rsid wsp:val=&quot;3E5F71BC&quot;/&gt;&lt;wsp:rsid wsp:val=&quot;3E675C0A&quot;/&gt;&lt;wsp:rsid wsp:val=&quot;3E676FF3&quot;/&gt;&lt;wsp:rsid wsp:val=&quot;3E68709A&quot;/&gt;&lt;wsp:rsid wsp:val=&quot;3E6A1E9A&quot;/&gt;&lt;wsp:rsid wsp:val=&quot;3E6B5B61&quot;/&gt;&lt;wsp:rsid wsp:val=&quot;3E6D1CF6&quot;/&gt;&lt;wsp:rsid wsp:val=&quot;3E6D3687&quot;/&gt;&lt;wsp:rsid wsp:val=&quot;3E6E2F0C&quot;/&gt;&lt;wsp:rsid wsp:val=&quot;3E6F38A3&quot;/&gt;&lt;wsp:rsid wsp:val=&quot;3E6F5651&quot;/&gt;&lt;wsp:rsid wsp:val=&quot;3E7013C9&quot;/&gt;&lt;wsp:rsid wsp:val=&quot;3E704F26&quot;/&gt;&lt;wsp:rsid wsp:val=&quot;3E70582C&quot;/&gt;&lt;wsp:rsid wsp:val=&quot;3E726EF0&quot;/&gt;&lt;wsp:rsid wsp:val=&quot;3E75253C&quot;/&gt;&lt;wsp:rsid wsp:val=&quot;3E7569E0&quot;/&gt;&lt;wsp:rsid wsp:val=&quot;3E767A52&quot;/&gt;&lt;wsp:rsid wsp:val=&quot;3E774506&quot;/&gt;&lt;wsp:rsid wsp:val=&quot;3E7802D0&quot;/&gt;&lt;wsp:rsid wsp:val=&quot;3E7964D0&quot;/&gt;&lt;wsp:rsid wsp:val=&quot;3E7A14AF&quot;/&gt;&lt;wsp:rsid wsp:val=&quot;3E7A3FF6&quot;/&gt;&lt;wsp:rsid wsp:val=&quot;3E7D16CC&quot;/&gt;&lt;wsp:rsid wsp:val=&quot;3E7E7642&quot;/&gt;&lt;wsp:rsid wsp:val=&quot;3E7F160D&quot;/&gt;&lt;wsp:rsid wsp:val=&quot;3E7F33BB&quot;/&gt;&lt;wsp:rsid wsp:val=&quot;3E8135D7&quot;/&gt;&lt;wsp:rsid wsp:val=&quot;3E815385&quot;/&gt;&lt;wsp:rsid wsp:val=&quot;3E833CA2&quot;/&gt;&lt;wsp:rsid wsp:val=&quot;3E834C59&quot;/&gt;&lt;wsp:rsid wsp:val=&quot;3E835462&quot;/&gt;&lt;wsp:rsid wsp:val=&quot;3E8409D1&quot;/&gt;&lt;wsp:rsid wsp:val=&quot;3E844547&quot;/&gt;&lt;wsp:rsid wsp:val=&quot;3E854E75&quot;/&gt;&lt;wsp:rsid wsp:val=&quot;3E857D03&quot;/&gt;&lt;wsp:rsid wsp:val=&quot;3E862AE7&quot;/&gt;&lt;wsp:rsid wsp:val=&quot;3E88226F&quot;/&gt;&lt;wsp:rsid wsp:val=&quot;3E895FE7&quot;/&gt;&lt;wsp:rsid wsp:val=&quot;3E8A248B&quot;/&gt;&lt;wsp:rsid wsp:val=&quot;3E8B6203&quot;/&gt;&lt;wsp:rsid wsp:val=&quot;3E8B7FB1&quot;/&gt;&lt;wsp:rsid wsp:val=&quot;3E8F1850&quot;/&gt;&lt;wsp:rsid wsp:val=&quot;3E90381A&quot;/&gt;&lt;wsp:rsid wsp:val=&quot;3E904E16&quot;/&gt;&lt;wsp:rsid wsp:val=&quot;3E907376&quot;/&gt;&lt;wsp:rsid wsp:val=&quot;3E921340&quot;/&gt;&lt;wsp:rsid wsp:val=&quot;3E946E66&quot;/&gt;&lt;wsp:rsid wsp:val=&quot;3E952BDE&quot;/&gt;&lt;wsp:rsid wsp:val=&quot;3E971F32&quot;/&gt;&lt;wsp:rsid wsp:val=&quot;3E974BA8&quot;/&gt;&lt;wsp:rsid wsp:val=&quot;3E984202&quot;/&gt;&lt;wsp:rsid wsp:val=&quot;3E990920&quot;/&gt;&lt;wsp:rsid wsp:val=&quot;3E9924C6&quot;/&gt;&lt;wsp:rsid wsp:val=&quot;3E9926CE&quot;/&gt;&lt;wsp:rsid wsp:val=&quot;3E9B4698&quot;/&gt;&lt;wsp:rsid wsp:val=&quot;3E9C21BE&quot;/&gt;&lt;wsp:rsid wsp:val=&quot;3E9C6F27&quot;/&gt;&lt;wsp:rsid wsp:val=&quot;3E9F580B&quot;/&gt;&lt;wsp:rsid wsp:val=&quot;3EA6303D&quot;/&gt;&lt;wsp:rsid wsp:val=&quot;3EAA48DB&quot;/&gt;&lt;wsp:rsid wsp:val=&quot;3EAA6689&quot;/&gt;&lt;wsp:rsid wsp:val=&quot;3EAC5A7F&quot;/&gt;&lt;wsp:rsid wsp:val=&quot;3EB07A18&quot;/&gt;&lt;wsp:rsid wsp:val=&quot;3EB219E2&quot;/&gt;&lt;wsp:rsid wsp:val=&quot;3EB2553E&quot;/&gt;&lt;wsp:rsid wsp:val=&quot;3EB42D77&quot;/&gt;&lt;wsp:rsid wsp:val=&quot;3EB45120&quot;/&gt;&lt;wsp:rsid wsp:val=&quot;3EB5502E&quot;/&gt;&lt;wsp:rsid wsp:val=&quot;3EB575B7&quot;/&gt;&lt;wsp:rsid wsp:val=&quot;3EB94B1E&quot;/&gt;&lt;wsp:rsid wsp:val=&quot;3EBC63BD&quot;/&gt;&lt;wsp:rsid wsp:val=&quot;3EBC717B&quot;/&gt;&lt;wsp:rsid wsp:val=&quot;3EBD6A03&quot;/&gt;&lt;wsp:rsid wsp:val=&quot;3EBE3EE3&quot;/&gt;&lt;wsp:rsid wsp:val=&quot;3EC05384&quot;/&gt;&lt;wsp:rsid wsp:val=&quot;3EC1316A&quot;/&gt;&lt;wsp:rsid wsp:val=&quot;3EC14F2B&quot;/&gt;&lt;wsp:rsid wsp:val=&quot;3EC31134&quot;/&gt;&lt;wsp:rsid wsp:val=&quot;3EC3599D&quot;/&gt;&lt;wsp:rsid wsp:val=&quot;3EC425C4&quot;/&gt;&lt;wsp:rsid wsp:val=&quot;3EC62D97&quot;/&gt;&lt;wsp:rsid wsp:val=&quot;3EC66625&quot;/&gt;&lt;wsp:rsid wsp:val=&quot;3EC6723B&quot;/&gt;&lt;wsp:rsid wsp:val=&quot;3ECB31D6&quot;/&gt;&lt;wsp:rsid wsp:val=&quot;3ECB4852&quot;/&gt;&lt;wsp:rsid wsp:val=&quot;3ECB5140&quot;/&gt;&lt;wsp:rsid wsp:val=&quot;3ECB6600&quot;/&gt;&lt;wsp:rsid wsp:val=&quot;3ED0310B&quot;/&gt;&lt;wsp:rsid wsp:val=&quot;3ED03C16&quot;/&gt;&lt;wsp:rsid wsp:val=&quot;3ED25BE0&quot;/&gt;&lt;wsp:rsid wsp:val=&quot;3ED659B2&quot;/&gt;&lt;wsp:rsid wsp:val=&quot;3ED6747E&quot;/&gt;&lt;wsp:rsid wsp:val=&quot;3ED71449&quot;/&gt;&lt;wsp:rsid wsp:val=&quot;3ED74FA5&quot;/&gt;&lt;wsp:rsid wsp:val=&quot;3ED81ECA&quot;/&gt;&lt;wsp:rsid wsp:val=&quot;3ED90D1D&quot;/&gt;&lt;wsp:rsid wsp:val=&quot;3ED92ACB&quot;/&gt;&lt;wsp:rsid wsp:val=&quot;3ED970E3&quot;/&gt;&lt;wsp:rsid wsp:val=&quot;3EDA0523&quot;/&gt;&lt;wsp:rsid wsp:val=&quot;3EDC34CD&quot;/&gt;&lt;wsp:rsid wsp:val=&quot;3EDC6A5F&quot;/&gt;&lt;wsp:rsid wsp:val=&quot;3EDE4585&quot;/&gt;&lt;wsp:rsid wsp:val=&quot;3EDE6333&quot;/&gt;&lt;wsp:rsid wsp:val=&quot;3EDF3E59&quot;/&gt;&lt;wsp:rsid wsp:val=&quot;3EE020AB&quot;/&gt;&lt;wsp:rsid wsp:val=&quot;3EE02D96&quot;/&gt;&lt;wsp:rsid wsp:val=&quot;3EE1322D&quot;/&gt;&lt;wsp:rsid wsp:val=&quot;3EE14075&quot;/&gt;&lt;wsp:rsid wsp:val=&quot;3EE6168C&quot;/&gt;&lt;wsp:rsid wsp:val=&quot;3EE62B3C&quot;/&gt;&lt;wsp:rsid wsp:val=&quot;3EE85404&quot;/&gt;&lt;wsp:rsid wsp:val=&quot;3EE87078&quot;/&gt;&lt;wsp:rsid wsp:val=&quot;3EE9077A&quot;/&gt;&lt;wsp:rsid wsp:val=&quot;3EEA4CD8&quot;/&gt;&lt;wsp:rsid wsp:val=&quot;3EEC4EF4&quot;/&gt;&lt;wsp:rsid wsp:val=&quot;3EED17D0&quot;/&gt;&lt;wsp:rsid wsp:val=&quot;3EED47C8&quot;/&gt;&lt;wsp:rsid wsp:val=&quot;3EED6576&quot;/&gt;&lt;wsp:rsid wsp:val=&quot;3EEF0540&quot;/&gt;&lt;wsp:rsid wsp:val=&quot;3EEF22EE&quot;/&gt;&lt;wsp:rsid wsp:val=&quot;3EF1250A&quot;/&gt;&lt;wsp:rsid wsp:val=&quot;3EF142B8&quot;/&gt;&lt;wsp:rsid wsp:val=&quot;3EF20030&quot;/&gt;&lt;wsp:rsid wsp:val=&quot;3EF23B8C&quot;/&gt;&lt;wsp:rsid wsp:val=&quot;3EF26282&quot;/&gt;&lt;wsp:rsid wsp:val=&quot;3EF43DA9&quot;/&gt;&lt;wsp:rsid wsp:val=&quot;3EF47905&quot;/&gt;&lt;wsp:rsid wsp:val=&quot;3EF618CF&quot;/&gt;&lt;wsp:rsid wsp:val=&quot;3EF66BFC&quot;/&gt;&lt;wsp:rsid wsp:val=&quot;3EF73899&quot;/&gt;&lt;wsp:rsid wsp:val=&quot;3EF75453&quot;/&gt;&lt;wsp:rsid wsp:val=&quot;3EF773F5&quot;/&gt;&lt;wsp:rsid wsp:val=&quot;3EFB78C3&quot;/&gt;&lt;wsp:rsid wsp:val=&quot;3EFE4C27&quot;/&gt;&lt;wsp:rsid wsp:val=&quot;3F0044FB&quot;/&gt;&lt;wsp:rsid wsp:val=&quot;3F0062A9&quot;/&gt;&lt;wsp:rsid wsp:val=&quot;3F010273&quot;/&gt;&lt;wsp:rsid wsp:val=&quot;3F03223E&quot;/&gt;&lt;wsp:rsid wsp:val=&quot;3F051B12&quot;/&gt;&lt;wsp:rsid wsp:val=&quot;3F06588A&quot;/&gt;&lt;wsp:rsid wsp:val=&quot;3F081602&quot;/&gt;&lt;wsp:rsid wsp:val=&quot;3F0833B0&quot;/&gt;&lt;wsp:rsid wsp:val=&quot;3F0A537A&quot;/&gt;&lt;wsp:rsid wsp:val=&quot;3F0A7128&quot;/&gt;&lt;wsp:rsid wsp:val=&quot;3F0B7B87&quot;/&gt;&lt;wsp:rsid wsp:val=&quot;3F0D09C6&quot;/&gt;&lt;wsp:rsid wsp:val=&quot;3F0D6C18&quot;/&gt;&lt;wsp:rsid wsp:val=&quot;3F1461F9&quot;/&gt;&lt;wsp:rsid wsp:val=&quot;3F161F71&quot;/&gt;&lt;wsp:rsid wsp:val=&quot;3F163D1F&quot;/&gt;&lt;wsp:rsid wsp:val=&quot;3F1735F3&quot;/&gt;&lt;wsp:rsid wsp:val=&quot;3F177A97&quot;/&gt;&lt;wsp:rsid wsp:val=&quot;3F185CE9&quot;/&gt;&lt;wsp:rsid wsp:val=&quot;3F191F2E&quot;/&gt;&lt;wsp:rsid wsp:val=&quot;3F1A0730&quot;/&gt;&lt;wsp:rsid wsp:val=&quot;3F1B1335&quot;/&gt;&lt;wsp:rsid wsp:val=&quot;3F1B30E3&quot;/&gt;&lt;wsp:rsid wsp:val=&quot;3F1C70CA&quot;/&gt;&lt;wsp:rsid wsp:val=&quot;3F1D32FF&quot;/&gt;&lt;wsp:rsid wsp:val=&quot;3F1F465F&quot;/&gt;&lt;wsp:rsid wsp:val=&quot;3F204B9E&quot;/&gt;&lt;wsp:rsid wsp:val=&quot;3F23468E&quot;/&gt;&lt;wsp:rsid wsp:val=&quot;3F253530&quot;/&gt;&lt;wsp:rsid wsp:val=&quot;3F253F62&quot;/&gt;&lt;wsp:rsid wsp:val=&quot;3F261A88&quot;/&gt;&lt;wsp:rsid wsp:val=&quot;3F264532&quot;/&gt;&lt;wsp:rsid wsp:val=&quot;3F2759C2&quot;/&gt;&lt;wsp:rsid wsp:val=&quot;3F277CDA&quot;/&gt;&lt;wsp:rsid wsp:val=&quot;3F281CA4&quot;/&gt;&lt;wsp:rsid wsp:val=&quot;3F283A52&quot;/&gt;&lt;wsp:rsid wsp:val=&quot;3F2A5A1C&quot;/&gt;&lt;wsp:rsid wsp:val=&quot;3F2B709E&quot;/&gt;&lt;wsp:rsid wsp:val=&quot;3F2B7833&quot;/&gt;&lt;wsp:rsid wsp:val=&quot;3F2F1E2C&quot;/&gt;&lt;wsp:rsid wsp:val=&quot;3F2F3033&quot;/&gt;&lt;wsp:rsid wsp:val=&quot;3F2F4154&quot;/&gt;&lt;wsp:rsid wsp:val=&quot;3F3101B5&quot;/&gt;&lt;wsp:rsid wsp:val=&quot;3F312907&quot;/&gt;&lt;wsp:rsid wsp:val=&quot;3F32667F&quot;/&gt;&lt;wsp:rsid wsp:val=&quot;3F3348D1&quot;/&gt;&lt;wsp:rsid wsp:val=&quot;3F3423F7&quot;/&gt;&lt;wsp:rsid wsp:val=&quot;3F3643C1&quot;/&gt;&lt;wsp:rsid wsp:val=&quot;3F36616F&quot;/&gt;&lt;wsp:rsid wsp:val=&quot;3F373C95&quot;/&gt;&lt;wsp:rsid wsp:val=&quot;3F375A43&quot;/&gt;&lt;wsp:rsid wsp:val=&quot;3F381EE7&quot;/&gt;&lt;wsp:rsid wsp:val=&quot;3F397A0D&quot;/&gt;&lt;wsp:rsid wsp:val=&quot;3F3B5533&quot;/&gt;&lt;wsp:rsid wsp:val=&quot;3F400D9C&quot;/&gt;&lt;wsp:rsid wsp:val=&quot;3F43263A&quot;/&gt;&lt;wsp:rsid wsp:val=&quot;3F450160&quot;/&gt;&lt;wsp:rsid wsp:val=&quot;3F454604&quot;/&gt;&lt;wsp:rsid wsp:val=&quot;3F473ED8&quot;/&gt;&lt;wsp:rsid wsp:val=&quot;3F485EA2&quot;/&gt;&lt;wsp:rsid wsp:val=&quot;3F4A05F9&quot;/&gt;&lt;wsp:rsid wsp:val=&quot;3F4A7E6C&quot;/&gt;&lt;wsp:rsid wsp:val=&quot;3F4C5993&quot;/&gt;&lt;wsp:rsid wsp:val=&quot;3F4E170B&quot;/&gt;&lt;wsp:rsid wsp:val=&quot;3F4E4CB5&quot;/&gt;&lt;wsp:rsid wsp:val=&quot;3F4F0FDF&quot;/&gt;&lt;wsp:rsid wsp:val=&quot;3F5465F5&quot;/&gt;&lt;wsp:rsid wsp:val=&quot;3F56236D&quot;/&gt;&lt;wsp:rsid wsp:val=&quot;3F573EC4&quot;/&gt;&lt;wsp:rsid wsp:val=&quot;3F584337&quot;/&gt;&lt;wsp:rsid wsp:val=&quot;3F5860E5&quot;/&gt;&lt;wsp:rsid wsp:val=&quot;3F5B3E28&quot;/&gt;&lt;wsp:rsid wsp:val=&quot;3F5C6486&quot;/&gt;&lt;wsp:rsid wsp:val=&quot;3F5D194E&quot;/&gt;&lt;wsp:rsid wsp:val=&quot;3F5D2714&quot;/&gt;&lt;wsp:rsid wsp:val=&quot;3F5E1222&quot;/&gt;&lt;wsp:rsid wsp:val=&quot;3F5E56C6&quot;/&gt;&lt;wsp:rsid wsp:val=&quot;3F6060F9&quot;/&gt;&lt;wsp:rsid wsp:val=&quot;3F620FE1&quot;/&gt;&lt;wsp:rsid wsp:val=&quot;3F64674D&quot;/&gt;&lt;wsp:rsid wsp:val=&quot;3F655847&quot;/&gt;&lt;wsp:rsid wsp:val=&quot;3F677B8D&quot;/&gt;&lt;wsp:rsid wsp:val=&quot;3F6852B6&quot;/&gt;&lt;wsp:rsid wsp:val=&quot;3F6A406B&quot;/&gt;&lt;wsp:rsid wsp:val=&quot;3F6A6C05&quot;/&gt;&lt;wsp:rsid wsp:val=&quot;3F6E3B5B&quot;/&gt;&lt;wsp:rsid wsp:val=&quot;3F6F342F&quot;/&gt;&lt;wsp:rsid wsp:val=&quot;3F6F78D3&quot;/&gt;&lt;wsp:rsid wsp:val=&quot;3F715648&quot;/&gt;&lt;wsp:rsid wsp:val=&quot;3F7171A7&quot;/&gt;&lt;wsp:rsid wsp:val=&quot;3F740A45&quot;/&gt;&lt;wsp:rsid wsp:val=&quot;3F760C61&quot;/&gt;&lt;wsp:rsid wsp:val=&quot;3F76656C&quot;/&gt;&lt;wsp:rsid wsp:val=&quot;3F786788&quot;/&gt;&lt;wsp:rsid wsp:val=&quot;3F7A2500&quot;/&gt;&lt;wsp:rsid wsp:val=&quot;3F7B12CB&quot;/&gt;&lt;wsp:rsid wsp:val=&quot;3F7B6278&quot;/&gt;&lt;wsp:rsid wsp:val=&quot;3F7E25E7&quot;/&gt;&lt;wsp:rsid wsp:val=&quot;3F7E3672&quot;/&gt;&lt;wsp:rsid wsp:val=&quot;3F7F7B16&quot;/&gt;&lt;wsp:rsid wsp:val=&quot;3F80388E&quot;/&gt;&lt;wsp:rsid wsp:val=&quot;3F80563C&quot;/&gt;&lt;wsp:rsid wsp:val=&quot;3F823162&quot;/&gt;&lt;wsp:rsid wsp:val=&quot;3F827606&quot;/&gt;&lt;wsp:rsid wsp:val=&quot;3F836EDA&quot;/&gt;&lt;wsp:rsid wsp:val=&quot;3F84512C&quot;/&gt;&lt;wsp:rsid wsp:val=&quot;3F854A01&quot;/&gt;&lt;wsp:rsid wsp:val=&quot;3F8663DE&quot;/&gt;&lt;wsp:rsid wsp:val=&quot;3F8838CF&quot;/&gt;&lt;wsp:rsid wsp:val=&quot;3F8A61EF&quot;/&gt;&lt;wsp:rsid wsp:val=&quot;3F8A64BB&quot;/&gt;&lt;wsp:rsid wsp:val=&quot;3F8F43F6&quot;/&gt;&lt;wsp:rsid wsp:val=&quot;3F900156&quot;/&gt;&lt;wsp:rsid wsp:val=&quot;3F9229DB&quot;/&gt;&lt;wsp:rsid wsp:val=&quot;3F927552&quot;/&gt;&lt;wsp:rsid wsp:val=&quot;3F93536F&quot;/&gt;&lt;wsp:rsid wsp:val=&quot;3F9410E8&quot;/&gt;&lt;wsp:rsid wsp:val=&quot;3F946844&quot;/&gt;&lt;wsp:rsid wsp:val=&quot;3F95733A&quot;/&gt;&lt;wsp:rsid wsp:val=&quot;3F960C3F&quot;/&gt;&lt;wsp:rsid wsp:val=&quot;3F9614BE&quot;/&gt;&lt;wsp:rsid wsp:val=&quot;3F964E60&quot;/&gt;&lt;wsp:rsid wsp:val=&quot;3F965ED3&quot;/&gt;&lt;wsp:rsid wsp:val=&quot;3F9707F3&quot;/&gt;&lt;wsp:rsid wsp:val=&quot;3F982986&quot;/&gt;&lt;wsp:rsid wsp:val=&quot;3F984734&quot;/&gt;&lt;wsp:rsid wsp:val=&quot;3F9A5CE4&quot;/&gt;&lt;wsp:rsid wsp:val=&quot;3F9B2476&quot;/&gt;&lt;wsp:rsid wsp:val=&quot;3F9C6DE5&quot;/&gt;&lt;wsp:rsid wsp:val=&quot;3F9D1D4A&quot;/&gt;&lt;wsp:rsid wsp:val=&quot;3F9D4665&quot;/&gt;&lt;wsp:rsid wsp:val=&quot;3F9F3D14&quot;/&gt;&lt;wsp:rsid wsp:val=&quot;3F9F5D8E&quot;/&gt;&lt;wsp:rsid wsp:val=&quot;3FA27361&quot;/&gt;&lt;wsp:rsid wsp:val=&quot;3FA304D7&quot;/&gt;&lt;wsp:rsid wsp:val=&quot;3FA4757D&quot;/&gt;&lt;wsp:rsid wsp:val=&quot;3FA52DF7&quot;/&gt;&lt;wsp:rsid wsp:val=&quot;3FA532F5&quot;/&gt;&lt;wsp:rsid wsp:val=&quot;3FA62817&quot;/&gt;&lt;wsp:rsid wsp:val=&quot;3FA70E1B&quot;/&gt;&lt;wsp:rsid wsp:val=&quot;3FA73DCB&quot;/&gt;&lt;wsp:rsid wsp:val=&quot;3FA7706D&quot;/&gt;&lt;wsp:rsid wsp:val=&quot;3FA96941&quot;/&gt;&lt;wsp:rsid wsp:val=&quot;3FAA090B&quot;/&gt;&lt;wsp:rsid wsp:val=&quot;3FAC01DF&quot;/&gt;&lt;wsp:rsid wsp:val=&quot;3FAD7FFA&quot;/&gt;&lt;wsp:rsid wsp:val=&quot;3FAE03FB&quot;/&gt;&lt;wsp:rsid wsp:val=&quot;3FAE6512&quot;/&gt;&lt;wsp:rsid wsp:val=&quot;3FAE7465&quot;/&gt;&lt;wsp:rsid wsp:val=&quot;3FB05F21&quot;/&gt;&lt;wsp:rsid wsp:val=&quot;3FB1139A&quot;/&gt;&lt;wsp:rsid wsp:val=&quot;3FB13A48&quot;/&gt;&lt;wsp:rsid wsp:val=&quot;3FB35A12&quot;/&gt;&lt;wsp:rsid wsp:val=&quot;3FB452E6&quot;/&gt;&lt;wsp:rsid wsp:val=&quot;3FB5178A&quot;/&gt;&lt;wsp:rsid wsp:val=&quot;3FB62E0C&quot;/&gt;&lt;wsp:rsid wsp:val=&quot;3FB672B0&quot;/&gt;&lt;wsp:rsid wsp:val=&quot;3FB67B17&quot;/&gt;&lt;wsp:rsid wsp:val=&quot;3FBA0B4E&quot;/&gt;&lt;wsp:rsid wsp:val=&quot;3FBB48C6&quot;/&gt;&lt;wsp:rsid wsp:val=&quot;3FBD23EC&quot;/&gt;&lt;wsp:rsid wsp:val=&quot;3FBF6165&quot;/&gt;&lt;wsp:rsid wsp:val=&quot;3FC1012F&quot;/&gt;&lt;wsp:rsid wsp:val=&quot;3FC276C7&quot;/&gt;&lt;wsp:rsid wsp:val=&quot;3FC74906&quot;/&gt;&lt;wsp:rsid wsp:val=&quot;3FC76DC7&quot;/&gt;&lt;wsp:rsid wsp:val=&quot;3FC912A2&quot;/&gt;&lt;wsp:rsid wsp:val=&quot;3FC921F2&quot;/&gt;&lt;wsp:rsid wsp:val=&quot;3FC96FE3&quot;/&gt;&lt;wsp:rsid wsp:val=&quot;3FCA68B7&quot;/&gt;&lt;wsp:rsid wsp:val=&quot;3FCB4B12&quot;/&gt;&lt;wsp:rsid wsp:val=&quot;3FCC262F&quot;/&gt;&lt;wsp:rsid wsp:val=&quot;3FCE0156&quot;/&gt;&lt;wsp:rsid wsp:val=&quot;3FCF3ECE&quot;/&gt;&lt;wsp:rsid wsp:val=&quot;3FD140EA&quot;/&gt;&lt;wsp:rsid wsp:val=&quot;3FD15E98&quot;/&gt;&lt;wsp:rsid wsp:val=&quot;3FD17C46&quot;/&gt;&lt;wsp:rsid wsp:val=&quot;3FD20CE1&quot;/&gt;&lt;wsp:rsid wsp:val=&quot;3FD27F37&quot;/&gt;&lt;wsp:rsid wsp:val=&quot;3FD31C10&quot;/&gt;&lt;wsp:rsid wsp:val=&quot;3FD40488&quot;/&gt;&lt;wsp:rsid wsp:val=&quot;3FD451F4&quot;/&gt;&lt;wsp:rsid wsp:val=&quot;3FD80FD4&quot;/&gt;&lt;wsp:rsid wsp:val=&quot;3FD83D14&quot;/&gt;&lt;wsp:rsid wsp:val=&quot;3FD85478&quot;/&gt;&lt;wsp:rsid wsp:val=&quot;3FD87226&quot;/&gt;&lt;wsp:rsid wsp:val=&quot;3FDA2F9E&quot;/&gt;&lt;wsp:rsid wsp:val=&quot;3FDB0AC5&quot;/&gt;&lt;wsp:rsid wsp:val=&quot;3FDC40F2&quot;/&gt;&lt;wsp:rsid wsp:val=&quot;3FDD3EA9&quot;/&gt;&lt;wsp:rsid wsp:val=&quot;3FDD483D&quot;/&gt;&lt;wsp:rsid wsp:val=&quot;3FE06A38&quot;/&gt;&lt;wsp:rsid wsp:val=&quot;3FE536F1&quot;/&gt;&lt;wsp:rsid wsp:val=&quot;3FE77469&quot;/&gt;&lt;wsp:rsid wsp:val=&quot;3FEE07F8&quot;/&gt;&lt;wsp:rsid wsp:val=&quot;3FEE6A4A&quot;/&gt;&lt;wsp:rsid wsp:val=&quot;3FF35E0E&quot;/&gt;&lt;wsp:rsid wsp:val=&quot;3FF43934&quot;/&gt;&lt;wsp:rsid wsp:val=&quot;3FF676AC&quot;/&gt;&lt;wsp:rsid wsp:val=&quot;3FF81676&quot;/&gt;&lt;wsp:rsid wsp:val=&quot;3FF878C8&quot;/&gt;&lt;wsp:rsid wsp:val=&quot;3FF87DF8&quot;/&gt;&lt;wsp:rsid wsp:val=&quot;3FF9723B&quot;/&gt;&lt;wsp:rsid wsp:val=&quot;3FFA0F4B&quot;/&gt;&lt;wsp:rsid wsp:val=&quot;3FFA719D&quot;/&gt;&lt;wsp:rsid wsp:val=&quot;3FFB2F15&quot;/&gt;&lt;wsp:rsid wsp:val=&quot;3FFB4CC3&quot;/&gt;&lt;wsp:rsid wsp:val=&quot;3FFC1167&quot;/&gt;&lt;wsp:rsid wsp:val=&quot;3FFD062E&quot;/&gt;&lt;wsp:rsid wsp:val=&quot;3FFE24A3&quot;/&gt;&lt;wsp:rsid wsp:val=&quot;3FFE2572&quot;/&gt;&lt;wsp:rsid wsp:val=&quot;3FFE7AE4&quot;/&gt;&lt;wsp:rsid wsp:val=&quot;3FFF47B3&quot;/&gt;&lt;wsp:rsid wsp:val=&quot;4000052B&quot;/&gt;&lt;wsp:rsid wsp:val=&quot;40003751&quot;/&gt;&lt;wsp:rsid wsp:val=&quot;40061FE5&quot;/&gt;&lt;wsp:rsid wsp:val=&quot;400718BA&quot;/&gt;&lt;wsp:rsid wsp:val=&quot;40092389&quot;/&gt;&lt;wsp:rsid wsp:val=&quot;40095632&quot;/&gt;&lt;wsp:rsid wsp:val=&quot;400B13AA&quot;/&gt;&lt;wsp:rsid wsp:val=&quot;400C0C7E&quot;/&gt;&lt;wsp:rsid wsp:val=&quot;400D3374&quot;/&gt;&lt;wsp:rsid wsp:val=&quot;400E0E9A&quot;/&gt;&lt;wsp:rsid wsp:val=&quot;4010076E&quot;/&gt;&lt;wsp:rsid wsp:val=&quot;40104C12&quot;/&gt;&lt;wsp:rsid wsp:val=&quot;401144E6&quot;/&gt;&lt;wsp:rsid wsp:val=&quot;4015509C&quot;/&gt;&lt;wsp:rsid wsp:val=&quot;40161AFD&quot;/&gt;&lt;wsp:rsid wsp:val=&quot;401819D8&quot;/&gt;&lt;wsp:rsid wsp:val=&quot;401A15ED&quot;/&gt;&lt;wsp:rsid wsp:val=&quot;401A783F&quot;/&gt;&lt;wsp:rsid wsp:val=&quot;401F09B1&quot;/&gt;&lt;wsp:rsid wsp:val=&quot;401F4E55&quot;/&gt;&lt;wsp:rsid wsp:val=&quot;4021297B&quot;/&gt;&lt;wsp:rsid wsp:val=&quot;40214F87&quot;/&gt;&lt;wsp:rsid wsp:val=&quot;40216C59&quot;/&gt;&lt;wsp:rsid wsp:val=&quot;402204A1&quot;/&gt;&lt;wsp:rsid wsp:val=&quot;4024421A&quot;/&gt;&lt;wsp:rsid wsp:val=&quot;40244D12&quot;/&gt;&lt;wsp:rsid wsp:val=&quot;40271F5C&quot;/&gt;&lt;wsp:rsid wsp:val=&quot;40275AB8&quot;/&gt;&lt;wsp:rsid wsp:val=&quot;40295CD4&quot;/&gt;&lt;wsp:rsid wsp:val=&quot;402B37FA&quot;/&gt;&lt;wsp:rsid wsp:val=&quot;402B6F93&quot;/&gt;&lt;wsp:rsid wsp:val=&quot;402E32EA&quot;/&gt;&lt;wsp:rsid wsp:val=&quot;402E5098&quot;/&gt;&lt;wsp:rsid wsp:val=&quot;402E6E46&quot;/&gt;&lt;wsp:rsid wsp:val=&quot;402E7F0F&quot;/&gt;&lt;wsp:rsid wsp:val=&quot;402F139F&quot;/&gt;&lt;wsp:rsid wsp:val=&quot;40302BBE&quot;/&gt;&lt;wsp:rsid wsp:val=&quot;40307062&quot;/&gt;&lt;wsp:rsid wsp:val=&quot;4030764C&quot;/&gt;&lt;wsp:rsid wsp:val=&quot;40324B88&quot;/&gt;&lt;wsp:rsid wsp:val=&quot;4033025F&quot;/&gt;&lt;wsp:rsid wsp:val=&quot;4033445D&quot;/&gt;&lt;wsp:rsid wsp:val=&quot;4033696F&quot;/&gt;&lt;wsp:rsid wsp:val=&quot;40363F4D&quot;/&gt;&lt;wsp:rsid wsp:val=&quot;40381640&quot;/&gt;&lt;wsp:rsid wsp:val=&quot;40381A73&quot;/&gt;&lt;wsp:rsid wsp:val=&quot;40387CA6&quot;/&gt;&lt;wsp:rsid wsp:val=&quot;403B0BDA&quot;/&gt;&lt;wsp:rsid wsp:val=&quot;403B1563&quot;/&gt;&lt;wsp:rsid wsp:val=&quot;403E4E33&quot;/&gt;&lt;wsp:rsid wsp:val=&quot;403F1053&quot;/&gt;&lt;wsp:rsid wsp:val=&quot;40420B44&quot;/&gt;&lt;wsp:rsid wsp:val=&quot;40442135&quot;/&gt;&lt;wsp:rsid wsp:val=&quot;404448BC&quot;/&gt;&lt;wsp:rsid wsp:val=&quot;40464190&quot;/&gt;&lt;wsp:rsid wsp:val=&quot;4047615A&quot;/&gt;&lt;wsp:rsid wsp:val=&quot;40477626&quot;/&gt;&lt;wsp:rsid wsp:val=&quot;404877E0&quot;/&gt;&lt;wsp:rsid wsp:val=&quot;40490124&quot;/&gt;&lt;wsp:rsid wsp:val=&quot;40491ED2&quot;/&gt;&lt;wsp:rsid wsp:val=&quot;40496675&quot;/&gt;&lt;wsp:rsid wsp:val=&quot;404A1AFA&quot;/&gt;&lt;wsp:rsid wsp:val=&quot;404A4866&quot;/&gt;&lt;wsp:rsid wsp:val=&quot;404B3E9C&quot;/&gt;&lt;wsp:rsid wsp:val=&quot;404B5C4A&quot;/&gt;&lt;wsp:rsid wsp:val=&quot;404B7DB0&quot;/&gt;&lt;wsp:rsid wsp:val=&quot;404F2C99&quot;/&gt;&lt;wsp:rsid wsp:val=&quot;404F7248&quot;/&gt;&lt;wsp:rsid wsp:val=&quot;405014B2&quot;/&gt;&lt;wsp:rsid wsp:val=&quot;40503261&quot;/&gt;&lt;wsp:rsid wsp:val=&quot;40520D87&quot;/&gt;&lt;wsp:rsid wsp:val=&quot;40534AFF&quot;/&gt;&lt;wsp:rsid wsp:val=&quot;40550AC4&quot;/&gt;&lt;wsp:rsid wsp:val=&quot;4055658C&quot;/&gt;&lt;wsp:rsid wsp:val=&quot;405A435B&quot;/&gt;&lt;wsp:rsid wsp:val=&quot;405A7C3B&quot;/&gt;&lt;wsp:rsid wsp:val=&quot;405C39B3&quot;/&gt;&lt;wsp:rsid wsp:val=&quot;405E3BCF&quot;/&gt;&lt;wsp:rsid wsp:val=&quot;405F34A4&quot;/&gt;&lt;wsp:rsid wsp:val=&quot;405F6D3D&quot;/&gt;&lt;wsp:rsid wsp:val=&quot;40604DF5&quot;/&gt;&lt;wsp:rsid wsp:val=&quot;40610FCA&quot;/&gt;&lt;wsp:rsid wsp:val=&quot;406311E6&quot;/&gt;&lt;wsp:rsid wsp:val=&quot;40632F94&quot;/&gt;&lt;wsp:rsid wsp:val=&quot;40640ABA&quot;/&gt;&lt;wsp:rsid wsp:val=&quot;4066101B&quot;/&gt;&lt;wsp:rsid wsp:val=&quot;40672358&quot;/&gt;&lt;wsp:rsid wsp:val=&quot;40694322&quot;/&gt;&lt;wsp:rsid wsp:val=&quot;406960D0&quot;/&gt;&lt;wsp:rsid wsp:val=&quot;406B5CB8&quot;/&gt;&lt;wsp:rsid wsp:val=&quot;406D1341&quot;/&gt;&lt;wsp:rsid wsp:val=&quot;40703903&quot;/&gt;&lt;wsp:rsid wsp:val=&quot;4070745F&quot;/&gt;&lt;wsp:rsid wsp:val=&quot;40730CFD&quot;/&gt;&lt;wsp:rsid wsp:val=&quot;40752CC7&quot;/&gt;&lt;wsp:rsid wsp:val=&quot;40754A75&quot;/&gt;&lt;wsp:rsid wsp:val=&quot;40763590&quot;/&gt;&lt;wsp:rsid wsp:val=&quot;40784565&quot;/&gt;&lt;wsp:rsid wsp:val=&quot;407A6407&quot;/&gt;&lt;wsp:rsid wsp:val=&quot;407C22A8&quot;/&gt;&lt;wsp:rsid wsp:val=&quot;407C5E04&quot;/&gt;&lt;wsp:rsid wsp:val=&quot;407D0990&quot;/&gt;&lt;wsp:rsid wsp:val=&quot;407E3106&quot;/&gt;&lt;wsp:rsid wsp:val=&quot;407E7DCE&quot;/&gt;&lt;wsp:rsid wsp:val=&quot;4081166C&quot;/&gt;&lt;wsp:rsid wsp:val=&quot;4084115C&quot;/&gt;&lt;wsp:rsid wsp:val=&quot;40860A30&quot;/&gt;&lt;wsp:rsid wsp:val=&quot;40864ED4&quot;/&gt;&lt;wsp:rsid wsp:val=&quot;40866C82&quot;/&gt;&lt;wsp:rsid wsp:val=&quot;408847A8&quot;/&gt;&lt;wsp:rsid wsp:val=&quot;40896772&quot;/&gt;&lt;wsp:rsid wsp:val=&quot;408A49C4&quot;/&gt;&lt;wsp:rsid wsp:val=&quot;408B4299&quot;/&gt;&lt;wsp:rsid wsp:val=&quot;408E3D89&quot;/&gt;&lt;wsp:rsid wsp:val=&quot;408E5559&quot;/&gt;&lt;wsp:rsid wsp:val=&quot;408E5B37&quot;/&gt;&lt;wsp:rsid wsp:val=&quot;40905D53&quot;/&gt;&lt;wsp:rsid wsp:val=&quot;40923879&quot;/&gt;&lt;wsp:rsid wsp:val=&quot;409273D5&quot;/&gt;&lt;wsp:rsid wsp:val=&quot;4093314D&quot;/&gt;&lt;wsp:rsid wsp:val=&quot;40953369&quot;/&gt;&lt;wsp:rsid wsp:val=&quot;409543AA&quot;/&gt;&lt;wsp:rsid wsp:val=&quot;40956EC5&quot;/&gt;&lt;wsp:rsid wsp:val=&quot;40972C3D&quot;/&gt;&lt;wsp:rsid wsp:val=&quot;40972E6D&quot;/&gt;&lt;wsp:rsid wsp:val=&quot;40984633&quot;/&gt;&lt;wsp:rsid wsp:val=&quot;40994C08&quot;/&gt;&lt;wsp:rsid wsp:val=&quot;40995D45&quot;/&gt;&lt;wsp:rsid wsp:val=&quot;409969B6&quot;/&gt;&lt;wsp:rsid wsp:val=&quot;409C0254&quot;/&gt;&lt;wsp:rsid wsp:val=&quot;409C645C&quot;/&gt;&lt;wsp:rsid wsp:val=&quot;409C64A6&quot;/&gt;&lt;wsp:rsid wsp:val=&quot;409E221E&quot;/&gt;&lt;wsp:rsid wsp:val=&quot;409E3FCC&quot;/&gt;&lt;wsp:rsid wsp:val=&quot;409F1AF2&quot;/&gt;&lt;wsp:rsid wsp:val=&quot;40A13ABC&quot;/&gt;&lt;wsp:rsid wsp:val=&quot;40A1586A&quot;/&gt;&lt;wsp:rsid wsp:val=&quot;40A435AC&quot;/&gt;&lt;wsp:rsid wsp:val=&quot;40A4535A&quot;/&gt;&lt;wsp:rsid wsp:val=&quot;40A47108&quot;/&gt;&lt;wsp:rsid wsp:val=&quot;40A5518D&quot;/&gt;&lt;wsp:rsid wsp:val=&quot;40A8309D&quot;/&gt;&lt;wsp:rsid wsp:val=&quot;40A84BA5&quot;/&gt;&lt;wsp:rsid wsp:val=&quot;40A84E4B&quot;/&gt;&lt;wsp:rsid wsp:val=&quot;40A86BF9&quot;/&gt;&lt;wsp:rsid wsp:val=&quot;40A92971&quot;/&gt;&lt;wsp:rsid wsp:val=&quot;40AB6559&quot;/&gt;&lt;wsp:rsid wsp:val=&quot;40AD06B3&quot;/&gt;&lt;wsp:rsid wsp:val=&quot;40B324D6&quot;/&gt;&lt;wsp:rsid wsp:val=&quot;40B437EF&quot;/&gt;&lt;wsp:rsid wsp:val=&quot;40B51316&quot;/&gt;&lt;wsp:rsid wsp:val=&quot;40B530C4&quot;/&gt;&lt;wsp:rsid wsp:val=&quot;40B557B9&quot;/&gt;&lt;wsp:rsid wsp:val=&quot;40B649A6&quot;/&gt;&lt;wsp:rsid wsp:val=&quot;40B76E3C&quot;/&gt;&lt;wsp:rsid wsp:val=&quot;40B97058&quot;/&gt;&lt;wsp:rsid wsp:val=&quot;40BA3FFA&quot;/&gt;&lt;wsp:rsid wsp:val=&quot;40BA4B7E&quot;/&gt;&lt;wsp:rsid wsp:val=&quot;40BA692C&quot;/&gt;&lt;wsp:rsid wsp:val=&quot;40BB6DF0&quot;/&gt;&lt;wsp:rsid wsp:val=&quot;40BC26A4&quot;/&gt;&lt;wsp:rsid wsp:val=&quot;40BE641C&quot;/&gt;&lt;wsp:rsid wsp:val=&quot;40BE7127&quot;/&gt;&lt;wsp:rsid wsp:val=&quot;40C003E6&quot;/&gt;&lt;wsp:rsid wsp:val=&quot;40C05AC5&quot;/&gt;&lt;wsp:rsid wsp:val=&quot;40C15F0C&quot;/&gt;&lt;wsp:rsid wsp:val=&quot;40C33A32&quot;/&gt;&lt;wsp:rsid wsp:val=&quot;40C37B63&quot;/&gt;&lt;wsp:rsid wsp:val=&quot;40C601E3&quot;/&gt;&lt;wsp:rsid wsp:val=&quot;40C61775&quot;/&gt;&lt;wsp:rsid wsp:val=&quot;40C62381&quot;/&gt;&lt;wsp:rsid wsp:val=&quot;40C63523&quot;/&gt;&lt;wsp:rsid wsp:val=&quot;40C652D1&quot;/&gt;&lt;wsp:rsid wsp:val=&quot;40C71686&quot;/&gt;&lt;wsp:rsid wsp:val=&quot;40C81049&quot;/&gt;&lt;wsp:rsid wsp:val=&quot;40CB74F6&quot;/&gt;&lt;wsp:rsid wsp:val=&quot;40D03D17&quot;/&gt;&lt;wsp:rsid wsp:val=&quot;40D0614F&quot;/&gt;&lt;wsp:rsid wsp:val=&quot;40D20119&quot;/&gt;&lt;wsp:rsid wsp:val=&quot;40D23C76&quot;/&gt;&lt;wsp:rsid wsp:val=&quot;40D4197F&quot;/&gt;&lt;wsp:rsid wsp:val=&quot;40D43E92&quot;/&gt;&lt;wsp:rsid wsp:val=&quot;40D55514&quot;/&gt;&lt;wsp:rsid wsp:val=&quot;40D616C0&quot;/&gt;&lt;wsp:rsid wsp:val=&quot;40D914A8&quot;/&gt;&lt;wsp:rsid wsp:val=&quot;40D93256&quot;/&gt;&lt;wsp:rsid wsp:val=&quot;40DB0111&quot;/&gt;&lt;wsp:rsid wsp:val=&quot;40DB1852&quot;/&gt;&lt;wsp:rsid wsp:val=&quot;40DC2D46&quot;/&gt;&lt;wsp:rsid wsp:val=&quot;40DD2E4A&quot;/&gt;&lt;wsp:rsid wsp:val=&quot;40DE01D3&quot;/&gt;&lt;wsp:rsid wsp:val=&quot;40DE6ABE&quot;/&gt;&lt;wsp:rsid wsp:val=&quot;40DF3194&quot;/&gt;&lt;wsp:rsid wsp:val=&quot;40E02836&quot;/&gt;&lt;wsp:rsid wsp:val=&quot;40E1035D&quot;/&gt;&lt;wsp:rsid wsp:val=&quot;40E20315&quot;/&gt;&lt;wsp:rsid wsp:val=&quot;40E340D5&quot;/&gt;&lt;wsp:rsid wsp:val=&quot;40E35E83&quot;/&gt;&lt;wsp:rsid wsp:val=&quot;40E57E4D&quot;/&gt;&lt;wsp:rsid wsp:val=&quot;40E63D94&quot;/&gt;&lt;wsp:rsid wsp:val=&quot;40E65973&quot;/&gt;&lt;wsp:rsid wsp:val=&quot;40E816EB&quot;/&gt;&lt;wsp:rsid wsp:val=&quot;40E83499&quot;/&gt;&lt;wsp:rsid wsp:val=&quot;40EA7211&quot;/&gt;&lt;wsp:rsid wsp:val=&quot;40ED0AAF&quot;/&gt;&lt;wsp:rsid wsp:val=&quot;40F005A0&quot;/&gt;&lt;wsp:rsid wsp:val=&quot;40F167F2&quot;/&gt;&lt;wsp:rsid wsp:val=&quot;40F2256A&quot;/&gt;&lt;wsp:rsid wsp:val=&quot;40F24318&quot;/&gt;&lt;wsp:rsid wsp:val=&quot;40F30571&quot;/&gt;&lt;wsp:rsid wsp:val=&quot;40F77B80&quot;/&gt;&lt;wsp:rsid wsp:val=&quot;40F85CD8&quot;/&gt;&lt;wsp:rsid wsp:val=&quot;40F956A6&quot;/&gt;&lt;wsp:rsid wsp:val=&quot;40F97454&quot;/&gt;&lt;wsp:rsid wsp:val=&quot;40FA31CC&quot;/&gt;&lt;wsp:rsid wsp:val=&quot;40FB141E&quot;/&gt;&lt;wsp:rsid wsp:val=&quot;40FB7670&quot;/&gt;&lt;wsp:rsid wsp:val=&quot;40FD201B&quot;/&gt;&lt;wsp:rsid wsp:val=&quot;40FE0F0E&quot;/&gt;&lt;wsp:rsid wsp:val=&quot;40FE2CBD&quot;/&gt;&lt;wsp:rsid wsp:val=&quot;410020DD&quot;/&gt;&lt;wsp:rsid wsp:val=&quot;41006A35&quot;/&gt;&lt;wsp:rsid wsp:val=&quot;410302D3&quot;/&gt;&lt;wsp:rsid wsp:val=&quot;410351C9&quot;/&gt;&lt;wsp:rsid wsp:val=&quot;410460FD&quot;/&gt;&lt;wsp:rsid wsp:val=&quot;4105404B&quot;/&gt;&lt;wsp:rsid wsp:val=&quot;41061B71&quot;/&gt;&lt;wsp:rsid wsp:val=&quot;41067DC3&quot;/&gt;&lt;wsp:rsid wsp:val=&quot;410773DF&quot;/&gt;&lt;wsp:rsid wsp:val=&quot;4108086F&quot;/&gt;&lt;wsp:rsid wsp:val=&quot;41083B3B&quot;/&gt;&lt;wsp:rsid wsp:val=&quot;4108712E&quot;/&gt;&lt;wsp:rsid wsp:val=&quot;410A78B3&quot;/&gt;&lt;wsp:rsid wsp:val=&quot;410D1152&quot;/&gt;&lt;wsp:rsid wsp:val=&quot;411029F0&quot;/&gt;&lt;wsp:rsid wsp:val=&quot;411058C0&quot;/&gt;&lt;wsp:rsid wsp:val=&quot;411249BA&quot;/&gt;&lt;wsp:rsid wsp:val=&quot;411424E0&quot;/&gt;&lt;wsp:rsid wsp:val=&quot;4114428E&quot;/&gt;&lt;wsp:rsid wsp:val=&quot;41160006&quot;/&gt;&lt;wsp:rsid wsp:val=&quot;411B561D&quot;/&gt;&lt;wsp:rsid wsp:val=&quot;411C1134&quot;/&gt;&lt;wsp:rsid wsp:val=&quot;411E510D&quot;/&gt;&lt;wsp:rsid wsp:val=&quot;411F121E&quot;/&gt;&lt;wsp:rsid wsp:val=&quot;41202C33&quot;/&gt;&lt;wsp:rsid wsp:val=&quot;41230975&quot;/&gt;&lt;wsp:rsid wsp:val=&quot;412344D1&quot;/&gt;&lt;wsp:rsid wsp:val=&quot;412626B7&quot;/&gt;&lt;wsp:rsid wsp:val=&quot;41263FC1&quot;/&gt;&lt;wsp:rsid wsp:val=&quot;41265D6F&quot;/&gt;&lt;wsp:rsid wsp:val=&quot;41272213&quot;/&gt;&lt;wsp:rsid wsp:val=&quot;412864C3&quot;/&gt;&lt;wsp:rsid wsp:val=&quot;41287BB3&quot;/&gt;&lt;wsp:rsid wsp:val=&quot;412B15D8&quot;/&gt;&lt;wsp:rsid wsp:val=&quot;412C782A&quot;/&gt;&lt;wsp:rsid wsp:val=&quot;413040D7&quot;/&gt;&lt;wsp:rsid wsp:val=&quot;41310F0B&quot;/&gt;&lt;wsp:rsid wsp:val=&quot;413349EA&quot;/&gt;&lt;wsp:rsid wsp:val=&quot;41344930&quot;/&gt;&lt;wsp:rsid wsp:val=&quot;4134662D&quot;/&gt;&lt;wsp:rsid wsp:val=&quot;41377F7D&quot;/&gt;&lt;wsp:rsid wsp:val=&quot;41393CF5&quot;/&gt;&lt;wsp:rsid wsp:val=&quot;413B181B&quot;/&gt;&lt;wsp:rsid wsp:val=&quot;413C3712&quot;/&gt;&lt;wsp:rsid wsp:val=&quot;413E130B&quot;/&gt;&lt;wsp:rsid wsp:val=&quot;413E755D&quot;/&gt;&lt;wsp:rsid wsp:val=&quot;414032D5&quot;/&gt;&lt;wsp:rsid wsp:val=&quot;41405083&quot;/&gt;&lt;wsp:rsid wsp:val=&quot;41410DFB&quot;/&gt;&lt;wsp:rsid wsp:val=&quot;41422591&quot;/&gt;&lt;wsp:rsid wsp:val=&quot;41432DC5&quot;/&gt;&lt;wsp:rsid wsp:val=&quot;41434B73&quot;/&gt;&lt;wsp:rsid wsp:val=&quot;41436921&quot;/&gt;&lt;wsp:rsid wsp:val=&quot;41456B3D&quot;/&gt;&lt;wsp:rsid wsp:val=&quot;41466412&quot;/&gt;&lt;wsp:rsid wsp:val=&quot;414803DC&quot;/&gt;&lt;wsp:rsid wsp:val=&quot;4148218A&quot;/&gt;&lt;wsp:rsid wsp:val=&quot;41483F38&quot;/&gt;&lt;wsp:rsid wsp:val=&quot;414A5F02&quot;/&gt;&lt;wsp:rsid wsp:val=&quot;414C1C7A&quot;/&gt;&lt;wsp:rsid wsp:val=&quot;414C3A28&quot;/&gt;&lt;wsp:rsid wsp:val=&quot;414D59F2&quot;/&gt;&lt;wsp:rsid wsp:val=&quot;414D77A0&quot;/&gt;&lt;wsp:rsid wsp:val=&quot;414F0FC2&quot;/&gt;&lt;wsp:rsid wsp:val=&quot;414F176A&quot;/&gt;&lt;wsp:rsid wsp:val=&quot;414F3004&quot;/&gt;&lt;wsp:rsid wsp:val=&quot;414F52C6&quot;/&gt;&lt;wsp:rsid wsp:val=&quot;41504494&quot;/&gt;&lt;wsp:rsid wsp:val=&quot;415154E2&quot;/&gt;&lt;wsp:rsid wsp:val=&quot;41516DB4&quot;/&gt;&lt;wsp:rsid wsp:val=&quot;41520244&quot;/&gt;&lt;wsp:rsid wsp:val=&quot;415428DD&quot;/&gt;&lt;wsp:rsid wsp:val=&quot;415442A5&quot;/&gt;&lt;wsp:rsid wsp:val=&quot;41550306&quot;/&gt;&lt;wsp:rsid wsp:val=&quot;41593FD6&quot;/&gt;&lt;wsp:rsid wsp:val=&quot;415B1EBD&quot;/&gt;&lt;wsp:rsid wsp:val=&quot;415B68E3&quot;/&gt;&lt;wsp:rsid wsp:val=&quot;415B7B1F&quot;/&gt;&lt;wsp:rsid wsp:val=&quot;415D5C35&quot;/&gt;&lt;wsp:rsid wsp:val=&quot;415E19AD&quot;/&gt;&lt;wsp:rsid wsp:val=&quot;41644198&quot;/&gt;&lt;wsp:rsid wsp:val=&quot;41650F8E&quot;/&gt;&lt;wsp:rsid wsp:val=&quot;41651639&quot;/&gt;&lt;wsp:rsid wsp:val=&quot;41680F39&quot;/&gt;&lt;wsp:rsid wsp:val=&quot;416A0352&quot;/&gt;&lt;wsp:rsid wsp:val=&quot;416B7C26&quot;/&gt;&lt;wsp:rsid wsp:val=&quot;416C231C&quot;/&gt;&lt;wsp:rsid wsp:val=&quot;416C5E78&quot;/&gt;&lt;wsp:rsid wsp:val=&quot;416D658D&quot;/&gt;&lt;wsp:rsid wsp:val=&quot;416F7831&quot;/&gt;&lt;wsp:rsid wsp:val=&quot;41717932&quot;/&gt;&lt;wsp:rsid wsp:val=&quot;41742F7F&quot;/&gt;&lt;wsp:rsid wsp:val=&quot;41776C90&quot;/&gt;&lt;wsp:rsid wsp:val=&quot;41790595&quot;/&gt;&lt;wsp:rsid wsp:val=&quot;41790C64&quot;/&gt;&lt;wsp:rsid wsp:val=&quot;417A0B91&quot;/&gt;&lt;wsp:rsid wsp:val=&quot;417B255F&quot;/&gt;&lt;wsp:rsid wsp:val=&quot;417C33D9&quot;/&gt;&lt;wsp:rsid wsp:val=&quot;417D0085&quot;/&gt;&lt;wsp:rsid wsp:val=&quot;417D62D7&quot;/&gt;&lt;wsp:rsid wsp:val=&quot;417E7959&quot;/&gt;&lt;wsp:rsid wsp:val=&quot;417F09A2&quot;/&gt;&lt;wsp:rsid wsp:val=&quot;41801923&quot;/&gt;&lt;wsp:rsid wsp:val=&quot;41801BCC&quot;/&gt;&lt;wsp:rsid wsp:val=&quot;41807B75&quot;/&gt;&lt;wsp:rsid wsp:val=&quot;4182569C&quot;/&gt;&lt;wsp:rsid wsp:val=&quot;41827323&quot;/&gt;&lt;wsp:rsid wsp:val=&quot;41840CDB&quot;/&gt;&lt;wsp:rsid wsp:val=&quot;41847666&quot;/&gt;&lt;wsp:rsid wsp:val=&quot;41850CE8&quot;/&gt;&lt;wsp:rsid wsp:val=&quot;41854314&quot;/&gt;&lt;wsp:rsid wsp:val=&quot;418654B8&quot;/&gt;&lt;wsp:rsid wsp:val=&quot;41870F04&quot;/&gt;&lt;wsp:rsid wsp:val=&quot;41872CB2&quot;/&gt;&lt;wsp:rsid wsp:val=&quot;41886A2A&quot;/&gt;&lt;wsp:rsid wsp:val=&quot;41892EE4&quot;/&gt;&lt;wsp:rsid wsp:val=&quot;418A09F4&quot;/&gt;&lt;wsp:rsid wsp:val=&quot;418C02C8&quot;/&gt;&lt;wsp:rsid wsp:val=&quot;418C651A&quot;/&gt;&lt;wsp:rsid wsp:val=&quot;418D5DEE&quot;/&gt;&lt;wsp:rsid wsp:val=&quot;418E2292&quot;/&gt;&lt;wsp:rsid wsp:val=&quot;418F65C9&quot;/&gt;&lt;wsp:rsid wsp:val=&quot;418F7D7F&quot;/&gt;&lt;wsp:rsid wsp:val=&quot;418F7DB9&quot;/&gt;&lt;wsp:rsid wsp:val=&quot;419378A7&quot;/&gt;&lt;wsp:rsid wsp:val=&quot;4194717D&quot;/&gt;&lt;wsp:rsid wsp:val=&quot;41952BC8&quot;/&gt;&lt;wsp:rsid wsp:val=&quot;41967399&quot;/&gt;&lt;wsp:rsid wsp:val=&quot;41986C6D&quot;/&gt;&lt;wsp:rsid wsp:val=&quot;419929E5&quot;/&gt;&lt;wsp:rsid wsp:val=&quot;419B49AF&quot;/&gt;&lt;wsp:rsid wsp:val=&quot;419D4283&quot;/&gt;&lt;wsp:rsid wsp:val=&quot;41A01FC6&quot;/&gt;&lt;wsp:rsid wsp:val=&quot;41A03D74&quot;/&gt;&lt;wsp:rsid wsp:val=&quot;41A25D3E&quot;/&gt;&lt;wsp:rsid wsp:val=&quot;41A73354&quot;/&gt;&lt;wsp:rsid wsp:val=&quot;41A75102&quot;/&gt;&lt;wsp:rsid wsp:val=&quot;41A7646C&quot;/&gt;&lt;wsp:rsid wsp:val=&quot;41A76EB0&quot;/&gt;&lt;wsp:rsid wsp:val=&quot;41A878FC&quot;/&gt;&lt;wsp:rsid wsp:val=&quot;41A90381&quot;/&gt;&lt;wsp:rsid wsp:val=&quot;41AC2719&quot;/&gt;&lt;wsp:rsid wsp:val=&quot;41AC627D&quot;/&gt;&lt;wsp:rsid wsp:val=&quot;41AD023F&quot;/&gt;&lt;wsp:rsid wsp:val=&quot;41AE46E3&quot;/&gt;&lt;wsp:rsid wsp:val=&quot;41AF045B&quot;/&gt;&lt;wsp:rsid wsp:val=&quot;41AF3FB7&quot;/&gt;&lt;wsp:rsid wsp:val=&quot;41AF7A35&quot;/&gt;&lt;wsp:rsid wsp:val=&quot;41B31CF9&quot;/&gt;&lt;wsp:rsid wsp:val=&quot;41B45A71&quot;/&gt;&lt;wsp:rsid wsp:val=&quot;41B54346&quot;/&gt;&lt;wsp:rsid wsp:val=&quot;41B63597&quot;/&gt;&lt;wsp:rsid wsp:val=&quot;41B65345&quot;/&gt;&lt;wsp:rsid wsp:val=&quot;41B82E6B&quot;/&gt;&lt;wsp:rsid wsp:val=&quot;41B8730F&quot;/&gt;&lt;wsp:rsid wsp:val=&quot;41B873F1&quot;/&gt;&lt;wsp:rsid wsp:val=&quot;41B96BE3&quot;/&gt;&lt;wsp:rsid wsp:val=&quot;41BA3087&quot;/&gt;&lt;wsp:rsid wsp:val=&quot;41BB0BAE&quot;/&gt;&lt;wsp:rsid wsp:val=&quot;41BD66D4&quot;/&gt;&lt;wsp:rsid wsp:val=&quot;41BE20FD&quot;/&gt;&lt;wsp:rsid wsp:val=&quot;41BF778A&quot;/&gt;&lt;wsp:rsid wsp:val=&quot;41C061C4&quot;/&gt;&lt;wsp:rsid wsp:val=&quot;41C06248&quot;/&gt;&lt;wsp:rsid wsp:val=&quot;41C25F88&quot;/&gt;&lt;wsp:rsid wsp:val=&quot;41C37A62&quot;/&gt;&lt;wsp:rsid wsp:val=&quot;41C46B0D&quot;/&gt;&lt;wsp:rsid wsp:val=&quot;41C47EC7&quot;/&gt;&lt;wsp:rsid wsp:val=&quot;41C55588&quot;/&gt;&lt;wsp:rsid wsp:val=&quot;41C91AB7&quot;/&gt;&lt;wsp:rsid wsp:val=&quot;41CA0DF1&quot;/&gt;&lt;wsp:rsid wsp:val=&quot;41CA2B9F&quot;/&gt;&lt;wsp:rsid wsp:val=&quot;41CA7043&quot;/&gt;&lt;wsp:rsid wsp:val=&quot;41CB43D7&quot;/&gt;&lt;wsp:rsid wsp:val=&quot;41CC4B69&quot;/&gt;&lt;wsp:rsid wsp:val=&quot;41CD5603&quot;/&gt;&lt;wsp:rsid wsp:val=&quot;41CE08E1&quot;/&gt;&lt;wsp:rsid wsp:val=&quot;41CE268F&quot;/&gt;&lt;wsp:rsid wsp:val=&quot;41D1217F&quot;/&gt;&lt;wsp:rsid wsp:val=&quot;41D135DC&quot;/&gt;&lt;wsp:rsid wsp:val=&quot;41D35EF7&quot;/&gt;&lt;wsp:rsid wsp:val=&quot;41D37CA5&quot;/&gt;&lt;wsp:rsid wsp:val=&quot;41D41C6F&quot;/&gt;&lt;wsp:rsid wsp:val=&quot;41D61543&quot;/&gt;&lt;wsp:rsid wsp:val=&quot;41D63C39&quot;/&gt;&lt;wsp:rsid wsp:val=&quot;41D81760&quot;/&gt;&lt;wsp:rsid wsp:val=&quot;41D8350E&quot;/&gt;&lt;wsp:rsid wsp:val=&quot;41D852BC&quot;/&gt;&lt;wsp:rsid wsp:val=&quot;41DA7286&quot;/&gt;&lt;wsp:rsid wsp:val=&quot;41DB2FFE&quot;/&gt;&lt;wsp:rsid wsp:val=&quot;41DD0B24&quot;/&gt;&lt;wsp:rsid wsp:val=&quot;41DD28D2&quot;/&gt;&lt;wsp:rsid wsp:val=&quot;41DF2AEE&quot;/&gt;&lt;wsp:rsid wsp:val=&quot;41DF489C&quot;/&gt;&lt;wsp:rsid wsp:val=&quot;41E023C2&quot;/&gt;&lt;wsp:rsid wsp:val=&quot;41E165FD&quot;/&gt;&lt;wsp:rsid wsp:val=&quot;41E2438C&quot;/&gt;&lt;wsp:rsid wsp:val=&quot;41E53E7C&quot;/&gt;&lt;wsp:rsid wsp:val=&quot;41E579D9&quot;/&gt;&lt;wsp:rsid wsp:val=&quot;41E67D86&quot;/&gt;&lt;wsp:rsid wsp:val=&quot;41E9396D&quot;/&gt;&lt;wsp:rsid wsp:val=&quot;41E974C9&quot;/&gt;&lt;wsp:rsid wsp:val=&quot;41EA1493&quot;/&gt;&lt;wsp:rsid wsp:val=&quot;41EA2372&quot;/&gt;&lt;wsp:rsid wsp:val=&quot;41EE0F83&quot;/&gt;&lt;wsp:rsid wsp:val=&quot;41EF2E79&quot;/&gt;&lt;wsp:rsid wsp:val=&quot;41F1637D&quot;/&gt;&lt;wsp:rsid wsp:val=&quot;41F320F5&quot;/&gt;&lt;wsp:rsid wsp:val=&quot;41F36599&quot;/&gt;&lt;wsp:rsid wsp:val=&quot;41F45E6E&quot;/&gt;&lt;wsp:rsid wsp:val=&quot;41F63994&quot;/&gt;&lt;wsp:rsid wsp:val=&quot;41F7323D&quot;/&gt;&lt;wsp:rsid wsp:val=&quot;41F83BB0&quot;/&gt;&lt;wsp:rsid wsp:val=&quot;41F8595E&quot;/&gt;&lt;wsp:rsid wsp:val=&quot;41F93484&quot;/&gt;&lt;wsp:rsid wsp:val=&quot;41FA16D6&quot;/&gt;&lt;wsp:rsid wsp:val=&quot;41FB359F&quot;/&gt;&lt;wsp:rsid wsp:val=&quot;41FB544E&quot;/&gt;&lt;wsp:rsid wsp:val=&quot;41FB703C&quot;/&gt;&lt;wsp:rsid wsp:val=&quot;41FB7347&quot;/&gt;&lt;wsp:rsid wsp:val=&quot;4200449D&quot;/&gt;&lt;wsp:rsid wsp:val=&quot;42015BE7&quot;/&gt;&lt;wsp:rsid wsp:val=&quot;4202058A&quot;/&gt;&lt;wsp:rsid wsp:val=&quot;42024A2E&quot;/&gt;&lt;wsp:rsid wsp:val=&quot;42051E29&quot;/&gt;&lt;wsp:rsid wsp:val=&quot;42063D6C&quot;/&gt;&lt;wsp:rsid wsp:val=&quot;42084D83&quot;/&gt;&lt;wsp:rsid wsp:val=&quot;420D19FA&quot;/&gt;&lt;wsp:rsid wsp:val=&quot;420D6D5B&quot;/&gt;&lt;wsp:rsid wsp:val=&quot;420E33D3&quot;/&gt;&lt;wsp:rsid wsp:val=&quot;420F167B&quot;/&gt;&lt;wsp:rsid wsp:val=&quot;42114C71&quot;/&gt;&lt;wsp:rsid wsp:val=&quot;42132798&quot;/&gt;&lt;wsp:rsid wsp:val=&quot;42156510&quot;/&gt;&lt;wsp:rsid wsp:val=&quot;42186247&quot;/&gt;&lt;wsp:rsid wsp:val=&quot;421A3DAC&quot;/&gt;&lt;wsp:rsid wsp:val=&quot;421A4923&quot;/&gt;&lt;wsp:rsid wsp:val=&quot;421A58D4&quot;/&gt;&lt;wsp:rsid wsp:val=&quot;421D1BAF&quot;/&gt;&lt;wsp:rsid wsp:val=&quot;421F113C&quot;/&gt;&lt;wsp:rsid wsp:val=&quot;421F2EEA&quot;/&gt;&lt;wsp:rsid wsp:val=&quot;421F738E&quot;/&gt;&lt;wsp:rsid wsp:val=&quot;42204702&quot;/&gt;&lt;wsp:rsid wsp:val=&quot;42204EB5&quot;/&gt;&lt;wsp:rsid wsp:val=&quot;42213106&quot;/&gt;&lt;wsp:rsid wsp:val=&quot;42220C2D&quot;/&gt;&lt;wsp:rsid wsp:val=&quot;42223ECC&quot;/&gt;&lt;wsp:rsid wsp:val=&quot;42227AF1&quot;/&gt;&lt;wsp:rsid wsp:val=&quot;42240501&quot;/&gt;&lt;wsp:rsid wsp:val=&quot;422449A5&quot;/&gt;&lt;wsp:rsid wsp:val=&quot;42254279&quot;/&gt;&lt;wsp:rsid wsp:val=&quot;42256DCB&quot;/&gt;&lt;wsp:rsid wsp:val=&quot;42274495&quot;/&gt;&lt;wsp:rsid wsp:val=&quot;42274F45&quot;/&gt;&lt;wsp:rsid wsp:val=&quot;42295B17&quot;/&gt;&lt;wsp:rsid wsp:val=&quot;422A188F&quot;/&gt;&lt;wsp:rsid wsp:val=&quot;422C084D&quot;/&gt;&lt;wsp:rsid wsp:val=&quot;422C7413&quot;/&gt;&lt;wsp:rsid wsp:val=&quot;422F6EA6&quot;/&gt;&lt;wsp:rsid wsp:val=&quot;423009B4&quot;/&gt;&lt;wsp:rsid wsp:val=&quot;4230334A&quot;/&gt;&lt;wsp:rsid wsp:val=&quot;42312C1E&quot;/&gt;&lt;wsp:rsid wsp:val=&quot;423133A5&quot;/&gt;&lt;wsp:rsid wsp:val=&quot;42332E3A&quot;/&gt;&lt;wsp:rsid wsp:val=&quot;42336996&quot;/&gt;&lt;wsp:rsid wsp:val=&quot;42336BE8&quot;/&gt;&lt;wsp:rsid wsp:val=&quot;423544BC&quot;/&gt;&lt;wsp:rsid wsp:val=&quot;42366486&quot;/&gt;&lt;wsp:rsid wsp:val=&quot;423821FE&quot;/&gt;&lt;wsp:rsid wsp:val=&quot;42383FAC&quot;/&gt;&lt;wsp:rsid wsp:val=&quot;423919E0&quot;/&gt;&lt;wsp:rsid wsp:val=&quot;423936F1&quot;/&gt;&lt;wsp:rsid wsp:val=&quot;423A3BCC&quot;/&gt;&lt;wsp:rsid wsp:val=&quot;423A5F76&quot;/&gt;&lt;wsp:rsid wsp:val=&quot;423A7D24&quot;/&gt;&lt;wsp:rsid wsp:val=&quot;423B584A&quot;/&gt;&lt;wsp:rsid wsp:val=&quot;423F0F7B&quot;/&gt;&lt;wsp:rsid wsp:val=&quot;42402E61&quot;/&gt;&lt;wsp:rsid wsp:val=&quot;42415557&quot;/&gt;&lt;wsp:rsid wsp:val=&quot;424402BA&quot;/&gt;&lt;wsp:rsid wsp:val=&quot;42440DCA&quot;/&gt;&lt;wsp:rsid wsp:val=&quot;424566C9&quot;/&gt;&lt;wsp:rsid wsp:val=&quot;42492C9C&quot;/&gt;&lt;wsp:rsid wsp:val=&quot;424961B9&quot;/&gt;&lt;wsp:rsid wsp:val=&quot;424B1F31&quot;/&gt;&lt;wsp:rsid wsp:val=&quot;424B3CDF&quot;/&gt;&lt;wsp:rsid wsp:val=&quot;424C5CAA&quot;/&gt;&lt;wsp:rsid wsp:val=&quot;424E1A22&quot;/&gt;&lt;wsp:rsid wsp:val=&quot;424E557E&quot;/&gt;&lt;wsp:rsid wsp:val=&quot;424E57D2&quot;/&gt;&lt;wsp:rsid wsp:val=&quot;42523FFF&quot;/&gt;&lt;wsp:rsid wsp:val=&quot;42524F59&quot;/&gt;&lt;wsp:rsid wsp:val=&quot;42554B5E&quot;/&gt;&lt;wsp:rsid wsp:val=&quot;4255690C&quot;/&gt;&lt;wsp:rsid wsp:val=&quot;42562684&quot;/&gt;&lt;wsp:rsid wsp:val=&quot;42577480&quot;/&gt;&lt;wsp:rsid wsp:val=&quot;42580899&quot;/&gt;&lt;wsp:rsid wsp:val=&quot;4258464E&quot;/&gt;&lt;wsp:rsid wsp:val=&quot;425A2175&quot;/&gt;&lt;wsp:rsid wsp:val=&quot;425C413F&quot;/&gt;&lt;wsp:rsid wsp:val=&quot;425D1C65&quot;/&gt;&lt;wsp:rsid wsp:val=&quot;425D3A13&quot;/&gt;&lt;wsp:rsid wsp:val=&quot;425F32CE&quot;/&gt;&lt;wsp:rsid wsp:val=&quot;425F3C2F&quot;/&gt;&lt;wsp:rsid wsp:val=&quot;425F778B&quot;/&gt;&lt;wsp:rsid wsp:val=&quot;4261734D&quot;/&gt;&lt;wsp:rsid wsp:val=&quot;42621852&quot;/&gt;&lt;wsp:rsid wsp:val=&quot;426254CD&quot;/&gt;&lt;wsp:rsid wsp:val=&quot;42642FF3&quot;/&gt;&lt;wsp:rsid wsp:val=&quot;42644DA1&quot;/&gt;&lt;wsp:rsid wsp:val=&quot;42660B19&quot;/&gt;&lt;wsp:rsid wsp:val=&quot;42670BB7&quot;/&gt;&lt;wsp:rsid wsp:val=&quot;42674891&quot;/&gt;&lt;wsp:rsid wsp:val=&quot;4268268D&quot;/&gt;&lt;wsp:rsid wsp:val=&quot;426923B8&quot;/&gt;&lt;wsp:rsid wsp:val=&quot;426B4382&quot;/&gt;&lt;wsp:rsid wsp:val=&quot;426D00FA&quot;/&gt;&lt;wsp:rsid wsp:val=&quot;426D38AF&quot;/&gt;&lt;wsp:rsid wsp:val=&quot;426E1391&quot;/&gt;&lt;wsp:rsid wsp:val=&quot;426E5C20&quot;/&gt;&lt;wsp:rsid wsp:val=&quot;426E79CE&quot;/&gt;&lt;wsp:rsid wsp:val=&quot;42701998&quot;/&gt;&lt;wsp:rsid wsp:val=&quot;4271434E&quot;/&gt;&lt;wsp:rsid wsp:val=&quot;42731488&quot;/&gt;&lt;wsp:rsid wsp:val=&quot;42736129&quot;/&gt;&lt;wsp:rsid wsp:val=&quot;42750D5C&quot;/&gt;&lt;wsp:rsid wsp:val=&quot;42770F78&quot;/&gt;&lt;wsp:rsid wsp:val=&quot;42785D1A&quot;/&gt;&lt;wsp:rsid wsp:val=&quot;42791D7B&quot;/&gt;&lt;wsp:rsid wsp:val=&quot;427C7D09&quot;/&gt;&lt;wsp:rsid wsp:val=&quot;427F1BDB&quot;/&gt;&lt;wsp:rsid wsp:val=&quot;427F607F&quot;/&gt;&lt;wsp:rsid wsp:val=&quot;42813BA5&quot;/&gt;&lt;wsp:rsid wsp:val=&quot;42814A9F&quot;/&gt;&lt;wsp:rsid wsp:val=&quot;428471F1&quot;/&gt;&lt;wsp:rsid wsp:val=&quot;428575F7&quot;/&gt;&lt;wsp:rsid wsp:val=&quot;42882069&quot;/&gt;&lt;wsp:rsid wsp:val=&quot;42892A5A&quot;/&gt;&lt;wsp:rsid wsp:val=&quot;428B0580&quot;/&gt;&lt;wsp:rsid wsp:val=&quot;428B4A24&quot;/&gt;&lt;wsp:rsid wsp:val=&quot;428D59B1&quot;/&gt;&lt;wsp:rsid wsp:val=&quot;428E62C2&quot;/&gt;&lt;wsp:rsid wsp:val=&quot;42900F05&quot;/&gt;&lt;wsp:rsid wsp:val=&quot;42903DE8&quot;/&gt;&lt;wsp:rsid wsp:val=&quot;4292190E&quot;/&gt;&lt;wsp:rsid wsp:val=&quot;42925DB2&quot;/&gt;&lt;wsp:rsid wsp:val=&quot;42927B60&quot;/&gt;&lt;wsp:rsid wsp:val=&quot;42937A5A&quot;/&gt;&lt;wsp:rsid wsp:val=&quot;429513FF&quot;/&gt;&lt;wsp:rsid wsp:val=&quot;42956073&quot;/&gt;&lt;wsp:rsid wsp:val=&quot;42957958&quot;/&gt;&lt;wsp:rsid wsp:val=&quot;429733C9&quot;/&gt;&lt;wsp:rsid wsp:val=&quot;42980EEF&quot;/&gt;&lt;wsp:rsid wsp:val=&quot;42982C9D&quot;/&gt;&lt;wsp:rsid wsp:val=&quot;429A4C67&quot;/&gt;&lt;wsp:rsid wsp:val=&quot;429D5791&quot;/&gt;&lt;wsp:rsid wsp:val=&quot;429D6505&quot;/&gt;&lt;wsp:rsid wsp:val=&quot;429F227D&quot;/&gt;&lt;wsp:rsid wsp:val=&quot;429F402B&quot;/&gt;&lt;wsp:rsid wsp:val=&quot;42A17DA3&quot;/&gt;&lt;wsp:rsid wsp:val=&quot;42A50DB4&quot;/&gt;&lt;wsp:rsid wsp:val=&quot;42A86289&quot;/&gt;&lt;wsp:rsid wsp:val=&quot;42A87384&quot;/&gt;&lt;wsp:rsid wsp:val=&quot;42A936CE&quot;/&gt;&lt;wsp:rsid wsp:val=&quot;42AA7468&quot;/&gt;&lt;wsp:rsid wsp:val=&quot;42AE24C0&quot;/&gt;&lt;wsp:rsid wsp:val=&quot;42AE426E&quot;/&gt;&lt;wsp:rsid wsp:val=&quot;42B05AC3&quot;/&gt;&lt;wsp:rsid wsp:val=&quot;42B07D4A&quot;/&gt;&lt;wsp:rsid wsp:val=&quot;42B07FBC&quot;/&gt;&lt;wsp:rsid wsp:val=&quot;42B07FE6&quot;/&gt;&lt;wsp:rsid wsp:val=&quot;42B11A4B&quot;/&gt;&lt;wsp:rsid wsp:val=&quot;42B26C49&quot;/&gt;&lt;wsp:rsid wsp:val=&quot;42B37AD7&quot;/&gt;&lt;wsp:rsid wsp:val=&quot;42B530EB&quot;/&gt;&lt;wsp:rsid wsp:val=&quot;42B5384F&quot;/&gt;&lt;wsp:rsid wsp:val=&quot;42B57B8F&quot;/&gt;&lt;wsp:rsid wsp:val=&quot;42B71375&quot;/&gt;&lt;wsp:rsid wsp:val=&quot;42BA70B7&quot;/&gt;&lt;wsp:rsid wsp:val=&quot;42BC287D&quot;/&gt;&lt;wsp:rsid wsp:val=&quot;42BE6BA7&quot;/&gt;&lt;wsp:rsid wsp:val=&quot;42BF022A&quot;/&gt;&lt;wsp:rsid wsp:val=&quot;42C10446&quot;/&gt;&lt;wsp:rsid wsp:val=&quot;42C12C8D&quot;/&gt;&lt;wsp:rsid wsp:val=&quot;42C35F6C&quot;/&gt;&lt;wsp:rsid wsp:val=&quot;42C41CE4&quot;/&gt;&lt;wsp:rsid wsp:val=&quot;42C43A92&quot;/&gt;&lt;wsp:rsid wsp:val=&quot;42C53B25&quot;/&gt;&lt;wsp:rsid wsp:val=&quot;42C6780A&quot;/&gt;&lt;wsp:rsid wsp:val=&quot;42C83582&quot;/&gt;&lt;wsp:rsid wsp:val=&quot;42C87815&quot;/&gt;&lt;wsp:rsid wsp:val=&quot;42C972FA&quot;/&gt;&lt;wsp:rsid wsp:val=&quot;42CB4E20&quot;/&gt;&lt;wsp:rsid wsp:val=&quot;42CB5600&quot;/&gt;&lt;wsp:rsid wsp:val=&quot;42CB6BCE&quot;/&gt;&lt;wsp:rsid wsp:val=&quot;42CD0B98&quot;/&gt;&lt;wsp:rsid wsp:val=&quot;42CD2946&quot;/&gt;&lt;wsp:rsid wsp:val=&quot;42CD3F43&quot;/&gt;&lt;wsp:rsid wsp:val=&quot;42CE53D3&quot;/&gt;&lt;wsp:rsid wsp:val=&quot;42D14483&quot;/&gt;&lt;wsp:rsid wsp:val=&quot;42D24401&quot;/&gt;&lt;wsp:rsid wsp:val=&quot;42D31F27&quot;/&gt;&lt;wsp:rsid wsp:val=&quot;42D40179&quot;/&gt;&lt;wsp:rsid wsp:val=&quot;42D57A4D&quot;/&gt;&lt;wsp:rsid wsp:val=&quot;42D737C5&quot;/&gt;&lt;wsp:rsid wsp:val=&quot;42D7630E&quot;/&gt;&lt;wsp:rsid wsp:val=&quot;42D80CE4&quot;/&gt;&lt;wsp:rsid wsp:val=&quot;42D9578F&quot;/&gt;&lt;wsp:rsid wsp:val=&quot;42DA5063&quot;/&gt;&lt;wsp:rsid wsp:val=&quot;42DC0DDB&quot;/&gt;&lt;wsp:rsid wsp:val=&quot;42DC527F&quot;/&gt;&lt;wsp:rsid wsp:val=&quot;42DD6902&quot;/&gt;&lt;wsp:rsid wsp:val=&quot;42E278AA&quot;/&gt;&lt;wsp:rsid wsp:val=&quot;42E3660E&quot;/&gt;&lt;wsp:rsid wsp:val=&quot;42E45EE2&quot;/&gt;&lt;wsp:rsid wsp:val=&quot;42E47C90&quot;/&gt;&lt;wsp:rsid wsp:val=&quot;42E61C5A&quot;/&gt;&lt;wsp:rsid wsp:val=&quot;42E6744A&quot;/&gt;&lt;wsp:rsid wsp:val=&quot;42E67501&quot;/&gt;&lt;wsp:rsid wsp:val=&quot;42E67EAC&quot;/&gt;&lt;wsp:rsid wsp:val=&quot;42E83C24&quot;/&gt;&lt;wsp:rsid wsp:val=&quot;42E934F8&quot;/&gt;&lt;wsp:rsid wsp:val=&quot;42EA799C&quot;/&gt;&lt;wsp:rsid wsp:val=&quot;42EB7271&quot;/&gt;&lt;wsp:rsid wsp:val=&quot;42ED2FE9&quot;/&gt;&lt;wsp:rsid wsp:val=&quot;42ED4D97&quot;/&gt;&lt;wsp:rsid wsp:val=&quot;42EE0B0F&quot;/&gt;&lt;wsp:rsid wsp:val=&quot;42EF4FB3&quot;/&gt;&lt;wsp:rsid wsp:val=&quot;42EF6D61&quot;/&gt;&lt;wsp:rsid wsp:val=&quot;42F0076D&quot;/&gt;&lt;wsp:rsid wsp:val=&quot;42F04887&quot;/&gt;&lt;wsp:rsid wsp:val=&quot;42F06635&quot;/&gt;&lt;wsp:rsid wsp:val=&quot;42F205FF&quot;/&gt;&lt;wsp:rsid wsp:val=&quot;42F2467B&quot;/&gt;&lt;wsp:rsid wsp:val=&quot;42F2592C&quot;/&gt;&lt;wsp:rsid wsp:val=&quot;42F4138D&quot;/&gt;&lt;wsp:rsid wsp:val=&quot;42F425C9&quot;/&gt;&lt;wsp:rsid wsp:val=&quot;42F44377&quot;/&gt;&lt;wsp:rsid wsp:val=&quot;42F5057E&quot;/&gt;&lt;wsp:rsid wsp:val=&quot;42F61E55&quot;/&gt;&lt;wsp:rsid wsp:val=&quot;42F70D7B&quot;/&gt;&lt;wsp:rsid wsp:val=&quot;42F80640&quot;/&gt;&lt;wsp:rsid wsp:val=&quot;42F866D9&quot;/&gt;&lt;wsp:rsid wsp:val=&quot;42FB5880&quot;/&gt;&lt;wsp:rsid wsp:val=&quot;42FC147E&quot;/&gt;&lt;wsp:rsid wsp:val=&quot;42FC322C&quot;/&gt;&lt;wsp:rsid wsp:val=&quot;42FE32FE&quot;/&gt;&lt;wsp:rsid wsp:val=&quot;43005459&quot;/&gt;&lt;wsp:rsid wsp:val=&quot;430302B3&quot;/&gt;&lt;wsp:rsid wsp:val=&quot;430345BA&quot;/&gt;&lt;wsp:rsid wsp:val=&quot;43051503&quot;/&gt;&lt;wsp:rsid wsp:val=&quot;43065E58&quot;/&gt;&lt;wsp:rsid wsp:val=&quot;43081BD1&quot;/&gt;&lt;wsp:rsid wsp:val=&quot;43087E22&quot;/&gt;&lt;wsp:rsid wsp:val=&quot;43095949&quot;/&gt;&lt;wsp:rsid wsp:val=&quot;430976F7&quot;/&gt;&lt;wsp:rsid wsp:val=&quot;430C6A87&quot;/&gt;&lt;wsp:rsid wsp:val=&quot;430D13D6&quot;/&gt;&lt;wsp:rsid wsp:val=&quot;430D5439&quot;/&gt;&lt;wsp:rsid wsp:val=&quot;430F2F5F&quot;/&gt;&lt;wsp:rsid wsp:val=&quot;43104F29&quot;/&gt;&lt;wsp:rsid wsp:val=&quot;43140575&quot;/&gt;&lt;wsp:rsid wsp:val=&quot;43144A19&quot;/&gt;&lt;wsp:rsid wsp:val=&quot;43147B68&quot;/&gt;&lt;wsp:rsid wsp:val=&quot;431542ED&quot;/&gt;&lt;wsp:rsid wsp:val=&quot;43155375&quot;/&gt;&lt;wsp:rsid wsp:val=&quot;43163EDA&quot;/&gt;&lt;wsp:rsid wsp:val=&quot;43174C28&quot;/&gt;&lt;wsp:rsid wsp:val=&quot;431762B8&quot;/&gt;&lt;wsp:rsid wsp:val=&quot;43192030&quot;/&gt;&lt;wsp:rsid wsp:val=&quot;43195B8C&quot;/&gt;&lt;wsp:rsid wsp:val=&quot;431C38CE&quot;/&gt;&lt;wsp:rsid wsp:val=&quot;431C7254&quot;/&gt;&lt;wsp:rsid wsp:val=&quot;431C742A&quot;/&gt;&lt;wsp:rsid wsp:val=&quot;431E7646&quot;/&gt;&lt;wsp:rsid wsp:val=&quot;43210EE4&quot;/&gt;&lt;wsp:rsid wsp:val=&quot;43236A0A&quot;/&gt;&lt;wsp:rsid wsp:val=&quot;43252782&quot;/&gt;&lt;wsp:rsid wsp:val=&quot;43262541&quot;/&gt;&lt;wsp:rsid wsp:val=&quot;432664FB&quot;/&gt;&lt;wsp:rsid wsp:val=&quot;432A34CE&quot;/&gt;&lt;wsp:rsid wsp:val=&quot;432D1637&quot;/&gt;&lt;wsp:rsid wsp:val=&quot;432D471E&quot;/&gt;&lt;wsp:rsid wsp:val=&quot;432D590F&quot;/&gt;&lt;wsp:rsid wsp:val=&quot;432E32DF&quot;/&gt;&lt;wsp:rsid wsp:val=&quot;432F53AF&quot;/&gt;&lt;wsp:rsid wsp:val=&quot;43317379&quot;/&gt;&lt;wsp:rsid wsp:val=&quot;4332051F&quot;/&gt;&lt;wsp:rsid wsp:val=&quot;43324E9F&quot;/&gt;&lt;wsp:rsid wsp:val=&quot;43346E69&quot;/&gt;&lt;wsp:rsid wsp:val=&quot;4335673E&quot;/&gt;&lt;wsp:rsid wsp:val=&quot;43361A71&quot;/&gt;&lt;wsp:rsid wsp:val=&quot;43362BE2&quot;/&gt;&lt;wsp:rsid wsp:val=&quot;43370708&quot;/&gt;&lt;wsp:rsid wsp:val=&quot;433901B6&quot;/&gt;&lt;wsp:rsid wsp:val=&quot;43394480&quot;/&gt;&lt;wsp:rsid wsp:val=&quot;43397FDC&quot;/&gt;&lt;wsp:rsid wsp:val=&quot;433A03F2&quot;/&gt;&lt;wsp:rsid wsp:val=&quot;433A3D54&quot;/&gt;&lt;wsp:rsid wsp:val=&quot;433A6FE6&quot;/&gt;&lt;wsp:rsid wsp:val=&quot;433B01F8&quot;/&gt;&lt;wsp:rsid wsp:val=&quot;433C187A&quot;/&gt;&lt;wsp:rsid wsp:val=&quot;433C2712&quot;/&gt;&lt;wsp:rsid wsp:val=&quot;433C5D1E&quot;/&gt;&lt;wsp:rsid wsp:val=&quot;433C7ACC&quot;/&gt;&lt;wsp:rsid wsp:val=&quot;433E1A96&quot;/&gt;&lt;wsp:rsid wsp:val=&quot;433F71CE&quot;/&gt;&lt;wsp:rsid wsp:val=&quot;4340580E&quot;/&gt;&lt;wsp:rsid wsp:val=&quot;43430E5B&quot;/&gt;&lt;wsp:rsid wsp:val=&quot;43431F81&quot;/&gt;&lt;wsp:rsid wsp:val=&quot;4346609A&quot;/&gt;&lt;wsp:rsid wsp:val=&quot;43480868&quot;/&gt;&lt;wsp:rsid wsp:val=&quot;43491CB9&quot;/&gt;&lt;wsp:rsid wsp:val=&quot;434A21E9&quot;/&gt;&lt;wsp:rsid wsp:val=&quot;434A3F97&quot;/&gt;&lt;wsp:rsid wsp:val=&quot;434B5F61&quot;/&gt;&lt;wsp:rsid wsp:val=&quot;434F15AD&quot;/&gt;&lt;wsp:rsid wsp:val=&quot;4350713C&quot;/&gt;&lt;wsp:rsid wsp:val=&quot;435117C9&quot;/&gt;&lt;wsp:rsid wsp:val=&quot;43515832&quot;/&gt;&lt;wsp:rsid wsp:val=&quot;43516679&quot;/&gt;&lt;wsp:rsid wsp:val=&quot;43525542&quot;/&gt;&lt;wsp:rsid wsp:val=&quot;43566DE0&quot;/&gt;&lt;wsp:rsid wsp:val=&quot;435C1F1C&quot;/&gt;&lt;wsp:rsid wsp:val=&quot;435E5108&quot;/&gt;&lt;wsp:rsid wsp:val=&quot;435E7A42&quot;/&gt;&lt;wsp:rsid wsp:val=&quot;435F5593&quot;/&gt;&lt;wsp:rsid wsp:val=&quot;436037BB&quot;/&gt;&lt;wsp:rsid wsp:val=&quot;43615785&quot;/&gt;&lt;wsp:rsid wsp:val=&quot;43622229&quot;/&gt;&lt;wsp:rsid wsp:val=&quot;4363278D&quot;/&gt;&lt;wsp:rsid wsp:val=&quot;436653E0&quot;/&gt;&lt;wsp:rsid wsp:val=&quot;43665464&quot;/&gt;&lt;wsp:rsid wsp:val=&quot;43670FED&quot;/&gt;&lt;wsp:rsid wsp:val=&quot;43672D9B&quot;/&gt;&lt;wsp:rsid wsp:val=&quot;436808C1&quot;/&gt;&lt;wsp:rsid wsp:val=&quot;43686B13&quot;/&gt;&lt;wsp:rsid wsp:val=&quot;4369148A&quot;/&gt;&lt;wsp:rsid wsp:val=&quot;436A0961&quot;/&gt;&lt;wsp:rsid wsp:val=&quot;436A288B&quot;/&gt;&lt;wsp:rsid wsp:val=&quot;436A63E7&quot;/&gt;&lt;wsp:rsid wsp:val=&quot;436B215F&quot;/&gt;&lt;wsp:rsid wsp:val=&quot;436F39FE&quot;/&gt;&lt;wsp:rsid wsp:val=&quot;43713C1A&quot;/&gt;&lt;wsp:rsid wsp:val=&quot;43721740&quot;/&gt;&lt;wsp:rsid wsp:val=&quot;43727992&quot;/&gt;&lt;wsp:rsid wsp:val=&quot;4374370A&quot;/&gt;&lt;wsp:rsid wsp:val=&quot;437730ED&quot;/&gt;&lt;wsp:rsid wsp:val=&quot;43776D56&quot;/&gt;&lt;wsp:rsid wsp:val=&quot;43792ACE&quot;/&gt;&lt;wsp:rsid wsp:val=&quot;437B05F4&quot;/&gt;&lt;wsp:rsid wsp:val=&quot;437B2DD9&quot;/&gt;&lt;wsp:rsid wsp:val=&quot;437C1635&quot;/&gt;&lt;wsp:rsid wsp:val=&quot;437D3114&quot;/&gt;&lt;wsp:rsid wsp:val=&quot;437E00E5&quot;/&gt;&lt;wsp:rsid wsp:val=&quot;437E1E93&quot;/&gt;&lt;wsp:rsid wsp:val=&quot;437E6337&quot;/&gt;&lt;wsp:rsid wsp:val=&quot;437F6B26&quot;/&gt;&lt;wsp:rsid wsp:val=&quot;43814017&quot;/&gt;&lt;wsp:rsid wsp:val=&quot;43826BE8&quot;/&gt;&lt;wsp:rsid wsp:val=&quot;43873032&quot;/&gt;&lt;wsp:rsid wsp:val=&quot;4387343D&quot;/&gt;&lt;wsp:rsid wsp:val=&quot;43881864&quot;/&gt;&lt;wsp:rsid wsp:val=&quot;438C45B0&quot;/&gt;&lt;wsp:rsid wsp:val=&quot;438D20D6&quot;/&gt;&lt;wsp:rsid wsp:val=&quot;43917E18&quot;/&gt;&lt;wsp:rsid wsp:val=&quot;4392593E&quot;/&gt;&lt;wsp:rsid wsp:val=&quot;4393443B&quot;/&gt;&lt;wsp:rsid wsp:val=&quot;4396542E&quot;/&gt;&lt;wsp:rsid wsp:val=&quot;439671DC&quot;/&gt;&lt;wsp:rsid wsp:val=&quot;439806F8&quot;/&gt;&lt;wsp:rsid wsp:val=&quot;439873F8&quot;/&gt;&lt;wsp:rsid wsp:val=&quot;43993170&quot;/&gt;&lt;wsp:rsid wsp:val=&quot;439B2A45&quot;/&gt;&lt;wsp:rsid wsp:val=&quot;439D07BA&quot;/&gt;&lt;wsp:rsid wsp:val=&quot;439D4A0F&quot;/&gt;&lt;wsp:rsid wsp:val=&quot;439D67BD&quot;/&gt;&lt;wsp:rsid wsp:val=&quot;439E0787&quot;/&gt;&lt;wsp:rsid wsp:val=&quot;439E41BC&quot;/&gt;&lt;wsp:rsid wsp:val=&quot;439E42E3&quot;/&gt;&lt;wsp:rsid wsp:val=&quot;43A0005B&quot;/&gt;&lt;wsp:rsid wsp:val=&quot;43A22025&quot;/&gt;&lt;wsp:rsid wsp:val=&quot;43A23DD3&quot;/&gt;&lt;wsp:rsid wsp:val=&quot;43A50841&quot;/&gt;&lt;wsp:rsid wsp:val=&quot;43A713E9&quot;/&gt;&lt;wsp:rsid wsp:val=&quot;43AA2C88&quot;/&gt;&lt;wsp:rsid wsp:val=&quot;43AC5588&quot;/&gt;&lt;wsp:rsid wsp:val=&quot;43AE7DCC&quot;/&gt;&lt;wsp:rsid wsp:val=&quot;43AF64F0&quot;/&gt;&lt;wsp:rsid wsp:val=&quot;43B65AD0&quot;/&gt;&lt;wsp:rsid wsp:val=&quot;43B7145E&quot;/&gt;&lt;wsp:rsid wsp:val=&quot;43B75827&quot;/&gt;&lt;wsp:rsid wsp:val=&quot;43B86443&quot;/&gt;&lt;wsp:rsid wsp:val=&quot;43B90147&quot;/&gt;&lt;wsp:rsid wsp:val=&quot;43B9111D&quot;/&gt;&lt;wsp:rsid wsp:val=&quot;43BB30E7&quot;/&gt;&lt;wsp:rsid wsp:val=&quot;43BC0257&quot;/&gt;&lt;wsp:rsid wsp:val=&quot;43C12833&quot;/&gt;&lt;wsp:rsid wsp:val=&quot;43C13740&quot;/&gt;&lt;wsp:rsid wsp:val=&quot;43C2414B&quot;/&gt;&lt;wsp:rsid wsp:val=&quot;43C26223&quot;/&gt;&lt;wsp:rsid wsp:val=&quot;43C337F2&quot;/&gt;&lt;wsp:rsid wsp:val=&quot;43C401ED&quot;/&gt;&lt;wsp:rsid wsp:val=&quot;43C4431A&quot;/&gt;&lt;wsp:rsid wsp:val=&quot;43C55D14&quot;/&gt;&lt;wsp:rsid wsp:val=&quot;43C57AC2&quot;/&gt;&lt;wsp:rsid wsp:val=&quot;43C62693&quot;/&gt;&lt;wsp:rsid wsp:val=&quot;43C71A8C&quot;/&gt;&lt;wsp:rsid wsp:val=&quot;43C76287&quot;/&gt;&lt;wsp:rsid wsp:val=&quot;43C81360&quot;/&gt;&lt;wsp:rsid wsp:val=&quot;43CA157C&quot;/&gt;&lt;wsp:rsid wsp:val=&quot;43CA332A&quot;/&gt;&lt;wsp:rsid wsp:val=&quot;43CB255C&quot;/&gt;&lt;wsp:rsid wsp:val=&quot;43CD6976&quot;/&gt;&lt;wsp:rsid wsp:val=&quot;43CE0EDD&quot;/&gt;&lt;wsp:rsid wsp:val=&quot;43D146B8&quot;/&gt;&lt;wsp:rsid wsp:val=&quot;43D16466&quot;/&gt;&lt;wsp:rsid wsp:val=&quot;43D31CC1&quot;/&gt;&lt;wsp:rsid wsp:val=&quot;43D321DE&quot;/&gt;&lt;wsp:rsid wsp:val=&quot;43D61CCF&quot;/&gt;&lt;wsp:rsid wsp:val=&quot;43D9356D&quot;/&gt;&lt;wsp:rsid wsp:val=&quot;43DB5537&quot;/&gt;&lt;wsp:rsid wsp:val=&quot;43DD0DFB&quot;/&gt;&lt;wsp:rsid wsp:val=&quot;43DE0B83&quot;/&gt;&lt;wsp:rsid wsp:val=&quot;43DE2931&quot;/&gt;&lt;wsp:rsid wsp:val=&quot;43DF5027&quot;/&gt;&lt;wsp:rsid wsp:val=&quot;43E02B4D&quot;/&gt;&lt;wsp:rsid wsp:val=&quot;43E066A9&quot;/&gt;&lt;wsp:rsid wsp:val=&quot;43E066F5&quot;/&gt;&lt;wsp:rsid wsp:val=&quot;43E20674&quot;/&gt;&lt;wsp:rsid wsp:val=&quot;43E3619A&quot;/&gt;&lt;wsp:rsid wsp:val=&quot;43E4263E&quot;/&gt;&lt;wsp:rsid wsp:val=&quot;43E443EC&quot;/&gt;&lt;wsp:rsid wsp:val=&quot;43E67164&quot;/&gt;&lt;wsp:rsid wsp:val=&quot;43E837B0&quot;/&gt;&lt;wsp:rsid wsp:val=&quot;43E85A19&quot;/&gt;&lt;wsp:rsid wsp:val=&quot;43E97C54&quot;/&gt;&lt;wsp:rsid wsp:val=&quot;43EA577A&quot;/&gt;&lt;wsp:rsid wsp:val=&quot;43EA7528&quot;/&gt;&lt;wsp:rsid wsp:val=&quot;43EC32A0&quot;/&gt;&lt;wsp:rsid wsp:val=&quot;43EC504E&quot;/&gt;&lt;wsp:rsid wsp:val=&quot;43EE4268&quot;/&gt;&lt;wsp:rsid wsp:val=&quot;43EE7018&quot;/&gt;&lt;wsp:rsid wsp:val=&quot;43F17E3C&quot;/&gt;&lt;wsp:rsid wsp:val=&quot;43F403A7&quot;/&gt;&lt;wsp:rsid wsp:val=&quot;43F44339&quot;/&gt;&lt;wsp:rsid wsp:val=&quot;43F62371&quot;/&gt;&lt;wsp:rsid wsp:val=&quot;43F65ECD&quot;/&gt;&lt;wsp:rsid wsp:val=&quot;43F87E97&quot;/&gt;&lt;wsp:rsid wsp:val=&quot;43F959BD&quot;/&gt;&lt;wsp:rsid wsp:val=&quot;43FB7987&quot;/&gt;&lt;wsp:rsid wsp:val=&quot;43FD36FF&quot;/&gt;&lt;wsp:rsid wsp:val=&quot;43FD725B&quot;/&gt;&lt;wsp:rsid wsp:val=&quot;43FE7FBC&quot;/&gt;&lt;wsp:rsid wsp:val=&quot;44024872&quot;/&gt;&lt;wsp:rsid wsp:val=&quot;44044DD8&quot;/&gt;&lt;wsp:rsid wsp:val=&quot;4404597E&quot;/&gt;&lt;wsp:rsid wsp:val=&quot;440B1130&quot;/&gt;&lt;wsp:rsid wsp:val=&quot;440D2D01&quot;/&gt;&lt;wsp:rsid wsp:val=&quot;440E3217&quot;/&gt;&lt;wsp:rsid wsp:val=&quot;440E76BA&quot;/&gt;&lt;wsp:rsid wsp:val=&quot;44112D07&quot;/&gt;&lt;wsp:rsid wsp:val=&quot;44136A7F&quot;/&gt;&lt;wsp:rsid wsp:val=&quot;441427F7&quot;/&gt;&lt;wsp:rsid wsp:val=&quot;441440F3&quot;/&gt;&lt;wsp:rsid wsp:val=&quot;44173EC7&quot;/&gt;&lt;wsp:rsid wsp:val=&quot;44175D2E&quot;/&gt;&lt;wsp:rsid wsp:val=&quot;44184095&quot;/&gt;&lt;wsp:rsid wsp:val=&quot;44185497&quot;/&gt;&lt;wsp:rsid wsp:val=&quot;441A605F&quot;/&gt;&lt;wsp:rsid wsp:val=&quot;441A7E0D&quot;/&gt;&lt;wsp:rsid wsp:val=&quot;441B3B85&quot;/&gt;&lt;wsp:rsid wsp:val=&quot;441B5933&quot;/&gt;&lt;wsp:rsid wsp:val=&quot;441C3545&quot;/&gt;&lt;wsp:rsid wsp:val=&quot;441F3676&quot;/&gt;&lt;wsp:rsid wsp:val=&quot;44200160&quot;/&gt;&lt;wsp:rsid wsp:val=&quot;44242A3A&quot;/&gt;&lt;wsp:rsid wsp:val=&quot;44250040&quot;/&gt;&lt;wsp:rsid wsp:val=&quot;442567B2&quot;/&gt;&lt;wsp:rsid wsp:val=&quot;442742D8&quot;/&gt;&lt;wsp:rsid wsp:val=&quot;44286D6E&quot;/&gt;&lt;wsp:rsid wsp:val=&quot;44290050&quot;/&gt;&lt;wsp:rsid wsp:val=&quot;4429137E&quot;/&gt;&lt;wsp:rsid wsp:val=&quot;442944F4&quot;/&gt;&lt;wsp:rsid wsp:val=&quot;442962A2&quot;/&gt;&lt;wsp:rsid wsp:val=&quot;44296C35&quot;/&gt;&lt;wsp:rsid wsp:val=&quot;442A3DC9&quot;/&gt;&lt;wsp:rsid wsp:val=&quot;442A5B77&quot;/&gt;&lt;wsp:rsid wsp:val=&quot;442B201A&quot;/&gt;&lt;wsp:rsid wsp:val=&quot;442B20E0&quot;/&gt;&lt;wsp:rsid wsp:val=&quot;442C2F5D&quot;/&gt;&lt;wsp:rsid wsp:val=&quot;442C7400&quot;/&gt;&lt;wsp:rsid wsp:val=&quot;442C7B41&quot;/&gt;&lt;wsp:rsid wsp:val=&quot;44304FA2&quot;/&gt;&lt;wsp:rsid wsp:val=&quot;44307631&quot;/&gt;&lt;wsp:rsid wsp:val=&quot;443133A9&quot;/&gt;&lt;wsp:rsid wsp:val=&quot;44315157&quot;/&gt;&lt;wsp:rsid wsp:val=&quot;44325CF6&quot;/&gt;&lt;wsp:rsid wsp:val=&quot;44332C7D&quot;/&gt;&lt;wsp:rsid wsp:val=&quot;443469F5&quot;/&gt;&lt;wsp:rsid wsp:val=&quot;44352E99&quot;/&gt;&lt;wsp:rsid wsp:val=&quot;44356FB8&quot;/&gt;&lt;wsp:rsid wsp:val=&quot;443A225E&quot;/&gt;&lt;wsp:rsid wsp:val=&quot;443B5FD6&quot;/&gt;&lt;wsp:rsid wsp:val=&quot;443B6DB9&quot;/&gt;&lt;wsp:rsid wsp:val=&quot;443C2C41&quot;/&gt;&lt;wsp:rsid wsp:val=&quot;443F5AC6&quot;/&gt;&lt;wsp:rsid wsp:val=&quot;443F68DF&quot;/&gt;&lt;wsp:rsid wsp:val=&quot;443F7874&quot;/&gt;&lt;wsp:rsid wsp:val=&quot;444035EC&quot;/&gt;&lt;wsp:rsid wsp:val=&quot;44404832&quot;/&gt;&lt;wsp:rsid wsp:val=&quot;4440539A&quot;/&gt;&lt;wsp:rsid wsp:val=&quot;4441183E&quot;/&gt;&lt;wsp:rsid wsp:val=&quot;44421112&quot;/&gt;&lt;wsp:rsid wsp:val=&quot;44447B80&quot;/&gt;&lt;wsp:rsid wsp:val=&quot;4445066C&quot;/&gt;&lt;wsp:rsid wsp:val=&quot;444529B0&quot;/&gt;&lt;wsp:rsid wsp:val=&quot;44463BE1&quot;/&gt;&lt;wsp:rsid wsp:val=&quot;44466E54&quot;/&gt;&lt;wsp:rsid wsp:val=&quot;44472BCC&quot;/&gt;&lt;wsp:rsid wsp:val=&quot;444906F3&quot;/&gt;&lt;wsp:rsid wsp:val=&quot;444924A1&quot;/&gt;&lt;wsp:rsid wsp:val=&quot;444A6219&quot;/&gt;&lt;wsp:rsid wsp:val=&quot;444C26C2&quot;/&gt;&lt;wsp:rsid wsp:val=&quot;444E3F5B&quot;/&gt;&lt;wsp:rsid wsp:val=&quot;444E5D09&quot;/&gt;&lt;wsp:rsid wsp:val=&quot;444F55DD&quot;/&gt;&lt;wsp:rsid wsp:val=&quot;44501A81&quot;/&gt;&lt;wsp:rsid wsp:val=&quot;4450382F&quot;/&gt;&lt;wsp:rsid wsp:val=&quot;44524D55&quot;/&gt;&lt;wsp:rsid wsp:val=&quot;445350CD&quot;/&gt;&lt;wsp:rsid wsp:val=&quot;4456696C&quot;/&gt;&lt;wsp:rsid wsp:val=&quot;445826E4&quot;/&gt;&lt;wsp:rsid wsp:val=&quot;445961A5&quot;/&gt;&lt;wsp:rsid wsp:val=&quot;445A34E7&quot;/&gt;&lt;wsp:rsid wsp:val=&quot;445B21D4&quot;/&gt;&lt;wsp:rsid wsp:val=&quot;445D419E&quot;/&gt;&lt;wsp:rsid wsp:val=&quot;445D7297&quot;/&gt;&lt;wsp:rsid wsp:val=&quot;445D7CFA&quot;/&gt;&lt;wsp:rsid wsp:val=&quot;44615A3C&quot;/&gt;&lt;wsp:rsid wsp:val=&quot;446217B4&quot;/&gt;&lt;wsp:rsid wsp:val=&quot;44625310&quot;/&gt;&lt;wsp:rsid wsp:val=&quot;44654E01&quot;/&gt;&lt;wsp:rsid wsp:val=&quot;44661A8A&quot;/&gt;&lt;wsp:rsid wsp:val=&quot;44676DCB&quot;/&gt;&lt;wsp:rsid wsp:val=&quot;446948F1&quot;/&gt;&lt;wsp:rsid wsp:val=&quot;446B68BB&quot;/&gt;&lt;wsp:rsid wsp:val=&quot;446C43E1&quot;/&gt;&lt;wsp:rsid wsp:val=&quot;446C618F&quot;/&gt;&lt;wsp:rsid wsp:val=&quot;446E0159&quot;/&gt;&lt;wsp:rsid wsp:val=&quot;446E2DED&quot;/&gt;&lt;wsp:rsid wsp:val=&quot;44703ED1&quot;/&gt;&lt;wsp:rsid wsp:val=&quot;44705C7F&quot;/&gt;&lt;wsp:rsid wsp:val=&quot;44723B6D&quot;/&gt;&lt;wsp:rsid wsp:val=&quot;447339C1&quot;/&gt;&lt;wsp:rsid wsp:val=&quot;44751723&quot;/&gt;&lt;wsp:rsid wsp:val=&quot;4476700E&quot;/&gt;&lt;wsp:rsid wsp:val=&quot;44775260&quot;/&gt;&lt;wsp:rsid wsp:val=&quot;44786ADF&quot;/&gt;&lt;wsp:rsid wsp:val=&quot;447A08AC&quot;/&gt;&lt;wsp:rsid wsp:val=&quot;447A4D50&quot;/&gt;&lt;wsp:rsid wsp:val=&quot;447D6881&quot;/&gt;&lt;wsp:rsid wsp:val=&quot;447F0234&quot;/&gt;&lt;wsp:rsid wsp:val=&quot;447F2366&quot;/&gt;&lt;wsp:rsid wsp:val=&quot;447F4114&quot;/&gt;&lt;wsp:rsid wsp:val=&quot;448160DE&quot;/&gt;&lt;wsp:rsid wsp:val=&quot;44827761&quot;/&gt;&lt;wsp:rsid wsp:val=&quot;4484172B&quot;/&gt;&lt;wsp:rsid wsp:val=&quot;448434D9&quot;/&gt;&lt;wsp:rsid wsp:val=&quot;44843C65&quot;/&gt;&lt;wsp:rsid wsp:val=&quot;4484797D&quot;/&gt;&lt;wsp:rsid wsp:val=&quot;4485521C&quot;/&gt;&lt;wsp:rsid wsp:val=&quot;448564A3&quot;/&gt;&lt;wsp:rsid wsp:val=&quot;448654A3&quot;/&gt;&lt;wsp:rsid wsp:val=&quot;44872FC9&quot;/&gt;&lt;wsp:rsid wsp:val=&quot;448C6831&quot;/&gt;&lt;wsp:rsid wsp:val=&quot;448E07FB&quot;/&gt;&lt;wsp:rsid wsp:val=&quot;448E4357&quot;/&gt;&lt;wsp:rsid wsp:val=&quot;448E6105&quot;/&gt;&lt;wsp:rsid wsp:val=&quot;449000D0&quot;/&gt;&lt;wsp:rsid wsp:val=&quot;44906FD3&quot;/&gt;&lt;wsp:rsid wsp:val=&quot;4492209A&quot;/&gt;&lt;wsp:rsid wsp:val=&quot;44944B08&quot;/&gt;&lt;wsp:rsid wsp:val=&quot;44953938&quot;/&gt;&lt;wsp:rsid wsp:val=&quot;449556E6&quot;/&gt;&lt;wsp:rsid wsp:val=&quot;44957494&quot;/&gt;&lt;wsp:rsid wsp:val=&quot;4497145E&quot;/&gt;&lt;wsp:rsid wsp:val=&quot;44983428&quot;/&gt;&lt;wsp:rsid wsp:val=&quot;449851D6&quot;/&gt;&lt;wsp:rsid wsp:val=&quot;44985A24&quot;/&gt;&lt;wsp:rsid wsp:val=&quot;449974E9&quot;/&gt;&lt;wsp:rsid wsp:val=&quot;449A38A3&quot;/&gt;&lt;wsp:rsid wsp:val=&quot;449B49DA&quot;/&gt;&lt;wsp:rsid wsp:val=&quot;449C6A74&quot;/&gt;&lt;wsp:rsid wsp:val=&quot;449D459A&quot;/&gt;&lt;wsp:rsid wsp:val=&quot;449D72FA&quot;/&gt;&lt;wsp:rsid wsp:val=&quot;44A122DD&quot;/&gt;&lt;wsp:rsid wsp:val=&quot;44A43B7B&quot;/&gt;&lt;wsp:rsid wsp:val=&quot;44A45929&quot;/&gt;&lt;wsp:rsid wsp:val=&quot;44A51CE0&quot;/&gt;&lt;wsp:rsid wsp:val=&quot;44A57004&quot;/&gt;&lt;wsp:rsid wsp:val=&quot;44A65B45&quot;/&gt;&lt;wsp:rsid wsp:val=&quot;44A733D3&quot;/&gt;&lt;wsp:rsid wsp:val=&quot;44AB4F09&quot;/&gt;&lt;wsp:rsid wsp:val=&quot;44AB6CB7&quot;/&gt;&lt;wsp:rsid wsp:val=&quot;44AD6ED3&quot;/&gt;&lt;wsp:rsid wsp:val=&quot;44B042CE&quot;/&gt;&lt;wsp:rsid wsp:val=&quot;44B10046&quot;/&gt;&lt;wsp:rsid wsp:val=&quot;44B16ADB&quot;/&gt;&lt;wsp:rsid wsp:val=&quot;44B244EA&quot;/&gt;&lt;wsp:rsid wsp:val=&quot;44B26298&quot;/&gt;&lt;wsp:rsid wsp:val=&quot;44B33DBE&quot;/&gt;&lt;wsp:rsid wsp:val=&quot;44B518E4&quot;/&gt;&lt;wsp:rsid wsp:val=&quot;44B55D88&quot;/&gt;&lt;wsp:rsid wsp:val=&quot;44B57B36&quot;/&gt;&lt;wsp:rsid wsp:val=&quot;44B813D4&quot;/&gt;&lt;wsp:rsid wsp:val=&quot;44B85878&quot;/&gt;&lt;wsp:rsid wsp:val=&quot;44B87D19&quot;/&gt;&lt;wsp:rsid wsp:val=&quot;44B951CC&quot;/&gt;&lt;wsp:rsid wsp:val=&quot;44BA339E&quot;/&gt;&lt;wsp:rsid wsp:val=&quot;44BA514C&quot;/&gt;&lt;wsp:rsid wsp:val=&quot;44BC0EC5&quot;/&gt;&lt;wsp:rsid wsp:val=&quot;44BD4C3D&quot;/&gt;&lt;wsp:rsid wsp:val=&quot;44BE2E8F&quot;/&gt;&lt;wsp:rsid wsp:val=&quot;44BF09B5&quot;/&gt;&lt;wsp:rsid wsp:val=&quot;44C22253&quot;/&gt;&lt;wsp:rsid wsp:val=&quot;44C26789&quot;/&gt;&lt;wsp:rsid wsp:val=&quot;44C4421D&quot;/&gt;&lt;wsp:rsid wsp:val=&quot;44C63AF1&quot;/&gt;&lt;wsp:rsid wsp:val=&quot;44C80E2F&quot;/&gt;&lt;wsp:rsid wsp:val=&quot;44C85ABB&quot;/&gt;&lt;wsp:rsid wsp:val=&quot;44CB1454&quot;/&gt;&lt;wsp:rsid wsp:val=&quot;44CD1324&quot;/&gt;&lt;wsp:rsid wsp:val=&quot;44CD14E0&quot;/&gt;&lt;wsp:rsid wsp:val=&quot;44CD20C7&quot;/&gt;&lt;wsp:rsid wsp:val=&quot;44CD4E80&quot;/&gt;&lt;wsp:rsid wsp:val=&quot;44CE0BF8&quot;/&gt;&lt;wsp:rsid wsp:val=&quot;44CE6128&quot;/&gt;&lt;wsp:rsid wsp:val=&quot;44D001CD&quot;/&gt;&lt;wsp:rsid wsp:val=&quot;44D04970&quot;/&gt;&lt;wsp:rsid wsp:val=&quot;44D0671E&quot;/&gt;&lt;wsp:rsid wsp:val=&quot;44D206E8&quot;/&gt;&lt;wsp:rsid wsp:val=&quot;44D34460&quot;/&gt;&lt;wsp:rsid wsp:val=&quot;44D44C11&quot;/&gt;&lt;wsp:rsid wsp:val=&quot;44D501D8&quot;/&gt;&lt;wsp:rsid wsp:val=&quot;44D53D34&quot;/&gt;&lt;wsp:rsid wsp:val=&quot;44D60D07&quot;/&gt;&lt;wsp:rsid wsp:val=&quot;44D648BA&quot;/&gt;&lt;wsp:rsid wsp:val=&quot;44D81A76&quot;/&gt;&lt;wsp:rsid wsp:val=&quot;44D83825&quot;/&gt;&lt;wsp:rsid wsp:val=&quot;44D97CC8&quot;/&gt;&lt;wsp:rsid wsp:val=&quot;44DA134B&quot;/&gt;&lt;wsp:rsid wsp:val=&quot;44DB5F34&quot;/&gt;&lt;wsp:rsid wsp:val=&quot;44DC1567&quot;/&gt;&lt;wsp:rsid wsp:val=&quot;44E1092B&quot;/&gt;&lt;wsp:rsid wsp:val=&quot;44E15337&quot;/&gt;&lt;wsp:rsid wsp:val=&quot;44E328F5&quot;/&gt;&lt;wsp:rsid wsp:val=&quot;44E4034E&quot;/&gt;&lt;wsp:rsid wsp:val=&quot;44E44A7E&quot;/&gt;&lt;wsp:rsid wsp:val=&quot;44E623E5&quot;/&gt;&lt;wsp:rsid wsp:val=&quot;44E73A68&quot;/&gt;&lt;wsp:rsid wsp:val=&quot;44E87F0C&quot;/&gt;&lt;wsp:rsid wsp:val=&quot;44E915E3&quot;/&gt;&lt;wsp:rsid wsp:val=&quot;44E95A32&quot;/&gt;&lt;wsp:rsid wsp:val=&quot;44EA5ED6&quot;/&gt;&lt;wsp:rsid wsp:val=&quot;44EC1EBA&quot;/&gt;&lt;wsp:rsid wsp:val=&quot;44F04590&quot;/&gt;&lt;wsp:rsid wsp:val=&quot;44F20B0B&quot;/&gt;&lt;wsp:rsid wsp:val=&quot;44F20D8A&quot;/&gt;&lt;wsp:rsid wsp:val=&quot;44F3240C&quot;/&gt;&lt;wsp:rsid wsp:val=&quot;44F543D6&quot;/&gt;&lt;wsp:rsid wsp:val=&quot;44F7014F&quot;/&gt;&lt;wsp:rsid wsp:val=&quot;44F92119&quot;/&gt;&lt;wsp:rsid wsp:val=&quot;44F97C54&quot;/&gt;&lt;wsp:rsid wsp:val=&quot;44FC430A&quot;/&gt;&lt;wsp:rsid wsp:val=&quot;44FC5765&quot;/&gt;&lt;wsp:rsid wsp:val=&quot;44FC7513&quot;/&gt;&lt;wsp:rsid wsp:val=&quot;44FD328B&quot;/&gt;&lt;wsp:rsid wsp:val=&quot;44FE772F&quot;/&gt;&lt;wsp:rsid wsp:val=&quot;44FF380C&quot;/&gt;&lt;wsp:rsid wsp:val=&quot;44FF7833&quot;/&gt;&lt;wsp:rsid wsp:val=&quot;45010FCD&quot;/&gt;&lt;wsp:rsid wsp:val=&quot;45013B88&quot;/&gt;&lt;wsp:rsid wsp:val=&quot;45022447&quot;/&gt;&lt;wsp:rsid wsp:val=&quot;45030A4C&quot;/&gt;&lt;wsp:rsid wsp:val=&quot;45032260&quot;/&gt;&lt;wsp:rsid wsp:val=&quot;4504286C&quot;/&gt;&lt;wsp:rsid wsp:val=&quot;45062140&quot;/&gt;&lt;wsp:rsid wsp:val=&quot;45085EB8&quot;/&gt;&lt;wsp:rsid wsp:val=&quot;450860A8&quot;/&gt;&lt;wsp:rsid wsp:val=&quot;450862B9&quot;/&gt;&lt;wsp:rsid wsp:val=&quot;450B59A8&quot;/&gt;&lt;wsp:rsid wsp:val=&quot;450D0C9B&quot;/&gt;&lt;wsp:rsid wsp:val=&quot;45132AAF&quot;/&gt;&lt;wsp:rsid wsp:val=&quot;4513485D&quot;/&gt;&lt;wsp:rsid wsp:val=&quot;45154A79&quot;/&gt;&lt;wsp:rsid wsp:val=&quot;451731DD&quot;/&gt;&lt;wsp:rsid wsp:val=&quot;451A208F&quot;/&gt;&lt;wsp:rsid wsp:val=&quot;451B472F&quot;/&gt;&lt;wsp:rsid wsp:val=&quot;451C1963&quot;/&gt;&lt;wsp:rsid wsp:val=&quot;451C5E07&quot;/&gt;&lt;wsp:rsid wsp:val=&quot;451D704F&quot;/&gt;&lt;wsp:rsid wsp:val=&quot;451E04DF&quot;/&gt;&lt;wsp:rsid wsp:val=&quot;451E56DB&quot;/&gt;&lt;wsp:rsid wsp:val=&quot;45216E60&quot;/&gt;&lt;wsp:rsid wsp:val=&quot;45230F44&quot;/&gt;&lt;wsp:rsid wsp:val=&quot;45235A92&quot;/&gt;&lt;wsp:rsid wsp:val=&quot;45246133&quot;/&gt;&lt;wsp:rsid wsp:val=&quot;45252F0E&quot;/&gt;&lt;wsp:rsid wsp:val=&quot;45277E43&quot;/&gt;&lt;wsp:rsid wsp:val=&quot;45280308&quot;/&gt;&lt;wsp:rsid wsp:val=&quot;452847AC&quot;/&gt;&lt;wsp:rsid wsp:val=&quot;452C56B4&quot;/&gt;&lt;wsp:rsid wsp:val=&quot;452D1DC2&quot;/&gt;&lt;wsp:rsid wsp:val=&quot;452D3B70&quot;/&gt;&lt;wsp:rsid wsp:val=&quot;452E5F4C&quot;/&gt;&lt;wsp:rsid wsp:val=&quot;452F78E8&quot;/&gt;&lt;wsp:rsid wsp:val=&quot;453018B3&quot;/&gt;&lt;wsp:rsid wsp:val=&quot;45317391&quot;/&gt;&lt;wsp:rsid wsp:val=&quot;45321187&quot;/&gt;&lt;wsp:rsid wsp:val=&quot;45336CAD&quot;/&gt;&lt;wsp:rsid wsp:val=&quot;45343151&quot;/&gt;&lt;wsp:rsid wsp:val=&quot;45344EFF&quot;/&gt;&lt;wsp:rsid wsp:val=&quot;45357EA7&quot;/&gt;&lt;wsp:rsid wsp:val=&quot;45372C41&quot;/&gt;&lt;wsp:rsid wsp:val=&quot;453749EF&quot;/&gt;&lt;wsp:rsid wsp:val=&quot;45386828&quot;/&gt;&lt;wsp:rsid wsp:val=&quot;4539764E&quot;/&gt;&lt;wsp:rsid wsp:val=&quot;453B44DF&quot;/&gt;&lt;wsp:rsid wsp:val=&quot;453C3DB3&quot;/&gt;&lt;wsp:rsid wsp:val=&quot;453D7240&quot;/&gt;&lt;wsp:rsid wsp:val=&quot;453E7B2C&quot;/&gt;&lt;wsp:rsid wsp:val=&quot;453F38A4&quot;/&gt;&lt;wsp:rsid wsp:val=&quot;453F5652&quot;/&gt;&lt;wsp:rsid wsp:val=&quot;454113CA&quot;/&gt;&lt;wsp:rsid wsp:val=&quot;4541761C&quot;/&gt;&lt;wsp:rsid wsp:val=&quot;45433394&quot;/&gt;&lt;wsp:rsid wsp:val=&quot;45442C68&quot;/&gt;&lt;wsp:rsid wsp:val=&quot;4545710C&quot;/&gt;&lt;wsp:rsid wsp:val=&quot;454676EB&quot;/&gt;&lt;wsp:rsid wsp:val=&quot;45485320&quot;/&gt;&lt;wsp:rsid wsp:val=&quot;454A2974&quot;/&gt;&lt;wsp:rsid wsp:val=&quot;454A41ED&quot;/&gt;&lt;wsp:rsid wsp:val=&quot;454A4722&quot;/&gt;&lt;wsp:rsid wsp:val=&quot;454C1C9B&quot;/&gt;&lt;wsp:rsid wsp:val=&quot;454D5FC1&quot;/&gt;&lt;wsp:rsid wsp:val=&quot;454F1D39&quot;/&gt;&lt;wsp:rsid wsp:val=&quot;4550160D&quot;/&gt;&lt;wsp:rsid wsp:val=&quot;4550785F&quot;/&gt;&lt;wsp:rsid wsp:val=&quot;45521829&quot;/&gt;&lt;wsp:rsid wsp:val=&quot;455235D7&quot;/&gt;&lt;wsp:rsid wsp:val=&quot;455455A1&quot;/&gt;&lt;wsp:rsid wsp:val=&quot;4557176E&quot;/&gt;&lt;wsp:rsid wsp:val=&quot;45575091&quot;/&gt;&lt;wsp:rsid wsp:val=&quot;455810A1&quot;/&gt;&lt;wsp:rsid wsp:val=&quot;45592BB7&quot;/&gt;&lt;wsp:rsid wsp:val=&quot;45594965&quot;/&gt;&lt;wsp:rsid wsp:val=&quot;455C6204&quot;/&gt;&lt;wsp:rsid wsp:val=&quot;455F7AA2&quot;/&gt;&lt;wsp:rsid wsp:val=&quot;45602E63&quot;/&gt;&lt;wsp:rsid wsp:val=&quot;45605CF4&quot;/&gt;&lt;wsp:rsid wsp:val=&quot;45612018&quot;/&gt;&lt;wsp:rsid wsp:val=&quot;4561381A&quot;/&gt;&lt;wsp:rsid wsp:val=&quot;4565155C&quot;/&gt;&lt;wsp:rsid wsp:val=&quot;4565330A&quot;/&gt;&lt;wsp:rsid wsp:val=&quot;456562D4&quot;/&gt;&lt;wsp:rsid wsp:val=&quot;45660E30&quot;/&gt;&lt;wsp:rsid wsp:val=&quot;45682D36&quot;/&gt;&lt;wsp:rsid wsp:val=&quot;456907D5&quot;/&gt;&lt;wsp:rsid wsp:val=&quot;456A6B72&quot;/&gt;&lt;wsp:rsid wsp:val=&quot;456B4699&quot;/&gt;&lt;wsp:rsid wsp:val=&quot;456B6447&quot;/&gt;&lt;wsp:rsid wsp:val=&quot;456D0411&quot;/&gt;&lt;wsp:rsid wsp:val=&quot;456D3FD7&quot;/&gt;&lt;wsp:rsid wsp:val=&quot;45701CAF&quot;/&gt;&lt;wsp:rsid wsp:val=&quot;45717F01&quot;/&gt;&lt;wsp:rsid wsp:val=&quot;45723C79&quot;/&gt;&lt;wsp:rsid wsp:val=&quot;45725A27&quot;/&gt;&lt;wsp:rsid wsp:val=&quot;45737E49&quot;/&gt;&lt;wsp:rsid wsp:val=&quot;457568B8&quot;/&gt;&lt;wsp:rsid wsp:val=&quot;45763769&quot;/&gt;&lt;wsp:rsid wsp:val=&quot;45774DEB&quot;/&gt;&lt;wsp:rsid wsp:val=&quot;45795008&quot;/&gt;&lt;wsp:rsid wsp:val=&quot;457A48DC&quot;/&gt;&lt;wsp:rsid wsp:val=&quot;457B0D80&quot;/&gt;&lt;wsp:rsid wsp:val=&quot;457C68A6&quot;/&gt;&lt;wsp:rsid wsp:val=&quot;457D65BD&quot;/&gt;&lt;wsp:rsid wsp:val=&quot;45835E86&quot;/&gt;&lt;wsp:rsid wsp:val=&quot;45836958&quot;/&gt;&lt;wsp:rsid wsp:val=&quot;45857508&quot;/&gt;&lt;wsp:rsid wsp:val=&quot;458614D2&quot;/&gt;&lt;wsp:rsid wsp:val=&quot;45877724&quot;/&gt;&lt;wsp:rsid wsp:val=&quot;45886FF9&quot;/&gt;&lt;wsp:rsid wsp:val=&quot;458946E9&quot;/&gt;&lt;wsp:rsid wsp:val=&quot;458A0FC3&quot;/&gt;&lt;wsp:rsid wsp:val=&quot;458A2B92&quot;/&gt;&lt;wsp:rsid wsp:val=&quot;458A60D0&quot;/&gt;&lt;wsp:rsid wsp:val=&quot;458D0AB3&quot;/&gt;&lt;wsp:rsid wsp:val=&quot;458F482B&quot;/&gt;&lt;wsp:rsid wsp:val=&quot;45905EAD&quot;/&gt;&lt;wsp:rsid wsp:val=&quot;459531E3&quot;/&gt;&lt;wsp:rsid wsp:val=&quot;45961716&quot;/&gt;&lt;wsp:rsid wsp:val=&quot;45965BB9&quot;/&gt;&lt;wsp:rsid wsp:val=&quot;459806D4&quot;/&gt;&lt;wsp:rsid wsp:val=&quot;45991206&quot;/&gt;&lt;wsp:rsid wsp:val=&quot;459B7055&quot;/&gt;&lt;wsp:rsid wsp:val=&quot;459C3262&quot;/&gt;&lt;wsp:rsid wsp:val=&quot;459D6114&quot;/&gt;&lt;wsp:rsid wsp:val=&quot;459E681C&quot;/&gt;&lt;wsp:rsid wsp:val=&quot;45A04342&quot;/&gt;&lt;wsp:rsid wsp:val=&quot;45A1630C&quot;/&gt;&lt;wsp:rsid wsp:val=&quot;45A2455E&quot;/&gt;&lt;wsp:rsid wsp:val=&quot;45A32084&quot;/&gt;&lt;wsp:rsid wsp:val=&quot;45A33E32&quot;/&gt;&lt;wsp:rsid wsp:val=&quot;45A47C0E&quot;/&gt;&lt;wsp:rsid wsp:val=&quot;45A51959&quot;/&gt;&lt;wsp:rsid wsp:val=&quot;45A60B18&quot;/&gt;&lt;wsp:rsid wsp:val=&quot;45A656D1&quot;/&gt;&lt;wsp:rsid wsp:val=&quot;45A73923&quot;/&gt;&lt;wsp:rsid wsp:val=&quot;45AA6F6F&quot;/&gt;&lt;wsp:rsid wsp:val=&quot;45AB103C&quot;/&gt;&lt;wsp:rsid wsp:val=&quot;45AC5076&quot;/&gt;&lt;wsp:rsid wsp:val=&quot;45AC7FDA&quot;/&gt;&lt;wsp:rsid wsp:val=&quot;45AD4CB1&quot;/&gt;&lt;wsp:rsid wsp:val=&quot;45B0521A&quot;/&gt;&lt;wsp:rsid wsp:val=&quot;45B20519&quot;/&gt;&lt;wsp:rsid wsp:val=&quot;45B253B8&quot;/&gt;&lt;wsp:rsid wsp:val=&quot;45B33B9B&quot;/&gt;&lt;wsp:rsid wsp:val=&quot;45B61DB8&quot;/&gt;&lt;wsp:rsid wsp:val=&quot;45B63C5D&quot;/&gt;&lt;wsp:rsid wsp:val=&quot;45B7168C&quot;/&gt;&lt;wsp:rsid wsp:val=&quot;45B83527&quot;/&gt;&lt;wsp:rsid wsp:val=&quot;45B93656&quot;/&gt;&lt;wsp:rsid wsp:val=&quot;45BB7506&quot;/&gt;&lt;wsp:rsid wsp:val=&quot;45BC4EF4&quot;/&gt;&lt;wsp:rsid wsp:val=&quot;45BE0C6C&quot;/&gt;&lt;wsp:rsid wsp:val=&quot;45BE1D97&quot;/&gt;&lt;wsp:rsid wsp:val=&quot;45C049E4&quot;/&gt;&lt;wsp:rsid wsp:val=&quot;45C1250B&quot;/&gt;&lt;wsp:rsid wsp:val=&quot;45C27617&quot;/&gt;&lt;wsp:rsid wsp:val=&quot;45C30031&quot;/&gt;&lt;wsp:rsid wsp:val=&quot;45C51FFB&quot;/&gt;&lt;wsp:rsid wsp:val=&quot;45C67B21&quot;/&gt;&lt;wsp:rsid wsp:val=&quot;45C74BE2&quot;/&gt;&lt;wsp:rsid wsp:val=&quot;45C85647&quot;/&gt;&lt;wsp:rsid wsp:val=&quot;45CC2A71&quot;/&gt;&lt;wsp:rsid wsp:val=&quot;45CC5137&quot;/&gt;&lt;wsp:rsid wsp:val=&quot;45CE1EE4&quot;/&gt;&lt;wsp:rsid wsp:val=&quot;45CE65E9&quot;/&gt;&lt;wsp:rsid wsp:val=&quot;45CF4C28&quot;/&gt;&lt;wsp:rsid wsp:val=&quot;45D05C94&quot;/&gt;&lt;wsp:rsid wsp:val=&quot;45D109A0&quot;/&gt;&lt;wsp:rsid wsp:val=&quot;45D11363&quot;/&gt;&lt;wsp:rsid wsp:val=&quot;45D3296A&quot;/&gt;&lt;wsp:rsid wsp:val=&quot;45D36916&quot;/&gt;&lt;wsp:rsid wsp:val=&quot;45D4223E&quot;/&gt;&lt;wsp:rsid wsp:val=&quot;45D50534&quot;/&gt;&lt;wsp:rsid wsp:val=&quot;45DB35CC&quot;/&gt;&lt;wsp:rsid wsp:val=&quot;45DC10F2&quot;/&gt;&lt;wsp:rsid wsp:val=&quot;45E00BE3&quot;/&gt;&lt;wsp:rsid wsp:val=&quot;45E05789&quot;/&gt;&lt;wsp:rsid wsp:val=&quot;45E06E35&quot;/&gt;&lt;wsp:rsid wsp:val=&quot;45E16709&quot;/&gt;&lt;wsp:rsid wsp:val=&quot;45E32481&quot;/&gt;&lt;wsp:rsid wsp:val=&quot;45E36925&quot;/&gt;&lt;wsp:rsid wsp:val=&quot;45E5269D&quot;/&gt;&lt;wsp:rsid wsp:val=&quot;45E54074&quot;/&gt;&lt;wsp:rsid wsp:val=&quot;45E66D43&quot;/&gt;&lt;wsp:rsid wsp:val=&quot;45E701C3&quot;/&gt;&lt;wsp:rsid wsp:val=&quot;45E71F71&quot;/&gt;&lt;wsp:rsid wsp:val=&quot;45E83F3B&quot;/&gt;&lt;wsp:rsid wsp:val=&quot;45E85CE9&quot;/&gt;&lt;wsp:rsid wsp:val=&quot;45EA380F&quot;/&gt;&lt;wsp:rsid wsp:val=&quot;45EC3A2B&quot;/&gt;&lt;wsp:rsid wsp:val=&quot;45EC7588&quot;/&gt;&lt;wsp:rsid wsp:val=&quot;45ED3300&quot;/&gt;&lt;wsp:rsid wsp:val=&quot;45ED50AE&quot;/&gt;&lt;wsp:rsid wsp:val=&quot;45EF6775&quot;/&gt;&lt;wsp:rsid wsp:val=&quot;45F045C8&quot;/&gt;&lt;wsp:rsid wsp:val=&quot;45F14B9E&quot;/&gt;&lt;wsp:rsid wsp:val=&quot;45F34DBA&quot;/&gt;&lt;wsp:rsid wsp:val=&quot;45F5776D&quot;/&gt;&lt;wsp:rsid wsp:val=&quot;45F60406&quot;/&gt;&lt;wsp:rsid wsp:val=&quot;45F6092E&quot;/&gt;&lt;wsp:rsid wsp:val=&quot;45F72FC7&quot;/&gt;&lt;wsp:rsid wsp:val=&quot;45F8347B&quot;/&gt;&lt;wsp:rsid wsp:val=&quot;45F94EA0&quot;/&gt;&lt;wsp:rsid wsp:val=&quot;45F96148&quot;/&gt;&lt;wsp:rsid wsp:val=&quot;45F97EF6&quot;/&gt;&lt;wsp:rsid wsp:val=&quot;45FC3543&quot;/&gt;&lt;wsp:rsid wsp:val=&quot;45FD1795&quot;/&gt;&lt;wsp:rsid wsp:val=&quot;45FD79E7&quot;/&gt;&lt;wsp:rsid wsp:val=&quot;45FE72BB&quot;/&gt;&lt;wsp:rsid wsp:val=&quot;45FF375F&quot;/&gt;&lt;wsp:rsid wsp:val=&quot;46003033&quot;/&gt;&lt;wsp:rsid wsp:val=&quot;46041FB3&quot;/&gt;&lt;wsp:rsid wsp:val=&quot;46043AE9&quot;/&gt;&lt;wsp:rsid wsp:val=&quot;46051A85&quot;/&gt;&lt;wsp:rsid wsp:val=&quot;46054AED&quot;/&gt;&lt;wsp:rsid wsp:val=&quot;46072075&quot;/&gt;&lt;wsp:rsid wsp:val=&quot;46072613&quot;/&gt;&lt;wsp:rsid wsp:val=&quot;4609638B&quot;/&gt;&lt;wsp:rsid wsp:val=&quot;460A2104&quot;/&gt;&lt;wsp:rsid wsp:val=&quot;460A3EB2&quot;/&gt;&lt;wsp:rsid wsp:val=&quot;460D5750&quot;/&gt;&lt;wsp:rsid wsp:val=&quot;460F3276&quot;/&gt;&lt;wsp:rsid wsp:val=&quot;4610515E&quot;/&gt;&lt;wsp:rsid wsp:val=&quot;46113492&quot;/&gt;&lt;wsp:rsid wsp:val=&quot;461355D4&quot;/&gt;&lt;wsp:rsid wsp:val=&quot;461455F8&quot;/&gt;&lt;wsp:rsid wsp:val=&quot;46160AA8&quot;/&gt;&lt;wsp:rsid wsp:val=&quot;46177DFD&quot;/&gt;&lt;wsp:rsid wsp:val=&quot;46182FF9&quot;/&gt;&lt;wsp:rsid wsp:val=&quot;46195EA3&quot;/&gt;&lt;wsp:rsid wsp:val=&quot;461A0599&quot;/&gt;&lt;wsp:rsid wsp:val=&quot;461B1C1B&quot;/&gt;&lt;wsp:rsid wsp:val=&quot;461B34AE&quot;/&gt;&lt;wsp:rsid wsp:val=&quot;461D098F&quot;/&gt;&lt;wsp:rsid wsp:val=&quot;461D3BE5&quot;/&gt;&lt;wsp:rsid wsp:val=&quot;461D4A77&quot;/&gt;&lt;wsp:rsid wsp:val=&quot;461E170B&quot;/&gt;&lt;wsp:rsid wsp:val=&quot;461F4288&quot;/&gt;&lt;wsp:rsid wsp:val=&quot;462036D5&quot;/&gt;&lt;wsp:rsid wsp:val=&quot;46214329&quot;/&gt;&lt;wsp:rsid wsp:val=&quot;46216A5D&quot;/&gt;&lt;wsp:rsid wsp:val=&quot;46236D21&quot;/&gt;&lt;wsp:rsid wsp:val=&quot;46237C42&quot;/&gt;&lt;wsp:rsid wsp:val=&quot;46244B90&quot;/&gt;&lt;wsp:rsid wsp:val=&quot;46244F73&quot;/&gt;&lt;wsp:rsid wsp:val=&quot;46250CEB&quot;/&gt;&lt;wsp:rsid wsp:val=&quot;46252A99&quot;/&gt;&lt;wsp:rsid wsp:val=&quot;46284338&quot;/&gt;&lt;wsp:rsid wsp:val=&quot;4629258A&quot;/&gt;&lt;wsp:rsid wsp:val=&quot;46293F7E&quot;/&gt;&lt;wsp:rsid wsp:val=&quot;462C207A&quot;/&gt;&lt;wsp:rsid wsp:val=&quot;462C3E28&quot;/&gt;&lt;wsp:rsid wsp:val=&quot;462C5651&quot;/&gt;&lt;wsp:rsid wsp:val=&quot;462E5DF2&quot;/&gt;&lt;wsp:rsid wsp:val=&quot;46326F64&quot;/&gt;&lt;wsp:rsid wsp:val=&quot;46330353&quot;/&gt;&lt;wsp:rsid wsp:val=&quot;46340F2E&quot;/&gt;&lt;wsp:rsid wsp:val=&quot;46362EF9&quot;/&gt;&lt;wsp:rsid wsp:val=&quot;463827CD&quot;/&gt;&lt;wsp:rsid wsp:val=&quot;46386C71&quot;/&gt;&lt;wsp:rsid wsp:val=&quot;463902F3&quot;/&gt;&lt;wsp:rsid wsp:val=&quot;463A66B6&quot;/&gt;&lt;wsp:rsid wsp:val=&quot;463B374C&quot;/&gt;&lt;wsp:rsid wsp:val=&quot;463D7DE3&quot;/&gt;&lt;wsp:rsid wsp:val=&quot;463F7FFF&quot;/&gt;&lt;wsp:rsid wsp:val=&quot;46401681&quot;/&gt;&lt;wsp:rsid wsp:val=&quot;464078D3&quot;/&gt;&lt;wsp:rsid wsp:val=&quot;46411F54&quot;/&gt;&lt;wsp:rsid wsp:val=&quot;4641371F&quot;/&gt;&lt;wsp:rsid wsp:val=&quot;464253F9&quot;/&gt;&lt;wsp:rsid wsp:val=&quot;46431172&quot;/&gt;&lt;wsp:rsid wsp:val=&quot;46433032&quot;/&gt;&lt;wsp:rsid wsp:val=&quot;46443C20&quot;/&gt;&lt;wsp:rsid wsp:val=&quot;464529FA&quot;/&gt;&lt;wsp:rsid wsp:val=&quot;46456690&quot;/&gt;&lt;wsp:rsid wsp:val=&quot;46456C98&quot;/&gt;&lt;wsp:rsid wsp:val=&quot;46472A10&quot;/&gt;&lt;wsp:rsid wsp:val=&quot;46491E27&quot;/&gt;&lt;wsp:rsid wsp:val=&quot;464B69A4&quot;/&gt;&lt;wsp:rsid wsp:val=&quot;464C1EC6&quot;/&gt;&lt;wsp:rsid wsp:val=&quot;464C40B9&quot;/&gt;&lt;wsp:rsid wsp:val=&quot;464C6278&quot;/&gt;&lt;wsp:rsid wsp:val=&quot;464F7B16&quot;/&gt;&lt;wsp:rsid wsp:val=&quot;4651388E&quot;/&gt;&lt;wsp:rsid wsp:val=&quot;46522ED9&quot;/&gt;&lt;wsp:rsid wsp:val=&quot;46535859&quot;/&gt;&lt;wsp:rsid wsp:val=&quot;46537607&quot;/&gt;&lt;wsp:rsid wsp:val=&quot;4654337F&quot;/&gt;&lt;wsp:rsid wsp:val=&quot;465515D1&quot;/&gt;&lt;wsp:rsid wsp:val=&quot;46560EA5&quot;/&gt;&lt;wsp:rsid wsp:val=&quot;46577FD6&quot;/&gt;&lt;wsp:rsid wsp:val=&quot;4658048C&quot;/&gt;&lt;wsp:rsid wsp:val=&quot;4658424C&quot;/&gt;&lt;wsp:rsid wsp:val=&quot;465A6BE7&quot;/&gt;&lt;wsp:rsid wsp:val=&quot;465D0485&quot;/&gt;&lt;wsp:rsid wsp:val=&quot;465D66D7&quot;/&gt;&lt;wsp:rsid wsp:val=&quot;465E7D59&quot;/&gt;&lt;wsp:rsid wsp:val=&quot;465F64D2&quot;/&gt;&lt;wsp:rsid wsp:val=&quot;466000AE&quot;/&gt;&lt;wsp:rsid wsp:val=&quot;46603AD2&quot;/&gt;&lt;wsp:rsid wsp:val=&quot;46626FDF&quot;/&gt;&lt;wsp:rsid wsp:val=&quot;4665733A&quot;/&gt;&lt;wsp:rsid wsp:val=&quot;466678B4&quot;/&gt;&lt;wsp:rsid wsp:val=&quot;466753B0&quot;/&gt;&lt;wsp:rsid wsp:val=&quot;46686E80&quot;/&gt;&lt;wsp:rsid wsp:val=&quot;4669507C&quot;/&gt;&lt;wsp:rsid wsp:val=&quot;466E4440&quot;/&gt;&lt;wsp:rsid wsp:val=&quot;466F1F67&quot;/&gt;&lt;wsp:rsid wsp:val=&quot;46713F31&quot;/&gt;&lt;wsp:rsid wsp:val=&quot;46717A8D&quot;/&gt;&lt;wsp:rsid wsp:val=&quot;46736733&quot;/&gt;&lt;wsp:rsid wsp:val=&quot;46737CA9&quot;/&gt;&lt;wsp:rsid wsp:val=&quot;46743F17&quot;/&gt;&lt;wsp:rsid wsp:val=&quot;467746C1&quot;/&gt;&lt;wsp:rsid wsp:val=&quot;4678706D&quot;/&gt;&lt;wsp:rsid wsp:val=&quot;467B090B&quot;/&gt;&lt;wsp:rsid wsp:val=&quot;467B6B5D&quot;/&gt;&lt;wsp:rsid wsp:val=&quot;467D28D5&quot;/&gt;&lt;wsp:rsid wsp:val=&quot;467D4684&quot;/&gt;&lt;wsp:rsid wsp:val=&quot;467F1EF6&quot;/&gt;&lt;wsp:rsid wsp:val=&quot;467F3895&quot;/&gt;&lt;wsp:rsid wsp:val=&quot;46821FB8&quot;/&gt;&lt;wsp:rsid wsp:val=&quot;46826B34&quot;/&gt;&lt;wsp:rsid wsp:val=&quot;46845A12&quot;/&gt;&lt;wsp:rsid wsp:val=&quot;4685178A&quot;/&gt;&lt;wsp:rsid wsp:val=&quot;46873259&quot;/&gt;&lt;wsp:rsid wsp:val=&quot;46875502&quot;/&gt;&lt;wsp:rsid wsp:val=&quot;468A0B4E&quot;/&gt;&lt;wsp:rsid wsp:val=&quot;468A6DA0&quot;/&gt;&lt;wsp:rsid wsp:val=&quot;468B4FF2&quot;/&gt;&lt;wsp:rsid wsp:val=&quot;468C0D6B&quot;/&gt;&lt;wsp:rsid wsp:val=&quot;468E26B7&quot;/&gt;&lt;wsp:rsid wsp:val=&quot;468F3F4B&quot;/&gt;&lt;wsp:rsid wsp:val=&quot;4690193B&quot;/&gt;&lt;wsp:rsid wsp:val=&quot;46911EDD&quot;/&gt;&lt;wsp:rsid wsp:val=&quot;46916381&quot;/&gt;&lt;wsp:rsid wsp:val=&quot;46924BB5&quot;/&gt;&lt;wsp:rsid wsp:val=&quot;469320F9&quot;/&gt;&lt;wsp:rsid wsp:val=&quot;46955E71&quot;/&gt;&lt;wsp:rsid wsp:val=&quot;46957C1F&quot;/&gt;&lt;wsp:rsid wsp:val=&quot;46965745&quot;/&gt;&lt;wsp:rsid wsp:val=&quot;46976FD7&quot;/&gt;&lt;wsp:rsid wsp:val=&quot;469814BD&quot;/&gt;&lt;wsp:rsid wsp:val=&quot;469A3487&quot;/&gt;&lt;wsp:rsid wsp:val=&quot;469A6FE4&quot;/&gt;&lt;wsp:rsid wsp:val=&quot;469B2D5C&quot;/&gt;&lt;wsp:rsid wsp:val=&quot;469C7200&quot;/&gt;&lt;wsp:rsid wsp:val=&quot;469D547F&quot;/&gt;&lt;wsp:rsid wsp:val=&quot;469F0A9E&quot;/&gt;&lt;wsp:rsid wsp:val=&quot;469F284C&quot;/&gt;&lt;wsp:rsid wsp:val=&quot;46A165C4&quot;/&gt;&lt;wsp:rsid wsp:val=&quot;46A2058E&quot;/&gt;&lt;wsp:rsid wsp:val=&quot;46A42781&quot;/&gt;&lt;wsp:rsid wsp:val=&quot;46A43A10&quot;/&gt;&lt;wsp:rsid wsp:val=&quot;46A460B4&quot;/&gt;&lt;wsp:rsid wsp:val=&quot;46A667E2&quot;/&gt;&lt;wsp:rsid wsp:val=&quot;46A870E2&quot;/&gt;&lt;wsp:rsid wsp:val=&quot;46AA2F9F&quot;/&gt;&lt;wsp:rsid wsp:val=&quot;46AB11F1&quot;/&gt;&lt;wsp:rsid wsp:val=&quot;46AC09B4&quot;/&gt;&lt;wsp:rsid wsp:val=&quot;46AC31BB&quot;/&gt;&lt;wsp:rsid wsp:val=&quot;46AD4F74&quot;/&gt;&lt;wsp:rsid wsp:val=&quot;46AE0CE1&quot;/&gt;&lt;wsp:rsid wsp:val=&quot;46AE6F33&quot;/&gt;&lt;wsp:rsid wsp:val=&quot;46B1432D&quot;/&gt;&lt;wsp:rsid wsp:val=&quot;46B207D1&quot;/&gt;&lt;wsp:rsid wsp:val=&quot;46B300A5&quot;/&gt;&lt;wsp:rsid wsp:val=&quot;46B30DE6&quot;/&gt;&lt;wsp:rsid wsp:val=&quot;46B502C1&quot;/&gt;&lt;wsp:rsid wsp:val=&quot;46B662D7&quot;/&gt;&lt;wsp:rsid wsp:val=&quot;46B837C8&quot;/&gt;&lt;wsp:rsid wsp:val=&quot;46B856BC&quot;/&gt;&lt;wsp:rsid wsp:val=&quot;46B97E5C&quot;/&gt;&lt;wsp:rsid wsp:val=&quot;46BA1434&quot;/&gt;&lt;wsp:rsid wsp:val=&quot;46BA7686&quot;/&gt;&lt;wsp:rsid wsp:val=&quot;46BB2149&quot;/&gt;&lt;wsp:rsid wsp:val=&quot;46BB51AC&quot;/&gt;&lt;wsp:rsid wsp:val=&quot;46BD2CD2&quot;/&gt;&lt;wsp:rsid wsp:val=&quot;46C1798A&quot;/&gt;&lt;wsp:rsid wsp:val=&quot;46C329DE&quot;/&gt;&lt;wsp:rsid wsp:val=&quot;46C44060&quot;/&gt;&lt;wsp:rsid wsp:val=&quot;46C73B51&quot;/&gt;&lt;wsp:rsid wsp:val=&quot;46C95B1B&quot;/&gt;&lt;wsp:rsid wsp:val=&quot;46CA3DCA&quot;/&gt;&lt;wsp:rsid wsp:val=&quot;46CB1C3E&quot;/&gt;&lt;wsp:rsid wsp:val=&quot;46CC73B9&quot;/&gt;&lt;wsp:rsid wsp:val=&quot;46CE59EE&quot;/&gt;&lt;wsp:rsid wsp:val=&quot;46CF7A29&quot;/&gt;&lt;wsp:rsid wsp:val=&quot;46D024D7&quot;/&gt;&lt;wsp:rsid wsp:val=&quot;46D06EA9&quot;/&gt;&lt;wsp:rsid wsp:val=&quot;46D22C21&quot;/&gt;&lt;wsp:rsid wsp:val=&quot;46D30747&quot;/&gt;&lt;wsp:rsid wsp:val=&quot;46D324F5&quot;/&gt;&lt;wsp:rsid wsp:val=&quot;46D5626E&quot;/&gt;&lt;wsp:rsid wsp:val=&quot;46D85D5E&quot;/&gt;&lt;wsp:rsid wsp:val=&quot;46D869EF&quot;/&gt;&lt;wsp:rsid wsp:val=&quot;46D955A7&quot;/&gt;&lt;wsp:rsid wsp:val=&quot;46DA56D2&quot;/&gt;&lt;wsp:rsid wsp:val=&quot;46DA7D28&quot;/&gt;&lt;wsp:rsid wsp:val=&quot;46DC75FC&quot;/&gt;&lt;wsp:rsid wsp:val=&quot;46DD15C6&quot;/&gt;&lt;wsp:rsid wsp:val=&quot;46DD3374&quot;/&gt;&lt;wsp:rsid wsp:val=&quot;46DF533E&quot;/&gt;&lt;wsp:rsid wsp:val=&quot;46E26BDC&quot;/&gt;&lt;wsp:rsid wsp:val=&quot;46E42955&quot;/&gt;&lt;wsp:rsid wsp:val=&quot;46E44703&quot;/&gt;&lt;wsp:rsid wsp:val=&quot;46E62229&quot;/&gt;&lt;wsp:rsid wsp:val=&quot;46E82445&quot;/&gt;&lt;wsp:rsid wsp:val=&quot;46E91D19&quot;/&gt;&lt;wsp:rsid wsp:val=&quot;46E97F6B&quot;/&gt;&lt;wsp:rsid wsp:val=&quot;46ED1809&quot;/&gt;&lt;wsp:rsid wsp:val=&quot;46EE37D3&quot;/&gt;&lt;wsp:rsid wsp:val=&quot;46EF3AAF&quot;/&gt;&lt;wsp:rsid wsp:val=&quot;46EF465A&quot;/&gt;&lt;wsp:rsid wsp:val=&quot;46F012F9&quot;/&gt;&lt;wsp:rsid wsp:val=&quot;46F04E55&quot;/&gt;&lt;wsp:rsid wsp:val=&quot;46F10BCE&quot;/&gt;&lt;wsp:rsid wsp:val=&quot;46F226BA&quot;/&gt;&lt;wsp:rsid wsp:val=&quot;46F25071&quot;/&gt;&lt;wsp:rsid wsp:val=&quot;46F34946&quot;/&gt;&lt;wsp:rsid wsp:val=&quot;46F414DE&quot;/&gt;&lt;wsp:rsid wsp:val=&quot;46F506BE&quot;/&gt;&lt;wsp:rsid wsp:val=&quot;46F5246C&quot;/&gt;&lt;wsp:rsid wsp:val=&quot;46F6376A&quot;/&gt;&lt;wsp:rsid wsp:val=&quot;46F929EF&quot;/&gt;&lt;wsp:rsid wsp:val=&quot;46F96531&quot;/&gt;&lt;wsp:rsid wsp:val=&quot;46FA3F26&quot;/&gt;&lt;wsp:rsid wsp:val=&quot;46FE1134&quot;/&gt;&lt;wsp:rsid wsp:val=&quot;46FF32EA&quot;/&gt;&lt;wsp:rsid wsp:val=&quot;47017063&quot;/&gt;&lt;wsp:rsid wsp:val=&quot;4702423B&quot;/&gt;&lt;wsp:rsid wsp:val=&quot;4703462D&quot;/&gt;&lt;wsp:rsid wsp:val=&quot;4708700F&quot;/&gt;&lt;wsp:rsid wsp:val=&quot;47095F17&quot;/&gt;&lt;wsp:rsid wsp:val=&quot;470C5990&quot;/&gt;&lt;wsp:rsid wsp:val=&quot;470D6698&quot;/&gt;&lt;wsp:rsid wsp:val=&quot;471072A6&quot;/&gt;&lt;wsp:rsid wsp:val=&quot;47121270&quot;/&gt;&lt;wsp:rsid wsp:val=&quot;47133957&quot;/&gt;&lt;wsp:rsid wsp:val=&quot;47152B0E&quot;/&gt;&lt;wsp:rsid wsp:val=&quot;471548BC&quot;/&gt;&lt;wsp:rsid wsp:val=&quot;471A1424&quot;/&gt;&lt;wsp:rsid wsp:val=&quot;471A6376&quot;/&gt;&lt;wsp:rsid wsp:val=&quot;471D4641&quot;/&gt;&lt;wsp:rsid wsp:val=&quot;471F573B&quot;/&gt;&lt;wsp:rsid wsp:val=&quot;47206C0E&quot;/&gt;&lt;wsp:rsid wsp:val=&quot;47215957&quot;/&gt;&lt;wsp:rsid wsp:val=&quot;47217705&quot;/&gt;&lt;wsp:rsid wsp:val=&quot;4723347D&quot;/&gt;&lt;wsp:rsid wsp:val=&quot;47264693&quot;/&gt;&lt;wsp:rsid wsp:val=&quot;47280A93&quot;/&gt;&lt;wsp:rsid wsp:val=&quot;4729480B&quot;/&gt;&lt;wsp:rsid wsp:val=&quot;472965B9&quot;/&gt;&lt;wsp:rsid wsp:val=&quot;472B2331&quot;/&gt;&lt;wsp:rsid wsp:val=&quot;472D789A&quot;/&gt;&lt;wsp:rsid wsp:val=&quot;472E1FF1&quot;/&gt;&lt;wsp:rsid wsp:val=&quot;472E3BD0&quot;/&gt;&lt;wsp:rsid wsp:val=&quot;472E597E&quot;/&gt;&lt;wsp:rsid wsp:val=&quot;472F1E22&quot;/&gt;&lt;wsp:rsid wsp:val=&quot;47322C84&quot;/&gt;&lt;wsp:rsid wsp:val=&quot;473311E6&quot;/&gt;&lt;wsp:rsid wsp:val=&quot;473342A0&quot;/&gt;&lt;wsp:rsid wsp:val=&quot;473347E2&quot;/&gt;&lt;wsp:rsid wsp:val=&quot;47370CD6&quot;/&gt;&lt;wsp:rsid wsp:val=&quot;47392CA0&quot;/&gt;&lt;wsp:rsid wsp:val=&quot;47394A4E&quot;/&gt;&lt;wsp:rsid wsp:val=&quot;473C60FA&quot;/&gt;&lt;wsp:rsid wsp:val=&quot;473C62ED&quot;/&gt;&lt;wsp:rsid wsp:val=&quot;473D3E13&quot;/&gt;&lt;wsp:rsid wsp:val=&quot;473E02B7&quot;/&gt;&lt;wsp:rsid wsp:val=&quot;473F7B8B&quot;/&gt;&lt;wsp:rsid wsp:val=&quot;47411B55&quot;/&gt;&lt;wsp:rsid wsp:val=&quot;47413903&quot;/&gt;&lt;wsp:rsid wsp:val=&quot;474170A0&quot;/&gt;&lt;wsp:rsid wsp:val=&quot;47421D71&quot;/&gt;&lt;wsp:rsid wsp:val=&quot;47431AC0&quot;/&gt;&lt;wsp:rsid wsp:val=&quot;474433F3&quot;/&gt;&lt;wsp:rsid wsp:val=&quot;47455B21&quot;/&gt;&lt;wsp:rsid wsp:val=&quot;47462CC7&quot;/&gt;&lt;wsp:rsid wsp:val=&quot;4746504B&quot;/&gt;&lt;wsp:rsid wsp:val=&quot;47484C91&quot;/&gt;&lt;wsp:rsid wsp:val=&quot;47486A40&quot;/&gt;&lt;wsp:rsid wsp:val=&quot;47493412&quot;/&gt;&lt;wsp:rsid wsp:val=&quot;474A0C9A&quot;/&gt;&lt;wsp:rsid wsp:val=&quot;474B4782&quot;/&gt;&lt;wsp:rsid wsp:val=&quot;474D04FA&quot;/&gt;&lt;wsp:rsid wsp:val=&quot;474D4056&quot;/&gt;&lt;wsp:rsid wsp:val=&quot;474D674C&quot;/&gt;&lt;wsp:rsid wsp:val=&quot;474E6020&quot;/&gt;&lt;wsp:rsid wsp:val=&quot;474E7DCE&quot;/&gt;&lt;wsp:rsid wsp:val=&quot;474F17A4&quot;/&gt;&lt;wsp:rsid wsp:val=&quot;47501D98&quot;/&gt;&lt;wsp:rsid wsp:val=&quot;475028AA&quot;/&gt;&lt;wsp:rsid wsp:val=&quot;47507FEA&quot;/&gt;&lt;wsp:rsid wsp:val=&quot;47520BF7&quot;/&gt;&lt;wsp:rsid wsp:val=&quot;47525B10&quot;/&gt;&lt;wsp:rsid wsp:val=&quot;475353E4&quot;/&gt;&lt;wsp:rsid wsp:val=&quot;47541888&quot;/&gt;&lt;wsp:rsid wsp:val=&quot;4755115C&quot;/&gt;&lt;wsp:rsid wsp:val=&quot;475573AE&quot;/&gt;&lt;wsp:rsid wsp:val=&quot;47573126&quot;/&gt;&lt;wsp:rsid wsp:val=&quot;475950F1&quot;/&gt;&lt;wsp:rsid wsp:val=&quot;475A2C17&quot;/&gt;&lt;wsp:rsid wsp:val=&quot;475A49C5&quot;/&gt;&lt;wsp:rsid wsp:val=&quot;475B3B2E&quot;/&gt;&lt;wsp:rsid wsp:val=&quot;475B4A3F&quot;/&gt;&lt;wsp:rsid wsp:val=&quot;475C073D&quot;/&gt;&lt;wsp:rsid wsp:val=&quot;475F022D&quot;/&gt;&lt;wsp:rsid wsp:val=&quot;476051A1&quot;/&gt;&lt;wsp:rsid wsp:val=&quot;47625049&quot;/&gt;&lt;wsp:rsid wsp:val=&quot;47653A95&quot;/&gt;&lt;wsp:rsid wsp:val=&quot;47655843&quot;/&gt;&lt;wsp:rsid wsp:val=&quot;47657987&quot;/&gt;&lt;wsp:rsid wsp:val=&quot;476725FC&quot;/&gt;&lt;wsp:rsid wsp:val=&quot;47677A2B&quot;/&gt;&lt;wsp:rsid wsp:val=&quot;47680E90&quot;/&gt;&lt;wsp:rsid wsp:val=&quot;476B0980&quot;/&gt;&lt;wsp:rsid wsp:val=&quot;476B6BD2&quot;/&gt;&lt;wsp:rsid wsp:val=&quot;476D64A6&quot;/&gt;&lt;wsp:rsid wsp:val=&quot;476E221E&quot;/&gt;&lt;wsp:rsid wsp:val=&quot;476F33F5&quot;/&gt;&lt;wsp:rsid wsp:val=&quot;477041E8&quot;/&gt;&lt;wsp:rsid wsp:val=&quot;47705F96&quot;/&gt;&lt;wsp:rsid wsp:val=&quot;47724B3E&quot;/&gt;&lt;wsp:rsid wsp:val=&quot;47727F60&quot;/&gt;&lt;wsp:rsid wsp:val=&quot;477305A8&quot;/&gt;&lt;wsp:rsid wsp:val=&quot;47733EF6&quot;/&gt;&lt;wsp:rsid wsp:val=&quot;47737835&quot;/&gt;&lt;wsp:rsid wsp:val=&quot;4774202F&quot;/&gt;&lt;wsp:rsid wsp:val=&quot;47745A86&quot;/&gt;&lt;wsp:rsid wsp:val=&quot;477517FF&quot;/&gt;&lt;wsp:rsid wsp:val=&quot;477737C9&quot;/&gt;&lt;wsp:rsid wsp:val=&quot;47777325&quot;/&gt;&lt;wsp:rsid wsp:val=&quot;477809B0&quot;/&gt;&lt;wsp:rsid wsp:val=&quot;477912EF&quot;/&gt;&lt;wsp:rsid wsp:val=&quot;477C0DDF&quot;/&gt;&lt;wsp:rsid wsp:val=&quot;477C4A30&quot;/&gt;&lt;wsp:rsid wsp:val=&quot;477E06B3&quot;/&gt;&lt;wsp:rsid wsp:val=&quot;477E4B57&quot;/&gt;&lt;wsp:rsid wsp:val=&quot;477E6905&quot;/&gt;&lt;wsp:rsid wsp:val=&quot;4780267D&quot;/&gt;&lt;wsp:rsid wsp:val=&quot;478101A3&quot;/&gt;&lt;wsp:rsid wsp:val=&quot;47863A0C&quot;/&gt;&lt;wsp:rsid wsp:val=&quot;47880006&quot;/&gt;&lt;wsp:rsid wsp:val=&quot;47881532&quot;/&gt;&lt;wsp:rsid wsp:val=&quot;478832E0&quot;/&gt;&lt;wsp:rsid wsp:val=&quot;47886D63&quot;/&gt;&lt;wsp:rsid wsp:val=&quot;478A7058&quot;/&gt;&lt;wsp:rsid wsp:val=&quot;478C6B89&quot;/&gt;&lt;wsp:rsid wsp:val=&quot;478C7274&quot;/&gt;&lt;wsp:rsid wsp:val=&quot;478D08F6&quot;/&gt;&lt;wsp:rsid wsp:val=&quot;478D4D9A&quot;/&gt;&lt;wsp:rsid wsp:val=&quot;478E083F&quot;/&gt;&lt;wsp:rsid wsp:val=&quot;4791016B&quot;/&gt;&lt;wsp:rsid wsp:val=&quot;4791488A&quot;/&gt;&lt;wsp:rsid wsp:val=&quot;479229E6&quot;/&gt;&lt;wsp:rsid wsp:val=&quot;47936A47&quot;/&gt;&lt;wsp:rsid wsp:val=&quot;47947ED7&quot;/&gt;&lt;wsp:rsid wsp:val=&quot;47960B0B&quot;/&gt;&lt;wsp:rsid wsp:val=&quot;479954ED&quot;/&gt;&lt;wsp:rsid wsp:val=&quot;479C4FDD&quot;/&gt;&lt;wsp:rsid wsp:val=&quot;479E6FA7&quot;/&gt;&lt;wsp:rsid wsp:val=&quot;479F21BB&quot;/&gt;&lt;wsp:rsid wsp:val=&quot;47A04ACD&quot;/&gt;&lt;wsp:rsid wsp:val=&quot;47A07767&quot;/&gt;&lt;wsp:rsid wsp:val=&quot;47A07E0C&quot;/&gt;&lt;wsp:rsid wsp:val=&quot;47A50787&quot;/&gt;&lt;wsp:rsid wsp:val=&quot;47A520E4&quot;/&gt;&lt;wsp:rsid wsp:val=&quot;47A53E92&quot;/&gt;&lt;wsp:rsid wsp:val=&quot;47A57DF6&quot;/&gt;&lt;wsp:rsid wsp:val=&quot;47A619B8&quot;/&gt;&lt;wsp:rsid wsp:val=&quot;47A67C0A&quot;/&gt;&lt;wsp:rsid wsp:val=&quot;47AC1C93&quot;/&gt;&lt;wsp:rsid wsp:val=&quot;47AD2D46&quot;/&gt;&lt;wsp:rsid wsp:val=&quot;47B10B40&quot;/&gt;&lt;wsp:rsid wsp:val=&quot;47B142B4&quot;/&gt;&lt;wsp:rsid wsp:val=&quot;47B57E4D&quot;/&gt;&lt;wsp:rsid wsp:val=&quot;47B61DE1&quot;/&gt;&lt;wsp:rsid wsp:val=&quot;47B71E17&quot;/&gt;&lt;wsp:rsid wsp:val=&quot;47B73271&quot;/&gt;&lt;wsp:rsid wsp:val=&quot;47B75973&quot;/&gt;&lt;wsp:rsid wsp:val=&quot;47B916EB&quot;/&gt;&lt;wsp:rsid wsp:val=&quot;47B91EA3&quot;/&gt;&lt;wsp:rsid wsp:val=&quot;47B95B8F&quot;/&gt;&lt;wsp:rsid wsp:val=&quot;47BA1BF2&quot;/&gt;&lt;wsp:rsid wsp:val=&quot;47BA5463&quot;/&gt;&lt;wsp:rsid wsp:val=&quot;47BB36B5&quot;/&gt;&lt;wsp:rsid wsp:val=&quot;47BE0573&quot;/&gt;&lt;wsp:rsid wsp:val=&quot;47BE31A6&quot;/&gt;&lt;wsp:rsid wsp:val=&quot;47BE4F54&quot;/&gt;&lt;wsp:rsid wsp:val=&quot;47BE6D02&quot;/&gt;&lt;wsp:rsid wsp:val=&quot;47C02A7A&quot;/&gt;&lt;wsp:rsid wsp:val=&quot;47C05087&quot;/&gt;&lt;wsp:rsid wsp:val=&quot;47C167F2&quot;/&gt;&lt;wsp:rsid wsp:val=&quot;47C22C96&quot;/&gt;&lt;wsp:rsid wsp:val=&quot;47C307BC&quot;/&gt;&lt;wsp:rsid wsp:val=&quot;47C562E2&quot;/&gt;&lt;wsp:rsid wsp:val=&quot;47C642A9&quot;/&gt;&lt;wsp:rsid wsp:val=&quot;47C85DD2&quot;/&gt;&lt;wsp:rsid wsp:val=&quot;47CA1B4A&quot;/&gt;&lt;wsp:rsid wsp:val=&quot;47CA38F8&quot;/&gt;&lt;wsp:rsid wsp:val=&quot;47CA56A6&quot;/&gt;&lt;wsp:rsid wsp:val=&quot;47CB7671&quot;/&gt;&lt;wsp:rsid wsp:val=&quot;47CD2888&quot;/&gt;&lt;wsp:rsid wsp:val=&quot;47CF7161&quot;/&gt;&lt;wsp:rsid wsp:val=&quot;47D06A35&quot;/&gt;&lt;wsp:rsid wsp:val=&quot;47D12ED9&quot;/&gt;&lt;wsp:rsid wsp:val=&quot;47D2404C&quot;/&gt;&lt;wsp:rsid wsp:val=&quot;47D260BE&quot;/&gt;&lt;wsp:rsid wsp:val=&quot;47D429C9&quot;/&gt;&lt;wsp:rsid wsp:val=&quot;47D72EE0&quot;/&gt;&lt;wsp:rsid wsp:val=&quot;47D74267&quot;/&gt;&lt;wsp:rsid wsp:val=&quot;47DA1733&quot;/&gt;&lt;wsp:rsid wsp:val=&quot;47DB78B4&quot;/&gt;&lt;wsp:rsid wsp:val=&quot;47DC187E&quot;/&gt;&lt;wsp:rsid wsp:val=&quot;47DC1884&quot;/&gt;&lt;wsp:rsid wsp:val=&quot;47DE73A4&quot;/&gt;&lt;wsp:rsid wsp:val=&quot;47E0136E&quot;/&gt;&lt;wsp:rsid wsp:val=&quot;47E515E0&quot;/&gt;&lt;wsp:rsid wsp:val=&quot;47E524E0&quot;/&gt;&lt;wsp:rsid wsp:val=&quot;47E56984&quot;/&gt;&lt;wsp:rsid wsp:val=&quot;47E66258&quot;/&gt;&lt;wsp:rsid wsp:val=&quot;47E744AA&quot;/&gt;&lt;wsp:rsid wsp:val=&quot;47E80223&quot;/&gt;&lt;wsp:rsid wsp:val=&quot;47E8349F&quot;/&gt;&lt;wsp:rsid wsp:val=&quot;47E86474&quot;/&gt;&lt;wsp:rsid wsp:val=&quot;47EA7AF7&quot;/&gt;&lt;wsp:rsid wsp:val=&quot;47EC7D13&quot;/&gt;&lt;wsp:rsid wsp:val=&quot;47ED3A8B&quot;/&gt;&lt;wsp:rsid wsp:val=&quot;47F170D7&quot;/&gt;&lt;wsp:rsid wsp:val=&quot;47F46BC7&quot;/&gt;&lt;wsp:rsid wsp:val=&quot;47F675FF&quot;/&gt;&lt;wsp:rsid wsp:val=&quot;47F866B8&quot;/&gt;&lt;wsp:rsid wsp:val=&quot;47F97B63&quot;/&gt;&lt;wsp:rsid wsp:val=&quot;47FC5A7C&quot;/&gt;&lt;wsp:rsid wsp:val=&quot;47FD1854&quot;/&gt;&lt;wsp:rsid wsp:val=&quot;47FE17F4&quot;/&gt;&lt;wsp:rsid wsp:val=&quot;47FE7A46&quot;/&gt;&lt;wsp:rsid wsp:val=&quot;47FF0411&quot;/&gt;&lt;wsp:rsid wsp:val=&quot;47FF10B4&quot;/&gt;&lt;wsp:rsid wsp:val=&quot;4800556C&quot;/&gt;&lt;wsp:rsid wsp:val=&quot;480212E4&quot;/&gt;&lt;wsp:rsid wsp:val=&quot;480300DD&quot;/&gt;&lt;wsp:rsid wsp:val=&quot;48030BB8&quot;/&gt;&lt;wsp:rsid wsp:val=&quot;48052B82&quot;/&gt;&lt;wsp:rsid wsp:val=&quot;48054198&quot;/&gt;&lt;wsp:rsid wsp:val=&quot;48054931&quot;/&gt;&lt;wsp:rsid wsp:val=&quot;480706A9&quot;/&gt;&lt;wsp:rsid wsp:val=&quot;48082673&quot;/&gt;&lt;wsp:rsid wsp:val=&quot;480A1F47&quot;/&gt;&lt;wsp:rsid wsp:val=&quot;480D0887&quot;/&gt;&lt;wsp:rsid wsp:val=&quot;480D406B&quot;/&gt;&lt;wsp:rsid wsp:val=&quot;480F3A01&quot;/&gt;&lt;wsp:rsid wsp:val=&quot;480F57AF&quot;/&gt;&lt;wsp:rsid wsp:val=&quot;48107E1B&quot;/&gt;&lt;wsp:rsid wsp:val=&quot;481132D5&quot;/&gt;&lt;wsp:rsid wsp:val=&quot;4812530C&quot;/&gt;&lt;wsp:rsid wsp:val=&quot;4812704D&quot;/&gt;&lt;wsp:rsid wsp:val=&quot;481334F1&quot;/&gt;&lt;wsp:rsid wsp:val=&quot;4813679C&quot;/&gt;&lt;wsp:rsid wsp:val=&quot;4814136D&quot;/&gt;&lt;wsp:rsid wsp:val=&quot;481427FD&quot;/&gt;&lt;wsp:rsid wsp:val=&quot;481452DA&quot;/&gt;&lt;wsp:rsid wsp:val=&quot;48147269&quot;/&gt;&lt;wsp:rsid wsp:val=&quot;4816685E&quot;/&gt;&lt;wsp:rsid wsp:val=&quot;4819260E&quot;/&gt;&lt;wsp:rsid wsp:val=&quot;4819662E&quot;/&gt;&lt;wsp:rsid wsp:val=&quot;481A3897&quot;/&gt;&lt;wsp:rsid wsp:val=&quot;481B05F8&quot;/&gt;&lt;wsp:rsid wsp:val=&quot;481B23A6&quot;/&gt;&lt;wsp:rsid wsp:val=&quot;481D7ECC&quot;/&gt;&lt;wsp:rsid wsp:val=&quot;481E3C44&quot;/&gt;&lt;wsp:rsid wsp:val=&quot;481E74AD&quot;/&gt;&lt;wsp:rsid wsp:val=&quot;48217291&quot;/&gt;&lt;wsp:rsid wsp:val=&quot;48254FD3&quot;/&gt;&lt;wsp:rsid wsp:val=&quot;48276410&quot;/&gt;&lt;wsp:rsid wsp:val=&quot;4828458E&quot;/&gt;&lt;wsp:rsid wsp:val=&quot;48286871&quot;/&gt;&lt;wsp:rsid wsp:val=&quot;482B01E3&quot;/&gt;&lt;wsp:rsid wsp:val=&quot;482B4A23&quot;/&gt;&lt;wsp:rsid wsp:val=&quot;482C010F&quot;/&gt;&lt;wsp:rsid wsp:val=&quot;482C0A84&quot;/&gt;&lt;wsp:rsid wsp:val=&quot;48300895&quot;/&gt;&lt;wsp:rsid wsp:val=&quot;48313181&quot;/&gt;&lt;wsp:rsid wsp:val=&quot;48313978&quot;/&gt;&lt;wsp:rsid wsp:val=&quot;48335942&quot;/&gt;&lt;wsp:rsid wsp:val=&quot;48345216&quot;/&gt;&lt;wsp:rsid wsp:val=&quot;483549A9&quot;/&gt;&lt;wsp:rsid wsp:val=&quot;48362D3C&quot;/&gt;&lt;wsp:rsid wsp:val=&quot;483671E0&quot;/&gt;&lt;wsp:rsid wsp:val=&quot;48370D71&quot;/&gt;&lt;wsp:rsid wsp:val=&quot;4838292E&quot;/&gt;&lt;wsp:rsid wsp:val=&quot;48384D06&quot;/&gt;&lt;wsp:rsid wsp:val=&quot;48390A7E&quot;/&gt;&lt;wsp:rsid wsp:val=&quot;483925C3&quot;/&gt;&lt;wsp:rsid wsp:val=&quot;48396CD0&quot;/&gt;&lt;wsp:rsid wsp:val=&quot;483D056E&quot;/&gt;&lt;wsp:rsid wsp:val=&quot;483D231C&quot;/&gt;&lt;wsp:rsid wsp:val=&quot;483D40CA&quot;/&gt;&lt;wsp:rsid wsp:val=&quot;483E6094&quot;/&gt;&lt;wsp:rsid wsp:val=&quot;48401E0D&quot;/&gt;&lt;wsp:rsid wsp:val=&quot;484216E1&quot;/&gt;&lt;wsp:rsid wsp:val=&quot;484336AB&quot;/&gt;&lt;wsp:rsid wsp:val=&quot;4846162B&quot;/&gt;&lt;wsp:rsid wsp:val=&quot;4846562C&quot;/&gt;&lt;wsp:rsid wsp:val=&quot;4847319B&quot;/&gt;&lt;wsp:rsid wsp:val=&quot;48474F49&quot;/&gt;&lt;wsp:rsid wsp:val=&quot;48480CC1&quot;/&gt;&lt;wsp:rsid wsp:val=&quot;484A2C8B&quot;/&gt;&lt;wsp:rsid wsp:val=&quot;484A400D&quot;/&gt;&lt;wsp:rsid wsp:val=&quot;484A5417&quot;/&gt;&lt;wsp:rsid wsp:val=&quot;484A6E97&quot;/&gt;&lt;wsp:rsid wsp:val=&quot;484C30C0&quot;/&gt;&lt;wsp:rsid wsp:val=&quot;484C6A03&quot;/&gt;&lt;wsp:rsid wsp:val=&quot;484D0086&quot;/&gt;&lt;wsp:rsid wsp:val=&quot;484E277B&quot;/&gt;&lt;wsp:rsid wsp:val=&quot;484E5CBE&quot;/&gt;&lt;wsp:rsid wsp:val=&quot;484E6913&quot;/&gt;&lt;wsp:rsid wsp:val=&quot;484F02A2&quot;/&gt;&lt;wsp:rsid wsp:val=&quot;48515DC8&quot;/&gt;&lt;wsp:rsid wsp:val=&quot;485219B1&quot;/&gt;&lt;wsp:rsid wsp:val=&quot;48537D92&quot;/&gt;&lt;wsp:rsid wsp:val=&quot;48561630&quot;/&gt;&lt;wsp:rsid wsp:val=&quot;485633DE&quot;/&gt;&lt;wsp:rsid wsp:val=&quot;48587156&quot;/&gt;&lt;wsp:rsid wsp:val=&quot;48594C7C&quot;/&gt;&lt;wsp:rsid wsp:val=&quot;485A645C&quot;/&gt;&lt;wsp:rsid wsp:val=&quot;485B27A2&quot;/&gt;&lt;wsp:rsid wsp:val=&quot;485B6C46&quot;/&gt;&lt;wsp:rsid wsp:val=&quot;485C2602&quot;/&gt;&lt;wsp:rsid wsp:val=&quot;485D29BF&quot;/&gt;&lt;wsp:rsid wsp:val=&quot;485D476D&quot;/&gt;&lt;wsp:rsid wsp:val=&quot;485F6737&quot;/&gt;&lt;wsp:rsid wsp:val=&quot;486024AF&quot;/&gt;&lt;wsp:rsid wsp:val=&quot;4860600B&quot;/&gt;&lt;wsp:rsid wsp:val=&quot;48621D83&quot;/&gt;&lt;wsp:rsid wsp:val=&quot;48623B31&quot;/&gt;&lt;wsp:rsid wsp:val=&quot;48631C4F&quot;/&gt;&lt;wsp:rsid wsp:val=&quot;486620A5&quot;/&gt;&lt;wsp:rsid wsp:val=&quot;48671147&quot;/&gt;&lt;wsp:rsid wsp:val=&quot;48677399&quot;/&gt;&lt;wsp:rsid wsp:val=&quot;48684EBF&quot;/&gt;&lt;wsp:rsid wsp:val=&quot;486A0C38&quot;/&gt;&lt;wsp:rsid wsp:val=&quot;486A50DB&quot;/&gt;&lt;wsp:rsid wsp:val=&quot;486A6E89&quot;/&gt;&lt;wsp:rsid wsp:val=&quot;486D2078&quot;/&gt;&lt;wsp:rsid wsp:val=&quot;486D6D36&quot;/&gt;&lt;wsp:rsid wsp:val=&quot;486F26F2&quot;/&gt;&lt;wsp:rsid wsp:val=&quot;4870272E&quot;/&gt;&lt;wsp:rsid wsp:val=&quot;4871646A&quot;/&gt;&lt;wsp:rsid wsp:val=&quot;48733F90&quot;/&gt;&lt;wsp:rsid wsp:val=&quot;48741AB6&quot;/&gt;&lt;wsp:rsid wsp:val=&quot;48777145&quot;/&gt;&lt;wsp:rsid wsp:val=&quot;48794FEC&quot;/&gt;&lt;wsp:rsid wsp:val=&quot;4879594A&quot;/&gt;&lt;wsp:rsid wsp:val=&quot;487970CD&quot;/&gt;&lt;wsp:rsid wsp:val=&quot;487B1097&quot;/&gt;&lt;wsp:rsid wsp:val=&quot;487B2E45&quot;/&gt;&lt;wsp:rsid wsp:val=&quot;487D6BBD&quot;/&gt;&lt;wsp:rsid wsp:val=&quot;487E032C&quot;/&gt;&lt;wsp:rsid wsp:val=&quot;4880045B&quot;/&gt;&lt;wsp:rsid wsp:val=&quot;48822425&quot;/&gt;&lt;wsp:rsid wsp:val=&quot;488231BD&quot;/&gt;&lt;wsp:rsid wsp:val=&quot;48831CF9&quot;/&gt;&lt;wsp:rsid wsp:val=&quot;48832990&quot;/&gt;&lt;wsp:rsid wsp:val=&quot;48847F4B&quot;/&gt;&lt;wsp:rsid wsp:val=&quot;488501FF&quot;/&gt;&lt;wsp:rsid wsp:val=&quot;48853CC3&quot;/&gt;&lt;wsp:rsid wsp:val=&quot;48855A71&quot;/&gt;&lt;wsp:rsid wsp:val=&quot;48895562&quot;/&gt;&lt;wsp:rsid wsp:val=&quot;488A12DA&quot;/&gt;&lt;wsp:rsid wsp:val=&quot;488A3088&quot;/&gt;&lt;wsp:rsid wsp:val=&quot;488B3A2D&quot;/&gt;&lt;wsp:rsid wsp:val=&quot;488C5052&quot;/&gt;&lt;wsp:rsid wsp:val=&quot;488D3628&quot;/&gt;&lt;wsp:rsid wsp:val=&quot;488D6991&quot;/&gt;&lt;wsp:rsid wsp:val=&quot;488E0DCA&quot;/&gt;&lt;wsp:rsid wsp:val=&quot;488E2B78&quot;/&gt;&lt;wsp:rsid wsp:val=&quot;488E4926&quot;/&gt;&lt;wsp:rsid wsp:val=&quot;488F069E&quot;/&gt;&lt;wsp:rsid wsp:val=&quot;48904B42&quot;/&gt;&lt;wsp:rsid wsp:val=&quot;48912668&quot;/&gt;&lt;wsp:rsid wsp:val=&quot;48924D18&quot;/&gt;&lt;wsp:rsid wsp:val=&quot;4893018E&quot;/&gt;&lt;wsp:rsid wsp:val=&quot;489310C2&quot;/&gt;&lt;wsp:rsid wsp:val=&quot;48931F3C&quot;/&gt;&lt;wsp:rsid wsp:val=&quot;489363E0&quot;/&gt;&lt;wsp:rsid wsp:val=&quot;48941A07&quot;/&gt;&lt;wsp:rsid wsp:val=&quot;48943C93&quot;/&gt;&lt;wsp:rsid wsp:val=&quot;48943F06&quot;/&gt;&lt;wsp:rsid wsp:val=&quot;48972614&quot;/&gt;&lt;wsp:rsid wsp:val=&quot;48982AB7&quot;/&gt;&lt;wsp:rsid wsp:val=&quot;489A776F&quot;/&gt;&lt;wsp:rsid wsp:val=&quot;489B5295&quot;/&gt;&lt;wsp:rsid wsp:val=&quot;489C39C8&quot;/&gt;&lt;wsp:rsid wsp:val=&quot;48A028AB&quot;/&gt;&lt;wsp:rsid wsp:val=&quot;48A04659&quot;/&gt;&lt;wsp:rsid wsp:val=&quot;48A115E5&quot;/&gt;&lt;wsp:rsid wsp:val=&quot;48A14B56&quot;/&gt;&lt;wsp:rsid wsp:val=&quot;48A41063&quot;/&gt;&lt;wsp:rsid wsp:val=&quot;48A4239B&quot;/&gt;&lt;wsp:rsid wsp:val=&quot;48A44149&quot;/&gt;&lt;wsp:rsid wsp:val=&quot;48A759E8&quot;/&gt;&lt;wsp:rsid wsp:val=&quot;48A979B2&quot;/&gt;&lt;wsp:rsid wsp:val=&quot;48AA0A8A&quot;/&gt;&lt;wsp:rsid wsp:val=&quot;48AA54D8&quot;/&gt;&lt;wsp:rsid wsp:val=&quot;48AB1F1A&quot;/&gt;&lt;wsp:rsid wsp:val=&quot;48AC74A2&quot;/&gt;&lt;wsp:rsid wsp:val=&quot;48AE2B74&quot;/&gt;&lt;wsp:rsid wsp:val=&quot;48AE321A&quot;/&gt;&lt;wsp:rsid wsp:val=&quot;48B12D0A&quot;/&gt;&lt;wsp:rsid wsp:val=&quot;48B14AB8&quot;/&gt;&lt;wsp:rsid wsp:val=&quot;48B1700D&quot;/&gt;&lt;wsp:rsid wsp:val=&quot;48B325DE&quot;/&gt;&lt;wsp:rsid wsp:val=&quot;48B52FCC&quot;/&gt;&lt;wsp:rsid wsp:val=&quot;48B545A9&quot;/&gt;&lt;wsp:rsid wsp:val=&quot;48B819A3&quot;/&gt;&lt;wsp:rsid wsp:val=&quot;48B87BC1&quot;/&gt;&lt;wsp:rsid wsp:val=&quot;48B9451E&quot;/&gt;&lt;wsp:rsid wsp:val=&quot;48BD16AF&quot;/&gt;&lt;wsp:rsid wsp:val=&quot;48BD520B&quot;/&gt;&lt;wsp:rsid wsp:val=&quot;48BE5843&quot;/&gt;&lt;wsp:rsid wsp:val=&quot;48BF0F83&quot;/&gt;&lt;wsp:rsid wsp:val=&quot;48BF3C4C&quot;/&gt;&lt;wsp:rsid wsp:val=&quot;48C04CFB&quot;/&gt;&lt;wsp:rsid wsp:val=&quot;48C12F4D&quot;/&gt;&lt;wsp:rsid wsp:val=&quot;48C20A74&quot;/&gt;&lt;wsp:rsid wsp:val=&quot;48C22822&quot;/&gt;&lt;wsp:rsid wsp:val=&quot;48C37620&quot;/&gt;&lt;wsp:rsid wsp:val=&quot;48C447EC&quot;/&gt;&lt;wsp:rsid wsp:val=&quot;48C479AF&quot;/&gt;&lt;wsp:rsid wsp:val=&quot;48C52AC1&quot;/&gt;&lt;wsp:rsid wsp:val=&quot;48C77E38&quot;/&gt;&lt;wsp:rsid wsp:val=&quot;48C90DA0&quot;/&gt;&lt;wsp:rsid wsp:val=&quot;48CB3DCC&quot;/&gt;&lt;wsp:rsid wsp:val=&quot;48D04F3E&quot;/&gt;&lt;wsp:rsid wsp:val=&quot;48D17946&quot;/&gt;&lt;wsp:rsid wsp:val=&quot;48D24A1A&quot;/&gt;&lt;wsp:rsid wsp:val=&quot;48D31904&quot;/&gt;&lt;wsp:rsid wsp:val=&quot;48D47FD7&quot;/&gt;&lt;wsp:rsid wsp:val=&quot;48D507A7&quot;/&gt;&lt;wsp:rsid wsp:val=&quot;48D52555&quot;/&gt;&lt;wsp:rsid wsp:val=&quot;48D53A6F&quot;/&gt;&lt;wsp:rsid wsp:val=&quot;48D569F9&quot;/&gt;&lt;wsp:rsid wsp:val=&quot;48D6451F&quot;/&gt;&lt;wsp:rsid wsp:val=&quot;48D662CD&quot;/&gt;&lt;wsp:rsid wsp:val=&quot;48D66617&quot;/&gt;&lt;wsp:rsid wsp:val=&quot;48D72771&quot;/&gt;&lt;wsp:rsid wsp:val=&quot;48D758DB&quot;/&gt;&lt;wsp:rsid wsp:val=&quot;48DA400F&quot;/&gt;&lt;wsp:rsid wsp:val=&quot;48DA5DBD&quot;/&gt;&lt;wsp:rsid wsp:val=&quot;48DD58AD&quot;/&gt;&lt;wsp:rsid wsp:val=&quot;48DE3668&quot;/&gt;&lt;wsp:rsid wsp:val=&quot;48E1539E&quot;/&gt;&lt;wsp:rsid wsp:val=&quot;48E22EC4&quot;/&gt;&lt;wsp:rsid wsp:val=&quot;48E40C1B&quot;/&gt;&lt;wsp:rsid wsp:val=&quot;48E56510&quot;/&gt;&lt;wsp:rsid wsp:val=&quot;48E704DA&quot;/&gt;&lt;wsp:rsid wsp:val=&quot;48E7672C&quot;/&gt;&lt;wsp:rsid wsp:val=&quot;48E94252&quot;/&gt;&lt;wsp:rsid wsp:val=&quot;48E97B61&quot;/&gt;&lt;wsp:rsid wsp:val=&quot;48EA3C36&quot;/&gt;&lt;wsp:rsid wsp:val=&quot;48EC3D42&quot;/&gt;&lt;wsp:rsid wsp:val=&quot;48EE3617&quot;/&gt;&lt;wsp:rsid wsp:val=&quot;48EF781D&quot;/&gt;&lt;wsp:rsid wsp:val=&quot;48F055E1&quot;/&gt;&lt;wsp:rsid wsp:val=&quot;48F350D1&quot;/&gt;&lt;wsp:rsid wsp:val=&quot;48F6071D&quot;/&gt;&lt;wsp:rsid wsp:val=&quot;48F84495&quot;/&gt;&lt;wsp:rsid wsp:val=&quot;48F84AFD&quot;/&gt;&lt;wsp:rsid wsp:val=&quot;48FA1FBB&quot;/&gt;&lt;wsp:rsid wsp:val=&quot;48FA645F&quot;/&gt;&lt;wsp:rsid wsp:val=&quot;48FD5F50&quot;/&gt;&lt;wsp:rsid wsp:val=&quot;48FD7CFE&quot;/&gt;&lt;wsp:rsid wsp:val=&quot;48FF3A76&quot;/&gt;&lt;wsp:rsid wsp:val=&quot;48FF5824&quot;/&gt;&lt;wsp:rsid wsp:val=&quot;48FF6CB3&quot;/&gt;&lt;wsp:rsid wsp:val=&quot;48FF75D2&quot;/&gt;&lt;wsp:rsid wsp:val=&quot;4901159C&quot;/&gt;&lt;wsp:rsid wsp:val=&quot;49017EAD&quot;/&gt;&lt;wsp:rsid wsp:val=&quot;490270C2&quot;/&gt;&lt;wsp:rsid wsp:val=&quot;49033566&quot;/&gt;&lt;wsp:rsid wsp:val=&quot;49042E3A&quot;/&gt;&lt;wsp:rsid wsp:val=&quot;49066BB2&quot;/&gt;&lt;wsp:rsid wsp:val=&quot;4907292A&quot;/&gt;&lt;wsp:rsid wsp:val=&quot;49075A1C&quot;/&gt;&lt;wsp:rsid wsp:val=&quot;490948F4&quot;/&gt;&lt;wsp:rsid wsp:val=&quot;490966A2&quot;/&gt;&lt;wsp:rsid wsp:val=&quot;490B241B&quot;/&gt;&lt;wsp:rsid wsp:val=&quot;490D6193&quot;/&gt;&lt;wsp:rsid wsp:val=&quot;490E5A67&quot;/&gt;&lt;wsp:rsid wsp:val=&quot;4910358D&quot;/&gt;&lt;wsp:rsid wsp:val=&quot;49105C83&quot;/&gt;&lt;wsp:rsid wsp:val=&quot;49107A31&quot;/&gt;&lt;wsp:rsid wsp:val=&quot;4913028B&quot;/&gt;&lt;wsp:rsid wsp:val=&quot;49137521&quot;/&gt;&lt;wsp:rsid wsp:val=&quot;49156DF5&quot;/&gt;&lt;wsp:rsid wsp:val=&quot;49172297&quot;/&gt;&lt;wsp:rsid wsp:val=&quot;49180694&quot;/&gt;&lt;wsp:rsid wsp:val=&quot;491A265E&quot;/&gt;&lt;wsp:rsid wsp:val=&quot;491A440C&quot;/&gt;&lt;wsp:rsid wsp:val=&quot;491D0608&quot;/&gt;&lt;wsp:rsid wsp:val=&quot;491F7C74&quot;/&gt;&lt;wsp:rsid wsp:val=&quot;49202E27&quot;/&gt;&lt;wsp:rsid wsp:val=&quot;492139EC&quot;/&gt;&lt;wsp:rsid wsp:val=&quot;49221512&quot;/&gt;&lt;wsp:rsid wsp:val=&quot;49227764&quot;/&gt;&lt;wsp:rsid wsp:val=&quot;49267254&quot;/&gt;&lt;wsp:rsid wsp:val=&quot;492774C8&quot;/&gt;&lt;wsp:rsid wsp:val=&quot;49284D7B&quot;/&gt;&lt;wsp:rsid wsp:val=&quot;492869E7&quot;/&gt;&lt;wsp:rsid wsp:val=&quot;49290AF3&quot;/&gt;&lt;wsp:rsid wsp:val=&quot;492B486B&quot;/&gt;&lt;wsp:rsid wsp:val=&quot;492D05E3&quot;/&gt;&lt;wsp:rsid wsp:val=&quot;492E7EB7&quot;/&gt;&lt;wsp:rsid wsp:val=&quot;493059DD&quot;/&gt;&lt;wsp:rsid wsp:val=&quot;4933371F&quot;/&gt;&lt;wsp:rsid wsp:val=&quot;49366D6C&quot;/&gt;&lt;wsp:rsid wsp:val=&quot;49373210&quot;/&gt;&lt;wsp:rsid wsp:val=&quot;49380D36&quot;/&gt;&lt;wsp:rsid wsp:val=&quot;49384272&quot;/&gt;&lt;wsp:rsid wsp:val=&quot;49392321&quot;/&gt;&lt;wsp:rsid wsp:val=&quot;493A685C&quot;/&gt;&lt;wsp:rsid wsp:val=&quot;493C25D4&quot;/&gt;&lt;wsp:rsid wsp:val=&quot;493D17E8&quot;/&gt;&lt;wsp:rsid wsp:val=&quot;493D634C&quot;/&gt;&lt;wsp:rsid wsp:val=&quot;493E459E&quot;/&gt;&lt;wsp:rsid wsp:val=&quot;49417BEA&quot;/&gt;&lt;wsp:rsid wsp:val=&quot;49441489&quot;/&gt;&lt;wsp:rsid wsp:val=&quot;4945669D&quot;/&gt;&lt;wsp:rsid wsp:val=&quot;494616A5&quot;/&gt;&lt;wsp:rsid wsp:val=&quot;49463453&quot;/&gt;&lt;wsp:rsid wsp:val=&quot;49465201&quot;/&gt;&lt;wsp:rsid wsp:val=&quot;49470F79&quot;/&gt;&lt;wsp:rsid wsp:val=&quot;494721F1&quot;/&gt;&lt;wsp:rsid wsp:val=&quot;494859DF&quot;/&gt;&lt;wsp:rsid wsp:val=&quot;49492F43&quot;/&gt;&lt;wsp:rsid wsp:val=&quot;494B49DC&quot;/&gt;&lt;wsp:rsid wsp:val=&quot;494D2A33&quot;/&gt;&lt;wsp:rsid wsp:val=&quot;494D47E1&quot;/&gt;&lt;wsp:rsid wsp:val=&quot;494E2307&quot;/&gt;&lt;wsp:rsid wsp:val=&quot;494F5429&quot;/&gt;&lt;wsp:rsid wsp:val=&quot;494F67AB&quot;/&gt;&lt;wsp:rsid wsp:val=&quot;4950607F&quot;/&gt;&lt;wsp:rsid wsp:val=&quot;4950709D&quot;/&gt;&lt;wsp:rsid wsp:val=&quot;49507E2D&quot;/&gt;&lt;wsp:rsid wsp:val=&quot;4951655A&quot;/&gt;&lt;wsp:rsid wsp:val=&quot;49521DF7&quot;/&gt;&lt;wsp:rsid wsp:val=&quot;49524E19&quot;/&gt;&lt;wsp:rsid wsp:val=&quot;4953791E&quot;/&gt;&lt;wsp:rsid wsp:val=&quot;495518E8&quot;/&gt;&lt;wsp:rsid wsp:val=&quot;49555444&quot;/&gt;&lt;wsp:rsid wsp:val=&quot;495711BC&quot;/&gt;&lt;wsp:rsid wsp:val=&quot;49576E8D&quot;/&gt;&lt;wsp:rsid wsp:val=&quot;49583186&quot;/&gt;&lt;wsp:rsid wsp:val=&quot;49584F34&quot;/&gt;&lt;wsp:rsid wsp:val=&quot;495E69EE&quot;/&gt;&lt;wsp:rsid wsp:val=&quot;4960389A&quot;/&gt;&lt;wsp:rsid wsp:val=&quot;496274DF&quot;/&gt;&lt;wsp:rsid wsp:val=&quot;496327E5&quot;/&gt;&lt;wsp:rsid wsp:val=&quot;49641B2B&quot;/&gt;&lt;wsp:rsid wsp:val=&quot;49663AF5&quot;/&gt;&lt;wsp:rsid wsp:val=&quot;49667651&quot;/&gt;&lt;wsp:rsid wsp:val=&quot;4967352A&quot;/&gt;&lt;wsp:rsid wsp:val=&quot;4968161B&quot;/&gt;&lt;wsp:rsid wsp:val=&quot;496833C9&quot;/&gt;&lt;wsp:rsid wsp:val=&quot;496B2EB9&quot;/&gt;&lt;wsp:rsid wsp:val=&quot;496C1203&quot;/&gt;&lt;wsp:rsid wsp:val=&quot;496D6C31&quot;/&gt;&lt;wsp:rsid wsp:val=&quot;496F0653&quot;/&gt;&lt;wsp:rsid wsp:val=&quot;496F6F12&quot;/&gt;&lt;wsp:rsid wsp:val=&quot;497163D6&quot;/&gt;&lt;wsp:rsid wsp:val=&quot;4972249A&quot;/&gt;&lt;wsp:rsid wsp:val=&quot;49724248&quot;/&gt;&lt;wsp:rsid wsp:val=&quot;49747FC0&quot;/&gt;&lt;wsp:rsid wsp:val=&quot;497513A8&quot;/&gt;&lt;wsp:rsid wsp:val=&quot;49755AE6&quot;/&gt;&lt;wsp:rsid wsp:val=&quot;49777AB0&quot;/&gt;&lt;wsp:rsid wsp:val=&quot;497A75A0&quot;/&gt;&lt;wsp:rsid wsp:val=&quot;497C0C22&quot;/&gt;&lt;wsp:rsid wsp:val=&quot;497C6E74&quot;/&gt;&lt;wsp:rsid wsp:val=&quot;497D32BF&quot;/&gt;&lt;wsp:rsid wsp:val=&quot;497F110A&quot;/&gt;&lt;wsp:rsid wsp:val=&quot;4981092F&quot;/&gt;&lt;wsp:rsid wsp:val=&quot;498505D6&quot;/&gt;&lt;wsp:rsid wsp:val=&quot;49865F45&quot;/&gt;&lt;wsp:rsid wsp:val=&quot;49877EB2&quot;/&gt;&lt;wsp:rsid wsp:val=&quot;498B355B&quot;/&gt;&lt;wsp:rsid wsp:val=&quot;498D5C45&quot;/&gt;&lt;wsp:rsid wsp:val=&quot;498E0956&quot;/&gt;&lt;wsp:rsid wsp:val=&quot;498F4DFA&quot;/&gt;&lt;wsp:rsid wsp:val=&quot;49920446&quot;/&gt;&lt;wsp:rsid wsp:val=&quot;499222AC&quot;/&gt;&lt;wsp:rsid wsp:val=&quot;49933923&quot;/&gt;&lt;wsp:rsid wsp:val=&quot;49940662&quot;/&gt;&lt;wsp:rsid wsp:val=&quot;499557A4&quot;/&gt;&lt;wsp:rsid wsp:val=&quot;49956188&quot;/&gt;&lt;wsp:rsid wsp:val=&quot;499637FE&quot;/&gt;&lt;wsp:rsid wsp:val=&quot;499917D4&quot;/&gt;&lt;wsp:rsid wsp:val=&quot;499A379E&quot;/&gt;&lt;wsp:rsid wsp:val=&quot;499B0FEA&quot;/&gt;&lt;wsp:rsid wsp:val=&quot;499C7517&quot;/&gt;&lt;wsp:rsid wsp:val=&quot;499E328F&quot;/&gt;&lt;wsp:rsid wsp:val=&quot;49A14FAF&quot;/&gt;&lt;wsp:rsid wsp:val=&quot;49A372A4&quot;/&gt;&lt;wsp:rsid wsp:val=&quot;49A60395&quot;/&gt;&lt;wsp:rsid wsp:val=&quot;49A62143&quot;/&gt;&lt;wsp:rsid wsp:val=&quot;49A65114&quot;/&gt;&lt;wsp:rsid wsp:val=&quot;49AA1C33&quot;/&gt;&lt;wsp:rsid wsp:val=&quot;49AB1508&quot;/&gt;&lt;wsp:rsid wsp:val=&quot;49AE2DA6&quot;/&gt;&lt;wsp:rsid wsp:val=&quot;49AF0FF8&quot;/&gt;&lt;wsp:rsid wsp:val=&quot;49AF724A&quot;/&gt;&lt;wsp:rsid wsp:val=&quot;49B02FC2&quot;/&gt;&lt;wsp:rsid wsp:val=&quot;49B228EB&quot;/&gt;&lt;wsp:rsid wsp:val=&quot;49B605D8&quot;/&gt;&lt;wsp:rsid wsp:val=&quot;49B86F46&quot;/&gt;&lt;wsp:rsid wsp:val=&quot;49B900C8&quot;/&gt;&lt;wsp:rsid wsp:val=&quot;49C056FE&quot;/&gt;&lt;wsp:rsid wsp:val=&quot;49C167BA&quot;/&gt;&lt;wsp:rsid wsp:val=&quot;49C34AA3&quot;/&gt;&lt;wsp:rsid wsp:val=&quot;49C36851&quot;/&gt;&lt;wsp:rsid wsp:val=&quot;49C54520&quot;/&gt;&lt;wsp:rsid wsp:val=&quot;49C564C7&quot;/&gt;&lt;wsp:rsid wsp:val=&quot;49C565CB&quot;/&gt;&lt;wsp:rsid wsp:val=&quot;49C64593&quot;/&gt;&lt;wsp:rsid wsp:val=&quot;49C66341&quot;/&gt;&lt;wsp:rsid wsp:val=&quot;49C820BA&quot;/&gt;&lt;wsp:rsid wsp:val=&quot;49CA5E32&quot;/&gt;&lt;wsp:rsid wsp:val=&quot;49CB3958&quot;/&gt;&lt;wsp:rsid wsp:val=&quot;49CD76D0&quot;/&gt;&lt;wsp:rsid wsp:val=&quot;49D2118A&quot;/&gt;&lt;wsp:rsid wsp:val=&quot;49D24CE6&quot;/&gt;&lt;wsp:rsid wsp:val=&quot;49D2773F&quot;/&gt;&lt;wsp:rsid wsp:val=&quot;49D767A1&quot;/&gt;&lt;wsp:rsid wsp:val=&quot;49D92519&quot;/&gt;&lt;wsp:rsid wsp:val=&quot;49D942C7&quot;/&gt;&lt;wsp:rsid wsp:val=&quot;49DC17D2&quot;/&gt;&lt;wsp:rsid wsp:val=&quot;49DC1EEB&quot;/&gt;&lt;wsp:rsid wsp:val=&quot;49DC429F&quot;/&gt;&lt;wsp:rsid wsp:val=&quot;49DC7715&quot;/&gt;&lt;wsp:rsid wsp:val=&quot;49DE33A1&quot;/&gt;&lt;wsp:rsid wsp:val=&quot;49DE368B&quot;/&gt;&lt;wsp:rsid wsp:val=&quot;49DE50FB&quot;/&gt;&lt;wsp:rsid wsp:val=&quot;49DF0C6F&quot;/&gt;&lt;wsp:rsid wsp:val=&quot;49DF112C&quot;/&gt;&lt;wsp:rsid wsp:val=&quot;49E05655&quot;/&gt;&lt;wsp:rsid wsp:val=&quot;49E30CA1&quot;/&gt;&lt;wsp:rsid wsp:val=&quot;49E50EBD&quot;/&gt;&lt;wsp:rsid wsp:val=&quot;49E55BB5&quot;/&gt;&lt;wsp:rsid wsp:val=&quot;49E669E4&quot;/&gt;&lt;wsp:rsid wsp:val=&quot;49E82739&quot;/&gt;&lt;wsp:rsid wsp:val=&quot;49EA0282&quot;/&gt;&lt;wsp:rsid wsp:val=&quot;49EA14A6&quot;/&gt;&lt;wsp:rsid wsp:val=&quot;49EA64D4&quot;/&gt;&lt;wsp:rsid wsp:val=&quot;49EB7B56&quot;/&gt;&lt;wsp:rsid wsp:val=&quot;49EC2039&quot;/&gt;&lt;wsp:rsid wsp:val=&quot;49EC224C&quot;/&gt;&lt;wsp:rsid wsp:val=&quot;49EC2EB7&quot;/&gt;&lt;wsp:rsid wsp:val=&quot;49ED38CE&quot;/&gt;&lt;wsp:rsid wsp:val=&quot;49ED7D72&quot;/&gt;&lt;wsp:rsid wsp:val=&quot;49EE42CC&quot;/&gt;&lt;wsp:rsid wsp:val=&quot;49EE57D7&quot;/&gt;&lt;wsp:rsid wsp:val=&quot;49F17862&quot;/&gt;&lt;wsp:rsid wsp:val=&quot;49F41101&quot;/&gt;&lt;wsp:rsid wsp:val=&quot;49F42EAF&quot;/&gt;&lt;wsp:rsid wsp:val=&quot;49F66C27&quot;/&gt;&lt;wsp:rsid wsp:val=&quot;49F7474D&quot;/&gt;&lt;wsp:rsid wsp:val=&quot;49F904C5&quot;/&gt;&lt;wsp:rsid wsp:val=&quot;49F96717&quot;/&gt;&lt;wsp:rsid wsp:val=&quot;49FB423D&quot;/&gt;&lt;wsp:rsid wsp:val=&quot;49FC7FB5&quot;/&gt;&lt;wsp:rsid wsp:val=&quot;49FD6207&quot;/&gt;&lt;wsp:rsid wsp:val=&quot;49FE1F7F&quot;/&gt;&lt;wsp:rsid wsp:val=&quot;4A023139&quot;/&gt;&lt;wsp:rsid wsp:val=&quot;4A0250DD&quot;/&gt;&lt;wsp:rsid wsp:val=&quot;4A027CAE&quot;/&gt;&lt;wsp:rsid wsp:val=&quot;4A05330E&quot;/&gt;&lt;wsp:rsid wsp:val=&quot;4A054CCD&quot;/&gt;&lt;wsp:rsid wsp:val=&quot;4A05519F&quot;/&gt;&lt;wsp:rsid wsp:val=&quot;4A064990&quot;/&gt;&lt;wsp:rsid wsp:val=&quot;4A070E34&quot;/&gt;&lt;wsp:rsid wsp:val=&quot;4A0A4480&quot;/&gt;&lt;wsp:rsid wsp:val=&quot;4A0B01F8&quot;/&gt;&lt;wsp:rsid wsp:val=&quot;4A0B1FA6&quot;/&gt;&lt;wsp:rsid wsp:val=&quot;4A0D26AD&quot;/&gt;&lt;wsp:rsid wsp:val=&quot;4A0E4DE3&quot;/&gt;&lt;wsp:rsid wsp:val=&quot;4A0F7CE8&quot;/&gt;&lt;wsp:rsid wsp:val=&quot;4A111CB3&quot;/&gt;&lt;wsp:rsid wsp:val=&quot;4A11580F&quot;/&gt;&lt;wsp:rsid wsp:val=&quot;4A161077&quot;/&gt;&lt;wsp:rsid wsp:val=&quot;4A173B7C&quot;/&gt;&lt;wsp:rsid wsp:val=&quot;4A180FB8&quot;/&gt;&lt;wsp:rsid wsp:val=&quot;4A183E49&quot;/&gt;&lt;wsp:rsid wsp:val=&quot;4A192915&quot;/&gt;&lt;wsp:rsid wsp:val=&quot;4A1B48DF&quot;/&gt;&lt;wsp:rsid wsp:val=&quot;4A1D48B6&quot;/&gt;&lt;wsp:rsid wsp:val=&quot;4A1E1CDA&quot;/&gt;&lt;wsp:rsid wsp:val=&quot;4A1E617D&quot;/&gt;&lt;wsp:rsid wsp:val=&quot;4A225C6E&quot;/&gt;&lt;wsp:rsid wsp:val=&quot;4A253068&quot;/&gt;&lt;wsp:rsid wsp:val=&quot;4A25750C&quot;/&gt;&lt;wsp:rsid wsp:val=&quot;4A260E91&quot;/&gt;&lt;wsp:rsid wsp:val=&quot;4A266DE0&quot;/&gt;&lt;wsp:rsid wsp:val=&quot;4A286FFC&quot;/&gt;&lt;wsp:rsid wsp:val=&quot;4A2A4B22&quot;/&gt;&lt;wsp:rsid wsp:val=&quot;4A2A68D0&quot;/&gt;&lt;wsp:rsid wsp:val=&quot;4A2C2648&quot;/&gt;&lt;wsp:rsid wsp:val=&quot;4A2D7761&quot;/&gt;&lt;wsp:rsid wsp:val=&quot;4A2F038B&quot;/&gt;&lt;wsp:rsid wsp:val=&quot;4A30015B&quot;/&gt;&lt;wsp:rsid wsp:val=&quot;4A315EB1&quot;/&gt;&lt;wsp:rsid wsp:val=&quot;4A3239D7&quot;/&gt;&lt;wsp:rsid wsp:val=&quot;4A325785&quot;/&gt;&lt;wsp:rsid wsp:val=&quot;4A325D14&quot;/&gt;&lt;wsp:rsid wsp:val=&quot;4A3414FD&quot;/&gt;&lt;wsp:rsid wsp:val=&quot;4A3459A1&quot;/&gt;&lt;wsp:rsid wsp:val=&quot;4A3467D2&quot;/&gt;&lt;wsp:rsid wsp:val=&quot;4A34774F&quot;/&gt;&lt;wsp:rsid wsp:val=&quot;4A3634C7&quot;/&gt;&lt;wsp:rsid wsp:val=&quot;4A372A74&quot;/&gt;&lt;wsp:rsid wsp:val=&quot;4A372D9B&quot;/&gt;&lt;wsp:rsid wsp:val=&quot;4A3868ED&quot;/&gt;&lt;wsp:rsid wsp:val=&quot;4A38723F&quot;/&gt;&lt;wsp:rsid wsp:val=&quot;4A392FB7&quot;/&gt;&lt;wsp:rsid wsp:val=&quot;4A3A62EE&quot;/&gt;&lt;wsp:rsid wsp:val=&quot;4A3B288C&quot;/&gt;&lt;wsp:rsid wsp:val=&quot;4A3C66FE&quot;/&gt;&lt;wsp:rsid wsp:val=&quot;4A3D0B99&quot;/&gt;&lt;wsp:rsid wsp:val=&quot;4A3E412A&quot;/&gt;&lt;wsp:rsid wsp:val=&quot;4A404346&quot;/&gt;&lt;wsp:rsid wsp:val=&quot;4A4060F4&quot;/&gt;&lt;wsp:rsid wsp:val=&quot;4A413C1A&quot;/&gt;&lt;wsp:rsid wsp:val=&quot;4A4200BE&quot;/&gt;&lt;wsp:rsid wsp:val=&quot;4A431740&quot;/&gt;&lt;wsp:rsid wsp:val=&quot;4A435BE4&quot;/&gt;&lt;wsp:rsid wsp:val=&quot;4A443E36&quot;/&gt;&lt;wsp:rsid wsp:val=&quot;4A45195C&quot;/&gt;&lt;wsp:rsid wsp:val=&quot;4A45370A&quot;/&gt;&lt;wsp:rsid wsp:val=&quot;4A477482&quot;/&gt;&lt;wsp:rsid wsp:val=&quot;4A497872&quot;/&gt;&lt;wsp:rsid wsp:val=&quot;4A4A0D02&quot;/&gt;&lt;wsp:rsid wsp:val=&quot;4A4D0811&quot;/&gt;&lt;wsp:rsid wsp:val=&quot;4A4E6A63&quot;/&gt;&lt;wsp:rsid wsp:val=&quot;4A4F6337&quot;/&gt;&lt;wsp:rsid wsp:val=&quot;4A504002&quot;/&gt;&lt;wsp:rsid wsp:val=&quot;4A510301&quot;/&gt;&lt;wsp:rsid wsp:val=&quot;4A513E5D&quot;/&gt;&lt;wsp:rsid wsp:val=&quot;4A534079&quot;/&gt;&lt;wsp:rsid wsp:val=&quot;4A54394D&quot;/&gt;&lt;wsp:rsid wsp:val=&quot;4A565917&quot;/&gt;&lt;wsp:rsid wsp:val=&quot;4A5673B8&quot;/&gt;&lt;wsp:rsid wsp:val=&quot;4A58168F&quot;/&gt;&lt;wsp:rsid wsp:val=&quot;4A5971B6&quot;/&gt;&lt;wsp:rsid wsp:val=&quot;4A5B4858&quot;/&gt;&lt;wsp:rsid wsp:val=&quot;4A5B4CDC&quot;/&gt;&lt;wsp:rsid wsp:val=&quot;4A5C2802&quot;/&gt;&lt;wsp:rsid wsp:val=&quot;4A5D7909&quot;/&gt;&lt;wsp:rsid wsp:val=&quot;4A5E47CC&quot;/&gt;&lt;wsp:rsid wsp:val=&quot;4A5F23F3&quot;/&gt;&lt;wsp:rsid wsp:val=&quot;4A5F4669&quot;/&gt;&lt;wsp:rsid wsp:val=&quot;4A5F7E10&quot;/&gt;&lt;wsp:rsid wsp:val=&quot;4A6022F2&quot;/&gt;&lt;wsp:rsid wsp:val=&quot;4A60274A&quot;/&gt;&lt;wsp:rsid wsp:val=&quot;4A606796&quot;/&gt;&lt;wsp:rsid wsp:val=&quot;4A616416&quot;/&gt;&lt;wsp:rsid wsp:val=&quot;4A653DAC&quot;/&gt;&lt;wsp:rsid wsp:val=&quot;4A655B5A&quot;/&gt;&lt;wsp:rsid wsp:val=&quot;4A657908&quot;/&gt;&lt;wsp:rsid wsp:val=&quot;4A6643F5&quot;/&gt;&lt;wsp:rsid wsp:val=&quot;4A680F8A&quot;/&gt;&lt;wsp:rsid wsp:val=&quot;4A6950C0&quot;/&gt;&lt;wsp:rsid wsp:val=&quot;4A6A177C&quot;/&gt;&lt;wsp:rsid wsp:val=&quot;4A6A7ED1&quot;/&gt;&lt;wsp:rsid wsp:val=&quot;4A6E2C61&quot;/&gt;&lt;wsp:rsid wsp:val=&quot;4A6F2535&quot;/&gt;&lt;wsp:rsid wsp:val=&quot;4A7144FF&quot;/&gt;&lt;wsp:rsid wsp:val=&quot;4A742241&quot;/&gt;&lt;wsp:rsid wsp:val=&quot;4A745D9D&quot;/&gt;&lt;wsp:rsid wsp:val=&quot;4A761B16&quot;/&gt;&lt;wsp:rsid wsp:val=&quot;4A77763C&quot;/&gt;&lt;wsp:rsid wsp:val=&quot;4A783AE0&quot;/&gt;&lt;wsp:rsid wsp:val=&quot;4A783D80&quot;/&gt;&lt;wsp:rsid wsp:val=&quot;4A791606&quot;/&gt;&lt;wsp:rsid wsp:val=&quot;4A7B576F&quot;/&gt;&lt;wsp:rsid wsp:val=&quot;4A7B715E&quot;/&gt;&lt;wsp:rsid wsp:val=&quot;4A7D10F6&quot;/&gt;&lt;wsp:rsid wsp:val=&quot;4A7D4C52&quot;/&gt;&lt;wsp:rsid wsp:val=&quot;4A7E09CA&quot;/&gt;&lt;wsp:rsid wsp:val=&quot;4A7E6C1C&quot;/&gt;&lt;wsp:rsid wsp:val=&quot;4A800BE6&quot;/&gt;&lt;wsp:rsid wsp:val=&quot;4A802994&quot;/&gt;&lt;wsp:rsid wsp:val=&quot;4A804742&quot;/&gt;&lt;wsp:rsid wsp:val=&quot;4A8050E2&quot;/&gt;&lt;wsp:rsid wsp:val=&quot;4A813BDE&quot;/&gt;&lt;wsp:rsid wsp:val=&quot;4A844A35&quot;/&gt;&lt;wsp:rsid wsp:val=&quot;4A867E13&quot;/&gt;&lt;wsp:rsid wsp:val=&quot;4A895CED&quot;/&gt;&lt;wsp:rsid wsp:val=&quot;4A8A3813&quot;/&gt;&lt;wsp:rsid wsp:val=&quot;4A8A55C1&quot;/&gt;&lt;wsp:rsid wsp:val=&quot;4A8A736F&quot;/&gt;&lt;wsp:rsid wsp:val=&quot;4A8B1862&quot;/&gt;&lt;wsp:rsid wsp:val=&quot;4A8B1C8F&quot;/&gt;&lt;wsp:rsid wsp:val=&quot;4A8E6E5F&quot;/&gt;&lt;wsp:rsid wsp:val=&quot;4A914BA1&quot;/&gt;&lt;wsp:rsid wsp:val=&quot;4A91694F&quot;/&gt;&lt;wsp:rsid wsp:val=&quot;4A9213FA&quot;/&gt;&lt;wsp:rsid wsp:val=&quot;4A934062&quot;/&gt;&lt;wsp:rsid wsp:val=&quot;4A934476&quot;/&gt;&lt;wsp:rsid wsp:val=&quot;4A9401EE&quot;/&gt;&lt;wsp:rsid wsp:val=&quot;4A960CB0&quot;/&gt;&lt;wsp:rsid wsp:val=&quot;4A9621B8&quot;/&gt;&lt;wsp:rsid wsp:val=&quot;4A97677A&quot;/&gt;&lt;wsp:rsid wsp:val=&quot;4A987CDE&quot;/&gt;&lt;wsp:rsid wsp:val=&quot;4A9B332A&quot;/&gt;&lt;wsp:rsid wsp:val=&quot;4A9B5A20&quot;/&gt;&lt;wsp:rsid wsp:val=&quot;4A9D460A&quot;/&gt;&lt;wsp:rsid wsp:val=&quot;4A9D518C&quot;/&gt;&lt;wsp:rsid wsp:val=&quot;4A9D52F4&quot;/&gt;&lt;wsp:rsid wsp:val=&quot;4A9F106C&quot;/&gt;&lt;wsp:rsid wsp:val=&quot;4AA07E96&quot;/&gt;&lt;wsp:rsid wsp:val=&quot;4AA85A47&quot;/&gt;&lt;wsp:rsid wsp:val=&quot;4AA91EEB&quot;/&gt;&lt;wsp:rsid wsp:val=&quot;4AAA17BF&quot;/&gt;&lt;wsp:rsid wsp:val=&quot;4AAA5C63&quot;/&gt;&lt;wsp:rsid wsp:val=&quot;4AAA7A11&quot;/&gt;&lt;wsp:rsid wsp:val=&quot;4AAF5028&quot;/&gt;&lt;wsp:rsid wsp:val=&quot;4AB12B4E&quot;/&gt;&lt;wsp:rsid wsp:val=&quot;4AB35907&quot;/&gt;&lt;wsp:rsid wsp:val=&quot;4AB44DF5&quot;/&gt;&lt;wsp:rsid wsp:val=&quot;4AB62678&quot;/&gt;&lt;wsp:rsid wsp:val=&quot;4AB750AA&quot;/&gt;&lt;wsp:rsid wsp:val=&quot;4AB8212E&quot;/&gt;&lt;wsp:rsid wsp:val=&quot;4ABB1C1E&quot;/&gt;&lt;wsp:rsid wsp:val=&quot;4ABD5996&quot;/&gt;&lt;wsp:rsid wsp:val=&quot;4ABE526B&quot;/&gt;&lt;wsp:rsid wsp:val=&quot;4AC24CA3&quot;/&gt;&lt;wsp:rsid wsp:val=&quot;4AC26B09&quot;/&gt;&lt;wsp:rsid wsp:val=&quot;4AC30B46&quot;/&gt;&lt;wsp:rsid wsp:val=&quot;4AC44249&quot;/&gt;&lt;wsp:rsid wsp:val=&quot;4AC5484B&quot;/&gt;&lt;wsp:rsid wsp:val=&quot;4AC72371&quot;/&gt;&lt;wsp:rsid wsp:val=&quot;4AC7411F&quot;/&gt;&lt;wsp:rsid wsp:val=&quot;4AC9433B&quot;/&gt;&lt;wsp:rsid wsp:val=&quot;4ACA3627&quot;/&gt;&lt;wsp:rsid wsp:val=&quot;4ACA3C0F&quot;/&gt;&lt;wsp:rsid wsp:val=&quot;4ACE54AE&quot;/&gt;&lt;wsp:rsid wsp:val=&quot;4ACE56FC&quot;/&gt;&lt;wsp:rsid wsp:val=&quot;4ACF1226&quot;/&gt;&lt;wsp:rsid wsp:val=&quot;4ACF7478&quot;/&gt;&lt;wsp:rsid wsp:val=&quot;4AD11442&quot;/&gt;&lt;wsp:rsid wsp:val=&quot;4AD131F0&quot;/&gt;&lt;wsp:rsid wsp:val=&quot;4AD36F68&quot;/&gt;&lt;wsp:rsid wsp:val=&quot;4AD4683C&quot;/&gt;&lt;wsp:rsid wsp:val=&quot;4AD52CE0&quot;/&gt;&lt;wsp:rsid wsp:val=&quot;4AD60806&quot;/&gt;&lt;wsp:rsid wsp:val=&quot;4AD66A58&quot;/&gt;&lt;wsp:rsid wsp:val=&quot;4AD93E52&quot;/&gt;&lt;wsp:rsid wsp:val=&quot;4ADA02F6&quot;/&gt;&lt;wsp:rsid wsp:val=&quot;4ADB406F&quot;/&gt;&lt;wsp:rsid wsp:val=&quot;4ADB414F&quot;/&gt;&lt;wsp:rsid wsp:val=&quot;4ADB7BCB&quot;/&gt;&lt;wsp:rsid wsp:val=&quot;4ADD7DE7&quot;/&gt;&lt;wsp:rsid wsp:val=&quot;4ADF3B5F&quot;/&gt;&lt;wsp:rsid wsp:val=&quot;4AE178D7&quot;/&gt;&lt;wsp:rsid wsp:val=&quot;4AE253FD&quot;/&gt;&lt;wsp:rsid wsp:val=&quot;4AE271AB&quot;/&gt;&lt;wsp:rsid wsp:val=&quot;4AE30FC1&quot;/&gt;&lt;wsp:rsid wsp:val=&quot;4AE3378D&quot;/&gt;&lt;wsp:rsid wsp:val=&quot;4AE42F23&quot;/&gt;&lt;wsp:rsid wsp:val=&quot;4AE46501&quot;/&gt;&lt;wsp:rsid wsp:val=&quot;4AE50A49&quot;/&gt;&lt;wsp:rsid wsp:val=&quot;4AE95F80&quot;/&gt;&lt;wsp:rsid wsp:val=&quot;4AE9678B&quot;/&gt;&lt;wsp:rsid wsp:val=&quot;4AEC002A&quot;/&gt;&lt;wsp:rsid wsp:val=&quot;4AEC627C&quot;/&gt;&lt;wsp:rsid wsp:val=&quot;4AEE3DA2&quot;/&gt;&lt;wsp:rsid wsp:val=&quot;4AF01215&quot;/&gt;&lt;wsp:rsid wsp:val=&quot;4AF02D41&quot;/&gt;&lt;wsp:rsid wsp:val=&quot;4AF15640&quot;/&gt;&lt;wsp:rsid wsp:val=&quot;4AF561A9&quot;/&gt;&lt;wsp:rsid wsp:val=&quot;4AF56EDE&quot;/&gt;&lt;wsp:rsid wsp:val=&quot;4AF6582B&quot;/&gt;&lt;wsp:rsid wsp:val=&quot;4AFC5895&quot;/&gt;&lt;wsp:rsid wsp:val=&quot;4AFC5CB6&quot;/&gt;&lt;wsp:rsid wsp:val=&quot;4AFD5D93&quot;/&gt;&lt;wsp:rsid wsp:val=&quot;4AFF7D5D&quot;/&gt;&lt;wsp:rsid wsp:val=&quot;4B00194F&quot;/&gt;&lt;wsp:rsid wsp:val=&quot;4B005883&quot;/&gt;&lt;wsp:rsid wsp:val=&quot;4B02784D&quot;/&gt;&lt;wsp:rsid wsp:val=&quot;4B040C90&quot;/&gt;&lt;wsp:rsid wsp:val=&quot;4B052E99&quot;/&gt;&lt;wsp:rsid wsp:val=&quot;4B06387A&quot;/&gt;&lt;wsp:rsid wsp:val=&quot;4B06733D&quot;/&gt;&lt;wsp:rsid wsp:val=&quot;4B07380E&quot;/&gt;&lt;wsp:rsid wsp:val=&quot;4B076C12&quot;/&gt;&lt;wsp:rsid wsp:val=&quot;4B090429&quot;/&gt;&lt;wsp:rsid wsp:val=&quot;4B094738&quot;/&gt;&lt;wsp:rsid wsp:val=&quot;4B0B1F4A&quot;/&gt;&lt;wsp:rsid wsp:val=&quot;4B0B4954&quot;/&gt;&lt;wsp:rsid wsp:val=&quot;4B0C247A&quot;/&gt;&lt;wsp:rsid wsp:val=&quot;4B0C3F0F&quot;/&gt;&lt;wsp:rsid wsp:val=&quot;4B0F492C&quot;/&gt;&lt;wsp:rsid wsp:val=&quot;4B105AC6&quot;/&gt;&lt;wsp:rsid wsp:val=&quot;4B11183E&quot;/&gt;&lt;wsp:rsid wsp:val=&quot;4B125CE2&quot;/&gt;&lt;wsp:rsid wsp:val=&quot;4B137364&quot;/&gt;&lt;wsp:rsid wsp:val=&quot;4B15132F&quot;/&gt;&lt;wsp:rsid wsp:val=&quot;4B161CE4&quot;/&gt;&lt;wsp:rsid wsp:val=&quot;4B1650A7&quot;/&gt;&lt;wsp:rsid wsp:val=&quot;4B1732F9&quot;/&gt;&lt;wsp:rsid wsp:val=&quot;4B185C8F&quot;/&gt;&lt;wsp:rsid wsp:val=&quot;4B1B446B&quot;/&gt;&lt;wsp:rsid wsp:val=&quot;4B1C090F&quot;/&gt;&lt;wsp:rsid wsp:val=&quot;4B1D6435&quot;/&gt;&lt;wsp:rsid wsp:val=&quot;4B1E1B01&quot;/&gt;&lt;wsp:rsid wsp:val=&quot;4B1F3F5B&quot;/&gt;&lt;wsp:rsid wsp:val=&quot;4B1F5D09&quot;/&gt;&lt;wsp:rsid wsp:val=&quot;4B1F69A1&quot;/&gt;&lt;wsp:rsid wsp:val=&quot;4B201A81&quot;/&gt;&lt;wsp:rsid wsp:val=&quot;4B215F25&quot;/&gt;&lt;wsp:rsid wsp:val=&quot;4B21711C&quot;/&gt;&lt;wsp:rsid wsp:val=&quot;4B217CD3&quot;/&gt;&lt;wsp:rsid wsp:val=&quot;4B2257F9&quot;/&gt;&lt;wsp:rsid wsp:val=&quot;4B245A16&quot;/&gt;&lt;wsp:rsid wsp:val=&quot;4B2477C4&quot;/&gt;&lt;wsp:rsid wsp:val=&quot;4B272E10&quot;/&gt;&lt;wsp:rsid wsp:val=&quot;4B29302C&quot;/&gt;&lt;wsp:rsid wsp:val=&quot;4B294DDA&quot;/&gt;&lt;wsp:rsid wsp:val=&quot;4B2B0B52&quot;/&gt;&lt;wsp:rsid wsp:val=&quot;4B2B6DA4&quot;/&gt;&lt;wsp:rsid wsp:val=&quot;4B2C0426&quot;/&gt;&lt;wsp:rsid wsp:val=&quot;4B2E23F0&quot;/&gt;&lt;wsp:rsid wsp:val=&quot;4B30713C&quot;/&gt;&lt;wsp:rsid wsp:val=&quot;4B3122A9&quot;/&gt;&lt;wsp:rsid wsp:val=&quot;4B325ABF&quot;/&gt;&lt;wsp:rsid wsp:val=&quot;4B3317B5&quot;/&gt;&lt;wsp:rsid wsp:val=&quot;4B33365D&quot;/&gt;&lt;wsp:rsid wsp:val=&quot;4B3519D1&quot;/&gt;&lt;wsp:rsid wsp:val=&quot;4B386DCB&quot;/&gt;&lt;wsp:rsid wsp:val=&quot;4B3A2B43&quot;/&gt;&lt;wsp:rsid wsp:val=&quot;4B3A3171&quot;/&gt;&lt;wsp:rsid wsp:val=&quot;4B3B68BB&quot;/&gt;&lt;wsp:rsid wsp:val=&quot;4B3D6AD7&quot;/&gt;&lt;wsp:rsid wsp:val=&quot;4B3F0E3A&quot;/&gt;&lt;wsp:rsid wsp:val=&quot;4B3F63AB&quot;/&gt;&lt;wsp:rsid wsp:val=&quot;4B412124&quot;/&gt;&lt;wsp:rsid wsp:val=&quot;4B413ED2&quot;/&gt;&lt;wsp:rsid wsp:val=&quot;4B4277BB&quot;/&gt;&lt;wsp:rsid wsp:val=&quot;4B4439C2&quot;/&gt;&lt;wsp:rsid wsp:val=&quot;4B45356B&quot;/&gt;&lt;wsp:rsid wsp:val=&quot;4B46773A&quot;/&gt;&lt;wsp:rsid wsp:val=&quot;4B4734B2&quot;/&gt;&lt;wsp:rsid wsp:val=&quot;4B475260&quot;/&gt;&lt;wsp:rsid wsp:val=&quot;4B4926F7&quot;/&gt;&lt;wsp:rsid wsp:val=&quot;4B49547C&quot;/&gt;&lt;wsp:rsid wsp:val=&quot;4B49722A&quot;/&gt;&lt;wsp:rsid wsp:val=&quot;4B4B2FA2&quot;/&gt;&lt;wsp:rsid wsp:val=&quot;4B4B4D50&quot;/&gt;&lt;wsp:rsid wsp:val=&quot;4B4C0598&quot;/&gt;&lt;wsp:rsid wsp:val=&quot;4B4D6D1A&quot;/&gt;&lt;wsp:rsid wsp:val=&quot;4B4E2A92&quot;/&gt;&lt;wsp:rsid wsp:val=&quot;4B4E47C2&quot;/&gt;&lt;wsp:rsid wsp:val=&quot;4B4E65EF&quot;/&gt;&lt;wsp:rsid wsp:val=&quot;4B501DBF&quot;/&gt;&lt;wsp:rsid wsp:val=&quot;4B504362&quot;/&gt;&lt;wsp:rsid wsp:val=&quot;4B5160DF&quot;/&gt;&lt;wsp:rsid wsp:val=&quot;4B517E8D&quot;/&gt;&lt;wsp:rsid wsp:val=&quot;4B553060&quot;/&gt;&lt;wsp:rsid wsp:val=&quot;4B577B99&quot;/&gt;&lt;wsp:rsid wsp:val=&quot;4B5A1437&quot;/&gt;&lt;wsp:rsid wsp:val=&quot;4B5A158C&quot;/&gt;&lt;wsp:rsid wsp:val=&quot;4B5A31E5&quot;/&gt;&lt;wsp:rsid wsp:val=&quot;4B5A4F93&quot;/&gt;&lt;wsp:rsid wsp:val=&quot;4B5C0462&quot;/&gt;&lt;wsp:rsid wsp:val=&quot;4B5D43C3&quot;/&gt;&lt;wsp:rsid wsp:val=&quot;4B5E0F27&quot;/&gt;&lt;wsp:rsid wsp:val=&quot;4B5E27BB&quot;/&gt;&lt;wsp:rsid wsp:val=&quot;4B5F07FC&quot;/&gt;&lt;wsp:rsid wsp:val=&quot;4B5F25AA&quot;/&gt;&lt;wsp:rsid wsp:val=&quot;4B5F4CCF&quot;/&gt;&lt;wsp:rsid wsp:val=&quot;4B5F6A4E&quot;/&gt;&lt;wsp:rsid wsp:val=&quot;4B6422B6&quot;/&gt;&lt;wsp:rsid wsp:val=&quot;4B645E12&quot;/&gt;&lt;wsp:rsid wsp:val=&quot;4B661B8A&quot;/&gt;&lt;wsp:rsid wsp:val=&quot;4B685902&quot;/&gt;&lt;wsp:rsid wsp:val=&quot;4B690F9E&quot;/&gt;&lt;wsp:rsid wsp:val=&quot;4B6978CC&quot;/&gt;&lt;wsp:rsid wsp:val=&quot;4B6C2A28&quot;/&gt;&lt;wsp:rsid wsp:val=&quot;4B6E6C91&quot;/&gt;&lt;wsp:rsid wsp:val=&quot;4B700C5B&quot;/&gt;&lt;wsp:rsid wsp:val=&quot;4B702839&quot;/&gt;&lt;wsp:rsid wsp:val=&quot;4B713CC9&quot;/&gt;&lt;wsp:rsid wsp:val=&quot;4B720F60&quot;/&gt;&lt;wsp:rsid wsp:val=&quot;4B726781&quot;/&gt;&lt;wsp:rsid wsp:val=&quot;4B731338&quot;/&gt;&lt;wsp:rsid wsp:val=&quot;4B75001F&quot;/&gt;&lt;wsp:rsid wsp:val=&quot;4B771FE9&quot;/&gt;&lt;wsp:rsid wsp:val=&quot;4B773D97&quot;/&gt;&lt;wsp:rsid wsp:val=&quot;4B775B45&quot;/&gt;&lt;wsp:rsid wsp:val=&quot;4B7763FA&quot;/&gt;&lt;wsp:rsid wsp:val=&quot;4B7818BD&quot;/&gt;&lt;wsp:rsid wsp:val=&quot;4B7A5635&quot;/&gt;&lt;wsp:rsid wsp:val=&quot;4B7C315C&quot;/&gt;&lt;wsp:rsid wsp:val=&quot;4B7D0C82&quot;/&gt;&lt;wsp:rsid wsp:val=&quot;4B7D6ED4&quot;/&gt;&lt;wsp:rsid wsp:val=&quot;4B7E5126&quot;/&gt;&lt;wsp:rsid wsp:val=&quot;4B7F0E9E&quot;/&gt;&lt;wsp:rsid wsp:val=&quot;4B7F49FA&quot;/&gt;&lt;wsp:rsid wsp:val=&quot;4B802B6C&quot;/&gt;&lt;wsp:rsid wsp:val=&quot;4B814C16&quot;/&gt;&lt;wsp:rsid wsp:val=&quot;4B8169C4&quot;/&gt;&lt;wsp:rsid wsp:val=&quot;4B840262&quot;/&gt;&lt;wsp:rsid wsp:val=&quot;4B840CAF&quot;/&gt;&lt;wsp:rsid wsp:val=&quot;4B865D88&quot;/&gt;&lt;wsp:rsid wsp:val=&quot;4B87246A&quot;/&gt;&lt;wsp:rsid wsp:val=&quot;4B8767C0&quot;/&gt;&lt;wsp:rsid wsp:val=&quot;4B877630&quot;/&gt;&lt;wsp:rsid wsp:val=&quot;4B885FA4&quot;/&gt;&lt;wsp:rsid wsp:val=&quot;4B887D52&quot;/&gt;&lt;wsp:rsid wsp:val=&quot;4B896A9B&quot;/&gt;&lt;wsp:rsid wsp:val=&quot;4B8A1D1C&quot;/&gt;&lt;wsp:rsid wsp:val=&quot;4B8B7843&quot;/&gt;&lt;wsp:rsid wsp:val=&quot;4B8E10E1&quot;/&gt;&lt;wsp:rsid wsp:val=&quot;4B8F4681&quot;/&gt;&lt;wsp:rsid wsp:val=&quot;4B8F7333&quot;/&gt;&lt;wsp:rsid wsp:val=&quot;4B92297F&quot;/&gt;&lt;wsp:rsid wsp:val=&quot;4B92472D&quot;/&gt;&lt;wsp:rsid wsp:val=&quot;4B9366F7&quot;/&gt;&lt;wsp:rsid wsp:val=&quot;4B941C34&quot;/&gt;&lt;wsp:rsid wsp:val=&quot;4B944949&quot;/&gt;&lt;wsp:rsid wsp:val=&quot;4B95421D&quot;/&gt;&lt;wsp:rsid wsp:val=&quot;4B971D44&quot;/&gt;&lt;wsp:rsid wsp:val=&quot;4B9761E7&quot;/&gt;&lt;wsp:rsid wsp:val=&quot;4B983D0E&quot;/&gt;&lt;wsp:rsid wsp:val=&quot;4B985ABC&quot;/&gt;&lt;wsp:rsid wsp:val=&quot;4B99071D&quot;/&gt;&lt;wsp:rsid wsp:val=&quot;4B991F60&quot;/&gt;&lt;wsp:rsid wsp:val=&quot;4B9A5CD8&quot;/&gt;&lt;wsp:rsid wsp:val=&quot;4B9C1A50&quot;/&gt;&lt;wsp:rsid wsp:val=&quot;4B9E1324&quot;/&gt;&lt;wsp:rsid wsp:val=&quot;4BA17066&quot;/&gt;&lt;wsp:rsid wsp:val=&quot;4BA206E8&quot;/&gt;&lt;wsp:rsid wsp:val=&quot;4BA21C67&quot;/&gt;&lt;wsp:rsid wsp:val=&quot;4BA33D39&quot;/&gt;&lt;wsp:rsid wsp:val=&quot;4BA40904&quot;/&gt;&lt;wsp:rsid wsp:val=&quot;4BA44460&quot;/&gt;&lt;wsp:rsid wsp:val=&quot;4BA52BB9&quot;/&gt;&lt;wsp:rsid wsp:val=&quot;4BA71C39&quot;/&gt;&lt;wsp:rsid wsp:val=&quot;4BA821A3&quot;/&gt;&lt;wsp:rsid wsp:val=&quot;4BA9153A&quot;/&gt;&lt;wsp:rsid wsp:val=&quot;4BA91A77&quot;/&gt;&lt;wsp:rsid wsp:val=&quot;4BA91AAB&quot;/&gt;&lt;wsp:rsid wsp:val=&quot;4BA970E3&quot;/&gt;&lt;wsp:rsid wsp:val=&quot;4BAD5EA2&quot;/&gt;&lt;wsp:rsid wsp:val=&quot;4BB02E05&quot;/&gt;&lt;wsp:rsid wsp:val=&quot;4BB30498&quot;/&gt;&lt;wsp:rsid wsp:val=&quot;4BB46D99&quot;/&gt;&lt;wsp:rsid wsp:val=&quot;4BB5511B&quot;/&gt;&lt;wsp:rsid wsp:val=&quot;4BB723E6&quot;/&gt;&lt;wsp:rsid wsp:val=&quot;4BB943B0&quot;/&gt;&lt;wsp:rsid wsp:val=&quot;4BBA1ED6&quot;/&gt;&lt;wsp:rsid wsp:val=&quot;4BBB2839&quot;/&gt;&lt;wsp:rsid wsp:val=&quot;4BBC369E&quot;/&gt;&lt;wsp:rsid wsp:val=&quot;4BBC79FC&quot;/&gt;&lt;wsp:rsid wsp:val=&quot;4BBF129A&quot;/&gt;&lt;wsp:rsid wsp:val=&quot;4BC114B6&quot;/&gt;&lt;wsp:rsid wsp:val=&quot;4BC13264&quot;/&gt;&lt;wsp:rsid wsp:val=&quot;4BC23325&quot;/&gt;&lt;wsp:rsid wsp:val=&quot;4BC44B03&quot;/&gt;&lt;wsp:rsid wsp:val=&quot;4BC52D55&quot;/&gt;&lt;wsp:rsid wsp:val=&quot;4BC61BE3&quot;/&gt;&lt;wsp:rsid wsp:val=&quot;4BC66ACD&quot;/&gt;&lt;wsp:rsid wsp:val=&quot;4BC82845&quot;/&gt;&lt;wsp:rsid wsp:val=&quot;4BCD39B7&quot;/&gt;&lt;wsp:rsid wsp:val=&quot;4BCE772F&quot;/&gt;&lt;wsp:rsid wsp:val=&quot;4BCF3BD3&quot;/&gt;&lt;wsp:rsid wsp:val=&quot;4BCF5981&quot;/&gt;&lt;wsp:rsid wsp:val=&quot;4BD016F9&quot;/&gt;&lt;wsp:rsid wsp:val=&quot;4BD034A7&quot;/&gt;&lt;wsp:rsid wsp:val=&quot;4BD25472&quot;/&gt;&lt;wsp:rsid wsp:val=&quot;4BD27220&quot;/&gt;&lt;wsp:rsid wsp:val=&quot;4BD411EA&quot;/&gt;&lt;wsp:rsid wsp:val=&quot;4BD55C61&quot;/&gt;&lt;wsp:rsid wsp:val=&quot;4BD72E77&quot;/&gt;&lt;wsp:rsid wsp:val=&quot;4BD76182&quot;/&gt;&lt;wsp:rsid wsp:val=&quot;4BDB2578&quot;/&gt;&lt;wsp:rsid wsp:val=&quot;4BDC1E4C&quot;/&gt;&lt;wsp:rsid wsp:val=&quot;4BDC3BFA&quot;/&gt;&lt;wsp:rsid wsp:val=&quot;4BDD789B&quot;/&gt;&lt;wsp:rsid wsp:val=&quot;4BDE0179&quot;/&gt;&lt;wsp:rsid wsp:val=&quot;4BE13124&quot;/&gt;&lt;wsp:rsid wsp:val=&quot;4BE156B5&quot;/&gt;&lt;wsp:rsid wsp:val=&quot;4BE16C8F&quot;/&gt;&lt;wsp:rsid wsp:val=&quot;4BE3142D&quot;/&gt;&lt;wsp:rsid wsp:val=&quot;4BE331DB&quot;/&gt;&lt;wsp:rsid wsp:val=&quot;4BE34F89&quot;/&gt;&lt;wsp:rsid wsp:val=&quot;4BE551A5&quot;/&gt;&lt;wsp:rsid wsp:val=&quot;4BE5547B&quot;/&gt;&lt;wsp:rsid wsp:val=&quot;4BE60F1D&quot;/&gt;&lt;wsp:rsid wsp:val=&quot;4BE807F1&quot;/&gt;&lt;wsp:rsid wsp:val=&quot;4BE8259F&quot;/&gt;&lt;wsp:rsid wsp:val=&quot;4BE86A43&quot;/&gt;&lt;wsp:rsid wsp:val=&quot;4BE965B6&quot;/&gt;&lt;wsp:rsid wsp:val=&quot;4BEA6BAD&quot;/&gt;&lt;wsp:rsid wsp:val=&quot;4BEB02E1&quot;/&gt;&lt;wsp:rsid wsp:val=&quot;4BEB208F&quot;/&gt;&lt;wsp:rsid wsp:val=&quot;4BEC2AF7&quot;/&gt;&lt;wsp:rsid wsp:val=&quot;4BED22AB&quot;/&gt;&lt;wsp:rsid wsp:val=&quot;4BED5E07&quot;/&gt;&lt;wsp:rsid wsp:val=&quot;4BEF7DD1&quot;/&gt;&lt;wsp:rsid wsp:val=&quot;4BF2341E&quot;/&gt;&lt;wsp:rsid wsp:val=&quot;4BF40CCA&quot;/&gt;&lt;wsp:rsid wsp:val=&quot;4BF43ADF&quot;/&gt;&lt;wsp:rsid wsp:val=&quot;4BF61160&quot;/&gt;&lt;wsp:rsid wsp:val=&quot;4BF663FF&quot;/&gt;&lt;wsp:rsid wsp:val=&quot;4BF70A34&quot;/&gt;&lt;wsp:rsid wsp:val=&quot;4BF9178D&quot;/&gt;&lt;wsp:rsid wsp:val=&quot;4BF929FE&quot;/&gt;&lt;wsp:rsid wsp:val=&quot;4BF947AC&quot;/&gt;&lt;wsp:rsid wsp:val=&quot;4BFA0524&quot;/&gt;&lt;wsp:rsid wsp:val=&quot;4BFA22D2&quot;/&gt;&lt;wsp:rsid wsp:val=&quot;4BFB6776&quot;/&gt;&lt;wsp:rsid wsp:val=&quot;4BFC29D2&quot;/&gt;&lt;wsp:rsid wsp:val=&quot;4BFF74B1&quot;/&gt;&lt;wsp:rsid wsp:val=&quot;4C001FDF&quot;/&gt;&lt;wsp:rsid wsp:val=&quot;4C013661&quot;/&gt;&lt;wsp:rsid wsp:val=&quot;4C017B05&quot;/&gt;&lt;wsp:rsid wsp:val=&quot;4C021DCA&quot;/&gt;&lt;wsp:rsid wsp:val=&quot;4C03387D&quot;/&gt;&lt;wsp:rsid wsp:val=&quot;4C03562B&quot;/&gt;&lt;wsp:rsid wsp:val=&quot;4C043151&quot;/&gt;&lt;wsp:rsid wsp:val=&quot;4C047F21&quot;/&gt;&lt;wsp:rsid wsp:val=&quot;4C0513A3&quot;/&gt;&lt;wsp:rsid wsp:val=&quot;4C0575F5&quot;/&gt;&lt;wsp:rsid wsp:val=&quot;4C066EC9&quot;/&gt;&lt;wsp:rsid wsp:val=&quot;4C075C03&quot;/&gt;&lt;wsp:rsid wsp:val=&quot;4C082C41&quot;/&gt;&lt;wsp:rsid wsp:val=&quot;4C0849EF&quot;/&gt;&lt;wsp:rsid wsp:val=&quot;4C0A5D05&quot;/&gt;&lt;wsp:rsid wsp:val=&quot;4C0A69B9&quot;/&gt;&lt;wsp:rsid wsp:val=&quot;4C0B44E0&quot;/&gt;&lt;wsp:rsid wsp:val=&quot;4C0D0258&quot;/&gt;&lt;wsp:rsid wsp:val=&quot;4C0D2006&quot;/&gt;&lt;wsp:rsid wsp:val=&quot;4C0F06E7&quot;/&gt;&lt;wsp:rsid wsp:val=&quot;4C1118B9&quot;/&gt;&lt;wsp:rsid wsp:val=&quot;4C123AC0&quot;/&gt;&lt;wsp:rsid wsp:val=&quot;4C15710C&quot;/&gt;&lt;wsp:rsid wsp:val=&quot;4C166E79&quot;/&gt;&lt;wsp:rsid wsp:val=&quot;4C1C493F&quot;/&gt;&lt;wsp:rsid wsp:val=&quot;4C1D417B&quot;/&gt;&lt;wsp:rsid wsp:val=&quot;4C213D03&quot;/&gt;&lt;wsp:rsid wsp:val=&quot;4C22541C&quot;/&gt;&lt;wsp:rsid wsp:val=&quot;4C231829&quot;/&gt;&lt;wsp:rsid wsp:val=&quot;4C2537F3&quot;/&gt;&lt;wsp:rsid wsp:val=&quot;4C26756B&quot;/&gt;&lt;wsp:rsid wsp:val=&quot;4C2757BD&quot;/&gt;&lt;wsp:rsid wsp:val=&quot;4C2B2638&quot;/&gt;&lt;wsp:rsid wsp:val=&quot;4C2B6930&quot;/&gt;&lt;wsp:rsid wsp:val=&quot;4C2B7D90&quot;/&gt;&lt;wsp:rsid wsp:val=&quot;4C2D08FA&quot;/&gt;&lt;wsp:rsid wsp:val=&quot;4C2D26A8&quot;/&gt;&lt;wsp:rsid wsp:val=&quot;4C2F6420&quot;/&gt;&lt;wsp:rsid wsp:val=&quot;4C312198&quot;/&gt;&lt;wsp:rsid wsp:val=&quot;4C32762D&quot;/&gt;&lt;wsp:rsid wsp:val=&quot;4C327CBE&quot;/&gt;&lt;wsp:rsid wsp:val=&quot;4C350CC1&quot;/&gt;&lt;wsp:rsid wsp:val=&quot;4C35155C&quot;/&gt;&lt;wsp:rsid wsp:val=&quot;4C386A69&quot;/&gt;&lt;wsp:rsid wsp:val=&quot;4C3954F1&quot;/&gt;&lt;wsp:rsid wsp:val=&quot;4C39729F&quot;/&gt;&lt;wsp:rsid wsp:val=&quot;4C3A4136&quot;/&gt;&lt;wsp:rsid wsp:val=&quot;4C3B4DC5&quot;/&gt;&lt;wsp:rsid wsp:val=&quot;4C3D7453&quot;/&gt;&lt;wsp:rsid wsp:val=&quot;4C3E48B5&quot;/&gt;&lt;wsp:rsid wsp:val=&quot;4C3F4944&quot;/&gt;&lt;wsp:rsid wsp:val=&quot;4C420F31&quot;/&gt;&lt;wsp:rsid wsp:val=&quot;4C4243A5&quot;/&gt;&lt;wsp:rsid wsp:val=&quot;4C42674D&quot;/&gt;&lt;wsp:rsid wsp:val=&quot;4C453E95&quot;/&gt;&lt;wsp:rsid wsp:val=&quot;4C4579F1&quot;/&gt;&lt;wsp:rsid wsp:val=&quot;4C4719BC&quot;/&gt;&lt;wsp:rsid wsp:val=&quot;4C481290&quot;/&gt;&lt;wsp:rsid wsp:val=&quot;4C487137&quot;/&gt;&lt;wsp:rsid wsp:val=&quot;4C4874E2&quot;/&gt;&lt;wsp:rsid wsp:val=&quot;4C4905C7&quot;/&gt;&lt;wsp:rsid wsp:val=&quot;4C4A0649&quot;/&gt;&lt;wsp:rsid wsp:val=&quot;4C4A5008&quot;/&gt;&lt;wsp:rsid wsp:val=&quot;4C4C4C60&quot;/&gt;&lt;wsp:rsid wsp:val=&quot;4C4C5224&quot;/&gt;&lt;wsp:rsid wsp:val=&quot;4C4C6FD2&quot;/&gt;&lt;wsp:rsid wsp:val=&quot;4C4D2D4A&quot;/&gt;&lt;wsp:rsid wsp:val=&quot;4C5145E8&quot;/&gt;&lt;wsp:rsid wsp:val=&quot;4C520360&quot;/&gt;&lt;wsp:rsid wsp:val=&quot;4C52192A&quot;/&gt;&lt;wsp:rsid wsp:val=&quot;4C545E87&quot;/&gt;&lt;wsp:rsid wsp:val=&quot;4C583BC9&quot;/&gt;&lt;wsp:rsid wsp:val=&quot;4C59524B&quot;/&gt;&lt;wsp:rsid wsp:val=&quot;4C5B0FC3&quot;/&gt;&lt;wsp:rsid wsp:val=&quot;4C5C30FA&quot;/&gt;&lt;wsp:rsid wsp:val=&quot;4C5C4D3B&quot;/&gt;&lt;wsp:rsid wsp:val=&quot;4C5D389F&quot;/&gt;&lt;wsp:rsid wsp:val=&quot;4C5E0AB3&quot;/&gt;&lt;wsp:rsid wsp:val=&quot;4C60511C&quot;/&gt;&lt;wsp:rsid wsp:val=&quot;4C612351&quot;/&gt;&lt;wsp:rsid wsp:val=&quot;4C61684E&quot;/&gt;&lt;wsp:rsid wsp:val=&quot;4C6351FA&quot;/&gt;&lt;wsp:rsid wsp:val=&quot;4C6360CA&quot;/&gt;&lt;wsp:rsid wsp:val=&quot;4C653BF0&quot;/&gt;&lt;wsp:rsid wsp:val=&quot;4C6629F9&quot;/&gt;&lt;wsp:rsid wsp:val=&quot;4C667968&quot;/&gt;&lt;wsp:rsid wsp:val=&quot;4C675BBA&quot;/&gt;&lt;wsp:rsid wsp:val=&quot;4C681932&quot;/&gt;&lt;wsp:rsid wsp:val=&quot;4C6836E0&quot;/&gt;&lt;wsp:rsid wsp:val=&quot;4C6875C8&quot;/&gt;&lt;wsp:rsid wsp:val=&quot;4C697BB1&quot;/&gt;&lt;wsp:rsid wsp:val=&quot;4C6A1A89&quot;/&gt;&lt;wsp:rsid wsp:val=&quot;4C6A38FC&quot;/&gt;&lt;wsp:rsid wsp:val=&quot;4C6A56AA&quot;/&gt;&lt;wsp:rsid wsp:val=&quot;4C6B6D2A&quot;/&gt;&lt;wsp:rsid wsp:val=&quot;4C6D6718&quot;/&gt;&lt;wsp:rsid wsp:val=&quot;4C6D75CC&quot;/&gt;&lt;wsp:rsid wsp:val=&quot;4C6F66CA&quot;/&gt;&lt;wsp:rsid wsp:val=&quot;4C7072A9&quot;/&gt;&lt;wsp:rsid wsp:val=&quot;4C7107E7&quot;/&gt;&lt;wsp:rsid wsp:val=&quot;4C716343&quot;/&gt;&lt;wsp:rsid wsp:val=&quot;4C7223A4&quot;/&gt;&lt;wsp:rsid wsp:val=&quot;4C72455F&quot;/&gt;&lt;wsp:rsid wsp:val=&quot;4C7327B1&quot;/&gt;&lt;wsp:rsid wsp:val=&quot;4C7402D7&quot;/&gt;&lt;wsp:rsid wsp:val=&quot;4C746529&quot;/&gt;&lt;wsp:rsid wsp:val=&quot;4C755810&quot;/&gt;&lt;wsp:rsid wsp:val=&quot;4C765DFD&quot;/&gt;&lt;wsp:rsid wsp:val=&quot;4C771B75&quot;/&gt;&lt;wsp:rsid wsp:val=&quot;4C787DC7&quot;/&gt;&lt;wsp:rsid wsp:val=&quot;4C7C3456&quot;/&gt;&lt;wsp:rsid wsp:val=&quot;4C7C718B&quot;/&gt;&lt;wsp:rsid wsp:val=&quot;4C7D53DD&quot;/&gt;&lt;wsp:rsid wsp:val=&quot;4C7E1155&quot;/&gt;&lt;wsp:rsid wsp:val=&quot;4C7E5ECA&quot;/&gt;&lt;wsp:rsid wsp:val=&quot;4C800A2A&quot;/&gt;&lt;wsp:rsid wsp:val=&quot;4C8229F4&quot;/&gt;&lt;wsp:rsid wsp:val=&quot;4C83051A&quot;/&gt;&lt;wsp:rsid wsp:val=&quot;4C830758&quot;/&gt;&lt;wsp:rsid wsp:val=&quot;4C83676C&quot;/&gt;&lt;wsp:rsid wsp:val=&quot;4C846497&quot;/&gt;&lt;wsp:rsid wsp:val=&quot;4C8524E4&quot;/&gt;&lt;wsp:rsid wsp:val=&quot;4C876AA5&quot;/&gt;&lt;wsp:rsid wsp:val=&quot;4C885B30&quot;/&gt;&lt;wsp:rsid wsp:val=&quot;4C8A18A8&quot;/&gt;&lt;wsp:rsid wsp:val=&quot;4C8A5D4C&quot;/&gt;&lt;wsp:rsid wsp:val=&quot;4C8C5620&quot;/&gt;&lt;wsp:rsid wsp:val=&quot;4C8C73CE&quot;/&gt;&lt;wsp:rsid wsp:val=&quot;4C8D1398&quot;/&gt;&lt;wsp:rsid wsp:val=&quot;4C8E1C01&quot;/&gt;&lt;wsp:rsid wsp:val=&quot;4C8E6385&quot;/&gt;&lt;wsp:rsid wsp:val=&quot;4C8E75EA&quot;/&gt;&lt;wsp:rsid wsp:val=&quot;4C8F3363&quot;/&gt;&lt;wsp:rsid wsp:val=&quot;4C8F5111&quot;/&gt;&lt;wsp:rsid wsp:val=&quot;4C910CDE&quot;/&gt;&lt;wsp:rsid wsp:val=&quot;4C912C37&quot;/&gt;&lt;wsp:rsid wsp:val=&quot;4C9149E5&quot;/&gt;&lt;wsp:rsid wsp:val=&quot;4C92075D&quot;/&gt;&lt;wsp:rsid wsp:val=&quot;4C96451A&quot;/&gt;&lt;wsp:rsid wsp:val=&quot;4C982217&quot;/&gt;&lt;wsp:rsid wsp:val=&quot;4C98712A&quot;/&gt;&lt;wsp:rsid wsp:val=&quot;4C9946C1&quot;/&gt;&lt;wsp:rsid wsp:val=&quot;4C9954BD&quot;/&gt;&lt;wsp:rsid wsp:val=&quot;4C995F8F&quot;/&gt;&lt;wsp:rsid wsp:val=&quot;4C9D782D&quot;/&gt;&lt;wsp:rsid wsp:val=&quot;4C9E5354&quot;/&gt;&lt;wsp:rsid wsp:val=&quot;4CA23096&quot;/&gt;&lt;wsp:rsid wsp:val=&quot;4CA3296A&quot;/&gt;&lt;wsp:rsid wsp:val=&quot;4CA46E0E&quot;/&gt;&lt;wsp:rsid wsp:val=&quot;4CA566E2&quot;/&gt;&lt;wsp:rsid wsp:val=&quot;4CA94424&quot;/&gt;&lt;wsp:rsid wsp:val=&quot;4CAA3CF8&quot;/&gt;&lt;wsp:rsid wsp:val=&quot;4CAA6CED&quot;/&gt;&lt;wsp:rsid wsp:val=&quot;4CAC1679&quot;/&gt;&lt;wsp:rsid wsp:val=&quot;4CAC7A71&quot;/&gt;&lt;wsp:rsid wsp:val=&quot;4CAF57B3&quot;/&gt;&lt;wsp:rsid wsp:val=&quot;4CB132D9&quot;/&gt;&lt;wsp:rsid wsp:val=&quot;4CB15087&quot;/&gt;&lt;wsp:rsid wsp:val=&quot;4CB16E35&quot;/&gt;&lt;wsp:rsid wsp:val=&quot;4CB22BAD&quot;/&gt;&lt;wsp:rsid wsp:val=&quot;4CB30DFF&quot;/&gt;&lt;wsp:rsid wsp:val=&quot;4CB42DC9&quot;/&gt;&lt;wsp:rsid wsp:val=&quot;4CB44B77&quot;/&gt;&lt;wsp:rsid wsp:val=&quot;4CB77211&quot;/&gt;&lt;wsp:rsid wsp:val=&quot;4CB86415&quot;/&gt;&lt;wsp:rsid wsp:val=&quot;4CB964AE&quot;/&gt;&lt;wsp:rsid wsp:val=&quot;4CBA03DF&quot;/&gt;&lt;wsp:rsid wsp:val=&quot;4CBA1E8E&quot;/&gt;&lt;wsp:rsid wsp:val=&quot;4CBB4158&quot;/&gt;&lt;wsp:rsid wsp:val=&quot;4CBB56D2&quot;/&gt;&lt;wsp:rsid wsp:val=&quot;4CBD1C7E&quot;/&gt;&lt;wsp:rsid wsp:val=&quot;4CC21042&quot;/&gt;&lt;wsp:rsid wsp:val=&quot;4CC254E6&quot;/&gt;&lt;wsp:rsid wsp:val=&quot;4CC27294&quot;/&gt;&lt;wsp:rsid wsp:val=&quot;4CC41C4C&quot;/&gt;&lt;wsp:rsid wsp:val=&quot;4CC530DC&quot;/&gt;&lt;wsp:rsid wsp:val=&quot;4CC56D84&quot;/&gt;&lt;wsp:rsid wsp:val=&quot;4CC759FC&quot;/&gt;&lt;wsp:rsid wsp:val=&quot;4CC76658&quot;/&gt;&lt;wsp:rsid wsp:val=&quot;4CCA6149&quot;/&gt;&lt;wsp:rsid wsp:val=&quot;4CCE5C39&quot;/&gt;&lt;wsp:rsid wsp:val=&quot;4CCE79E7&quot;/&gt;&lt;wsp:rsid wsp:val=&quot;4CD174D7&quot;/&gt;&lt;wsp:rsid wsp:val=&quot;4CD55219&quot;/&gt;&lt;wsp:rsid wsp:val=&quot;4CD75362&quot;/&gt;&lt;wsp:rsid wsp:val=&quot;4CD86981&quot;/&gt;&lt;wsp:rsid wsp:val=&quot;4CD945DE&quot;/&gt;&lt;wsp:rsid wsp:val=&quot;4CD9638C&quot;/&gt;&lt;wsp:rsid wsp:val=&quot;4CDA2830&quot;/&gt;&lt;wsp:rsid wsp:val=&quot;4CDB65A8&quot;/&gt;&lt;wsp:rsid wsp:val=&quot;4CDB69D9&quot;/&gt;&lt;wsp:rsid wsp:val=&quot;4CDF6854&quot;/&gt;&lt;wsp:rsid wsp:val=&quot;4CE0596C&quot;/&gt;&lt;wsp:rsid wsp:val=&quot;4CE0733C&quot;/&gt;&lt;wsp:rsid wsp:val=&quot;4CE0771A&quot;/&gt;&lt;wsp:rsid wsp:val=&quot;4CE16DED&quot;/&gt;&lt;wsp:rsid wsp:val=&quot;4CE216E4&quot;/&gt;&lt;wsp:rsid wsp:val=&quot;4CE27936&quot;/&gt;&lt;wsp:rsid wsp:val=&quot;4CE81E37&quot;/&gt;&lt;wsp:rsid wsp:val=&quot;4CE865CF&quot;/&gt;&lt;wsp:rsid wsp:val=&quot;4CE90CC5&quot;/&gt;&lt;wsp:rsid wsp:val=&quot;4CEA0599&quot;/&gt;&lt;wsp:rsid wsp:val=&quot;4CEC4311&quot;/&gt;&lt;wsp:rsid wsp:val=&quot;4CEC60BF&quot;/&gt;&lt;wsp:rsid wsp:val=&quot;4CEC79C8&quot;/&gt;&lt;wsp:rsid wsp:val=&quot;4CEE62DB&quot;/&gt;&lt;wsp:rsid wsp:val=&quot;4CEE7DBE&quot;/&gt;&lt;wsp:rsid wsp:val=&quot;4CEF795D&quot;/&gt;&lt;wsp:rsid wsp:val=&quot;4CF11927&quot;/&gt;&lt;wsp:rsid wsp:val=&quot;4CF13A14&quot;/&gt;&lt;wsp:rsid wsp:val=&quot;4CF3744D&quot;/&gt;&lt;wsp:rsid wsp:val=&quot;4CF46BEE&quot;/&gt;&lt;wsp:rsid wsp:val=&quot;4CF4713F&quot;/&gt;&lt;wsp:rsid wsp:val=&quot;4CF663D4&quot;/&gt;&lt;wsp:rsid wsp:val=&quot;4CF74ADB&quot;/&gt;&lt;wsp:rsid wsp:val=&quot;4CFB27A6&quot;/&gt;&lt;wsp:rsid wsp:val=&quot;4CFB6302&quot;/&gt;&lt;wsp:rsid wsp:val=&quot;4CFD1DDD&quot;/&gt;&lt;wsp:rsid wsp:val=&quot;4CFD720C&quot;/&gt;&lt;wsp:rsid wsp:val=&quot;4D001B6A&quot;/&gt;&lt;wsp:rsid wsp:val=&quot;4D023B34&quot;/&gt;&lt;wsp:rsid wsp:val=&quot;4D04165B&quot;/&gt;&lt;wsp:rsid wsp:val=&quot;4D04450E&quot;/&gt;&lt;wsp:rsid wsp:val=&quot;4D0478AD&quot;/&gt;&lt;wsp:rsid wsp:val=&quot;4D0A1ACF&quot;/&gt;&lt;wsp:rsid wsp:val=&quot;4D0A29E9&quot;/&gt;&lt;wsp:rsid wsp:val=&quot;4D0A5EC9&quot;/&gt;&lt;wsp:rsid wsp:val=&quot;4D0C4110&quot;/&gt;&lt;wsp:rsid wsp:val=&quot;4D0E00FB&quot;/&gt;&lt;wsp:rsid wsp:val=&quot;4D0E24D9&quot;/&gt;&lt;wsp:rsid wsp:val=&quot;4D111FCA&quot;/&gt;&lt;wsp:rsid wsp:val=&quot;4D115B26&quot;/&gt;&lt;wsp:rsid wsp:val=&quot;4D130759&quot;/&gt;&lt;wsp:rsid wsp:val=&quot;4D13189E&quot;/&gt;&lt;wsp:rsid wsp:val=&quot;4D135D42&quot;/&gt;&lt;wsp:rsid wsp:val=&quot;4D151ABA&quot;/&gt;&lt;wsp:rsid wsp:val=&quot;4D16138E&quot;/&gt;&lt;wsp:rsid wsp:val=&quot;4D16313C&quot;/&gt;&lt;wsp:rsid wsp:val=&quot;4D172984&quot;/&gt;&lt;wsp:rsid wsp:val=&quot;4D176606&quot;/&gt;&lt;wsp:rsid wsp:val=&quot;4D184E23&quot;/&gt;&lt;wsp:rsid wsp:val=&quot;4D186EB4&quot;/&gt;&lt;wsp:rsid wsp:val=&quot;4D197E75&quot;/&gt;&lt;wsp:rsid wsp:val=&quot;4D1A0E7E&quot;/&gt;&lt;wsp:rsid wsp:val=&quot;4D1B0752&quot;/&gt;&lt;wsp:rsid wsp:val=&quot;4D1B3ED6&quot;/&gt;&lt;wsp:rsid wsp:val=&quot;4D1B69A4&quot;/&gt;&lt;wsp:rsid wsp:val=&quot;4D1D271C&quot;/&gt;&lt;wsp:rsid wsp:val=&quot;4D1D44CA&quot;/&gt;&lt;wsp:rsid wsp:val=&quot;4D1E57A1&quot;/&gt;&lt;wsp:rsid wsp:val=&quot;4D225F85&quot;/&gt;&lt;wsp:rsid wsp:val=&quot;4D227D33&quot;/&gt;&lt;wsp:rsid wsp:val=&quot;4D232668&quot;/&gt;&lt;wsp:rsid wsp:val=&quot;4D241CFD&quot;/&gt;&lt;wsp:rsid wsp:val=&quot;4D243AAB&quot;/&gt;&lt;wsp:rsid wsp:val=&quot;4D2515D1&quot;/&gt;&lt;wsp:rsid wsp:val=&quot;4D27359B&quot;/&gt;&lt;wsp:rsid wsp:val=&quot;4D275349&quot;/&gt;&lt;wsp:rsid wsp:val=&quot;4D2910C1&quot;/&gt;&lt;wsp:rsid wsp:val=&quot;4D2A6BE7&quot;/&gt;&lt;wsp:rsid wsp:val=&quot;4D2C08F7&quot;/&gt;&lt;wsp:rsid wsp:val=&quot;4D2C0BB1&quot;/&gt;&lt;wsp:rsid wsp:val=&quot;4D2E2B7B&quot;/&gt;&lt;wsp:rsid wsp:val=&quot;4D2F41FE&quot;/&gt;&lt;wsp:rsid wsp:val=&quot;4D303567&quot;/&gt;&lt;wsp:rsid wsp:val=&quot;4D330192&quot;/&gt;&lt;wsp:rsid wsp:val=&quot;4D333CEE&quot;/&gt;&lt;wsp:rsid wsp:val=&quot;4D341EAC&quot;/&gt;&lt;wsp:rsid wsp:val=&quot;4D360ADE&quot;/&gt;&lt;wsp:rsid wsp:val=&quot;4D3637DE&quot;/&gt;&lt;wsp:rsid wsp:val=&quot;4D36558C&quot;/&gt;&lt;wsp:rsid wsp:val=&quot;4D371A30&quot;/&gt;&lt;wsp:rsid wsp:val=&quot;4D381304&quot;/&gt;&lt;wsp:rsid wsp:val=&quot;4D387556&quot;/&gt;&lt;wsp:rsid wsp:val=&quot;4D3A507C&quot;/&gt;&lt;wsp:rsid wsp:val=&quot;4D3A5CC6&quot;/&gt;&lt;wsp:rsid wsp:val=&quot;4D3D4B6D&quot;/&gt;&lt;wsp:rsid wsp:val=&quot;4D3F1034&quot;/&gt;&lt;wsp:rsid wsp:val=&quot;4D3F6B37&quot;/&gt;&lt;wsp:rsid wsp:val=&quot;4D4001B9&quot;/&gt;&lt;wsp:rsid wsp:val=&quot;4D41465D&quot;/&gt;&lt;wsp:rsid wsp:val=&quot;4D422183&quot;/&gt;&lt;wsp:rsid wsp:val=&quot;4D4372D2&quot;/&gt;&lt;wsp:rsid wsp:val=&quot;4D467EC5&quot;/&gt;&lt;wsp:rsid wsp:val=&quot;4D47054C&quot;/&gt;&lt;wsp:rsid wsp:val=&quot;4D471547&quot;/&gt;&lt;wsp:rsid wsp:val=&quot;4D4759EB&quot;/&gt;&lt;wsp:rsid wsp:val=&quot;4D477042&quot;/&gt;&lt;wsp:rsid wsp:val=&quot;4D482FBD&quot;/&gt;&lt;wsp:rsid wsp:val=&quot;4D493511&quot;/&gt;&lt;wsp:rsid wsp:val=&quot;4D4C15C3&quot;/&gt;&lt;wsp:rsid wsp:val=&quot;4D4C3002&quot;/&gt;&lt;wsp:rsid wsp:val=&quot;4D502B15&quot;/&gt;&lt;wsp:rsid wsp:val=&quot;4D510618&quot;/&gt;&lt;wsp:rsid wsp:val=&quot;4D5123C6&quot;/&gt;&lt;wsp:rsid wsp:val=&quot;4D5325E2&quot;/&gt;&lt;wsp:rsid wsp:val=&quot;4D534390&quot;/&gt;&lt;wsp:rsid wsp:val=&quot;4D551EB6&quot;/&gt;&lt;wsp:rsid wsp:val=&quot;4D5679DC&quot;/&gt;&lt;wsp:rsid wsp:val=&quot;4D5812A7&quot;/&gt;&lt;wsp:rsid wsp:val=&quot;4D5819A6&quot;/&gt;&lt;wsp:rsid wsp:val=&quot;4D583754&quot;/&gt;&lt;wsp:rsid wsp:val=&quot;4D595308&quot;/&gt;&lt;wsp:rsid wsp:val=&quot;4D5B4FF3&quot;/&gt;&lt;wsp:rsid wsp:val=&quot;4D5D0D6B&quot;/&gt;&lt;wsp:rsid wsp:val=&quot;4D5F4AE3&quot;/&gt;&lt;wsp:rsid wsp:val=&quot;4D602609&quot;/&gt;&lt;wsp:rsid wsp:val=&quot;4D622825&quot;/&gt;&lt;wsp:rsid wsp:val=&quot;4D6420F9&quot;/&gt;&lt;wsp:rsid wsp:val=&quot;4D64659D&quot;/&gt;&lt;wsp:rsid wsp:val=&quot;4D671BE9&quot;/&gt;&lt;wsp:rsid wsp:val=&quot;4D673998&quot;/&gt;&lt;wsp:rsid wsp:val=&quot;4D677E3B&quot;/&gt;&lt;wsp:rsid wsp:val=&quot;4D685965&quot;/&gt;&lt;wsp:rsid wsp:val=&quot;4D693BB4&quot;/&gt;&lt;wsp:rsid wsp:val=&quot;4D697710&quot;/&gt;&lt;wsp:rsid wsp:val=&quot;4D6A36BC&quot;/&gt;&lt;wsp:rsid wsp:val=&quot;4D6B16DA&quot;/&gt;&lt;wsp:rsid wsp:val=&quot;4D6B771C&quot;/&gt;&lt;wsp:rsid wsp:val=&quot;4D6C0FAE&quot;/&gt;&lt;wsp:rsid wsp:val=&quot;4D6D36A4&quot;/&gt;&lt;wsp:rsid wsp:val=&quot;4D6E34CC&quot;/&gt;&lt;wsp:rsid wsp:val=&quot;4D6E4D26&quot;/&gt;&lt;wsp:rsid wsp:val=&quot;4D6E5365&quot;/&gt;&lt;wsp:rsid wsp:val=&quot;4D6F076B&quot;/&gt;&lt;wsp:rsid wsp:val=&quot;4D6F25CD&quot;/&gt;&lt;wsp:rsid wsp:val=&quot;4D714816&quot;/&gt;&lt;wsp:rsid wsp:val=&quot;4D722A68&quot;/&gt;&lt;wsp:rsid wsp:val=&quot;4D735EAE&quot;/&gt;&lt;wsp:rsid wsp:val=&quot;4D754306&quot;/&gt;&lt;wsp:rsid wsp:val=&quot;4D761E2D&quot;/&gt;&lt;wsp:rsid wsp:val=&quot;4D7762D0&quot;/&gt;&lt;wsp:rsid wsp:val=&quot;4D782049&quot;/&gt;&lt;wsp:rsid wsp:val=&quot;4D7A31B0&quot;/&gt;&lt;wsp:rsid wsp:val=&quot;4D7A36CB&quot;/&gt;&lt;wsp:rsid wsp:val=&quot;4D7A7B6F&quot;/&gt;&lt;wsp:rsid wsp:val=&quot;4D7C5695&quot;/&gt;&lt;wsp:rsid wsp:val=&quot;4D7D1B31&quot;/&gt;&lt;wsp:rsid wsp:val=&quot;4D7E765F&quot;/&gt;&lt;wsp:rsid wsp:val=&quot;4D7F3A3B&quot;/&gt;&lt;wsp:rsid wsp:val=&quot;4D806341&quot;/&gt;&lt;wsp:rsid wsp:val=&quot;4D813481&quot;/&gt;&lt;wsp:rsid wsp:val=&quot;4D8207D1&quot;/&gt;&lt;wsp:rsid wsp:val=&quot;4D822DD2&quot;/&gt;&lt;wsp:rsid wsp:val=&quot;4D825583&quot;/&gt;&lt;wsp:rsid wsp:val=&quot;4D84279B&quot;/&gt;&lt;wsp:rsid wsp:val=&quot;4D852E94&quot;/&gt;&lt;wsp:rsid wsp:val=&quot;4D866514&quot;/&gt;&lt;wsp:rsid wsp:val=&quot;4D8B3B2A&quot;/&gt;&lt;wsp:rsid wsp:val=&quot;4D8B6D96&quot;/&gt;&lt;wsp:rsid wsp:val=&quot;4D8D78A2&quot;/&gt;&lt;wsp:rsid wsp:val=&quot;4D8E2F9D&quot;/&gt;&lt;wsp:rsid wsp:val=&quot;4D8E6015&quot;/&gt;&lt;wsp:rsid wsp:val=&quot;4D8F4CCD&quot;/&gt;&lt;wsp:rsid wsp:val=&quot;4D907392&quot;/&gt;&lt;wsp:rsid wsp:val=&quot;4D907FA7&quot;/&gt;&lt;wsp:rsid wsp:val=&quot;4D926C66&quot;/&gt;&lt;wsp:rsid wsp:val=&quot;4D970721&quot;/&gt;&lt;wsp:rsid wsp:val=&quot;4D9724CF&quot;/&gt;&lt;wsp:rsid wsp:val=&quot;4D987FF5&quot;/&gt;&lt;wsp:rsid wsp:val=&quot;4D9A1059&quot;/&gt;&lt;wsp:rsid wsp:val=&quot;4D9A1FBF&quot;/&gt;&lt;wsp:rsid wsp:val=&quot;4D9C1893&quot;/&gt;&lt;wsp:rsid wsp:val=&quot;4DA05427&quot;/&gt;&lt;wsp:rsid wsp:val=&quot;4DA10348&quot;/&gt;&lt;wsp:rsid wsp:val=&quot;4DA10F2C&quot;/&gt;&lt;wsp:rsid wsp:val=&quot;4DA1334D&quot;/&gt;&lt;wsp:rsid wsp:val=&quot;4DA347FE&quot;/&gt;&lt;wsp:rsid wsp:val=&quot;4DA42E3E&quot;/&gt;&lt;wsp:rsid wsp:val=&quot;4DA62712&quot;/&gt;&lt;wsp:rsid wsp:val=&quot;4DA8648A&quot;/&gt;&lt;wsp:rsid wsp:val=&quot;4DA90454&quot;/&gt;&lt;wsp:rsid wsp:val=&quot;4DA92202&quot;/&gt;&lt;wsp:rsid wsp:val=&quot;4DAB24E9&quot;/&gt;&lt;wsp:rsid wsp:val=&quot;4DAB7D28&quot;/&gt;&lt;wsp:rsid wsp:val=&quot;4DAE5A6A&quot;/&gt;&lt;wsp:rsid wsp:val=&quot;4DB12E65&quot;/&gt;&lt;wsp:rsid wsp:val=&quot;4DB43081&quot;/&gt;&lt;wsp:rsid wsp:val=&quot;4DB72B71&quot;/&gt;&lt;wsp:rsid wsp:val=&quot;4DB7491F&quot;/&gt;&lt;wsp:rsid wsp:val=&quot;4DB766CD&quot;/&gt;&lt;wsp:rsid wsp:val=&quot;4DBA440F&quot;/&gt;&lt;wsp:rsid wsp:val=&quot;4DBC3CE3&quot;/&gt;&lt;wsp:rsid wsp:val=&quot;4DBF37D4&quot;/&gt;&lt;wsp:rsid wsp:val=&quot;4DC02D74&quot;/&gt;&lt;wsp:rsid wsp:val=&quot;4DC1754C&quot;/&gt;&lt;wsp:rsid wsp:val=&quot;4DC40DEA&quot;/&gt;&lt;wsp:rsid wsp:val=&quot;4DC4528E&quot;/&gt;&lt;wsp:rsid wsp:val=&quot;4DC66910&quot;/&gt;&lt;wsp:rsid wsp:val=&quot;4DC808DA&quot;/&gt;&lt;wsp:rsid wsp:val=&quot;4DC87525&quot;/&gt;&lt;wsp:rsid wsp:val=&quot;4DC92B2E&quot;/&gt;&lt;wsp:rsid wsp:val=&quot;4DCA432E&quot;/&gt;&lt;wsp:rsid wsp:val=&quot;4DCB25E8&quot;/&gt;&lt;wsp:rsid wsp:val=&quot;4DCB2A58&quot;/&gt;&lt;wsp:rsid wsp:val=&quot;4DCB3F26&quot;/&gt;&lt;wsp:rsid wsp:val=&quot;4DCD4142&quot;/&gt;&lt;wsp:rsid wsp:val=&quot;4DCD5EF0&quot;/&gt;&lt;wsp:rsid wsp:val=&quot;4DCE3A17&quot;/&gt;&lt;wsp:rsid wsp:val=&quot;4DD03170&quot;/&gt;&lt;wsp:rsid wsp:val=&quot;4DD27D5A&quot;/&gt;&lt;wsp:rsid wsp:val=&quot;4DD31631&quot;/&gt;&lt;wsp:rsid wsp:val=&quot;4DD3727F&quot;/&gt;&lt;wsp:rsid wsp:val=&quot;4DD4267A&quot;/&gt;&lt;wsp:rsid wsp:val=&quot;4DD83BCC&quot;/&gt;&lt;wsp:rsid wsp:val=&quot;4DDA23BB&quot;/&gt;&lt;wsp:rsid wsp:val=&quot;4DDC6134&quot;/&gt;&lt;wsp:rsid wsp:val=&quot;4DDD390C&quot;/&gt;&lt;wsp:rsid wsp:val=&quot;4DDE00FE&quot;/&gt;&lt;wsp:rsid wsp:val=&quot;4DDE7A3E&quot;/&gt;&lt;wsp:rsid wsp:val=&quot;4DE1199C&quot;/&gt;&lt;wsp:rsid wsp:val=&quot;4DE30CDF&quot;/&gt;&lt;wsp:rsid wsp:val=&quot;4DE35714&quot;/&gt;&lt;wsp:rsid wsp:val=&quot;4DE66FB2&quot;/&gt;&lt;wsp:rsid wsp:val=&quot;4DE730E2&quot;/&gt;&lt;wsp:rsid wsp:val=&quot;4DE82D2A&quot;/&gt;&lt;wsp:rsid wsp:val=&quot;4DEA4CF4&quot;/&gt;&lt;wsp:rsid wsp:val=&quot;4DEB281B&quot;/&gt;&lt;wsp:rsid wsp:val=&quot;4DEC4FB0&quot;/&gt;&lt;wsp:rsid wsp:val=&quot;4DED6593&quot;/&gt;&lt;wsp:rsid wsp:val=&quot;4DF15EB4&quot;/&gt;&lt;wsp:rsid wsp:val=&quot;4DF257A0&quot;/&gt;&lt;wsp:rsid wsp:val=&quot;4DF55447&quot;/&gt;&lt;wsp:rsid wsp:val=&quot;4DF65033&quot;/&gt;&lt;wsp:rsid wsp:val=&quot;4DF711BF&quot;/&gt;&lt;wsp:rsid wsp:val=&quot;4DF72F6D&quot;/&gt;&lt;wsp:rsid wsp:val=&quot;4DF74D1B&quot;/&gt;&lt;wsp:rsid wsp:val=&quot;4DF94F37&quot;/&gt;&lt;wsp:rsid wsp:val=&quot;4DF96CE5&quot;/&gt;&lt;wsp:rsid wsp:val=&quot;4DF96ED8&quot;/&gt;&lt;wsp:rsid wsp:val=&quot;4DFA0CB0&quot;/&gt;&lt;wsp:rsid wsp:val=&quot;4DFE254E&quot;/&gt;&lt;wsp:rsid wsp:val=&quot;4DFE42FC&quot;/&gt;&lt;wsp:rsid wsp:val=&quot;4DFE60AA&quot;/&gt;&lt;wsp:rsid wsp:val=&quot;4E00603F&quot;/&gt;&lt;wsp:rsid wsp:val=&quot;4E0062C6&quot;/&gt;&lt;wsp:rsid wsp:val=&quot;4E01203E&quot;/&gt;&lt;wsp:rsid wsp:val=&quot;4E013DEC&quot;/&gt;&lt;wsp:rsid wsp:val=&quot;4E04568A&quot;/&gt;&lt;wsp:rsid wsp:val=&quot;4E047438&quot;/&gt;&lt;wsp:rsid wsp:val=&quot;4E05638D&quot;/&gt;&lt;wsp:rsid wsp:val=&quot;4E074D6D&quot;/&gt;&lt;wsp:rsid wsp:val=&quot;4E075D8A&quot;/&gt;&lt;wsp:rsid wsp:val=&quot;4E08517B&quot;/&gt;&lt;wsp:rsid wsp:val=&quot;4E0A0EF3&quot;/&gt;&lt;wsp:rsid wsp:val=&quot;4E0B07C7&quot;/&gt;&lt;wsp:rsid wsp:val=&quot;4E0B2B6A&quot;/&gt;&lt;wsp:rsid wsp:val=&quot;4E0B6A19&quot;/&gt;&lt;wsp:rsid wsp:val=&quot;4E102281&quot;/&gt;&lt;wsp:rsid wsp:val=&quot;4E11118C&quot;/&gt;&lt;wsp:rsid wsp:val=&quot;4E116CA7&quot;/&gt;&lt;wsp:rsid wsp:val=&quot;4E125FF9&quot;/&gt;&lt;wsp:rsid wsp:val=&quot;4E1458CD&quot;/&gt;&lt;wsp:rsid wsp:val=&quot;4E147B0D&quot;/&gt;&lt;wsp:rsid wsp:val=&quot;4E151645&quot;/&gt;&lt;wsp:rsid wsp:val=&quot;4E1526DE&quot;/&gt;&lt;wsp:rsid wsp:val=&quot;4E156373&quot;/&gt;&lt;wsp:rsid wsp:val=&quot;4E165AE9&quot;/&gt;&lt;wsp:rsid wsp:val=&quot;4E173884&quot;/&gt;&lt;wsp:rsid wsp:val=&quot;4E17716C&quot;/&gt;&lt;wsp:rsid wsp:val=&quot;4E191136&quot;/&gt;&lt;wsp:rsid wsp:val=&quot;4E192EE4&quot;/&gt;&lt;wsp:rsid wsp:val=&quot;4E1A6C5C&quot;/&gt;&lt;wsp:rsid wsp:val=&quot;4E1B3100&quot;/&gt;&lt;wsp:rsid wsp:val=&quot;4E1C0E70&quot;/&gt;&lt;wsp:rsid wsp:val=&quot;4E1C4782&quot;/&gt;&lt;wsp:rsid wsp:val=&quot;4E1D04AD&quot;/&gt;&lt;wsp:rsid wsp:val=&quot;4E1F24C4&quot;/&gt;&lt;wsp:rsid wsp:val=&quot;4E2023C2&quot;/&gt;&lt;wsp:rsid wsp:val=&quot;4E207E07&quot;/&gt;&lt;wsp:rsid wsp:val=&quot;4E217FEA&quot;/&gt;&lt;wsp:rsid wsp:val=&quot;4E231FB4&quot;/&gt;&lt;wsp:rsid wsp:val=&quot;4E24034F&quot;/&gt;&lt;wsp:rsid wsp:val=&quot;4E253FC7&quot;/&gt;&lt;wsp:rsid wsp:val=&quot;4E265601&quot;/&gt;&lt;wsp:rsid wsp:val=&quot;4E2817A0&quot;/&gt;&lt;wsp:rsid wsp:val=&quot;4E291FE4&quot;/&gt;&lt;wsp:rsid wsp:val=&quot;4E296E9F&quot;/&gt;&lt;wsp:rsid wsp:val=&quot;4E2C0965&quot;/&gt;&lt;wsp:rsid wsp:val=&quot;4E2D2E33&quot;/&gt;&lt;wsp:rsid wsp:val=&quot;4E2D4BE1&quot;/&gt;&lt;wsp:rsid wsp:val=&quot;4E2D5010&quot;/&gt;&lt;wsp:rsid wsp:val=&quot;4E2F2707&quot;/&gt;&lt;wsp:rsid wsp:val=&quot;4E2F6BAB&quot;/&gt;&lt;wsp:rsid wsp:val=&quot;4E30647F&quot;/&gt;&lt;wsp:rsid wsp:val=&quot;4E320449&quot;/&gt;&lt;wsp:rsid wsp:val=&quot;4E3247D7&quot;/&gt;&lt;wsp:rsid wsp:val=&quot;4E326481&quot;/&gt;&lt;wsp:rsid wsp:val=&quot;4E345F70&quot;/&gt;&lt;wsp:rsid wsp:val=&quot;4E3715BC&quot;/&gt;&lt;wsp:rsid wsp:val=&quot;4E375A60&quot;/&gt;&lt;wsp:rsid wsp:val=&quot;4E395334&quot;/&gt;&lt;wsp:rsid wsp:val=&quot;4E3A3A13&quot;/&gt;&lt;wsp:rsid wsp:val=&quot;4E3B5550&quot;/&gt;&lt;wsp:rsid wsp:val=&quot;4E3B72FE&quot;/&gt;&lt;wsp:rsid wsp:val=&quot;4E3C6BD2&quot;/&gt;&lt;wsp:rsid wsp:val=&quot;4E3E0B9C&quot;/&gt;&lt;wsp:rsid wsp:val=&quot;4E3E6DEE&quot;/&gt;&lt;wsp:rsid wsp:val=&quot;4E3F4E1B&quot;/&gt;&lt;wsp:rsid wsp:val=&quot;4E404914&quot;/&gt;&lt;wsp:rsid wsp:val=&quot;4E41243B&quot;/&gt;&lt;wsp:rsid wsp:val=&quot;4E453CD9&quot;/&gt;&lt;wsp:rsid wsp:val=&quot;4E473EF5&quot;/&gt;&lt;wsp:rsid wsp:val=&quot;4E4807D4&quot;/&gt;&lt;wsp:rsid wsp:val=&quot;4E4837C9&quot;/&gt;&lt;wsp:rsid wsp:val=&quot;4E4F3CFF&quot;/&gt;&lt;wsp:rsid wsp:val=&quot;4E50267E&quot;/&gt;&lt;wsp:rsid wsp:val=&quot;4E524648&quot;/&gt;&lt;wsp:rsid wsp:val=&quot;4E531F72&quot;/&gt;&lt;wsp:rsid wsp:val=&quot;4E555EE6&quot;/&gt;&lt;wsp:rsid wsp:val=&quot;4E557C94&quot;/&gt;&lt;wsp:rsid wsp:val=&quot;4E561001&quot;/&gt;&lt;wsp:rsid wsp:val=&quot;4E597982&quot;/&gt;&lt;wsp:rsid wsp:val=&quot;4E5A52AA&quot;/&gt;&lt;wsp:rsid wsp:val=&quot;4E5B34FC&quot;/&gt;&lt;wsp:rsid wsp:val=&quot;4E5E4D9B&quot;/&gt;&lt;wsp:rsid wsp:val=&quot;4E61488B&quot;/&gt;&lt;wsp:rsid wsp:val=&quot;4E637972&quot;/&gt;&lt;wsp:rsid wsp:val=&quot;4E65437B&quot;/&gt;&lt;wsp:rsid wsp:val=&quot;4E656129&quot;/&gt;&lt;wsp:rsid wsp:val=&quot;4E660AF6&quot;/&gt;&lt;wsp:rsid wsp:val=&quot;4E661EA1&quot;/&gt;&lt;wsp:rsid wsp:val=&quot;4E676345&quot;/&gt;&lt;wsp:rsid wsp:val=&quot;4E685C19&quot;/&gt;&lt;wsp:rsid wsp:val=&quot;4E695D36&quot;/&gt;&lt;wsp:rsid wsp:val=&quot;4E6B74B7&quot;/&gt;&lt;wsp:rsid wsp:val=&quot;4E6C3227&quot;/&gt;&lt;wsp:rsid wsp:val=&quot;4E704779&quot;/&gt;&lt;wsp:rsid wsp:val=&quot;4E704ACE&quot;/&gt;&lt;wsp:rsid wsp:val=&quot;4E713738&quot;/&gt;&lt;wsp:rsid wsp:val=&quot;4E720846&quot;/&gt;&lt;wsp:rsid wsp:val=&quot;4E72653C&quot;/&gt;&lt;wsp:rsid wsp:val=&quot;4E730547&quot;/&gt;&lt;wsp:rsid wsp:val=&quot;4E740A62&quot;/&gt;&lt;wsp:rsid wsp:val=&quot;4E742810&quot;/&gt;&lt;wsp:rsid wsp:val=&quot;4E7520E4&quot;/&gt;&lt;wsp:rsid wsp:val=&quot;4E766588&quot;/&gt;&lt;wsp:rsid wsp:val=&quot;4E775778&quot;/&gt;&lt;wsp:rsid wsp:val=&quot;4E797E26&quot;/&gt;&lt;wsp:rsid wsp:val=&quot;4E7B452B&quot;/&gt;&lt;wsp:rsid wsp:val=&quot;4E7E020D&quot;/&gt;&lt;wsp:rsid wsp:val=&quot;4E7E543D&quot;/&gt;&lt;wsp:rsid wsp:val=&quot;4E807407&quot;/&gt;&lt;wsp:rsid wsp:val=&quot;4E816CDB&quot;/&gt;&lt;wsp:rsid wsp:val=&quot;4E850579&quot;/&gt;&lt;wsp:rsid wsp:val=&quot;4E854A1D&quot;/&gt;&lt;wsp:rsid wsp:val=&quot;4E86139E&quot;/&gt;&lt;wsp:rsid wsp:val=&quot;4E86609F&quot;/&gt;&lt;wsp:rsid wsp:val=&quot;4E870795&quot;/&gt;&lt;wsp:rsid wsp:val=&quot;4E880069&quot;/&gt;&lt;wsp:rsid wsp:val=&quot;4E8939C6&quot;/&gt;&lt;wsp:rsid wsp:val=&quot;4E8B1908&quot;/&gt;&lt;wsp:rsid wsp:val=&quot;4E8C00BE&quot;/&gt;&lt;wsp:rsid wsp:val=&quot;4E8D38D2&quot;/&gt;&lt;wsp:rsid wsp:val=&quot;4E8D742E&quot;/&gt;&lt;wsp:rsid wsp:val=&quot;4E8E21DB&quot;/&gt;&lt;wsp:rsid wsp:val=&quot;4E8F31A6&quot;/&gt;&lt;wsp:rsid wsp:val=&quot;4E915170&quot;/&gt;&lt;wsp:rsid wsp:val=&quot;4E920EE8&quot;/&gt;&lt;wsp:rsid wsp:val=&quot;4E922C96&quot;/&gt;&lt;wsp:rsid wsp:val=&quot;4E932BF7&quot;/&gt;&lt;wsp:rsid wsp:val=&quot;4E944C60&quot;/&gt;&lt;wsp:rsid wsp:val=&quot;4E946A0E&quot;/&gt;&lt;wsp:rsid wsp:val=&quot;4E956EC4&quot;/&gt;&lt;wsp:rsid wsp:val=&quot;4E984750&quot;/&gt;&lt;wsp:rsid wsp:val=&quot;4E9904C8&quot;/&gt;&lt;wsp:rsid wsp:val=&quot;4E994E15&quot;/&gt;&lt;wsp:rsid wsp:val=&quot;4E9C3B15&quot;/&gt;&lt;wsp:rsid wsp:val=&quot;4E9D1D67&quot;/&gt;&lt;wsp:rsid wsp:val=&quot;4EA07161&quot;/&gt;&lt;wsp:rsid wsp:val=&quot;4EA2112B&quot;/&gt;&lt;wsp:rsid wsp:val=&quot;4EA330F5&quot;/&gt;&lt;wsp:rsid wsp:val=&quot;4EA36C51&quot;/&gt;&lt;wsp:rsid wsp:val=&quot;4EA74993&quot;/&gt;&lt;wsp:rsid wsp:val=&quot;4EA8070C&quot;/&gt;&lt;wsp:rsid wsp:val=&quot;4EA837C1&quot;/&gt;&lt;wsp:rsid wsp:val=&quot;4EA84268&quot;/&gt;&lt;wsp:rsid wsp:val=&quot;4EAA7FE0&quot;/&gt;&lt;wsp:rsid wsp:val=&quot;4EAB1D8D&quot;/&gt;&lt;wsp:rsid wsp:val=&quot;4EAC1FAA&quot;/&gt;&lt;wsp:rsid wsp:val=&quot;4EAC3D58&quot;/&gt;&lt;wsp:rsid wsp:val=&quot;4EAC667D&quot;/&gt;&lt;wsp:rsid wsp:val=&quot;4EAF3848&quot;/&gt;&lt;wsp:rsid wsp:val=&quot;4EAF55F6&quot;/&gt;&lt;wsp:rsid wsp:val=&quot;4EB1136E&quot;/&gt;&lt;wsp:rsid wsp:val=&quot;4EB15812&quot;/&gt;&lt;wsp:rsid wsp:val=&quot;4EB259BC&quot;/&gt;&lt;wsp:rsid wsp:val=&quot;4EB26E94&quot;/&gt;&lt;wsp:rsid wsp:val=&quot;4EB33338&quot;/&gt;&lt;wsp:rsid wsp:val=&quot;4EB470B0&quot;/&gt;&lt;wsp:rsid wsp:val=&quot;4EB66F0E&quot;/&gt;&lt;wsp:rsid wsp:val=&quot;4EB7039E&quot;/&gt;&lt;wsp:rsid wsp:val=&quot;4EB946C7&quot;/&gt;&lt;wsp:rsid wsp:val=&quot;4EBA57D9&quot;/&gt;&lt;wsp:rsid wsp:val=&quot;4EBD163F&quot;/&gt;&lt;wsp:rsid wsp:val=&quot;4EBE1CDD&quot;/&gt;&lt;wsp:rsid wsp:val=&quot;4EC00FAD&quot;/&gt;&lt;wsp:rsid wsp:val=&quot;4EC05A55&quot;/&gt;&lt;wsp:rsid wsp:val=&quot;4EC45545&quot;/&gt;&lt;wsp:rsid wsp:val=&quot;4ECA0682&quot;/&gt;&lt;wsp:rsid wsp:val=&quot;4ECA2430&quot;/&gt;&lt;wsp:rsid wsp:val=&quot;4ECA29D6&quot;/&gt;&lt;wsp:rsid wsp:val=&quot;4ECB6814&quot;/&gt;&lt;wsp:rsid wsp:val=&quot;4ECC43FA&quot;/&gt;&lt;wsp:rsid wsp:val=&quot;4ED02686&quot;/&gt;&lt;wsp:rsid wsp:val=&quot;4ED12890&quot;/&gt;&lt;wsp:rsid wsp:val=&quot;4ED137BE&quot;/&gt;&lt;wsp:rsid wsp:val=&quot;4ED201EE&quot;/&gt;&lt;wsp:rsid wsp:val=&quot;4ED27537&quot;/&gt;&lt;wsp:rsid wsp:val=&quot;4ED41501&quot;/&gt;&lt;wsp:rsid wsp:val=&quot;4ED45647&quot;/&gt;&lt;wsp:rsid wsp:val=&quot;4ED52497&quot;/&gt;&lt;wsp:rsid wsp:val=&quot;4ED67027&quot;/&gt;&lt;wsp:rsid wsp:val=&quot;4ED86EE7&quot;/&gt;&lt;wsp:rsid wsp:val=&quot;4ED908C5&quot;/&gt;&lt;wsp:rsid wsp:val=&quot;4ED90E06&quot;/&gt;&lt;wsp:rsid wsp:val=&quot;4ED92673&quot;/&gt;&lt;wsp:rsid wsp:val=&quot;4ED95B20&quot;/&gt;&lt;wsp:rsid wsp:val=&quot;4EDA44B8&quot;/&gt;&lt;wsp:rsid wsp:val=&quot;4EDB288F&quot;/&gt;&lt;wsp:rsid wsp:val=&quot;4EDE1FDD&quot;/&gt;&lt;wsp:rsid wsp:val=&quot;4EDE412D&quot;/&gt;&lt;wsp:rsid wsp:val=&quot;4EDF0835&quot;/&gt;&lt;wsp:rsid wsp:val=&quot;4EE044F1&quot;/&gt;&lt;wsp:rsid wsp:val=&quot;4EE05E69&quot;/&gt;&lt;wsp:rsid wsp:val=&quot;4EE473BA&quot;/&gt;&lt;wsp:rsid wsp:val=&quot;4EE51018&quot;/&gt;&lt;wsp:rsid wsp:val=&quot;4EE554BC&quot;/&gt;&lt;wsp:rsid wsp:val=&quot;4EE72FE2&quot;/&gt;&lt;wsp:rsid wsp:val=&quot;4EE74D90&quot;/&gt;&lt;wsp:rsid wsp:val=&quot;4EE818E9&quot;/&gt;&lt;wsp:rsid wsp:val=&quot;4EE96431&quot;/&gt;&lt;wsp:rsid wsp:val=&quot;4EE96D5A&quot;/&gt;&lt;wsp:rsid wsp:val=&quot;4EEA0D24&quot;/&gt;&lt;wsp:rsid wsp:val=&quot;4EEC4B8E&quot;/&gt;&lt;wsp:rsid wsp:val=&quot;4EEC684A&quot;/&gt;&lt;wsp:rsid wsp:val=&quot;4EEF1E97&quot;/&gt;&lt;wsp:rsid wsp:val=&quot;4EF120B3&quot;/&gt;&lt;wsp:rsid wsp:val=&quot;4EF15C0F&quot;/&gt;&lt;wsp:rsid wsp:val=&quot;4EF219BE&quot;/&gt;&lt;wsp:rsid wsp:val=&quot;4EF23735&quot;/&gt;&lt;wsp:rsid wsp:val=&quot;4EF31987&quot;/&gt;&lt;wsp:rsid wsp:val=&quot;4EF37BD9&quot;/&gt;&lt;wsp:rsid wsp:val=&quot;4EF61477&quot;/&gt;&lt;wsp:rsid wsp:val=&quot;4EFA0012&quot;/&gt;&lt;wsp:rsid wsp:val=&quot;4EFA4824&quot;/&gt;&lt;wsp:rsid wsp:val=&quot;4EFB083B&quot;/&gt;&lt;wsp:rsid wsp:val=&quot;4EFD2805&quot;/&gt;&lt;wsp:rsid wsp:val=&quot;4EFE20DA&quot;/&gt;&lt;wsp:rsid wsp:val=&quot;4EFE2B32&quot;/&gt;&lt;wsp:rsid wsp:val=&quot;4EFF657E&quot;/&gt;&lt;wsp:rsid wsp:val=&quot;4F003355&quot;/&gt;&lt;wsp:rsid wsp:val=&quot;4F02606E&quot;/&gt;&lt;wsp:rsid wsp:val=&quot;4F027E1C&quot;/&gt;&lt;wsp:rsid wsp:val=&quot;4F041DE6&quot;/&gt;&lt;wsp:rsid wsp:val=&quot;4F0516BA&quot;/&gt;&lt;wsp:rsid wsp:val=&quot;4F052BB4&quot;/&gt;&lt;wsp:rsid wsp:val=&quot;4F0A6CD0&quot;/&gt;&lt;wsp:rsid wsp:val=&quot;4F0B3174&quot;/&gt;&lt;wsp:rsid wsp:val=&quot;4F0C0C9A&quot;/&gt;&lt;wsp:rsid wsp:val=&quot;4F0C2A48&quot;/&gt;&lt;wsp:rsid wsp:val=&quot;4F0C47F7&quot;/&gt;&lt;wsp:rsid wsp:val=&quot;4F0E67C1&quot;/&gt;&lt;wsp:rsid wsp:val=&quot;4F0F101F&quot;/&gt;&lt;wsp:rsid wsp:val=&quot;4F1163D7&quot;/&gt;&lt;wsp:rsid wsp:val=&quot;4F12070E&quot;/&gt;&lt;wsp:rsid wsp:val=&quot;4F133DD7&quot;/&gt;&lt;wsp:rsid wsp:val=&quot;4F155DA1&quot;/&gt;&lt;wsp:rsid wsp:val=&quot;4F161B19&quot;/&gt;&lt;wsp:rsid wsp:val=&quot;4F194B69&quot;/&gt;&lt;wsp:rsid wsp:val=&quot;4F195165&quot;/&gt;&lt;wsp:rsid wsp:val=&quot;4F1A33B7&quot;/&gt;&lt;wsp:rsid wsp:val=&quot;4F1D07B2&quot;/&gt;&lt;wsp:rsid wsp:val=&quot;4F1D6A04&quot;/&gt;&lt;wsp:rsid wsp:val=&quot;4F1E46E2&quot;/&gt;&lt;wsp:rsid wsp:val=&quot;4F1F09CE&quot;/&gt;&lt;wsp:rsid wsp:val=&quot;4F2172E4&quot;/&gt;&lt;wsp:rsid wsp:val=&quot;4F235FB7&quot;/&gt;&lt;wsp:rsid wsp:val=&quot;4F245FE4&quot;/&gt;&lt;wsp:rsid wsp:val=&quot;4F253B0A&quot;/&gt;&lt;wsp:rsid wsp:val=&quot;4F255CDD&quot;/&gt;&lt;wsp:rsid wsp:val=&quot;4F2705FD&quot;/&gt;&lt;wsp:rsid wsp:val=&quot;4F270F69&quot;/&gt;&lt;wsp:rsid wsp:val=&quot;4F275AD4&quot;/&gt;&lt;wsp:rsid wsp:val=&quot;4F29184C&quot;/&gt;&lt;wsp:rsid wsp:val=&quot;4F2A7373&quot;/&gt;&lt;wsp:rsid wsp:val=&quot;4F2D446F&quot;/&gt;&lt;wsp:rsid wsp:val=&quot;4F2E04D0&quot;/&gt;&lt;wsp:rsid wsp:val=&quot;4F2E0C11&quot;/&gt;&lt;wsp:rsid wsp:val=&quot;4F302DF0&quot;/&gt;&lt;wsp:rsid wsp:val=&quot;4F337FD5&quot;/&gt;&lt;wsp:rsid wsp:val=&quot;4F361873&quot;/&gt;&lt;wsp:rsid wsp:val=&quot;4F365D17&quot;/&gt;&lt;wsp:rsid wsp:val=&quot;4F3673B2&quot;/&gt;&lt;wsp:rsid wsp:val=&quot;4F367AC5&quot;/&gt;&lt;wsp:rsid wsp:val=&quot;4F381582&quot;/&gt;&lt;wsp:rsid wsp:val=&quot;4F381A8F&quot;/&gt;&lt;wsp:rsid wsp:val=&quot;4F3855EC&quot;/&gt;&lt;wsp:rsid wsp:val=&quot;4F3B1580&quot;/&gt;&lt;wsp:rsid wsp:val=&quot;4F3B50DC&quot;/&gt;&lt;wsp:rsid wsp:val=&quot;4F3C4080&quot;/&gt;&lt;wsp:rsid wsp:val=&quot;4F3D70A6&quot;/&gt;&lt;wsp:rsid wsp:val=&quot;4F3E697A&quot;/&gt;&lt;wsp:rsid wsp:val=&quot;4F3F2A2A&quot;/&gt;&lt;wsp:rsid wsp:val=&quot;4F3F629F&quot;/&gt;&lt;wsp:rsid wsp:val=&quot;4F400A76&quot;/&gt;&lt;wsp:rsid wsp:val=&quot;4F402A31&quot;/&gt;&lt;wsp:rsid wsp:val=&quot;4F42290E&quot;/&gt;&lt;wsp:rsid wsp:val=&quot;4F4246BC&quot;/&gt;&lt;wsp:rsid wsp:val=&quot;4F441374&quot;/&gt;&lt;wsp:rsid wsp:val=&quot;4F4552C7&quot;/&gt;&lt;wsp:rsid wsp:val=&quot;4F4641AC&quot;/&gt;&lt;wsp:rsid wsp:val=&quot;4F473A81&quot;/&gt;&lt;wsp:rsid wsp:val=&quot;4F4A110D&quot;/&gt;&lt;wsp:rsid wsp:val=&quot;4F4A3571&quot;/&gt;&lt;wsp:rsid wsp:val=&quot;4F4A531F&quot;/&gt;&lt;wsp:rsid wsp:val=&quot;4F4C1097&quot;/&gt;&lt;wsp:rsid wsp:val=&quot;4F4F0B87&quot;/&gt;&lt;wsp:rsid wsp:val=&quot;4F506DD9&quot;/&gt;&lt;wsp:rsid wsp:val=&quot;4F5368C9&quot;/&gt;&lt;wsp:rsid wsp:val=&quot;4F552641&quot;/&gt;&lt;wsp:rsid wsp:val=&quot;4F5543EF&quot;/&gt;&lt;wsp:rsid wsp:val=&quot;4F56149D&quot;/&gt;&lt;wsp:rsid wsp:val=&quot;4F5776DC&quot;/&gt;&lt;wsp:rsid wsp:val=&quot;4F596466&quot;/&gt;&lt;wsp:rsid wsp:val=&quot;4F5B752C&quot;/&gt;&lt;wsp:rsid wsp:val=&quot;4F5C39D0&quot;/&gt;&lt;wsp:rsid wsp:val=&quot;4F5F1AFB&quot;/&gt;&lt;wsp:rsid wsp:val=&quot;4F5F526E&quot;/&gt;&lt;wsp:rsid wsp:val=&quot;4F5F701C&quot;/&gt;&lt;wsp:rsid wsp:val=&quot;4F604B42&quot;/&gt;&lt;wsp:rsid wsp:val=&quot;4F610FE6&quot;/&gt;&lt;wsp:rsid wsp:val=&quot;4F6247EF&quot;/&gt;&lt;wsp:rsid wsp:val=&quot;4F6463E1&quot;/&gt;&lt;wsp:rsid wsp:val=&quot;4F65059F&quot;/&gt;&lt;wsp:rsid wsp:val=&quot;4F665D41&quot;/&gt;&lt;wsp:rsid wsp:val=&quot;4F6771D1&quot;/&gt;&lt;wsp:rsid wsp:val=&quot;4F681AF1&quot;/&gt;&lt;wsp:rsid wsp:val=&quot;4F6B3C13&quot;/&gt;&lt;wsp:rsid wsp:val=&quot;4F6B59C1&quot;/&gt;&lt;wsp:rsid wsp:val=&quot;4F6C328C&quot;/&gt;&lt;wsp:rsid wsp:val=&quot;4F6D1960&quot;/&gt;&lt;wsp:rsid wsp:val=&quot;4F6E67C3&quot;/&gt;&lt;wsp:rsid wsp:val=&quot;4F6E725F&quot;/&gt;&lt;wsp:rsid wsp:val=&quot;4F6F6DF3&quot;/&gt;&lt;wsp:rsid wsp:val=&quot;4F702FD7&quot;/&gt;&lt;wsp:rsid wsp:val=&quot;4F716D4F&quot;/&gt;&lt;wsp:rsid wsp:val=&quot;4F72069B&quot;/&gt;&lt;wsp:rsid wsp:val=&quot;4F734876&quot;/&gt;&lt;wsp:rsid wsp:val=&quot;4F737646&quot;/&gt;&lt;wsp:rsid wsp:val=&quot;4F7505EE&quot;/&gt;&lt;wsp:rsid wsp:val=&quot;4F764366&quot;/&gt;&lt;wsp:rsid wsp:val=&quot;4F7B197C&quot;/&gt;&lt;wsp:rsid wsp:val=&quot;4F7C1DAB&quot;/&gt;&lt;wsp:rsid wsp:val=&quot;4F7C54AB&quot;/&gt;&lt;wsp:rsid wsp:val=&quot;4F7D3946&quot;/&gt;&lt;wsp:rsid wsp:val=&quot;4F7D74A2&quot;/&gt;&lt;wsp:rsid wsp:val=&quot;4F7F321A&quot;/&gt;&lt;wsp:rsid wsp:val=&quot;4F7F76BE&quot;/&gt;&lt;wsp:rsid wsp:val=&quot;4F806F93&quot;/&gt;&lt;wsp:rsid wsp:val=&quot;4F822D0B&quot;/&gt;&lt;wsp:rsid wsp:val=&quot;4F835269&quot;/&gt;&lt;wsp:rsid wsp:val=&quot;4F844CD5&quot;/&gt;&lt;wsp:rsid wsp:val=&quot;4F860A4D&quot;/&gt;&lt;wsp:rsid wsp:val=&quot;4F866437&quot;/&gt;&lt;wsp:rsid wsp:val=&quot;4F8A0E2A&quot;/&gt;&lt;wsp:rsid wsp:val=&quot;4F8B6063&quot;/&gt;&lt;wsp:rsid wsp:val=&quot;4F8C2AF0&quot;/&gt;&lt;wsp:rsid wsp:val=&quot;4F8D1DDB&quot;/&gt;&lt;wsp:rsid wsp:val=&quot;4F8D7C8F&quot;/&gt;&lt;wsp:rsid wsp:val=&quot;4F8E16AF&quot;/&gt;&lt;wsp:rsid wsp:val=&quot;4F90367A&quot;/&gt;&lt;wsp:rsid wsp:val=&quot;4F90786D&quot;/&gt;&lt;wsp:rsid wsp:val=&quot;4F9273F2&quot;/&gt;&lt;wsp:rsid wsp:val=&quot;4F9662F5&quot;/&gt;&lt;wsp:rsid wsp:val=&quot;4F980780&quot;/&gt;&lt;wsp:rsid wsp:val=&quot;4F9843DC&quot;/&gt;&lt;wsp:rsid wsp:val=&quot;4F9A0054&quot;/&gt;&lt;wsp:rsid wsp:val=&quot;4F9A091F&quot;/&gt;&lt;wsp:rsid wsp:val=&quot;4F9A62A6&quot;/&gt;&lt;wsp:rsid wsp:val=&quot;4F9C661B&quot;/&gt;&lt;wsp:rsid wsp:val=&quot;4F9D5D96&quot;/&gt;&lt;wsp:rsid wsp:val=&quot;4F9F42B5&quot;/&gt;&lt;wsp:rsid wsp:val=&quot;4FA33112&quot;/&gt;&lt;wsp:rsid wsp:val=&quot;4FA42C81&quot;/&gt;&lt;wsp:rsid wsp:val=&quot;4FA72771&quot;/&gt;&lt;wsp:rsid wsp:val=&quot;4FA90297&quot;/&gt;&lt;wsp:rsid wsp:val=&quot;4FA964E9&quot;/&gt;&lt;wsp:rsid wsp:val=&quot;4FAA2183&quot;/&gt;&lt;wsp:rsid wsp:val=&quot;4FAB04B3&quot;/&gt;&lt;wsp:rsid wsp:val=&quot;4FAB400F&quot;/&gt;&lt;wsp:rsid wsp:val=&quot;4FAD422B&quot;/&gt;&lt;wsp:rsid wsp:val=&quot;4FAE1D52&quot;/&gt;&lt;wsp:rsid wsp:val=&quot;4FAF1267&quot;/&gt;&lt;wsp:rsid wsp:val=&quot;4FB01626&quot;/&gt;&lt;wsp:rsid wsp:val=&quot;4FB235F0&quot;/&gt;&lt;wsp:rsid wsp:val=&quot;4FB55828&quot;/&gt;&lt;wsp:rsid wsp:val=&quot;4FB70C06&quot;/&gt;&lt;wsp:rsid wsp:val=&quot;4FB8672C&quot;/&gt;&lt;wsp:rsid wsp:val=&quot;4FBA6948&quot;/&gt;&lt;wsp:rsid wsp:val=&quot;4FC155E1&quot;/&gt;&lt;wsp:rsid wsp:val=&quot;4FC21359&quot;/&gt;&lt;wsp:rsid wsp:val=&quot;4FC55A47&quot;/&gt;&lt;wsp:rsid wsp:val=&quot;4FC57A53&quot;/&gt;&lt;wsp:rsid wsp:val=&quot;4FC62A8C&quot;/&gt;&lt;wsp:rsid wsp:val=&quot;4FC6709B&quot;/&gt;&lt;wsp:rsid wsp:val=&quot;4FC82E13&quot;/&gt;&lt;wsp:rsid wsp:val=&quot;4FC84CE8&quot;/&gt;&lt;wsp:rsid wsp:val=&quot;4FC926E8&quot;/&gt;&lt;wsp:rsid wsp:val=&quot;4FCA0E8E&quot;/&gt;&lt;wsp:rsid wsp:val=&quot;4FD03A76&quot;/&gt;&lt;wsp:rsid wsp:val=&quot;4FD23C92&quot;/&gt;&lt;wsp:rsid wsp:val=&quot;4FD277EE&quot;/&gt;&lt;wsp:rsid wsp:val=&quot;4FD30C51&quot;/&gt;&lt;wsp:rsid wsp:val=&quot;4FD317B8&quot;/&gt;&lt;wsp:rsid wsp:val=&quot;4FD33566&quot;/&gt;&lt;wsp:rsid wsp:val=&quot;4FD35314&quot;/&gt;&lt;wsp:rsid wsp:val=&quot;4FD40D50&quot;/&gt;&lt;wsp:rsid wsp:val=&quot;4FD55530&quot;/&gt;&lt;wsp:rsid wsp:val=&quot;4FD67A34&quot;/&gt;&lt;wsp:rsid wsp:val=&quot;4FD74E04&quot;/&gt;&lt;wsp:rsid wsp:val=&quot;4FD86DCF&quot;/&gt;&lt;wsp:rsid wsp:val=&quot;4FDA66A3&quot;/&gt;&lt;wsp:rsid wsp:val=&quot;4FDC241B&quot;/&gt;&lt;wsp:rsid wsp:val=&quot;4FDD43E5&quot;/&gt;&lt;wsp:rsid wsp:val=&quot;4FDE2637&quot;/&gt;&lt;wsp:rsid wsp:val=&quot;4FE15C83&quot;/&gt;&lt;wsp:rsid wsp:val=&quot;4FE20F0D&quot;/&gt;&lt;wsp:rsid wsp:val=&quot;4FE24F60&quot;/&gt;&lt;wsp:rsid wsp:val=&quot;4FE319FB&quot;/&gt;&lt;wsp:rsid wsp:val=&quot;4FE51552&quot;/&gt;&lt;wsp:rsid wsp:val=&quot;4FE63299&quot;/&gt;&lt;wsp:rsid wsp:val=&quot;4FE65048&quot;/&gt;&lt;wsp:rsid wsp:val=&quot;4FE70DC0&quot;/&gt;&lt;wsp:rsid wsp:val=&quot;4FE71E43&quot;/&gt;&lt;wsp:rsid wsp:val=&quot;4FE82F87&quot;/&gt;&lt;wsp:rsid wsp:val=&quot;4FE85264&quot;/&gt;&lt;wsp:rsid wsp:val=&quot;4FE87012&quot;/&gt;&lt;wsp:rsid wsp:val=&quot;4FE93487&quot;/&gt;&lt;wsp:rsid wsp:val=&quot;4FE970AD&quot;/&gt;&lt;wsp:rsid wsp:val=&quot;4FED31F9&quot;/&gt;&lt;wsp:rsid wsp:val=&quot;4FED4228&quot;/&gt;&lt;wsp:rsid wsp:val=&quot;4FED6DF9&quot;/&gt;&lt;wsp:rsid wsp:val=&quot;4FEE03A0&quot;/&gt;&lt;wsp:rsid wsp:val=&quot;4FEE214E&quot;/&gt;&lt;wsp:rsid wsp:val=&quot;4FEE65F2&quot;/&gt;&lt;wsp:rsid wsp:val=&quot;4FEF5362&quot;/&gt;&lt;wsp:rsid wsp:val=&quot;4FF02BA9&quot;/&gt;&lt;wsp:rsid wsp:val=&quot;4FF06A17&quot;/&gt;&lt;wsp:rsid wsp:val=&quot;4FF1419D&quot;/&gt;&lt;wsp:rsid wsp:val=&quot;4FF37764&quot;/&gt;&lt;wsp:rsid wsp:val=&quot;4FF529BA&quot;/&gt;&lt;wsp:rsid wsp:val=&quot;4FF534DD&quot;/&gt;&lt;wsp:rsid wsp:val=&quot;4FF754A7&quot;/&gt;&lt;wsp:rsid wsp:val=&quot;4FFA4F97&quot;/&gt;&lt;wsp:rsid wsp:val=&quot;4FFB7CBC&quot;/&gt;&lt;wsp:rsid wsp:val=&quot;4FFC0D0F&quot;/&gt;&lt;wsp:rsid wsp:val=&quot;4FFD0EF1&quot;/&gt;&lt;wsp:rsid wsp:val=&quot;4FFE6835&quot;/&gt;&lt;wsp:rsid wsp:val=&quot;50003B61&quot;/&gt;&lt;wsp:rsid wsp:val=&quot;50007ACD&quot;/&gt;&lt;wsp:rsid wsp:val=&quot;50016325&quot;/&gt;&lt;wsp:rsid wsp:val=&quot;5003209D&quot;/&gt;&lt;wsp:rsid wsp:val=&quot;500603CA&quot;/&gt;&lt;wsp:rsid wsp:val=&quot;50067498&quot;/&gt;&lt;wsp:rsid wsp:val=&quot;50071213&quot;/&gt;&lt;wsp:rsid wsp:val=&quot;5007625F&quot;/&gt;&lt;wsp:rsid wsp:val=&quot;500779A6&quot;/&gt;&lt;wsp:rsid wsp:val=&quot;500B5A77&quot;/&gt;&lt;wsp:rsid wsp:val=&quot;500E27F0&quot;/&gt;&lt;wsp:rsid wsp:val=&quot;501222E0&quot;/&gt;&lt;wsp:rsid wsp:val=&quot;50123466&quot;/&gt;&lt;wsp:rsid wsp:val=&quot;5012408F&quot;/&gt;&lt;wsp:rsid wsp:val=&quot;50125E3D&quot;/&gt;&lt;wsp:rsid wsp:val=&quot;50153B7F&quot;/&gt;&lt;wsp:rsid wsp:val=&quot;501716A5&quot;/&gt;&lt;wsp:rsid wsp:val=&quot;501734E8&quot;/&gt;&lt;wsp:rsid wsp:val=&quot;5017693A&quot;/&gt;&lt;wsp:rsid wsp:val=&quot;501A2F43&quot;/&gt;&lt;wsp:rsid wsp:val=&quot;501A73E7&quot;/&gt;&lt;wsp:rsid wsp:val=&quot;501C6CBB&quot;/&gt;&lt;wsp:rsid wsp:val=&quot;501E0C85&quot;/&gt;&lt;wsp:rsid wsp:val=&quot;501F0559&quot;/&gt;&lt;wsp:rsid wsp:val=&quot;50210776&quot;/&gt;&lt;wsp:rsid wsp:val=&quot;50212524&quot;/&gt;&lt;wsp:rsid wsp:val=&quot;502322A4&quot;/&gt;&lt;wsp:rsid wsp:val=&quot;502344EE&quot;/&gt;&lt;wsp:rsid wsp:val=&quot;502618E8&quot;/&gt;&lt;wsp:rsid wsp:val=&quot;50267B3A&quot;/&gt;&lt;wsp:rsid wsp:val=&quot;502838B2&quot;/&gt;&lt;wsp:rsid wsp:val=&quot;50285660&quot;/&gt;&lt;wsp:rsid wsp:val=&quot;502A1900&quot;/&gt;&lt;wsp:rsid wsp:val=&quot;502D2F07&quot;/&gt;&lt;wsp:rsid wsp:val=&quot;502D711A&quot;/&gt;&lt;wsp:rsid wsp:val=&quot;50306C0B&quot;/&gt;&lt;wsp:rsid wsp:val=&quot;5034567F&quot;/&gt;&lt;wsp:rsid wsp:val=&quot;50354221&quot;/&gt;&lt;wsp:rsid wsp:val=&quot;50355FCF&quot;/&gt;&lt;wsp:rsid wsp:val=&quot;50373AF5&quot;/&gt;&lt;wsp:rsid wsp:val=&quot;50395ABF&quot;/&gt;&lt;wsp:rsid wsp:val=&quot;5039786D&quot;/&gt;&lt;wsp:rsid wsp:val=&quot;503A3CBF&quot;/&gt;&lt;wsp:rsid wsp:val=&quot;503A5393&quot;/&gt;&lt;wsp:rsid wsp:val=&quot;503B4AE7&quot;/&gt;&lt;wsp:rsid wsp:val=&quot;503E4E84&quot;/&gt;&lt;wsp:rsid wsp:val=&quot;503E6C32&quot;/&gt;&lt;wsp:rsid wsp:val=&quot;503F0BFC&quot;/&gt;&lt;wsp:rsid wsp:val=&quot;50412BC6&quot;/&gt;&lt;wsp:rsid wsp:val=&quot;50414974&quot;/&gt;&lt;wsp:rsid wsp:val=&quot;504163F0&quot;/&gt;&lt;wsp:rsid wsp:val=&quot;50416722&quot;/&gt;&lt;wsp:rsid wsp:val=&quot;5043249A&quot;/&gt;&lt;wsp:rsid wsp:val=&quot;5043693E&quot;/&gt;&lt;wsp:rsid wsp:val=&quot;50447FC0&quot;/&gt;&lt;wsp:rsid wsp:val=&quot;504513F5&quot;/&gt;&lt;wsp:rsid wsp:val=&quot;504639A3&quot;/&gt;&lt;wsp:rsid wsp:val=&quot;50474E75&quot;/&gt;&lt;wsp:rsid wsp:val=&quot;50485D02&quot;/&gt;&lt;wsp:rsid wsp:val=&quot;50487AB0&quot;/&gt;&lt;wsp:rsid wsp:val=&quot;504908E4&quot;/&gt;&lt;wsp:rsid wsp:val=&quot;50497753&quot;/&gt;&lt;wsp:rsid wsp:val=&quot;504A7CCC&quot;/&gt;&lt;wsp:rsid wsp:val=&quot;504B75A0&quot;/&gt;&lt;wsp:rsid wsp:val=&quot;504C3CD5&quot;/&gt;&lt;wsp:rsid wsp:val=&quot;504D3319&quot;/&gt;&lt;wsp:rsid wsp:val=&quot;504D5BA8&quot;/&gt;&lt;wsp:rsid wsp:val=&quot;504F0E3F&quot;/&gt;&lt;wsp:rsid wsp:val=&quot;50504C4B&quot;/&gt;&lt;wsp:rsid wsp:val=&quot;50506965&quot;/&gt;&lt;wsp:rsid wsp:val=&quot;5051105B&quot;/&gt;&lt;wsp:rsid wsp:val=&quot;50522FDC&quot;/&gt;&lt;wsp:rsid wsp:val=&quot;50546455&quot;/&gt;&lt;wsp:rsid wsp:val=&quot;50566671&quot;/&gt;&lt;wsp:rsid wsp:val=&quot;50575F45&quot;/&gt;&lt;wsp:rsid wsp:val=&quot;50591CBD&quot;/&gt;&lt;wsp:rsid wsp:val=&quot;505A77E4&quot;/&gt;&lt;wsp:rsid wsp:val=&quot;505E1082&quot;/&gt;&lt;wsp:rsid wsp:val=&quot;5060304C&quot;/&gt;&lt;wsp:rsid wsp:val=&quot;50616DC4&quot;/&gt;&lt;wsp:rsid wsp:val=&quot;5066262C&quot;/&gt;&lt;wsp:rsid wsp:val=&quot;50665CDB&quot;/&gt;&lt;wsp:rsid wsp:val=&quot;50681F00&quot;/&gt;&lt;wsp:rsid wsp:val=&quot;506863A4&quot;/&gt;&lt;wsp:rsid wsp:val=&quot;506A211C&quot;/&gt;&lt;wsp:rsid wsp:val=&quot;506A3ECB&quot;/&gt;&lt;wsp:rsid wsp:val=&quot;506C28E5&quot;/&gt;&lt;wsp:rsid wsp:val=&quot;506D39BB&quot;/&gt;&lt;wsp:rsid wsp:val=&quot;506D5769&quot;/&gt;&lt;wsp:rsid wsp:val=&quot;506D7517&quot;/&gt;&lt;wsp:rsid wsp:val=&quot;506F14E1&quot;/&gt;&lt;wsp:rsid wsp:val=&quot;506F328F&quot;/&gt;&lt;wsp:rsid wsp:val=&quot;506F6F2A&quot;/&gt;&lt;wsp:rsid wsp:val=&quot;506F7733&quot;/&gt;&lt;wsp:rsid wsp:val=&quot;50715259&quot;/&gt;&lt;wsp:rsid wsp:val=&quot;50720FD1&quot;/&gt;&lt;wsp:rsid wsp:val=&quot;50722D7F&quot;/&gt;&lt;wsp:rsid wsp:val=&quot;50746AF7&quot;/&gt;&lt;wsp:rsid wsp:val=&quot;507552DF&quot;/&gt;&lt;wsp:rsid wsp:val=&quot;507629FF&quot;/&gt;&lt;wsp:rsid wsp:val=&quot;50772144&quot;/&gt;&lt;wsp:rsid wsp:val=&quot;50795EBC&quot;/&gt;&lt;wsp:rsid wsp:val=&quot;507C0FC7&quot;/&gt;&lt;wsp:rsid wsp:val=&quot;507C775A&quot;/&gt;&lt;wsp:rsid wsp:val=&quot;507E1724&quot;/&gt;&lt;wsp:rsid wsp:val=&quot;507E34D2&quot;/&gt;&lt;wsp:rsid wsp:val=&quot;507E6391&quot;/&gt;&lt;wsp:rsid wsp:val=&quot;507F4483&quot;/&gt;&lt;wsp:rsid wsp:val=&quot;507F7F57&quot;/&gt;&lt;wsp:rsid wsp:val=&quot;50811214&quot;/&gt;&lt;wsp:rsid wsp:val=&quot;50812FC2&quot;/&gt;&lt;wsp:rsid wsp:val=&quot;50824D12&quot;/&gt;&lt;wsp:rsid wsp:val=&quot;50844392&quot;/&gt;&lt;wsp:rsid wsp:val=&quot;50860E67&quot;/&gt;&lt;wsp:rsid wsp:val=&quot;50874A7C&quot;/&gt;&lt;wsp:rsid wsp:val=&quot;508807F5&quot;/&gt;&lt;wsp:rsid wsp:val=&quot;50884351&quot;/&gt;&lt;wsp:rsid wsp:val=&quot;508A00C9&quot;/&gt;&lt;wsp:rsid wsp:val=&quot;508A1E77&quot;/&gt;&lt;wsp:rsid wsp:val=&quot;508A631B&quot;/&gt;&lt;wsp:rsid wsp:val=&quot;50923421&quot;/&gt;&lt;wsp:rsid wsp:val=&quot;50925C97&quot;/&gt;&lt;wsp:rsid wsp:val=&quot;50940F47&quot;/&gt;&lt;wsp:rsid wsp:val=&quot;50966A6E&quot;/&gt;&lt;wsp:rsid wsp:val=&quot;50967405&quot;/&gt;&lt;wsp:rsid wsp:val=&quot;50974594&quot;/&gt;&lt;wsp:rsid wsp:val=&quot;50977F78&quot;/&gt;&lt;wsp:rsid wsp:val=&quot;509947B0&quot;/&gt;&lt;wsp:rsid wsp:val=&quot;509B4084&quot;/&gt;&lt;wsp:rsid wsp:val=&quot;509B6FFA&quot;/&gt;&lt;wsp:rsid wsp:val=&quot;509B7A53&quot;/&gt;&lt;wsp:rsid wsp:val=&quot;509C6E7C&quot;/&gt;&lt;wsp:rsid wsp:val=&quot;509D7DA2&quot;/&gt;&lt;wsp:rsid wsp:val=&quot;509F054C&quot;/&gt;&lt;wsp:rsid wsp:val=&quot;50A15412&quot;/&gt;&lt;wsp:rsid wsp:val=&quot;50A373DC&quot;/&gt;&lt;wsp:rsid wsp:val=&quot;50A46360&quot;/&gt;&lt;wsp:rsid wsp:val=&quot;50A52A93&quot;/&gt;&lt;wsp:rsid wsp:val=&quot;50A54F03&quot;/&gt;&lt;wsp:rsid wsp:val=&quot;50A82C45&quot;/&gt;&lt;wsp:rsid wsp:val=&quot;50AA2519&quot;/&gt;&lt;wsp:rsid wsp:val=&quot;50AA42C7&quot;/&gt;&lt;wsp:rsid wsp:val=&quot;50AD2009&quot;/&gt;&lt;wsp:rsid wsp:val=&quot;50AF18DD&quot;/&gt;&lt;wsp:rsid wsp:val=&quot;50AF7B2F&quot;/&gt;&lt;wsp:rsid wsp:val=&quot;50B0055B&quot;/&gt;&lt;wsp:rsid wsp:val=&quot;50B2258E&quot;/&gt;&lt;wsp:rsid wsp:val=&quot;50B415EA&quot;/&gt;&lt;wsp:rsid wsp:val=&quot;50B52C6C&quot;/&gt;&lt;wsp:rsid wsp:val=&quot;50B60EBE&quot;/&gt;&lt;wsp:rsid wsp:val=&quot;50B909AE&quot;/&gt;&lt;wsp:rsid wsp:val=&quot;50BD049E&quot;/&gt;&lt;wsp:rsid wsp:val=&quot;50BE5FC4&quot;/&gt;&lt;wsp:rsid wsp:val=&quot;50BE7D72&quot;/&gt;&lt;wsp:rsid wsp:val=&quot;50C02456&quot;/&gt;&lt;wsp:rsid wsp:val=&quot;50C11611&quot;/&gt;&lt;wsp:rsid wsp:val=&quot;50C138E6&quot;/&gt;&lt;wsp:rsid wsp:val=&quot;50C25AB5&quot;/&gt;&lt;wsp:rsid wsp:val=&quot;50C42A70&quot;/&gt;&lt;wsp:rsid wsp:val=&quot;50C44837&quot;/&gt;&lt;wsp:rsid wsp:val=&quot;50C45240&quot;/&gt;&lt;wsp:rsid wsp:val=&quot;50C64B87&quot;/&gt;&lt;wsp:rsid wsp:val=&quot;50C7131D&quot;/&gt;&lt;wsp:rsid wsp:val=&quot;50C75F2C&quot;/&gt;&lt;wsp:rsid wsp:val=&quot;50CC06E1&quot;/&gt;&lt;wsp:rsid wsp:val=&quot;50CC248F&quot;/&gt;&lt;wsp:rsid wsp:val=&quot;50CD1E89&quot;/&gt;&lt;wsp:rsid wsp:val=&quot;50CD4459&quot;/&gt;&lt;wsp:rsid wsp:val=&quot;50CE4754&quot;/&gt;&lt;wsp:rsid wsp:val=&quot;50CF01D2&quot;/&gt;&lt;wsp:rsid wsp:val=&quot;50CF1F80&quot;/&gt;&lt;wsp:rsid wsp:val=&quot;50D11C9A&quot;/&gt;&lt;wsp:rsid wsp:val=&quot;50D12F3C&quot;/&gt;&lt;wsp:rsid wsp:val=&quot;50D2312A&quot;/&gt;&lt;wsp:rsid wsp:val=&quot;50D35CFB&quot;/&gt;&lt;wsp:rsid wsp:val=&quot;50D40C8C&quot;/&gt;&lt;wsp:rsid wsp:val=&quot;50D41344&quot;/&gt;&lt;wsp:rsid wsp:val=&quot;50D4718B&quot;/&gt;&lt;wsp:rsid wsp:val=&quot;50D47596&quot;/&gt;&lt;wsp:rsid wsp:val=&quot;50D60C6A&quot;/&gt;&lt;wsp:rsid wsp:val=&quot;50D650BC&quot;/&gt;&lt;wsp:rsid wsp:val=&quot;50D65543&quot;/&gt;&lt;wsp:rsid wsp:val=&quot;50D75B0C&quot;/&gt;&lt;wsp:rsid wsp:val=&quot;50D852D8&quot;/&gt;&lt;wsp:rsid wsp:val=&quot;50D91050&quot;/&gt;&lt;wsp:rsid wsp:val=&quot;50D94BAC&quot;/&gt;&lt;wsp:rsid wsp:val=&quot;50D95830&quot;/&gt;&lt;wsp:rsid wsp:val=&quot;50DA183E&quot;/&gt;&lt;wsp:rsid wsp:val=&quot;50DB26D2&quot;/&gt;&lt;wsp:rsid wsp:val=&quot;50DB6B76&quot;/&gt;&lt;wsp:rsid wsp:val=&quot;50DE53F6&quot;/&gt;&lt;wsp:rsid wsp:val=&quot;50DF60FE&quot;/&gt;&lt;wsp:rsid wsp:val=&quot;50E05F3B&quot;/&gt;&lt;wsp:rsid wsp:val=&quot;50E21CB3&quot;/&gt;&lt;wsp:rsid wsp:val=&quot;50E341DB&quot;/&gt;&lt;wsp:rsid wsp:val=&quot;50E357F0&quot;/&gt;&lt;wsp:rsid wsp:val=&quot;50E377D9&quot;/&gt;&lt;wsp:rsid wsp:val=&quot;50E6588A&quot;/&gt;&lt;wsp:rsid wsp:val=&quot;50EA6DB9&quot;/&gt;&lt;wsp:rsid wsp:val=&quot;50EE063D&quot;/&gt;&lt;wsp:rsid wsp:val=&quot;50EE1C37&quot;/&gt;&lt;wsp:rsid wsp:val=&quot;50F10148&quot;/&gt;&lt;wsp:rsid wsp:val=&quot;50F1639A&quot;/&gt;&lt;wsp:rsid wsp:val=&quot;50F264F0&quot;/&gt;&lt;wsp:rsid wsp:val=&quot;50F2676D&quot;/&gt;&lt;wsp:rsid wsp:val=&quot;50F32112&quot;/&gt;&lt;wsp:rsid wsp:val=&quot;50F419E6&quot;/&gt;&lt;wsp:rsid wsp:val=&quot;50F55B1D&quot;/&gt;&lt;wsp:rsid wsp:val=&quot;50F6575E&quot;/&gt;&lt;wsp:rsid wsp:val=&quot;50F72166&quot;/&gt;&lt;wsp:rsid wsp:val=&quot;50F814D6&quot;/&gt;&lt;wsp:rsid wsp:val=&quot;50F96FFC&quot;/&gt;&lt;wsp:rsid wsp:val=&quot;50FB2D75&quot;/&gt;&lt;wsp:rsid wsp:val=&quot;50FD4618&quot;/&gt;&lt;wsp:rsid wsp:val=&quot;50FD4D3F&quot;/&gt;&lt;wsp:rsid wsp:val=&quot;50FE4613&quot;/&gt;&lt;wsp:rsid wsp:val=&quot;50FF65F4&quot;/&gt;&lt;wsp:rsid wsp:val=&quot;51002139&quot;/&gt;&lt;wsp:rsid wsp:val=&quot;510161A8&quot;/&gt;&lt;wsp:rsid wsp:val=&quot;51067449&quot;/&gt;&lt;wsp:rsid wsp:val=&quot;510734C7&quot;/&gt;&lt;wsp:rsid wsp:val=&quot;5108607B&quot;/&gt;&lt;wsp:rsid wsp:val=&quot;510861A6&quot;/&gt;&lt;wsp:rsid wsp:val=&quot;51087240&quot;/&gt;&lt;wsp:rsid wsp:val=&quot;510936E3&quot;/&gt;&lt;wsp:rsid wsp:val=&quot;51094EF2&quot;/&gt;&lt;wsp:rsid wsp:val=&quot;510C4F82&quot;/&gt;&lt;wsp:rsid wsp:val=&quot;510E07AC&quot;/&gt;&lt;wsp:rsid wsp:val=&quot;510F6820&quot;/&gt;&lt;wsp:rsid wsp:val=&quot;511107EA&quot;/&gt;&lt;wsp:rsid wsp:val=&quot;51112598&quot;/&gt;&lt;wsp:rsid wsp:val=&quot;51121E6C&quot;/&gt;&lt;wsp:rsid wsp:val=&quot;51131A4D&quot;/&gt;&lt;wsp:rsid wsp:val=&quot;51134562&quot;/&gt;&lt;wsp:rsid wsp:val=&quot;51145BE4&quot;/&gt;&lt;wsp:rsid wsp:val=&quot;5116195C&quot;/&gt;&lt;wsp:rsid wsp:val=&quot;51165E00&quot;/&gt;&lt;wsp:rsid wsp:val=&quot;51167BAE&quot;/&gt;&lt;wsp:rsid wsp:val=&quot;51174CCA&quot;/&gt;&lt;wsp:rsid wsp:val=&quot;511756C2&quot;/&gt;&lt;wsp:rsid wsp:val=&quot;51181B78&quot;/&gt;&lt;wsp:rsid wsp:val=&quot;5119144D&quot;/&gt;&lt;wsp:rsid wsp:val=&quot;5119769F&quot;/&gt;&lt;wsp:rsid wsp:val=&quot;511A77B1&quot;/&gt;&lt;wsp:rsid wsp:val=&quot;511B3417&quot;/&gt;&lt;wsp:rsid wsp:val=&quot;511B51C5&quot;/&gt;&lt;wsp:rsid wsp:val=&quot;511B6F73&quot;/&gt;&lt;wsp:rsid wsp:val=&quot;511D718F&quot;/&gt;&lt;wsp:rsid wsp:val=&quot;511E4CB5&quot;/&gt;&lt;wsp:rsid wsp:val=&quot;511F3F91&quot;/&gt;&lt;wsp:rsid wsp:val=&quot;512037C9&quot;/&gt;&lt;wsp:rsid wsp:val=&quot;51220301&quot;/&gt;&lt;wsp:rsid wsp:val=&quot;51234079&quot;/&gt;&lt;wsp:rsid wsp:val=&quot;5124051D&quot;/&gt;&lt;wsp:rsid wsp:val=&quot;512531C2&quot;/&gt;&lt;wsp:rsid wsp:val=&quot;51281690&quot;/&gt;&lt;wsp:rsid wsp:val=&quot;51295B34&quot;/&gt;&lt;wsp:rsid wsp:val=&quot;512978E2&quot;/&gt;&lt;wsp:rsid wsp:val=&quot;512A365A&quot;/&gt;&lt;wsp:rsid wsp:val=&quot;512A5408&quot;/&gt;&lt;wsp:rsid wsp:val=&quot;512C73D2&quot;/&gt;&lt;wsp:rsid wsp:val=&quot;512E091C&quot;/&gt;&lt;wsp:rsid wsp:val=&quot;512F2A1E&quot;/&gt;&lt;wsp:rsid wsp:val=&quot;512F6EC2&quot;/&gt;&lt;wsp:rsid wsp:val=&quot;51301FBE&quot;/&gt;&lt;wsp:rsid wsp:val=&quot;51305287&quot;/&gt;&lt;wsp:rsid wsp:val=&quot;51312C3A&quot;/&gt;&lt;wsp:rsid wsp:val=&quot;513242BC&quot;/&gt;&lt;wsp:rsid wsp:val=&quot;51330760&quot;/&gt;&lt;wsp:rsid wsp:val=&quot;51385D77&quot;/&gt;&lt;wsp:rsid wsp:val=&quot;5139389D&quot;/&gt;&lt;wsp:rsid wsp:val=&quot;513969CF&quot;/&gt;&lt;wsp:rsid wsp:val=&quot;513B13C3&quot;/&gt;&lt;wsp:rsid wsp:val=&quot;513C15BE&quot;/&gt;&lt;wsp:rsid wsp:val=&quot;513D513B&quot;/&gt;&lt;wsp:rsid wsp:val=&quot;513D755B&quot;/&gt;&lt;wsp:rsid wsp:val=&quot;513E2C61&quot;/&gt;&lt;wsp:rsid wsp:val=&quot;513F7105&quot;/&gt;&lt;wsp:rsid wsp:val=&quot;514209A3&quot;/&gt;&lt;wsp:rsid wsp:val=&quot;51422751&quot;/&gt;&lt;wsp:rsid wsp:val=&quot;51426BF5&quot;/&gt;&lt;wsp:rsid wsp:val=&quot;51433EC6&quot;/&gt;&lt;wsp:rsid wsp:val=&quot;5144296E&quot;/&gt;&lt;wsp:rsid wsp:val=&quot;51442FEA&quot;/&gt;&lt;wsp:rsid wsp:val=&quot;51450494&quot;/&gt;&lt;wsp:rsid wsp:val=&quot;51451AF4&quot;/&gt;&lt;wsp:rsid wsp:val=&quot;5147420C&quot;/&gt;&lt;wsp:rsid wsp:val=&quot;5148350E&quot;/&gt;&lt;wsp:rsid wsp:val=&quot;5149499E&quot;/&gt;&lt;wsp:rsid wsp:val=&quot;514A7062&quot;/&gt;&lt;wsp:rsid wsp:val=&quot;514B3CFC&quot;/&gt;&lt;wsp:rsid wsp:val=&quot;514C1822&quot;/&gt;&lt;wsp:rsid wsp:val=&quot;514F30C0&quot;/&gt;&lt;wsp:rsid wsp:val=&quot;51510332&quot;/&gt;&lt;wsp:rsid wsp:val=&quot;51510BE7&quot;/&gt;&lt;wsp:rsid wsp:val=&quot;51542485&quot;/&gt;&lt;wsp:rsid wsp:val=&quot;51570432&quot;/&gt;&lt;wsp:rsid wsp:val=&quot;51573196&quot;/&gt;&lt;wsp:rsid wsp:val=&quot;51586233&quot;/&gt;&lt;wsp:rsid wsp:val=&quot;51586419&quot;/&gt;&lt;wsp:rsid wsp:val=&quot;51595CED&quot;/&gt;&lt;wsp:rsid wsp:val=&quot;515A3F3F&quot;/&gt;&lt;wsp:rsid wsp:val=&quot;515B3DD2&quot;/&gt;&lt;wsp:rsid wsp:val=&quot;515D57DD&quot;/&gt;&lt;wsp:rsid wsp:val=&quot;515D758B&quot;/&gt;&lt;wsp:rsid wsp:val=&quot;515E2B63&quot;/&gt;&lt;wsp:rsid wsp:val=&quot;515F3303&quot;/&gt;&lt;wsp:rsid wsp:val=&quot;51600054&quot;/&gt;&lt;wsp:rsid wsp:val=&quot;5160707C&quot;/&gt;&lt;wsp:rsid wsp:val=&quot;5162104E&quot;/&gt;&lt;wsp:rsid wsp:val=&quot;51644DBE&quot;/&gt;&lt;wsp:rsid wsp:val=&quot;516642EA&quot;/&gt;&lt;wsp:rsid wsp:val=&quot;51666CAC&quot;/&gt;&lt;wsp:rsid wsp:val=&quot;5169153E&quot;/&gt;&lt;wsp:rsid wsp:val=&quot;516923D4&quot;/&gt;&lt;wsp:rsid wsp:val=&quot;51695F30&quot;/&gt;&lt;wsp:rsid wsp:val=&quot;51696558&quot;/&gt;&lt;wsp:rsid wsp:val=&quot;516B614C&quot;/&gt;&lt;wsp:rsid wsp:val=&quot;516C77CE&quot;/&gt;&lt;wsp:rsid wsp:val=&quot;516E1798&quot;/&gt;&lt;wsp:rsid wsp:val=&quot;51705511&quot;/&gt;&lt;wsp:rsid wsp:val=&quot;51713037&quot;/&gt;&lt;wsp:rsid wsp:val=&quot;51714DE5&quot;/&gt;&lt;wsp:rsid wsp:val=&quot;517174DB&quot;/&gt;&lt;wsp:rsid wsp:val=&quot;51725F12&quot;/&gt;&lt;wsp:rsid wsp:val=&quot;517364CA&quot;/&gt;&lt;wsp:rsid wsp:val=&quot;517372A6&quot;/&gt;&lt;wsp:rsid wsp:val=&quot;51756313&quot;/&gt;&lt;wsp:rsid wsp:val=&quot;51764AF1&quot;/&gt;&lt;wsp:rsid wsp:val=&quot;5176689F&quot;/&gt;&lt;wsp:rsid wsp:val=&quot;517862DB&quot;/&gt;&lt;wsp:rsid wsp:val=&quot;517A013D&quot;/&gt;&lt;wsp:rsid wsp:val=&quot;517A638F&quot;/&gt;&lt;wsp:rsid wsp:val=&quot;517D19DC&quot;/&gt;&lt;wsp:rsid wsp:val=&quot;517F7502&quot;/&gt;&lt;wsp:rsid wsp:val=&quot;51826FF2&quot;/&gt;&lt;wsp:rsid wsp:val=&quot;518412A6&quot;/&gt;&lt;wsp:rsid wsp:val=&quot;51845DE3&quot;/&gt;&lt;wsp:rsid wsp:val=&quot;5184720E&quot;/&gt;&lt;wsp:rsid wsp:val=&quot;51850890&quot;/&gt;&lt;wsp:rsid wsp:val=&quot;51851EB1&quot;/&gt;&lt;wsp:rsid wsp:val=&quot;51856AE2&quot;/&gt;&lt;wsp:rsid wsp:val=&quot;51863288&quot;/&gt;&lt;wsp:rsid wsp:val=&quot;51874608&quot;/&gt;&lt;wsp:rsid wsp:val=&quot;51890380&quot;/&gt;&lt;wsp:rsid wsp:val=&quot;518A40F8&quot;/&gt;&lt;wsp:rsid wsp:val=&quot;518A5EA7&quot;/&gt;&lt;wsp:rsid wsp:val=&quot;518B672F&quot;/&gt;&lt;wsp:rsid wsp:val=&quot;518C1C1F&quot;/&gt;&lt;wsp:rsid wsp:val=&quot;518C4C2B&quot;/&gt;&lt;wsp:rsid wsp:val=&quot;518C60C3&quot;/&gt;&lt;wsp:rsid wsp:val=&quot;519136D9&quot;/&gt;&lt;wsp:rsid wsp:val=&quot;5191557D&quot;/&gt;&lt;wsp:rsid wsp:val=&quot;51917235&quot;/&gt;&lt;wsp:rsid wsp:val=&quot;51932FAD&quot;/&gt;&lt;wsp:rsid wsp:val=&quot;51945ED0&quot;/&gt;&lt;wsp:rsid wsp:val=&quot;51954F77&quot;/&gt;&lt;wsp:rsid wsp:val=&quot;51956D25&quot;/&gt;&lt;wsp:rsid wsp:val=&quot;51976F41&quot;/&gt;&lt;wsp:rsid wsp:val=&quot;51984A67&quot;/&gt;&lt;wsp:rsid wsp:val=&quot;51986D55&quot;/&gt;&lt;wsp:rsid wsp:val=&quot;519B00B4&quot;/&gt;&lt;wsp:rsid wsp:val=&quot;519B2098&quot;/&gt;&lt;wsp:rsid wsp:val=&quot;519C4558&quot;/&gt;&lt;wsp:rsid wsp:val=&quot;519D3E2C&quot;/&gt;&lt;wsp:rsid wsp:val=&quot;519F1952&quot;/&gt;&lt;wsp:rsid wsp:val=&quot;519F2BF9&quot;/&gt;&lt;wsp:rsid wsp:val=&quot;519F5DF6&quot;/&gt;&lt;wsp:rsid wsp:val=&quot;51A0391C&quot;/&gt;&lt;wsp:rsid wsp:val=&quot;51A054E7&quot;/&gt;&lt;wsp:rsid wsp:val=&quot;51A229D8&quot;/&gt;&lt;wsp:rsid wsp:val=&quot;51A57EC9&quot;/&gt;&lt;wsp:rsid wsp:val=&quot;51A96C75&quot;/&gt;&lt;wsp:rsid wsp:val=&quot;51AB479B&quot;/&gt;&lt;wsp:rsid wsp:val=&quot;51B11685&quot;/&gt;&lt;wsp:rsid wsp:val=&quot;51B15B29&quot;/&gt;&lt;wsp:rsid wsp:val=&quot;51B178D7&quot;/&gt;&lt;wsp:rsid wsp:val=&quot;51B20588&quot;/&gt;&lt;wsp:rsid wsp:val=&quot;51B278FC&quot;/&gt;&lt;wsp:rsid wsp:val=&quot;51B318A1&quot;/&gt;&lt;wsp:rsid wsp:val=&quot;51B3364F&quot;/&gt;&lt;wsp:rsid wsp:val=&quot;51B353FD&quot;/&gt;&lt;wsp:rsid wsp:val=&quot;51B435EF&quot;/&gt;&lt;wsp:rsid wsp:val=&quot;51B72F48&quot;/&gt;&lt;wsp:rsid wsp:val=&quot;51B82A14&quot;/&gt;&lt;wsp:rsid wsp:val=&quot;51BA2C30&quot;/&gt;&lt;wsp:rsid wsp:val=&quot;51BA4ED9&quot;/&gt;&lt;wsp:rsid wsp:val=&quot;51BC0756&quot;/&gt;&lt;wsp:rsid wsp:val=&quot;51BC1A4F&quot;/&gt;&lt;wsp:rsid wsp:val=&quot;51BD75E0&quot;/&gt;&lt;wsp:rsid wsp:val=&quot;51BE390E&quot;/&gt;&lt;wsp:rsid wsp:val=&quot;51BE431A&quot;/&gt;&lt;wsp:rsid wsp:val=&quot;51BF0246&quot;/&gt;&lt;wsp:rsid wsp:val=&quot;51BF1FF4&quot;/&gt;&lt;wsp:rsid wsp:val=&quot;51C27D36&quot;/&gt;&lt;wsp:rsid wsp:val=&quot;51C30881&quot;/&gt;&lt;wsp:rsid wsp:val=&quot;51C32DEB&quot;/&gt;&lt;wsp:rsid wsp:val=&quot;51C413B8&quot;/&gt;&lt;wsp:rsid wsp:val=&quot;51C55131&quot;/&gt;&lt;wsp:rsid wsp:val=&quot;51C70EA9&quot;/&gt;&lt;wsp:rsid wsp:val=&quot;51C83E52&quot;/&gt;&lt;wsp:rsid wsp:val=&quot;51C8791B&quot;/&gt;&lt;wsp:rsid wsp:val=&quot;51C94C21&quot;/&gt;&lt;wsp:rsid wsp:val=&quot;51CB2747&quot;/&gt;&lt;wsp:rsid wsp:val=&quot;51CC27B3&quot;/&gt;&lt;wsp:rsid wsp:val=&quot;51CC3074&quot;/&gt;&lt;wsp:rsid wsp:val=&quot;51D3602E&quot;/&gt;&lt;wsp:rsid wsp:val=&quot;51D57A6A&quot;/&gt;&lt;wsp:rsid wsp:val=&quot;51D610EC&quot;/&gt;&lt;wsp:rsid wsp:val=&quot;51D6733E&quot;/&gt;&lt;wsp:rsid wsp:val=&quot;51D718C7&quot;/&gt;&lt;wsp:rsid wsp:val=&quot;51D75590&quot;/&gt;&lt;wsp:rsid wsp:val=&quot;51D81308&quot;/&gt;&lt;wsp:rsid wsp:val=&quot;51DA681B&quot;/&gt;&lt;wsp:rsid wsp:val=&quot;51DB6702&quot;/&gt;&lt;wsp:rsid wsp:val=&quot;51DF2696&quot;/&gt;&lt;wsp:rsid wsp:val=&quot;51DF6918&quot;/&gt;&lt;wsp:rsid wsp:val=&quot;51E11F6A&quot;/&gt;&lt;wsp:rsid wsp:val=&quot;51E1640E&quot;/&gt;&lt;wsp:rsid wsp:val=&quot;51E21056&quot;/&gt;&lt;wsp:rsid wsp:val=&quot;51E27A91&quot;/&gt;&lt;wsp:rsid wsp:val=&quot;51E37825&quot;/&gt;&lt;wsp:rsid wsp:val=&quot;51E43809&quot;/&gt;&lt;wsp:rsid wsp:val=&quot;51E4598F&quot;/&gt;&lt;wsp:rsid wsp:val=&quot;51E657D3&quot;/&gt;&lt;wsp:rsid wsp:val=&quot;51E732F9&quot;/&gt;&lt;wsp:rsid wsp:val=&quot;51E8779D&quot;/&gt;&lt;wsp:rsid wsp:val=&quot;51E90E1F&quot;/&gt;&lt;wsp:rsid wsp:val=&quot;51E93F9C&quot;/&gt;&lt;wsp:rsid wsp:val=&quot;51E952C3&quot;/&gt;&lt;wsp:rsid wsp:val=&quot;51EB4B97&quot;/&gt;&lt;wsp:rsid wsp:val=&quot;51EE0B2B&quot;/&gt;&lt;wsp:rsid wsp:val=&quot;51EE6435&quot;/&gt;&lt;wsp:rsid wsp:val=&quot;51F0145F&quot;/&gt;&lt;wsp:rsid wsp:val=&quot;51F06651&quot;/&gt;&lt;wsp:rsid wsp:val=&quot;51F31C9E&quot;/&gt;&lt;wsp:rsid wsp:val=&quot;51F36142&quot;/&gt;&lt;wsp:rsid wsp:val=&quot;51F37EF0&quot;/&gt;&lt;wsp:rsid wsp:val=&quot;51F55A16&quot;/&gt;&lt;wsp:rsid wsp:val=&quot;51F75BDF&quot;/&gt;&lt;wsp:rsid wsp:val=&quot;51F779E0&quot;/&gt;&lt;wsp:rsid wsp:val=&quot;51FD48CA&quot;/&gt;&lt;wsp:rsid wsp:val=&quot;51FE0D6E&quot;/&gt;&lt;wsp:rsid wsp:val=&quot;51FF6894&quot;/&gt;&lt;wsp:rsid wsp:val=&quot;5201085F&quot;/&gt;&lt;wsp:rsid wsp:val=&quot;5201260D&quot;/&gt;&lt;wsp:rsid wsp:val=&quot;52020133&quot;/&gt;&lt;wsp:rsid wsp:val=&quot;52036385&quot;/&gt;&lt;wsp:rsid wsp:val=&quot;52043EAB&quot;/&gt;&lt;wsp:rsid wsp:val=&quot;52045C59&quot;/&gt;&lt;wsp:rsid wsp:val=&quot;52053F6D&quot;/&gt;&lt;wsp:rsid wsp:val=&quot;52063512&quot;/&gt;&lt;wsp:rsid wsp:val=&quot;52065E75&quot;/&gt;&lt;wsp:rsid wsp:val=&quot;52067C23&quot;/&gt;&lt;wsp:rsid wsp:val=&quot;520774F7&quot;/&gt;&lt;wsp:rsid wsp:val=&quot;5208399B&quot;/&gt;&lt;wsp:rsid wsp:val=&quot;5209326F&quot;/&gt;&lt;wsp:rsid wsp:val=&quot;520D0FB1&quot;/&gt;&lt;wsp:rsid wsp:val=&quot;520D4567&quot;/&gt;&lt;wsp:rsid wsp:val=&quot;520E4D2A&quot;/&gt;&lt;wsp:rsid wsp:val=&quot;520E6AD8&quot;/&gt;&lt;wsp:rsid wsp:val=&quot;520F187D&quot;/&gt;&lt;wsp:rsid wsp:val=&quot;52100AA2&quot;/&gt;&lt;wsp:rsid wsp:val=&quot;521039DF&quot;/&gt;&lt;wsp:rsid wsp:val=&quot;521161D6&quot;/&gt;&lt;wsp:rsid wsp:val=&quot;5212481A&quot;/&gt;&lt;wsp:rsid wsp:val=&quot;521340EE&quot;/&gt;&lt;wsp:rsid wsp:val=&quot;52135808&quot;/&gt;&lt;wsp:rsid wsp:val=&quot;521560B8&quot;/&gt;&lt;wsp:rsid wsp:val=&quot;52157E66&quot;/&gt;&lt;wsp:rsid wsp:val=&quot;52171E30&quot;/&gt;&lt;wsp:rsid wsp:val=&quot;52173BDE&quot;/&gt;&lt;wsp:rsid wsp:val=&quot;5217598C&quot;/&gt;&lt;wsp:rsid wsp:val=&quot;52187956&quot;/&gt;&lt;wsp:rsid wsp:val=&quot;521C2FA3&quot;/&gt;&lt;wsp:rsid wsp:val=&quot;521C7446&quot;/&gt;&lt;wsp:rsid wsp:val=&quot;521D6D1B&quot;/&gt;&lt;wsp:rsid wsp:val=&quot;521F17D2&quot;/&gt;&lt;wsp:rsid wsp:val=&quot;521F2A93&quot;/&gt;&lt;wsp:rsid wsp:val=&quot;52207E0C&quot;/&gt;&lt;wsp:rsid wsp:val=&quot;52210308&quot;/&gt;&lt;wsp:rsid wsp:val=&quot;52224331&quot;/&gt;&lt;wsp:rsid wsp:val=&quot;522307D5&quot;/&gt;&lt;wsp:rsid wsp:val=&quot;522410D4&quot;/&gt;&lt;wsp:rsid wsp:val=&quot;522602C5&quot;/&gt;&lt;wsp:rsid wsp:val=&quot;52262073&quot;/&gt;&lt;wsp:rsid wsp:val=&quot;52263E21&quot;/&gt;&lt;wsp:rsid wsp:val=&quot;52275EA9&quot;/&gt;&lt;wsp:rsid wsp:val=&quot;52287B99&quot;/&gt;&lt;wsp:rsid wsp:val=&quot;52291B63&quot;/&gt;&lt;wsp:rsid wsp:val=&quot;522B58DB&quot;/&gt;&lt;wsp:rsid wsp:val=&quot;522B768A&quot;/&gt;&lt;wsp:rsid wsp:val=&quot;522C6459&quot;/&gt;&lt;wsp:rsid wsp:val=&quot;522E0F28&quot;/&gt;&lt;wsp:rsid wsp:val=&quot;52326C6A&quot;/&gt;&lt;wsp:rsid wsp:val=&quot;523302EC&quot;/&gt;&lt;wsp:rsid wsp:val=&quot;52344790&quot;/&gt;&lt;wsp:rsid wsp:val=&quot;523522B6&quot;/&gt;&lt;wsp:rsid wsp:val=&quot;523625A1&quot;/&gt;&lt;wsp:rsid wsp:val=&quot;52363773&quot;/&gt;&lt;wsp:rsid wsp:val=&quot;52374280&quot;/&gt;&lt;wsp:rsid wsp:val=&quot;523A167B&quot;/&gt;&lt;wsp:rsid wsp:val=&quot;523A2882&quot;/&gt;&lt;wsp:rsid wsp:val=&quot;523A5B1F&quot;/&gt;&lt;wsp:rsid wsp:val=&quot;523A78CD&quot;/&gt;&lt;wsp:rsid wsp:val=&quot;523E560F&quot;/&gt;&lt;wsp:rsid wsp:val=&quot;523E73BD&quot;/&gt;&lt;wsp:rsid wsp:val=&quot;523F4EE3&quot;/&gt;&lt;wsp:rsid wsp:val=&quot;52406284&quot;/&gt;&lt;wsp:rsid wsp:val=&quot;52412A09&quot;/&gt;&lt;wsp:rsid wsp:val=&quot;52432C25&quot;/&gt;&lt;wsp:rsid wsp:val=&quot;5245699D&quot;/&gt;&lt;wsp:rsid wsp:val=&quot;5246001F&quot;/&gt;&lt;wsp:rsid wsp:val=&quot;52462715&quot;/&gt;&lt;wsp:rsid wsp:val=&quot;5248054A&quot;/&gt;&lt;wsp:rsid wsp:val=&quot;52497B10&quot;/&gt;&lt;wsp:rsid wsp:val=&quot;524B1ADA&quot;/&gt;&lt;wsp:rsid wsp:val=&quot;524D28F9&quot;/&gt;&lt;wsp:rsid wsp:val=&quot;524D5852&quot;/&gt;&lt;wsp:rsid wsp:val=&quot;524D7600&quot;/&gt;&lt;wsp:rsid wsp:val=&quot;525070F0&quot;/&gt;&lt;wsp:rsid wsp:val=&quot;525377A0&quot;/&gt;&lt;wsp:rsid wsp:val=&quot;52552958&quot;/&gt;&lt;wsp:rsid wsp:val=&quot;525564B4&quot;/&gt;&lt;wsp:rsid wsp:val=&quot;52562EB1&quot;/&gt;&lt;wsp:rsid wsp:val=&quot;5257047F&quot;/&gt;&lt;wsp:rsid wsp:val=&quot;525766D1&quot;/&gt;&lt;wsp:rsid wsp:val=&quot;525941F7&quot;/&gt;&lt;wsp:rsid wsp:val=&quot;52595FA5&quot;/&gt;&lt;wsp:rsid wsp:val=&quot;525A7F6F&quot;/&gt;&lt;wsp:rsid wsp:val=&quot;525B7E1D&quot;/&gt;&lt;wsp:rsid wsp:val=&quot;525D5136&quot;/&gt;&lt;wsp:rsid wsp:val=&quot;525E180D&quot;/&gt;&lt;wsp:rsid wsp:val=&quot;525E5A85&quot;/&gt;&lt;wsp:rsid wsp:val=&quot;525F17E0&quot;/&gt;&lt;wsp:rsid wsp:val=&quot;525F7333&quot;/&gt;&lt;wsp:rsid wsp:val=&quot;52676E2D&quot;/&gt;&lt;wsp:rsid wsp:val=&quot;526B217C&quot;/&gt;&lt;wsp:rsid wsp:val=&quot;526D7CA2&quot;/&gt;&lt;wsp:rsid wsp:val=&quot;526F3A1A&quot;/&gt;&lt;wsp:rsid wsp:val=&quot;526F5AE9&quot;/&gt;&lt;wsp:rsid wsp:val=&quot;52701540&quot;/&gt;&lt;wsp:rsid wsp:val=&quot;52727066&quot;/&gt;&lt;wsp:rsid wsp:val=&quot;52741030&quot;/&gt;&lt;wsp:rsid wsp:val=&quot;52742DDF&quot;/&gt;&lt;wsp:rsid wsp:val=&quot;52750905&quot;/&gt;&lt;wsp:rsid wsp:val=&quot;527728CF&quot;/&gt;&lt;wsp:rsid wsp:val=&quot;52775881&quot;/&gt;&lt;wsp:rsid wsp:val=&quot;527821A3&quot;/&gt;&lt;wsp:rsid wsp:val=&quot;527949B6&quot;/&gt;&lt;wsp:rsid wsp:val=&quot;52796647&quot;/&gt;&lt;wsp:rsid wsp:val=&quot;527A5F1B&quot;/&gt;&lt;wsp:rsid wsp:val=&quot;527B23BF&quot;/&gt;&lt;wsp:rsid wsp:val=&quot;527C6137&quot;/&gt;&lt;wsp:rsid wsp:val=&quot;527C7EE5&quot;/&gt;&lt;wsp:rsid wsp:val=&quot;527E3C5D&quot;/&gt;&lt;wsp:rsid wsp:val=&quot;527E7E13&quot;/&gt;&lt;wsp:rsid wsp:val=&quot;527F3531&quot;/&gt;&lt;wsp:rsid wsp:val=&quot;528079D5&quot;/&gt;&lt;wsp:rsid wsp:val=&quot;52846D9A&quot;/&gt;&lt;wsp:rsid wsp:val=&quot;5285680A&quot;/&gt;&lt;wsp:rsid wsp:val=&quot;52860D64&quot;/&gt;&lt;wsp:rsid wsp:val=&quot;52880638&quot;/&gt;&lt;wsp:rsid wsp:val=&quot;52892D6A&quot;/&gt;&lt;wsp:rsid wsp:val=&quot;528943B0&quot;/&gt;&lt;wsp:rsid wsp:val=&quot;528A0854&quot;/&gt;&lt;wsp:rsid wsp:val=&quot;528B1ED6&quot;/&gt;&lt;wsp:rsid wsp:val=&quot;528D3EA0&quot;/&gt;&lt;wsp:rsid wsp:val=&quot;52911BE2&quot;/&gt;&lt;wsp:rsid wsp:val=&quot;529214B7&quot;/&gt;&lt;wsp:rsid wsp:val=&quot;529273E1&quot;/&gt;&lt;wsp:rsid wsp:val=&quot;529308D2&quot;/&gt;&lt;wsp:rsid wsp:val=&quot;5294522F&quot;/&gt;&lt;wsp:rsid wsp:val=&quot;52950FA7&quot;/&gt;&lt;wsp:rsid wsp:val=&quot;52972F71&quot;/&gt;&lt;wsp:rsid wsp:val=&quot;52974D1F&quot;/&gt;&lt;wsp:rsid wsp:val=&quot;52992845&quot;/&gt;&lt;wsp:rsid wsp:val=&quot;529945F3&quot;/&gt;&lt;wsp:rsid wsp:val=&quot;529A0DFF&quot;/&gt;&lt;wsp:rsid wsp:val=&quot;529C0587&quot;/&gt;&lt;wsp:rsid wsp:val=&quot;529C2335&quot;/&gt;&lt;wsp:rsid wsp:val=&quot;529D2670&quot;/&gt;&lt;wsp:rsid wsp:val=&quot;529E60AD&quot;/&gt;&lt;wsp:rsid wsp:val=&quot;529E7E5B&quot;/&gt;&lt;wsp:rsid wsp:val=&quot;52A00D5B&quot;/&gt;&lt;wsp:rsid wsp:val=&quot;52A15B9E&quot;/&gt;&lt;wsp:rsid wsp:val=&quot;52A30116&quot;/&gt;&lt;wsp:rsid wsp:val=&quot;52A336C4&quot;/&gt;&lt;wsp:rsid wsp:val=&quot;52A35472&quot;/&gt;&lt;wsp:rsid wsp:val=&quot;52A511EA&quot;/&gt;&lt;wsp:rsid wsp:val=&quot;52A66D10&quot;/&gt;&lt;wsp:rsid wsp:val=&quot;52A94F25&quot;/&gt;&lt;wsp:rsid wsp:val=&quot;52AB2578&quot;/&gt;&lt;wsp:rsid wsp:val=&quot;52AF3E17&quot;/&gt;&lt;wsp:rsid wsp:val=&quot;52B0193D&quot;/&gt;&lt;wsp:rsid wsp:val=&quot;52B14033&quot;/&gt;&lt;wsp:rsid wsp:val=&quot;52B15DE1&quot;/&gt;&lt;wsp:rsid wsp:val=&quot;52B17615&quot;/&gt;&lt;wsp:rsid wsp:val=&quot;52B22C17&quot;/&gt;&lt;wsp:rsid wsp:val=&quot;52B23907&quot;/&gt;&lt;wsp:rsid wsp:val=&quot;52B4767F&quot;/&gt;&lt;wsp:rsid wsp:val=&quot;52B6137F&quot;/&gt;&lt;wsp:rsid wsp:val=&quot;52B61649&quot;/&gt;&lt;wsp:rsid wsp:val=&quot;52B70F1D&quot;/&gt;&lt;wsp:rsid wsp:val=&quot;52B72CCB&quot;/&gt;&lt;wsp:rsid wsp:val=&quot;52B74753&quot;/&gt;&lt;wsp:rsid wsp:val=&quot;52B94C95&quot;/&gt;&lt;wsp:rsid wsp:val=&quot;52BA27BB&quot;/&gt;&lt;wsp:rsid wsp:val=&quot;52BB6C5F&quot;/&gt;&lt;wsp:rsid wsp:val=&quot;52BC29D7&quot;/&gt;&lt;wsp:rsid wsp:val=&quot;52BC7A43&quot;/&gt;&lt;wsp:rsid wsp:val=&quot;52C038CF&quot;/&gt;&lt;wsp:rsid wsp:val=&quot;52C27FEE&quot;/&gt;&lt;wsp:rsid wsp:val=&quot;52C33D66&quot;/&gt;&lt;wsp:rsid wsp:val=&quot;52C378C2&quot;/&gt;&lt;wsp:rsid wsp:val=&quot;52C5188C&quot;/&gt;&lt;wsp:rsid wsp:val=&quot;52C52FBD&quot;/&gt;&lt;wsp:rsid wsp:val=&quot;52C5363A&quot;/&gt;&lt;wsp:rsid wsp:val=&quot;52C55120&quot;/&gt;&lt;wsp:rsid wsp:val=&quot;52C6444D&quot;/&gt;&lt;wsp:rsid wsp:val=&quot;52C8137C&quot;/&gt;&lt;wsp:rsid wsp:val=&quot;52C901FD&quot;/&gt;&lt;wsp:rsid wsp:val=&quot;52C93C68&quot;/&gt;&lt;wsp:rsid wsp:val=&quot;52CA28B0&quot;/&gt;&lt;wsp:rsid wsp:val=&quot;52CA29FF&quot;/&gt;&lt;wsp:rsid wsp:val=&quot;52CA425E&quot;/&gt;&lt;wsp:rsid wsp:val=&quot;52CB49C9&quot;/&gt;&lt;wsp:rsid wsp:val=&quot;52CB56EE&quot;/&gt;&lt;wsp:rsid wsp:val=&quot;52CD28C8&quot;/&gt;&lt;wsp:rsid wsp:val=&quot;52CF270B&quot;/&gt;&lt;wsp:rsid wsp:val=&quot;52CF44B9&quot;/&gt;&lt;wsp:rsid wsp:val=&quot;52D03D8D&quot;/&gt;&lt;wsp:rsid wsp:val=&quot;52D05B9E&quot;/&gt;&lt;wsp:rsid wsp:val=&quot;52D10231&quot;/&gt;&lt;wsp:rsid wsp:val=&quot;52D23FA9&quot;/&gt;&lt;wsp:rsid wsp:val=&quot;52D27B05&quot;/&gt;&lt;wsp:rsid wsp:val=&quot;52D41ACF&quot;/&gt;&lt;wsp:rsid wsp:val=&quot;52D4387D&quot;/&gt;&lt;wsp:rsid wsp:val=&quot;52D61371&quot;/&gt;&lt;wsp:rsid wsp:val=&quot;52D715BF&quot;/&gt;&lt;wsp:rsid wsp:val=&quot;52D7336D&quot;/&gt;&lt;wsp:rsid wsp:val=&quot;52D824FC&quot;/&gt;&lt;wsp:rsid wsp:val=&quot;52D85640&quot;/&gt;&lt;wsp:rsid wsp:val=&quot;52D90E94&quot;/&gt;&lt;wsp:rsid wsp:val=&quot;52D94008&quot;/&gt;&lt;wsp:rsid wsp:val=&quot;52DA79A1&quot;/&gt;&lt;wsp:rsid wsp:val=&quot;52DB4C0C&quot;/&gt;&lt;wsp:rsid wsp:val=&quot;52DE294E&quot;/&gt;&lt;wsp:rsid wsp:val=&quot;52DF00AD&quot;/&gt;&lt;wsp:rsid wsp:val=&quot;52E07BC5&quot;/&gt;&lt;wsp:rsid wsp:val=&quot;52E15F9A&quot;/&gt;&lt;wsp:rsid wsp:val=&quot;52E34B56&quot;/&gt;&lt;wsp:rsid wsp:val=&quot;52E43DC1&quot;/&gt;&lt;wsp:rsid wsp:val=&quot;52E63A37&quot;/&gt;&lt;wsp:rsid wsp:val=&quot;52E837CD&quot;/&gt;&lt;wsp:rsid wsp:val=&quot;52EA0F57&quot;/&gt;&lt;wsp:rsid wsp:val=&quot;52EA4E4F&quot;/&gt;&lt;wsp:rsid wsp:val=&quot;52EC6E19&quot;/&gt;&lt;wsp:rsid wsp:val=&quot;52F04408&quot;/&gt;&lt;wsp:rsid wsp:val=&quot;52F061DD&quot;/&gt;&lt;wsp:rsid wsp:val=&quot;52F263F9&quot;/&gt;&lt;wsp:rsid wsp:val=&quot;52F65EE9&quot;/&gt;&lt;wsp:rsid wsp:val=&quot;52F83A10&quot;/&gt;&lt;wsp:rsid wsp:val=&quot;52F9532F&quot;/&gt;&lt;wsp:rsid wsp:val=&quot;52FB52AE&quot;/&gt;&lt;wsp:rsid wsp:val=&quot;52FC2DD4&quot;/&gt;&lt;wsp:rsid wsp:val=&quot;52FC4B82&quot;/&gt;&lt;wsp:rsid wsp:val=&quot;52FE6B4C&quot;/&gt;&lt;wsp:rsid wsp:val=&quot;52FF0F42&quot;/&gt;&lt;wsp:rsid wsp:val=&quot;53000B16&quot;/&gt;&lt;wsp:rsid wsp:val=&quot;530028C4&quot;/&gt;&lt;wsp:rsid wsp:val=&quot;5302488E&quot;/&gt;&lt;wsp:rsid wsp:val=&quot;53051C89&quot;/&gt;&lt;wsp:rsid wsp:val=&quot;53065A01&quot;/&gt;&lt;wsp:rsid wsp:val=&quot;53073C53&quot;/&gt;&lt;wsp:rsid wsp:val=&quot;530823C4&quot;/&gt;&lt;wsp:rsid wsp:val=&quot;530838D7&quot;/&gt;&lt;wsp:rsid wsp:val=&quot;53084200&quot;/&gt;&lt;wsp:rsid wsp:val=&quot;53095C1D&quot;/&gt;&lt;wsp:rsid wsp:val=&quot;530B580B&quot;/&gt;&lt;wsp:rsid wsp:val=&quot;530C7DF3&quot;/&gt;&lt;wsp:rsid wsp:val=&quot;530E2C43&quot;/&gt;&lt;wsp:rsid wsp:val=&quot;530F48B5&quot;/&gt;&lt;wsp:rsid wsp:val=&quot;53114AD1&quot;/&gt;&lt;wsp:rsid wsp:val=&quot;5312149E&quot;/&gt;&lt;wsp:rsid wsp:val=&quot;531225F7&quot;/&gt;&lt;wsp:rsid wsp:val=&quot;531243A6&quot;/&gt;&lt;wsp:rsid wsp:val=&quot;5314011E&quot;/&gt;&lt;wsp:rsid wsp:val=&quot;531533C5&quot;/&gt;&lt;wsp:rsid wsp:val=&quot;53163E96&quot;/&gt;&lt;wsp:rsid wsp:val=&quot;53184E30&quot;/&gt;&lt;wsp:rsid wsp:val=&quot;53185368&quot;/&gt;&lt;wsp:rsid wsp:val=&quot;53192DA1&quot;/&gt;&lt;wsp:rsid wsp:val=&quot;53193986&quot;/&gt;&lt;wsp:rsid wsp:val=&quot;531B6F3F&quot;/&gt;&lt;wsp:rsid wsp:val=&quot;531B76FE&quot;/&gt;&lt;wsp:rsid wsp:val=&quot;531C3B06&quot;/&gt;&lt;wsp:rsid wsp:val=&quot;531C6FD2&quot;/&gt;&lt;wsp:rsid wsp:val=&quot;531D3476&quot;/&gt;&lt;wsp:rsid wsp:val=&quot;531E0F9C&quot;/&gt;&lt;wsp:rsid wsp:val=&quot;531F6462&quot;/&gt;&lt;wsp:rsid wsp:val=&quot;532053C7&quot;/&gt;&lt;wsp:rsid wsp:val=&quot;5322283B&quot;/&gt;&lt;wsp:rsid wsp:val=&quot;53230361&quot;/&gt;&lt;wsp:rsid wsp:val=&quot;5325232B&quot;/&gt;&lt;wsp:rsid wsp:val=&quot;53267789&quot;/&gt;&lt;wsp:rsid wsp:val=&quot;532760A3&quot;/&gt;&lt;wsp:rsid wsp:val=&quot;53285977&quot;/&gt;&lt;wsp:rsid wsp:val=&quot;532A5B93&quot;/&gt;&lt;wsp:rsid wsp:val=&quot;532C190B&quot;/&gt;&lt;wsp:rsid wsp:val=&quot;532C36B9&quot;/&gt;&lt;wsp:rsid wsp:val=&quot;532C5467&quot;/&gt;&lt;wsp:rsid wsp:val=&quot;532D5299&quot;/&gt;&lt;wsp:rsid wsp:val=&quot;532E5683&quot;/&gt;&lt;wsp:rsid wsp:val=&quot;532E7431&quot;/&gt;&lt;wsp:rsid wsp:val=&quot;53301F7C&quot;/&gt;&lt;wsp:rsid wsp:val=&quot;53317258&quot;/&gt;&lt;wsp:rsid wsp:val=&quot;533267F6&quot;/&gt;&lt;wsp:rsid wsp:val=&quot;53332C9A&quot;/&gt;&lt;wsp:rsid wsp:val=&quot;53334A48&quot;/&gt;&lt;wsp:rsid wsp:val=&quot;533407C0&quot;/&gt;&lt;wsp:rsid wsp:val=&quot;533662E6&quot;/&gt;&lt;wsp:rsid wsp:val=&quot;53397B84&quot;/&gt;&lt;wsp:rsid wsp:val=&quot;533B1B4E&quot;/&gt;&lt;wsp:rsid wsp:val=&quot;533B56AA&quot;/&gt;&lt;wsp:rsid wsp:val=&quot;533B7DA0&quot;/&gt;&lt;wsp:rsid wsp:val=&quot;533C1422&quot;/&gt;&lt;wsp:rsid wsp:val=&quot;533D4580&quot;/&gt;&lt;wsp:rsid wsp:val=&quot;53402B31&quot;/&gt;&lt;wsp:rsid wsp:val=&quot;53422EDD&quot;/&gt;&lt;wsp:rsid wsp:val=&quot;534327B1&quot;/&gt;&lt;wsp:rsid wsp:val=&quot;534529CD&quot;/&gt;&lt;wsp:rsid wsp:val=&quot;5345477B&quot;/&gt;&lt;wsp:rsid wsp:val=&quot;53487DC7&quot;/&gt;&lt;wsp:rsid wsp:val=&quot;5349426B&quot;/&gt;&lt;wsp:rsid wsp:val=&quot;534F1156&quot;/&gt;&lt;wsp:rsid wsp:val=&quot;534F1A4B&quot;/&gt;&lt;wsp:rsid wsp:val=&quot;534F34A0&quot;/&gt;&lt;wsp:rsid wsp:val=&quot;534F55FA&quot;/&gt;&lt;wsp:rsid wsp:val=&quot;534F73A8&quot;/&gt;&lt;wsp:rsid wsp:val=&quot;535112B4&quot;/&gt;&lt;wsp:rsid wsp:val=&quot;53511372&quot;/&gt;&lt;wsp:rsid wsp:val=&quot;53541376&quot;/&gt;&lt;wsp:rsid wsp:val=&quot;53542C10&quot;/&gt;&lt;wsp:rsid wsp:val=&quot;53566988&quot;/&gt;&lt;wsp:rsid wsp:val=&quot;53580985&quot;/&gt;&lt;wsp:rsid wsp:val=&quot;535835B1&quot;/&gt;&lt;wsp:rsid wsp:val=&quot;53590226&quot;/&gt;&lt;wsp:rsid wsp:val=&quot;535B0F2F&quot;/&gt;&lt;wsp:rsid wsp:val=&quot;535B3F9E&quot;/&gt;&lt;wsp:rsid wsp:val=&quot;535B5D4C&quot;/&gt;&lt;wsp:rsid wsp:val=&quot;535B7AFB&quot;/&gt;&lt;wsp:rsid wsp:val=&quot;535D220F&quot;/&gt;&lt;wsp:rsid wsp:val=&quot;53603363&quot;/&gt;&lt;wsp:rsid wsp:val=&quot;53620E89&quot;/&gt;&lt;wsp:rsid wsp:val=&quot;536270DB&quot;/&gt;&lt;wsp:rsid wsp:val=&quot;536410A5&quot;/&gt;&lt;wsp:rsid wsp:val=&quot;53650979&quot;/&gt;&lt;wsp:rsid wsp:val=&quot;53654E1D&quot;/&gt;&lt;wsp:rsid wsp:val=&quot;53664C1B&quot;/&gt;&lt;wsp:rsid wsp:val=&quot;53670B95&quot;/&gt;&lt;wsp:rsid wsp:val=&quot;536760AB&quot;/&gt;&lt;wsp:rsid wsp:val=&quot;5367649F&quot;/&gt;&lt;wsp:rsid wsp:val=&quot;53682217&quot;/&gt;&lt;wsp:rsid wsp:val=&quot;5368753B&quot;/&gt;&lt;wsp:rsid wsp:val=&quot;536A40FE&quot;/&gt;&lt;wsp:rsid wsp:val=&quot;536B4A2C&quot;/&gt;&lt;wsp:rsid wsp:val=&quot;536B75FD&quot;/&gt;&lt;wsp:rsid wsp:val=&quot;536C7F5A&quot;/&gt;&lt;wsp:rsid wsp:val=&quot;536E3CD2&quot;/&gt;&lt;wsp:rsid wsp:val=&quot;536E5A80&quot;/&gt;&lt;wsp:rsid wsp:val=&quot;537137C2&quot;/&gt;&lt;wsp:rsid wsp:val=&quot;53715570&quot;/&gt;&lt;wsp:rsid wsp:val=&quot;53760DD8&quot;/&gt;&lt;wsp:rsid wsp:val=&quot;537868FE&quot;/&gt;&lt;wsp:rsid wsp:val=&quot;537961D3&quot;/&gt;&lt;wsp:rsid wsp:val=&quot;537A08C9&quot;/&gt;&lt;wsp:rsid wsp:val=&quot;537B019D&quot;/&gt;&lt;wsp:rsid wsp:val=&quot;537B63EF&quot;/&gt;&lt;wsp:rsid wsp:val=&quot;537D0B6D&quot;/&gt;&lt;wsp:rsid wsp:val=&quot;537D3F15&quot;/&gt;&lt;wsp:rsid wsp:val=&quot;537D4605&quot;/&gt;&lt;wsp:rsid wsp:val=&quot;537E1A3B&quot;/&gt;&lt;wsp:rsid wsp:val=&quot;53800393&quot;/&gt;&lt;wsp:rsid wsp:val=&quot;538057B3&quot;/&gt;&lt;wsp:rsid wsp:val=&quot;5382777D&quot;/&gt;&lt;wsp:rsid wsp:val=&quot;53837051&quot;/&gt;&lt;wsp:rsid wsp:val=&quot;538434F5&quot;/&gt;&lt;wsp:rsid wsp:val=&quot;53852DC9&quot;/&gt;&lt;wsp:rsid wsp:val=&quot;53872B84&quot;/&gt;&lt;wsp:rsid wsp:val=&quot;53874D93&quot;/&gt;&lt;wsp:rsid wsp:val=&quot;53876B42&quot;/&gt;&lt;wsp:rsid wsp:val=&quot;53897FB5&quot;/&gt;&lt;wsp:rsid wsp:val=&quot;538C5F06&quot;/&gt;&lt;wsp:rsid wsp:val=&quot;538C7FF0&quot;/&gt;&lt;wsp:rsid wsp:val=&quot;538E6122&quot;/&gt;&lt;wsp:rsid wsp:val=&quot;538E7ED0&quot;/&gt;&lt;wsp:rsid wsp:val=&quot;53901E9A&quot;/&gt;&lt;wsp:rsid wsp:val=&quot;53915C12&quot;/&gt;&lt;wsp:rsid wsp:val=&quot;539179C0&quot;/&gt;&lt;wsp:rsid wsp:val=&quot;5394125E&quot;/&gt;&lt;wsp:rsid wsp:val=&quot;53955611&quot;/&gt;&lt;wsp:rsid wsp:val=&quot;53955B21&quot;/&gt;&lt;wsp:rsid wsp:val=&quot;53956A7C&quot;/&gt;&lt;wsp:rsid wsp:val=&quot;53963229&quot;/&gt;&lt;wsp:rsid wsp:val=&quot;53980D4F&quot;/&gt;&lt;wsp:rsid wsp:val=&quot;539A4AC7&quot;/&gt;&lt;wsp:rsid wsp:val=&quot;539A6875&quot;/&gt;&lt;wsp:rsid wsp:val=&quot;539D0113&quot;/&gt;&lt;wsp:rsid wsp:val=&quot;539D6365&quot;/&gt;&lt;wsp:rsid wsp:val=&quot;539F21DB&quot;/&gt;&lt;wsp:rsid wsp:val=&quot;53A019B1&quot;/&gt;&lt;wsp:rsid wsp:val=&quot;53A039CC&quot;/&gt;&lt;wsp:rsid wsp:val=&quot;53A05E55&quot;/&gt;&lt;wsp:rsid wsp:val=&quot;53A1505A&quot;/&gt;&lt;wsp:rsid wsp:val=&quot;53A2397B&quot;/&gt;&lt;wsp:rsid wsp:val=&quot;53A30B5C&quot;/&gt;&lt;wsp:rsid wsp:val=&quot;53A414A2&quot;/&gt;&lt;wsp:rsid wsp:val=&quot;53A476F3&quot;/&gt;&lt;wsp:rsid wsp:val=&quot;53A478DD&quot;/&gt;&lt;wsp:rsid wsp:val=&quot;53A55E1D&quot;/&gt;&lt;wsp:rsid wsp:val=&quot;53A92F5C&quot;/&gt;&lt;wsp:rsid wsp:val=&quot;53A94D0A&quot;/&gt;&lt;wsp:rsid wsp:val=&quot;53AC0356&quot;/&gt;&lt;wsp:rsid wsp:val=&quot;53AC5F20&quot;/&gt;&lt;wsp:rsid wsp:val=&quot;53AC65A8&quot;/&gt;&lt;wsp:rsid wsp:val=&quot;53AF1CD0&quot;/&gt;&lt;wsp:rsid wsp:val=&quot;53B042EA&quot;/&gt;&lt;wsp:rsid wsp:val=&quot;53B12890&quot;/&gt;&lt;wsp:rsid wsp:val=&quot;53B20651&quot;/&gt;&lt;wsp:rsid wsp:val=&quot;53B37937&quot;/&gt;&lt;wsp:rsid wsp:val=&quot;53B4545D&quot;/&gt;&lt;wsp:rsid wsp:val=&quot;53B536AF&quot;/&gt;&lt;wsp:rsid wsp:val=&quot;53B54F6C&quot;/&gt;&lt;wsp:rsid wsp:val=&quot;53B611D5&quot;/&gt;&lt;wsp:rsid wsp:val=&quot;53B73292&quot;/&gt;&lt;wsp:rsid wsp:val=&quot;53B8319F&quot;/&gt;&lt;wsp:rsid wsp:val=&quot;53B83AC3&quot;/&gt;&lt;wsp:rsid wsp:val=&quot;53B84F4D&quot;/&gt;&lt;wsp:rsid wsp:val=&quot;53B86CFB&quot;/&gt;&lt;wsp:rsid wsp:val=&quot;53B92A73&quot;/&gt;&lt;wsp:rsid wsp:val=&quot;53BB19B4&quot;/&gt;&lt;wsp:rsid wsp:val=&quot;53BB4A3D&quot;/&gt;&lt;wsp:rsid wsp:val=&quot;53BB67EB&quot;/&gt;&lt;wsp:rsid wsp:val=&quot;53BD07B5&quot;/&gt;&lt;wsp:rsid wsp:val=&quot;53BD2563&quot;/&gt;&lt;wsp:rsid wsp:val=&quot;53BF34E9&quot;/&gt;&lt;wsp:rsid wsp:val=&quot;53BF62DB&quot;/&gt;&lt;wsp:rsid wsp:val=&quot;53C02053&quot;/&gt;&lt;wsp:rsid wsp:val=&quot;53C10883&quot;/&gt;&lt;wsp:rsid wsp:val=&quot;53C20950&quot;/&gt;&lt;wsp:rsid wsp:val=&quot;53C26F1E&quot;/&gt;&lt;wsp:rsid wsp:val=&quot;53C438F2&quot;/&gt;&lt;wsp:rsid wsp:val=&quot;53CD53C4&quot;/&gt;&lt;wsp:rsid wsp:val=&quot;53CD699A&quot;/&gt;&lt;wsp:rsid wsp:val=&quot;53CE29C2&quot;/&gt;&lt;wsp:rsid wsp:val=&quot;53CF08F5&quot;/&gt;&lt;wsp:rsid wsp:val=&quot;53D01589&quot;/&gt;&lt;wsp:rsid wsp:val=&quot;53D0673A&quot;/&gt;&lt;wsp:rsid wsp:val=&quot;53D46EE2&quot;/&gt;&lt;wsp:rsid wsp:val=&quot;53D55AFF&quot;/&gt;&lt;wsp:rsid wsp:val=&quot;53D578AD&quot;/&gt;&lt;wsp:rsid wsp:val=&quot;53DA1367&quot;/&gt;&lt;wsp:rsid wsp:val=&quot;53DC38BE&quot;/&gt;&lt;wsp:rsid wsp:val=&quot;53DD49B3&quot;/&gt;&lt;wsp:rsid wsp:val=&quot;53E06252&quot;/&gt;&lt;wsp:rsid wsp:val=&quot;53E126F6&quot;/&gt;&lt;wsp:rsid wsp:val=&quot;53E16415&quot;/&gt;&lt;wsp:rsid wsp:val=&quot;53E45D42&quot;/&gt;&lt;wsp:rsid wsp:val=&quot;53E47AF0&quot;/&gt;&lt;wsp:rsid wsp:val=&quot;53E709D1&quot;/&gt;&lt;wsp:rsid wsp:val=&quot;53E75832&quot;/&gt;&lt;wsp:rsid wsp:val=&quot;53E77541&quot;/&gt;&lt;wsp:rsid wsp:val=&quot;53E84895&quot;/&gt;&lt;wsp:rsid wsp:val=&quot;53E915AA&quot;/&gt;&lt;wsp:rsid wsp:val=&quot;53E93358&quot;/&gt;&lt;wsp:rsid wsp:val=&quot;53EA0E7E&quot;/&gt;&lt;wsp:rsid wsp:val=&quot;53EB70D0&quot;/&gt;&lt;wsp:rsid wsp:val=&quot;53EC33B3&quot;/&gt;&lt;wsp:rsid wsp:val=&quot;53EE4E13&quot;/&gt;&lt;wsp:rsid wsp:val=&quot;53EE6BC1&quot;/&gt;&lt;wsp:rsid wsp:val=&quot;53F00B8B&quot;/&gt;&lt;wsp:rsid wsp:val=&quot;53F15CD4&quot;/&gt;&lt;wsp:rsid wsp:val=&quot;53F341D7&quot;/&gt;&lt;wsp:rsid wsp:val=&quot;53F34990&quot;/&gt;&lt;wsp:rsid wsp:val=&quot;53F45247&quot;/&gt;&lt;wsp:rsid wsp:val=&quot;53F526AB&quot;/&gt;&lt;wsp:rsid wsp:val=&quot;53F64465&quot;/&gt;&lt;wsp:rsid wsp:val=&quot;53F73CC7&quot;/&gt;&lt;wsp:rsid wsp:val=&quot;53F975CD&quot;/&gt;&lt;wsp:rsid wsp:val=&quot;53FA5565&quot;/&gt;&lt;wsp:rsid wsp:val=&quot;53FB308C&quot;/&gt;&lt;wsp:rsid wsp:val=&quot;53FC752F&quot;/&gt;&lt;wsp:rsid wsp:val=&quot;54014B46&quot;/&gt;&lt;wsp:rsid wsp:val=&quot;540168F4&quot;/&gt;&lt;wsp:rsid wsp:val=&quot;5402441A&quot;/&gt;&lt;wsp:rsid wsp:val=&quot;540255D9&quot;/&gt;&lt;wsp:rsid wsp:val=&quot;540502DC&quot;/&gt;&lt;wsp:rsid wsp:val=&quot;5406215C&quot;/&gt;&lt;wsp:rsid wsp:val=&quot;54063909&quot;/&gt;&lt;wsp:rsid wsp:val=&quot;54063E08&quot;/&gt;&lt;wsp:rsid wsp:val=&quot;54063F0A&quot;/&gt;&lt;wsp:rsid wsp:val=&quot;54077C82&quot;/&gt;&lt;wsp:rsid wsp:val=&quot;54091C4C&quot;/&gt;&lt;wsp:rsid wsp:val=&quot;540939FA&quot;/&gt;&lt;wsp:rsid wsp:val=&quot;540A0A16&quot;/&gt;&lt;wsp:rsid wsp:val=&quot;540B1521&quot;/&gt;&lt;wsp:rsid wsp:val=&quot;540B7773&quot;/&gt;&lt;wsp:rsid wsp:val=&quot;540C7047&quot;/&gt;&lt;wsp:rsid wsp:val=&quot;540C7DCC&quot;/&gt;&lt;wsp:rsid wsp:val=&quot;540E52BD&quot;/&gt;&lt;wsp:rsid wsp:val=&quot;54102FDB&quot;/&gt;&lt;wsp:rsid wsp:val=&quot;541303D5&quot;/&gt;&lt;wsp:rsid wsp:val=&quot;54136627&quot;/&gt;&lt;wsp:rsid wsp:val=&quot;5415239F&quot;/&gt;&lt;wsp:rsid wsp:val=&quot;54161C73&quot;/&gt;&lt;wsp:rsid wsp:val=&quot;54176117&quot;/&gt;&lt;wsp:rsid wsp:val=&quot;54181E8F&quot;/&gt;&lt;wsp:rsid wsp:val=&quot;54183C3E&quot;/&gt;&lt;wsp:rsid wsp:val=&quot;54183C77&quot;/&gt;&lt;wsp:rsid wsp:val=&quot;541859EC&quot;/&gt;&lt;wsp:rsid wsp:val=&quot;541A79B6&quot;/&gt;&lt;wsp:rsid wsp:val=&quot;541C372E&quot;/&gt;&lt;wsp:rsid wsp:val=&quot;541C7A55&quot;/&gt;&lt;wsp:rsid wsp:val=&quot;541D3002&quot;/&gt;&lt;wsp:rsid wsp:val=&quot;541D74A6&quot;/&gt;&lt;wsp:rsid wsp:val=&quot;541E7BFA&quot;/&gt;&lt;wsp:rsid wsp:val=&quot;541F6242&quot;/&gt;&lt;wsp:rsid wsp:val=&quot;542057EF&quot;/&gt;&lt;wsp:rsid wsp:val=&quot;54212AF2&quot;/&gt;&lt;wsp:rsid wsp:val=&quot;542331A5&quot;/&gt;&lt;wsp:rsid wsp:val=&quot;54240834&quot;/&gt;&lt;wsp:rsid wsp:val=&quot;54260108&quot;/&gt;&lt;wsp:rsid wsp:val=&quot;5426635A&quot;/&gt;&lt;wsp:rsid wsp:val=&quot;542720D3&quot;/&gt;&lt;wsp:rsid wsp:val=&quot;54280325&quot;/&gt;&lt;wsp:rsid wsp:val=&quot;542A1C14&quot;/&gt;&lt;wsp:rsid wsp:val=&quot;542B3971&quot;/&gt;&lt;wsp:rsid wsp:val=&quot;542C2C98&quot;/&gt;&lt;wsp:rsid wsp:val=&quot;542D76E9&quot;/&gt;&lt;wsp:rsid wsp:val=&quot;54324CFF&quot;/&gt;&lt;wsp:rsid wsp:val=&quot;54332F77&quot;/&gt;&lt;wsp:rsid wsp:val=&quot;54336CC9&quot;/&gt;&lt;wsp:rsid wsp:val=&quot;543437E8&quot;/&gt;&lt;wsp:rsid wsp:val=&quot;54352A90&quot;/&gt;&lt;wsp:rsid wsp:val=&quot;543640C4&quot;/&gt;&lt;wsp:rsid wsp:val=&quot;54384218&quot;/&gt;&lt;wsp:rsid wsp:val=&quot;543842E0&quot;/&gt;&lt;wsp:rsid wsp:val=&quot;543A0058&quot;/&gt;&lt;wsp:rsid wsp:val=&quot;543A1E06&quot;/&gt;&lt;wsp:rsid wsp:val=&quot;543A3BB4&quot;/&gt;&lt;wsp:rsid wsp:val=&quot;543C16DA&quot;/&gt;&lt;wsp:rsid wsp:val=&quot;543F566E&quot;/&gt;&lt;wsp:rsid wsp:val=&quot;54414F42&quot;/&gt;&lt;wsp:rsid wsp:val=&quot;54420CBA&quot;/&gt;&lt;wsp:rsid wsp:val=&quot;54434A77&quot;/&gt;&lt;wsp:rsid wsp:val=&quot;54442C85&quot;/&gt;&lt;wsp:rsid wsp:val=&quot;5445140E&quot;/&gt;&lt;wsp:rsid wsp:val=&quot;544669FD&quot;/&gt;&lt;wsp:rsid wsp:val=&quot;54482775&quot;/&gt;&lt;wsp:rsid wsp:val=&quot;54483F0B&quot;/&gt;&lt;wsp:rsid wsp:val=&quot;54492049&quot;/&gt;&lt;wsp:rsid wsp:val=&quot;54493DF7&quot;/&gt;&lt;wsp:rsid wsp:val=&quot;544B7B6F&quot;/&gt;&lt;wsp:rsid wsp:val=&quot;544D1B39&quot;/&gt;&lt;wsp:rsid wsp:val=&quot;544E765F&quot;/&gt;&lt;wsp:rsid wsp:val=&quot;545033D7&quot;/&gt;&lt;wsp:rsid wsp:val=&quot;5451338D&quot;/&gt;&lt;wsp:rsid wsp:val=&quot;54520EFE&quot;/&gt;&lt;wsp:rsid wsp:val=&quot;5452714F&quot;/&gt;&lt;wsp:rsid wsp:val=&quot;545509EE&quot;/&gt;&lt;wsp:rsid wsp:val=&quot;545662D1&quot;/&gt;&lt;wsp:rsid wsp:val=&quot;545662D5&quot;/&gt;&lt;wsp:rsid wsp:val=&quot;54574766&quot;/&gt;&lt;wsp:rsid wsp:val=&quot;545A24A8&quot;/&gt;&lt;wsp:rsid wsp:val=&quot;545A4256&quot;/&gt;&lt;wsp:rsid wsp:val=&quot;545A4A0C&quot;/&gt;&lt;wsp:rsid wsp:val=&quot;545C3B2A&quot;/&gt;&lt;wsp:rsid wsp:val=&quot;545C7FCE&quot;/&gt;&lt;wsp:rsid wsp:val=&quot;545D61E4&quot;/&gt;&lt;wsp:rsid wsp:val=&quot;5461621D&quot;/&gt;&lt;wsp:rsid wsp:val=&quot;5463310B&quot;/&gt;&lt;wsp:rsid wsp:val=&quot;54661776&quot;/&gt;&lt;wsp:rsid wsp:val=&quot;54662BFB&quot;/&gt;&lt;wsp:rsid wsp:val=&quot;54694499&quot;/&gt;&lt;wsp:rsid wsp:val=&quot;546B0211&quot;/&gt;&lt;wsp:rsid wsp:val=&quot;546D21DB&quot;/&gt;&lt;wsp:rsid wsp:val=&quot;546D3F89&quot;/&gt;&lt;wsp:rsid wsp:val=&quot;546E05F9&quot;/&gt;&lt;wsp:rsid wsp:val=&quot;546E1AAF&quot;/&gt;&lt;wsp:rsid wsp:val=&quot;546E385E&quot;/&gt;&lt;wsp:rsid wsp:val=&quot;547161C0&quot;/&gt;&lt;wsp:rsid wsp:val=&quot;54720701&quot;/&gt;&lt;wsp:rsid wsp:val=&quot;547215A0&quot;/&gt;&lt;wsp:rsid wsp:val=&quot;547370C6&quot;/&gt;&lt;wsp:rsid wsp:val=&quot;54741EDD&quot;/&gt;&lt;wsp:rsid wsp:val=&quot;54752E3E&quot;/&gt;&lt;wsp:rsid wsp:val=&quot;54776BB6&quot;/&gt;&lt;wsp:rsid wsp:val=&quot;547926B1&quot;/&gt;&lt;wsp:rsid wsp:val=&quot;5479292E&quot;/&gt;&lt;wsp:rsid wsp:val=&quot;547938F9&quot;/&gt;&lt;wsp:rsid wsp:val=&quot;547A0454&quot;/&gt;&lt;wsp:rsid wsp:val=&quot;547A6B9C&quot;/&gt;&lt;wsp:rsid wsp:val=&quot;547C41CC&quot;/&gt;&lt;wsp:rsid wsp:val=&quot;547D1CF3&quot;/&gt;&lt;wsp:rsid wsp:val=&quot;547E469E&quot;/&gt;&lt;wsp:rsid wsp:val=&quot;547E6196&quot;/&gt;&lt;wsp:rsid wsp:val=&quot;547E7F44&quot;/&gt;&lt;wsp:rsid wsp:val=&quot;547F1F0F&quot;/&gt;&lt;wsp:rsid wsp:val=&quot;547F3CBD&quot;/&gt;&lt;wsp:rsid wsp:val=&quot;547F413A&quot;/&gt;&lt;wsp:rsid wsp:val=&quot;54837309&quot;/&gt;&lt;wsp:rsid wsp:val=&quot;54857525&quot;/&gt;&lt;wsp:rsid wsp:val=&quot;54866DF9&quot;/&gt;&lt;wsp:rsid wsp:val=&quot;54882B71&quot;/&gt;&lt;wsp:rsid wsp:val=&quot;548968E9&quot;/&gt;&lt;wsp:rsid wsp:val=&quot;548A4B3B&quot;/&gt;&lt;wsp:rsid wsp:val=&quot;548B08B3&quot;/&gt;&lt;wsp:rsid wsp:val=&quot;548B2661&quot;/&gt;&lt;wsp:rsid wsp:val=&quot;548B440F&quot;/&gt;&lt;wsp:rsid wsp:val=&quot;548B4E7B&quot;/&gt;&lt;wsp:rsid wsp:val=&quot;548D462B&quot;/&gt;&lt;wsp:rsid wsp:val=&quot;548F2152&quot;/&gt;&lt;wsp:rsid wsp:val=&quot;548F4B60&quot;/&gt;&lt;wsp:rsid wsp:val=&quot;54901A26&quot;/&gt;&lt;wsp:rsid wsp:val=&quot;54902503&quot;/&gt;&lt;wsp:rsid wsp:val=&quot;549051C8&quot;/&gt;&lt;wsp:rsid wsp:val=&quot;54913993&quot;/&gt;&lt;wsp:rsid wsp:val=&quot;54921C42&quot;/&gt;&lt;wsp:rsid wsp:val=&quot;549332C4&quot;/&gt;&lt;wsp:rsid wsp:val=&quot;54977258&quot;/&gt;&lt;wsp:rsid wsp:val=&quot;549A4653&quot;/&gt;&lt;wsp:rsid wsp:val=&quot;549C486F&quot;/&gt;&lt;wsp:rsid wsp:val=&quot;549D4996&quot;/&gt;&lt;wsp:rsid wsp:val=&quot;549E05E7&quot;/&gt;&lt;wsp:rsid wsp:val=&quot;549E1B63&quot;/&gt;&lt;wsp:rsid wsp:val=&quot;549E2395&quot;/&gt;&lt;wsp:rsid wsp:val=&quot;549F610D&quot;/&gt;&lt;wsp:rsid wsp:val=&quot;549F7EBB&quot;/&gt;&lt;wsp:rsid wsp:val=&quot;54A31759&quot;/&gt;&lt;wsp:rsid wsp:val=&quot;54A32989&quot;/&gt;&lt;wsp:rsid wsp:val=&quot;54A35BFD&quot;/&gt;&lt;wsp:rsid wsp:val=&quot;54A454D1&quot;/&gt;&lt;wsp:rsid wsp:val=&quot;54A50CCE&quot;/&gt;&lt;wsp:rsid wsp:val=&quot;54A5345E&quot;/&gt;&lt;wsp:rsid wsp:val=&quot;54A714C9&quot;/&gt;&lt;wsp:rsid wsp:val=&quot;54A83213&quot;/&gt;&lt;wsp:rsid wsp:val=&quot;54A84FC1&quot;/&gt;&lt;wsp:rsid wsp:val=&quot;54A86D6F&quot;/&gt;&lt;wsp:rsid wsp:val=&quot;54A87049&quot;/&gt;&lt;wsp:rsid wsp:val=&quot;54A9542E&quot;/&gt;&lt;wsp:rsid wsp:val=&quot;54AB6860&quot;/&gt;&lt;wsp:rsid wsp:val=&quot;54AC4C48&quot;/&gt;&lt;wsp:rsid wsp:val=&quot;54AD25D8&quot;/&gt;&lt;wsp:rsid wsp:val=&quot;54AD4386&quot;/&gt;&lt;wsp:rsid wsp:val=&quot;54AF6350&quot;/&gt;&lt;wsp:rsid wsp:val=&quot;54B0031A&quot;/&gt;&lt;wsp:rsid wsp:val=&quot;54B020C8&quot;/&gt;&lt;wsp:rsid wsp:val=&quot;54B03E76&quot;/&gt;&lt;wsp:rsid wsp:val=&quot;54B12F7D&quot;/&gt;&lt;wsp:rsid wsp:val=&quot;54B24092&quot;/&gt;&lt;wsp:rsid wsp:val=&quot;54B27BEE&quot;/&gt;&lt;wsp:rsid wsp:val=&quot;54B6421E&quot;/&gt;&lt;wsp:rsid wsp:val=&quot;54B756AE&quot;/&gt;&lt;wsp:rsid wsp:val=&quot;54BC281B&quot;/&gt;&lt;wsp:rsid wsp:val=&quot;54BC6CBF&quot;/&gt;&lt;wsp:rsid wsp:val=&quot;54BD4705&quot;/&gt;&lt;wsp:rsid wsp:val=&quot;54BF15CA&quot;/&gt;&lt;wsp:rsid wsp:val=&quot;54BF40B9&quot;/&gt;&lt;wsp:rsid wsp:val=&quot;54C0055D&quot;/&gt;&lt;wsp:rsid wsp:val=&quot;54C01A31&quot;/&gt;&lt;wsp:rsid wsp:val=&quot;54C17E31&quot;/&gt;&lt;wsp:rsid wsp:val=&quot;54C34414&quot;/&gt;&lt;wsp:rsid wsp:val=&quot;54C44F4A&quot;/&gt;&lt;wsp:rsid wsp:val=&quot;54C47921&quot;/&gt;&lt;wsp:rsid wsp:val=&quot;54C51C22&quot;/&gt;&lt;wsp:rsid wsp:val=&quot;54C53DC5&quot;/&gt;&lt;wsp:rsid wsp:val=&quot;54C55B73&quot;/&gt;&lt;wsp:rsid wsp:val=&quot;54C65448&quot;/&gt;&lt;wsp:rsid wsp:val=&quot;54C76D29&quot;/&gt;&lt;wsp:rsid wsp:val=&quot;54C77FF5&quot;/&gt;&lt;wsp:rsid wsp:val=&quot;54C85664&quot;/&gt;&lt;wsp:rsid wsp:val=&quot;54C86632&quot;/&gt;&lt;wsp:rsid wsp:val=&quot;54CA318A&quot;/&gt;&lt;wsp:rsid wsp:val=&quot;54CB6F02&quot;/&gt;&lt;wsp:rsid wsp:val=&quot;54CC1A7D&quot;/&gt;&lt;wsp:rsid wsp:val=&quot;54CC5154&quot;/&gt;&lt;wsp:rsid wsp:val=&quot;54CD4A28&quot;/&gt;&lt;wsp:rsid wsp:val=&quot;54CD67D6&quot;/&gt;&lt;wsp:rsid wsp:val=&quot;54CF329A&quot;/&gt;&lt;wsp:rsid wsp:val=&quot;54CF6505&quot;/&gt;&lt;wsp:rsid wsp:val=&quot;54CF69F2&quot;/&gt;&lt;wsp:rsid wsp:val=&quot;54D07B4B&quot;/&gt;&lt;wsp:rsid wsp:val=&quot;54D1276A&quot;/&gt;&lt;wsp:rsid wsp:val=&quot;54D20290&quot;/&gt;&lt;wsp:rsid wsp:val=&quot;54D45DB6&quot;/&gt;&lt;wsp:rsid wsp:val=&quot;54D70C0B&quot;/&gt;&lt;wsp:rsid wsp:val=&quot;54D758A7&quot;/&gt;&lt;wsp:rsid wsp:val=&quot;54D76C2B&quot;/&gt;&lt;wsp:rsid wsp:val=&quot;54D86127&quot;/&gt;&lt;wsp:rsid wsp:val=&quot;54DB4349&quot;/&gt;&lt;wsp:rsid wsp:val=&quot;54DC110F&quot;/&gt;&lt;wsp:rsid wsp:val=&quot;54DC2EBD&quot;/&gt;&lt;wsp:rsid wsp:val=&quot;54DE09E3&quot;/&gt;&lt;wsp:rsid wsp:val=&quot;54DE4E87&quot;/&gt;&lt;wsp:rsid wsp:val=&quot;54DE6C35&quot;/&gt;&lt;wsp:rsid wsp:val=&quot;54DF56A3&quot;/&gt;&lt;wsp:rsid wsp:val=&quot;54DF6509&quot;/&gt;&lt;wsp:rsid wsp:val=&quot;54E0475B&quot;/&gt;&lt;wsp:rsid wsp:val=&quot;54E35B29&quot;/&gt;&lt;wsp:rsid wsp:val=&quot;54E50F2B&quot;/&gt;&lt;wsp:rsid wsp:val=&quot;54E51D72&quot;/&gt;&lt;wsp:rsid wsp:val=&quot;54E844DB&quot;/&gt;&lt;wsp:rsid wsp:val=&quot;54EA382C&quot;/&gt;&lt;wsp:rsid wsp:val=&quot;54EA7388&quot;/&gt;&lt;wsp:rsid wsp:val=&quot;54EC4594&quot;/&gt;&lt;wsp:rsid wsp:val=&quot;54ED0C26&quot;/&gt;&lt;wsp:rsid wsp:val=&quot;54EF377C&quot;/&gt;&lt;wsp:rsid wsp:val=&quot;54F16CCE&quot;/&gt;&lt;wsp:rsid wsp:val=&quot;54F1782E&quot;/&gt;&lt;wsp:rsid wsp:val=&quot;54F2015E&quot;/&gt;&lt;wsp:rsid wsp:val=&quot;54F2448F&quot;/&gt;&lt;wsp:rsid wsp:val=&quot;54F25228&quot;/&gt;&lt;wsp:rsid wsp:val=&quot;54F2623D&quot;/&gt;&lt;wsp:rsid wsp:val=&quot;54F41FB5&quot;/&gt;&lt;wsp:rsid wsp:val=&quot;54F56767&quot;/&gt;&lt;wsp:rsid wsp:val=&quot;54F63F7F&quot;/&gt;&lt;wsp:rsid wsp:val=&quot;54F71AA5&quot;/&gt;&lt;wsp:rsid wsp:val=&quot;54F73313&quot;/&gt;&lt;wsp:rsid wsp:val=&quot;54F80955&quot;/&gt;&lt;wsp:rsid wsp:val=&quot;54F93A6F&quot;/&gt;&lt;wsp:rsid wsp:val=&quot;54FA3343&quot;/&gt;&lt;wsp:rsid wsp:val=&quot;54FA45B8&quot;/&gt;&lt;wsp:rsid wsp:val=&quot;54FC355F&quot;/&gt;&lt;wsp:rsid wsp:val=&quot;54FF095A&quot;/&gt;&lt;wsp:rsid wsp:val=&quot;55004560&quot;/&gt;&lt;wsp:rsid wsp:val=&quot;55004DFD&quot;/&gt;&lt;wsp:rsid wsp:val=&quot;55012924&quot;/&gt;&lt;wsp:rsid wsp:val=&quot;550146D2&quot;/&gt;&lt;wsp:rsid wsp:val=&quot;55020B76&quot;/&gt;&lt;wsp:rsid wsp:val=&quot;55021394&quot;/&gt;&lt;wsp:rsid wsp:val=&quot;5503044A&quot;/&gt;&lt;wsp:rsid wsp:val=&quot;55032824&quot;/&gt;&lt;wsp:rsid wsp:val=&quot;550348EE&quot;/&gt;&lt;wsp:rsid wsp:val=&quot;550565D4&quot;/&gt;&lt;wsp:rsid wsp:val=&quot;55057D15&quot;/&gt;&lt;wsp:rsid wsp:val=&quot;5507618C&quot;/&gt;&lt;wsp:rsid wsp:val=&quot;55097B6C&quot;/&gt;&lt;wsp:rsid wsp:val=&quot;550A17D8&quot;/&gt;&lt;wsp:rsid wsp:val=&quot;550B5550&quot;/&gt;&lt;wsp:rsid wsp:val=&quot;550F46F6&quot;/&gt;&lt;wsp:rsid wsp:val=&quot;55110AED&quot;/&gt;&lt;wsp:rsid wsp:val=&quot;5512068D&quot;/&gt;&lt;wsp:rsid wsp:val=&quot;55144405&quot;/&gt;&lt;wsp:rsid wsp:val=&quot;551663CF&quot;/&gt;&lt;wsp:rsid wsp:val=&quot;5517089B&quot;/&gt;&lt;wsp:rsid wsp:val=&quot;55172147&quot;/&gt;&lt;wsp:rsid wsp:val=&quot;55180399&quot;/&gt;&lt;wsp:rsid wsp:val=&quot;551835BA&quot;/&gt;&lt;wsp:rsid wsp:val=&quot;55197C6D&quot;/&gt;&lt;wsp:rsid wsp:val=&quot;551A6E19&quot;/&gt;&lt;wsp:rsid wsp:val=&quot;551B1C37&quot;/&gt;&lt;wsp:rsid wsp:val=&quot;551C150B&quot;/&gt;&lt;wsp:rsid wsp:val=&quot;551E34D6&quot;/&gt;&lt;wsp:rsid wsp:val=&quot;55202DAA&quot;/&gt;&lt;wsp:rsid wsp:val=&quot;5520724E&quot;/&gt;&lt;wsp:rsid wsp:val=&quot;55214D74&quot;/&gt;&lt;wsp:rsid wsp:val=&quot;55222FC6&quot;/&gt;&lt;wsp:rsid wsp:val=&quot;5524125E&quot;/&gt;&lt;wsp:rsid wsp:val=&quot;55254864&quot;/&gt;&lt;wsp:rsid wsp:val=&quot;55264138&quot;/&gt;&lt;wsp:rsid wsp:val=&quot;55284354&quot;/&gt;&lt;wsp:rsid wsp:val=&quot;552F0819&quot;/&gt;&lt;wsp:rsid wsp:val=&quot;55306D65&quot;/&gt;&lt;wsp:rsid wsp:val=&quot;5531074F&quot;/&gt;&lt;wsp:rsid wsp:val=&quot;55313209&quot;/&gt;&lt;wsp:rsid wsp:val=&quot;55322ADD&quot;/&gt;&lt;wsp:rsid wsp:val=&quot;55326F81&quot;/&gt;&lt;wsp:rsid wsp:val=&quot;5533209D&quot;/&gt;&lt;wsp:rsid wsp:val=&quot;55344AA7&quot;/&gt;&lt;wsp:rsid wsp:val=&quot;553535EC&quot;/&gt;&lt;wsp:rsid wsp:val=&quot;55366A71&quot;/&gt;&lt;wsp:rsid wsp:val=&quot;553920BD&quot;/&gt;&lt;wsp:rsid wsp:val=&quot;55393E6B&quot;/&gt;&lt;wsp:rsid wsp:val=&quot;553B0A10&quot;/&gt;&lt;wsp:rsid wsp:val=&quot;553B7BE4&quot;/&gt;&lt;wsp:rsid wsp:val=&quot;553C395C&quot;/&gt;&lt;wsp:rsid wsp:val=&quot;553C52A5&quot;/&gt;&lt;wsp:rsid wsp:val=&quot;553E1482&quot;/&gt;&lt;wsp:rsid wsp:val=&quot;553E4440&quot;/&gt;&lt;wsp:rsid wsp:val=&quot;553F6765&quot;/&gt;&lt;wsp:rsid wsp:val=&quot;5540344C&quot;/&gt;&lt;wsp:rsid wsp:val=&quot;55410F72&quot;/&gt;&lt;wsp:rsid wsp:val=&quot;55432F3C&quot;/&gt;&lt;wsp:rsid wsp:val=&quot;5543483E&quot;/&gt;&lt;wsp:rsid wsp:val=&quot;55434CEA&quot;/&gt;&lt;wsp:rsid wsp:val=&quot;55456CB4&quot;/&gt;&lt;wsp:rsid wsp:val=&quot;55482300&quot;/&gt;&lt;wsp:rsid wsp:val=&quot;554967A4&quot;/&gt;&lt;wsp:rsid wsp:val=&quot;554A6079&quot;/&gt;&lt;wsp:rsid wsp:val=&quot;554B05B2&quot;/&gt;&lt;wsp:rsid wsp:val=&quot;554C0043&quot;/&gt;&lt;wsp:rsid wsp:val=&quot;554C0D69&quot;/&gt;&lt;wsp:rsid wsp:val=&quot;554C1DF1&quot;/&gt;&lt;wsp:rsid wsp:val=&quot;554F18E1&quot;/&gt;&lt;wsp:rsid wsp:val=&quot;554F368F&quot;/&gt;&lt;wsp:rsid wsp:val=&quot;555016E8&quot;/&gt;&lt;wsp:rsid wsp:val=&quot;555076EA&quot;/&gt;&lt;wsp:rsid wsp:val=&quot;555170A7&quot;/&gt;&lt;wsp:rsid wsp:val=&quot;5555166D&quot;/&gt;&lt;wsp:rsid wsp:val=&quot;55564A1D&quot;/&gt;&lt;wsp:rsid wsp:val=&quot;555667CB&quot;/&gt;&lt;wsp:rsid wsp:val=&quot;55572544&quot;/&gt;&lt;wsp:rsid wsp:val=&quot;5559450E&quot;/&gt;&lt;wsp:rsid wsp:val=&quot;555A336D&quot;/&gt;&lt;wsp:rsid wsp:val=&quot;555D3FFE&quot;/&gt;&lt;wsp:rsid wsp:val=&quot;555E38D2&quot;/&gt;&lt;wsp:rsid wsp:val=&quot;5563538C&quot;/&gt;&lt;wsp:rsid wsp:val=&quot;556709D9&quot;/&gt;&lt;wsp:rsid wsp:val=&quot;556829A3&quot;/&gt;&lt;wsp:rsid wsp:val=&quot;556A04C9&quot;/&gt;&lt;wsp:rsid wsp:val=&quot;556A4C3B&quot;/&gt;&lt;wsp:rsid wsp:val=&quot;556C4241&quot;/&gt;&lt;wsp:rsid wsp:val=&quot;556C6C12&quot;/&gt;&lt;wsp:rsid wsp:val=&quot;556D4514&quot;/&gt;&lt;wsp:rsid wsp:val=&quot;556E5844&quot;/&gt;&lt;wsp:rsid wsp:val=&quot;556F5ADF&quot;/&gt;&lt;wsp:rsid wsp:val=&quot;55711857&quot;/&gt;&lt;wsp:rsid wsp:val=&quot;55713605&quot;/&gt;&lt;wsp:rsid wsp:val=&quot;5571466F&quot;/&gt;&lt;wsp:rsid wsp:val=&quot;5572737D&quot;/&gt;&lt;wsp:rsid wsp:val=&quot;55733821&quot;/&gt;&lt;wsp:rsid wsp:val=&quot;557355CF&quot;/&gt;&lt;wsp:rsid wsp:val=&quot;55735625&quot;/&gt;&lt;wsp:rsid wsp:val=&quot;55741347&quot;/&gt;&lt;wsp:rsid wsp:val=&quot;55747599&quot;/&gt;&lt;wsp:rsid wsp:val=&quot;55761405&quot;/&gt;&lt;wsp:rsid wsp:val=&quot;557650C0&quot;/&gt;&lt;wsp:rsid wsp:val=&quot;55772728&quot;/&gt;&lt;wsp:rsid wsp:val=&quot;55774994&quot;/&gt;&lt;wsp:rsid wsp:val=&quot;557815D1&quot;/&gt;&lt;wsp:rsid wsp:val=&quot;55793272&quot;/&gt;&lt;wsp:rsid wsp:val=&quot;55794BB0&quot;/&gt;&lt;wsp:rsid wsp:val=&quot;557B26D6&quot;/&gt;&lt;wsp:rsid wsp:val=&quot;557B326D&quot;/&gt;&lt;wsp:rsid wsp:val=&quot;557E2768&quot;/&gt;&lt;wsp:rsid wsp:val=&quot;557F2999&quot;/&gt;&lt;wsp:rsid wsp:val=&quot;55805088&quot;/&gt;&lt;wsp:rsid wsp:val=&quot;558149D7&quot;/&gt;&lt;wsp:rsid wsp:val=&quot;55822579&quot;/&gt;&lt;wsp:rsid wsp:val=&quot;55823A64&quot;/&gt;&lt;wsp:rsid wsp:val=&quot;5583321C&quot;/&gt;&lt;wsp:rsid wsp:val=&quot;55855303&quot;/&gt;&lt;wsp:rsid wsp:val=&quot;5587107B&quot;/&gt;&lt;wsp:rsid wsp:val=&quot;5587536D&quot;/&gt;&lt;wsp:rsid wsp:val=&quot;5588094F&quot;/&gt;&lt;wsp:rsid wsp:val=&quot;55881907&quot;/&gt;&lt;wsp:rsid wsp:val=&quot;55893CEF&quot;/&gt;&lt;wsp:rsid wsp:val=&quot;558D1B4C&quot;/&gt;&lt;wsp:rsid wsp:val=&quot;558E065B&quot;/&gt;&lt;wsp:rsid wsp:val=&quot;558F7F2F&quot;/&gt;&lt;wsp:rsid wsp:val=&quot;55911EF9&quot;/&gt;&lt;wsp:rsid wsp:val=&quot;55943798&quot;/&gt;&lt;wsp:rsid wsp:val=&quot;559467A4&quot;/&gt;&lt;wsp:rsid wsp:val=&quot;55983288&quot;/&gt;&lt;wsp:rsid wsp:val=&quot;559B174B&quot;/&gt;&lt;wsp:rsid wsp:val=&quot;559B68D4&quot;/&gt;&lt;wsp:rsid wsp:val=&quot;559D089E&quot;/&gt;&lt;wsp:rsid wsp:val=&quot;559E63C4&quot;/&gt;&lt;wsp:rsid wsp:val=&quot;55A0038E&quot;/&gt;&lt;wsp:rsid wsp:val=&quot;55A2025E&quot;/&gt;&lt;wsp:rsid wsp:val=&quot;55A25EB5&quot;/&gt;&lt;wsp:rsid wsp:val=&quot;55A439DB&quot;/&gt;&lt;wsp:rsid wsp:val=&quot;55A4470B&quot;/&gt;&lt;wsp:rsid wsp:val=&quot;55A55633&quot;/&gt;&lt;wsp:rsid wsp:val=&quot;55A559A5&quot;/&gt;&lt;wsp:rsid wsp:val=&quot;55A62EFF&quot;/&gt;&lt;wsp:rsid wsp:val=&quot;55A7354E&quot;/&gt;&lt;wsp:rsid wsp:val=&quot;55AA4D69&quot;/&gt;&lt;wsp:rsid wsp:val=&quot;55AA6B17&quot;/&gt;&lt;wsp:rsid wsp:val=&quot;55AD03B6&quot;/&gt;&lt;wsp:rsid wsp:val=&quot;55AD2413&quot;/&gt;&lt;wsp:rsid wsp:val=&quot;55AF7A72&quot;/&gt;&lt;wsp:rsid wsp:val=&quot;55B055F7&quot;/&gt;&lt;wsp:rsid wsp:val=&quot;55B22C42&quot;/&gt;&lt;wsp:rsid wsp:val=&quot;55B300C2&quot;/&gt;&lt;wsp:rsid wsp:val=&quot;55B31E70&quot;/&gt;&lt;wsp:rsid wsp:val=&quot;55B33C1E&quot;/&gt;&lt;wsp:rsid wsp:val=&quot;55B356DD&quot;/&gt;&lt;wsp:rsid wsp:val=&quot;55B41744&quot;/&gt;&lt;wsp:rsid wsp:val=&quot;55B47996&quot;/&gt;&lt;wsp:rsid wsp:val=&quot;55B728F9&quot;/&gt;&lt;wsp:rsid wsp:val=&quot;55B84B89&quot;/&gt;&lt;wsp:rsid wsp:val=&quot;55B92ADD&quot;/&gt;&lt;wsp:rsid wsp:val=&quot;55B94FAC&quot;/&gt;&lt;wsp:rsid wsp:val=&quot;55BA0EA3&quot;/&gt;&lt;wsp:rsid wsp:val=&quot;55BA1450&quot;/&gt;&lt;wsp:rsid wsp:val=&quot;55BB0D24&quot;/&gt;&lt;wsp:rsid wsp:val=&quot;55BD4A9D&quot;/&gt;&lt;wsp:rsid wsp:val=&quot;55BF6A67&quot;/&gt;&lt;wsp:rsid wsp:val=&quot;55C14A4F&quot;/&gt;&lt;wsp:rsid wsp:val=&quot;55C23E61&quot;/&gt;&lt;wsp:rsid wsp:val=&quot;55C24E3B&quot;/&gt;&lt;wsp:rsid wsp:val=&quot;55C51BA3&quot;/&gt;&lt;wsp:rsid wsp:val=&quot;55C67DF5&quot;/&gt;&lt;wsp:rsid wsp:val=&quot;55C776C9&quot;/&gt;&lt;wsp:rsid wsp:val=&quot;55C91693&quot;/&gt;&lt;wsp:rsid wsp:val=&quot;55CB317D&quot;/&gt;&lt;wsp:rsid wsp:val=&quot;55CC4CE0&quot;/&gt;&lt;wsp:rsid wsp:val=&quot;55CE0CF4&quot;/&gt;&lt;wsp:rsid wsp:val=&quot;55CF657E&quot;/&gt;&lt;wsp:rsid wsp:val=&quot;55CF6D84&quot;/&gt;&lt;wsp:rsid wsp:val=&quot;55D10548&quot;/&gt;&lt;wsp:rsid wsp:val=&quot;55D27501&quot;/&gt;&lt;wsp:rsid wsp:val=&quot;55D32512&quot;/&gt;&lt;wsp:rsid wsp:val=&quot;55D342C0&quot;/&gt;&lt;wsp:rsid wsp:val=&quot;55D45AE9&quot;/&gt;&lt;wsp:rsid wsp:val=&quot;55D46901&quot;/&gt;&lt;wsp:rsid wsp:val=&quot;55D512CD&quot;/&gt;&lt;wsp:rsid wsp:val=&quot;55D562C2&quot;/&gt;&lt;wsp:rsid wsp:val=&quot;55D64741&quot;/&gt;&lt;wsp:rsid wsp:val=&quot;55D6790C&quot;/&gt;&lt;wsp:rsid wsp:val=&quot;55D818D6&quot;/&gt;&lt;wsp:rsid wsp:val=&quot;55D83684&quot;/&gt;&lt;wsp:rsid wsp:val=&quot;55D87C9B&quot;/&gt;&lt;wsp:rsid wsp:val=&quot;55DA73FC&quot;/&gt;&lt;wsp:rsid wsp:val=&quot;55DC3184&quot;/&gt;&lt;wsp:rsid wsp:val=&quot;55DE467E&quot;/&gt;&lt;wsp:rsid wsp:val=&quot;55DE5AA4&quot;/&gt;&lt;wsp:rsid wsp:val=&quot;55DF4A13&quot;/&gt;&lt;wsp:rsid wsp:val=&quot;55E069DD&quot;/&gt;&lt;wsp:rsid wsp:val=&quot;55E24503&quot;/&gt;&lt;wsp:rsid wsp:val=&quot;55E4027B&quot;/&gt;&lt;wsp:rsid wsp:val=&quot;55E62245&quot;/&gt;&lt;wsp:rsid wsp:val=&quot;55E64236&quot;/&gt;&lt;wsp:rsid wsp:val=&quot;55E7202A&quot;/&gt;&lt;wsp:rsid wsp:val=&quot;55E738C7&quot;/&gt;&lt;wsp:rsid wsp:val=&quot;55E756C6&quot;/&gt;&lt;wsp:rsid wsp:val=&quot;55EC35D4&quot;/&gt;&lt;wsp:rsid wsp:val=&quot;55EE4C56&quot;/&gt;&lt;wsp:rsid wsp:val=&quot;55F06C20&quot;/&gt;&lt;wsp:rsid wsp:val=&quot;55F14746&quot;/&gt;&lt;wsp:rsid wsp:val=&quot;55F278B8&quot;/&gt;&lt;wsp:rsid wsp:val=&quot;55F3683A&quot;/&gt;&lt;wsp:rsid wsp:val=&quot;55F52488&quot;/&gt;&lt;wsp:rsid wsp:val=&quot;55F54236&quot;/&gt;&lt;wsp:rsid wsp:val=&quot;55F61D5C&quot;/&gt;&lt;wsp:rsid wsp:val=&quot;55F81F79&quot;/&gt;&lt;wsp:rsid wsp:val=&quot;55F8497D&quot;/&gt;&lt;wsp:rsid wsp:val=&quot;55F944C1&quot;/&gt;&lt;wsp:rsid wsp:val=&quot;55FA7A9F&quot;/&gt;&lt;wsp:rsid wsp:val=&quot;55FB55C5&quot;/&gt;&lt;wsp:rsid wsp:val=&quot;55FC3817&quot;/&gt;&lt;wsp:rsid wsp:val=&quot;55FD213A&quot;/&gt;&lt;wsp:rsid wsp:val=&quot;55FF3307&quot;/&gt;&lt;wsp:rsid wsp:val=&quot;5600249D&quot;/&gt;&lt;wsp:rsid wsp:val=&quot;56010E2D&quot;/&gt;&lt;wsp:rsid wsp:val=&quot;56010E3E&quot;/&gt;&lt;wsp:rsid wsp:val=&quot;56024BA5&quot;/&gt;&lt;wsp:rsid wsp:val=&quot;56025E33&quot;/&gt;&lt;wsp:rsid wsp:val=&quot;56033612&quot;/&gt;&lt;wsp:rsid wsp:val=&quot;56040F00&quot;/&gt;&lt;wsp:rsid wsp:val=&quot;560426CB&quot;/&gt;&lt;wsp:rsid wsp:val=&quot;56044479&quot;/&gt;&lt;wsp:rsid wsp:val=&quot;56054F8F&quot;/&gt;&lt;wsp:rsid wsp:val=&quot;56097CE2&quot;/&gt;&lt;wsp:rsid wsp:val=&quot;560E3442&quot;/&gt;&lt;wsp:rsid wsp:val=&quot;560E70A6&quot;/&gt;&lt;wsp:rsid wsp:val=&quot;56100618&quot;/&gt;&lt;wsp:rsid wsp:val=&quot;56101070&quot;/&gt;&lt;wsp:rsid wsp:val=&quot;56114DE8&quot;/&gt;&lt;wsp:rsid wsp:val=&quot;5612303A&quot;/&gt;&lt;wsp:rsid wsp:val=&quot;561437BA&quot;/&gt;&lt;wsp:rsid wsp:val=&quot;56150435&quot;/&gt;&lt;wsp:rsid wsp:val=&quot;56150744&quot;/&gt;&lt;wsp:rsid wsp:val=&quot;561548D9&quot;/&gt;&lt;wsp:rsid wsp:val=&quot;561909F7&quot;/&gt;&lt;wsp:rsid wsp:val=&quot;561A3C9D&quot;/&gt;&lt;wsp:rsid wsp:val=&quot;561A5A4B&quot;/&gt;&lt;wsp:rsid wsp:val=&quot;561B17C3&quot;/&gt;&lt;wsp:rsid wsp:val=&quot;561C7F60&quot;/&gt;&lt;wsp:rsid wsp:val=&quot;561D378D&quot;/&gt;&lt;wsp:rsid wsp:val=&quot;561F5757&quot;/&gt;&lt;wsp:rsid wsp:val=&quot;561F5B08&quot;/&gt;&lt;wsp:rsid wsp:val=&quot;56206DD9&quot;/&gt;&lt;wsp:rsid wsp:val=&quot;5621327D&quot;/&gt;&lt;wsp:rsid wsp:val=&quot;56220DA3&quot;/&gt;&lt;wsp:rsid wsp:val=&quot;56242D6E&quot;/&gt;&lt;wsp:rsid wsp:val=&quot;562543F0&quot;/&gt;&lt;wsp:rsid wsp:val=&quot;56262642&quot;/&gt;&lt;wsp:rsid wsp:val=&quot;56264FFB&quot;/&gt;&lt;wsp:rsid wsp:val=&quot;5626534E&quot;/&gt;&lt;wsp:rsid wsp:val=&quot;56293EE0&quot;/&gt;&lt;wsp:rsid wsp:val=&quot;562B40AB&quot;/&gt;&lt;wsp:rsid wsp:val=&quot;562B40FC&quot;/&gt;&lt;wsp:rsid wsp:val=&quot;562B5EAA&quot;/&gt;&lt;wsp:rsid wsp:val=&quot;562C010C&quot;/&gt;&lt;wsp:rsid wsp:val=&quot;562E599A&quot;/&gt;&lt;wsp:rsid wsp:val=&quot;562E7748&quot;/&gt;&lt;wsp:rsid wsp:val=&quot;5630526E&quot;/&gt;&lt;wsp:rsid wsp:val=&quot;56307F1D&quot;/&gt;&lt;wsp:rsid wsp:val=&quot;56310FE7&quot;/&gt;&lt;wsp:rsid wsp:val=&quot;5632548A&quot;/&gt;&lt;wsp:rsid wsp:val=&quot;5632692F&quot;/&gt;&lt;wsp:rsid wsp:val=&quot;56332FB1&quot;/&gt;&lt;wsp:rsid wsp:val=&quot;56336B0D&quot;/&gt;&lt;wsp:rsid wsp:val=&quot;5634689E&quot;/&gt;&lt;wsp:rsid wsp:val=&quot;56356D29&quot;/&gt;&lt;wsp:rsid wsp:val=&quot;56357908&quot;/&gt;&lt;wsp:rsid wsp:val=&quot;563665FD&quot;/&gt;&lt;wsp:rsid wsp:val=&quot;56372AA1&quot;/&gt;&lt;wsp:rsid wsp:val=&quot;56384123&quot;/&gt;&lt;wsp:rsid wsp:val=&quot;563A433F&quot;/&gt;&lt;wsp:rsid wsp:val=&quot;563A60ED&quot;/&gt;&lt;wsp:rsid wsp:val=&quot;563B3BA0&quot;/&gt;&lt;wsp:rsid wsp:val=&quot;563B3C13&quot;/&gt;&lt;wsp:rsid wsp:val=&quot;563C00B7&quot;/&gt;&lt;wsp:rsid wsp:val=&quot;563C3388&quot;/&gt;&lt;wsp:rsid wsp:val=&quot;563D0DFA&quot;/&gt;&lt;wsp:rsid wsp:val=&quot;563D5BDD&quot;/&gt;&lt;wsp:rsid wsp:val=&quot;563D798B&quot;/&gt;&lt;wsp:rsid wsp:val=&quot;563F3703&quot;/&gt;&lt;wsp:rsid wsp:val=&quot;56424FA2&quot;/&gt;&lt;wsp:rsid wsp:val=&quot;56446F6C&quot;/&gt;&lt;wsp:rsid wsp:val=&quot;56457822&quot;/&gt;&lt;wsp:rsid wsp:val=&quot;5647274D&quot;/&gt;&lt;wsp:rsid wsp:val=&quot;56490775&quot;/&gt;&lt;wsp:rsid wsp:val=&quot;56494582&quot;/&gt;&lt;wsp:rsid wsp:val=&quot;564B3E56&quot;/&gt;&lt;wsp:rsid wsp:val=&quot;564C5E20&quot;/&gt;&lt;wsp:rsid wsp:val=&quot;564D4072&quot;/&gt;&lt;wsp:rsid wsp:val=&quot;564E08D4&quot;/&gt;&lt;wsp:rsid wsp:val=&quot;564E3947&quot;/&gt;&lt;wsp:rsid wsp:val=&quot;564E7DEA&quot;/&gt;&lt;wsp:rsid wsp:val=&quot;564F0DA3&quot;/&gt;&lt;wsp:rsid wsp:val=&quot;565151E5&quot;/&gt;&lt;wsp:rsid wsp:val=&quot;56521689&quot;/&gt;&lt;wsp:rsid wsp:val=&quot;56521E26&quot;/&gt;&lt;wsp:rsid wsp:val=&quot;56530F5D&quot;/&gt;&lt;wsp:rsid wsp:val=&quot;565371AF&quot;/&gt;&lt;wsp:rsid wsp:val=&quot;56544185&quot;/&gt;&lt;wsp:rsid wsp:val=&quot;565458F7&quot;/&gt;&lt;wsp:rsid wsp:val=&quot;56574EF1&quot;/&gt;&lt;wsp:rsid wsp:val=&quot;56596875&quot;/&gt;&lt;wsp:rsid wsp:val=&quot;565C2507&quot;/&gt;&lt;wsp:rsid wsp:val=&quot;565C3800&quot;/&gt;&lt;wsp:rsid wsp:val=&quot;565C42B5&quot;/&gt;&lt;wsp:rsid wsp:val=&quot;565C6063&quot;/&gt;&lt;wsp:rsid wsp:val=&quot;565D002E&quot;/&gt;&lt;wsp:rsid wsp:val=&quot;565D1DDC&quot;/&gt;&lt;wsp:rsid wsp:val=&quot;565F3DA6&quot;/&gt;&lt;wsp:rsid wsp:val=&quot;566118CC&quot;/&gt;&lt;wsp:rsid wsp:val=&quot;5661367A&quot;/&gt;&lt;wsp:rsid wsp:val=&quot;56625644&quot;/&gt;&lt;wsp:rsid wsp:val=&quot;5664316A&quot;/&gt;&lt;wsp:rsid wsp:val=&quot;56666EE2&quot;/&gt;&lt;wsp:rsid wsp:val=&quot;56682C5A&quot;/&gt;&lt;wsp:rsid wsp:val=&quot;56690CC3&quot;/&gt;&lt;wsp:rsid wsp:val=&quot;566B44F9&quot;/&gt;&lt;wsp:rsid wsp:val=&quot;566B62A7&quot;/&gt;&lt;wsp:rsid wsp:val=&quot;566C201F&quot;/&gt;&lt;wsp:rsid wsp:val=&quot;566E5D97&quot;/&gt;&lt;wsp:rsid wsp:val=&quot;566E7EBE&quot;/&gt;&lt;wsp:rsid wsp:val=&quot;56705FB3&quot;/&gt;&lt;wsp:rsid wsp:val=&quot;56711106&quot;/&gt;&lt;wsp:rsid wsp:val=&quot;567333AD&quot;/&gt;&lt;wsp:rsid wsp:val=&quot;567372C9&quot;/&gt;&lt;wsp:rsid wsp:val=&quot;56755377&quot;/&gt;&lt;wsp:rsid wsp:val=&quot;567710EF&quot;/&gt;&lt;wsp:rsid wsp:val=&quot;56777341&quot;/&gt;&lt;wsp:rsid wsp:val=&quot;56786C15&quot;/&gt;&lt;wsp:rsid wsp:val=&quot;56794E67&quot;/&gt;&lt;wsp:rsid wsp:val=&quot;567A7B1E&quot;/&gt;&lt;wsp:rsid wsp:val=&quot;567C4958&quot;/&gt;&lt;wsp:rsid wsp:val=&quot;567D5FDA&quot;/&gt;&lt;wsp:rsid wsp:val=&quot;567E745B&quot;/&gt;&lt;wsp:rsid wsp:val=&quot;567F61F6&quot;/&gt;&lt;wsp:rsid wsp:val=&quot;567F7FA4&quot;/&gt;&lt;wsp:rsid wsp:val=&quot;568022D3&quot;/&gt;&lt;wsp:rsid wsp:val=&quot;56813D1C&quot;/&gt;&lt;wsp:rsid wsp:val=&quot;56821842&quot;/&gt;&lt;wsp:rsid wsp:val=&quot;568277C4&quot;/&gt;&lt;wsp:rsid wsp:val=&quot;568323BF&quot;/&gt;&lt;wsp:rsid wsp:val=&quot;568341A1&quot;/&gt;&lt;wsp:rsid wsp:val=&quot;56835CE6&quot;/&gt;&lt;wsp:rsid wsp:val=&quot;56836083&quot;/&gt;&lt;wsp:rsid wsp:val=&quot;56837A94&quot;/&gt;&lt;wsp:rsid wsp:val=&quot;5684380C&quot;/&gt;&lt;wsp:rsid wsp:val=&quot;56861332&quot;/&gt;&lt;wsp:rsid wsp:val=&quot;56867584&quot;/&gt;&lt;wsp:rsid wsp:val=&quot;56876E58&quot;/&gt;&lt;wsp:rsid wsp:val=&quot;568850AA&quot;/&gt;&lt;wsp:rsid wsp:val=&quot;56887019&quot;/&gt;&lt;wsp:rsid wsp:val=&quot;568A7075&quot;/&gt;&lt;wsp:rsid wsp:val=&quot;56903F5F&quot;/&gt;&lt;wsp:rsid wsp:val=&quot;56905D0D&quot;/&gt;&lt;wsp:rsid wsp:val=&quot;569272B9&quot;/&gt;&lt;wsp:rsid wsp:val=&quot;56927CD7&quot;/&gt;&lt;wsp:rsid wsp:val=&quot;56933A4F&quot;/&gt;&lt;wsp:rsid wsp:val=&quot;56941BD9&quot;/&gt;&lt;wsp:rsid wsp:val=&quot;569577C7&quot;/&gt;&lt;wsp:rsid wsp:val=&quot;5697479B&quot;/&gt;&lt;wsp:rsid wsp:val=&quot;5697709C&quot;/&gt;&lt;wsp:rsid wsp:val=&quot;56981066&quot;/&gt;&lt;wsp:rsid wsp:val=&quot;56982E14&quot;/&gt;&lt;wsp:rsid wsp:val=&quot;569972B8&quot;/&gt;&lt;wsp:rsid wsp:val=&quot;569A4DDE&quot;/&gt;&lt;wsp:rsid wsp:val=&quot;569C478A&quot;/&gt;&lt;wsp:rsid wsp:val=&quot;569D042A&quot;/&gt;&lt;wsp:rsid wsp:val=&quot;569E48CE&quot;/&gt;&lt;wsp:rsid wsp:val=&quot;569E585C&quot;/&gt;&lt;wsp:rsid wsp:val=&quot;569F0646&quot;/&gt;&lt;wsp:rsid wsp:val=&quot;569F22EA&quot;/&gt;&lt;wsp:rsid wsp:val=&quot;56A17F1A&quot;/&gt;&lt;wsp:rsid wsp:val=&quot;56A25A40&quot;/&gt;&lt;wsp:rsid wsp:val=&quot;56A3023E&quot;/&gt;&lt;wsp:rsid wsp:val=&quot;56A31EE4&quot;/&gt;&lt;wsp:rsid wsp:val=&quot;56A45C5C&quot;/&gt;&lt;wsp:rsid wsp:val=&quot;56A619D5&quot;/&gt;&lt;wsp:rsid wsp:val=&quot;56A63783&quot;/&gt;&lt;wsp:rsid wsp:val=&quot;56A874FB&quot;/&gt;&lt;wsp:rsid wsp:val=&quot;56A93273&quot;/&gt;&lt;wsp:rsid wsp:val=&quot;56AB2B47&quot;/&gt;&lt;wsp:rsid wsp:val=&quot;56AB528F&quot;/&gt;&lt;wsp:rsid wsp:val=&quot;56AB69D0&quot;/&gt;&lt;wsp:rsid wsp:val=&quot;56AE43DC&quot;/&gt;&lt;wsp:rsid wsp:val=&quot;56B0015D&quot;/&gt;&lt;wsp:rsid wsp:val=&quot;56B22A9C&quot;/&gt;&lt;wsp:rsid wsp:val=&quot;56B23ED5&quot;/&gt;&lt;wsp:rsid wsp:val=&quot;56B25162&quot;/&gt;&lt;wsp:rsid wsp:val=&quot;56B253B0&quot;/&gt;&lt;wsp:rsid wsp:val=&quot;56B37C4E&quot;/&gt;&lt;wsp:rsid wsp:val=&quot;56B51C18&quot;/&gt;&lt;wsp:rsid wsp:val=&quot;56B75990&quot;/&gt;&lt;wsp:rsid wsp:val=&quot;56BA722E&quot;/&gt;&lt;wsp:rsid wsp:val=&quot;56BC1D83&quot;/&gt;&lt;wsp:rsid wsp:val=&quot;56BC6B02&quot;/&gt;&lt;wsp:rsid wsp:val=&quot;56BD287A&quot;/&gt;&lt;wsp:rsid wsp:val=&quot;56BE0ACC&quot;/&gt;&lt;wsp:rsid wsp:val=&quot;56BE6D1E&quot;/&gt;&lt;wsp:rsid wsp:val=&quot;56BF65F2&quot;/&gt;&lt;wsp:rsid wsp:val=&quot;56C034A1&quot;/&gt;&lt;wsp:rsid wsp:val=&quot;56C34335&quot;/&gt;&lt;wsp:rsid wsp:val=&quot;56C360E3&quot;/&gt;&lt;wsp:rsid wsp:val=&quot;56C500AD&quot;/&gt;&lt;wsp:rsid wsp:val=&quot;56C63E25&quot;/&gt;&lt;wsp:rsid wsp:val=&quot;56C67981&quot;/&gt;&lt;wsp:rsid wsp:val=&quot;56C854A7&quot;/&gt;&lt;wsp:rsid wsp:val=&quot;56C9121F&quot;/&gt;&lt;wsp:rsid wsp:val=&quot;56CE0629&quot;/&gt;&lt;wsp:rsid wsp:val=&quot;56CE6835&quot;/&gt;&lt;wsp:rsid wsp:val=&quot;56CF0F2B&quot;/&gt;&lt;wsp:rsid wsp:val=&quot;56CF468A&quot;/&gt;&lt;wsp:rsid wsp:val=&quot;56D025AE&quot;/&gt;&lt;wsp:rsid wsp:val=&quot;56D06A51&quot;/&gt;&lt;wsp:rsid wsp:val=&quot;56D26326&quot;/&gt;&lt;wsp:rsid wsp:val=&quot;56D35BDC&quot;/&gt;&lt;wsp:rsid wsp:val=&quot;56D54068&quot;/&gt;&lt;wsp:rsid wsp:val=&quot;56D71B8E&quot;/&gt;&lt;wsp:rsid wsp:val=&quot;56D976B4&quot;/&gt;&lt;wsp:rsid wsp:val=&quot;56DA167E&quot;/&gt;&lt;wsp:rsid wsp:val=&quot;56DA342C&quot;/&gt;&lt;wsp:rsid wsp:val=&quot;56DB6848&quot;/&gt;&lt;wsp:rsid wsp:val=&quot;56DB78D0&quot;/&gt;&lt;wsp:rsid wsp:val=&quot;56DC0F52&quot;/&gt;&lt;wsp:rsid wsp:val=&quot;56DD0323&quot;/&gt;&lt;wsp:rsid wsp:val=&quot;56DD5B3B&quot;/&gt;&lt;wsp:rsid wsp:val=&quot;56DE2F1C&quot;/&gt;&lt;wsp:rsid wsp:val=&quot;56DF7E7E&quot;/&gt;&lt;wsp:rsid wsp:val=&quot;56E04EE6&quot;/&gt;&lt;wsp:rsid wsp:val=&quot;56E101E0&quot;/&gt;&lt;wsp:rsid wsp:val=&quot;56E147BB&quot;/&gt;&lt;wsp:rsid wsp:val=&quot;56E16569&quot;/&gt;&lt;wsp:rsid wsp:val=&quot;56E322E1&quot;/&gt;&lt;wsp:rsid wsp:val=&quot;56E36785&quot;/&gt;&lt;wsp:rsid wsp:val=&quot;56E60023&quot;/&gt;&lt;wsp:rsid wsp:val=&quot;56E83D9B&quot;/&gt;&lt;wsp:rsid wsp:val=&quot;56E9366F&quot;/&gt;&lt;wsp:rsid wsp:val=&quot;56EA7B13&quot;/&gt;&lt;wsp:rsid wsp:val=&quot;56EF3F4F&quot;/&gt;&lt;wsp:rsid wsp:val=&quot;56EF6ED8&quot;/&gt;&lt;wsp:rsid wsp:val=&quot;56F11165&quot;/&gt;&lt;wsp:rsid wsp:val=&quot;56F166AD&quot;/&gt;&lt;wsp:rsid wsp:val=&quot;56F20776&quot;/&gt;&lt;wsp:rsid wsp:val=&quot;56F42740&quot;/&gt;&lt;wsp:rsid wsp:val=&quot;56F52014&quot;/&gt;&lt;wsp:rsid wsp:val=&quot;56F61952&quot;/&gt;&lt;wsp:rsid wsp:val=&quot;56F73FDE&quot;/&gt;&lt;wsp:rsid wsp:val=&quot;56F919E5&quot;/&gt;&lt;wsp:rsid wsp:val=&quot;56F9720C&quot;/&gt;&lt;wsp:rsid wsp:val=&quot;56F97D56&quot;/&gt;&lt;wsp:rsid wsp:val=&quot;56F97D88&quot;/&gt;&lt;wsp:rsid wsp:val=&quot;56FA6119&quot;/&gt;&lt;wsp:rsid wsp:val=&quot;56FA61B6&quot;/&gt;&lt;wsp:rsid wsp:val=&quot;56FB0FB3&quot;/&gt;&lt;wsp:rsid wsp:val=&quot;56FB3ACE&quot;/&gt;&lt;wsp:rsid wsp:val=&quot;56FC15F5&quot;/&gt;&lt;wsp:rsid wsp:val=&quot;56FE536D&quot;/&gt;&lt;wsp:rsid wsp:val=&quot;56FF2E93&quot;/&gt;&lt;wsp:rsid wsp:val=&quot;570057F6&quot;/&gt;&lt;wsp:rsid wsp:val=&quot;570109B9&quot;/&gt;&lt;wsp:rsid wsp:val=&quot;57030BD5&quot;/&gt;&lt;wsp:rsid wsp:val=&quot;57032983&quot;/&gt;&lt;wsp:rsid wsp:val=&quot;570401BD&quot;/&gt;&lt;wsp:rsid wsp:val=&quot;570566FB&quot;/&gt;&lt;wsp:rsid wsp:val=&quot;570861EB&quot;/&gt;&lt;wsp:rsid wsp:val=&quot;5709481B&quot;/&gt;&lt;wsp:rsid wsp:val=&quot;570A1F63&quot;/&gt;&lt;wsp:rsid wsp:val=&quot;570B7A8A&quot;/&gt;&lt;wsp:rsid wsp:val=&quot;570E3BC9&quot;/&gt;&lt;wsp:rsid wsp:val=&quot;571050A0&quot;/&gt;&lt;wsp:rsid wsp:val=&quot;571061DA&quot;/&gt;&lt;wsp:rsid wsp:val=&quot;571450FA&quot;/&gt;&lt;wsp:rsid wsp:val=&quot;571526B6&quot;/&gt;&lt;wsp:rsid wsp:val=&quot;57174680&quot;/&gt;&lt;wsp:rsid wsp:val=&quot;5717642E&quot;/&gt;&lt;wsp:rsid wsp:val=&quot;571903F8&quot;/&gt;&lt;wsp:rsid wsp:val=&quot;57193F55&quot;/&gt;&lt;wsp:rsid wsp:val=&quot;571B1801&quot;/&gt;&lt;wsp:rsid wsp:val=&quot;571B2CA5&quot;/&gt;&lt;wsp:rsid wsp:val=&quot;571B5F1F&quot;/&gt;&lt;wsp:rsid wsp:val=&quot;571B7CCD&quot;/&gt;&lt;wsp:rsid wsp:val=&quot;571C57F3&quot;/&gt;&lt;wsp:rsid wsp:val=&quot;571E5A0F&quot;/&gt;&lt;wsp:rsid wsp:val=&quot;571E77BD&quot;/&gt;&lt;wsp:rsid wsp:val=&quot;5721105B&quot;/&gt;&lt;wsp:rsid wsp:val=&quot;572172AD&quot;/&gt;&lt;wsp:rsid wsp:val=&quot;57236B81&quot;/&gt;&lt;wsp:rsid wsp:val=&quot;57241783&quot;/&gt;&lt;wsp:rsid wsp:val=&quot;57250B4B&quot;/&gt;&lt;wsp:rsid wsp:val=&quot;57266671&quot;/&gt;&lt;wsp:rsid wsp:val=&quot;57277DA4&quot;/&gt;&lt;wsp:rsid wsp:val=&quot;57283E05&quot;/&gt;&lt;wsp:rsid wsp:val=&quot;57284198&quot;/&gt;&lt;wsp:rsid wsp:val=&quot;572A6162&quot;/&gt;&lt;wsp:rsid wsp:val=&quot;572B4C8E&quot;/&gt;&lt;wsp:rsid wsp:val=&quot;572E408F&quot;/&gt;&lt;wsp:rsid wsp:val=&quot;5730129E&quot;/&gt;&lt;wsp:rsid wsp:val=&quot;5732261A&quot;/&gt;&lt;wsp:rsid wsp:val=&quot;57322C5A&quot;/&gt;&lt;wsp:rsid wsp:val=&quot;573265F8&quot;/&gt;&lt;wsp:rsid wsp:val=&quot;57332B6E&quot;/&gt;&lt;wsp:rsid wsp:val=&quot;57346FE0&quot;/&gt;&lt;wsp:rsid wsp:val=&quot;573568B4&quot;/&gt;&lt;wsp:rsid wsp:val=&quot;57390153&quot;/&gt;&lt;wsp:rsid wsp:val=&quot;573A3ECB&quot;/&gt;&lt;wsp:rsid wsp:val=&quot;573B036F&quot;/&gt;&lt;wsp:rsid wsp:val=&quot;573C5E95&quot;/&gt;&lt;wsp:rsid wsp:val=&quot;573D1621&quot;/&gt;&lt;wsp:rsid wsp:val=&quot;573E1C0D&quot;/&gt;&lt;wsp:rsid wsp:val=&quot;573E39BB&quot;/&gt;&lt;wsp:rsid wsp:val=&quot;573E7E5F&quot;/&gt;&lt;wsp:rsid wsp:val=&quot;574134AB&quot;/&gt;&lt;wsp:rsid wsp:val=&quot;57430FD1&quot;/&gt;&lt;wsp:rsid wsp:val=&quot;57437223&quot;/&gt;&lt;wsp:rsid wsp:val=&quot;57462870&quot;/&gt;&lt;wsp:rsid wsp:val=&quot;574732BF&quot;/&gt;&lt;wsp:rsid wsp:val=&quot;57476D14&quot;/&gt;&lt;wsp:rsid wsp:val=&quot;574A05B2&quot;/&gt;&lt;wsp:rsid wsp:val=&quot;574B7E86&quot;/&gt;&lt;wsp:rsid wsp:val=&quot;574C0189&quot;/&gt;&lt;wsp:rsid wsp:val=&quot;574D00A2&quot;/&gt;&lt;wsp:rsid wsp:val=&quot;574D3BFE&quot;/&gt;&lt;wsp:rsid wsp:val=&quot;574F7976&quot;/&gt;&lt;wsp:rsid wsp:val=&quot;575256B8&quot;/&gt;&lt;wsp:rsid wsp:val=&quot;57527466&quot;/&gt;&lt;wsp:rsid wsp:val=&quot;57541431&quot;/&gt;&lt;wsp:rsid wsp:val=&quot;575431DF&quot;/&gt;&lt;wsp:rsid wsp:val=&quot;575435C7&quot;/&gt;&lt;wsp:rsid wsp:val=&quot;57550251&quot;/&gt;&lt;wsp:rsid wsp:val=&quot;575529A1&quot;/&gt;&lt;wsp:rsid wsp:val=&quot;57580F21&quot;/&gt;&lt;wsp:rsid wsp:val=&quot;575907F5&quot;/&gt;&lt;wsp:rsid wsp:val=&quot;575A60B2&quot;/&gt;&lt;wsp:rsid wsp:val=&quot;575B456D&quot;/&gt;&lt;wsp:rsid wsp:val=&quot;575C02E5&quot;/&gt;&lt;wsp:rsid wsp:val=&quot;575E13C4&quot;/&gt;&lt;wsp:rsid wsp:val=&quot;575E5E0B&quot;/&gt;&lt;wsp:rsid wsp:val=&quot;575F3ED4&quot;/&gt;&lt;wsp:rsid wsp:val=&quot;57601B83&quot;/&gt;&lt;wsp:rsid wsp:val=&quot;57603931&quot;/&gt;&lt;wsp:rsid wsp:val=&quot;576158FB&quot;/&gt;&lt;wsp:rsid wsp:val=&quot;57631674&quot;/&gt;&lt;wsp:rsid wsp:val=&quot;57647C5C&quot;/&gt;&lt;wsp:rsid wsp:val=&quot;576626E7&quot;/&gt;&lt;wsp:rsid wsp:val=&quot;576A47B0&quot;/&gt;&lt;wsp:rsid wsp:val=&quot;576B22D6&quot;/&gt;&lt;wsp:rsid wsp:val=&quot;576B5048&quot;/&gt;&lt;wsp:rsid wsp:val=&quot;576D5CD7&quot;/&gt;&lt;wsp:rsid wsp:val=&quot;576D604E&quot;/&gt;&lt;wsp:rsid wsp:val=&quot;576F626A&quot;/&gt;&lt;wsp:rsid wsp:val=&quot;57710EBA&quot;/&gt;&lt;wsp:rsid wsp:val=&quot;57711FE2&quot;/&gt;&lt;wsp:rsid wsp:val=&quot;57713D91&quot;/&gt;&lt;wsp:rsid wsp:val=&quot;57723665&quot;/&gt;&lt;wsp:rsid wsp:val=&quot;577613A7&quot;/&gt;&lt;wsp:rsid wsp:val=&quot;57763155&quot;/&gt;&lt;wsp:rsid wsp:val=&quot;577675F9&quot;/&gt;&lt;wsp:rsid wsp:val=&quot;57770C7B&quot;/&gt;&lt;wsp:rsid wsp:val=&quot;5778511F&quot;/&gt;&lt;wsp:rsid wsp:val=&quot;57790E97&quot;/&gt;&lt;wsp:rsid wsp:val=&quot;577A36AD&quot;/&gt;&lt;wsp:rsid wsp:val=&quot;577B5BFD&quot;/&gt;&lt;wsp:rsid wsp:val=&quot;577B69BD&quot;/&gt;&lt;wsp:rsid wsp:val=&quot;577C44E3&quot;/&gt;&lt;wsp:rsid wsp:val=&quot;577D2735&quot;/&gt;&lt;wsp:rsid wsp:val=&quot;577E025B&quot;/&gt;&lt;wsp:rsid wsp:val=&quot;57805D82&quot;/&gt;&lt;wsp:rsid wsp:val=&quot;57811AFA&quot;/&gt;&lt;wsp:rsid wsp:val=&quot;57821E3F&quot;/&gt;&lt;wsp:rsid wsp:val=&quot;57830D79&quot;/&gt;&lt;wsp:rsid wsp:val=&quot;57833AC4&quot;/&gt;&lt;wsp:rsid wsp:val=&quot;57835872&quot;/&gt;&lt;wsp:rsid wsp:val=&quot;57870EFC&quot;/&gt;&lt;wsp:rsid wsp:val=&quot;578735B4&quot;/&gt;&lt;wsp:rsid wsp:val=&quot;578810DA&quot;/&gt;&lt;wsp:rsid wsp:val=&quot;578A1A61&quot;/&gt;&lt;wsp:rsid wsp:val=&quot;578A30A4&quot;/&gt;&lt;wsp:rsid wsp:val=&quot;578A4715&quot;/&gt;&lt;wsp:rsid wsp:val=&quot;578C4726&quot;/&gt;&lt;wsp:rsid wsp:val=&quot;578F06BB&quot;/&gt;&lt;wsp:rsid wsp:val=&quot;57914433&quot;/&gt;&lt;wsp:rsid wsp:val=&quot;579201F3&quot;/&gt;&lt;wsp:rsid wsp:val=&quot;57923D07&quot;/&gt;&lt;wsp:rsid wsp:val=&quot;57925AB5&quot;/&gt;&lt;wsp:rsid wsp:val=&quot;57931F59&quot;/&gt;&lt;wsp:rsid wsp:val=&quot;57947A7F&quot;/&gt;&lt;wsp:rsid wsp:val=&quot;57947EDE&quot;/&gt;&lt;wsp:rsid wsp:val=&quot;579730CB&quot;/&gt;&lt;wsp:rsid wsp:val=&quot;57995095&quot;/&gt;&lt;wsp:rsid wsp:val=&quot;57996E43&quot;/&gt;&lt;wsp:rsid wsp:val=&quot;579B0E0D&quot;/&gt;&lt;wsp:rsid wsp:val=&quot;579B2BBB&quot;/&gt;&lt;wsp:rsid wsp:val=&quot;579B705F&quot;/&gt;&lt;wsp:rsid wsp:val=&quot;579E7AB9&quot;/&gt;&lt;wsp:rsid wsp:val=&quot;57A001D2&quot;/&gt;&lt;wsp:rsid wsp:val=&quot;57A027F7&quot;/&gt;&lt;wsp:rsid wsp:val=&quot;57A06424&quot;/&gt;&lt;wsp:rsid wsp:val=&quot;57A16858&quot;/&gt;&lt;wsp:rsid wsp:val=&quot;57A203EE&quot;/&gt;&lt;wsp:rsid wsp:val=&quot;57A23F4A&quot;/&gt;&lt;wsp:rsid wsp:val=&quot;57A31A70&quot;/&gt;&lt;wsp:rsid wsp:val=&quot;57A442FC&quot;/&gt;&lt;wsp:rsid wsp:val=&quot;57A66A3F&quot;/&gt;&lt;wsp:rsid wsp:val=&quot;57A71560&quot;/&gt;&lt;wsp:rsid wsp:val=&quot;57A8352A&quot;/&gt;&lt;wsp:rsid wsp:val=&quot;57A852D8&quot;/&gt;&lt;wsp:rsid wsp:val=&quot;57AA2DFF&quot;/&gt;&lt;wsp:rsid wsp:val=&quot;57AA72A2&quot;/&gt;&lt;wsp:rsid wsp:val=&quot;57AC4DC9&quot;/&gt;&lt;wsp:rsid wsp:val=&quot;57AC6B77&quot;/&gt;&lt;wsp:rsid wsp:val=&quot;57AE0B41&quot;/&gt;&lt;wsp:rsid wsp:val=&quot;57AF2B0B&quot;/&gt;&lt;wsp:rsid wsp:val=&quot;57AF6667&quot;/&gt;&lt;wsp:rsid wsp:val=&quot;57B40121&quot;/&gt;&lt;wsp:rsid wsp:val=&quot;57B41ECF&quot;/&gt;&lt;wsp:rsid wsp:val=&quot;57B679F5&quot;/&gt;&lt;wsp:rsid wsp:val=&quot;57B72A76&quot;/&gt;&lt;wsp:rsid wsp:val=&quot;57B94ADE&quot;/&gt;&lt;wsp:rsid wsp:val=&quot;57B95737&quot;/&gt;&lt;wsp:rsid wsp:val=&quot;57BB325E&quot;/&gt;&lt;wsp:rsid wsp:val=&quot;57BB500C&quot;/&gt;&lt;wsp:rsid wsp:val=&quot;57BB5B42&quot;/&gt;&lt;wsp:rsid wsp:val=&quot;57BC15F3&quot;/&gt;&lt;wsp:rsid wsp:val=&quot;57BD5228&quot;/&gt;&lt;wsp:rsid wsp:val=&quot;57BD68B0&quot;/&gt;&lt;wsp:rsid wsp:val=&quot;57BF2D4E&quot;/&gt;&lt;wsp:rsid wsp:val=&quot;57BF66C9&quot;/&gt;&lt;wsp:rsid wsp:val=&quot;57C06AC6&quot;/&gt;&lt;wsp:rsid wsp:val=&quot;57C32112&quot;/&gt;&lt;wsp:rsid wsp:val=&quot;57C32AA0&quot;/&gt;&lt;wsp:rsid wsp:val=&quot;57C3426C&quot;/&gt;&lt;wsp:rsid wsp:val=&quot;57C55E8A&quot;/&gt;&lt;wsp:rsid wsp:val=&quot;57C92E92&quot;/&gt;&lt;wsp:rsid wsp:val=&quot;57C945D3&quot;/&gt;&lt;wsp:rsid wsp:val=&quot;57CA34A1&quot;/&gt;&lt;wsp:rsid wsp:val=&quot;57CA524F&quot;/&gt;&lt;wsp:rsid wsp:val=&quot;57CC1813&quot;/&gt;&lt;wsp:rsid wsp:val=&quot;57CC546B&quot;/&gt;&lt;wsp:rsid wsp:val=&quot;57CC7219&quot;/&gt;&lt;wsp:rsid wsp:val=&quot;57CE1F93&quot;/&gt;&lt;wsp:rsid wsp:val=&quot;57CF2865&quot;/&gt;&lt;wsp:rsid wsp:val=&quot;57CF6D09&quot;/&gt;&lt;wsp:rsid wsp:val=&quot;57D07C3C&quot;/&gt;&lt;wsp:rsid wsp:val=&quot;57D12A81&quot;/&gt;&lt;wsp:rsid wsp:val=&quot;57D305A7&quot;/&gt;&lt;wsp:rsid wsp:val=&quot;57D60097&quot;/&gt;&lt;wsp:rsid wsp:val=&quot;57D63BF4&quot;/&gt;&lt;wsp:rsid wsp:val=&quot;57D73675&quot;/&gt;&lt;wsp:rsid wsp:val=&quot;57D83DB7&quot;/&gt;&lt;wsp:rsid wsp:val=&quot;57D91936&quot;/&gt;&lt;wsp:rsid wsp:val=&quot;57D936E4&quot;/&gt;&lt;wsp:rsid wsp:val=&quot;57D93F92&quot;/&gt;&lt;wsp:rsid wsp:val=&quot;57DA0118&quot;/&gt;&lt;wsp:rsid wsp:val=&quot;57DA69E8&quot;/&gt;&lt;wsp:rsid wsp:val=&quot;57DB3900&quot;/&gt;&lt;wsp:rsid wsp:val=&quot;57DB56AE&quot;/&gt;&lt;wsp:rsid wsp:val=&quot;57DD1426&quot;/&gt;&lt;wsp:rsid wsp:val=&quot;57DF519E&quot;/&gt;&lt;wsp:rsid wsp:val=&quot;57E00F16&quot;/&gt;&lt;wsp:rsid wsp:val=&quot;57E079C3&quot;/&gt;&lt;wsp:rsid wsp:val=&quot;57E2517A&quot;/&gt;&lt;wsp:rsid wsp:val=&quot;57E44A19&quot;/&gt;&lt;wsp:rsid wsp:val=&quot;57E47E65&quot;/&gt;&lt;wsp:rsid wsp:val=&quot;57E51FFC&quot;/&gt;&lt;wsp:rsid wsp:val=&quot;57E73521&quot;/&gt;&lt;wsp:rsid wsp:val=&quot;57E74053&quot;/&gt;&lt;wsp:rsid wsp:val=&quot;57E7641B&quot;/&gt;&lt;wsp:rsid wsp:val=&quot;57E85B73&quot;/&gt;&lt;wsp:rsid wsp:val=&quot;57E95BB6&quot;/&gt;&lt;wsp:rsid wsp:val=&quot;57E9601D&quot;/&gt;&lt;wsp:rsid wsp:val=&quot;57EA3B43&quot;/&gt;&lt;wsp:rsid wsp:val=&quot;57EA3E47&quot;/&gt;&lt;wsp:rsid wsp:val=&quot;57EE3633&quot;/&gt;&lt;wsp:rsid wsp:val=&quot;57F0777E&quot;/&gt;&lt;wsp:rsid wsp:val=&quot;57F10A2D&quot;/&gt;&lt;wsp:rsid wsp:val=&quot;57F30C49&quot;/&gt;&lt;wsp:rsid wsp:val=&quot;57F41A29&quot;/&gt;&lt;wsp:rsid wsp:val=&quot;57F4758F&quot;/&gt;&lt;wsp:rsid wsp:val=&quot;57F56770&quot;/&gt;&lt;wsp:rsid wsp:val=&quot;57F66044&quot;/&gt;&lt;wsp:rsid wsp:val=&quot;57F95B34&quot;/&gt;&lt;wsp:rsid wsp:val=&quot;57FA1FD8&quot;/&gt;&lt;wsp:rsid wsp:val=&quot;57FA3D86&quot;/&gt;&lt;wsp:rsid wsp:val=&quot;57FB5D50&quot;/&gt;&lt;wsp:rsid wsp:val=&quot;57FB7AFE&quot;/&gt;&lt;wsp:rsid wsp:val=&quot;57FD3876&quot;/&gt;&lt;wsp:rsid wsp:val=&quot;57FD73D2&quot;/&gt;&lt;wsp:rsid wsp:val=&quot;57FE314A&quot;/&gt;&lt;wsp:rsid wsp:val=&quot;57FF2DC9&quot;/&gt;&lt;wsp:rsid wsp:val=&quot;58001984&quot;/&gt;&lt;wsp:rsid wsp:val=&quot;58022C3B&quot;/&gt;&lt;wsp:rsid wsp:val=&quot;580469B3&quot;/&gt;&lt;wsp:rsid wsp:val=&quot;580538F1&quot;/&gt;&lt;wsp:rsid wsp:val=&quot;580746F5&quot;/&gt;&lt;wsp:rsid wsp:val=&quot;58091E72&quot;/&gt;&lt;wsp:rsid wsp:val=&quot;580A1AEF&quot;/&gt;&lt;wsp:rsid wsp:val=&quot;580C3AB9&quot;/&gt;&lt;wsp:rsid wsp:val=&quot;580D5C0C&quot;/&gt;&lt;wsp:rsid wsp:val=&quot;580E5A83&quot;/&gt;&lt;wsp:rsid wsp:val=&quot;580E7831&quot;/&gt;&lt;wsp:rsid wsp:val=&quot;58107BCF&quot;/&gt;&lt;wsp:rsid wsp:val=&quot;581110D0&quot;/&gt;&lt;wsp:rsid wsp:val=&quot;581356E9&quot;/&gt;&lt;wsp:rsid wsp:val=&quot;58136BF6&quot;/&gt;&lt;wsp:rsid wsp:val=&quot;58146308&quot;/&gt;&lt;wsp:rsid wsp:val=&quot;58150BC0&quot;/&gt;&lt;wsp:rsid wsp:val=&quot;581653E5&quot;/&gt;&lt;wsp:rsid wsp:val=&quot;58171A35&quot;/&gt;&lt;wsp:rsid wsp:val=&quot;5818420C&quot;/&gt;&lt;wsp:rsid wsp:val=&quot;5818698A&quot;/&gt;&lt;wsp:rsid wsp:val=&quot;581A12AA&quot;/&gt;&lt;wsp:rsid wsp:val=&quot;581B5AAA&quot;/&gt;&lt;wsp:rsid wsp:val=&quot;581D1822&quot;/&gt;&lt;wsp:rsid wsp:val=&quot;581D5CC6&quot;/&gt;&lt;wsp:rsid wsp:val=&quot;581E05CE&quot;/&gt;&lt;wsp:rsid wsp:val=&quot;581E5996&quot;/&gt;&lt;wsp:rsid wsp:val=&quot;581F28A3&quot;/&gt;&lt;wsp:rsid wsp:val=&quot;58201313&quot;/&gt;&lt;wsp:rsid wsp:val=&quot;582157B7&quot;/&gt;&lt;wsp:rsid wsp:val=&quot;582165AC&quot;/&gt;&lt;wsp:rsid wsp:val=&quot;5822508B&quot;/&gt;&lt;wsp:rsid wsp:val=&quot;5824666E&quot;/&gt;&lt;wsp:rsid wsp:val=&quot;58256929&quot;/&gt;&lt;wsp:rsid wsp:val=&quot;58260F8E&quot;/&gt;&lt;wsp:rsid wsp:val=&quot;582634BF&quot;/&gt;&lt;wsp:rsid wsp:val=&quot;58264EAA&quot;/&gt;&lt;wsp:rsid wsp:val=&quot;582708F3&quot;/&gt;&lt;wsp:rsid wsp:val=&quot;582726A1&quot;/&gt;&lt;wsp:rsid wsp:val=&quot;582B03E3&quot;/&gt;&lt;wsp:rsid wsp:val=&quot;582B2191&quot;/&gt;&lt;wsp:rsid wsp:val=&quot;582E1C82&quot;/&gt;&lt;wsp:rsid wsp:val=&quot;582E4FF3&quot;/&gt;&lt;wsp:rsid wsp:val=&quot;583077A8&quot;/&gt;&lt;wsp:rsid wsp:val=&quot;583152CE&quot;/&gt;&lt;wsp:rsid wsp:val=&quot;58353010&quot;/&gt;&lt;wsp:rsid wsp:val=&quot;58357612&quot;/&gt;&lt;wsp:rsid wsp:val=&quot;58360B36&quot;/&gt;&lt;wsp:rsid wsp:val=&quot;583628E4&quot;/&gt;&lt;wsp:rsid wsp:val=&quot;58371F07&quot;/&gt;&lt;wsp:rsid wsp:val=&quot;583848AE&quot;/&gt;&lt;wsp:rsid wsp:val=&quot;583A0894&quot;/&gt;&lt;wsp:rsid wsp:val=&quot;583A3465&quot;/&gt;&lt;wsp:rsid wsp:val=&quot;583A6878&quot;/&gt;&lt;wsp:rsid wsp:val=&quot;583B1003&quot;/&gt;&lt;wsp:rsid wsp:val=&quot;583C3675&quot;/&gt;&lt;wsp:rsid wsp:val=&quot;583C439E&quot;/&gt;&lt;wsp:rsid wsp:val=&quot;583E1DE6&quot;/&gt;&lt;wsp:rsid wsp:val=&quot;583F79EB&quot;/&gt;&lt;wsp:rsid wsp:val=&quot;5842572D&quot;/&gt;&lt;wsp:rsid wsp:val=&quot;584274DB&quot;/&gt;&lt;wsp:rsid wsp:val=&quot;58443253&quot;/&gt;&lt;wsp:rsid wsp:val=&quot;58466FCB&quot;/&gt;&lt;wsp:rsid wsp:val=&quot;58476637&quot;/&gt;&lt;wsp:rsid wsp:val=&quot;58484328&quot;/&gt;&lt;wsp:rsid wsp:val=&quot;58487836&quot;/&gt;&lt;wsp:rsid wsp:val=&quot;58496ABB&quot;/&gt;&lt;wsp:rsid wsp:val=&quot;584B2834&quot;/&gt;&lt;wsp:rsid wsp:val=&quot;584C2108&quot;/&gt;&lt;wsp:rsid wsp:val=&quot;58507E4A&quot;/&gt;&lt;wsp:rsid wsp:val=&quot;5851771E&quot;/&gt;&lt;wsp:rsid wsp:val=&quot;585316E8&quot;/&gt;&lt;wsp:rsid wsp:val=&quot;58550FBC&quot;/&gt;&lt;wsp:rsid wsp:val=&quot;5855720E&quot;/&gt;&lt;wsp:rsid wsp:val=&quot;5856065B&quot;/&gt;&lt;wsp:rsid wsp:val=&quot;58561460&quot;/&gt;&lt;wsp:rsid wsp:val=&quot;58584F50&quot;/&gt;&lt;wsp:rsid wsp:val=&quot;58586CFE&quot;/&gt;&lt;wsp:rsid wsp:val=&quot;585969EE&quot;/&gt;&lt;wsp:rsid wsp:val=&quot;585A4D2D&quot;/&gt;&lt;wsp:rsid wsp:val=&quot;585A65D3&quot;/&gt;&lt;wsp:rsid wsp:val=&quot;585A6730&quot;/&gt;&lt;wsp:rsid wsp:val=&quot;585A7E7E&quot;/&gt;&lt;wsp:rsid wsp:val=&quot;585B059D&quot;/&gt;&lt;wsp:rsid wsp:val=&quot;585D2567&quot;/&gt;&lt;wsp:rsid wsp:val=&quot;585D4315&quot;/&gt;&lt;wsp:rsid wsp:val=&quot;585D50BE&quot;/&gt;&lt;wsp:rsid wsp:val=&quot;585E7C8F&quot;/&gt;&lt;wsp:rsid wsp:val=&quot;58615BB3&quot;/&gt;&lt;wsp:rsid wsp:val=&quot;5862192B&quot;/&gt;&lt;wsp:rsid wsp:val=&quot;58627B7D&quot;/&gt;&lt;wsp:rsid wsp:val=&quot;58632671&quot;/&gt;&lt;wsp:rsid wsp:val=&quot;58637281&quot;/&gt;&lt;wsp:rsid wsp:val=&quot;58653994&quot;/&gt;&lt;wsp:rsid wsp:val=&quot;5866141B&quot;/&gt;&lt;wsp:rsid wsp:val=&quot;5866766D&quot;/&gt;&lt;wsp:rsid wsp:val=&quot;58675193&quot;/&gt;&lt;wsp:rsid wsp:val=&quot;58676F42&quot;/&gt;&lt;wsp:rsid wsp:val=&quot;58681E74&quot;/&gt;&lt;wsp:rsid wsp:val=&quot;58694A68&quot;/&gt;&lt;wsp:rsid wsp:val=&quot;586B07E0&quot;/&gt;&lt;wsp:rsid wsp:val=&quot;586B76C2&quot;/&gt;&lt;wsp:rsid wsp:val=&quot;586C6306&quot;/&gt;&lt;wsp:rsid wsp:val=&quot;586E207E&quot;/&gt;&lt;wsp:rsid wsp:val=&quot;58704048&quot;/&gt;&lt;wsp:rsid wsp:val=&quot;58716105&quot;/&gt;&lt;wsp:rsid wsp:val=&quot;58733B38&quot;/&gt;&lt;wsp:rsid wsp:val=&quot;58773629&quot;/&gt;&lt;wsp:rsid wsp:val=&quot;587753D7&quot;/&gt;&lt;wsp:rsid wsp:val=&quot;58781CC6&quot;/&gt;&lt;wsp:rsid wsp:val=&quot;58782EFD&quot;/&gt;&lt;wsp:rsid wsp:val=&quot;58791FDE&quot;/&gt;&lt;wsp:rsid wsp:val=&quot;587949A8&quot;/&gt;&lt;wsp:rsid wsp:val=&quot;587A116F&quot;/&gt;&lt;wsp:rsid wsp:val=&quot;587A4EC7&quot;/&gt;&lt;wsp:rsid wsp:val=&quot;587C0C3F&quot;/&gt;&lt;wsp:rsid wsp:val=&quot;587C29ED&quot;/&gt;&lt;wsp:rsid wsp:val=&quot;587C3671&quot;/&gt;&lt;wsp:rsid wsp:val=&quot;587E5B38&quot;/&gt;&lt;wsp:rsid wsp:val=&quot;587F0709&quot;/&gt;&lt;wsp:rsid wsp:val=&quot;587F072F&quot;/&gt;&lt;wsp:rsid wsp:val=&quot;58825B29&quot;/&gt;&lt;wsp:rsid wsp:val=&quot;588418A2&quot;/&gt;&lt;wsp:rsid wsp:val=&quot;58847AF3&quot;/&gt;&lt;wsp:rsid wsp:val=&quot;58856367&quot;/&gt;&lt;wsp:rsid wsp:val=&quot;588743D1&quot;/&gt;&lt;wsp:rsid wsp:val=&quot;5887701A&quot;/&gt;&lt;wsp:rsid wsp:val=&quot;5889510A&quot;/&gt;&lt;wsp:rsid wsp:val=&quot;588B0E82&quot;/&gt;&lt;wsp:rsid wsp:val=&quot;588C013C&quot;/&gt;&lt;wsp:rsid wsp:val=&quot;588E7DA0&quot;/&gt;&lt;wsp:rsid wsp:val=&quot;58913FBE&quot;/&gt;&lt;wsp:rsid wsp:val=&quot;58920462&quot;/&gt;&lt;wsp:rsid wsp:val=&quot;58931AE5&quot;/&gt;&lt;wsp:rsid wsp:val=&quot;58935F89&quot;/&gt;&lt;wsp:rsid wsp:val=&quot;58960B14&quot;/&gt;&lt;wsp:rsid wsp:val=&quot;58975A79&quot;/&gt;&lt;wsp:rsid wsp:val=&quot;5898534D&quot;/&gt;&lt;wsp:rsid wsp:val=&quot;589A2E73&quot;/&gt;&lt;wsp:rsid wsp:val=&quot;589D0BB5&quot;/&gt;&lt;wsp:rsid wsp:val=&quot;589D2963&quot;/&gt;&lt;wsp:rsid wsp:val=&quot;589F0489&quot;/&gt;&lt;wsp:rsid wsp:val=&quot;589F66DB&quot;/&gt;&lt;wsp:rsid wsp:val=&quot;58A02613&quot;/&gt;&lt;wsp:rsid wsp:val=&quot;58A12453&quot;/&gt;&lt;wsp:rsid wsp:val=&quot;58A261CC&quot;/&gt;&lt;wsp:rsid wsp:val=&quot;58A43CF2&quot;/&gt;&lt;wsp:rsid wsp:val=&quot;58A67A6A&quot;/&gt;&lt;wsp:rsid wsp:val=&quot;58A91308&quot;/&gt;&lt;wsp:rsid wsp:val=&quot;58AD0DF8&quot;/&gt;&lt;wsp:rsid wsp:val=&quot;58AD136C&quot;/&gt;&lt;wsp:rsid wsp:val=&quot;58AD786A&quot;/&gt;&lt;wsp:rsid wsp:val=&quot;58AE4B70&quot;/&gt;&lt;wsp:rsid wsp:val=&quot;58AE691E&quot;/&gt;&lt;wsp:rsid wsp:val=&quot;58AF77DD&quot;/&gt;&lt;wsp:rsid wsp:val=&quot;58B008E9&quot;/&gt;&lt;wsp:rsid wsp:val=&quot;58B06B3A&quot;/&gt;&lt;wsp:rsid wsp:val=&quot;58B313F3&quot;/&gt;&lt;wsp:rsid wsp:val=&quot;58B33CCF&quot;/&gt;&lt;wsp:rsid wsp:val=&quot;58B33F35&quot;/&gt;&lt;wsp:rsid wsp:val=&quot;58B41D6C&quot;/&gt;&lt;wsp:rsid wsp:val=&quot;58B54151&quot;/&gt;&lt;wsp:rsid wsp:val=&quot;58B55EFF&quot;/&gt;&lt;wsp:rsid wsp:val=&quot;58B731C9&quot;/&gt;&lt;wsp:rsid wsp:val=&quot;58B77EC9&quot;/&gt;&lt;wsp:rsid wsp:val=&quot;58B8154B&quot;/&gt;&lt;wsp:rsid wsp:val=&quot;58BA52C3&quot;/&gt;&lt;wsp:rsid wsp:val=&quot;58BD4DB3&quot;/&gt;&lt;wsp:rsid wsp:val=&quot;58BD4E3B&quot;/&gt;&lt;wsp:rsid wsp:val=&quot;58BF0B2C&quot;/&gt;&lt;wsp:rsid wsp:val=&quot;58BF5B9C&quot;/&gt;&lt;wsp:rsid wsp:val=&quot;58BF6D7E&quot;/&gt;&lt;wsp:rsid wsp:val=&quot;58C3061C&quot;/&gt;&lt;wsp:rsid wsp:val=&quot;58C3686E&quot;/&gt;&lt;wsp:rsid wsp:val=&quot;58C57CDC&quot;/&gt;&lt;wsp:rsid wsp:val=&quot;58C6010C&quot;/&gt;&lt;wsp:rsid wsp:val=&quot;58C85C32&quot;/&gt;&lt;wsp:rsid wsp:val=&quot;58C919AA&quot;/&gt;&lt;wsp:rsid wsp:val=&quot;58CB413F&quot;/&gt;&lt;wsp:rsid wsp:val=&quot;58CD3249&quot;/&gt;&lt;wsp:rsid wsp:val=&quot;58CF1137&quot;/&gt;&lt;wsp:rsid wsp:val=&quot;58D20E82&quot;/&gt;&lt;wsp:rsid wsp:val=&quot;58D228D1&quot;/&gt;&lt;wsp:rsid wsp:val=&quot;58D26AB1&quot;/&gt;&lt;wsp:rsid wsp:val=&quot;58D42829&quot;/&gt;&lt;wsp:rsid wsp:val=&quot;58D75E75&quot;/&gt;&lt;wsp:rsid wsp:val=&quot;58D77C23&quot;/&gt;&lt;wsp:rsid wsp:val=&quot;58D97E3F&quot;/&gt;&lt;wsp:rsid wsp:val=&quot;58DA3BB7&quot;/&gt;&lt;wsp:rsid wsp:val=&quot;58DA5965&quot;/&gt;&lt;wsp:rsid wsp:val=&quot;58DA6644&quot;/&gt;&lt;wsp:rsid wsp:val=&quot;58DA7713&quot;/&gt;&lt;wsp:rsid wsp:val=&quot;58DD4CD1&quot;/&gt;&lt;wsp:rsid wsp:val=&quot;58DE7204&quot;/&gt;&lt;wsp:rsid wsp:val=&quot;58DF1E3B&quot;/&gt;&lt;wsp:rsid wsp:val=&quot;58DF2F7C&quot;/&gt;&lt;wsp:rsid wsp:val=&quot;58DF4D2A&quot;/&gt;&lt;wsp:rsid wsp:val=&quot;58E16365&quot;/&gt;&lt;wsp:rsid wsp:val=&quot;58E3481A&quot;/&gt;&lt;wsp:rsid wsp:val=&quot;58E40592&quot;/&gt;&lt;wsp:rsid wsp:val=&quot;58E467E4&quot;/&gt;&lt;wsp:rsid wsp:val=&quot;58E6255C&quot;/&gt;&lt;wsp:rsid wsp:val=&quot;58E6430A&quot;/&gt;&lt;wsp:rsid wsp:val=&quot;58E660B8&quot;/&gt;&lt;wsp:rsid wsp:val=&quot;58E76756&quot;/&gt;&lt;wsp:rsid wsp:val=&quot;58EB1921&quot;/&gt;&lt;wsp:rsid wsp:val=&quot;58EB36CF&quot;/&gt;&lt;wsp:rsid wsp:val=&quot;58EB7B73&quot;/&gt;&lt;wsp:rsid wsp:val=&quot;58EC1B0F&quot;/&gt;&lt;wsp:rsid wsp:val=&quot;58EC6049&quot;/&gt;&lt;wsp:rsid wsp:val=&quot;58ED74D9&quot;/&gt;&lt;wsp:rsid wsp:val=&quot;58EF3C35&quot;/&gt;&lt;wsp:rsid wsp:val=&quot;58F00CE5&quot;/&gt;&lt;wsp:rsid wsp:val=&quot;58F0569F&quot;/&gt;&lt;wsp:rsid wsp:val=&quot;58F06F37&quot;/&gt;&lt;wsp:rsid wsp:val=&quot;58F307D5&quot;/&gt;&lt;wsp:rsid wsp:val=&quot;58F4190E&quot;/&gt;&lt;wsp:rsid wsp:val=&quot;58F42F66&quot;/&gt;&lt;wsp:rsid wsp:val=&quot;58F46BA2&quot;/&gt;&lt;wsp:rsid wsp:val=&quot;58F5279F&quot;/&gt;&lt;wsp:rsid wsp:val=&quot;58F702C5&quot;/&gt;&lt;wsp:rsid wsp:val=&quot;58F72073&quot;/&gt;&lt;wsp:rsid wsp:val=&quot;58F85DEC&quot;/&gt;&lt;wsp:rsid wsp:val=&quot;58F96265&quot;/&gt;&lt;wsp:rsid wsp:val=&quot;58F971BD&quot;/&gt;&lt;wsp:rsid wsp:val=&quot;58FC3B2E&quot;/&gt;&lt;wsp:rsid wsp:val=&quot;58FD3402&quot;/&gt;&lt;wsp:rsid wsp:val=&quot;58FD417F&quot;/&gt;&lt;wsp:rsid wsp:val=&quot;58FE74CE&quot;/&gt;&lt;wsp:rsid wsp:val=&quot;58FF53CC&quot;/&gt;&lt;wsp:rsid wsp:val=&quot;58FF7619&quot;/&gt;&lt;wsp:rsid wsp:val=&quot;5900361E&quot;/&gt;&lt;wsp:rsid wsp:val=&quot;59011144&quot;/&gt;&lt;wsp:rsid wsp:val=&quot;59012EF2&quot;/&gt;&lt;wsp:rsid wsp:val=&quot;590518BF&quot;/&gt;&lt;wsp:rsid wsp:val=&quot;59080725&quot;/&gt;&lt;wsp:rsid wsp:val=&quot;59091DA7&quot;/&gt;&lt;wsp:rsid wsp:val=&quot;59096ED1&quot;/&gt;&lt;wsp:rsid wsp:val=&quot;590A630B&quot;/&gt;&lt;wsp:rsid wsp:val=&quot;590B3D71&quot;/&gt;&lt;wsp:rsid wsp:val=&quot;590C2A62&quot;/&gt;&lt;wsp:rsid wsp:val=&quot;590E6812&quot;/&gt;&lt;wsp:rsid wsp:val=&quot;590F3861&quot;/&gt;&lt;wsp:rsid wsp:val=&quot;59103135&quot;/&gt;&lt;wsp:rsid wsp:val=&quot;59154BEF&quot;/&gt;&lt;wsp:rsid wsp:val=&quot;591620AE&quot;/&gt;&lt;wsp:rsid wsp:val=&quot;59172716&quot;/&gt;&lt;wsp:rsid wsp:val=&quot;5919023C&quot;/&gt;&lt;wsp:rsid wsp:val=&quot;591B0458&quot;/&gt;&lt;wsp:rsid wsp:val=&quot;591E5852&quot;/&gt;&lt;wsp:rsid wsp:val=&quot;591F1B00&quot;/&gt;&lt;wsp:rsid wsp:val=&quot;59215342&quot;/&gt;&lt;wsp:rsid wsp:val=&quot;5923730C&quot;/&gt;&lt;wsp:rsid wsp:val=&quot;59246BE1&quot;/&gt;&lt;wsp:rsid wsp:val=&quot;59260BAB&quot;/&gt;&lt;wsp:rsid wsp:val=&quot;59282B75&quot;/&gt;&lt;wsp:rsid wsp:val=&quot;59284CA9&quot;/&gt;&lt;wsp:rsid wsp:val=&quot;592A2449&quot;/&gt;&lt;wsp:rsid wsp:val=&quot;592B61C1&quot;/&gt;&lt;wsp:rsid wsp:val=&quot;592D3CE7&quot;/&gt;&lt;wsp:rsid wsp:val=&quot;592E180D&quot;/&gt;&lt;wsp:rsid wsp:val=&quot;592E7BFA&quot;/&gt;&lt;wsp:rsid wsp:val=&quot;592F728C&quot;/&gt;&lt;wsp:rsid wsp:val=&quot;59301A29&quot;/&gt;&lt;wsp:rsid wsp:val=&quot;593162FA&quot;/&gt;&lt;wsp:rsid wsp:val=&quot;593212FE&quot;/&gt;&lt;wsp:rsid wsp:val=&quot;5932754F&quot;/&gt;&lt;wsp:rsid wsp:val=&quot;59345076&quot;/&gt;&lt;wsp:rsid wsp:val=&quot;59352B9C&quot;/&gt;&lt;wsp:rsid wsp:val=&quot;59374B66&quot;/&gt;&lt;wsp:rsid wsp:val=&quot;593A439E&quot;/&gt;&lt;wsp:rsid wsp:val=&quot;593A6404&quot;/&gt;&lt;wsp:rsid wsp:val=&quot;593A768F&quot;/&gt;&lt;wsp:rsid wsp:val=&quot;593B28A8&quot;/&gt;&lt;wsp:rsid wsp:val=&quot;593C03CE&quot;/&gt;&lt;wsp:rsid wsp:val=&quot;593C0B52&quot;/&gt;&lt;wsp:rsid wsp:val=&quot;593C3F2A&quot;/&gt;&lt;wsp:rsid wsp:val=&quot;593C4479&quot;/&gt;&lt;wsp:rsid wsp:val=&quot;593C54D3&quot;/&gt;&lt;wsp:rsid wsp:val=&quot;59405C8C&quot;/&gt;&lt;wsp:rsid wsp:val=&quot;594228A6&quot;/&gt;&lt;wsp:rsid wsp:val=&quot;594352B9&quot;/&gt;&lt;wsp:rsid wsp:val=&quot;59436B91&quot;/&gt;&lt;wsp:rsid wsp:val=&quot;59445A94&quot;/&gt;&lt;wsp:rsid wsp:val=&quot;59452BF2&quot;/&gt;&lt;wsp:rsid wsp:val=&quot;59462FFB&quot;/&gt;&lt;wsp:rsid wsp:val=&quot;59464DA9&quot;/&gt;&lt;wsp:rsid wsp:val=&quot;594700E3&quot;/&gt;&lt;wsp:rsid wsp:val=&quot;59480B21&quot;/&gt;&lt;wsp:rsid wsp:val=&quot;594828CF&quot;/&gt;&lt;wsp:rsid wsp:val=&quot;59492735&quot;/&gt;&lt;wsp:rsid wsp:val=&quot;594B0AC4&quot;/&gt;&lt;wsp:rsid wsp:val=&quot;594C7EF4&quot;/&gt;&lt;wsp:rsid wsp:val=&quot;594D6137&quot;/&gt;&lt;wsp:rsid wsp:val=&quot;594E53E5&quot;/&gt;&lt;wsp:rsid wsp:val=&quot;594F2016&quot;/&gt;&lt;wsp:rsid wsp:val=&quot;594F370E&quot;/&gt;&lt;wsp:rsid wsp:val=&quot;594F3C5E&quot;/&gt;&lt;wsp:rsid wsp:val=&quot;595079D6&quot;/&gt;&lt;wsp:rsid wsp:val=&quot;59513E7A&quot;/&gt;&lt;wsp:rsid wsp:val=&quot;595219A0&quot;/&gt;&lt;wsp:rsid wsp:val=&quot;5954396A&quot;/&gt;&lt;wsp:rsid wsp:val=&quot;59561490&quot;/&gt;&lt;wsp:rsid wsp:val=&quot;59594ADC&quot;/&gt;&lt;wsp:rsid wsp:val=&quot;595B4CF8&quot;/&gt;&lt;wsp:rsid wsp:val=&quot;595E4EDA&quot;/&gt;&lt;wsp:rsid wsp:val=&quot;595E6596&quot;/&gt;&lt;wsp:rsid wsp:val=&quot;59633BAD&quot;/&gt;&lt;wsp:rsid wsp:val=&quot;5963595B&quot;/&gt;&lt;wsp:rsid wsp:val=&quot;59641B83&quot;/&gt;&lt;wsp:rsid wsp:val=&quot;59684D1F&quot;/&gt;&lt;wsp:rsid wsp:val=&quot;596A34DE&quot;/&gt;&lt;wsp:rsid wsp:val=&quot;596C0CB3&quot;/&gt;&lt;wsp:rsid wsp:val=&quot;596F2552&quot;/&gt;&lt;wsp:rsid wsp:val=&quot;5971077F&quot;/&gt;&lt;wsp:rsid wsp:val=&quot;597162CA&quot;/&gt;&lt;wsp:rsid wsp:val=&quot;59722042&quot;/&gt;&lt;wsp:rsid wsp:val=&quot;59725B9E&quot;/&gt;&lt;wsp:rsid wsp:val=&quot;5974452F&quot;/&gt;&lt;wsp:rsid wsp:val=&quot;597467F0&quot;/&gt;&lt;wsp:rsid wsp:val=&quot;5975743C&quot;/&gt;&lt;wsp:rsid wsp:val=&quot;597638E0&quot;/&gt;&lt;wsp:rsid wsp:val=&quot;597731B4&quot;/&gt;&lt;wsp:rsid wsp:val=&quot;597933D0&quot;/&gt;&lt;wsp:rsid wsp:val=&quot;597A3BB3&quot;/&gt;&lt;wsp:rsid wsp:val=&quot;597B2CA5&quot;/&gt;&lt;wsp:rsid wsp:val=&quot;597C6A1D&quot;/&gt;&lt;wsp:rsid wsp:val=&quot;597D0E01&quot;/&gt;&lt;wsp:rsid wsp:val=&quot;597D4C6F&quot;/&gt;&lt;wsp:rsid wsp:val=&quot;597D7FB6&quot;/&gt;&lt;wsp:rsid wsp:val=&quot;597E09E7&quot;/&gt;&lt;wsp:rsid wsp:val=&quot;597E2795&quot;/&gt;&lt;wsp:rsid wsp:val=&quot;59815DE1&quot;/&gt;&lt;wsp:rsid wsp:val=&quot;59851D75&quot;/&gt;&lt;wsp:rsid wsp:val=&quot;598633F7&quot;/&gt;&lt;wsp:rsid wsp:val=&quot;5988716F&quot;/&gt;&lt;wsp:rsid wsp:val=&quot;598962AA&quot;/&gt;&lt;wsp:rsid wsp:val=&quot;598A113A&quot;/&gt;&lt;wsp:rsid wsp:val=&quot;598A550B&quot;/&gt;&lt;wsp:rsid wsp:val=&quot;598B6C60&quot;/&gt;&lt;wsp:rsid wsp:val=&quot;598C4EB2&quot;/&gt;&lt;wsp:rsid wsp:val=&quot;598D0473&quot;/&gt;&lt;wsp:rsid wsp:val=&quot;598F36EC&quot;/&gt;&lt;wsp:rsid wsp:val=&quot;598F6750&quot;/&gt;&lt;wsp:rsid wsp:val=&quot;59904667&quot;/&gt;&lt;wsp:rsid wsp:val=&quot;599124C8&quot;/&gt;&lt;wsp:rsid wsp:val=&quot;59922E34&quot;/&gt;&lt;wsp:rsid wsp:val=&quot;59933B19&quot;/&gt;&lt;wsp:rsid wsp:val=&quot;59934492&quot;/&gt;&lt;wsp:rsid wsp:val=&quot;59943D66&quot;/&gt;&lt;wsp:rsid wsp:val=&quot;5999137D&quot;/&gt;&lt;wsp:rsid wsp:val=&quot;5999312B&quot;/&gt;&lt;wsp:rsid wsp:val=&quot;59995821&quot;/&gt;&lt;wsp:rsid wsp:val=&quot;599E2FD8&quot;/&gt;&lt;wsp:rsid wsp:val=&quot;59A0270B&quot;/&gt;&lt;wsp:rsid wsp:val=&quot;59A10231&quot;/&gt;&lt;wsp:rsid wsp:val=&quot;59A57D21&quot;/&gt;&lt;wsp:rsid wsp:val=&quot;59A631F0&quot;/&gt;&lt;wsp:rsid wsp:val=&quot;59A65848&quot;/&gt;&lt;wsp:rsid wsp:val=&quot;59A73043&quot;/&gt;&lt;wsp:rsid wsp:val=&quot;59A73A9A&quot;/&gt;&lt;wsp:rsid wsp:val=&quot;59A91713&quot;/&gt;&lt;wsp:rsid wsp:val=&quot;59AA17DC&quot;/&gt;&lt;wsp:rsid wsp:val=&quot;59AB6B3D&quot;/&gt;&lt;wsp:rsid wsp:val=&quot;59AC10B0&quot;/&gt;&lt;wsp:rsid wsp:val=&quot;59AC3230&quot;/&gt;&lt;wsp:rsid wsp:val=&quot;59AF0BA0&quot;/&gt;&lt;wsp:rsid wsp:val=&quot;59B144D1&quot;/&gt;&lt;wsp:rsid wsp:val=&quot;59B14918&quot;/&gt;&lt;wsp:rsid wsp:val=&quot;59B241EC&quot;/&gt;&lt;wsp:rsid wsp:val=&quot;59B30690&quot;/&gt;&lt;wsp:rsid wsp:val=&quot;59B461B6&quot;/&gt;&lt;wsp:rsid wsp:val=&quot;59B61F2F&quot;/&gt;&lt;wsp:rsid wsp:val=&quot;59B63CDD&quot;/&gt;&lt;wsp:rsid wsp:val=&quot;59B70343&quot;/&gt;&lt;wsp:rsid wsp:val=&quot;59B91A1F&quot;/&gt;&lt;wsp:rsid wsp:val=&quot;59B9557B&quot;/&gt;&lt;wsp:rsid wsp:val=&quot;59BA5B29&quot;/&gt;&lt;wsp:rsid wsp:val=&quot;59BC0878&quot;/&gt;&lt;wsp:rsid wsp:val=&quot;59BC506B&quot;/&gt;&lt;wsp:rsid wsp:val=&quot;59BD2407&quot;/&gt;&lt;wsp:rsid wsp:val=&quot;59BF7C35&quot;/&gt;&lt;wsp:rsid wsp:val=&quot;59C0439F&quot;/&gt;&lt;wsp:rsid wsp:val=&quot;59C12681&quot;/&gt;&lt;wsp:rsid wsp:val=&quot;59C3464B&quot;/&gt;&lt;wsp:rsid wsp:val=&quot;59C414B7&quot;/&gt;&lt;wsp:rsid wsp:val=&quot;59C77E38&quot;/&gt;&lt;wsp:rsid wsp:val=&quot;59C81C62&quot;/&gt;&lt;wsp:rsid wsp:val=&quot;59CA3C2C&quot;/&gt;&lt;wsp:rsid wsp:val=&quot;59CA7788&quot;/&gt;&lt;wsp:rsid wsp:val=&quot;59CC1752&quot;/&gt;&lt;wsp:rsid wsp:val=&quot;59CD1026&quot;/&gt;&lt;wsp:rsid wsp:val=&quot;59CF1242&quot;/&gt;&lt;wsp:rsid wsp:val=&quot;59CF57B7&quot;/&gt;&lt;wsp:rsid wsp:val=&quot;59D13ABB&quot;/&gt;&lt;wsp:rsid wsp:val=&quot;59D423B5&quot;/&gt;&lt;wsp:rsid wsp:val=&quot;59D625D1&quot;/&gt;&lt;wsp:rsid wsp:val=&quot;59D6612D&quot;/&gt;&lt;wsp:rsid wsp:val=&quot;59D979CB&quot;/&gt;&lt;wsp:rsid wsp:val=&quot;59DB3743&quot;/&gt;&lt;wsp:rsid wsp:val=&quot;59DC1F2E&quot;/&gt;&lt;wsp:rsid wsp:val=&quot;59DD74BB&quot;/&gt;&lt;wsp:rsid wsp:val=&quot;59DE1485&quot;/&gt;&lt;wsp:rsid wsp:val=&quot;59DE3B00&quot;/&gt;&lt;wsp:rsid wsp:val=&quot;59E00D5A&quot;/&gt;&lt;wsp:rsid wsp:val=&quot;59E22D24&quot;/&gt;&lt;wsp:rsid wsp:val=&quot;59E25F3A&quot;/&gt;&lt;wsp:rsid wsp:val=&quot;59E30AA1&quot;/&gt;&lt;wsp:rsid wsp:val=&quot;59E31FE6&quot;/&gt;&lt;wsp:rsid wsp:val=&quot;59E52814&quot;/&gt;&lt;wsp:rsid wsp:val=&quot;59E720E8&quot;/&gt;&lt;wsp:rsid wsp:val=&quot;59E85E60&quot;/&gt;&lt;wsp:rsid wsp:val=&quot;59E940B2&quot;/&gt;&lt;wsp:rsid wsp:val=&quot;59EA1BD8&quot;/&gt;&lt;wsp:rsid wsp:val=&quot;59EA6CCF&quot;/&gt;&lt;wsp:rsid wsp:val=&quot;59EA7E2A&quot;/&gt;&lt;wsp:rsid wsp:val=&quot;59EC3BA2&quot;/&gt;&lt;wsp:rsid wsp:val=&quot;59EC3E95&quot;/&gt;&lt;wsp:rsid wsp:val=&quot;59EC76FE&quot;/&gt;&lt;wsp:rsid wsp:val=&quot;59ED3476&quot;/&gt;&lt;wsp:rsid wsp:val=&quot;59EE2013&quot;/&gt;&lt;wsp:rsid wsp:val=&quot;59EF3692&quot;/&gt;&lt;wsp:rsid wsp:val=&quot;59EF5441&quot;/&gt;&lt;wsp:rsid wsp:val=&quot;59EF5DF4&quot;/&gt;&lt;wsp:rsid wsp:val=&quot;59EF71EF&quot;/&gt;&lt;wsp:rsid wsp:val=&quot;59F01C15&quot;/&gt;&lt;wsp:rsid wsp:val=&quot;59F04B44&quot;/&gt;&lt;wsp:rsid wsp:val=&quot;59F14D15&quot;/&gt;&lt;wsp:rsid wsp:val=&quot;59F20A8D&quot;/&gt;&lt;wsp:rsid wsp:val=&quot;59F6057D&quot;/&gt;&lt;wsp:rsid wsp:val=&quot;59F667CF&quot;/&gt;&lt;wsp:rsid wsp:val=&quot;59FB2037&quot;/&gt;&lt;wsp:rsid wsp:val=&quot;59FB5B93&quot;/&gt;&lt;wsp:rsid wsp:val=&quot;59FD3560&quot;/&gt;&lt;wsp:rsid wsp:val=&quot;59FE5684&quot;/&gt;&lt;wsp:rsid wsp:val=&quot;5A007FC9&quot;/&gt;&lt;wsp:rsid wsp:val=&quot;5A0233C6&quot;/&gt;&lt;wsp:rsid wsp:val=&quot;5A025174&quot;/&gt;&lt;wsp:rsid wsp:val=&quot;5A040EEC&quot;/&gt;&lt;wsp:rsid wsp:val=&quot;5A04713E&quot;/&gt;&lt;wsp:rsid wsp:val=&quot;5A0507C0&quot;/&gt;&lt;wsp:rsid wsp:val=&quot;5A074538&quot;/&gt;&lt;wsp:rsid wsp:val=&quot;5A0802B0&quot;/&gt;&lt;wsp:rsid wsp:val=&quot;5A0A227A&quot;/&gt;&lt;wsp:rsid wsp:val=&quot;5A0A4028&quot;/&gt;&lt;wsp:rsid wsp:val=&quot;5A0A5DD6&quot;/&gt;&lt;wsp:rsid wsp:val=&quot;5A0B48A1&quot;/&gt;&lt;wsp:rsid wsp:val=&quot;5A0C1B4F&quot;/&gt;&lt;wsp:rsid wsp:val=&quot;5A0C7DA1&quot;/&gt;&lt;wsp:rsid wsp:val=&quot;5A0D79FC&quot;/&gt;&lt;wsp:rsid wsp:val=&quot;5A0E25CD&quot;/&gt;&lt;wsp:rsid wsp:val=&quot;5A0F163F&quot;/&gt;&lt;wsp:rsid wsp:val=&quot;5A0F7891&quot;/&gt;&lt;wsp:rsid wsp:val=&quot;5A105AE3&quot;/&gt;&lt;wsp:rsid wsp:val=&quot;5A150D5F&quot;/&gt;&lt;wsp:rsid wsp:val=&quot;5A1530F9&quot;/&gt;&lt;wsp:rsid wsp:val=&quot;5A1629CD&quot;/&gt;&lt;wsp:rsid wsp:val=&quot;5A166E71&quot;/&gt;&lt;wsp:rsid wsp:val=&quot;5A17353D&quot;/&gt;&lt;wsp:rsid wsp:val=&quot;5A1D0200&quot;/&gt;&lt;wsp:rsid wsp:val=&quot;5A1D0C32&quot;/&gt;&lt;wsp:rsid wsp:val=&quot;5A1D3E97&quot;/&gt;&lt;wsp:rsid wsp:val=&quot;5A1D5B0A&quot;/&gt;&lt;wsp:rsid wsp:val=&quot;5A1E5F89&quot;/&gt;&lt;wsp:rsid wsp:val=&quot;5A225816&quot;/&gt;&lt;wsp:rsid wsp:val=&quot;5A2275C4&quot;/&gt;&lt;wsp:rsid wsp:val=&quot;5A2450EA&quot;/&gt;&lt;wsp:rsid wsp:val=&quot;5A272E2C&quot;/&gt;&lt;wsp:rsid wsp:val=&quot;5A274BDA&quot;/&gt;&lt;wsp:rsid wsp:val=&quot;5A292701&quot;/&gt;&lt;wsp:rsid wsp:val=&quot;5A2A6479&quot;/&gt;&lt;wsp:rsid wsp:val=&quot;5A2C11B4&quot;/&gt;&lt;wsp:rsid wsp:val=&quot;5A2C3F9F&quot;/&gt;&lt;wsp:rsid wsp:val=&quot;5A2E0476&quot;/&gt;&lt;wsp:rsid wsp:val=&quot;5A2E2FAF&quot;/&gt;&lt;wsp:rsid wsp:val=&quot;5A2E3047&quot;/&gt;&lt;wsp:rsid wsp:val=&quot;5A2F1CE1&quot;/&gt;&lt;wsp:rsid wsp:val=&quot;5A30337A&quot;/&gt;&lt;wsp:rsid wsp:val=&quot;5A307F33&quot;/&gt;&lt;wsp:rsid wsp:val=&quot;5A3115B5&quot;/&gt;&lt;wsp:rsid wsp:val=&quot;5A315A59&quot;/&gt;&lt;wsp:rsid wsp:val=&quot;5A362E88&quot;/&gt;&lt;wsp:rsid wsp:val=&quot;5A366BCB&quot;/&gt;&lt;wsp:rsid wsp:val=&quot;5A382944&quot;/&gt;&lt;wsp:rsid wsp:val=&quot;5A3840F9&quot;/&gt;&lt;wsp:rsid wsp:val=&quot;5A385205&quot;/&gt;&lt;wsp:rsid wsp:val=&quot;5A3966BC&quot;/&gt;&lt;wsp:rsid wsp:val=&quot;5A396D82&quot;/&gt;&lt;wsp:rsid wsp:val=&quot;5A3A2B60&quot;/&gt;&lt;wsp:rsid wsp:val=&quot;5A3A490E&quot;/&gt;&lt;wsp:rsid wsp:val=&quot;5A3B0686&quot;/&gt;&lt;wsp:rsid wsp:val=&quot;5A3D43FE&quot;/&gt;&lt;wsp:rsid wsp:val=&quot;5A3F0176&quot;/&gt;&lt;wsp:rsid wsp:val=&quot;5A3F1F24&quot;/&gt;&lt;wsp:rsid wsp:val=&quot;5A407A4A&quot;/&gt;&lt;wsp:rsid wsp:val=&quot;5A41632E&quot;/&gt;&lt;wsp:rsid wsp:val=&quot;5A4232B6&quot;/&gt;&lt;wsp:rsid wsp:val=&quot;5A4237C2&quot;/&gt;&lt;wsp:rsid wsp:val=&quot;5A44753A&quot;/&gt;&lt;wsp:rsid wsp:val=&quot;5A4532B2&quot;/&gt;&lt;wsp:rsid wsp:val=&quot;5A461504&quot;/&gt;&lt;wsp:rsid wsp:val=&quot;5A47702B&quot;/&gt;&lt;wsp:rsid wsp:val=&quot;5A4B6B1B&quot;/&gt;&lt;wsp:rsid wsp:val=&quot;5A4C3186&quot;/&gt;&lt;wsp:rsid wsp:val=&quot;5A4E03B9&quot;/&gt;&lt;wsp:rsid wsp:val=&quot;5A4E660B&quot;/&gt;&lt;wsp:rsid wsp:val=&quot;5A4F5EDF&quot;/&gt;&lt;wsp:rsid wsp:val=&quot;5A513A05&quot;/&gt;&lt;wsp:rsid wsp:val=&quot;5A5A0B0C&quot;/&gt;&lt;wsp:rsid wsp:val=&quot;5A5A76B3&quot;/&gt;&lt;wsp:rsid wsp:val=&quot;5A5B2AD6&quot;/&gt;&lt;wsp:rsid wsp:val=&quot;5A5D684E&quot;/&gt;&lt;wsp:rsid wsp:val=&quot;5A5F1E75&quot;/&gt;&lt;wsp:rsid wsp:val=&quot;5A5F25C6&quot;/&gt;&lt;wsp:rsid wsp:val=&quot;5A5F770D&quot;/&gt;&lt;wsp:rsid wsp:val=&quot;5A601E9A&quot;/&gt;&lt;wsp:rsid wsp:val=&quot;5A614795&quot;/&gt;&lt;wsp:rsid wsp:val=&quot;5A6279C1&quot;/&gt;&lt;wsp:rsid wsp:val=&quot;5A6307F6&quot;/&gt;&lt;wsp:rsid wsp:val=&quot;5A643739&quot;/&gt;&lt;wsp:rsid wsp:val=&quot;5A644677&quot;/&gt;&lt;wsp:rsid wsp:val=&quot;5A647BDD&quot;/&gt;&lt;wsp:rsid wsp:val=&quot;5A655703&quot;/&gt;&lt;wsp:rsid wsp:val=&quot;5A6574B1&quot;/&gt;&lt;wsp:rsid wsp:val=&quot;5A6776CD&quot;/&gt;&lt;wsp:rsid wsp:val=&quot;5A6951F3&quot;/&gt;&lt;wsp:rsid wsp:val=&quot;5A696FA1&quot;/&gt;&lt;wsp:rsid wsp:val=&quot;5A6A3F7A&quot;/&gt;&lt;wsp:rsid wsp:val=&quot;5A6C083F&quot;/&gt;&lt;wsp:rsid wsp:val=&quot;5A6C691B&quot;/&gt;&lt;wsp:rsid wsp:val=&quot;5A6E0A5B&quot;/&gt;&lt;wsp:rsid wsp:val=&quot;5A70032F&quot;/&gt;&lt;wsp:rsid wsp:val=&quot;5A7122F9&quot;/&gt;&lt;wsp:rsid wsp:val=&quot;5A71428A&quot;/&gt;&lt;wsp:rsid wsp:val=&quot;5A736072&quot;/&gt;&lt;wsp:rsid wsp:val=&quot;5A7661FB&quot;/&gt;&lt;wsp:rsid wsp:val=&quot;5A767910&quot;/&gt;&lt;wsp:rsid wsp:val=&quot;5A785436&quot;/&gt;&lt;wsp:rsid wsp:val=&quot;5A7A7400&quot;/&gt;&lt;wsp:rsid wsp:val=&quot;5A7B0A82&quot;/&gt;&lt;wsp:rsid wsp:val=&quot;5A7B6CD4&quot;/&gt;&lt;wsp:rsid wsp:val=&quot;5A7C35E5&quot;/&gt;&lt;wsp:rsid wsp:val=&quot;5A7D1AFD&quot;/&gt;&lt;wsp:rsid wsp:val=&quot;5A7D47FA&quot;/&gt;&lt;wsp:rsid wsp:val=&quot;5A8111AE&quot;/&gt;&lt;wsp:rsid wsp:val=&quot;5A820063&quot;/&gt;&lt;wsp:rsid wsp:val=&quot;5A843DDB&quot;/&gt;&lt;wsp:rsid wsp:val=&quot;5A845B89&quot;/&gt;&lt;wsp:rsid wsp:val=&quot;5A851901&quot;/&gt;&lt;wsp:rsid wsp:val=&quot;5A867B53&quot;/&gt;&lt;wsp:rsid wsp:val=&quot;5A881081&quot;/&gt;&lt;wsp:rsid wsp:val=&quot;5A8913F1&quot;/&gt;&lt;wsp:rsid wsp:val=&quot;5A8B33BB&quot;/&gt;&lt;wsp:rsid wsp:val=&quot;5A8B4E31&quot;/&gt;&lt;wsp:rsid wsp:val=&quot;5A8C0EE1&quot;/&gt;&lt;wsp:rsid wsp:val=&quot;5A8D7133&quot;/&gt;&lt;wsp:rsid wsp:val=&quot;5A8E4C59&quot;/&gt;&lt;wsp:rsid wsp:val=&quot;5A8E4EF3&quot;/&gt;&lt;wsp:rsid wsp:val=&quot;5A8F55FB&quot;/&gt;&lt;wsp:rsid wsp:val=&quot;5A902780&quot;/&gt;&lt;wsp:rsid wsp:val=&quot;5A905A12&quot;/&gt;&lt;wsp:rsid wsp:val=&quot;5A910CA3&quot;/&gt;&lt;wsp:rsid wsp:val=&quot;5A932270&quot;/&gt;&lt;wsp:rsid wsp:val=&quot;5A93401E&quot;/&gt;&lt;wsp:rsid wsp:val=&quot;5A9421F5&quot;/&gt;&lt;wsp:rsid wsp:val=&quot;5A957D96&quot;/&gt;&lt;wsp:rsid wsp:val=&quot;5A963B0E&quot;/&gt;&lt;wsp:rsid wsp:val=&quot;5A96705E&quot;/&gt;&lt;wsp:rsid wsp:val=&quot;5A9D018C&quot;/&gt;&lt;wsp:rsid wsp:val=&quot;5A9D30EE&quot;/&gt;&lt;wsp:rsid wsp:val=&quot;5A9D6C4B&quot;/&gt;&lt;wsp:rsid wsp:val=&quot;5A9F6E67&quot;/&gt;&lt;wsp:rsid wsp:val=&quot;5AA150A9&quot;/&gt;&lt;wsp:rsid wsp:val=&quot;5AA1673B&quot;/&gt;&lt;wsp:rsid wsp:val=&quot;5AA20705&quot;/&gt;&lt;wsp:rsid wsp:val=&quot;5AA247F9&quot;/&gt;&lt;wsp:rsid wsp:val=&quot;5AA35C89&quot;/&gt;&lt;wsp:rsid wsp:val=&quot;5AA75D1B&quot;/&gt;&lt;wsp:rsid wsp:val=&quot;5AA77AC9&quot;/&gt;&lt;wsp:rsid wsp:val=&quot;5AA91A93&quot;/&gt;&lt;wsp:rsid wsp:val=&quot;5AA93841&quot;/&gt;&lt;wsp:rsid wsp:val=&quot;5AA955EF&quot;/&gt;&lt;wsp:rsid wsp:val=&quot;5AAB75B9&quot;/&gt;&lt;wsp:rsid wsp:val=&quot;5AAC50E0&quot;/&gt;&lt;wsp:rsid wsp:val=&quot;5AAD1584&quot;/&gt;&lt;wsp:rsid wsp:val=&quot;5AAE0E58&quot;/&gt;&lt;wsp:rsid wsp:val=&quot;5AB02E22&quot;/&gt;&lt;wsp:rsid wsp:val=&quot;5AB0697E&quot;/&gt;&lt;wsp:rsid wsp:val=&quot;5AB126F6&quot;/&gt;&lt;wsp:rsid wsp:val=&quot;5AB26B9A&quot;/&gt;&lt;wsp:rsid wsp:val=&quot;5AB3021C&quot;/&gt;&lt;wsp:rsid wsp:val=&quot;5AB50438&quot;/&gt;&lt;wsp:rsid wsp:val=&quot;5AB62A7A&quot;/&gt;&lt;wsp:rsid wsp:val=&quot;5AB650D6&quot;/&gt;&lt;wsp:rsid wsp:val=&quot;5ABA3CA0&quot;/&gt;&lt;wsp:rsid wsp:val=&quot;5ABA3F0F&quot;/&gt;&lt;wsp:rsid wsp:val=&quot;5ABA5A4E&quot;/&gt;&lt;wsp:rsid wsp:val=&quot;5ABA77FD&quot;/&gt;&lt;wsp:rsid wsp:val=&quot;5ABB5323&quot;/&gt;&lt;wsp:rsid wsp:val=&quot;5ABD109B&quot;/&gt;&lt;wsp:rsid wsp:val=&quot;5ABD72ED&quot;/&gt;&lt;wsp:rsid wsp:val=&quot;5ABE2233&quot;/&gt;&lt;wsp:rsid wsp:val=&quot;5ABF316C&quot;/&gt;&lt;wsp:rsid wsp:val=&quot;5ABF408D&quot;/&gt;&lt;wsp:rsid wsp:val=&quot;5AC104C5&quot;/&gt;&lt;wsp:rsid wsp:val=&quot;5AC15DCF&quot;/&gt;&lt;wsp:rsid wsp:val=&quot;5AC23B1A&quot;/&gt;&lt;wsp:rsid wsp:val=&quot;5AC97A40&quot;/&gt;&lt;wsp:rsid wsp:val=&quot;5ACB1A0A&quot;/&gt;&lt;wsp:rsid wsp:val=&quot;5ACB37B8&quot;/&gt;&lt;wsp:rsid wsp:val=&quot;5ACD5782&quot;/&gt;&lt;wsp:rsid wsp:val=&quot;5ACD7F2B&quot;/&gt;&lt;wsp:rsid wsp:val=&quot;5ACE14FA&quot;/&gt;&lt;wsp:rsid wsp:val=&quot;5ACE32A8&quot;/&gt;&lt;wsp:rsid wsp:val=&quot;5AD50B17&quot;/&gt;&lt;wsp:rsid wsp:val=&quot;5AD557D9&quot;/&gt;&lt;wsp:rsid wsp:val=&quot;5AD703AE&quot;/&gt;&lt;wsp:rsid wsp:val=&quot;5AD73A98&quot;/&gt;&lt;wsp:rsid wsp:val=&quot;5AD92379&quot;/&gt;&lt;wsp:rsid wsp:val=&quot;5ADA34F9&quot;/&gt;&lt;wsp:rsid wsp:val=&quot;5ADC3C17&quot;/&gt;&lt;wsp:rsid wsp:val=&quot;5ADC59C5&quot;/&gt;&lt;wsp:rsid wsp:val=&quot;5ADD34EB&quot;/&gt;&lt;wsp:rsid wsp:val=&quot;5ADF1011&quot;/&gt;&lt;wsp:rsid wsp:val=&quot;5ADF54B5&quot;/&gt;&lt;wsp:rsid wsp:val=&quot;5ADF7263&quot;/&gt;&lt;wsp:rsid wsp:val=&quot;5AE40D1D&quot;/&gt;&lt;wsp:rsid wsp:val=&quot;5AE42ACB&quot;/&gt;&lt;wsp:rsid wsp:val=&quot;5AE435F6&quot;/&gt;&lt;wsp:rsid wsp:val=&quot;5AE44879&quot;/&gt;&lt;wsp:rsid wsp:val=&quot;5AE62E65&quot;/&gt;&lt;wsp:rsid wsp:val=&quot;5AE66844&quot;/&gt;&lt;wsp:rsid wsp:val=&quot;5AE71390&quot;/&gt;&lt;wsp:rsid wsp:val=&quot;5AE74E31&quot;/&gt;&lt;wsp:rsid wsp:val=&quot;5AE76118&quot;/&gt;&lt;wsp:rsid wsp:val=&quot;5AE825BC&quot;/&gt;&lt;wsp:rsid wsp:val=&quot;5AE85AFD&quot;/&gt;&lt;wsp:rsid wsp:val=&quot;5AE91E90&quot;/&gt;&lt;wsp:rsid wsp:val=&quot;5AEC2D3D&quot;/&gt;&lt;wsp:rsid wsp:val=&quot;5AED1980&quot;/&gt;&lt;wsp:rsid wsp:val=&quot;5AEE56F8&quot;/&gt;&lt;wsp:rsid wsp:val=&quot;5AEF0AF8&quot;/&gt;&lt;wsp:rsid wsp:val=&quot;5AF34ABD&quot;/&gt;&lt;wsp:rsid wsp:val=&quot;5AF820D3&quot;/&gt;&lt;wsp:rsid wsp:val=&quot;5AFC5403&quot;/&gt;&lt;wsp:rsid wsp:val=&quot;5AFF16B3&quot;/&gt;&lt;wsp:rsid wsp:val=&quot;5AFF3461&quot;/&gt;&lt;wsp:rsid wsp:val=&quot;5B04316E&quot;/&gt;&lt;wsp:rsid wsp:val=&quot;5B062A42&quot;/&gt;&lt;wsp:rsid wsp:val=&quot;5B0647F0&quot;/&gt;&lt;wsp:rsid wsp:val=&quot;5B070DD5&quot;/&gt;&lt;wsp:rsid wsp:val=&quot;5B072DD0&quot;/&gt;&lt;wsp:rsid wsp:val=&quot;5B0818FB&quot;/&gt;&lt;wsp:rsid wsp:val=&quot;5B0867BA&quot;/&gt;&lt;wsp:rsid wsp:val=&quot;5B092532&quot;/&gt;&lt;wsp:rsid wsp:val=&quot;5B0942E0&quot;/&gt;&lt;wsp:rsid wsp:val=&quot;5B0A0784&quot;/&gt;&lt;wsp:rsid wsp:val=&quot;5B0E5A07&quot;/&gt;&lt;wsp:rsid wsp:val=&quot;5B1038C0&quot;/&gt;&lt;wsp:rsid wsp:val=&quot;5B123195&quot;/&gt;&lt;wsp:rsid wsp:val=&quot;5B12588A&quot;/&gt;&lt;wsp:rsid wsp:val=&quot;5B127639&quot;/&gt;&lt;wsp:rsid wsp:val=&quot;5B184523&quot;/&gt;&lt;wsp:rsid wsp:val=&quot;5B1909C7&quot;/&gt;&lt;wsp:rsid wsp:val=&quot;5B1A473F&quot;/&gt;&lt;wsp:rsid wsp:val=&quot;5B1A64ED&quot;/&gt;&lt;wsp:rsid wsp:val=&quot;5B1C06DB&quot;/&gt;&lt;wsp:rsid wsp:val=&quot;5B1C7924&quot;/&gt;&lt;wsp:rsid wsp:val=&quot;5B1E422F&quot;/&gt;&lt;wsp:rsid wsp:val=&quot;5B1F0772&quot;/&gt;&lt;wsp:rsid wsp:val=&quot;5B21454D&quot;/&gt;&lt;wsp:rsid wsp:val=&quot;5B215ACE&quot;/&gt;&lt;wsp:rsid wsp:val=&quot;5B264E92&quot;/&gt;&lt;wsp:rsid wsp:val=&quot;5B280C0A&quot;/&gt;&lt;wsp:rsid wsp:val=&quot;5B293D6B&quot;/&gt;&lt;wsp:rsid wsp:val=&quot;5B294982&quot;/&gt;&lt;wsp:rsid wsp:val=&quot;5B296730&quot;/&gt;&lt;wsp:rsid wsp:val=&quot;5B2D2AF0&quot;/&gt;&lt;wsp:rsid wsp:val=&quot;5B2D4472&quot;/&gt;&lt;wsp:rsid wsp:val=&quot;5B2D7FCE&quot;/&gt;&lt;wsp:rsid wsp:val=&quot;5B2E68CB&quot;/&gt;&lt;wsp:rsid wsp:val=&quot;5B3255E5&quot;/&gt;&lt;wsp:rsid wsp:val=&quot;5B345801&quot;/&gt;&lt;wsp:rsid wsp:val=&quot;5B370E4D&quot;/&gt;&lt;wsp:rsid wsp:val=&quot;5B372BFB&quot;/&gt;&lt;wsp:rsid wsp:val=&quot;5B374C33&quot;/&gt;&lt;wsp:rsid wsp:val=&quot;5B386973&quot;/&gt;&lt;wsp:rsid wsp:val=&quot;5B3C2907&quot;/&gt;&lt;wsp:rsid wsp:val=&quot;5B3C41A8&quot;/&gt;&lt;wsp:rsid wsp:val=&quot;5B3E21DC&quot;/&gt;&lt;wsp:rsid wsp:val=&quot;5B3F5F54&quot;/&gt;&lt;wsp:rsid wsp:val=&quot;5B3F7D02&quot;/&gt;&lt;wsp:rsid wsp:val=&quot;5B4041A6&quot;/&gt;&lt;wsp:rsid wsp:val=&quot;5B413A7A&quot;/&gt;&lt;wsp:rsid wsp:val=&quot;5B4223F6&quot;/&gt;&lt;wsp:rsid wsp:val=&quot;5B435A44&quot;/&gt;&lt;wsp:rsid wsp:val=&quot;5B436BBA&quot;/&gt;&lt;wsp:rsid wsp:val=&quot;5B44356A&quot;/&gt;&lt;wsp:rsid wsp:val=&quot;5B445318&quot;/&gt;&lt;wsp:rsid wsp:val=&quot;5B4812AC&quot;/&gt;&lt;wsp:rsid wsp:val=&quot;5B484E08&quot;/&gt;&lt;wsp:rsid wsp:val=&quot;5B490B80&quot;/&gt;&lt;wsp:rsid wsp:val=&quot;5B4B66A7&quot;/&gt;&lt;wsp:rsid wsp:val=&quot;5B4D241F&quot;/&gt;&lt;wsp:rsid wsp:val=&quot;5B557525&quot;/&gt;&lt;wsp:rsid wsp:val=&quot;5B5949C4&quot;/&gt;&lt;wsp:rsid wsp:val=&quot;5B595267&quot;/&gt;&lt;wsp:rsid wsp:val=&quot;5B5A2D8E&quot;/&gt;&lt;wsp:rsid wsp:val=&quot;5B5C4D58&quot;/&gt;&lt;wsp:rsid wsp:val=&quot;5B5F03A4&quot;/&gt;&lt;wsp:rsid wsp:val=&quot;5B6065F6&quot;/&gt;&lt;wsp:rsid wsp:val=&quot;5B61236E&quot;/&gt;&lt;wsp:rsid wsp:val=&quot;5B61411C&quot;/&gt;&lt;wsp:rsid wsp:val=&quot;5B652FF7&quot;/&gt;&lt;wsp:rsid wsp:val=&quot;5B6676B2&quot;/&gt;&lt;wsp:rsid wsp:val=&quot;5B694D7F&quot;/&gt;&lt;wsp:rsid wsp:val=&quot;5B6A1223&quot;/&gt;&lt;wsp:rsid wsp:val=&quot;5B6A2D43&quot;/&gt;&lt;wsp:rsid wsp:val=&quot;5B6B4F9B&quot;/&gt;&lt;wsp:rsid wsp:val=&quot;5B6B6D49&quot;/&gt;&lt;wsp:rsid wsp:val=&quot;5B6D644F&quot;/&gt;&lt;wsp:rsid wsp:val=&quot;5B6D7095&quot;/&gt;&lt;wsp:rsid wsp:val=&quot;5B6F05E7&quot;/&gt;&lt;wsp:rsid wsp:val=&quot;5B7200D7&quot;/&gt;&lt;wsp:rsid wsp:val=&quot;5B726329&quot;/&gt;&lt;wsp:rsid wsp:val=&quot;5B733E67&quot;/&gt;&lt;wsp:rsid wsp:val=&quot;5B735536&quot;/&gt;&lt;wsp:rsid wsp:val=&quot;5B74073A&quot;/&gt;&lt;wsp:rsid wsp:val=&quot;5B743C65&quot;/&gt;&lt;wsp:rsid wsp:val=&quot;5B743E4F&quot;/&gt;&lt;wsp:rsid wsp:val=&quot;5B745BFD&quot;/&gt;&lt;wsp:rsid wsp:val=&quot;5B7A6F8C&quot;/&gt;&lt;wsp:rsid wsp:val=&quot;5B7B1DEA&quot;/&gt;&lt;wsp:rsid wsp:val=&quot;5B7B51DE&quot;/&gt;&lt;wsp:rsid wsp:val=&quot;5B7E5A57&quot;/&gt;&lt;wsp:rsid wsp:val=&quot;5B7F2398&quot;/&gt;&lt;wsp:rsid wsp:val=&quot;5B8147BE&quot;/&gt;&lt;wsp:rsid wsp:val=&quot;5B835E40&quot;/&gt;&lt;wsp:rsid wsp:val=&quot;5B880665&quot;/&gt;&lt;wsp:rsid wsp:val=&quot;5B8862CC&quot;/&gt;&lt;wsp:rsid wsp:val=&quot;5B8B1199&quot;/&gt;&lt;wsp:rsid wsp:val=&quot;5B8C73EB&quot;/&gt;&lt;wsp:rsid wsp:val=&quot;5B8D6CBF&quot;/&gt;&lt;wsp:rsid wsp:val=&quot;5B8F2A37&quot;/&gt;&lt;wsp:rsid wsp:val=&quot;5B904A5E&quot;/&gt;&lt;wsp:rsid wsp:val=&quot;5B914A01&quot;/&gt;&lt;wsp:rsid wsp:val=&quot;5B94004E&quot;/&gt;&lt;wsp:rsid wsp:val=&quot;5B962018&quot;/&gt;&lt;wsp:rsid wsp:val=&quot;5B96750E&quot;/&gt;&lt;wsp:rsid wsp:val=&quot;5B995664&quot;/&gt;&lt;wsp:rsid wsp:val=&quot;5B9A33D5&quot;/&gt;&lt;wsp:rsid wsp:val=&quot;5B9B13DC&quot;/&gt;&lt;wsp:rsid wsp:val=&quot;5B9B5880&quot;/&gt;&lt;wsp:rsid wsp:val=&quot;5B9B762E&quot;/&gt;&lt;wsp:rsid wsp:val=&quot;5B9C33A6&quot;/&gt;&lt;wsp:rsid wsp:val=&quot;5B9C6F02&quot;/&gt;&lt;wsp:rsid wsp:val=&quot;5B9D42BD&quot;/&gt;&lt;wsp:rsid wsp:val=&quot;5B9D6A33&quot;/&gt;&lt;wsp:rsid wsp:val=&quot;5B9D7062&quot;/&gt;&lt;wsp:rsid wsp:val=&quot;5B9E5921&quot;/&gt;&lt;wsp:rsid wsp:val=&quot;5BA04C44&quot;/&gt;&lt;wsp:rsid wsp:val=&quot;5BA069F2&quot;/&gt;&lt;wsp:rsid wsp:val=&quot;5BA504AD&quot;/&gt;&lt;wsp:rsid wsp:val=&quot;5BA72CE5&quot;/&gt;&lt;wsp:rsid wsp:val=&quot;5BA741CE&quot;/&gt;&lt;wsp:rsid wsp:val=&quot;5BA74225&quot;/&gt;&lt;wsp:rsid wsp:val=&quot;5BA81D4B&quot;/&gt;&lt;wsp:rsid wsp:val=&quot;5BA95B6E&quot;/&gt;&lt;wsp:rsid wsp:val=&quot;5BAA161F&quot;/&gt;&lt;wsp:rsid wsp:val=&quot;5BAA5AC3&quot;/&gt;&lt;wsp:rsid wsp:val=&quot;5BAD10FA&quot;/&gt;&lt;wsp:rsid wsp:val=&quot;5BAE7FE7&quot;/&gt;&lt;wsp:rsid wsp:val=&quot;5BAF079E&quot;/&gt;&lt;wsp:rsid wsp:val=&quot;5BAF30D9&quot;/&gt;&lt;wsp:rsid wsp:val=&quot;5BAF4E87&quot;/&gt;&lt;wsp:rsid wsp:val=&quot;5BAF6C35&quot;/&gt;&lt;wsp:rsid wsp:val=&quot;5BB02907&quot;/&gt;&lt;wsp:rsid wsp:val=&quot;5BB029AE&quot;/&gt;&lt;wsp:rsid wsp:val=&quot;5BB13D97&quot;/&gt;&lt;wsp:rsid wsp:val=&quot;5BB22BCA&quot;/&gt;&lt;wsp:rsid wsp:val=&quot;5BB41802&quot;/&gt;&lt;wsp:rsid wsp:val=&quot;5BB4249E&quot;/&gt;&lt;wsp:rsid wsp:val=&quot;5BB57FC4&quot;/&gt;&lt;wsp:rsid wsp:val=&quot;5BB93F58&quot;/&gt;&lt;wsp:rsid wsp:val=&quot;5BBB1A7E&quot;/&gt;&lt;wsp:rsid wsp:val=&quot;5BBD57F6&quot;/&gt;&lt;wsp:rsid wsp:val=&quot;5BC00E43&quot;/&gt;&lt;wsp:rsid wsp:val=&quot;5BC16969&quot;/&gt;&lt;wsp:rsid wsp:val=&quot;5BC22E0D&quot;/&gt;&lt;wsp:rsid wsp:val=&quot;5BC30933&quot;/&gt;&lt;wsp:rsid wsp:val=&quot;5BC340FB&quot;/&gt;&lt;wsp:rsid wsp:val=&quot;5BC36B85&quot;/&gt;&lt;wsp:rsid wsp:val=&quot;5BC459C9&quot;/&gt;&lt;wsp:rsid wsp:val=&quot;5BC528FD&quot;/&gt;&lt;wsp:rsid wsp:val=&quot;5BC56459&quot;/&gt;&lt;wsp:rsid wsp:val=&quot;5BC621D1&quot;/&gt;&lt;wsp:rsid wsp:val=&quot;5BC8419B&quot;/&gt;&lt;wsp:rsid wsp:val=&quot;5BC87CF7&quot;/&gt;&lt;wsp:rsid wsp:val=&quot;5BCA1CC1&quot;/&gt;&lt;wsp:rsid wsp:val=&quot;5BCA7F13&quot;/&gt;&lt;wsp:rsid wsp:val=&quot;5BCC5A39&quot;/&gt;&lt;wsp:rsid wsp:val=&quot;5BCD355F&quot;/&gt;&lt;wsp:rsid wsp:val=&quot;5BCF552A&quot;/&gt;&lt;wsp:rsid wsp:val=&quot;5BCF72D8&quot;/&gt;&lt;wsp:rsid wsp:val=&quot;5BD20B76&quot;/&gt;&lt;wsp:rsid wsp:val=&quot;5BD26DC8&quot;/&gt;&lt;wsp:rsid wsp:val=&quot;5BD3501A&quot;/&gt;&lt;wsp:rsid wsp:val=&quot;5BD40D92&quot;/&gt;&lt;wsp:rsid wsp:val=&quot;5BD946E4&quot;/&gt;&lt;wsp:rsid wsp:val=&quot;5BDB68E4&quot;/&gt;&lt;wsp:rsid wsp:val=&quot;5BDB6ED0&quot;/&gt;&lt;wsp:rsid wsp:val=&quot;5BDC19F5&quot;/&gt;&lt;wsp:rsid wsp:val=&quot;5BDE05F0&quot;/&gt;&lt;wsp:rsid wsp:val=&quot;5BDE39BF&quot;/&gt;&lt;wsp:rsid wsp:val=&quot;5BDE576D&quot;/&gt;&lt;wsp:rsid wsp:val=&quot;5BDE751B&quot;/&gt;&lt;wsp:rsid wsp:val=&quot;5BDE7648&quot;/&gt;&lt;wsp:rsid wsp:val=&quot;5BDF5D95&quot;/&gt;&lt;wsp:rsid wsp:val=&quot;5BE018CB&quot;/&gt;&lt;wsp:rsid wsp:val=&quot;5BE10DB9&quot;/&gt;&lt;wsp:rsid wsp:val=&quot;5BE11735&quot;/&gt;&lt;wsp:rsid wsp:val=&quot;5BE228E5&quot;/&gt;&lt;wsp:rsid wsp:val=&quot;5BE30FD5&quot;/&gt;&lt;wsp:rsid wsp:val=&quot;5BE417F7&quot;/&gt;&lt;wsp:rsid wsp:val=&quot;5BE54D4D&quot;/&gt;&lt;wsp:rsid wsp:val=&quot;5BE82147&quot;/&gt;&lt;wsp:rsid wsp:val=&quot;5BE86A37&quot;/&gt;&lt;wsp:rsid wsp:val=&quot;5BEA3F28&quot;/&gt;&lt;wsp:rsid wsp:val=&quot;5BEA4111&quot;/&gt;&lt;wsp:rsid wsp:val=&quot;5BEC1C38&quot;/&gt;&lt;wsp:rsid wsp:val=&quot;5BED775E&quot;/&gt;&lt;wsp:rsid wsp:val=&quot;5BEE547A&quot;/&gt;&lt;wsp:rsid wsp:val=&quot;5BEF34D6&quot;/&gt;&lt;wsp:rsid wsp:val=&quot;5BF1122A&quot;/&gt;&lt;wsp:rsid wsp:val=&quot;5BF154A0&quot;/&gt;&lt;wsp:rsid wsp:val=&quot;5BF22FC6&quot;/&gt;&lt;wsp:rsid wsp:val=&quot;5BF31218&quot;/&gt;&lt;wsp:rsid wsp:val=&quot;5BF46D3E&quot;/&gt;&lt;wsp:rsid wsp:val=&quot;5BF474D4&quot;/&gt;&lt;wsp:rsid wsp:val=&quot;5BF60D08&quot;/&gt;&lt;wsp:rsid wsp:val=&quot;5BF62AB6&quot;/&gt;&lt;wsp:rsid wsp:val=&quot;5BF75F2D&quot;/&gt;&lt;wsp:rsid wsp:val=&quot;5BF907F8&quot;/&gt;&lt;wsp:rsid wsp:val=&quot;5BFB1E7B&quot;/&gt;&lt;wsp:rsid wsp:val=&quot;5BFC7A7E&quot;/&gt;&lt;wsp:rsid wsp:val=&quot;5BFD239E&quot;/&gt;&lt;wsp:rsid wsp:val=&quot;5BFD3E45&quot;/&gt;&lt;wsp:rsid wsp:val=&quot;5BFE7528&quot;/&gt;&lt;wsp:rsid wsp:val=&quot;5BFF3339&quot;/&gt;&lt;wsp:rsid wsp:val=&quot;5C001B87&quot;/&gt;&lt;wsp:rsid wsp:val=&quot;5C007491&quot;/&gt;&lt;wsp:rsid wsp:val=&quot;5C013209&quot;/&gt;&lt;wsp:rsid wsp:val=&quot;5C036210&quot;/&gt;&lt;wsp:rsid wsp:val=&quot;5C043425&quot;/&gt;&lt;wsp:rsid wsp:val=&quot;5C050F4B&quot;/&gt;&lt;wsp:rsid wsp:val=&quot;5C05719D&quot;/&gt;&lt;wsp:rsid wsp:val=&quot;5C074730&quot;/&gt;&lt;wsp:rsid wsp:val=&quot;5C074B91&quot;/&gt;&lt;wsp:rsid wsp:val=&quot;5C086021&quot;/&gt;&lt;wsp:rsid wsp:val=&quot;5C0A0310&quot;/&gt;&lt;wsp:rsid wsp:val=&quot;5C0A3512&quot;/&gt;&lt;wsp:rsid wsp:val=&quot;5C0A47B4&quot;/&gt;&lt;wsp:rsid wsp:val=&quot;5C0D1BAE&quot;/&gt;&lt;wsp:rsid wsp:val=&quot;5C0D7E00&quot;/&gt;&lt;wsp:rsid wsp:val=&quot;5C0E6052&quot;/&gt;&lt;wsp:rsid wsp:val=&quot;5C121CA4&quot;/&gt;&lt;wsp:rsid wsp:val=&quot;5C1318BA&quot;/&gt;&lt;wsp:rsid wsp:val=&quot;5C131C1F&quot;/&gt;&lt;wsp:rsid wsp:val=&quot;5C137D9F&quot;/&gt;&lt;wsp:rsid wsp:val=&quot;5C142F3C&quot;/&gt;&lt;wsp:rsid wsp:val=&quot;5C163158&quot;/&gt;&lt;wsp:rsid wsp:val=&quot;5C1774FA&quot;/&gt;&lt;wsp:rsid wsp:val=&quot;5C183CFC&quot;/&gt;&lt;wsp:rsid wsp:val=&quot;5C186619&quot;/&gt;&lt;wsp:rsid wsp:val=&quot;5C186FA6&quot;/&gt;&lt;wsp:rsid wsp:val=&quot;5C1A5E4D&quot;/&gt;&lt;wsp:rsid wsp:val=&quot;5C1B251D&quot;/&gt;&lt;wsp:rsid wsp:val=&quot;5C1C5927&quot;/&gt;&lt;wsp:rsid wsp:val=&quot;5C1E5055&quot;/&gt;&lt;wsp:rsid wsp:val=&quot;5C207B33&quot;/&gt;&lt;wsp:rsid wsp:val=&quot;5C2238AB&quot;/&gt;&lt;wsp:rsid wsp:val=&quot;5C25339C&quot;/&gt;&lt;wsp:rsid wsp:val=&quot;5C270EC2&quot;/&gt;&lt;wsp:rsid wsp:val=&quot;5C2A09B2&quot;/&gt;&lt;wsp:rsid wsp:val=&quot;5C2A2760&quot;/&gt;&lt;wsp:rsid wsp:val=&quot;5C2C0286&quot;/&gt;&lt;wsp:rsid wsp:val=&quot;5C2C64D8&quot;/&gt;&lt;wsp:rsid wsp:val=&quot;5C2D3FFE&quot;/&gt;&lt;wsp:rsid wsp:val=&quot;5C2E04A2&quot;/&gt;&lt;wsp:rsid wsp:val=&quot;5C322223&quot;/&gt;&lt;wsp:rsid wsp:val=&quot;5C335AB8&quot;/&gt;&lt;wsp:rsid wsp:val=&quot;5C341831&quot;/&gt;&lt;wsp:rsid wsp:val=&quot;5C361105&quot;/&gt;&lt;wsp:rsid wsp:val=&quot;5C37252E&quot;/&gt;&lt;wsp:rsid wsp:val=&quot;5C381321&quot;/&gt;&lt;wsp:rsid wsp:val=&quot;5C3929A3&quot;/&gt;&lt;wsp:rsid wsp:val=&quot;5C3A5B1E&quot;/&gt;&lt;wsp:rsid wsp:val=&quot;5C3B671B&quot;/&gt;&lt;wsp:rsid wsp:val=&quot;5C3E620B&quot;/&gt;&lt;wsp:rsid wsp:val=&quot;5C3F3891&quot;/&gt;&lt;wsp:rsid wsp:val=&quot;5C3F445D&quot;/&gt;&lt;wsp:rsid wsp:val=&quot;5C410E57&quot;/&gt;&lt;wsp:rsid wsp:val=&quot;5C423F4D&quot;/&gt;&lt;wsp:rsid wsp:val=&quot;5C433822&quot;/&gt;&lt;wsp:rsid wsp:val=&quot;5C441A74&quot;/&gt;&lt;wsp:rsid wsp:val=&quot;5C45759A&quot;/&gt;&lt;wsp:rsid wsp:val=&quot;5C480700&quot;/&gt;&lt;wsp:rsid wsp:val=&quot;5C4A4BB0&quot;/&gt;&lt;wsp:rsid wsp:val=&quot;5C4B1054&quot;/&gt;&lt;wsp:rsid wsp:val=&quot;5C4C0928&quot;/&gt;&lt;wsp:rsid wsp:val=&quot;5C4C26D6&quot;/&gt;&lt;wsp:rsid wsp:val=&quot;5C4C6B7A&quot;/&gt;&lt;wsp:rsid wsp:val=&quot;5C4D6FFA&quot;/&gt;&lt;wsp:rsid wsp:val=&quot;5C4E5963&quot;/&gt;&lt;wsp:rsid wsp:val=&quot;5C4E644E&quot;/&gt;&lt;wsp:rsid wsp:val=&quot;5C515F3F&quot;/&gt;&lt;wsp:rsid wsp:val=&quot;5C541A56&quot;/&gt;&lt;wsp:rsid wsp:val=&quot;5C5423ED&quot;/&gt;&lt;wsp:rsid wsp:val=&quot;5C5477DD&quot;/&gt;&lt;wsp:rsid wsp:val=&quot;5C5513E4&quot;/&gt;&lt;wsp:rsid wsp:val=&quot;5C583771&quot;/&gt;&lt;wsp:rsid wsp:val=&quot;5C58551F&quot;/&gt;&lt;wsp:rsid wsp:val=&quot;5C5907FE&quot;/&gt;&lt;wsp:rsid wsp:val=&quot;5C593045&quot;/&gt;&lt;wsp:rsid wsp:val=&quot;5C594DF3&quot;/&gt;&lt;wsp:rsid wsp:val=&quot;5C5A1297&quot;/&gt;&lt;wsp:rsid wsp:val=&quot;5C5A6D58&quot;/&gt;&lt;wsp:rsid wsp:val=&quot;5C5B500F&quot;/&gt;&lt;wsp:rsid wsp:val=&quot;5C5D2B35&quot;/&gt;&lt;wsp:rsid wsp:val=&quot;5C5D48E3&quot;/&gt;&lt;wsp:rsid wsp:val=&quot;5C5F065B&quot;/&gt;&lt;wsp:rsid wsp:val=&quot;5C602626&quot;/&gt;&lt;wsp:rsid wsp:val=&quot;5C606182&quot;/&gt;&lt;wsp:rsid wsp:val=&quot;5C614E33&quot;/&gt;&lt;wsp:rsid wsp:val=&quot;5C621EFA&quot;/&gt;&lt;wsp:rsid wsp:val=&quot;5C62639E&quot;/&gt;&lt;wsp:rsid wsp:val=&quot;5C6739B4&quot;/&gt;&lt;wsp:rsid wsp:val=&quot;5C675762&quot;/&gt;&lt;wsp:rsid wsp:val=&quot;5C686185&quot;/&gt;&lt;wsp:rsid wsp:val=&quot;5C6914DA&quot;/&gt;&lt;wsp:rsid wsp:val=&quot;5C69772C&quot;/&gt;&lt;wsp:rsid wsp:val=&quot;5C6A7000&quot;/&gt;&lt;wsp:rsid wsp:val=&quot;5C6B34A4&quot;/&gt;&lt;wsp:rsid wsp:val=&quot;5C6C2D78&quot;/&gt;&lt;wsp:rsid wsp:val=&quot;5C6C4B26&quot;/&gt;&lt;wsp:rsid wsp:val=&quot;5C703C88&quot;/&gt;&lt;wsp:rsid wsp:val=&quot;5C71085E&quot;/&gt;&lt;wsp:rsid wsp:val=&quot;5C7165E1&quot;/&gt;&lt;wsp:rsid wsp:val=&quot;5C726994&quot;/&gt;&lt;wsp:rsid wsp:val=&quot;5C735EB5&quot;/&gt;&lt;wsp:rsid wsp:val=&quot;5C746D31&quot;/&gt;&lt;wsp:rsid wsp:val=&quot;5C761E49&quot;/&gt;&lt;wsp:rsid wsp:val=&quot;5C764DF0&quot;/&gt;&lt;wsp:rsid wsp:val=&quot;5C78171D&quot;/&gt;&lt;wsp:rsid wsp:val=&quot;5C78194C&quot;/&gt;&lt;wsp:rsid wsp:val=&quot;5C797243&quot;/&gt;&lt;wsp:rsid wsp:val=&quot;5C7A36E7&quot;/&gt;&lt;wsp:rsid wsp:val=&quot;5C7B7517&quot;/&gt;&lt;wsp:rsid wsp:val=&quot;5C7B77D2&quot;/&gt;&lt;wsp:rsid wsp:val=&quot;5C7D31D8&quot;/&gt;&lt;wsp:rsid wsp:val=&quot;5C7D4F86&quot;/&gt;&lt;wsp:rsid wsp:val=&quot;5C7F0D24&quot;/&gt;&lt;wsp:rsid wsp:val=&quot;5C7F2AAC&quot;/&gt;&lt;wsp:rsid wsp:val=&quot;5C8005D2&quot;/&gt;&lt;wsp:rsid wsp:val=&quot;5C806824&quot;/&gt;&lt;wsp:rsid wsp:val=&quot;5C814A76&quot;/&gt;&lt;wsp:rsid wsp:val=&quot;5C824AD4&quot;/&gt;&lt;wsp:rsid wsp:val=&quot;5C841E70&quot;/&gt;&lt;wsp:rsid wsp:val=&quot;5C844566&quot;/&gt;&lt;wsp:rsid wsp:val=&quot;5C86208C&quot;/&gt;&lt;wsp:rsid wsp:val=&quot;5C8648E5&quot;/&gt;&lt;wsp:rsid wsp:val=&quot;5C877BB2&quot;/&gt;&lt;wsp:rsid wsp:val=&quot;5C884E70&quot;/&gt;&lt;wsp:rsid wsp:val=&quot;5C89392A&quot;/&gt;&lt;wsp:rsid wsp:val=&quot;5C8956D8&quot;/&gt;&lt;wsp:rsid wsp:val=&quot;5C8A31FF&quot;/&gt;&lt;wsp:rsid wsp:val=&quot;5C8B72C7&quot;/&gt;&lt;wsp:rsid wsp:val=&quot;5C8B76A2&quot;/&gt;&lt;wsp:rsid wsp:val=&quot;5C8C341B&quot;/&gt;&lt;wsp:rsid wsp:val=&quot;5C952F0A&quot;/&gt;&lt;wsp:rsid wsp:val=&quot;5C967DF5&quot;/&gt;&lt;wsp:rsid wsp:val=&quot;5C97586A&quot;/&gt;&lt;wsp:rsid wsp:val=&quot;5C983B6D&quot;/&gt;&lt;wsp:rsid wsp:val=&quot;5C98591B&quot;/&gt;&lt;wsp:rsid wsp:val=&quot;5C9A5B38&quot;/&gt;&lt;wsp:rsid wsp:val=&quot;5C9B154D&quot;/&gt;&lt;wsp:rsid wsp:val=&quot;5C9B365E&quot;/&gt;&lt;wsp:rsid wsp:val=&quot;5C9B540C&quot;/&gt;&lt;wsp:rsid wsp:val=&quot;5C9C05B9&quot;/&gt;&lt;wsp:rsid wsp:val=&quot;5C9D16DC&quot;/&gt;&lt;wsp:rsid wsp:val=&quot;5C9D73D6&quot;/&gt;&lt;wsp:rsid wsp:val=&quot;5C9E6468&quot;/&gt;&lt;wsp:rsid wsp:val=&quot;5C9F314E&quot;/&gt;&lt;wsp:rsid wsp:val=&quot;5CA02A22&quot;/&gt;&lt;wsp:rsid wsp:val=&quot;5CA2679A&quot;/&gt;&lt;wsp:rsid wsp:val=&quot;5CA35125&quot;/&gt;&lt;wsp:rsid wsp:val=&quot;5CA35DAD&quot;/&gt;&lt;wsp:rsid wsp:val=&quot;5CA42512&quot;/&gt;&lt;wsp:rsid wsp:val=&quot;5CA644DC&quot;/&gt;&lt;wsp:rsid wsp:val=&quot;5CA72002&quot;/&gt;&lt;wsp:rsid wsp:val=&quot;5CA73DB1&quot;/&gt;&lt;wsp:rsid wsp:val=&quot;5CA93FCD&quot;/&gt;&lt;wsp:rsid wsp:val=&quot;5CA97B29&quot;/&gt;&lt;wsp:rsid wsp:val=&quot;5CAB38A1&quot;/&gt;&lt;wsp:rsid wsp:val=&quot;5CAC13C7&quot;/&gt;&lt;wsp:rsid wsp:val=&quot;5CAC586B&quot;/&gt;&lt;wsp:rsid wsp:val=&quot;5CAC7619&quot;/&gt;&lt;wsp:rsid wsp:val=&quot;5CAE513F&quot;/&gt;&lt;wsp:rsid wsp:val=&quot;5CAF2C65&quot;/&gt;&lt;wsp:rsid wsp:val=&quot;5CB12E81&quot;/&gt;&lt;wsp:rsid wsp:val=&quot;5CB14C2F&quot;/&gt;&lt;wsp:rsid wsp:val=&quot;5CB52971&quot;/&gt;&lt;wsp:rsid wsp:val=&quot;5CB5471F&quot;/&gt;&lt;wsp:rsid wsp:val=&quot;5CB62246&quot;/&gt;&lt;wsp:rsid wsp:val=&quot;5CB63FF4&quot;/&gt;&lt;wsp:rsid wsp:val=&quot;5CB65E6A&quot;/&gt;&lt;wsp:rsid wsp:val=&quot;5CB85FBE&quot;/&gt;&lt;wsp:rsid wsp:val=&quot;5CB87D6C&quot;/&gt;&lt;wsp:rsid wsp:val=&quot;5CBF10FA&quot;/&gt;&lt;wsp:rsid wsp:val=&quot;5CC22998&quot;/&gt;&lt;wsp:rsid wsp:val=&quot;5CC2508E&quot;/&gt;&lt;wsp:rsid wsp:val=&quot;5CC42BB4&quot;/&gt;&lt;wsp:rsid wsp:val=&quot;5CC44962&quot;/&gt;&lt;wsp:rsid wsp:val=&quot;5CC46711&quot;/&gt;&lt;wsp:rsid wsp:val=&quot;5CC508E8&quot;/&gt;&lt;wsp:rsid wsp:val=&quot;5CC77165&quot;/&gt;&lt;wsp:rsid wsp:val=&quot;5CCA2516&quot;/&gt;&lt;wsp:rsid wsp:val=&quot;5CCA30ED&quot;/&gt;&lt;wsp:rsid wsp:val=&quot;5CCA7946&quot;/&gt;&lt;wsp:rsid wsp:val=&quot;5CCB7A9F&quot;/&gt;&lt;wsp:rsid wsp:val=&quot;5CCC3817&quot;/&gt;&lt;wsp:rsid wsp:val=&quot;5CCC52A0&quot;/&gt;&lt;wsp:rsid wsp:val=&quot;5CCD2A21&quot;/&gt;&lt;wsp:rsid wsp:val=&quot;5CCE758F&quot;/&gt;&lt;wsp:rsid wsp:val=&quot;5CCF2529&quot;/&gt;&lt;wsp:rsid wsp:val=&quot;5CD01559&quot;/&gt;&lt;wsp:rsid wsp:val=&quot;5CD252D1&quot;/&gt;&lt;wsp:rsid wsp:val=&quot;5CD3463B&quot;/&gt;&lt;wsp:rsid wsp:val=&quot;5CD728E8&quot;/&gt;&lt;wsp:rsid wsp:val=&quot;5CD72CFD&quot;/&gt;&lt;wsp:rsid wsp:val=&quot;5CD821BC&quot;/&gt;&lt;wsp:rsid wsp:val=&quot;5CD86660&quot;/&gt;&lt;wsp:rsid wsp:val=&quot;5CDC56DF&quot;/&gt;&lt;wsp:rsid wsp:val=&quot;5CDD43A4&quot;/&gt;&lt;wsp:rsid wsp:val=&quot;5CDD5A24&quot;/&gt;&lt;wsp:rsid wsp:val=&quot;5CDF179C&quot;/&gt;&lt;wsp:rsid wsp:val=&quot;5CE10AF8&quot;/&gt;&lt;wsp:rsid wsp:val=&quot;5CE13766&quot;/&gt;&lt;wsp:rsid wsp:val=&quot;5CE172C2&quot;/&gt;&lt;wsp:rsid wsp:val=&quot;5CE2128D&quot;/&gt;&lt;wsp:rsid wsp:val=&quot;5CE21551&quot;/&gt;&lt;wsp:rsid wsp:val=&quot;5CE2303B&quot;/&gt;&lt;wsp:rsid wsp:val=&quot;5CE4447B&quot;/&gt;&lt;wsp:rsid wsp:val=&quot;5CE515C0&quot;/&gt;&lt;wsp:rsid wsp:val=&quot;5CE62B2B&quot;/&gt;&lt;wsp:rsid wsp:val=&quot;5CE84AF5&quot;/&gt;&lt;wsp:rsid wsp:val=&quot;5CE9261B&quot;/&gt;&lt;wsp:rsid wsp:val=&quot;5CEB0141&quot;/&gt;&lt;wsp:rsid wsp:val=&quot;5CEB2603&quot;/&gt;&lt;wsp:rsid wsp:val=&quot;5CED210B&quot;/&gt;&lt;wsp:rsid wsp:val=&quot;5CED3EB9&quot;/&gt;&lt;wsp:rsid wsp:val=&quot;5CEE7AF4&quot;/&gt;&lt;wsp:rsid wsp:val=&quot;5CF039A9&quot;/&gt;&lt;wsp:rsid wsp:val=&quot;5CF05758&quot;/&gt;&lt;wsp:rsid wsp:val=&quot;5CF07506&quot;/&gt;&lt;wsp:rsid wsp:val=&quot;5CF27722&quot;/&gt;&lt;wsp:rsid wsp:val=&quot;5CF457A7&quot;/&gt;&lt;wsp:rsid wsp:val=&quot;5CF474D5&quot;/&gt;&lt;wsp:rsid wsp:val=&quot;5CF54B1C&quot;/&gt;&lt;wsp:rsid wsp:val=&quot;5CF60894&quot;/&gt;&lt;wsp:rsid wsp:val=&quot;5CF67716&quot;/&gt;&lt;wsp:rsid wsp:val=&quot;5CF70718&quot;/&gt;&lt;wsp:rsid wsp:val=&quot;5CF75A0F&quot;/&gt;&lt;wsp:rsid wsp:val=&quot;5CF76AE6&quot;/&gt;&lt;wsp:rsid wsp:val=&quot;5CF80AB0&quot;/&gt;&lt;wsp:rsid wsp:val=&quot;5CFA03D2&quot;/&gt;&lt;wsp:rsid wsp:val=&quot;5CFA65D6&quot;/&gt;&lt;wsp:rsid wsp:val=&quot;5CFB5EAA&quot;/&gt;&lt;wsp:rsid wsp:val=&quot;5CFC40FC&quot;/&gt;&lt;wsp:rsid wsp:val=&quot;5CFD1C22&quot;/&gt;&lt;wsp:rsid wsp:val=&quot;5D016DFC&quot;/&gt;&lt;wsp:rsid wsp:val=&quot;5D017965&quot;/&gt;&lt;wsp:rsid wsp:val=&quot;5D02548B&quot;/&gt;&lt;wsp:rsid wsp:val=&quot;5D0336DD&quot;/&gt;&lt;wsp:rsid wsp:val=&quot;5D0379F9&quot;/&gt;&lt;wsp:rsid wsp:val=&quot;5D041203&quot;/&gt;&lt;wsp:rsid wsp:val=&quot;5D042FB1&quot;/&gt;&lt;wsp:rsid wsp:val=&quot;5D055D7B&quot;/&gt;&lt;wsp:rsid wsp:val=&quot;5D07484F&quot;/&gt;&lt;wsp:rsid wsp:val=&quot;5D080CF3&quot;/&gt;&lt;wsp:rsid wsp:val=&quot;5D086F45&quot;/&gt;&lt;wsp:rsid wsp:val=&quot;5D0905C7&quot;/&gt;&lt;wsp:rsid wsp:val=&quot;5D0B433F&quot;/&gt;&lt;wsp:rsid wsp:val=&quot;5D0C1301&quot;/&gt;&lt;wsp:rsid wsp:val=&quot;5D0E3E30&quot;/&gt;&lt;wsp:rsid wsp:val=&quot;5D0E5BDE&quot;/&gt;&lt;wsp:rsid wsp:val=&quot;5D0F6E2D&quot;/&gt;&lt;wsp:rsid wsp:val=&quot;5D101956&quot;/&gt;&lt;wsp:rsid wsp:val=&quot;5D156F6C&quot;/&gt;&lt;wsp:rsid wsp:val=&quot;5D186A5C&quot;/&gt;&lt;wsp:rsid wsp:val=&quot;5D192F00&quot;/&gt;&lt;wsp:rsid wsp:val=&quot;5D1A27D4&quot;/&gt;&lt;wsp:rsid wsp:val=&quot;5D1B2729&quot;/&gt;&lt;wsp:rsid wsp:val=&quot;5D1C02FB&quot;/&gt;&lt;wsp:rsid wsp:val=&quot;5D1C479E&quot;/&gt;&lt;wsp:rsid wsp:val=&quot;5D1D22C5&quot;/&gt;&lt;wsp:rsid wsp:val=&quot;5D1D4073&quot;/&gt;&lt;wsp:rsid wsp:val=&quot;5D1E3B0E&quot;/&gt;&lt;wsp:rsid wsp:val=&quot;5D1F428F&quot;/&gt;&lt;wsp:rsid wsp:val=&quot;5D215911&quot;/&gt;&lt;wsp:rsid wsp:val=&quot;5D221689&quot;/&gt;&lt;wsp:rsid wsp:val=&quot;5D23054D&quot;/&gt;&lt;wsp:rsid wsp:val=&quot;5D235B2D&quot;/&gt;&lt;wsp:rsid wsp:val=&quot;5D2418A5&quot;/&gt;&lt;wsp:rsid wsp:val=&quot;5D276C9F&quot;/&gt;&lt;wsp:rsid wsp:val=&quot;5D283143&quot;/&gt;&lt;wsp:rsid wsp:val=&quot;5D284EF1&quot;/&gt;&lt;wsp:rsid wsp:val=&quot;5D290C69&quot;/&gt;&lt;wsp:rsid wsp:val=&quot;5D292A17&quot;/&gt;&lt;wsp:rsid wsp:val=&quot;5D2B2C34&quot;/&gt;&lt;wsp:rsid wsp:val=&quot;5D2E6280&quot;/&gt;&lt;wsp:rsid wsp:val=&quot;5D2F62FF&quot;/&gt;&lt;wsp:rsid wsp:val=&quot;5D303DA6&quot;/&gt;&lt;wsp:rsid wsp:val=&quot;5D325D70&quot;/&gt;&lt;wsp:rsid wsp:val=&quot;5D327B1E&quot;/&gt;&lt;wsp:rsid wsp:val=&quot;5D347D3A&quot;/&gt;&lt;wsp:rsid wsp:val=&quot;5D3715D8&quot;/&gt;&lt;wsp:rsid wsp:val=&quot;5D37764E&quot;/&gt;&lt;wsp:rsid wsp:val=&quot;5D380EAD&quot;/&gt;&lt;wsp:rsid wsp:val=&quot;5D3A3358&quot;/&gt;&lt;wsp:rsid wsp:val=&quot;5D3C274B&quot;/&gt;&lt;wsp:rsid wsp:val=&quot;5D3F048D&quot;/&gt;&lt;wsp:rsid wsp:val=&quot;5D3F66DF&quot;/&gt;&lt;wsp:rsid wsp:val=&quot;5D445AA3&quot;/&gt;&lt;wsp:rsid wsp:val=&quot;5D447851&quot;/&gt;&lt;wsp:rsid wsp:val=&quot;5D46181B&quot;/&gt;&lt;wsp:rsid wsp:val=&quot;5D466025&quot;/&gt;&lt;wsp:rsid wsp:val=&quot;5D4806FF&quot;/&gt;&lt;wsp:rsid wsp:val=&quot;5D4810F0&quot;/&gt;&lt;wsp:rsid wsp:val=&quot;5D487342&quot;/&gt;&lt;wsp:rsid wsp:val=&quot;5D49044E&quot;/&gt;&lt;wsp:rsid wsp:val=&quot;5D4930A8&quot;/&gt;&lt;wsp:rsid wsp:val=&quot;5D494E68&quot;/&gt;&lt;wsp:rsid wsp:val=&quot;5D4B44AF&quot;/&gt;&lt;wsp:rsid wsp:val=&quot;5D4D2BAA&quot;/&gt;&lt;wsp:rsid wsp:val=&quot;5D504448&quot;/&gt;&lt;wsp:rsid wsp:val=&quot;5D505070&quot;/&gt;&lt;wsp:rsid wsp:val=&quot;5D513680&quot;/&gt;&lt;wsp:rsid wsp:val=&quot;5D562CB2&quot;/&gt;&lt;wsp:rsid wsp:val=&quot;5D577585&quot;/&gt;&lt;wsp:rsid wsp:val=&quot;5D5850AB&quot;/&gt;&lt;wsp:rsid wsp:val=&quot;5D59154F&quot;/&gt;&lt;wsp:rsid wsp:val=&quot;5D5932FD&quot;/&gt;&lt;wsp:rsid wsp:val=&quot;5D5C2DED&quot;/&gt;&lt;wsp:rsid wsp:val=&quot;5D5C4B9B&quot;/&gt;&lt;wsp:rsid wsp:val=&quot;5D5E46D6&quot;/&gt;&lt;wsp:rsid wsp:val=&quot;5D610403&quot;/&gt;&lt;wsp:rsid wsp:val=&quot;5D616655&quot;/&gt;&lt;wsp:rsid wsp:val=&quot;5D635F29&quot;/&gt;&lt;wsp:rsid wsp:val=&quot;5D647EF4&quot;/&gt;&lt;wsp:rsid wsp:val=&quot;5D665A1A&quot;/&gt;&lt;wsp:rsid wsp:val=&quot;5D6677C8&quot;/&gt;&lt;wsp:rsid wsp:val=&quot;5D6B1282&quot;/&gt;&lt;wsp:rsid wsp:val=&quot;5D6B3030&quot;/&gt;&lt;wsp:rsid wsp:val=&quot;5D6C63B9&quot;/&gt;&lt;wsp:rsid wsp:val=&quot;5D6C66E6&quot;/&gt;&lt;wsp:rsid wsp:val=&quot;5D6D0F8A&quot;/&gt;&lt;wsp:rsid wsp:val=&quot;5D6D6DA8&quot;/&gt;&lt;wsp:rsid wsp:val=&quot;5D6D7849&quot;/&gt;&lt;wsp:rsid wsp:val=&quot;5D6E48CE&quot;/&gt;&lt;wsp:rsid wsp:val=&quot;5D6F0D72&quot;/&gt;&lt;wsp:rsid wsp:val=&quot;5D7243BE&quot;/&gt;&lt;wsp:rsid wsp:val=&quot;5D740137&quot;/&gt;&lt;wsp:rsid wsp:val=&quot;5D753EAF&quot;/&gt;&lt;wsp:rsid wsp:val=&quot;5D7719D5&quot;/&gt;&lt;wsp:rsid wsp:val=&quot;5D78495C&quot;/&gt;&lt;wsp:rsid wsp:val=&quot;5D796328&quot;/&gt;&lt;wsp:rsid wsp:val=&quot;5D7A7717&quot;/&gt;&lt;wsp:rsid wsp:val=&quot;5D7C348F&quot;/&gt;&lt;wsp:rsid wsp:val=&quot;5D7C6FEB&quot;/&gt;&lt;wsp:rsid wsp:val=&quot;5D7E07CE&quot;/&gt;&lt;wsp:rsid wsp:val=&quot;5D7E0FB5&quot;/&gt;&lt;wsp:rsid wsp:val=&quot;5D7F4944&quot;/&gt;&lt;wsp:rsid wsp:val=&quot;5D810AA5&quot;/&gt;&lt;wsp:rsid wsp:val=&quot;5D814602&quot;/&gt;&lt;wsp:rsid wsp:val=&quot;5D845EA0&quot;/&gt;&lt;wsp:rsid wsp:val=&quot;5D852344&quot;/&gt;&lt;wsp:rsid wsp:val=&quot;5D8660BC&quot;/&gt;&lt;wsp:rsid wsp:val=&quot;5D8A795A&quot;/&gt;&lt;wsp:rsid wsp:val=&quot;5D8B722E&quot;/&gt;&lt;wsp:rsid wsp:val=&quot;5D8C2B4C&quot;/&gt;&lt;wsp:rsid wsp:val=&quot;5D8D11F8&quot;/&gt;&lt;wsp:rsid wsp:val=&quot;5D8F1753&quot;/&gt;&lt;wsp:rsid wsp:val=&quot;5D8F31C2&quot;/&gt;&lt;wsp:rsid wsp:val=&quot;5D8F6D1E&quot;/&gt;&lt;wsp:rsid wsp:val=&quot;5D916F3A&quot;/&gt;&lt;wsp:rsid wsp:val=&quot;5D924A61&quot;/&gt;&lt;wsp:rsid wsp:val=&quot;5D92680F&quot;/&gt;&lt;wsp:rsid wsp:val=&quot;5D9978C0&quot;/&gt;&lt;wsp:rsid wsp:val=&quot;5D997B9D&quot;/&gt;&lt;wsp:rsid wsp:val=&quot;5D9B28C6&quot;/&gt;&lt;wsp:rsid wsp:val=&quot;5D9C143B&quot;/&gt;&lt;wsp:rsid wsp:val=&quot;5D9E3405&quot;/&gt;&lt;wsp:rsid wsp:val=&quot;5D9F0F2C&quot;/&gt;&lt;wsp:rsid wsp:val=&quot;5DA0717E&quot;/&gt;&lt;wsp:rsid wsp:val=&quot;5DA24FF7&quot;/&gt;&lt;wsp:rsid wsp:val=&quot;5DA32799&quot;/&gt;&lt;wsp:rsid wsp:val=&quot;5DA327CA&quot;/&gt;&lt;wsp:rsid wsp:val=&quot;5DA402F0&quot;/&gt;&lt;wsp:rsid wsp:val=&quot;5DA463E6&quot;/&gt;&lt;wsp:rsid wsp:val=&quot;5DA53978&quot;/&gt;&lt;wsp:rsid wsp:val=&quot;5DA70E69&quot;/&gt;&lt;wsp:rsid wsp:val=&quot;5DA757FB&quot;/&gt;&lt;wsp:rsid wsp:val=&quot;5DAA7A9B&quot;/&gt;&lt;wsp:rsid wsp:val=&quot;5DAB5B22&quot;/&gt;&lt;wsp:rsid wsp:val=&quot;5DAB78D0&quot;/&gt;&lt;wsp:rsid wsp:val=&quot;5DAD189A&quot;/&gt;&lt;wsp:rsid wsp:val=&quot;5DAD53F7&quot;/&gt;&lt;wsp:rsid wsp:val=&quot;5DAF5613&quot;/&gt;&lt;wsp:rsid wsp:val=&quot;5DAF73C1&quot;/&gt;&lt;wsp:rsid wsp:val=&quot;5DB20C5F&quot;/&gt;&lt;wsp:rsid wsp:val=&quot;5DB42C29&quot;/&gt;&lt;wsp:rsid wsp:val=&quot;5DB46785&quot;/&gt;&lt;wsp:rsid wsp:val=&quot;5DB524FD&quot;/&gt;&lt;wsp:rsid wsp:val=&quot;5DB6074F&quot;/&gt;&lt;wsp:rsid wsp:val=&quot;5DB9023F&quot;/&gt;&lt;wsp:rsid wsp:val=&quot;5DB91684&quot;/&gt;&lt;wsp:rsid wsp:val=&quot;5DBA7B13&quot;/&gt;&lt;wsp:rsid wsp:val=&quot;5DBB1FBD&quot;/&gt;&lt;wsp:rsid wsp:val=&quot;5DBB5D65&quot;/&gt;&lt;wsp:rsid wsp:val=&quot;5DBC388C&quot;/&gt;&lt;wsp:rsid wsp:val=&quot;5DBE5856&quot;/&gt;&lt;wsp:rsid wsp:val=&quot;5DBF512A&quot;/&gt;&lt;wsp:rsid wsp:val=&quot;5DC32E6C&quot;/&gt;&lt;wsp:rsid wsp:val=&quot;5DC34C1A&quot;/&gt;&lt;wsp:rsid wsp:val=&quot;5DC56BE4&quot;/&gt;&lt;wsp:rsid wsp:val=&quot;5DC57AFA&quot;/&gt;&lt;wsp:rsid wsp:val=&quot;5DC82230&quot;/&gt;&lt;wsp:rsid wsp:val=&quot;5DC9056B&quot;/&gt;&lt;wsp:rsid wsp:val=&quot;5DCA244C&quot;/&gt;&lt;wsp:rsid wsp:val=&quot;5DCA7D57&quot;/&gt;&lt;wsp:rsid wsp:val=&quot;5DCB1D21&quot;/&gt;&lt;wsp:rsid wsp:val=&quot;5DCB3ACF&quot;/&gt;&lt;wsp:rsid wsp:val=&quot;5DCC7F73&quot;/&gt;&lt;wsp:rsid wsp:val=&quot;5DCD2F93&quot;/&gt;&lt;wsp:rsid wsp:val=&quot;5DCD7847&quot;/&gt;&lt;wsp:rsid wsp:val=&quot;5DCF35BF&quot;/&gt;&lt;wsp:rsid wsp:val=&quot;5DCF7A63&quot;/&gt;&lt;wsp:rsid wsp:val=&quot;5DD07337&quot;/&gt;&lt;wsp:rsid wsp:val=&quot;5DD230AF&quot;/&gt;&lt;wsp:rsid wsp:val=&quot;5DD34186&quot;/&gt;&lt;wsp:rsid wsp:val=&quot;5DD706C5&quot;/&gt;&lt;wsp:rsid wsp:val=&quot;5DD91A5B&quot;/&gt;&lt;wsp:rsid wsp:val=&quot;5DD92690&quot;/&gt;&lt;wsp:rsid wsp:val=&quot;5DDA20F9&quot;/&gt;&lt;wsp:rsid wsp:val=&quot;5DDD2180&quot;/&gt;&lt;wsp:rsid wsp:val=&quot;5DE057CC&quot;/&gt;&lt;wsp:rsid wsp:val=&quot;5DE132F2&quot;/&gt;&lt;wsp:rsid wsp:val=&quot;5DE60909&quot;/&gt;&lt;wsp:rsid wsp:val=&quot;5DE77A3D&quot;/&gt;&lt;wsp:rsid wsp:val=&quot;5DE84681&quot;/&gt;&lt;wsp:rsid wsp:val=&quot;5DE97CB3&quot;/&gt;&lt;wsp:rsid wsp:val=&quot;5DEC23C3&quot;/&gt;&lt;wsp:rsid wsp:val=&quot;5DED5CFC&quot;/&gt;&lt;wsp:rsid wsp:val=&quot;5DEE6257&quot;/&gt;&lt;wsp:rsid wsp:val=&quot;5DEF1EB3&quot;/&gt;&lt;wsp:rsid wsp:val=&quot;5DF00658&quot;/&gt;&lt;wsp:rsid wsp:val=&quot;5DF10E34&quot;/&gt;&lt;wsp:rsid wsp:val=&quot;5DF11787&quot;/&gt;&lt;wsp:rsid wsp:val=&quot;5DF159A8&quot;/&gt;&lt;wsp:rsid wsp:val=&quot;5DF47470&quot;/&gt;&lt;wsp:rsid wsp:val=&quot;5DF474C9&quot;/&gt;&lt;wsp:rsid wsp:val=&quot;5DF63241&quot;/&gt;&lt;wsp:rsid wsp:val=&quot;5DF64FF0&quot;/&gt;&lt;wsp:rsid wsp:val=&quot;5DF9688E&quot;/&gt;&lt;wsp:rsid wsp:val=&quot;5DFB0858&quot;/&gt;&lt;wsp:rsid wsp:val=&quot;5DFC1EDA&quot;/&gt;&lt;wsp:rsid wsp:val=&quot;5DFC59C2&quot;/&gt;&lt;wsp:rsid wsp:val=&quot;5DFD637E&quot;/&gt;&lt;wsp:rsid wsp:val=&quot;5DFE20F6&quot;/&gt;&lt;wsp:rsid wsp:val=&quot;5DFE5C52&quot;/&gt;&lt;wsp:rsid wsp:val=&quot;5E0019CA&quot;/&gt;&lt;wsp:rsid wsp:val=&quot;5E015742&quot;/&gt;&lt;wsp:rsid wsp:val=&quot;5E0170BB&quot;/&gt;&lt;wsp:rsid wsp:val=&quot;5E0314BA&quot;/&gt;&lt;wsp:rsid wsp:val=&quot;5E034394&quot;/&gt;&lt;wsp:rsid wsp:val=&quot;5E03459C&quot;/&gt;&lt;wsp:rsid wsp:val=&quot;5E035AD5&quot;/&gt;&lt;wsp:rsid wsp:val=&quot;5E044B93&quot;/&gt;&lt;wsp:rsid wsp:val=&quot;5E055781&quot;/&gt;&lt;wsp:rsid wsp:val=&quot;5E056FE1&quot;/&gt;&lt;wsp:rsid wsp:val=&quot;5E062D59&quot;/&gt;&lt;wsp:rsid wsp:val=&quot;5E0736C9&quot;/&gt;&lt;wsp:rsid wsp:val=&quot;5E0771FD&quot;/&gt;&lt;wsp:rsid wsp:val=&quot;5E082F75&quot;/&gt;&lt;wsp:rsid wsp:val=&quot;5E0A693F&quot;/&gt;&lt;wsp:rsid wsp:val=&quot;5E0D2339&quot;/&gt;&lt;wsp:rsid wsp:val=&quot;5E0D31DF&quot;/&gt;&lt;wsp:rsid wsp:val=&quot;5E0D40E7&quot;/&gt;&lt;wsp:rsid wsp:val=&quot;5E0E2BE8&quot;/&gt;&lt;wsp:rsid wsp:val=&quot;5E105508&quot;/&gt;&lt;wsp:rsid wsp:val=&quot;5E1100D9&quot;/&gt;&lt;wsp:rsid wsp:val=&quot;5E120BD4&quot;/&gt;&lt;wsp:rsid wsp:val=&quot;5E1216FE&quot;/&gt;&lt;wsp:rsid wsp:val=&quot;5E125E49&quot;/&gt;&lt;wsp:rsid wsp:val=&quot;5E14191A&quot;/&gt;&lt;wsp:rsid wsp:val=&quot;5E1436C8&quot;/&gt;&lt;wsp:rsid wsp:val=&quot;5E183C9A&quot;/&gt;&lt;wsp:rsid wsp:val=&quot;5E1B2CA8&quot;/&gt;&lt;wsp:rsid wsp:val=&quot;5E1B4A56&quot;/&gt;&lt;wsp:rsid wsp:val=&quot;5E1B6804&quot;/&gt;&lt;wsp:rsid wsp:val=&quot;5E1C257C&quot;/&gt;&lt;wsp:rsid wsp:val=&quot;5E1E00A2&quot;/&gt;&lt;wsp:rsid wsp:val=&quot;5E1E4546&quot;/&gt;&lt;wsp:rsid wsp:val=&quot;5E1E62F4&quot;/&gt;&lt;wsp:rsid wsp:val=&quot;5E20206C&quot;/&gt;&lt;wsp:rsid wsp:val=&quot;5E203E1A&quot;/&gt;&lt;wsp:rsid wsp:val=&quot;5E224037&quot;/&gt;&lt;wsp:rsid wsp:val=&quot;5E2301EB&quot;/&gt;&lt;wsp:rsid wsp:val=&quot;5E23390B&quot;/&gt;&lt;wsp:rsid wsp:val=&quot;5E2467F1&quot;/&gt;&lt;wsp:rsid wsp:val=&quot;5E27164D&quot;/&gt;&lt;wsp:rsid wsp:val=&quot;5E2751A9&quot;/&gt;&lt;wsp:rsid wsp:val=&quot;5E28030B&quot;/&gt;&lt;wsp:rsid wsp:val=&quot;5E287173&quot;/&gt;&lt;wsp:rsid wsp:val=&quot;5E2A4C99&quot;/&gt;&lt;wsp:rsid wsp:val=&quot;5E2A782D&quot;/&gt;&lt;wsp:rsid wsp:val=&quot;5E2B60EE&quot;/&gt;&lt;wsp:rsid wsp:val=&quot;5E2C0A11&quot;/&gt;&lt;wsp:rsid wsp:val=&quot;5E2F405E&quot;/&gt;&lt;wsp:rsid wsp:val=&quot;5E300CA7&quot;/&gt;&lt;wsp:rsid wsp:val=&quot;5E301A5C&quot;/&gt;&lt;wsp:rsid wsp:val=&quot;5E30583F&quot;/&gt;&lt;wsp:rsid wsp:val=&quot;5E321FE3&quot;/&gt;&lt;wsp:rsid wsp:val=&quot;5E3304DB&quot;/&gt;&lt;wsp:rsid wsp:val=&quot;5E334442&quot;/&gt;&lt;wsp:rsid wsp:val=&quot;5E341674&quot;/&gt;&lt;wsp:rsid wsp:val=&quot;5E343D6A&quot;/&gt;&lt;wsp:rsid wsp:val=&quot;5E344903&quot;/&gt;&lt;wsp:rsid wsp:val=&quot;5E361890&quot;/&gt;&lt;wsp:rsid wsp:val=&quot;5E36363E&quot;/&gt;&lt;wsp:rsid wsp:val=&quot;5E394EDC&quot;/&gt;&lt;wsp:rsid wsp:val=&quot;5E3D313F&quot;/&gt;&lt;wsp:rsid wsp:val=&quot;5E3E0745&quot;/&gt;&lt;wsp:rsid wsp:val=&quot;5E40270F&quot;/&gt;&lt;wsp:rsid wsp:val=&quot;5E4044BD&quot;/&gt;&lt;wsp:rsid wsp:val=&quot;5E40626B&quot;/&gt;&lt;wsp:rsid wsp:val=&quot;5E413D91&quot;/&gt;&lt;wsp:rsid wsp:val=&quot;5E421FE3&quot;/&gt;&lt;wsp:rsid wsp:val=&quot;5E47584B&quot;/&gt;&lt;wsp:rsid wsp:val=&quot;5E483371&quot;/&gt;&lt;wsp:rsid wsp:val=&quot;5E4A6B29&quot;/&gt;&lt;wsp:rsid wsp:val=&quot;5E4C2E61&quot;/&gt;&lt;wsp:rsid wsp:val=&quot;5E4D3CA8&quot;/&gt;&lt;wsp:rsid wsp:val=&quot;5E4E4E2C&quot;/&gt;&lt;wsp:rsid wsp:val=&quot;5E4F14E0&quot;/&gt;&lt;wsp:rsid wsp:val=&quot;5E4F64AE&quot;/&gt;&lt;wsp:rsid wsp:val=&quot;5E5166CA&quot;/&gt;&lt;wsp:rsid wsp:val=&quot;5E531CE2&quot;/&gt;&lt;wsp:rsid wsp:val=&quot;5E5341F0&quot;/&gt;&lt;wsp:rsid wsp:val=&quot;5E543AC4&quot;/&gt;&lt;wsp:rsid wsp:val=&quot;5E55537D&quot;/&gt;&lt;wsp:rsid wsp:val=&quot;5E56783C&quot;/&gt;&lt;wsp:rsid wsp:val=&quot;5E587A58&quot;/&gt;&lt;wsp:rsid wsp:val=&quot;5E5A37D0&quot;/&gt;&lt;wsp:rsid wsp:val=&quot;5E5B6A7F&quot;/&gt;&lt;wsp:rsid wsp:val=&quot;5E5C0A2E&quot;/&gt;&lt;wsp:rsid wsp:val=&quot;5E6006BB&quot;/&gt;&lt;wsp:rsid wsp:val=&quot;5E604B5F&quot;/&gt;&lt;wsp:rsid wsp:val=&quot;5E624433&quot;/&gt;&lt;wsp:rsid wsp:val=&quot;5E631F59&quot;/&gt;&lt;wsp:rsid wsp:val=&quot;5E635C5B&quot;/&gt;&lt;wsp:rsid wsp:val=&quot;5E6463FD&quot;/&gt;&lt;wsp:rsid wsp:val=&quot;5E654E72&quot;/&gt;&lt;wsp:rsid wsp:val=&quot;5E655CD1&quot;/&gt;&lt;wsp:rsid wsp:val=&quot;5E667A07&quot;/&gt;&lt;wsp:rsid wsp:val=&quot;5E6737F7&quot;/&gt;&lt;wsp:rsid wsp:val=&quot;5E68756F&quot;/&gt;&lt;wsp:rsid wsp:val=&quot;5E693A13&quot;/&gt;&lt;wsp:rsid wsp:val=&quot;5E6A153A&quot;/&gt;&lt;wsp:rsid wsp:val=&quot;5E6C6845&quot;/&gt;&lt;wsp:rsid wsp:val=&quot;5E6C7060&quot;/&gt;&lt;wsp:rsid wsp:val=&quot;5E6F4DA2&quot;/&gt;&lt;wsp:rsid wsp:val=&quot;5E71702C&quot;/&gt;&lt;wsp:rsid wsp:val=&quot;5E7423B8&quot;/&gt;&lt;wsp:rsid wsp:val=&quot;5E752625&quot;/&gt;&lt;wsp:rsid wsp:val=&quot;5E761C8C&quot;/&gt;&lt;wsp:rsid wsp:val=&quot;5E766130&quot;/&gt;&lt;wsp:rsid wsp:val=&quot;5E767EDE&quot;/&gt;&lt;wsp:rsid wsp:val=&quot;5E781EA8&quot;/&gt;&lt;wsp:rsid wsp:val=&quot;5E783C56&quot;/&gt;&lt;wsp:rsid wsp:val=&quot;5E79352B&quot;/&gt;&lt;wsp:rsid wsp:val=&quot;5E7A44C7&quot;/&gt;&lt;wsp:rsid wsp:val=&quot;5E7A5C21&quot;/&gt;&lt;wsp:rsid wsp:val=&quot;5E7E0D08&quot;/&gt;&lt;wsp:rsid wsp:val=&quot;5E8048B9&quot;/&gt;&lt;wsp:rsid wsp:val=&quot;5E810661&quot;/&gt;&lt;wsp:rsid wsp:val=&quot;5E820631&quot;/&gt;&lt;wsp:rsid wsp:val=&quot;5E8445BE&quot;/&gt;&lt;wsp:rsid wsp:val=&quot;5E873E9A&quot;/&gt;&lt;wsp:rsid wsp:val=&quot;5E8B6B8D&quot;/&gt;&lt;wsp:rsid wsp:val=&quot;5E8C001D&quot;/&gt;&lt;wsp:rsid wsp:val=&quot;5E8D5DEC&quot;/&gt;&lt;wsp:rsid wsp:val=&quot;5E8F0FA0&quot;/&gt;&lt;wsp:rsid wsp:val=&quot;5E912F6A&quot;/&gt;&lt;wsp:rsid wsp:val=&quot;5E914D18&quot;/&gt;&lt;wsp:rsid wsp:val=&quot;5E92274E&quot;/&gt;&lt;wsp:rsid wsp:val=&quot;5E945177&quot;/&gt;&lt;wsp:rsid wsp:val=&quot;5E960581&quot;/&gt;&lt;wsp:rsid wsp:val=&quot;5E9640DD&quot;/&gt;&lt;wsp:rsid wsp:val=&quot;5E987E55&quot;/&gt;&lt;wsp:rsid wsp:val=&quot;5E993BCD&quot;/&gt;&lt;wsp:rsid wsp:val=&quot;5E9B512E&quot;/&gt;&lt;wsp:rsid wsp:val=&quot;5E9B5B97&quot;/&gt;&lt;wsp:rsid wsp:val=&quot;5E9D4750&quot;/&gt;&lt;wsp:rsid wsp:val=&quot;5E9E2432&quot;/&gt;&lt;wsp:rsid wsp:val=&quot;5E9F7435&quot;/&gt;&lt;wsp:rsid wsp:val=&quot;5EA06D09&quot;/&gt;&lt;wsp:rsid wsp:val=&quot;5EA26F25&quot;/&gt;&lt;wsp:rsid wsp:val=&quot;5EA507C4&quot;/&gt;&lt;wsp:rsid wsp:val=&quot;5EA50BC4&quot;/&gt;&lt;wsp:rsid wsp:val=&quot;5EA670A6&quot;/&gt;&lt;wsp:rsid wsp:val=&quot;5EA70098&quot;/&gt;&lt;wsp:rsid wsp:val=&quot;5EAA63C1&quot;/&gt;&lt;wsp:rsid wsp:val=&quot;5EAA7B88&quot;/&gt;&lt;wsp:rsid wsp:val=&quot;5EAB4A36&quot;/&gt;&lt;wsp:rsid wsp:val=&quot;5EAC1B52&quot;/&gt;&lt;wsp:rsid wsp:val=&quot;5EAC3900&quot;/&gt;&lt;wsp:rsid wsp:val=&quot;5EAD1F27&quot;/&gt;&lt;wsp:rsid wsp:val=&quot;5EAE1426&quot;/&gt;&lt;wsp:rsid wsp:val=&quot;5EAE58CA&quot;/&gt;&lt;wsp:rsid wsp:val=&quot;5EB10F16&quot;/&gt;&lt;wsp:rsid wsp:val=&quot;5EB21E57&quot;/&gt;&lt;wsp:rsid wsp:val=&quot;5EB32EE1&quot;/&gt;&lt;wsp:rsid wsp:val=&quot;5EB34C8F&quot;/&gt;&lt;wsp:rsid wsp:val=&quot;5EB41A42&quot;/&gt;&lt;wsp:rsid wsp:val=&quot;5EB629D1&quot;/&gt;&lt;wsp:rsid wsp:val=&quot;5EB86749&quot;/&gt;&lt;wsp:rsid wsp:val=&quot;5EBA601D&quot;/&gt;&lt;wsp:rsid wsp:val=&quot;5EBB1D95&quot;/&gt;&lt;wsp:rsid wsp:val=&quot;5EBB3B43&quot;/&gt;&lt;wsp:rsid wsp:val=&quot;5EBB5591&quot;/&gt;&lt;wsp:rsid wsp:val=&quot;5EBC40CD&quot;/&gt;&lt;wsp:rsid wsp:val=&quot;5EC073AC&quot;/&gt;&lt;wsp:rsid wsp:val=&quot;5EC155FD&quot;/&gt;&lt;wsp:rsid wsp:val=&quot;5EC165E7&quot;/&gt;&lt;wsp:rsid wsp:val=&quot;5EC16C5C&quot;/&gt;&lt;wsp:rsid wsp:val=&quot;5EC24ED2&quot;/&gt;&lt;wsp:rsid wsp:val=&quot;5EC56A6D&quot;/&gt;&lt;wsp:rsid wsp:val=&quot;5EC642D2&quot;/&gt;&lt;wsp:rsid wsp:val=&quot;5EC7073A&quot;/&gt;&lt;wsp:rsid wsp:val=&quot;5EC724E8&quot;/&gt;&lt;wsp:rsid wsp:val=&quot;5EC92704&quot;/&gt;&lt;wsp:rsid wsp:val=&quot;5ECA1FD8&quot;/&gt;&lt;wsp:rsid wsp:val=&quot;5ECA3D86&quot;/&gt;&lt;wsp:rsid wsp:val=&quot;5ECB647C&quot;/&gt;&lt;wsp:rsid wsp:val=&quot;5ECC5D50&quot;/&gt;&lt;wsp:rsid wsp:val=&quot;5ECE7DD0&quot;/&gt;&lt;wsp:rsid wsp:val=&quot;5ECE7EF9&quot;/&gt;&lt;wsp:rsid wsp:val=&quot;5ECF79AB&quot;/&gt;&lt;wsp:rsid wsp:val=&quot;5ED115B9&quot;/&gt;&lt;wsp:rsid wsp:val=&quot;5ED13367&quot;/&gt;&lt;wsp:rsid wsp:val=&quot;5ED2780B&quot;/&gt;&lt;wsp:rsid wsp:val=&quot;5ED370DF&quot;/&gt;&lt;wsp:rsid wsp:val=&quot;5ED545B3&quot;/&gt;&lt;wsp:rsid wsp:val=&quot;5ED667E8&quot;/&gt;&lt;wsp:rsid wsp:val=&quot;5ED66BCF&quot;/&gt;&lt;wsp:rsid wsp:val=&quot;5ED679F2&quot;/&gt;&lt;wsp:rsid wsp:val=&quot;5ED846F5&quot;/&gt;&lt;wsp:rsid wsp:val=&quot;5ED864A3&quot;/&gt;&lt;wsp:rsid wsp:val=&quot;5EDA66BF&quot;/&gt;&lt;wsp:rsid wsp:val=&quot;5EDB41E5&quot;/&gt;&lt;wsp:rsid wsp:val=&quot;5EDC2827&quot;/&gt;&lt;wsp:rsid wsp:val=&quot;5EDD4C6D&quot;/&gt;&lt;wsp:rsid wsp:val=&quot;5EDF4663&quot;/&gt;&lt;wsp:rsid wsp:val=&quot;5EE02BC4&quot;/&gt;&lt;wsp:rsid wsp:val=&quot;5EE222A7&quot;/&gt;&lt;wsp:rsid wsp:val=&quot;5EE44E48&quot;/&gt;&lt;wsp:rsid wsp:val=&quot;5EE70977&quot;/&gt;&lt;wsp:rsid wsp:val=&quot;5EE720B8&quot;/&gt;&lt;wsp:rsid wsp:val=&quot;5EE74938&quot;/&gt;&lt;wsp:rsid wsp:val=&quot;5EE975A9&quot;/&gt;&lt;wsp:rsid wsp:val=&quot;5EEC1F4F&quot;/&gt;&lt;wsp:rsid wsp:val=&quot;5EEE5CC7&quot;/&gt;&lt;wsp:rsid wsp:val=&quot;5EF26718&quot;/&gt;&lt;wsp:rsid wsp:val=&quot;5EF332DD&quot;/&gt;&lt;wsp:rsid wsp:val=&quot;5EF35C6C&quot;/&gt;&lt;wsp:rsid wsp:val=&quot;5EF7101F&quot;/&gt;&lt;wsp:rsid wsp:val=&quot;5EF808F3&quot;/&gt;&lt;wsp:rsid wsp:val=&quot;5EF944CD&quot;/&gt;&lt;wsp:rsid wsp:val=&quot;5EF9708D&quot;/&gt;&lt;wsp:rsid wsp:val=&quot;5EFA052E&quot;/&gt;&lt;wsp:rsid wsp:val=&quot;5EFA466C&quot;/&gt;&lt;wsp:rsid wsp:val=&quot;5EFB19BE&quot;/&gt;&lt;wsp:rsid wsp:val=&quot;5EFC2E4E&quot;/&gt;&lt;wsp:rsid wsp:val=&quot;5EFD415C&quot;/&gt;&lt;wsp:rsid wsp:val=&quot;5EFE7149&quot;/&gt;&lt;wsp:rsid wsp:val=&quot;5F0059FA&quot;/&gt;&lt;wsp:rsid wsp:val=&quot;5F011E9E&quot;/&gt;&lt;wsp:rsid wsp:val=&quot;5F0279C4&quot;/&gt;&lt;wsp:rsid wsp:val=&quot;5F034C6F&quot;/&gt;&lt;wsp:rsid wsp:val=&quot;5F0454EA&quot;/&gt;&lt;wsp:rsid wsp:val=&quot;5F04649D&quot;/&gt;&lt;wsp:rsid wsp:val=&quot;5F090814&quot;/&gt;&lt;wsp:rsid wsp:val=&quot;5F090D52&quot;/&gt;&lt;wsp:rsid wsp:val=&quot;5F092B01&quot;/&gt;&lt;wsp:rsid wsp:val=&quot;5F0A712A&quot;/&gt;&lt;wsp:rsid wsp:val=&quot;5F0B4827&quot;/&gt;&lt;wsp:rsid wsp:val=&quot;5F0F3ED5&quot;/&gt;&lt;wsp:rsid wsp:val=&quot;5F103E8F&quot;/&gt;&lt;wsp:rsid wsp:val=&quot;5F1059FA&quot;/&gt;&lt;wsp:rsid wsp:val=&quot;5F105C3D&quot;/&gt;&lt;wsp:rsid wsp:val=&quot;5F137E9E&quot;/&gt;&lt;wsp:rsid wsp:val=&quot;5F140576&quot;/&gt;&lt;wsp:rsid wsp:val=&quot;5F144214&quot;/&gt;&lt;wsp:rsid wsp:val=&quot;5F1539F4&quot;/&gt;&lt;wsp:rsid wsp:val=&quot;5F155949&quot;/&gt;&lt;wsp:rsid wsp:val=&quot;5F1576F7&quot;/&gt;&lt;wsp:rsid wsp:val=&quot;5F157F77&quot;/&gt;&lt;wsp:rsid wsp:val=&quot;5F16521D&quot;/&gt;&lt;wsp:rsid wsp:val=&quot;5F182D44&quot;/&gt;&lt;wsp:rsid wsp:val=&quot;5F1871E8&quot;/&gt;&lt;wsp:rsid wsp:val=&quot;5F1A2B43&quot;/&gt;&lt;wsp:rsid wsp:val=&quot;5F1A2F60&quot;/&gt;&lt;wsp:rsid wsp:val=&quot;5F1C0A86&quot;/&gt;&lt;wsp:rsid wsp:val=&quot;5F1C6CD8&quot;/&gt;&lt;wsp:rsid wsp:val=&quot;5F1D65AC&quot;/&gt;&lt;wsp:rsid wsp:val=&quot;5F1E2676&quot;/&gt;&lt;wsp:rsid wsp:val=&quot;5F1E4D57&quot;/&gt;&lt;wsp:rsid wsp:val=&quot;5F200DE7&quot;/&gt;&lt;wsp:rsid wsp:val=&quot;5F217E4A&quot;/&gt;&lt;wsp:rsid wsp:val=&quot;5F221E14&quot;/&gt;&lt;wsp:rsid wsp:val=&quot;5F223BC2&quot;/&gt;&lt;wsp:rsid wsp:val=&quot;5F225970&quot;/&gt;&lt;wsp:rsid wsp:val=&quot;5F2356B6&quot;/&gt;&lt;wsp:rsid wsp:val=&quot;5F265461&quot;/&gt;&lt;wsp:rsid wsp:val=&quot;5F2711D9&quot;/&gt;&lt;wsp:rsid wsp:val=&quot;5F27635C&quot;/&gt;&lt;wsp:rsid wsp:val=&quot;5F27742B&quot;/&gt;&lt;wsp:rsid wsp:val=&quot;5F2A6503&quot;/&gt;&lt;wsp:rsid wsp:val=&quot;5F2B0CC9&quot;/&gt;&lt;wsp:rsid wsp:val=&quot;5F2C01C7&quot;/&gt;&lt;wsp:rsid wsp:val=&quot;5F2D4A41&quot;/&gt;&lt;wsp:rsid wsp:val=&quot;5F2E484C&quot;/&gt;&lt;wsp:rsid wsp:val=&quot;5F30008D&quot;/&gt;&lt;wsp:rsid wsp:val=&quot;5F3202A9&quot;/&gt;&lt;wsp:rsid wsp:val=&quot;5F322057&quot;/&gt;&lt;wsp:rsid wsp:val=&quot;5F322F1C&quot;/&gt;&lt;wsp:rsid wsp:val=&quot;5F3439F6&quot;/&gt;&lt;wsp:rsid wsp:val=&quot;5F357D99&quot;/&gt;&lt;wsp:rsid wsp:val=&quot;5F372DE1&quot;/&gt;&lt;wsp:rsid wsp:val=&quot;5F3758C0&quot;/&gt;&lt;wsp:rsid wsp:val=&quot;5F37766E&quot;/&gt;&lt;wsp:rsid wsp:val=&quot;5F381638&quot;/&gt;&lt;wsp:rsid wsp:val=&quot;5F3861E3&quot;/&gt;&lt;wsp:rsid wsp:val=&quot;5F387474&quot;/&gt;&lt;wsp:rsid wsp:val=&quot;5F3A0F0C&quot;/&gt;&lt;wsp:rsid wsp:val=&quot;5F3C1D4C&quot;/&gt;&lt;wsp:rsid wsp:val=&quot;5F3D09FC&quot;/&gt;&lt;wsp:rsid wsp:val=&quot;5F3F29C6&quot;/&gt;&lt;wsp:rsid wsp:val=&quot;5F434264&quot;/&gt;&lt;wsp:rsid wsp:val=&quot;5F443B39&quot;/&gt;&lt;wsp:rsid wsp:val=&quot;5F465B03&quot;/&gt;&lt;wsp:rsid wsp:val=&quot;5F4678B1&quot;/&gt;&lt;wsp:rsid wsp:val=&quot;5F48187B&quot;/&gt;&lt;wsp:rsid wsp:val=&quot;5F4A0903&quot;/&gt;&lt;wsp:rsid wsp:val=&quot;5F4B136B&quot;/&gt;&lt;wsp:rsid wsp:val=&quot;5F503032&quot;/&gt;&lt;wsp:rsid wsp:val=&quot;5F5226F9&quot;/&gt;&lt;wsp:rsid wsp:val=&quot;5F531FCE&quot;/&gt;&lt;wsp:rsid wsp:val=&quot;5F5521EA&quot;/&gt;&lt;wsp:rsid wsp:val=&quot;5F577D10&quot;/&gt;&lt;wsp:rsid wsp:val=&quot;5F597808&quot;/&gt;&lt;wsp:rsid wsp:val=&quot;5F5A15AE&quot;/&gt;&lt;wsp:rsid wsp:val=&quot;5F5C0E82&quot;/&gt;&lt;wsp:rsid wsp:val=&quot;5F5F0972&quot;/&gt;&lt;wsp:rsid wsp:val=&quot;5F5F6BC4&quot;/&gt;&lt;wsp:rsid wsp:val=&quot;5F63217C&quot;/&gt;&lt;wsp:rsid wsp:val=&quot;5F6366B5&quot;/&gt;&lt;wsp:rsid wsp:val=&quot;5F645F89&quot;/&gt;&lt;wsp:rsid wsp:val=&quot;5F66666A&quot;/&gt;&lt;wsp:rsid wsp:val=&quot;5F667F53&quot;/&gt;&lt;wsp:rsid wsp:val=&quot;5F683CCB&quot;/&gt;&lt;wsp:rsid wsp:val=&quot;5F697A43&quot;/&gt;&lt;wsp:rsid wsp:val=&quot;5F6B47EE&quot;/&gt;&lt;wsp:rsid wsp:val=&quot;5F6B5569&quot;/&gt;&lt;wsp:rsid wsp:val=&quot;5F6D308F&quot;/&gt;&lt;wsp:rsid wsp:val=&quot;5F6D7533&quot;/&gt;&lt;wsp:rsid wsp:val=&quot;5F6E316F&quot;/&gt;&lt;wsp:rsid wsp:val=&quot;5F6F21A7&quot;/&gt;&lt;wsp:rsid wsp:val=&quot;5F700DD2&quot;/&gt;&lt;wsp:rsid wsp:val=&quot;5F702B80&quot;/&gt;&lt;wsp:rsid wsp:val=&quot;5F713021&quot;/&gt;&lt;wsp:rsid wsp:val=&quot;5F73441E&quot;/&gt;&lt;wsp:rsid wsp:val=&quot;5F761901&quot;/&gt;&lt;wsp:rsid wsp:val=&quot;5F767385&quot;/&gt;&lt;wsp:rsid wsp:val=&quot;5F784221&quot;/&gt;&lt;wsp:rsid wsp:val=&quot;5F7A1C50&quot;/&gt;&lt;wsp:rsid wsp:val=&quot;5F7A2817&quot;/&gt;&lt;wsp:rsid wsp:val=&quot;5F7A39FE&quot;/&gt;&lt;wsp:rsid wsp:val=&quot;5F7A755A&quot;/&gt;&lt;wsp:rsid wsp:val=&quot;5F7D704B&quot;/&gt;&lt;wsp:rsid wsp:val=&quot;5F7F2DC3&quot;/&gt;&lt;wsp:rsid wsp:val=&quot;5F800C39&quot;/&gt;&lt;wsp:rsid wsp:val=&quot;5F8108E9&quot;/&gt;&lt;wsp:rsid wsp:val=&quot;5F812FDF&quot;/&gt;&lt;wsp:rsid wsp:val=&quot;5F814D8D&quot;/&gt;&lt;wsp:rsid wsp:val=&quot;5F830B05&quot;/&gt;&lt;wsp:rsid wsp:val=&quot;5F8403D9&quot;/&gt;&lt;wsp:rsid wsp:val=&quot;5F84662B&quot;/&gt;&lt;wsp:rsid wsp:val=&quot;5F8605F5&quot;/&gt;&lt;wsp:rsid wsp:val=&quot;5F8623A3&quot;/&gt;&lt;wsp:rsid wsp:val=&quot;5F864151&quot;/&gt;&lt;wsp:rsid wsp:val=&quot;5F883D16&quot;/&gt;&lt;wsp:rsid wsp:val=&quot;5F8960B6&quot;/&gt;&lt;wsp:rsid wsp:val=&quot;5F8A1E93&quot;/&gt;&lt;wsp:rsid wsp:val=&quot;5F8A5A57&quot;/&gt;&lt;wsp:rsid wsp:val=&quot;5F8D54E0&quot;/&gt;&lt;wsp:rsid wsp:val=&quot;5F904FD0&quot;/&gt;&lt;wsp:rsid wsp:val=&quot;5F920A6A&quot;/&gt;&lt;wsp:rsid wsp:val=&quot;5F920D48&quot;/&gt;&lt;wsp:rsid wsp:val=&quot;5F922AF6&quot;/&gt;&lt;wsp:rsid wsp:val=&quot;5F940EF3&quot;/&gt;&lt;wsp:rsid wsp:val=&quot;5F942D12&quot;/&gt;&lt;wsp:rsid wsp:val=&quot;5F9439FA&quot;/&gt;&lt;wsp:rsid wsp:val=&quot;5F961351&quot;/&gt;&lt;wsp:rsid wsp:val=&quot;5F97237B&quot;/&gt;&lt;wsp:rsid wsp:val=&quot;5F9C1BC7&quot;/&gt;&lt;wsp:rsid wsp:val=&quot;5F9E76ED&quot;/&gt;&lt;wsp:rsid wsp:val=&quot;5F9F3465&quot;/&gt;&lt;wsp:rsid wsp:val=&quot;5F9F5213&quot;/&gt;&lt;wsp:rsid wsp:val=&quot;5FA32F55&quot;/&gt;&lt;wsp:rsid wsp:val=&quot;5FA36AB1&quot;/&gt;&lt;wsp:rsid wsp:val=&quot;5FA42829&quot;/&gt;&lt;wsp:rsid wsp:val=&quot;5FA6034F&quot;/&gt;&lt;wsp:rsid wsp:val=&quot;5FA647F3&quot;/&gt;&lt;wsp:rsid wsp:val=&quot;5FA6729F&quot;/&gt;&lt;wsp:rsid wsp:val=&quot;5FA72F90&quot;/&gt;&lt;wsp:rsid wsp:val=&quot;5FA8056B&quot;/&gt;&lt;wsp:rsid wsp:val=&quot;5FA937A9&quot;/&gt;&lt;wsp:rsid wsp:val=&quot;5FA94790&quot;/&gt;&lt;wsp:rsid wsp:val=&quot;5FA97E40&quot;/&gt;&lt;wsp:rsid wsp:val=&quot;5FAA6092&quot;/&gt;&lt;wsp:rsid wsp:val=&quot;5FAA7620&quot;/&gt;&lt;wsp:rsid wsp:val=&quot;5FAB1E0A&quot;/&gt;&lt;wsp:rsid wsp:val=&quot;5FAC3111&quot;/&gt;&lt;wsp:rsid wsp:val=&quot;5FAD16DE&quot;/&gt;&lt;wsp:rsid wsp:val=&quot;5FAD269E&quot;/&gt;&lt;wsp:rsid wsp:val=&quot;5FAD5B82&quot;/&gt;&lt;wsp:rsid wsp:val=&quot;5FAD7930&quot;/&gt;&lt;wsp:rsid wsp:val=&quot;5FAE51AE&quot;/&gt;&lt;wsp:rsid wsp:val=&quot;5FAF36A8&quot;/&gt;&lt;wsp:rsid wsp:val=&quot;5FB20AF9&quot;/&gt;&lt;wsp:rsid wsp:val=&quot;5FB47151&quot;/&gt;&lt;wsp:rsid wsp:val=&quot;5FB567E4&quot;/&gt;&lt;wsp:rsid wsp:val=&quot;5FB641C3&quot;/&gt;&lt;wsp:rsid wsp:val=&quot;5FB7255D&quot;/&gt;&lt;wsp:rsid wsp:val=&quot;5FB76A00&quot;/&gt;&lt;wsp:rsid wsp:val=&quot;5FB837BB&quot;/&gt;&lt;wsp:rsid wsp:val=&quot;5FB8795D&quot;/&gt;&lt;wsp:rsid wsp:val=&quot;5FB92779&quot;/&gt;&lt;wsp:rsid wsp:val=&quot;5FB94285&quot;/&gt;&lt;wsp:rsid wsp:val=&quot;5FB94527&quot;/&gt;&lt;wsp:rsid wsp:val=&quot;5FB962D5&quot;/&gt;&lt;wsp:rsid wsp:val=&quot;5FBA7980&quot;/&gt;&lt;wsp:rsid wsp:val=&quot;5FBB3CC2&quot;/&gt;&lt;wsp:rsid wsp:val=&quot;5FBC14C5&quot;/&gt;&lt;wsp:rsid wsp:val=&quot;5FBC4017&quot;/&gt;&lt;wsp:rsid wsp:val=&quot;5FBC5DC5&quot;/&gt;&lt;wsp:rsid wsp:val=&quot;5FBD4096&quot;/&gt;&lt;wsp:rsid wsp:val=&quot;5FBF1411&quot;/&gt;&lt;wsp:rsid wsp:val=&quot;5FC14B14&quot;/&gt;&lt;wsp:rsid wsp:val=&quot;5FC27D70&quot;/&gt;&lt;wsp:rsid wsp:val=&quot;5FC37153&quot;/&gt;&lt;wsp:rsid wsp:val=&quot;5FC627A0&quot;/&gt;&lt;wsp:rsid wsp:val=&quot;5FCB425A&quot;/&gt;&lt;wsp:rsid wsp:val=&quot;5FCB604A&quot;/&gt;&lt;wsp:rsid wsp:val=&quot;5FCD1D80&quot;/&gt;&lt;wsp:rsid wsp:val=&quot;5FCD7FD2&quot;/&gt;&lt;wsp:rsid wsp:val=&quot;5FCF3D4A&quot;/&gt;&lt;wsp:rsid wsp:val=&quot;5FD0047F&quot;/&gt;&lt;wsp:rsid wsp:val=&quot;5FD026F7&quot;/&gt;&lt;wsp:rsid wsp:val=&quot;5FD21144&quot;/&gt;&lt;wsp:rsid wsp:val=&quot;5FD2383A&quot;/&gt;&lt;wsp:rsid wsp:val=&quot;5FD255E8&quot;/&gt;&lt;wsp:rsid wsp:val=&quot;5FD4310E&quot;/&gt;&lt;wsp:rsid wsp:val=&quot;5FD454B8&quot;/&gt;&lt;wsp:rsid wsp:val=&quot;5FD50BDC&quot;/&gt;&lt;wsp:rsid wsp:val=&quot;5FD50C35&quot;/&gt;&lt;wsp:rsid wsp:val=&quot;5FD51606&quot;/&gt;&lt;wsp:rsid wsp:val=&quot;5FD87822&quot;/&gt;&lt;wsp:rsid wsp:val=&quot;5FD924D3&quot;/&gt;&lt;wsp:rsid wsp:val=&quot;5FDA624B&quot;/&gt;&lt;wsp:rsid wsp:val=&quot;5FDB26EF&quot;/&gt;&lt;wsp:rsid wsp:val=&quot;5FDC1FC3&quot;/&gt;&lt;wsp:rsid wsp:val=&quot;5FDC6467&quot;/&gt;&lt;wsp:rsid wsp:val=&quot;5FDE3F8D&quot;/&gt;&lt;wsp:rsid wsp:val=&quot;5FE04C08&quot;/&gt;&lt;wsp:rsid wsp:val=&quot;5FE07430&quot;/&gt;&lt;wsp:rsid wsp:val=&quot;5FE07D05&quot;/&gt;&lt;wsp:rsid wsp:val=&quot;5FE13A7D&quot;/&gt;&lt;wsp:rsid wsp:val=&quot;5FE1582B&quot;/&gt;&lt;wsp:rsid wsp:val=&quot;5FE175D9&quot;/&gt;&lt;wsp:rsid wsp:val=&quot;5FE17AD8&quot;/&gt;&lt;wsp:rsid wsp:val=&quot;5FE315A4&quot;/&gt;&lt;wsp:rsid wsp:val=&quot;5FE52D7F&quot;/&gt;&lt;wsp:rsid wsp:val=&quot;5FE62E42&quot;/&gt;&lt;wsp:rsid wsp:val=&quot;5FE64BF0&quot;/&gt;&lt;wsp:rsid wsp:val=&quot;5FE80968&quot;/&gt;&lt;wsp:rsid wsp:val=&quot;5FE84E0C&quot;/&gt;&lt;wsp:rsid wsp:val=&quot;5FE86BBA&quot;/&gt;&lt;wsp:rsid wsp:val=&quot;5FEB2206&quot;/&gt;&lt;wsp:rsid wsp:val=&quot;5FEC05A4&quot;/&gt;&lt;wsp:rsid wsp:val=&quot;5FED0D8A&quot;/&gt;&lt;wsp:rsid wsp:val=&quot;5FED5F7E&quot;/&gt;&lt;wsp:rsid wsp:val=&quot;5FF501C6&quot;/&gt;&lt;wsp:rsid wsp:val=&quot;5FF56C7C&quot;/&gt;&lt;wsp:rsid wsp:val=&quot;5FF7504F&quot;/&gt;&lt;wsp:rsid wsp:val=&quot;5FF90DC7&quot;/&gt;&lt;wsp:rsid wsp:val=&quot;5FFC2FA7&quot;/&gt;&lt;wsp:rsid wsp:val=&quot;5FFC4413&quot;/&gt;&lt;wsp:rsid wsp:val=&quot;5FFD572B&quot;/&gt;&lt;wsp:rsid wsp:val=&quot;5FFE26E6&quot;/&gt;&lt;wsp:rsid wsp:val=&quot;60003F04&quot;/&gt;&lt;wsp:rsid wsp:val=&quot;60011A2A&quot;/&gt;&lt;wsp:rsid wsp:val=&quot;6005282E&quot;/&gt;&lt;wsp:rsid wsp:val=&quot;600532C8&quot;/&gt;&lt;wsp:rsid wsp:val=&quot;60057804&quot;/&gt;&lt;wsp:rsid wsp:val=&quot;6008100A&quot;/&gt;&lt;wsp:rsid wsp:val=&quot;600B28A8&quot;/&gt;&lt;wsp:rsid wsp:val=&quot;600B4656&quot;/&gt;&lt;wsp:rsid wsp:val=&quot;600C6FB6&quot;/&gt;&lt;wsp:rsid wsp:val=&quot;600D03CE&quot;/&gt;&lt;wsp:rsid wsp:val=&quot;600F4147&quot;/&gt;&lt;wsp:rsid wsp:val=&quot;601107A2&quot;/&gt;&lt;wsp:rsid wsp:val=&quot;60114363&quot;/&gt;&lt;wsp:rsid wsp:val=&quot;60116111&quot;/&gt;&lt;wsp:rsid wsp:val=&quot;6014175D&quot;/&gt;&lt;wsp:rsid wsp:val=&quot;60143F17&quot;/&gt;&lt;wsp:rsid wsp:val=&quot;60173560&quot;/&gt;&lt;wsp:rsid wsp:val=&quot;601847EC&quot;/&gt;&lt;wsp:rsid wsp:val=&quot;60193217&quot;/&gt;&lt;wsp:rsid wsp:val=&quot;60196D73&quot;/&gt;&lt;wsp:rsid wsp:val=&quot;601B2AEB&quot;/&gt;&lt;wsp:rsid wsp:val=&quot;601D2D07&quot;/&gt;&lt;wsp:rsid wsp:val=&quot;601D6342&quot;/&gt;&lt;wsp:rsid wsp:val=&quot;601E082E&quot;/&gt;&lt;wsp:rsid wsp:val=&quot;601F5B30&quot;/&gt;&lt;wsp:rsid wsp:val=&quot;60206354&quot;/&gt;&lt;wsp:rsid wsp:val=&quot;60213E7A&quot;/&gt;&lt;wsp:rsid wsp:val=&quot;60225083&quot;/&gt;&lt;wsp:rsid wsp:val=&quot;60233110&quot;/&gt;&lt;wsp:rsid wsp:val=&quot;6025396A&quot;/&gt;&lt;wsp:rsid wsp:val=&quot;60255718&quot;/&gt;&lt;wsp:rsid wsp:val=&quot;60285208&quot;/&gt;&lt;wsp:rsid wsp:val=&quot;602A0F80&quot;/&gt;&lt;wsp:rsid wsp:val=&quot;602A71D2&quot;/&gt;&lt;wsp:rsid wsp:val=&quot;602C4CF9&quot;/&gt;&lt;wsp:rsid wsp:val=&quot;602F2A3B&quot;/&gt;&lt;wsp:rsid wsp:val=&quot;602F6597&quot;/&gt;&lt;wsp:rsid wsp:val=&quot;6031230F&quot;/&gt;&lt;wsp:rsid wsp:val=&quot;60327E35&quot;/&gt;&lt;wsp:rsid wsp:val=&quot;60341DFF&quot;/&gt;&lt;wsp:rsid wsp:val=&quot;60343BAD&quot;/&gt;&lt;wsp:rsid wsp:val=&quot;6035022A&quot;/&gt;&lt;wsp:rsid wsp:val=&quot;6037369D&quot;/&gt;&lt;wsp:rsid wsp:val=&quot;603B13E0&quot;/&gt;&lt;wsp:rsid wsp:val=&quot;603B14CB&quot;/&gt;&lt;wsp:rsid wsp:val=&quot;603B318E&quot;/&gt;&lt;wsp:rsid wsp:val=&quot;603B4F3C&quot;/&gt;&lt;wsp:rsid wsp:val=&quot;603C522D&quot;/&gt;&lt;wsp:rsid wsp:val=&quot;603E2C7E&quot;/&gt;&lt;wsp:rsid wsp:val=&quot;603F3EAD&quot;/&gt;&lt;wsp:rsid wsp:val=&quot;604007A4&quot;/&gt;&lt;wsp:rsid wsp:val=&quot;60402552&quot;/&gt;&lt;wsp:rsid wsp:val=&quot;604128AE&quot;/&gt;&lt;wsp:rsid wsp:val=&quot;60432042&quot;/&gt;&lt;wsp:rsid wsp:val=&quot;6043466C&quot;/&gt;&lt;wsp:rsid wsp:val=&quot;604364E6&quot;/&gt;&lt;wsp:rsid wsp:val=&quot;60450D7A&quot;/&gt;&lt;wsp:rsid wsp:val=&quot;6045400C&quot;/&gt;&lt;wsp:rsid wsp:val=&quot;60455DBA&quot;/&gt;&lt;wsp:rsid wsp:val=&quot;60471B32&quot;/&gt;&lt;wsp:rsid wsp:val=&quot;604765C1&quot;/&gt;&lt;wsp:rsid wsp:val=&quot;6048238E&quot;/&gt;&lt;wsp:rsid wsp:val=&quot;60483AFC&quot;/&gt;&lt;wsp:rsid wsp:val=&quot;604858AA&quot;/&gt;&lt;wsp:rsid wsp:val=&quot;604A33D1&quot;/&gt;&lt;wsp:rsid wsp:val=&quot;604C0EF7&quot;/&gt;&lt;wsp:rsid wsp:val=&quot;604C539B&quot;/&gt;&lt;wsp:rsid wsp:val=&quot;604E6200&quot;/&gt;&lt;wsp:rsid wsp:val=&quot;604F6C39&quot;/&gt;&lt;wsp:rsid wsp:val=&quot;60502261&quot;/&gt;&lt;wsp:rsid wsp:val=&quot;6051650D&quot;/&gt;&lt;wsp:rsid wsp:val=&quot;60536729&quot;/&gt;&lt;wsp:rsid wsp:val=&quot;605424A1&quot;/&gt;&lt;wsp:rsid wsp:val=&quot;60543D2E&quot;/&gt;&lt;wsp:rsid wsp:val=&quot;60545FFD&quot;/&gt;&lt;wsp:rsid wsp:val=&quot;60554EEF&quot;/&gt;&lt;wsp:rsid wsp:val=&quot;60575AEE&quot;/&gt;&lt;wsp:rsid wsp:val=&quot;6057789C&quot;/&gt;&lt;wsp:rsid wsp:val=&quot;60583D40&quot;/&gt;&lt;wsp:rsid wsp:val=&quot;60591866&quot;/&gt;&lt;wsp:rsid wsp:val=&quot;605B55DE&quot;/&gt;&lt;wsp:rsid wsp:val=&quot;605C4EB2&quot;/&gt;&lt;wsp:rsid wsp:val=&quot;605D1356&quot;/&gt;&lt;wsp:rsid wsp:val=&quot;605D41C0&quot;/&gt;&lt;wsp:rsid wsp:val=&quot;605D4865&quot;/&gt;&lt;wsp:rsid wsp:val=&quot;605E0C2A&quot;/&gt;&lt;wsp:rsid wsp:val=&quot;60603D90&quot;/&gt;&lt;wsp:rsid wsp:val=&quot;60625B06&quot;/&gt;&lt;wsp:rsid wsp:val=&quot;6063192E&quot;/&gt;&lt;wsp:rsid wsp:val=&quot;60640C85&quot;/&gt;&lt;wsp:rsid wsp:val=&quot;60651FB9&quot;/&gt;&lt;wsp:rsid wsp:val=&quot;6065645C&quot;/&gt;&lt;wsp:rsid wsp:val=&quot;60667058&quot;/&gt;&lt;wsp:rsid wsp:val=&quot;60673F26&quot;/&gt;&lt;wsp:rsid wsp:val=&quot;60683065&quot;/&gt;&lt;wsp:rsid wsp:val=&quot;606B6ED9&quot;/&gt;&lt;wsp:rsid wsp:val=&quot;606C77EB&quot;/&gt;&lt;wsp:rsid wsp:val=&quot;606E3563&quot;/&gt;&lt;wsp:rsid wsp:val=&quot;606F1089&quot;/&gt;&lt;wsp:rsid wsp:val=&quot;606F4BE5&quot;/&gt;&lt;wsp:rsid wsp:val=&quot;6070184B&quot;/&gt;&lt;wsp:rsid wsp:val=&quot;60716BAF&quot;/&gt;&lt;wsp:rsid wsp:val=&quot;607271D5&quot;/&gt;&lt;wsp:rsid wsp:val=&quot;60732927&quot;/&gt;&lt;wsp:rsid wsp:val=&quot;607448F1&quot;/&gt;&lt;wsp:rsid wsp:val=&quot;607466A0&quot;/&gt;&lt;wsp:rsid wsp:val=&quot;607641C6&quot;/&gt;&lt;wsp:rsid wsp:val=&quot;60771CEC&quot;/&gt;&lt;wsp:rsid wsp:val=&quot;60786190&quot;/&gt;&lt;wsp:rsid wsp:val=&quot;60787F3E&quot;/&gt;&lt;wsp:rsid wsp:val=&quot;60791F08&quot;/&gt;&lt;wsp:rsid wsp:val=&quot;607A5BA6&quot;/&gt;&lt;wsp:rsid wsp:val=&quot;607B21B4&quot;/&gt;&lt;wsp:rsid wsp:val=&quot;607B521D&quot;/&gt;&lt;wsp:rsid wsp:val=&quot;607C5DEE&quot;/&gt;&lt;wsp:rsid wsp:val=&quot;607C641A&quot;/&gt;&lt;wsp:rsid wsp:val=&quot;60807BFF&quot;/&gt;&lt;wsp:rsid wsp:val=&quot;608151BE&quot;/&gt;&lt;wsp:rsid wsp:val=&quot;60822B6A&quot;/&gt;&lt;wsp:rsid wsp:val=&quot;60830691&quot;/&gt;&lt;wsp:rsid wsp:val=&quot;60844B35&quot;/&gt;&lt;wsp:rsid wsp:val=&quot;6085265B&quot;/&gt;&lt;wsp:rsid wsp:val=&quot;60854409&quot;/&gt;&lt;wsp:rsid wsp:val=&quot;60885CA7&quot;/&gt;&lt;wsp:rsid wsp:val=&quot;6089214B&quot;/&gt;&lt;wsp:rsid wsp:val=&quot;608923C4&quot;/&gt;&lt;wsp:rsid wsp:val=&quot;608A06B3&quot;/&gt;&lt;wsp:rsid wsp:val=&quot;608A1A1F&quot;/&gt;&lt;wsp:rsid wsp:val=&quot;608A3882&quot;/&gt;&lt;wsp:rsid wsp:val=&quot;608A427B&quot;/&gt;&lt;wsp:rsid wsp:val=&quot;608C39E9&quot;/&gt;&lt;wsp:rsid wsp:val=&quot;608C5797&quot;/&gt;&lt;wsp:rsid wsp:val=&quot;608D150F&quot;/&gt;&lt;wsp:rsid wsp:val=&quot;608E7761&quot;/&gt;&lt;wsp:rsid wsp:val=&quot;60912DAE&quot;/&gt;&lt;wsp:rsid wsp:val=&quot;60917251&quot;/&gt;&lt;wsp:rsid wsp:val=&quot;60924BE4&quot;/&gt;&lt;wsp:rsid wsp:val=&quot;60934D78&quot;/&gt;&lt;wsp:rsid wsp:val=&quot;6094289E&quot;/&gt;&lt;wsp:rsid wsp:val=&quot;60956D42&quot;/&gt;&lt;wsp:rsid wsp:val=&quot;60964868&quot;/&gt;&lt;wsp:rsid wsp:val=&quot;60966616&quot;/&gt;&lt;wsp:rsid wsp:val=&quot;609741B5&quot;/&gt;&lt;wsp:rsid wsp:val=&quot;6098238E&quot;/&gt;&lt;wsp:rsid wsp:val=&quot;60994DBA&quot;/&gt;&lt;wsp:rsid wsp:val=&quot;60996106&quot;/&gt;&lt;wsp:rsid wsp:val=&quot;609B508E&quot;/&gt;&lt;wsp:rsid wsp:val=&quot;609C5C96&quot;/&gt;&lt;wsp:rsid wsp:val=&quot;609E371C&quot;/&gt;&lt;wsp:rsid wsp:val=&quot;609F196E&quot;/&gt;&lt;wsp:rsid wsp:val=&quot;609F27FF&quot;/&gt;&lt;wsp:rsid wsp:val=&quot;60A01D65&quot;/&gt;&lt;wsp:rsid wsp:val=&quot;60A056E7&quot;/&gt;&lt;wsp:rsid wsp:val=&quot;60A05AA7&quot;/&gt;&lt;wsp:rsid wsp:val=&quot;60A07495&quot;/&gt;&lt;wsp:rsid wsp:val=&quot;60A1148A&quot;/&gt;&lt;wsp:rsid wsp:val=&quot;60A2320D&quot;/&gt;&lt;wsp:rsid wsp:val=&quot;60A46625&quot;/&gt;&lt;wsp:rsid wsp:val=&quot;60A46F85&quot;/&gt;&lt;wsp:rsid wsp:val=&quot;60A56859&quot;/&gt;&lt;wsp:rsid wsp:val=&quot;60A90FEE&quot;/&gt;&lt;wsp:rsid wsp:val=&quot;60A919DB&quot;/&gt;&lt;wsp:rsid wsp:val=&quot;60AA20C1&quot;/&gt;&lt;wsp:rsid wsp:val=&quot;60AC62E9&quot;/&gt;&lt;wsp:rsid wsp:val=&quot;60AD570E&quot;/&gt;&lt;wsp:rsid wsp:val=&quot;60AE1BB1&quot;/&gt;&lt;wsp:rsid wsp:val=&quot;60AF592A&quot;/&gt;&lt;wsp:rsid wsp:val=&quot;60B151FE&quot;/&gt;&lt;wsp:rsid wsp:val=&quot;60B60A66&quot;/&gt;&lt;wsp:rsid wsp:val=&quot;60B62814&quot;/&gt;&lt;wsp:rsid wsp:val=&quot;60B66CB8&quot;/&gt;&lt;wsp:rsid wsp:val=&quot;60B847DE&quot;/&gt;&lt;wsp:rsid wsp:val=&quot;60BA0556&quot;/&gt;&lt;wsp:rsid wsp:val=&quot;60BB607C&quot;/&gt;&lt;wsp:rsid wsp:val=&quot;60BD1DF5&quot;/&gt;&lt;wsp:rsid wsp:val=&quot;60BD3BA3&quot;/&gt;&lt;wsp:rsid wsp:val=&quot;60BE791B&quot;/&gt;&lt;wsp:rsid wsp:val=&quot;60BF3DBF&quot;/&gt;&lt;wsp:rsid wsp:val=&quot;60BF5826&quot;/&gt;&lt;wsp:rsid wsp:val=&quot;60C018E5&quot;/&gt;&lt;wsp:rsid wsp:val=&quot;60C07C62&quot;/&gt;&lt;wsp:rsid wsp:val=&quot;60C22582&quot;/&gt;&lt;wsp:rsid wsp:val=&quot;60C34F31&quot;/&gt;&lt;wsp:rsid wsp:val=&quot;60C44EA2&quot;/&gt;&lt;wsp:rsid wsp:val=&quot;60C703C2&quot;/&gt;&lt;wsp:rsid wsp:val=&quot;60C767CF&quot;/&gt;&lt;wsp:rsid wsp:val=&quot;60CA3479&quot;/&gt;&lt;wsp:rsid wsp:val=&quot;60CA62C0&quot;/&gt;&lt;wsp:rsid wsp:val=&quot;60CB21A4&quot;/&gt;&lt;wsp:rsid wsp:val=&quot;60CC405A&quot;/&gt;&lt;wsp:rsid wsp:val=&quot;60CD6505&quot;/&gt;&lt;wsp:rsid wsp:val=&quot;60CE5DB0&quot;/&gt;&lt;wsp:rsid wsp:val=&quot;60CF38D6&quot;/&gt;&lt;wsp:rsid wsp:val=&quot;60D13B11&quot;/&gt;&lt;wsp:rsid wsp:val=&quot;60D158A0&quot;/&gt;&lt;wsp:rsid wsp:val=&quot;60D1764E&quot;/&gt;&lt;wsp:rsid wsp:val=&quot;60D20D76&quot;/&gt;&lt;wsp:rsid wsp:val=&quot;60D2370C&quot;/&gt;&lt;wsp:rsid wsp:val=&quot;60D31618&quot;/&gt;&lt;wsp:rsid wsp:val=&quot;60D333C6&quot;/&gt;&lt;wsp:rsid wsp:val=&quot;60D550A2&quot;/&gt;&lt;wsp:rsid wsp:val=&quot;60D55390&quot;/&gt;&lt;wsp:rsid wsp:val=&quot;60D73318&quot;/&gt;&lt;wsp:rsid wsp:val=&quot;60D75B37&quot;/&gt;&lt;wsp:rsid wsp:val=&quot;60D809DC&quot;/&gt;&lt;wsp:rsid wsp:val=&quot;60D847A8&quot;/&gt;&lt;wsp:rsid wsp:val=&quot;60DA0BF8&quot;/&gt;&lt;wsp:rsid wsp:val=&quot;60DA2890&quot;/&gt;&lt;wsp:rsid wsp:val=&quot;60DA29A7&quot;/&gt;&lt;wsp:rsid wsp:val=&quot;60DB04CD&quot;/&gt;&lt;wsp:rsid wsp:val=&quot;60DB227B&quot;/&gt;&lt;wsp:rsid wsp:val=&quot;60DD3C0F&quot;/&gt;&lt;wsp:rsid wsp:val=&quot;60DD4245&quot;/&gt;&lt;wsp:rsid wsp:val=&quot;60DD5FF3&quot;/&gt;&lt;wsp:rsid wsp:val=&quot;60E03D35&quot;/&gt;&lt;wsp:rsid wsp:val=&quot;60E05AE3&quot;/&gt;&lt;wsp:rsid wsp:val=&quot;60E2185B&quot;/&gt;&lt;wsp:rsid wsp:val=&quot;60E42D4B&quot;/&gt;&lt;wsp:rsid wsp:val=&quot;60E455D3&quot;/&gt;&lt;wsp:rsid wsp:val=&quot;60E530F9&quot;/&gt;&lt;wsp:rsid wsp:val=&quot;60E750C3&quot;/&gt;&lt;wsp:rsid wsp:val=&quot;60E80369&quot;/&gt;&lt;wsp:rsid wsp:val=&quot;60E92BEA&quot;/&gt;&lt;wsp:rsid wsp:val=&quot;60EA0710&quot;/&gt;&lt;wsp:rsid wsp:val=&quot;60EA6962&quot;/&gt;&lt;wsp:rsid wsp:val=&quot;60EB4BB4&quot;/&gt;&lt;wsp:rsid wsp:val=&quot;60EC6236&quot;/&gt;&lt;wsp:rsid wsp:val=&quot;60ED40AE&quot;/&gt;&lt;wsp:rsid wsp:val=&quot;60EE2705&quot;/&gt;&lt;wsp:rsid wsp:val=&quot;60EE6452&quot;/&gt;&lt;wsp:rsid wsp:val=&quot;60EF5D26&quot;/&gt;&lt;wsp:rsid wsp:val=&quot;60F00BC5&quot;/&gt;&lt;wsp:rsid wsp:val=&quot;60F03F78&quot;/&gt;&lt;wsp:rsid wsp:val=&quot;60F07B25&quot;/&gt;&lt;wsp:rsid wsp:val=&quot;60F11A9E&quot;/&gt;&lt;wsp:rsid wsp:val=&quot;60F24707&quot;/&gt;&lt;wsp:rsid wsp:val=&quot;60F313B0&quot;/&gt;&lt;wsp:rsid wsp:val=&quot;60F33A68&quot;/&gt;&lt;wsp:rsid wsp:val=&quot;60F34B13&quot;/&gt;&lt;wsp:rsid wsp:val=&quot;60F375C4&quot;/&gt;&lt;wsp:rsid wsp:val=&quot;60F4333C&quot;/&gt;&lt;wsp:rsid wsp:val=&quot;60F5158E&quot;/&gt;&lt;wsp:rsid wsp:val=&quot;60F63558&quot;/&gt;&lt;wsp:rsid wsp:val=&quot;60F664B8&quot;/&gt;&lt;wsp:rsid wsp:val=&quot;60F670B5&quot;/&gt;&lt;wsp:rsid wsp:val=&quot;60F730F7&quot;/&gt;&lt;wsp:rsid wsp:val=&quot;60F8107F&quot;/&gt;&lt;wsp:rsid wsp:val=&quot;60FA6BA5&quot;/&gt;&lt;wsp:rsid wsp:val=&quot;60FB291D&quot;/&gt;&lt;wsp:rsid wsp:val=&quot;60FD6695&quot;/&gt;&lt;wsp:rsid wsp:val=&quot;60FE64C3&quot;/&gt;&lt;wsp:rsid wsp:val=&quot;61023CAB&quot;/&gt;&lt;wsp:rsid wsp:val=&quot;61073070&quot;/&gt;&lt;wsp:rsid wsp:val=&quot;61077514&quot;/&gt;&lt;wsp:rsid wsp:val=&quot;61096DE8&quot;/&gt;&lt;wsp:rsid wsp:val=&quot;610A2B60&quot;/&gt;&lt;wsp:rsid wsp:val=&quot;610B0DB2&quot;/&gt;&lt;wsp:rsid wsp:val=&quot;610B0F9A&quot;/&gt;&lt;wsp:rsid wsp:val=&quot;610B4DAD&quot;/&gt;&lt;wsp:rsid wsp:val=&quot;610C0686&quot;/&gt;&lt;wsp:rsid wsp:val=&quot;610C3698&quot;/&gt;&lt;wsp:rsid wsp:val=&quot;610C68D8&quot;/&gt;&lt;wsp:rsid wsp:val=&quot;610F75D9&quot;/&gt;&lt;wsp:rsid wsp:val=&quot;611063C8&quot;/&gt;&lt;wsp:rsid wsp:val=&quot;61112140&quot;/&gt;&lt;wsp:rsid wsp:val=&quot;61113EEE&quot;/&gt;&lt;wsp:rsid wsp:val=&quot;61131A15&quot;/&gt;&lt;wsp:rsid wsp:val=&quot;61151C31&quot;/&gt;&lt;wsp:rsid wsp:val=&quot;61152F7C&quot;/&gt;&lt;wsp:rsid wsp:val=&quot;611834CF&quot;/&gt;&lt;wsp:rsid wsp:val=&quot;611D6D37&quot;/&gt;&lt;wsp:rsid wsp:val=&quot;611F27A3&quot;/&gt;&lt;wsp:rsid wsp:val=&quot;612105D5&quot;/&gt;&lt;wsp:rsid wsp:val=&quot;61226A41&quot;/&gt;&lt;wsp:rsid wsp:val=&quot;61241E74&quot;/&gt;&lt;wsp:rsid wsp:val=&quot;6126423F&quot;/&gt;&lt;wsp:rsid wsp:val=&quot;61273712&quot;/&gt;&lt;wsp:rsid wsp:val=&quot;61291238&quot;/&gt;&lt;wsp:rsid wsp:val=&quot;612B3202&quot;/&gt;&lt;wsp:rsid wsp:val=&quot;612C0D28&quot;/&gt;&lt;wsp:rsid wsp:val=&quot;612C6F7A&quot;/&gt;&lt;wsp:rsid wsp:val=&quot;61300818&quot;/&gt;&lt;wsp:rsid wsp:val=&quot;61304D5B&quot;/&gt;&lt;wsp:rsid wsp:val=&quot;6131379E&quot;/&gt;&lt;wsp:rsid wsp:val=&quot;61330105&quot;/&gt;&lt;wsp:rsid wsp:val=&quot;613320B7&quot;/&gt;&lt;wsp:rsid wsp:val=&quot;613528A4&quot;/&gt;&lt;wsp:rsid wsp:val=&quot;61354081&quot;/&gt;&lt;wsp:rsid wsp:val=&quot;61355E2F&quot;/&gt;&lt;wsp:rsid wsp:val=&quot;61363955&quot;/&gt;&lt;wsp:rsid wsp:val=&quot;61371BA7&quot;/&gt;&lt;wsp:rsid wsp:val=&quot;613A3445&quot;/&gt;&lt;wsp:rsid wsp:val=&quot;613C71BD&quot;/&gt;&lt;wsp:rsid wsp:val=&quot;613D2F35&quot;/&gt;&lt;wsp:rsid wsp:val=&quot;613F6CAD&quot;/&gt;&lt;wsp:rsid wsp:val=&quot;61412A26&quot;/&gt;&lt;wsp:rsid wsp:val=&quot;614442C4&quot;/&gt;&lt;wsp:rsid wsp:val=&quot;61475B62&quot;/&gt;&lt;wsp:rsid wsp:val=&quot;61477910&quot;/&gt;&lt;wsp:rsid wsp:val=&quot;61493688&quot;/&gt;&lt;wsp:rsid wsp:val=&quot;614C3178&quot;/&gt;&lt;wsp:rsid wsp:val=&quot;614C4F26&quot;/&gt;&lt;wsp:rsid wsp:val=&quot;614D0B2B&quot;/&gt;&lt;wsp:rsid wsp:val=&quot;614E5143&quot;/&gt;&lt;wsp:rsid wsp:val=&quot;61502C69&quot;/&gt;&lt;wsp:rsid wsp:val=&quot;6151078F&quot;/&gt;&lt;wsp:rsid wsp:val=&quot;6151253D&quot;/&gt;&lt;wsp:rsid wsp:val=&quot;61534507&quot;/&gt;&lt;wsp:rsid wsp:val=&quot;6155027F&quot;/&gt;&lt;wsp:rsid wsp:val=&quot;61572249&quot;/&gt;&lt;wsp:rsid wsp:val=&quot;61573FF7&quot;/&gt;&lt;wsp:rsid wsp:val=&quot;615838CB&quot;/&gt;&lt;wsp:rsid wsp:val=&quot;61587D6F&quot;/&gt;&lt;wsp:rsid wsp:val=&quot;6159055E&quot;/&gt;&lt;wsp:rsid wsp:val=&quot;615B69F6&quot;/&gt;&lt;wsp:rsid wsp:val=&quot;615D5386&quot;/&gt;&lt;wsp:rsid wsp:val=&quot;615D7134&quot;/&gt;&lt;wsp:rsid wsp:val=&quot;615E35D8&quot;/&gt;&lt;wsp:rsid wsp:val=&quot;61607856&quot;/&gt;&lt;wsp:rsid wsp:val=&quot;616109D2&quot;/&gt;&lt;wsp:rsid wsp:val=&quot;61616C24&quot;/&gt;&lt;wsp:rsid wsp:val=&quot;61620180&quot;/&gt;&lt;wsp:rsid wsp:val=&quot;6162474A&quot;/&gt;&lt;wsp:rsid wsp:val=&quot;616606D1&quot;/&gt;&lt;wsp:rsid wsp:val=&quot;6166324A&quot;/&gt;&lt;wsp:rsid wsp:val=&quot;6166423A&quot;/&gt;&lt;wsp:rsid wsp:val=&quot;61667493&quot;/&gt;&lt;wsp:rsid wsp:val=&quot;61672B62&quot;/&gt;&lt;wsp:rsid wsp:val=&quot;61695AD8&quot;/&gt;&lt;wsp:rsid wsp:val=&quot;616B1851&quot;/&gt;&lt;wsp:rsid wsp:val=&quot;616C7377&quot;/&gt;&lt;wsp:rsid wsp:val=&quot;616E1341&quot;/&gt;&lt;wsp:rsid wsp:val=&quot;616F65A9&quot;/&gt;&lt;wsp:rsid wsp:val=&quot;6170330B&quot;/&gt;&lt;wsp:rsid wsp:val=&quot;61706E67&quot;/&gt;&lt;wsp:rsid wsp:val=&quot;61750921&quot;/&gt;&lt;wsp:rsid wsp:val=&quot;617701F5&quot;/&gt;&lt;wsp:rsid wsp:val=&quot;61785D1C&quot;/&gt;&lt;wsp:rsid wsp:val=&quot;617D4D88&quot;/&gt;&lt;wsp:rsid wsp:val=&quot;617F6000&quot;/&gt;&lt;wsp:rsid wsp:val=&quot;617F70AA&quot;/&gt;&lt;wsp:rsid wsp:val=&quot;61826B9A&quot;/&gt;&lt;wsp:rsid wsp:val=&quot;61834DEC&quot;/&gt;&lt;wsp:rsid wsp:val=&quot;61840B64&quot;/&gt;&lt;wsp:rsid wsp:val=&quot;618648DC&quot;/&gt;&lt;wsp:rsid wsp:val=&quot;6186668A&quot;/&gt;&lt;wsp:rsid wsp:val=&quot;61872477&quot;/&gt;&lt;wsp:rsid wsp:val=&quot;618748BD&quot;/&gt;&lt;wsp:rsid wsp:val=&quot;6189617B&quot;/&gt;&lt;wsp:rsid wsp:val=&quot;6189763D&quot;/&gt;&lt;wsp:rsid wsp:val=&quot;618B1E56&quot;/&gt;&lt;wsp:rsid wsp:val=&quot;618D744E&quot;/&gt;&lt;wsp:rsid wsp:val=&quot;618E2A59&quot;/&gt;&lt;wsp:rsid wsp:val=&quot;618E3791&quot;/&gt;&lt;wsp:rsid wsp:val=&quot;618F19E3&quot;/&gt;&lt;wsp:rsid wsp:val=&quot;61907509&quot;/&gt;&lt;wsp:rsid wsp:val=&quot;61921A34&quot;/&gt;&lt;wsp:rsid wsp:val=&quot;619306EF&quot;/&gt;&lt;wsp:rsid wsp:val=&quot;61930DA7&quot;/&gt;&lt;wsp:rsid wsp:val=&quot;61954B1F&quot;/&gt;&lt;wsp:rsid wsp:val=&quot;61963666&quot;/&gt;&lt;wsp:rsid wsp:val=&quot;619667CA&quot;/&gt;&lt;wsp:rsid wsp:val=&quot;61970898&quot;/&gt;&lt;wsp:rsid wsp:val=&quot;619743F4&quot;/&gt;&lt;wsp:rsid wsp:val=&quot;619863BE&quot;/&gt;&lt;wsp:rsid wsp:val=&quot;619A2136&quot;/&gt;&lt;wsp:rsid wsp:val=&quot;619A2D73&quot;/&gt;&lt;wsp:rsid wsp:val=&quot;619A3EE4&quot;/&gt;&lt;wsp:rsid wsp:val=&quot;619B3FD0&quot;/&gt;&lt;wsp:rsid wsp:val=&quot;619C1A0A&quot;/&gt;&lt;wsp:rsid wsp:val=&quot;619D5782&quot;/&gt;&lt;wsp:rsid wsp:val=&quot;619F2ADA&quot;/&gt;&lt;wsp:rsid wsp:val=&quot;619F599E&quot;/&gt;&lt;wsp:rsid wsp:val=&quot;619F774C&quot;/&gt;&lt;wsp:rsid wsp:val=&quot;61A30FEA&quot;/&gt;&lt;wsp:rsid wsp:val=&quot;61A34870&quot;/&gt;&lt;wsp:rsid wsp:val=&quot;61A3723C&quot;/&gt;&lt;wsp:rsid wsp:val=&quot;61A46B11&quot;/&gt;&lt;wsp:rsid wsp:val=&quot;61B01959&quot;/&gt;&lt;wsp:rsid wsp:val=&quot;61B03707&quot;/&gt;&lt;wsp:rsid wsp:val=&quot;61B17A3F&quot;/&gt;&lt;wsp:rsid wsp:val=&quot;61B2122D&quot;/&gt;&lt;wsp:rsid wsp:val=&quot;61B336CF&quot;/&gt;&lt;wsp:rsid wsp:val=&quot;61B50D1E&quot;/&gt;&lt;wsp:rsid wsp:val=&quot;61B551C2&quot;/&gt;&lt;wsp:rsid wsp:val=&quot;61B56F70&quot;/&gt;&lt;wsp:rsid wsp:val=&quot;61B72CE8&quot;/&gt;&lt;wsp:rsid wsp:val=&quot;61B80F7A&quot;/&gt;&lt;wsp:rsid wsp:val=&quot;61B9080E&quot;/&gt;&lt;wsp:rsid wsp:val=&quot;61B96A60&quot;/&gt;&lt;wsp:rsid wsp:val=&quot;61BA27D8&quot;/&gt;&lt;wsp:rsid wsp:val=&quot;61BA4586&quot;/&gt;&lt;wsp:rsid wsp:val=&quot;61BA6334&quot;/&gt;&lt;wsp:rsid wsp:val=&quot;61BC02FE&quot;/&gt;&lt;wsp:rsid wsp:val=&quot;61BC24CC&quot;/&gt;&lt;wsp:rsid wsp:val=&quot;61BD7BD2&quot;/&gt;&lt;wsp:rsid wsp:val=&quot;61BE4076&quot;/&gt;&lt;wsp:rsid wsp:val=&quot;61C0178A&quot;/&gt;&lt;wsp:rsid wsp:val=&quot;61C15914&quot;/&gt;&lt;wsp:rsid wsp:val=&quot;61C176C2&quot;/&gt;&lt;wsp:rsid wsp:val=&quot;61C251E9&quot;/&gt;&lt;wsp:rsid wsp:val=&quot;61C3343B&quot;/&gt;&lt;wsp:rsid wsp:val=&quot;61C40F61&quot;/&gt;&lt;wsp:rsid wsp:val=&quot;61C5764C&quot;/&gt;&lt;wsp:rsid wsp:val=&quot;61C62F2B&quot;/&gt;&lt;wsp:rsid wsp:val=&quot;61C8409B&quot;/&gt;&lt;wsp:rsid wsp:val=&quot;61C86CA3&quot;/&gt;&lt;wsp:rsid wsp:val=&quot;61C96577&quot;/&gt;&lt;wsp:rsid wsp:val=&quot;61CA5CBF&quot;/&gt;&lt;wsp:rsid wsp:val=&quot;61CA657B&quot;/&gt;&lt;wsp:rsid wsp:val=&quot;61CB6793&quot;/&gt;&lt;wsp:rsid wsp:val=&quot;61CF0031&quot;/&gt;&lt;wsp:rsid wsp:val=&quot;61D11B21&quot;/&gt;&lt;wsp:rsid wsp:val=&quot;61D218D0&quot;/&gt;&lt;wsp:rsid wsp:val=&quot;61D27B22&quot;/&gt;&lt;wsp:rsid wsp:val=&quot;61D4389A&quot;/&gt;&lt;wsp:rsid wsp:val=&quot;61D54F1C&quot;/&gt;&lt;wsp:rsid wsp:val=&quot;61D6007B&quot;/&gt;&lt;wsp:rsid wsp:val=&quot;61D90EB0&quot;/&gt;&lt;wsp:rsid wsp:val=&quot;61D94A0C&quot;/&gt;&lt;wsp:rsid wsp:val=&quot;61E00186&quot;/&gt;&lt;wsp:rsid wsp:val=&quot;61E17D65&quot;/&gt;&lt;wsp:rsid wsp:val=&quot;61E215D8&quot;/&gt;&lt;wsp:rsid wsp:val=&quot;61E6537B&quot;/&gt;&lt;wsp:rsid wsp:val=&quot;61E84C4F&quot;/&gt;&lt;wsp:rsid wsp:val=&quot;61EB2991&quot;/&gt;&lt;wsp:rsid wsp:val=&quot;61EB473F&quot;/&gt;&lt;wsp:rsid wsp:val=&quot;61EC7CB3&quot;/&gt;&lt;wsp:rsid wsp:val=&quot;61ED04B8&quot;/&gt;&lt;wsp:rsid wsp:val=&quot;61ED12FA&quot;/&gt;&lt;wsp:rsid wsp:val=&quot;61EE237D&quot;/&gt;&lt;wsp:rsid wsp:val=&quot;61EF4230&quot;/&gt;&lt;wsp:rsid wsp:val=&quot;61EF4C53&quot;/&gt;&lt;wsp:rsid wsp:val=&quot;61F2259B&quot;/&gt;&lt;wsp:rsid wsp:val=&quot;61F335F4&quot;/&gt;&lt;wsp:rsid wsp:val=&quot;61F33CE1&quot;/&gt;&lt;wsp:rsid wsp:val=&quot;61F44EBB&quot;/&gt;&lt;wsp:rsid wsp:val=&quot;61F53810&quot;/&gt;&lt;wsp:rsid wsp:val=&quot;61F71336&quot;/&gt;&lt;wsp:rsid wsp:val=&quot;61F730E4&quot;/&gt;&lt;wsp:rsid wsp:val=&quot;61F93300&quot;/&gt;&lt;wsp:rsid wsp:val=&quot;61F95704&quot;/&gt;&lt;wsp:rsid wsp:val=&quot;61FA2BD4&quot;/&gt;&lt;wsp:rsid wsp:val=&quot;61FA4982&quot;/&gt;&lt;wsp:rsid wsp:val=&quot;61FB21BD&quot;/&gt;&lt;wsp:rsid wsp:val=&quot;61FB4D8E&quot;/&gt;&lt;wsp:rsid wsp:val=&quot;61FC622B&quot;/&gt;&lt;wsp:rsid wsp:val=&quot;62045801&quot;/&gt;&lt;wsp:rsid wsp:val=&quot;62053A53&quot;/&gt;&lt;wsp:rsid wsp:val=&quot;62092E18&quot;/&gt;&lt;wsp:rsid wsp:val=&quot;620A1069&quot;/&gt;&lt;wsp:rsid wsp:val=&quot;620B2183&quot;/&gt;&lt;wsp:rsid wsp:val=&quot;620B41EB&quot;/&gt;&lt;wsp:rsid wsp:val=&quot;620C3034&quot;/&gt;&lt;wsp:rsid wsp:val=&quot;620C5D12&quot;/&gt;&lt;wsp:rsid wsp:val=&quot;620D0B5A&quot;/&gt;&lt;wsp:rsid wsp:val=&quot;620F48D2&quot;/&gt;&lt;wsp:rsid wsp:val=&quot;62141908&quot;/&gt;&lt;wsp:rsid wsp:val=&quot;62141EE8&quot;/&gt;&lt;wsp:rsid wsp:val=&quot;62143C96&quot;/&gt;&lt;wsp:rsid wsp:val=&quot;621517BC&quot;/&gt;&lt;wsp:rsid wsp:val=&quot;62165C60&quot;/&gt;&lt;wsp:rsid wsp:val=&quot;621718F7&quot;/&gt;&lt;wsp:rsid wsp:val=&quot;62173786&quot;/&gt;&lt;wsp:rsid wsp:val=&quot;621842B5&quot;/&gt;&lt;wsp:rsid wsp:val=&quot;62195750&quot;/&gt;&lt;wsp:rsid wsp:val=&quot;621B3775&quot;/&gt;&lt;wsp:rsid wsp:val=&quot;621D41B6&quot;/&gt;&lt;wsp:rsid wsp:val=&quot;621E4B15&quot;/&gt;&lt;wsp:rsid wsp:val=&quot;621E68C3&quot;/&gt;&lt;wsp:rsid wsp:val=&quot;621F43E9&quot;/&gt;&lt;wsp:rsid wsp:val=&quot;6220088D&quot;/&gt;&lt;wsp:rsid wsp:val=&quot;6220263B&quot;/&gt;&lt;wsp:rsid wsp:val=&quot;62206ADF&quot;/&gt;&lt;wsp:rsid wsp:val=&quot;622163B3&quot;/&gt;&lt;wsp:rsid wsp:val=&quot;622201F3&quot;/&gt;&lt;wsp:rsid wsp:val=&quot;62226E43&quot;/&gt;&lt;wsp:rsid wsp:val=&quot;62227C87&quot;/&gt;&lt;wsp:rsid wsp:val=&quot;6223037D&quot;/&gt;&lt;wsp:rsid wsp:val=&quot;62231F9D&quot;/&gt;&lt;wsp:rsid wsp:val=&quot;6223212B&quot;/&gt;&lt;wsp:rsid wsp:val=&quot;62257C51&quot;/&gt;&lt;wsp:rsid wsp:val=&quot;62261C1B&quot;/&gt;&lt;wsp:rsid wsp:val=&quot;62265778&quot;/&gt;&lt;wsp:rsid wsp:val=&quot;62266801&quot;/&gt;&lt;wsp:rsid wsp:val=&quot;622814F0&quot;/&gt;&lt;wsp:rsid wsp:val=&quot;622A34BA&quot;/&gt;&lt;wsp:rsid wsp:val=&quot;622C2AF7&quot;/&gt;&lt;wsp:rsid wsp:val=&quot;622D2FAA&quot;/&gt;&lt;wsp:rsid wsp:val=&quot;622D6B06&quot;/&gt;&lt;wsp:rsid wsp:val=&quot;622F0AD0&quot;/&gt;&lt;wsp:rsid wsp:val=&quot;622F287E&quot;/&gt;&lt;wsp:rsid wsp:val=&quot;622F6D22&quot;/&gt;&lt;wsp:rsid wsp:val=&quot;623065F6&quot;/&gt;&lt;wsp:rsid wsp:val=&quot;623600B0&quot;/&gt;&lt;wsp:rsid wsp:val=&quot;62360F7F&quot;/&gt;&lt;wsp:rsid wsp:val=&quot;62364782&quot;/&gt;&lt;wsp:rsid wsp:val=&quot;62377985&quot;/&gt;&lt;wsp:rsid wsp:val=&quot;6239194F&quot;/&gt;&lt;wsp:rsid wsp:val=&quot;62392789&quot;/&gt;&lt;wsp:rsid wsp:val=&quot;623936FD&quot;/&gt;&lt;wsp:rsid wsp:val=&quot;623954AB&quot;/&gt;&lt;wsp:rsid wsp:val=&quot;62397BA1&quot;/&gt;&lt;wsp:rsid wsp:val=&quot;623A0D90&quot;/&gt;&lt;wsp:rsid wsp:val=&quot;623E51B7&quot;/&gt;&lt;wsp:rsid wsp:val=&quot;623E6F65&quot;/&gt;&lt;wsp:rsid wsp:val=&quot;623F6839&quot;/&gt;&lt;wsp:rsid wsp:val=&quot;6240165B&quot;/&gt;&lt;wsp:rsid wsp:val=&quot;62404A8B&quot;/&gt;&lt;wsp:rsid wsp:val=&quot;624520A2&quot;/&gt;&lt;wsp:rsid wsp:val=&quot;62457B6A&quot;/&gt;&lt;wsp:rsid wsp:val=&quot;62465E1A&quot;/&gt;&lt;wsp:rsid wsp:val=&quot;62471F04&quot;/&gt;&lt;wsp:rsid wsp:val=&quot;6247406C&quot;/&gt;&lt;wsp:rsid wsp:val=&quot;624A590A&quot;/&gt;&lt;wsp:rsid wsp:val=&quot;624B7144&quot;/&gt;&lt;wsp:rsid wsp:val=&quot;624C31A5&quot;/&gt;&lt;wsp:rsid wsp:val=&quot;624D3FDD&quot;/&gt;&lt;wsp:rsid wsp:val=&quot;624D53FA&quot;/&gt;&lt;wsp:rsid wsp:val=&quot;624F1B26&quot;/&gt;&lt;wsp:rsid wsp:val=&quot;62515B87&quot;/&gt;&lt;wsp:rsid wsp:val=&quot;625255ED&quot;/&gt;&lt;wsp:rsid wsp:val=&quot;6252656D&quot;/&gt;&lt;wsp:rsid wsp:val=&quot;62540537&quot;/&gt;&lt;wsp:rsid wsp:val=&quot;62555001&quot;/&gt;&lt;wsp:rsid wsp:val=&quot;62570027&quot;/&gt;&lt;wsp:rsid wsp:val=&quot;625702B8&quot;/&gt;&lt;wsp:rsid wsp:val=&quot;62571DD5&quot;/&gt;&lt;wsp:rsid wsp:val=&quot;625966A2&quot;/&gt;&lt;wsp:rsid wsp:val=&quot;625B7B17&quot;/&gt;&lt;wsp:rsid wsp:val=&quot;625C563D&quot;/&gt;&lt;wsp:rsid wsp:val=&quot;625D388F&quot;/&gt;&lt;wsp:rsid wsp:val=&quot;625E3163&quot;/&gt;&lt;wsp:rsid wsp:val=&quot;625E55BA&quot;/&gt;&lt;wsp:rsid wsp:val=&quot;6260512D&quot;/&gt;&lt;wsp:rsid wsp:val=&quot;626224BF&quot;/&gt;&lt;wsp:rsid wsp:val=&quot;626253CB&quot;/&gt;&lt;wsp:rsid wsp:val=&quot;62634C1E&quot;/&gt;&lt;wsp:rsid wsp:val=&quot;6267026A&quot;/&gt;&lt;wsp:rsid wsp:val=&quot;626744AF&quot;/&gt;&lt;wsp:rsid wsp:val=&quot;62677DAD&quot;/&gt;&lt;wsp:rsid wsp:val=&quot;62682234&quot;/&gt;&lt;wsp:rsid wsp:val=&quot;626C3AD2&quot;/&gt;&lt;wsp:rsid wsp:val=&quot;626C5880&quot;/&gt;&lt;wsp:rsid wsp:val=&quot;626D15F8&quot;/&gt;&lt;wsp:rsid wsp:val=&quot;62704626&quot;/&gt;&lt;wsp:rsid wsp:val=&quot;627110E9&quot;/&gt;&lt;wsp:rsid wsp:val=&quot;62724E61&quot;/&gt;&lt;wsp:rsid wsp:val=&quot;62726C0F&quot;/&gt;&lt;wsp:rsid wsp:val=&quot;62732B60&quot;/&gt;&lt;wsp:rsid wsp:val=&quot;62740BD9&quot;/&gt;&lt;wsp:rsid wsp:val=&quot;62775FD3&quot;/&gt;&lt;wsp:rsid wsp:val=&quot;62776161&quot;/&gt;&lt;wsp:rsid wsp:val=&quot;62791D4B&quot;/&gt;&lt;wsp:rsid wsp:val=&quot;62797F9D&quot;/&gt;&lt;wsp:rsid wsp:val=&quot;627B2649&quot;/&gt;&lt;wsp:rsid wsp:val=&quot;627D432D&quot;/&gt;&lt;wsp:rsid wsp:val=&quot;628030DA&quot;/&gt;&lt;wsp:rsid wsp:val=&quot;6280757E&quot;/&gt;&lt;wsp:rsid wsp:val=&quot;62811AFD&quot;/&gt;&lt;wsp:rsid wsp:val=&quot;6283706E&quot;/&gt;&lt;wsp:rsid wsp:val=&quot;628726BA&quot;/&gt;&lt;wsp:rsid wsp:val=&quot;62894684&quot;/&gt;&lt;wsp:rsid wsp:val=&quot;628A3147&quot;/&gt;&lt;wsp:rsid wsp:val=&quot;628C1A7E&quot;/&gt;&lt;wsp:rsid wsp:val=&quot;628C5F22&quot;/&gt;&lt;wsp:rsid wsp:val=&quot;628D3A49&quot;/&gt;&lt;wsp:rsid wsp:val=&quot;628E2F58&quot;/&gt;&lt;wsp:rsid wsp:val=&quot;628F156F&quot;/&gt;&lt;wsp:rsid wsp:val=&quot;629152E7&quot;/&gt;&lt;wsp:rsid wsp:val=&quot;6292105F&quot;/&gt;&lt;wsp:rsid wsp:val=&quot;62922E0D&quot;/&gt;&lt;wsp:rsid wsp:val=&quot;62950A77&quot;/&gt;&lt;wsp:rsid wsp:val=&quot;62953FE3&quot;/&gt;&lt;wsp:rsid wsp:val=&quot;62960B4F&quot;/&gt;&lt;wsp:rsid wsp:val=&quot;62970423&quot;/&gt;&lt;wsp:rsid wsp:val=&quot;62976675&quot;/&gt;&lt;wsp:rsid wsp:val=&quot;629923ED&quot;/&gt;&lt;wsp:rsid wsp:val=&quot;629A2C3C&quot;/&gt;&lt;wsp:rsid wsp:val=&quot;629B4C6D&quot;/&gt;&lt;wsp:rsid wsp:val=&quot;629D15BD&quot;/&gt;&lt;wsp:rsid wsp:val=&quot;629D2462&quot;/&gt;&lt;wsp:rsid wsp:val=&quot;629E1CF3&quot;/&gt;&lt;wsp:rsid wsp:val=&quot;629E52B8&quot;/&gt;&lt;wsp:rsid wsp:val=&quot;62A0552A&quot;/&gt;&lt;wsp:rsid wsp:val=&quot;62A212A2&quot;/&gt;&lt;wsp:rsid wsp:val=&quot;62A25746&quot;/&gt;&lt;wsp:rsid wsp:val=&quot;62A3326C&quot;/&gt;&lt;wsp:rsid wsp:val=&quot;62A3501A&quot;/&gt;&lt;wsp:rsid wsp:val=&quot;62A36DC8&quot;/&gt;&lt;wsp:rsid wsp:val=&quot;62A4089F&quot;/&gt;&lt;wsp:rsid wsp:val=&quot;62A50D92&quot;/&gt;&lt;wsp:rsid wsp:val=&quot;62A5630D&quot;/&gt;&lt;wsp:rsid wsp:val=&quot;62A57D4F&quot;/&gt;&lt;wsp:rsid wsp:val=&quot;62A73AFF&quot;/&gt;&lt;wsp:rsid wsp:val=&quot;62A74B0A&quot;/&gt;&lt;wsp:rsid wsp:val=&quot;62A768B8&quot;/&gt;&lt;wsp:rsid wsp:val=&quot;62A96AD4&quot;/&gt;&lt;wsp:rsid wsp:val=&quot;62AA0157&quot;/&gt;&lt;wsp:rsid wsp:val=&quot;62AA63A9&quot;/&gt;&lt;wsp:rsid wsp:val=&quot;62AB5051&quot;/&gt;&lt;wsp:rsid wsp:val=&quot;62AB5B07&quot;/&gt;&lt;wsp:rsid wsp:val=&quot;62AC2121&quot;/&gt;&lt;wsp:rsid wsp:val=&quot;62AE0E01&quot;/&gt;&lt;wsp:rsid wsp:val=&quot;62AE40EB&quot;/&gt;&lt;wsp:rsid wsp:val=&quot;62AF39BF&quot;/&gt;&lt;wsp:rsid wsp:val=&quot;62B1428E&quot;/&gt;&lt;wsp:rsid wsp:val=&quot;62B34B26&quot;/&gt;&lt;wsp:rsid wsp:val=&quot;62B45479&quot;/&gt;&lt;wsp:rsid wsp:val=&quot;62B47227&quot;/&gt;&lt;wsp:rsid wsp:val=&quot;62B611F1&quot;/&gt;&lt;wsp:rsid wsp:val=&quot;62BC7E8A&quot;/&gt;&lt;wsp:rsid wsp:val=&quot;62BD3DDA&quot;/&gt;&lt;wsp:rsid wsp:val=&quot;62BD432E&quot;/&gt;&lt;wsp:rsid wsp:val=&quot;62BD60DC&quot;/&gt;&lt;wsp:rsid wsp:val=&quot;62BF00A6&quot;/&gt;&lt;wsp:rsid wsp:val=&quot;62C03E1E&quot;/&gt;&lt;wsp:rsid wsp:val=&quot;62C0797A&quot;/&gt;&lt;wsp:rsid wsp:val=&quot;62C332D8&quot;/&gt;&lt;wsp:rsid wsp:val=&quot;62C43D91&quot;/&gt;&lt;wsp:rsid wsp:val=&quot;62C456BC&quot;/&gt;&lt;wsp:rsid wsp:val=&quot;62C51434&quot;/&gt;&lt;wsp:rsid wsp:val=&quot;62C54F90&quot;/&gt;&lt;wsp:rsid wsp:val=&quot;62C84C3C&quot;/&gt;&lt;wsp:rsid wsp:val=&quot;62CA05DA&quot;/&gt;&lt;wsp:rsid wsp:val=&quot;62CA07F9&quot;/&gt;&lt;wsp:rsid wsp:val=&quot;62CA6A4B&quot;/&gt;&lt;wsp:rsid wsp:val=&quot;62CC27C3&quot;/&gt;&lt;wsp:rsid wsp:val=&quot;62CD70A4&quot;/&gt;&lt;wsp:rsid wsp:val=&quot;62CE090B&quot;/&gt;&lt;wsp:rsid wsp:val=&quot;62CE653B&quot;/&gt;&lt;wsp:rsid wsp:val=&quot;62CF4061&quot;/&gt;&lt;wsp:rsid wsp:val=&quot;62CF7BBD&quot;/&gt;&lt;wsp:rsid wsp:val=&quot;62D11B87&quot;/&gt;&lt;wsp:rsid wsp:val=&quot;62D12A63&quot;/&gt;&lt;wsp:rsid wsp:val=&quot;62D13935&quot;/&gt;&lt;wsp:rsid wsp:val=&quot;62D13BE4&quot;/&gt;&lt;wsp:rsid wsp:val=&quot;62D358FF&quot;/&gt;&lt;wsp:rsid wsp:val=&quot;62D43425&quot;/&gt;&lt;wsp:rsid wsp:val=&quot;62DA4EE0&quot;/&gt;&lt;wsp:rsid wsp:val=&quot;62DB0C58&quot;/&gt;&lt;wsp:rsid wsp:val=&quot;62DB2A06&quot;/&gt;&lt;wsp:rsid wsp:val=&quot;62DD22DA&quot;/&gt;&lt;wsp:rsid wsp:val=&quot;62DD657A&quot;/&gt;&lt;wsp:rsid wsp:val=&quot;62DD677E&quot;/&gt;&lt;wsp:rsid wsp:val=&quot;62DD7F00&quot;/&gt;&lt;wsp:rsid wsp:val=&quot;62DE42A4&quot;/&gt;&lt;wsp:rsid wsp:val=&quot;62DF24F6&quot;/&gt;&lt;wsp:rsid wsp:val=&quot;62E25B42&quot;/&gt;&lt;wsp:rsid wsp:val=&quot;62E32561&quot;/&gt;&lt;wsp:rsid wsp:val=&quot;62E33669&quot;/&gt;&lt;wsp:rsid wsp:val=&quot;62E418BB&quot;/&gt;&lt;wsp:rsid wsp:val=&quot;62E47B0C&quot;/&gt;&lt;wsp:rsid wsp:val=&quot;62E53885&quot;/&gt;&lt;wsp:rsid wsp:val=&quot;62E6028B&quot;/&gt;&lt;wsp:rsid wsp:val=&quot;62E713AB&quot;/&gt;&lt;wsp:rsid wsp:val=&quot;62E71689&quot;/&gt;&lt;wsp:rsid wsp:val=&quot;62E73159&quot;/&gt;&lt;wsp:rsid wsp:val=&quot;62E94565&quot;/&gt;&lt;wsp:rsid wsp:val=&quot;62E95123&quot;/&gt;&lt;wsp:rsid wsp:val=&quot;62E95A0A&quot;/&gt;&lt;wsp:rsid wsp:val=&quot;62EA0E9B&quot;/&gt;&lt;wsp:rsid wsp:val=&quot;62EA49F7&quot;/&gt;&lt;wsp:rsid wsp:val=&quot;62EC076F&quot;/&gt;&lt;wsp:rsid wsp:val=&quot;62EC69C1&quot;/&gt;&lt;wsp:rsid wsp:val=&quot;62EE098B&quot;/&gt;&lt;wsp:rsid wsp:val=&quot;62EF0E65&quot;/&gt;&lt;wsp:rsid wsp:val=&quot;62EF1E79&quot;/&gt;&lt;wsp:rsid wsp:val=&quot;62EF200D&quot;/&gt;&lt;wsp:rsid wsp:val=&quot;62EF2532&quot;/&gt;&lt;wsp:rsid wsp:val=&quot;62F04EC6&quot;/&gt;&lt;wsp:rsid wsp:val=&quot;62F0766A&quot;/&gt;&lt;wsp:rsid wsp:val=&quot;62F13FD7&quot;/&gt;&lt;wsp:rsid wsp:val=&quot;62F16356&quot;/&gt;&lt;wsp:rsid wsp:val=&quot;62F615EE&quot;/&gt;&lt;wsp:rsid wsp:val=&quot;62F6339C&quot;/&gt;&lt;wsp:rsid wsp:val=&quot;62F72908&quot;/&gt;&lt;wsp:rsid wsp:val=&quot;62F92E8C&quot;/&gt;&lt;wsp:rsid wsp:val=&quot;62F93315&quot;/&gt;&lt;wsp:rsid wsp:val=&quot;62FA7330&quot;/&gt;&lt;wsp:rsid wsp:val=&quot;62FD0BCE&quot;/&gt;&lt;wsp:rsid wsp:val=&quot;62FD297C&quot;/&gt;&lt;wsp:rsid wsp:val=&quot;62FF66F4&quot;/&gt;&lt;wsp:rsid wsp:val=&quot;630006BE&quot;/&gt;&lt;wsp:rsid wsp:val=&quot;63021D41&quot;/&gt;&lt;wsp:rsid wsp:val=&quot;63043DEE&quot;/&gt;&lt;wsp:rsid wsp:val=&quot;630755A9&quot;/&gt;&lt;wsp:rsid wsp:val=&quot;630759AB&quot;/&gt;&lt;wsp:rsid wsp:val=&quot;630A5099&quot;/&gt;&lt;wsp:rsid wsp:val=&quot;630C7063&quot;/&gt;&lt;wsp:rsid wsp:val=&quot;630E06AB&quot;/&gt;&lt;wsp:rsid wsp:val=&quot;630E2DDB&quot;/&gt;&lt;wsp:rsid wsp:val=&quot;630E6937&quot;/&gt;&lt;wsp:rsid wsp:val=&quot;630F24DE&quot;/&gt;&lt;wsp:rsid wsp:val=&quot;63100901&quot;/&gt;&lt;wsp:rsid wsp:val=&quot;63101B7A&quot;/&gt;&lt;wsp:rsid wsp:val=&quot;63106007&quot;/&gt;&lt;wsp:rsid wsp:val=&quot;631101D6&quot;/&gt;&lt;wsp:rsid wsp:val=&quot;6312568F&quot;/&gt;&lt;wsp:rsid wsp:val=&quot;631400CC&quot;/&gt;&lt;wsp:rsid wsp:val=&quot;6315416A&quot;/&gt;&lt;wsp:rsid wsp:val=&quot;63155479&quot;/&gt;&lt;wsp:rsid wsp:val=&quot;63155F18&quot;/&gt;&lt;wsp:rsid wsp:val=&quot;63181501&quot;/&gt;&lt;wsp:rsid wsp:val=&quot;63185A08&quot;/&gt;&lt;wsp:rsid wsp:val=&quot;631877B6&quot;/&gt;&lt;wsp:rsid wsp:val=&quot;631A16A8&quot;/&gt;&lt;wsp:rsid wsp:val=&quot;631A52DC&quot;/&gt;&lt;wsp:rsid wsp:val=&quot;631C5D81&quot;/&gt;&lt;wsp:rsid wsp:val=&quot;631D3892&quot;/&gt;&lt;wsp:rsid wsp:val=&quot;631D4DCC&quot;/&gt;&lt;wsp:rsid wsp:val=&quot;631D6B7A&quot;/&gt;&lt;wsp:rsid wsp:val=&quot;632223E3&quot;/&gt;&lt;wsp:rsid wsp:val=&quot;63233877&quot;/&gt;&lt;wsp:rsid wsp:val=&quot;632443AD&quot;/&gt;&lt;wsp:rsid wsp:val=&quot;6324615B&quot;/&gt;&lt;wsp:rsid wsp:val=&quot;63251ED3&quot;/&gt;&lt;wsp:rsid wsp:val=&quot;63273CB8&quot;/&gt;&lt;wsp:rsid wsp:val=&quot;63275C4B&quot;/&gt;&lt;wsp:rsid wsp:val=&quot;632779F9&quot;/&gt;&lt;wsp:rsid wsp:val=&quot;63293771&quot;/&gt;&lt;wsp:rsid wsp:val=&quot;632C14B3&quot;/&gt;&lt;wsp:rsid wsp:val=&quot;632C3261&quot;/&gt;&lt;wsp:rsid wsp:val=&quot;632D2297&quot;/&gt;&lt;wsp:rsid wsp:val=&quot;632D2FE1&quot;/&gt;&lt;wsp:rsid wsp:val=&quot;632F68AE&quot;/&gt;&lt;wsp:rsid wsp:val=&quot;63323318&quot;/&gt;&lt;wsp:rsid wsp:val=&quot;63343EC4&quot;/&gt;&lt;wsp:rsid wsp:val=&quot;63350368&quot;/&gt;&lt;wsp:rsid wsp:val=&quot;633635FA&quot;/&gt;&lt;wsp:rsid wsp:val=&quot;63367C3C&quot;/&gt;&lt;wsp:rsid wsp:val=&quot;633A597E&quot;/&gt;&lt;wsp:rsid wsp:val=&quot;633A772C&quot;/&gt;&lt;wsp:rsid wsp:val=&quot;633B746C&quot;/&gt;&lt;wsp:rsid wsp:val=&quot;633B7E21&quot;/&gt;&lt;wsp:rsid wsp:val=&quot;633D721D&quot;/&gt;&lt;wsp:rsid wsp:val=&quot;633F4D43&quot;/&gt;&lt;wsp:rsid wsp:val=&quot;63400ABB&quot;/&gt;&lt;wsp:rsid wsp:val=&quot;63402869&quot;/&gt;&lt;wsp:rsid wsp:val=&quot;634033DE&quot;/&gt;&lt;wsp:rsid wsp:val=&quot;63405B3C&quot;/&gt;&lt;wsp:rsid wsp:val=&quot;63422A85&quot;/&gt;&lt;wsp:rsid wsp:val=&quot;634405AB&quot;/&gt;&lt;wsp:rsid wsp:val=&quot;63442359&quot;/&gt;&lt;wsp:rsid wsp:val=&quot;6344708E&quot;/&gt;&lt;wsp:rsid wsp:val=&quot;634560D1&quot;/&gt;&lt;wsp:rsid wsp:val=&quot;634619AE&quot;/&gt;&lt;wsp:rsid wsp:val=&quot;63472E3E&quot;/&gt;&lt;wsp:rsid wsp:val=&quot;63473BF7&quot;/&gt;&lt;wsp:rsid wsp:val=&quot;63495077&quot;/&gt;&lt;wsp:rsid wsp:val=&quot;634B193A&quot;/&gt;&lt;wsp:rsid wsp:val=&quot;634C3904&quot;/&gt;&lt;wsp:rsid wsp:val=&quot;634C56B2&quot;/&gt;&lt;wsp:rsid wsp:val=&quot;63521E02&quot;/&gt;&lt;wsp:rsid wsp:val=&quot;6353259C&quot;/&gt;&lt;wsp:rsid wsp:val=&quot;635400F5&quot;/&gt;&lt;wsp:rsid wsp:val=&quot;63550013&quot;/&gt;&lt;wsp:rsid wsp:val=&quot;63554566&quot;/&gt;&lt;wsp:rsid wsp:val=&quot;63564760&quot;/&gt;&lt;wsp:rsid wsp:val=&quot;63576530&quot;/&gt;&lt;wsp:rsid wsp:val=&quot;63584057&quot;/&gt;&lt;wsp:rsid wsp:val=&quot;63595888&quot;/&gt;&lt;wsp:rsid wsp:val=&quot;635D64B4&quot;/&gt;&lt;wsp:rsid wsp:val=&quot;63604299&quot;/&gt;&lt;wsp:rsid wsp:val=&quot;636109F6&quot;/&gt;&lt;wsp:rsid wsp:val=&quot;63612F0B&quot;/&gt;&lt;wsp:rsid wsp:val=&quot;63622617&quot;/&gt;&lt;wsp:rsid wsp:val=&quot;63657B08&quot;/&gt;&lt;wsp:rsid wsp:val=&quot;63666773&quot;/&gt;&lt;wsp:rsid wsp:val=&quot;63676CDA&quot;/&gt;&lt;wsp:rsid wsp:val=&quot;636B5B38&quot;/&gt;&lt;wsp:rsid wsp:val=&quot;636C18B0&quot;/&gt;&lt;wsp:rsid wsp:val=&quot;636D5D54&quot;/&gt;&lt;wsp:rsid wsp:val=&quot;637034DA&quot;/&gt;&lt;wsp:rsid wsp:val=&quot;637118D5&quot;/&gt;&lt;wsp:rsid wsp:val=&quot;6372336A&quot;/&gt;&lt;wsp:rsid wsp:val=&quot;6372753B&quot;/&gt;&lt;wsp:rsid wsp:val=&quot;63750765&quot;/&gt;&lt;wsp:rsid wsp:val=&quot;63780255&quot;/&gt;&lt;wsp:rsid wsp:val=&quot;637864A7&quot;/&gt;&lt;wsp:rsid wsp:val=&quot;637A089E&quot;/&gt;&lt;wsp:rsid wsp:val=&quot;637A5D7B&quot;/&gt;&lt;wsp:rsid wsp:val=&quot;637B0BF4&quot;/&gt;&lt;wsp:rsid wsp:val=&quot;637C4FE4&quot;/&gt;&lt;wsp:rsid wsp:val=&quot;637D5B70&quot;/&gt;&lt;wsp:rsid wsp:val=&quot;637D74A2&quot;/&gt;&lt;wsp:rsid wsp:val=&quot;6381535B&quot;/&gt;&lt;wsp:rsid wsp:val=&quot;63844E4C&quot;/&gt;&lt;wsp:rsid wsp:val=&quot;63846BFA&quot;/&gt;&lt;wsp:rsid wsp:val=&quot;63864720&quot;/&gt;&lt;wsp:rsid wsp:val=&quot;6388493C&quot;/&gt;&lt;wsp:rsid wsp:val=&quot;638906B4&quot;/&gt;&lt;wsp:rsid wsp:val=&quot;63894210&quot;/&gt;&lt;wsp:rsid wsp:val=&quot;638A0244&quot;/&gt;&lt;wsp:rsid wsp:val=&quot;638D15D3&quot;/&gt;&lt;wsp:rsid wsp:val=&quot;639332E1&quot;/&gt;&lt;wsp:rsid wsp:val=&quot;6393508F&quot;/&gt;&lt;wsp:rsid wsp:val=&quot;6394356A&quot;/&gt;&lt;wsp:rsid wsp:val=&quot;63947179&quot;/&gt;&lt;wsp:rsid wsp:val=&quot;63950E07&quot;/&gt;&lt;wsp:rsid wsp:val=&quot;63971BF0&quot;/&gt;&lt;wsp:rsid wsp:val=&quot;6397692D&quot;/&gt;&lt;wsp:rsid wsp:val=&quot;639808F7&quot;/&gt;&lt;wsp:rsid wsp:val=&quot;639D5F0D&quot;/&gt;&lt;wsp:rsid wsp:val=&quot;639F3A33&quot;/&gt;&lt;wsp:rsid wsp:val=&quot;639F57E1&quot;/&gt;&lt;wsp:rsid wsp:val=&quot;63A1155A&quot;/&gt;&lt;wsp:rsid wsp:val=&quot;63A177AC&quot;/&gt;&lt;wsp:rsid wsp:val=&quot;63A23524&quot;/&gt;&lt;wsp:rsid wsp:val=&quot;63A30F39&quot;/&gt;&lt;wsp:rsid wsp:val=&quot;63A6642A&quot;/&gt;&lt;wsp:rsid wsp:val=&quot;63A70B3A&quot;/&gt;&lt;wsp:rsid wsp:val=&quot;63A728E8&quot;/&gt;&lt;wsp:rsid wsp:val=&quot;63A86BDE&quot;/&gt;&lt;wsp:rsid wsp:val=&quot;63AA739B&quot;/&gt;&lt;wsp:rsid wsp:val=&quot;63AE1EC8&quot;/&gt;&lt;wsp:rsid wsp:val=&quot;63AE7DF4&quot;/&gt;&lt;wsp:rsid wsp:val=&quot;63B2759E&quot;/&gt;&lt;wsp:rsid wsp:val=&quot;63B30A2E&quot;/&gt;&lt;wsp:rsid wsp:val=&quot;63B35731&quot;/&gt;&lt;wsp:rsid wsp:val=&quot;63B374DF&quot;/&gt;&lt;wsp:rsid wsp:val=&quot;63B52B0E&quot;/&gt;&lt;wsp:rsid wsp:val=&quot;63B53322&quot;/&gt;&lt;wsp:rsid wsp:val=&quot;63B55005&quot;/&gt;&lt;wsp:rsid wsp:val=&quot;63B55D20&quot;/&gt;&lt;wsp:rsid wsp:val=&quot;63B61BC6&quot;/&gt;&lt;wsp:rsid wsp:val=&quot;63B70D7D&quot;/&gt;&lt;wsp:rsid wsp:val=&quot;63B75221&quot;/&gt;&lt;wsp:rsid wsp:val=&quot;63B76FCF&quot;/&gt;&lt;wsp:rsid wsp:val=&quot;63B868A3&quot;/&gt;&lt;wsp:rsid wsp:val=&quot;63B919F1&quot;/&gt;&lt;wsp:rsid wsp:val=&quot;63BD210C&quot;/&gt;&lt;wsp:rsid wsp:val=&quot;63BE2F70&quot;/&gt;&lt;wsp:rsid wsp:val=&quot;63BF40D6&quot;/&gt;&lt;wsp:rsid wsp:val=&quot;63C139AA&quot;/&gt;&lt;wsp:rsid wsp:val=&quot;63C15078&quot;/&gt;&lt;wsp:rsid wsp:val=&quot;63C17E4E&quot;/&gt;&lt;wsp:rsid wsp:val=&quot;63C2075B&quot;/&gt;&lt;wsp:rsid wsp:val=&quot;63C27722&quot;/&gt;&lt;wsp:rsid wsp:val=&quot;63C40272&quot;/&gt;&lt;wsp:rsid wsp:val=&quot;63C41852&quot;/&gt;&lt;wsp:rsid wsp:val=&quot;63C60FC0&quot;/&gt;&lt;wsp:rsid wsp:val=&quot;63C61B2C&quot;/&gt;&lt;wsp:rsid wsp:val=&quot;63C65464&quot;/&gt;&lt;wsp:rsid wsp:val=&quot;63C70334&quot;/&gt;&lt;wsp:rsid wsp:val=&quot;63C70EAE&quot;/&gt;&lt;wsp:rsid wsp:val=&quot;63C74D38&quot;/&gt;&lt;wsp:rsid wsp:val=&quot;63C801D9&quot;/&gt;&lt;wsp:rsid wsp:val=&quot;63C811DC&quot;/&gt;&lt;wsp:rsid wsp:val=&quot;63C82F8A&quot;/&gt;&lt;wsp:rsid wsp:val=&quot;63C84053&quot;/&gt;&lt;wsp:rsid wsp:val=&quot;63C94F54&quot;/&gt;&lt;wsp:rsid wsp:val=&quot;63C96D02&quot;/&gt;&lt;wsp:rsid wsp:val=&quot;63CB4828&quot;/&gt;&lt;wsp:rsid wsp:val=&quot;63CB5574&quot;/&gt;&lt;wsp:rsid wsp:val=&quot;63CD585D&quot;/&gt;&lt;wsp:rsid wsp:val=&quot;63CE69D8&quot;/&gt;&lt;wsp:rsid wsp:val=&quot;63CF256B&quot;/&gt;&lt;wsp:rsid wsp:val=&quot;63CF3EF5&quot;/&gt;&lt;wsp:rsid wsp:val=&quot;63D00091&quot;/&gt;&lt;wsp:rsid wsp:val=&quot;63D17BC5&quot;/&gt;&lt;wsp:rsid wsp:val=&quot;63D17BFA&quot;/&gt;&lt;wsp:rsid wsp:val=&quot;63D22876&quot;/&gt;&lt;wsp:rsid wsp:val=&quot;63D23E09&quot;/&gt;&lt;wsp:rsid wsp:val=&quot;63D336DD&quot;/&gt;&lt;wsp:rsid wsp:val=&quot;63D368D7&quot;/&gt;&lt;wsp:rsid wsp:val=&quot;63D40BE9&quot;/&gt;&lt;wsp:rsid wsp:val=&quot;63D47B81&quot;/&gt;&lt;wsp:rsid wsp:val=&quot;63D511F7&quot;/&gt;&lt;wsp:rsid wsp:val=&quot;63D538F9&quot;/&gt;&lt;wsp:rsid wsp:val=&quot;63D556A7&quot;/&gt;&lt;wsp:rsid wsp:val=&quot;63D5650B&quot;/&gt;&lt;wsp:rsid wsp:val=&quot;63D77671&quot;/&gt;&lt;wsp:rsid wsp:val=&quot;63D80CF3&quot;/&gt;&lt;wsp:rsid wsp:val=&quot;63D86F45&quot;/&gt;&lt;wsp:rsid wsp:val=&quot;63D95197&quot;/&gt;&lt;wsp:rsid wsp:val=&quot;63DA3640&quot;/&gt;&lt;wsp:rsid wsp:val=&quot;63DB65C3&quot;/&gt;&lt;wsp:rsid wsp:val=&quot;63DC4C88&quot;/&gt;&lt;wsp:rsid wsp:val=&quot;63DF02D4&quot;/&gt;&lt;wsp:rsid wsp:val=&quot;63DF2082&quot;/&gt;&lt;wsp:rsid wsp:val=&quot;63DF6BCB&quot;/&gt;&lt;wsp:rsid wsp:val=&quot;63E2236B&quot;/&gt;&lt;wsp:rsid wsp:val=&quot;63E31B72&quot;/&gt;&lt;wsp:rsid wsp:val=&quot;63E37DC4&quot;/&gt;&lt;wsp:rsid wsp:val=&quot;63E8362C&quot;/&gt;&lt;wsp:rsid wsp:val=&quot;63E91153&quot;/&gt;&lt;wsp:rsid wsp:val=&quot;63E94CAF&quot;/&gt;&lt;wsp:rsid wsp:val=&quot;63EA73A4&quot;/&gt;&lt;wsp:rsid wsp:val=&quot;63EB4C62&quot;/&gt;&lt;wsp:rsid wsp:val=&quot;63EB4ECB&quot;/&gt;&lt;wsp:rsid wsp:val=&quot;63ED204F&quot;/&gt;&lt;wsp:rsid wsp:val=&quot;63EE6769&quot;/&gt;&lt;wsp:rsid wsp:val=&quot;63F0603D&quot;/&gt;&lt;wsp:rsid wsp:val=&quot;63F20007&quot;/&gt;&lt;wsp:rsid wsp:val=&quot;63F26259&quot;/&gt;&lt;wsp:rsid wsp:val=&quot;63F55D49&quot;/&gt;&lt;wsp:rsid wsp:val=&quot;63F7561D&quot;/&gt;&lt;wsp:rsid wsp:val=&quot;63F773CC&quot;/&gt;&lt;wsp:rsid wsp:val=&quot;63F91396&quot;/&gt;&lt;wsp:rsid wsp:val=&quot;63F975E8&quot;/&gt;&lt;wsp:rsid wsp:val=&quot;63FD075A&quot;/&gt;&lt;wsp:rsid wsp:val=&quot;63FF44D2&quot;/&gt;&lt;wsp:rsid wsp:val=&quot;63FF4772&quot;/&gt;&lt;wsp:rsid wsp:val=&quot;63FF5EE3&quot;/&gt;&lt;wsp:rsid wsp:val=&quot;6401649C&quot;/&gt;&lt;wsp:rsid wsp:val=&quot;64030466&quot;/&gt;&lt;wsp:rsid wsp:val=&quot;64032214&quot;/&gt;&lt;wsp:rsid wsp:val=&quot;64055F8C&quot;/&gt;&lt;wsp:rsid wsp:val=&quot;64061766&quot;/&gt;&lt;wsp:rsid wsp:val=&quot;64061D04&quot;/&gt;&lt;wsp:rsid wsp:val=&quot;64063AB3&quot;/&gt;&lt;wsp:rsid wsp:val=&quot;64065FA7&quot;/&gt;&lt;wsp:rsid wsp:val=&quot;6408782B&quot;/&gt;&lt;wsp:rsid wsp:val=&quot;640970FF&quot;/&gt;&lt;wsp:rsid wsp:val=&quot;640B10C9&quot;/&gt;&lt;wsp:rsid wsp:val=&quot;640B731B&quot;/&gt;&lt;wsp:rsid wsp:val=&quot;6410048D&quot;/&gt;&lt;wsp:rsid wsp:val=&quot;64102431&quot;/&gt;&lt;wsp:rsid wsp:val=&quot;64104931&quot;/&gt;&lt;wsp:rsid wsp:val=&quot;64106469&quot;/&gt;&lt;wsp:rsid wsp:val=&quot;641206A9&quot;/&gt;&lt;wsp:rsid wsp:val=&quot;64133D6A&quot;/&gt;&lt;wsp:rsid wsp:val=&quot;641362A1&quot;/&gt;&lt;wsp:rsid wsp:val=&quot;64144421&quot;/&gt;&lt;wsp:rsid wsp:val=&quot;64151F48&quot;/&gt;&lt;wsp:rsid wsp:val=&quot;64155AA4&quot;/&gt;&lt;wsp:rsid wsp:val=&quot;6416019A&quot;/&gt;&lt;wsp:rsid wsp:val=&quot;6416578E&quot;/&gt;&lt;wsp:rsid wsp:val=&quot;64167F7B&quot;/&gt;&lt;wsp:rsid wsp:val=&quot;64175CC0&quot;/&gt;&lt;wsp:rsid wsp:val=&quot;64177A6E&quot;/&gt;&lt;wsp:rsid wsp:val=&quot;641937E6&quot;/&gt;&lt;wsp:rsid wsp:val=&quot;641A755E&quot;/&gt;&lt;wsp:rsid wsp:val=&quot;641B57B0&quot;/&gt;&lt;wsp:rsid wsp:val=&quot;641C6E32&quot;/&gt;&lt;wsp:rsid wsp:val=&quot;641E0DFC&quot;/&gt;&lt;wsp:rsid wsp:val=&quot;64216B3E&quot;/&gt;&lt;wsp:rsid wsp:val=&quot;642277FE&quot;/&gt;&lt;wsp:rsid wsp:val=&quot;64234664&quot;/&gt;&lt;wsp:rsid wsp:val=&quot;64234D3C&quot;/&gt;&lt;wsp:rsid wsp:val=&quot;6424218B&quot;/&gt;&lt;wsp:rsid wsp:val=&quot;64252510&quot;/&gt;&lt;wsp:rsid wsp:val=&quot;642730B8&quot;/&gt;&lt;wsp:rsid wsp:val=&quot;64287ECD&quot;/&gt;&lt;wsp:rsid wsp:val=&quot;642D7291&quot;/&gt;&lt;wsp:rsid wsp:val=&quot;642E6B65&quot;/&gt;&lt;wsp:rsid wsp:val=&quot;642E7465&quot;/&gt;&lt;wsp:rsid wsp:val=&quot;642F125B&quot;/&gt;&lt;wsp:rsid wsp:val=&quot;642F1BE3&quot;/&gt;&lt;wsp:rsid wsp:val=&quot;642F4DB7&quot;/&gt;&lt;wsp:rsid wsp:val=&quot;643028DD&quot;/&gt;&lt;wsp:rsid wsp:val=&quot;64303292&quot;/&gt;&lt;wsp:rsid wsp:val=&quot;64340620&quot;/&gt;&lt;wsp:rsid wsp:val=&quot;64357EF4&quot;/&gt;&lt;wsp:rsid wsp:val=&quot;64370594&quot;/&gt;&lt;wsp:rsid wsp:val=&quot;64373C6C&quot;/&gt;&lt;wsp:rsid wsp:val=&quot;64395A85&quot;/&gt;&lt;wsp:rsid wsp:val=&quot;64395C36&quot;/&gt;&lt;wsp:rsid wsp:val=&quot;643B19AE&quot;/&gt;&lt;wsp:rsid wsp:val=&quot;643B64F1&quot;/&gt;&lt;wsp:rsid wsp:val=&quot;643C1282&quot;/&gt;&lt;wsp:rsid wsp:val=&quot;643E324C&quot;/&gt;&lt;wsp:rsid wsp:val=&quot;643E5896&quot;/&gt;&lt;wsp:rsid wsp:val=&quot;64405216&quot;/&gt;&lt;wsp:rsid wsp:val=&quot;64406FC4&quot;/&gt;&lt;wsp:rsid wsp:val=&quot;64426DE8&quot;/&gt;&lt;wsp:rsid wsp:val=&quot;64430863&quot;/&gt;&lt;wsp:rsid wsp:val=&quot;64451A7E&quot;/&gt;&lt;wsp:rsid wsp:val=&quot;64451BDD&quot;/&gt;&lt;wsp:rsid wsp:val=&quot;644545DB&quot;/&gt;&lt;wsp:rsid wsp:val=&quot;6446790D&quot;/&gt;&lt;wsp:rsid wsp:val=&quot;6448479B&quot;/&gt;&lt;wsp:rsid wsp:val=&quot;64487C27&quot;/&gt;&lt;wsp:rsid wsp:val=&quot;644B4E0B&quot;/&gt;&lt;wsp:rsid wsp:val=&quot;644B5969&quot;/&gt;&lt;wsp:rsid wsp:val=&quot;644D16E1&quot;/&gt;&lt;wsp:rsid wsp:val=&quot;644F0FB6&quot;/&gt;&lt;wsp:rsid wsp:val=&quot;64520AA6&quot;/&gt;&lt;wsp:rsid wsp:val=&quot;6452474A&quot;/&gt;&lt;wsp:rsid wsp:val=&quot;64550596&quot;/&gt;&lt;wsp:rsid wsp:val=&quot;645646AB&quot;/&gt;&lt;wsp:rsid wsp:val=&quot;645A795A&quot;/&gt;&lt;wsp:rsid wsp:val=&quot;645B3DFE&quot;/&gt;&lt;wsp:rsid wsp:val=&quot;645B7E78&quot;/&gt;&lt;wsp:rsid wsp:val=&quot;645C2560&quot;/&gt;&lt;wsp:rsid wsp:val=&quot;645C43B0&quot;/&gt;&lt;wsp:rsid wsp:val=&quot;645D6540&quot;/&gt;&lt;wsp:rsid wsp:val=&quot;645E569D&quot;/&gt;&lt;wsp:rsid wsp:val=&quot;645F013B&quot;/&gt;&lt;wsp:rsid wsp:val=&quot;64614447&quot;/&gt;&lt;wsp:rsid wsp:val=&quot;6461518D&quot;/&gt;&lt;wsp:rsid wsp:val=&quot;646507D9&quot;/&gt;&lt;wsp:rsid wsp:val=&quot;64654C7D&quot;/&gt;&lt;wsp:rsid wsp:val=&quot;64664551&quot;/&gt;&lt;wsp:rsid wsp:val=&quot;646709F5&quot;/&gt;&lt;wsp:rsid wsp:val=&quot;646802C9&quot;/&gt;&lt;wsp:rsid wsp:val=&quot;64682077&quot;/&gt;&lt;wsp:rsid wsp:val=&quot;646B6B0C&quot;/&gt;&lt;wsp:rsid wsp:val=&quot;646B7DB9&quot;/&gt;&lt;wsp:rsid wsp:val=&quot;646C600B&quot;/&gt;&lt;wsp:rsid wsp:val=&quot;646F1658&quot;/&gt;&lt;wsp:rsid wsp:val=&quot;646F78AA&quot;/&gt;&lt;wsp:rsid wsp:val=&quot;6472739A&quot;/&gt;&lt;wsp:rsid wsp:val=&quot;64747186&quot;/&gt;&lt;wsp:rsid wsp:val=&quot;64764597&quot;/&gt;&lt;wsp:rsid wsp:val=&quot;64764DFE&quot;/&gt;&lt;wsp:rsid wsp:val=&quot;647924D6&quot;/&gt;&lt;wsp:rsid wsp:val=&quot;647A1DAB&quot;/&gt;&lt;wsp:rsid wsp:val=&quot;647B173E&quot;/&gt;&lt;wsp:rsid wsp:val=&quot;647B5838&quot;/&gt;&lt;wsp:rsid wsp:val=&quot;647B624F&quot;/&gt;&lt;wsp:rsid wsp:val=&quot;647B7FFD&quot;/&gt;&lt;wsp:rsid wsp:val=&quot;647C1FC7&quot;/&gt;&lt;wsp:rsid wsp:val=&quot;647C3D75&quot;/&gt;&lt;wsp:rsid wsp:val=&quot;647C6CC8&quot;/&gt;&lt;wsp:rsid wsp:val=&quot;647D29C9&quot;/&gt;&lt;wsp:rsid wsp:val=&quot;64805613&quot;/&gt;&lt;wsp:rsid wsp:val=&quot;64805649&quot;/&gt;&lt;wsp:rsid wsp:val=&quot;64805BFE&quot;/&gt;&lt;wsp:rsid wsp:val=&quot;648275DD&quot;/&gt;&lt;wsp:rsid wsp:val=&quot;64835103&quot;/&gt;&lt;wsp:rsid wsp:val=&quot;64850E7B&quot;/&gt;&lt;wsp:rsid wsp:val=&quot;648614BB&quot;/&gt;&lt;wsp:rsid wsp:val=&quot;64882719&quot;/&gt;&lt;wsp:rsid wsp:val=&quot;648844C8&quot;/&gt;&lt;wsp:rsid wsp:val=&quot;6489157D&quot;/&gt;&lt;wsp:rsid wsp:val=&quot;648A0240&quot;/&gt;&lt;wsp:rsid wsp:val=&quot;648A3E9D&quot;/&gt;&lt;wsp:rsid wsp:val=&quot;648A446A&quot;/&gt;&lt;wsp:rsid wsp:val=&quot;648B3FB8&quot;/&gt;&lt;wsp:rsid wsp:val=&quot;648C045C&quot;/&gt;&lt;wsp:rsid wsp:val=&quot;648D1ADE&quot;/&gt;&lt;wsp:rsid wsp:val=&quot;648D7D30&quot;/&gt;&lt;wsp:rsid wsp:val=&quot;649317EA&quot;/&gt;&lt;wsp:rsid wsp:val=&quot;649461BE&quot;/&gt;&lt;wsp:rsid wsp:val=&quot;64950FB0&quot;/&gt;&lt;wsp:rsid wsp:val=&quot;64983A60&quot;/&gt;&lt;wsp:rsid wsp:val=&quot;64986E00&quot;/&gt;&lt;wsp:rsid wsp:val=&quot;64994927&quot;/&gt;&lt;wsp:rsid wsp:val=&quot;649B069F&quot;/&gt;&lt;wsp:rsid wsp:val=&quot;649E018F&quot;/&gt;&lt;wsp:rsid wsp:val=&quot;64A01811&quot;/&gt;&lt;wsp:rsid wsp:val=&quot;64A07A63&quot;/&gt;&lt;wsp:rsid wsp:val=&quot;64A10C94&quot;/&gt;&lt;wsp:rsid wsp:val=&quot;64A21A2D&quot;/&gt;&lt;wsp:rsid wsp:val=&quot;64A33930&quot;/&gt;&lt;wsp:rsid wsp:val=&quot;64A5243A&quot;/&gt;&lt;wsp:rsid wsp:val=&quot;64A55079&quot;/&gt;&lt;wsp:rsid wsp:val=&quot;64AA2690&quot;/&gt;&lt;wsp:rsid wsp:val=&quot;64AA6B34&quot;/&gt;&lt;wsp:rsid wsp:val=&quot;64AC31D6&quot;/&gt;&lt;wsp:rsid wsp:val=&quot;64AC55EF&quot;/&gt;&lt;wsp:rsid wsp:val=&quot;64AC6408&quot;/&gt;&lt;wsp:rsid wsp:val=&quot;64AD3F2E&quot;/&gt;&lt;wsp:rsid wsp:val=&quot;64B17EC2&quot;/&gt;&lt;wsp:rsid wsp:val=&quot;64B21544&quot;/&gt;&lt;wsp:rsid wsp:val=&quot;64B21B87&quot;/&gt;&lt;wsp:rsid wsp:val=&quot;64B41760&quot;/&gt;&lt;wsp:rsid wsp:val=&quot;64B452BD&quot;/&gt;&lt;wsp:rsid wsp:val=&quot;64B61035&quot;/&gt;&lt;wsp:rsid wsp:val=&quot;64B74DAD&quot;/&gt;&lt;wsp:rsid wsp:val=&quot;64B82FFF&quot;/&gt;&lt;wsp:rsid wsp:val=&quot;64B957DA&quot;/&gt;&lt;wsp:rsid wsp:val=&quot;64BB2AEF&quot;/&gt;&lt;wsp:rsid wsp:val=&quot;64BC58BD&quot;/&gt;&lt;wsp:rsid wsp:val=&quot;64BD0615&quot;/&gt;&lt;wsp:rsid wsp:val=&quot;64BE2D8D&quot;/&gt;&lt;wsp:rsid wsp:val=&quot;64BE438D&quot;/&gt;&lt;wsp:rsid wsp:val=&quot;64BF1012&quot;/&gt;&lt;wsp:rsid wsp:val=&quot;64BF17B2&quot;/&gt;&lt;wsp:rsid wsp:val=&quot;64C00105&quot;/&gt;&lt;wsp:rsid wsp:val=&quot;64C03C61&quot;/&gt;&lt;wsp:rsid wsp:val=&quot;64C179D9&quot;/&gt;&lt;wsp:rsid wsp:val=&quot;64C33752&quot;/&gt;&lt;wsp:rsid wsp:val=&quot;64C3600D&quot;/&gt;&lt;wsp:rsid wsp:val=&quot;64C5571C&quot;/&gt;&lt;wsp:rsid wsp:val=&quot;64C67DDE&quot;/&gt;&lt;wsp:rsid wsp:val=&quot;64C71494&quot;/&gt;&lt;wsp:rsid wsp:val=&quot;64C934FE&quot;/&gt;&lt;wsp:rsid wsp:val=&quot;64CA0F84&quot;/&gt;&lt;wsp:rsid wsp:val=&quot;64CA2D32&quot;/&gt;&lt;wsp:rsid wsp:val=&quot;64CA4AE0&quot;/&gt;&lt;wsp:rsid wsp:val=&quot;64CB56F9&quot;/&gt;&lt;wsp:rsid wsp:val=&quot;64CC3C50&quot;/&gt;&lt;wsp:rsid wsp:val=&quot;64CE2822&quot;/&gt;&lt;wsp:rsid wsp:val=&quot;64D140C0&quot;/&gt;&lt;wsp:rsid wsp:val=&quot;64D21BE7&quot;/&gt;&lt;wsp:rsid wsp:val=&quot;64D4018C&quot;/&gt;&lt;wsp:rsid wsp:val=&quot;64D4368D&quot;/&gt;&lt;wsp:rsid wsp:val=&quot;64D43BB1&quot;/&gt;&lt;wsp:rsid wsp:val=&quot;64D4595F&quot;/&gt;&lt;wsp:rsid wsp:val=&quot;64D4770D&quot;/&gt;&lt;wsp:rsid wsp:val=&quot;64D67929&quot;/&gt;&lt;wsp:rsid wsp:val=&quot;64D70FAB&quot;/&gt;&lt;wsp:rsid wsp:val=&quot;64D771FD&quot;/&gt;&lt;wsp:rsid wsp:val=&quot;64D836A1&quot;/&gt;&lt;wsp:rsid wsp:val=&quot;64D8723F&quot;/&gt;&lt;wsp:rsid wsp:val=&quot;64DA2C7F&quot;/&gt;&lt;wsp:rsid wsp:val=&quot;64DB0A9B&quot;/&gt;&lt;wsp:rsid wsp:val=&quot;64DB6CED&quot;/&gt;&lt;wsp:rsid wsp:val=&quot;64DC3A26&quot;/&gt;&lt;wsp:rsid wsp:val=&quot;64DD08C1&quot;/&gt;&lt;wsp:rsid wsp:val=&quot;64DD2A65&quot;/&gt;&lt;wsp:rsid wsp:val=&quot;64DE2339&quot;/&gt;&lt;wsp:rsid wsp:val=&quot;64E02555&quot;/&gt;&lt;wsp:rsid wsp:val=&quot;64E04304&quot;/&gt;&lt;wsp:rsid wsp:val=&quot;64E149E6&quot;/&gt;&lt;wsp:rsid wsp:val=&quot;64E24CD0&quot;/&gt;&lt;wsp:rsid wsp:val=&quot;64E35106&quot;/&gt;&lt;wsp:rsid wsp:val=&quot;64E35BA2&quot;/&gt;&lt;wsp:rsid wsp:val=&quot;64E70858&quot;/&gt;&lt;wsp:rsid wsp:val=&quot;64E835EB&quot;/&gt;&lt;wsp:rsid wsp:val=&quot;64E9765C&quot;/&gt;&lt;wsp:rsid wsp:val=&quot;64EA33D4&quot;/&gt;&lt;wsp:rsid wsp:val=&quot;64EE0C2F&quot;/&gt;&lt;wsp:rsid wsp:val=&quot;64EE4C72&quot;/&gt;&lt;wsp:rsid wsp:val=&quot;64EE6A20&quot;/&gt;&lt;wsp:rsid wsp:val=&quot;64EF4547&quot;/&gt;&lt;wsp:rsid wsp:val=&quot;64F1206D&quot;/&gt;&lt;wsp:rsid wsp:val=&quot;64F14763&quot;/&gt;&lt;wsp:rsid wsp:val=&quot;64F16511&quot;/&gt;&lt;wsp:rsid wsp:val=&quot;64F223F4&quot;/&gt;&lt;wsp:rsid wsp:val=&quot;64F31CDE&quot;/&gt;&lt;wsp:rsid wsp:val=&quot;64F41B5D&quot;/&gt;&lt;wsp:rsid wsp:val=&quot;64F47DAF&quot;/&gt;&lt;wsp:rsid wsp:val=&quot;64F531DE&quot;/&gt;&lt;wsp:rsid wsp:val=&quot;64F658D5&quot;/&gt;&lt;wsp:rsid wsp:val=&quot;64F8164D&quot;/&gt;&lt;wsp:rsid wsp:val=&quot;64F93617&quot;/&gt;&lt;wsp:rsid wsp:val=&quot;64FA3156&quot;/&gt;&lt;wsp:rsid wsp:val=&quot;64FD6C64&quot;/&gt;&lt;wsp:rsid wsp:val=&quot;64FE6262&quot;/&gt;&lt;wsp:rsid wsp:val=&quot;650049A6&quot;/&gt;&lt;wsp:rsid wsp:val=&quot;650224CC&quot;/&gt;&lt;wsp:rsid wsp:val=&quot;65046244&quot;/&gt;&lt;wsp:rsid wsp:val=&quot;65046EDB&quot;/&gt;&lt;wsp:rsid wsp:val=&quot;65047D7F&quot;/&gt;&lt;wsp:rsid wsp:val=&quot;65050F77&quot;/&gt;&lt;wsp:rsid wsp:val=&quot;65051FBC&quot;/&gt;&lt;wsp:rsid wsp:val=&quot;65052950&quot;/&gt;&lt;wsp:rsid wsp:val=&quot;650575AA&quot;/&gt;&lt;wsp:rsid wsp:val=&quot;65067DF9&quot;/&gt;&lt;wsp:rsid wsp:val=&quot;650700DC&quot;/&gt;&lt;wsp:rsid wsp:val=&quot;65075D34&quot;/&gt;&lt;wsp:rsid wsp:val=&quot;6509385A&quot;/&gt;&lt;wsp:rsid wsp:val=&quot;650A1380&quot;/&gt;&lt;wsp:rsid wsp:val=&quot;650A312E&quot;/&gt;&lt;wsp:rsid wsp:val=&quot;650A5824&quot;/&gt;&lt;wsp:rsid wsp:val=&quot;650B0753&quot;/&gt;&lt;wsp:rsid wsp:val=&quot;650C0660&quot;/&gt;&lt;wsp:rsid wsp:val=&quot;650C334B&quot;/&gt;&lt;wsp:rsid wsp:val=&quot;650D2572&quot;/&gt;&lt;wsp:rsid wsp:val=&quot;650D2C1F&quot;/&gt;&lt;wsp:rsid wsp:val=&quot;650E70C3&quot;/&gt;&lt;wsp:rsid wsp:val=&quot;650F4BE9&quot;/&gt;&lt;wsp:rsid wsp:val=&quot;650F65D3&quot;/&gt;&lt;wsp:rsid wsp:val=&quot;65130235&quot;/&gt;&lt;wsp:rsid wsp:val=&quot;65167D25&quot;/&gt;&lt;wsp:rsid wsp:val=&quot;65197815&quot;/&gt;&lt;wsp:rsid wsp:val=&quot;651A3869&quot;/&gt;&lt;wsp:rsid wsp:val=&quot;651D10B4&quot;/&gt;&lt;wsp:rsid wsp:val=&quot;651D2E62&quot;/&gt;&lt;wsp:rsid wsp:val=&quot;651E4C38&quot;/&gt;&lt;wsp:rsid wsp:val=&quot;651E4E2C&quot;/&gt;&lt;wsp:rsid wsp:val=&quot;651F307E&quot;/&gt;&lt;wsp:rsid wsp:val=&quot;65206DF6&quot;/&gt;&lt;wsp:rsid wsp:val=&quot;65222B6E&quot;/&gt;&lt;wsp:rsid wsp:val=&quot;6522491C&quot;/&gt;&lt;wsp:rsid wsp:val=&quot;652561BA&quot;/&gt;&lt;wsp:rsid wsp:val=&quot;65257F68&quot;/&gt;&lt;wsp:rsid wsp:val=&quot;65270472&quot;/&gt;&lt;wsp:rsid wsp:val=&quot;65271F32&quot;/&gt;&lt;wsp:rsid wsp:val=&quot;65283023&quot;/&gt;&lt;wsp:rsid wsp:val=&quot;6529060A&quot;/&gt;&lt;wsp:rsid wsp:val=&quot;65297A59&quot;/&gt;&lt;wsp:rsid wsp:val=&quot;652A37D1&quot;/&gt;&lt;wsp:rsid wsp:val=&quot;653105BE&quot;/&gt;&lt;wsp:rsid wsp:val=&quot;65314B5F&quot;/&gt;&lt;wsp:rsid wsp:val=&quot;6534475C&quot;/&gt;&lt;wsp:rsid wsp:val=&quot;653463FD&quot;/&gt;&lt;wsp:rsid wsp:val=&quot;6535464F&quot;/&gt;&lt;wsp:rsid wsp:val=&quot;653603C7&quot;/&gt;&lt;wsp:rsid wsp:val=&quot;65363F24&quot;/&gt;&lt;wsp:rsid wsp:val=&quot;65366619&quot;/&gt;&lt;wsp:rsid wsp:val=&quot;65373578&quot;/&gt;&lt;wsp:rsid wsp:val=&quot;65385EEE&quot;/&gt;&lt;wsp:rsid wsp:val=&quot;653A252B&quot;/&gt;&lt;wsp:rsid wsp:val=&quot;653B3C30&quot;/&gt;&lt;wsp:rsid wsp:val=&quot;653B59DE&quot;/&gt;&lt;wsp:rsid wsp:val=&quot;653D6AD9&quot;/&gt;&lt;wsp:rsid wsp:val=&quot;653E102A&quot;/&gt;&lt;wsp:rsid wsp:val=&quot;653F36D2&quot;/&gt;&lt;wsp:rsid wsp:val=&quot;653F54CE&quot;/&gt;&lt;wsp:rsid wsp:val=&quot;65401246&quot;/&gt;&lt;wsp:rsid wsp:val=&quot;65411462&quot;/&gt;&lt;wsp:rsid wsp:val=&quot;65436640&quot;/&gt;&lt;wsp:rsid wsp:val=&quot;65444892&quot;/&gt;&lt;wsp:rsid wsp:val=&quot;654523B9&quot;/&gt;&lt;wsp:rsid wsp:val=&quot;6546685C&quot;/&gt;&lt;wsp:rsid wsp:val=&quot;654725D5&quot;/&gt;&lt;wsp:rsid wsp:val=&quot;65476131&quot;/&gt;&lt;wsp:rsid wsp:val=&quot;6548255E&quot;/&gt;&lt;wsp:rsid wsp:val=&quot;654C1999&quot;/&gt;&lt;wsp:rsid wsp:val=&quot;654C6575&quot;/&gt;&lt;wsp:rsid wsp:val=&quot;654C7BEB&quot;/&gt;&lt;wsp:rsid wsp:val=&quot;654D5E54&quot;/&gt;&lt;wsp:rsid wsp:val=&quot;654E3187&quot;/&gt;&lt;wsp:rsid wsp:val=&quot;654F3237&quot;/&gt;&lt;wsp:rsid wsp:val=&quot;65533877&quot;/&gt;&lt;wsp:rsid wsp:val=&quot;65534AD5&quot;/&gt;&lt;wsp:rsid wsp:val=&quot;6555563A&quot;/&gt;&lt;wsp:rsid wsp:val=&quot;65562818&quot;/&gt;&lt;wsp:rsid wsp:val=&quot;65566374&quot;/&gt;&lt;wsp:rsid wsp:val=&quot;65577A76&quot;/&gt;&lt;wsp:rsid wsp:val=&quot;655A5107&quot;/&gt;&lt;wsp:rsid wsp:val=&quot;655B398A&quot;/&gt;&lt;wsp:rsid wsp:val=&quot;655D5954&quot;/&gt;&lt;wsp:rsid wsp:val=&quot;655F1E1A&quot;/&gt;&lt;wsp:rsid wsp:val=&quot;655F791E&quot;/&gt;&lt;wsp:rsid wsp:val=&quot;65605444&quot;/&gt;&lt;wsp:rsid wsp:val=&quot;6565085D&quot;/&gt;&lt;wsp:rsid wsp:val=&quot;65652A5B&quot;/&gt;&lt;wsp:rsid wsp:val=&quot;65654809&quot;/&gt;&lt;wsp:rsid wsp:val=&quot;65660CAD&quot;/&gt;&lt;wsp:rsid wsp:val=&quot;6569254B&quot;/&gt;&lt;wsp:rsid wsp:val=&quot;656B46CF&quot;/&gt;&lt;wsp:rsid wsp:val=&quot;656C203B&quot;/&gt;&lt;wsp:rsid wsp:val=&quot;656C5B5F&quot;/&gt;&lt;wsp:rsid wsp:val=&quot;656C5B97&quot;/&gt;&lt;wsp:rsid wsp:val=&quot;65702D9F&quot;/&gt;&lt;wsp:rsid wsp:val=&quot;65717652&quot;/&gt;&lt;wsp:rsid wsp:val=&quot;65735178&quot;/&gt;&lt;wsp:rsid wsp:val=&quot;65744A4C&quot;/&gt;&lt;wsp:rsid wsp:val=&quot;65752C9E&quot;/&gt;&lt;wsp:rsid wsp:val=&quot;65770F9E&quot;/&gt;&lt;wsp:rsid wsp:val=&quot;65784102&quot;/&gt;&lt;wsp:rsid wsp:val=&quot;657A02B4&quot;/&gt;&lt;wsp:rsid wsp:val=&quot;657A6506&quot;/&gt;&lt;wsp:rsid wsp:val=&quot;657D5FF6&quot;/&gt;&lt;wsp:rsid wsp:val=&quot;657E2F39&quot;/&gt;&lt;wsp:rsid wsp:val=&quot;65817895&quot;/&gt;&lt;wsp:rsid wsp:val=&quot;65866706&quot;/&gt;&lt;wsp:rsid wsp:val=&quot;65876AF7&quot;/&gt;&lt;wsp:rsid wsp:val=&quot;65876E75&quot;/&gt;&lt;wsp:rsid wsp:val=&quot;65881026&quot;/&gt;&lt;wsp:rsid wsp:val=&quot;6589499B&quot;/&gt;&lt;wsp:rsid wsp:val=&quot;658A7C58&quot;/&gt;&lt;wsp:rsid wsp:val=&quot;658E1FB1&quot;/&gt;&lt;wsp:rsid wsp:val=&quot;658E3D60&quot;/&gt;&lt;wsp:rsid wsp:val=&quot;658E7A69&quot;/&gt;&lt;wsp:rsid wsp:val=&quot;65904F5A&quot;/&gt;&lt;wsp:rsid wsp:val=&quot;65913850&quot;/&gt;&lt;wsp:rsid wsp:val=&quot;659155FE&quot;/&gt;&lt;wsp:rsid wsp:val=&quot;659163EA&quot;/&gt;&lt;wsp:rsid wsp:val=&quot;65930B2B&quot;/&gt;&lt;wsp:rsid wsp:val=&quot;65956E9C&quot;/&gt;&lt;wsp:rsid wsp:val=&quot;6597262F&quot;/&gt;&lt;wsp:rsid wsp:val=&quot;65982E30&quot;/&gt;&lt;wsp:rsid wsp:val=&quot;659A0C16&quot;/&gt;&lt;wsp:rsid wsp:val=&quot;659A2704&quot;/&gt;&lt;wsp:rsid wsp:val=&quot;659B206D&quot;/&gt;&lt;wsp:rsid wsp:val=&quot;659B5909&quot;/&gt;&lt;wsp:rsid wsp:val=&quot;659D0447&quot;/&gt;&lt;wsp:rsid wsp:val=&quot;659D1DBC&quot;/&gt;&lt;wsp:rsid wsp:val=&quot;65A11CE5&quot;/&gt;&lt;wsp:rsid wsp:val=&quot;65A215B9&quot;/&gt;&lt;wsp:rsid wsp:val=&quot;65A417D5&quot;/&gt;&lt;wsp:rsid wsp:val=&quot;65A44A7B&quot;/&gt;&lt;wsp:rsid wsp:val=&quot;65A45331&quot;/&gt;&lt;wsp:rsid wsp:val=&quot;65A6554D&quot;/&gt;&lt;wsp:rsid wsp:val=&quot;65A74D5F&quot;/&gt;&lt;wsp:rsid wsp:val=&quot;65A75A3F&quot;/&gt;&lt;wsp:rsid wsp:val=&quot;65A803C6&quot;/&gt;&lt;wsp:rsid wsp:val=&quot;65A90B99&quot;/&gt;&lt;wsp:rsid wsp:val=&quot;65AC2438&quot;/&gt;&lt;wsp:rsid wsp:val=&quot;65B25CA0&quot;/&gt;&lt;wsp:rsid wsp:val=&quot;65B337C6&quot;/&gt;&lt;wsp:rsid wsp:val=&quot;65B44217&quot;/&gt;&lt;wsp:rsid wsp:val=&quot;65B65064&quot;/&gt;&lt;wsp:rsid wsp:val=&quot;65BC6272&quot;/&gt;&lt;wsp:rsid wsp:val=&quot;65BD2897&quot;/&gt;&lt;wsp:rsid wsp:val=&quot;65BD3F77&quot;/&gt;&lt;wsp:rsid wsp:val=&quot;65BE21B3&quot;/&gt;&lt;wsp:rsid wsp:val=&quot;65BE7A9A&quot;/&gt;&lt;wsp:rsid wsp:val=&quot;65C07C91&quot;/&gt;&lt;wsp:rsid wsp:val=&quot;65C15EE3&quot;/&gt;&lt;wsp:rsid wsp:val=&quot;65C22647&quot;/&gt;&lt;wsp:rsid wsp:val=&quot;65C37EAD&quot;/&gt;&lt;wsp:rsid wsp:val=&quot;65C43C25&quot;/&gt;&lt;wsp:rsid wsp:val=&quot;65C634F9&quot;/&gt;&lt;wsp:rsid wsp:val=&quot;65C6799D&quot;/&gt;&lt;wsp:rsid wsp:val=&quot;65C82D60&quot;/&gt;&lt;wsp:rsid wsp:val=&quot;65C854C3&quot;/&gt;&lt;wsp:rsid wsp:val=&quot;65C92FEA&quot;/&gt;&lt;wsp:rsid wsp:val=&quot;65C96FBC&quot;/&gt;&lt;wsp:rsid wsp:val=&quot;65CB6D62&quot;/&gt;&lt;wsp:rsid wsp:val=&quot;65CD0D2C&quot;/&gt;&lt;wsp:rsid wsp:val=&quot;65D1748D&quot;/&gt;&lt;wsp:rsid wsp:val=&quot;65D35C16&quot;/&gt;&lt;wsp:rsid wsp:val=&quot;65D3619D&quot;/&gt;&lt;wsp:rsid wsp:val=&quot;65D379C4&quot;/&gt;&lt;wsp:rsid wsp:val=&quot;65D50ABD&quot;/&gt;&lt;wsp:rsid wsp:val=&quot;65D75707&quot;/&gt;&lt;wsp:rsid wsp:val=&quot;65DA0D53&quot;/&gt;&lt;wsp:rsid wsp:val=&quot;65DA51F7&quot;/&gt;&lt;wsp:rsid wsp:val=&quot;65DA6FA5&quot;/&gt;&lt;wsp:rsid wsp:val=&quot;65DB484A&quot;/&gt;&lt;wsp:rsid wsp:val=&quot;65DD6A95&quot;/&gt;&lt;wsp:rsid wsp:val=&quot;65DF280D&quot;/&gt;&lt;wsp:rsid wsp:val=&quot;65E05BD0&quot;/&gt;&lt;wsp:rsid wsp:val=&quot;65E120E1&quot;/&gt;&lt;wsp:rsid wsp:val=&quot;65E6594A&quot;/&gt;&lt;wsp:rsid wsp:val=&quot;65E676F8&quot;/&gt;&lt;wsp:rsid wsp:val=&quot;65E816C2&quot;/&gt;&lt;wsp:rsid wsp:val=&quot;65EE2A50&quot;/&gt;&lt;wsp:rsid wsp:val=&quot;65EE47FE&quot;/&gt;&lt;wsp:rsid wsp:val=&quot;65F10513&quot;/&gt;&lt;wsp:rsid wsp:val=&quot;65F22BB6&quot;/&gt;&lt;wsp:rsid wsp:val=&quot;65F35787&quot;/&gt;&lt;wsp:rsid wsp:val=&quot;65F8567D&quot;/&gt;&lt;wsp:rsid wsp:val=&quot;65F870F1&quot;/&gt;&lt;wsp:rsid wsp:val=&quot;65F9692B&quot;/&gt;&lt;wsp:rsid wsp:val=&quot;65F97EB8&quot;/&gt;&lt;wsp:rsid wsp:val=&quot;65FA31A3&quot;/&gt;&lt;wsp:rsid wsp:val=&quot;65FA7647&quot;/&gt;&lt;wsp:rsid wsp:val=&quot;65FC516D&quot;/&gt;&lt;wsp:rsid wsp:val=&quot;65FC6EF7&quot;/&gt;&lt;wsp:rsid wsp:val=&quot;65FC6F1B&quot;/&gt;&lt;wsp:rsid wsp:val=&quot;66012783&quot;/&gt;&lt;wsp:rsid wsp:val=&quot;66041731&quot;/&gt;&lt;wsp:rsid wsp:val=&quot;66053E26&quot;/&gt;&lt;wsp:rsid wsp:val=&quot;66063E90&quot;/&gt;&lt;wsp:rsid wsp:val=&quot;66065FEC&quot;/&gt;&lt;wsp:rsid wsp:val=&quot;66066425&quot;/&gt;&lt;wsp:rsid wsp:val=&quot;6607435A&quot;/&gt;&lt;wsp:rsid wsp:val=&quot;66091638&quot;/&gt;&lt;wsp:rsid wsp:val=&quot;66096324&quot;/&gt;&lt;wsp:rsid wsp:val=&quot;660B3602&quot;/&gt;&lt;wsp:rsid wsp:val=&quot;660B3A0E&quot;/&gt;&lt;wsp:rsid wsp:val=&quot;660B53B0&quot;/&gt;&lt;wsp:rsid wsp:val=&quot;660C1021&quot;/&gt;&lt;wsp:rsid wsp:val=&quot;660D1128&quot;/&gt;&lt;wsp:rsid wsp:val=&quot;660E4EA0&quot;/&gt;&lt;wsp:rsid wsp:val=&quot;660F30F2&quot;/&gt;&lt;wsp:rsid wsp:val=&quot;6611613F&quot;/&gt;&lt;wsp:rsid wsp:val=&quot;66141EEF&quot;/&gt;&lt;wsp:rsid wsp:val=&quot;66154481&quot;/&gt;&lt;wsp:rsid wsp:val=&quot;66155F50&quot;/&gt;&lt;wsp:rsid wsp:val=&quot;6615622F&quot;/&gt;&lt;wsp:rsid wsp:val=&quot;66157FDD&quot;/&gt;&lt;wsp:rsid wsp:val=&quot;661673E0&quot;/&gt;&lt;wsp:rsid wsp:val=&quot;6618187B&quot;/&gt;&lt;wsp:rsid wsp:val=&quot;66187ACD&quot;/&gt;&lt;wsp:rsid wsp:val=&quot;661A1A97&quot;/&gt;&lt;wsp:rsid wsp:val=&quot;661B3A5F&quot;/&gt;&lt;wsp:rsid wsp:val=&quot;661C580F&quot;/&gt;&lt;wsp:rsid wsp:val=&quot;661C75BD&quot;/&gt;&lt;wsp:rsid wsp:val=&quot;661E50E3&quot;/&gt;&lt;wsp:rsid wsp:val=&quot;66257C5E&quot;/&gt;&lt;wsp:rsid wsp:val=&quot;6626043C&quot;/&gt;&lt;wsp:rsid wsp:val=&quot;662621EA&quot;/&gt;&lt;wsp:rsid wsp:val=&quot;66263F98&quot;/&gt;&lt;wsp:rsid wsp:val=&quot;662841B4&quot;/&gt;&lt;wsp:rsid wsp:val=&quot;6628494E&quot;/&gt;&lt;wsp:rsid wsp:val=&quot;66291CDA&quot;/&gt;&lt;wsp:rsid wsp:val=&quot;66293A88&quot;/&gt;&lt;wsp:rsid wsp:val=&quot;662B15AE&quot;/&gt;&lt;wsp:rsid wsp:val=&quot;662C2D47&quot;/&gt;&lt;wsp:rsid wsp:val=&quot;662F16C8&quot;/&gt;&lt;wsp:rsid wsp:val=&quot;662F5543&quot;/&gt;&lt;wsp:rsid wsp:val=&quot;66302B58&quot;/&gt;&lt;wsp:rsid wsp:val=&quot;663150E3&quot;/&gt;&lt;wsp:rsid wsp:val=&quot;663629CA&quot;/&gt;&lt;wsp:rsid wsp:val=&quot;663761A5&quot;/&gt;&lt;wsp:rsid wsp:val=&quot;66383CCB&quot;/&gt;&lt;wsp:rsid wsp:val=&quot;663859C3&quot;/&gt;&lt;wsp:rsid wsp:val=&quot;66391F1D&quot;/&gt;&lt;wsp:rsid wsp:val=&quot;663C7C5F&quot;/&gt;&lt;wsp:rsid wsp:val=&quot;663D12E2&quot;/&gt;&lt;wsp:rsid wsp:val=&quot;663E7D2D&quot;/&gt;&lt;wsp:rsid wsp:val=&quot;663F505A&quot;/&gt;&lt;wsp:rsid wsp:val=&quot;66415276&quot;/&gt;&lt;wsp:rsid wsp:val=&quot;66434B4A&quot;/&gt;&lt;wsp:rsid wsp:val=&quot;66467226&quot;/&gt;&lt;wsp:rsid wsp:val=&quot;66481DB3&quot;/&gt;&lt;wsp:rsid wsp:val=&quot;66482160&quot;/&gt;&lt;wsp:rsid wsp:val=&quot;66495ED8&quot;/&gt;&lt;wsp:rsid wsp:val=&quot;664A237C&quot;/&gt;&lt;wsp:rsid wsp:val=&quot;664B7EA3&quot;/&gt;&lt;wsp:rsid wsp:val=&quot;664E34EF&quot;/&gt;&lt;wsp:rsid wsp:val=&quot;664F7993&quot;/&gt;&lt;wsp:rsid wsp:val=&quot;66501015&quot;/&gt;&lt;wsp:rsid wsp:val=&quot;66507267&quot;/&gt;&lt;wsp:rsid wsp:val=&quot;66544FA9&quot;/&gt;&lt;wsp:rsid wsp:val=&quot;66546D57&quot;/&gt;&lt;wsp:rsid wsp:val=&quot;6655487D&quot;/&gt;&lt;wsp:rsid wsp:val=&quot;66560D21&quot;/&gt;&lt;wsp:rsid wsp:val=&quot;66576847&quot;/&gt;&lt;wsp:rsid wsp:val=&quot;665808D4&quot;/&gt;&lt;wsp:rsid wsp:val=&quot;665925BF&quot;/&gt;&lt;wsp:rsid wsp:val=&quot;665931F4&quot;/&gt;&lt;wsp:rsid wsp:val=&quot;66594935&quot;/&gt;&lt;wsp:rsid wsp:val=&quot;665C20B0&quot;/&gt;&lt;wsp:rsid wsp:val=&quot;665C3E5E&quot;/&gt;&lt;wsp:rsid wsp:val=&quot;665E07E4&quot;/&gt;&lt;wsp:rsid wsp:val=&quot;665E3732&quot;/&gt;&lt;wsp:rsid wsp:val=&quot;665F74AA&quot;/&gt;&lt;wsp:rsid wsp:val=&quot;66623C97&quot;/&gt;&lt;wsp:rsid wsp:val=&quot;66644AC0&quot;/&gt;&lt;wsp:rsid wsp:val=&quot;66650F64&quot;/&gt;&lt;wsp:rsid wsp:val=&quot;66666A8A&quot;/&gt;&lt;wsp:rsid wsp:val=&quot;666A4179&quot;/&gt;&lt;wsp:rsid wsp:val=&quot;666B22F3&quot;/&gt;&lt;wsp:rsid wsp:val=&quot;666D7E19&quot;/&gt;&lt;wsp:rsid wsp:val=&quot;666F3B91&quot;/&gt;&lt;wsp:rsid wsp:val=&quot;66704F4C&quot;/&gt;&lt;wsp:rsid wsp:val=&quot;6672542F&quot;/&gt;&lt;wsp:rsid wsp:val=&quot;667271DD&quot;/&gt;&lt;wsp:rsid wsp:val=&quot;667473F9&quot;/&gt;&lt;wsp:rsid wsp:val=&quot;66756CCD&quot;/&gt;&lt;wsp:rsid wsp:val=&quot;66781110&quot;/&gt;&lt;wsp:rsid wsp:val=&quot;66783C17&quot;/&gt;&lt;wsp:rsid wsp:val=&quot;6679056C&quot;/&gt;&lt;wsp:rsid wsp:val=&quot;66794A10&quot;/&gt;&lt;wsp:rsid wsp:val=&quot;667A42E4&quot;/&gt;&lt;wsp:rsid wsp:val=&quot;667C4500&quot;/&gt;&lt;wsp:rsid wsp:val=&quot;667D2745&quot;/&gt;&lt;wsp:rsid wsp:val=&quot;667E2026&quot;/&gt;&lt;wsp:rsid wsp:val=&quot;667F18FA&quot;/&gt;&lt;wsp:rsid wsp:val=&quot;66815672&quot;/&gt;&lt;wsp:rsid wsp:val=&quot;66824BFA&quot;/&gt;&lt;wsp:rsid wsp:val=&quot;66833198&quot;/&gt;&lt;wsp:rsid wsp:val=&quot;66846F11&quot;/&gt;&lt;wsp:rsid wsp:val=&quot;66855163&quot;/&gt;&lt;wsp:rsid wsp:val=&quot;6688057E&quot;/&gt;&lt;wsp:rsid wsp:val=&quot;668A4527&quot;/&gt;&lt;wsp:rsid wsp:val=&quot;668B029F&quot;/&gt;&lt;wsp:rsid wsp:val=&quot;668D4017&quot;/&gt;&lt;wsp:rsid wsp:val=&quot;668E7F43&quot;/&gt;&lt;wsp:rsid wsp:val=&quot;668F5FE1&quot;/&gt;&lt;wsp:rsid wsp:val=&quot;669075D4&quot;/&gt;&lt;wsp:rsid wsp:val=&quot;6694184A&quot;/&gt;&lt;wsp:rsid wsp:val=&quot;66961D05&quot;/&gt;&lt;wsp:rsid wsp:val=&quot;669748D6&quot;/&gt;&lt;wsp:rsid wsp:val=&quot;66975BC3&quot;/&gt;&lt;wsp:rsid wsp:val=&quot;66975E95&quot;/&gt;&lt;wsp:rsid wsp:val=&quot;66990C0E&quot;/&gt;&lt;wsp:rsid wsp:val=&quot;66991DC7&quot;/&gt;&lt;wsp:rsid wsp:val=&quot;66993733&quot;/&gt;&lt;wsp:rsid wsp:val=&quot;669B2BD8&quot;/&gt;&lt;wsp:rsid wsp:val=&quot;669C06FE&quot;/&gt;&lt;wsp:rsid wsp:val=&quot;669C24AC&quot;/&gt;&lt;wsp:rsid wsp:val=&quot;669E6224&quot;/&gt;&lt;wsp:rsid wsp:val=&quot;66A03D4A&quot;/&gt;&lt;wsp:rsid wsp:val=&quot;66A11C6C&quot;/&gt;&lt;wsp:rsid wsp:val=&quot;66A14EEF&quot;/&gt;&lt;wsp:rsid wsp:val=&quot;66A25987&quot;/&gt;&lt;wsp:rsid wsp:val=&quot;66A31A8D&quot;/&gt;&lt;wsp:rsid wsp:val=&quot;66A32B8D&quot;/&gt;&lt;wsp:rsid wsp:val=&quot;66A3383B&quot;/&gt;&lt;wsp:rsid wsp:val=&quot;66A617FA&quot;/&gt;&lt;wsp:rsid wsp:val=&quot;66A650D9&quot;/&gt;&lt;wsp:rsid wsp:val=&quot;66A852F5&quot;/&gt;&lt;wsp:rsid wsp:val=&quot;66A870A3&quot;/&gt;&lt;wsp:rsid wsp:val=&quot;66AA6977&quot;/&gt;&lt;wsp:rsid wsp:val=&quot;66AD290B&quot;/&gt;&lt;wsp:rsid wsp:val=&quot;66AF3F8D&quot;/&gt;&lt;wsp:rsid wsp:val=&quot;66B07D06&quot;/&gt;&lt;wsp:rsid wsp:val=&quot;66B15F58&quot;/&gt;&lt;wsp:rsid wsp:val=&quot;66B1691C&quot;/&gt;&lt;wsp:rsid wsp:val=&quot;66B23A7E&quot;/&gt;&lt;wsp:rsid wsp:val=&quot;66B43DFE&quot;/&gt;&lt;wsp:rsid wsp:val=&quot;66B477F6&quot;/&gt;&lt;wsp:rsid wsp:val=&quot;66B50BA4&quot;/&gt;&lt;wsp:rsid wsp:val=&quot;66B617C0&quot;/&gt;&lt;wsp:rsid wsp:val=&quot;66B6356E&quot;/&gt;&lt;wsp:rsid wsp:val=&quot;66B754CF&quot;/&gt;&lt;wsp:rsid wsp:val=&quot;66B772E6&quot;/&gt;&lt;wsp:rsid wsp:val=&quot;66B8128A&quot;/&gt;&lt;wsp:rsid wsp:val=&quot;66B867E0&quot;/&gt;&lt;wsp:rsid wsp:val=&quot;66B9305E&quot;/&gt;&lt;wsp:rsid wsp:val=&quot;66BB5028&quot;/&gt;&lt;wsp:rsid wsp:val=&quot;66BC2B4E&quot;/&gt;&lt;wsp:rsid wsp:val=&quot;66C0263F&quot;/&gt;&lt;wsp:rsid wsp:val=&quot;66C04F72&quot;/&gt;&lt;wsp:rsid wsp:val=&quot;66C13CC1&quot;/&gt;&lt;wsp:rsid wsp:val=&quot;66C51A03&quot;/&gt;&lt;wsp:rsid wsp:val=&quot;66C551E2&quot;/&gt;&lt;wsp:rsid wsp:val=&quot;66C7577B&quot;/&gt;&lt;wsp:rsid wsp:val=&quot;66C91D02&quot;/&gt;&lt;wsp:rsid wsp:val=&quot;66C97765&quot;/&gt;&lt;wsp:rsid wsp:val=&quot;66CA5709&quot;/&gt;&lt;wsp:rsid wsp:val=&quot;66CC0D83&quot;/&gt;&lt;wsp:rsid wsp:val=&quot;66CE7576&quot;/&gt;&lt;wsp:rsid wsp:val=&quot;66CF2882&quot;/&gt;&lt;wsp:rsid wsp:val=&quot;66CF4630&quot;/&gt;&lt;wsp:rsid wsp:val=&quot;66D103A8&quot;/&gt;&lt;wsp:rsid wsp:val=&quot;66D20057&quot;/&gt;&lt;wsp:rsid wsp:val=&quot;66D32372&quot;/&gt;&lt;wsp:rsid wsp:val=&quot;66D71736&quot;/&gt;&lt;wsp:rsid wsp:val=&quot;66D87988&quot;/&gt;&lt;wsp:rsid wsp:val=&quot;66D95E57&quot;/&gt;&lt;wsp:rsid wsp:val=&quot;66D9725C&quot;/&gt;&lt;wsp:rsid wsp:val=&quot;66DB5200&quot;/&gt;&lt;wsp:rsid wsp:val=&quot;66DE0D17&quot;/&gt;&lt;wsp:rsid wsp:val=&quot;66E005EB&quot;/&gt;&lt;wsp:rsid wsp:val=&quot;66E02DA4&quot;/&gt;&lt;wsp:rsid wsp:val=&quot;66E20A12&quot;/&gt;&lt;wsp:rsid wsp:val=&quot;66E300DB&quot;/&gt;&lt;wsp:rsid wsp:val=&quot;66E61FFF&quot;/&gt;&lt;wsp:rsid wsp:val=&quot;66E621C0&quot;/&gt;&lt;wsp:rsid wsp:val=&quot;66E75E1D&quot;/&gt;&lt;wsp:rsid wsp:val=&quot;66E77BCB&quot;/&gt;&lt;wsp:rsid wsp:val=&quot;66E815AD&quot;/&gt;&lt;wsp:rsid wsp:val=&quot;66E83943&quot;/&gt;&lt;wsp:rsid wsp:val=&quot;66E92A3D&quot;/&gt;&lt;wsp:rsid wsp:val=&quot;66EB24C9&quot;/&gt;&lt;wsp:rsid wsp:val=&quot;66EC6F90&quot;/&gt;&lt;wsp:rsid wsp:val=&quot;66ED0F5A&quot;/&gt;&lt;wsp:rsid wsp:val=&quot;66ED4AB6&quot;/&gt;&lt;wsp:rsid wsp:val=&quot;66EE13A4&quot;/&gt;&lt;wsp:rsid wsp:val=&quot;66EF4CD2&quot;/&gt;&lt;wsp:rsid wsp:val=&quot;66EF6A80&quot;/&gt;&lt;wsp:rsid wsp:val=&quot;66F41291&quot;/&gt;&lt;wsp:rsid wsp:val=&quot;66F422E8&quot;/&gt;&lt;wsp:rsid wsp:val=&quot;66F44096&quot;/&gt;&lt;wsp:rsid wsp:val=&quot;66F81DD8&quot;/&gt;&lt;wsp:rsid wsp:val=&quot;66F83B86&quot;/&gt;&lt;wsp:rsid wsp:val=&quot;66FA6CD3&quot;/&gt;&lt;wsp:rsid wsp:val=&quot;66FC5818&quot;/&gt;&lt;wsp:rsid wsp:val=&quot;66FD119D&quot;/&gt;&lt;wsp:rsid wsp:val=&quot;66FE4F15&quot;/&gt;&lt;wsp:rsid wsp:val=&quot;66FE6CC3&quot;/&gt;&lt;wsp:rsid wsp:val=&quot;66FF0F75&quot;/&gt;&lt;wsp:rsid wsp:val=&quot;67000C8D&quot;/&gt;&lt;wsp:rsid wsp:val=&quot;67006EDF&quot;/&gt;&lt;wsp:rsid wsp:val=&quot;67010561&quot;/&gt;&lt;wsp:rsid wsp:val=&quot;67011AE9&quot;/&gt;&lt;wsp:rsid wsp:val=&quot;67017C22&quot;/&gt;&lt;wsp:rsid wsp:val=&quot;67030D86&quot;/&gt;&lt;wsp:rsid wsp:val=&quot;6707201B&quot;/&gt;&lt;wsp:rsid wsp:val=&quot;67072E52&quot;/&gt;&lt;wsp:rsid wsp:val=&quot;67077D99&quot;/&gt;&lt;wsp:rsid wsp:val=&quot;670818F0&quot;/&gt;&lt;wsp:rsid wsp:val=&quot;67087745&quot;/&gt;&lt;wsp:rsid wsp:val=&quot;67087B42&quot;/&gt;&lt;wsp:rsid wsp:val=&quot;670A38BA&quot;/&gt;&lt;wsp:rsid wsp:val=&quot;670C13E0&quot;/&gt;&lt;wsp:rsid wsp:val=&quot;670C7632&quot;/&gt;&lt;wsp:rsid wsp:val=&quot;670E33AA&quot;/&gt;&lt;wsp:rsid wsp:val=&quot;670F0ED0&quot;/&gt;&lt;wsp:rsid wsp:val=&quot;67114C48&quot;/&gt;&lt;wsp:rsid wsp:val=&quot;671169F6&quot;/&gt;&lt;wsp:rsid wsp:val=&quot;6712276E&quot;/&gt;&lt;wsp:rsid wsp:val=&quot;67135CAA&quot;/&gt;&lt;wsp:rsid wsp:val=&quot;67136C12&quot;/&gt;&lt;wsp:rsid wsp:val=&quot;671505CA&quot;/&gt;&lt;wsp:rsid wsp:val=&quot;6716225F&quot;/&gt;&lt;wsp:rsid wsp:val=&quot;67191C1F&quot;/&gt;&lt;wsp:rsid wsp:val=&quot;67191D4F&quot;/&gt;&lt;wsp:rsid wsp:val=&quot;671966A8&quot;/&gt;&lt;wsp:rsid wsp:val=&quot;671B5AC7&quot;/&gt;&lt;wsp:rsid wsp:val=&quot;671B7875&quot;/&gt;&lt;wsp:rsid wsp:val=&quot;671C1B08&quot;/&gt;&lt;wsp:rsid wsp:val=&quot;671D183F&quot;/&gt;&lt;wsp:rsid wsp:val=&quot;671E1113&quot;/&gt;&lt;wsp:rsid wsp:val=&quot;671F124A&quot;/&gt;&lt;wsp:rsid wsp:val=&quot;671F55B7&quot;/&gt;&lt;wsp:rsid wsp:val=&quot;67204E8B&quot;/&gt;&lt;wsp:rsid wsp:val=&quot;67206C39&quot;/&gt;&lt;wsp:rsid wsp:val=&quot;67241800&quot;/&gt;&lt;wsp:rsid wsp:val=&quot;67244F5F&quot;/&gt;&lt;wsp:rsid wsp:val=&quot;67255C66&quot;/&gt;&lt;wsp:rsid wsp:val=&quot;67256946&quot;/&gt;&lt;wsp:rsid wsp:val=&quot;67257BC4&quot;/&gt;&lt;wsp:rsid wsp:val=&quot;6727446C&quot;/&gt;&lt;wsp:rsid wsp:val=&quot;67277FC8&quot;/&gt;&lt;wsp:rsid wsp:val=&quot;67286A40&quot;/&gt;&lt;wsp:rsid wsp:val=&quot;672901E4&quot;/&gt;&lt;wsp:rsid wsp:val=&quot;672B56F4&quot;/&gt;&lt;wsp:rsid wsp:val=&quot;672C0A07&quot;/&gt;&lt;wsp:rsid wsp:val=&quot;672C7CD4&quot;/&gt;&lt;wsp:rsid wsp:val=&quot;672E28B2&quot;/&gt;&lt;wsp:rsid wsp:val=&quot;672E57FA&quot;/&gt;&lt;wsp:rsid wsp:val=&quot;672F3320&quot;/&gt;&lt;wsp:rsid wsp:val=&quot;673114E2&quot;/&gt;&lt;wsp:rsid wsp:val=&quot;673152EA&quot;/&gt;&lt;wsp:rsid wsp:val=&quot;67332E10&quot;/&gt;&lt;wsp:rsid wsp:val=&quot;67334BBF&quot;/&gt;&lt;wsp:rsid wsp:val=&quot;67346B89&quot;/&gt;&lt;wsp:rsid wsp:val=&quot;673512D8&quot;/&gt;&lt;wsp:rsid wsp:val=&quot;67367682&quot;/&gt;&lt;wsp:rsid wsp:val=&quot;67380427&quot;/&gt;&lt;wsp:rsid wsp:val=&quot;67383032&quot;/&gt;&lt;wsp:rsid wsp:val=&quot;6739419F&quot;/&gt;&lt;wsp:rsid wsp:val=&quot;67394B42&quot;/&gt;&lt;wsp:rsid wsp:val=&quot;67395F4D&quot;/&gt;&lt;wsp:rsid wsp:val=&quot;673B1CC5&quot;/&gt;&lt;wsp:rsid wsp:val=&quot;673F6A54&quot;/&gt;&lt;wsp:rsid wsp:val=&quot;673F7A07&quot;/&gt;&lt;wsp:rsid wsp:val=&quot;67401089&quot;/&gt;&lt;wsp:rsid wsp:val=&quot;6741564F&quot;/&gt;&lt;wsp:rsid wsp:val=&quot;67430B7A&quot;/&gt;&lt;wsp:rsid wsp:val=&quot;6747066A&quot;/&gt;&lt;wsp:rsid wsp:val=&quot;674848E9&quot;/&gt;&lt;wsp:rsid wsp:val=&quot;674A015A&quot;/&gt;&lt;wsp:rsid wsp:val=&quot;674A63AC&quot;/&gt;&lt;wsp:rsid wsp:val=&quot;674B0ED2&quot;/&gt;&lt;wsp:rsid wsp:val=&quot;674B143B&quot;/&gt;&lt;wsp:rsid wsp:val=&quot;674C13C9&quot;/&gt;&lt;wsp:rsid wsp:val=&quot;674C3ED2&quot;/&gt;&lt;wsp:rsid wsp:val=&quot;674E72A6&quot;/&gt;&lt;wsp:rsid wsp:val=&quot;6750022D&quot;/&gt;&lt;wsp:rsid wsp:val=&quot;675114E9&quot;/&gt;&lt;wsp:rsid wsp:val=&quot;67515045&quot;/&gt;&lt;wsp:rsid wsp:val=&quot;6751773B&quot;/&gt;&lt;wsp:rsid wsp:val=&quot;6753700F&quot;/&gt;&lt;wsp:rsid wsp:val=&quot;67542D87&quot;/&gt;&lt;wsp:rsid wsp:val=&quot;675445CD&quot;/&gt;&lt;wsp:rsid wsp:val=&quot;67566AFF&quot;/&gt;&lt;wsp:rsid wsp:val=&quot;67572F4E&quot;/&gt;&lt;wsp:rsid wsp:val=&quot;67580AC9&quot;/&gt;&lt;wsp:rsid wsp:val=&quot;67582877&quot;/&gt;&lt;wsp:rsid wsp:val=&quot;6759214B&quot;/&gt;&lt;wsp:rsid wsp:val=&quot;675A1C36&quot;/&gt;&lt;wsp:rsid wsp:val=&quot;675B2367&quot;/&gt;&lt;wsp:rsid wsp:val=&quot;675B2D5F&quot;/&gt;&lt;wsp:rsid wsp:val=&quot;6760172C&quot;/&gt;&lt;wsp:rsid wsp:val=&quot;676034DA&quot;/&gt;&lt;wsp:rsid wsp:val=&quot;6760797E&quot;/&gt;&lt;wsp:rsid wsp:val=&quot;676254A4&quot;/&gt;&lt;wsp:rsid wsp:val=&quot;6762658C&quot;/&gt;&lt;wsp:rsid wsp:val=&quot;67636EB6&quot;/&gt;&lt;wsp:rsid wsp:val=&quot;67650123&quot;/&gt;&lt;wsp:rsid wsp:val=&quot;676669E2&quot;/&gt;&lt;wsp:rsid wsp:val=&quot;67670484&quot;/&gt;&lt;wsp:rsid wsp:val=&quot;67672ABA&quot;/&gt;&lt;wsp:rsid wsp:val=&quot;676905E0&quot;/&gt;&lt;wsp:rsid wsp:val=&quot;67696832&quot;/&gt;&lt;wsp:rsid wsp:val=&quot;676A4358&quot;/&gt;&lt;wsp:rsid wsp:val=&quot;676A6106&quot;/&gt;&lt;wsp:rsid wsp:val=&quot;676B07FC&quot;/&gt;&lt;wsp:rsid wsp:val=&quot;676C00D0&quot;/&gt;&lt;wsp:rsid wsp:val=&quot;676F11D5&quot;/&gt;&lt;wsp:rsid wsp:val=&quot;676F196F&quot;/&gt;&lt;wsp:rsid wsp:val=&quot;67705236&quot;/&gt;&lt;wsp:rsid wsp:val=&quot;677403BA&quot;/&gt;&lt;wsp:rsid wsp:val=&quot;67746F85&quot;/&gt;&lt;wsp:rsid wsp:val=&quot;67753429&quot;/&gt;&lt;wsp:rsid wsp:val=&quot;677551D7&quot;/&gt;&lt;wsp:rsid wsp:val=&quot;67797A29&quot;/&gt;&lt;wsp:rsid wsp:val=&quot;677A33C6&quot;/&gt;&lt;wsp:rsid wsp:val=&quot;677B0314&quot;/&gt;&lt;wsp:rsid wsp:val=&quot;677B47B7&quot;/&gt;&lt;wsp:rsid wsp:val=&quot;677C605D&quot;/&gt;&lt;wsp:rsid wsp:val=&quot;677D22DE&quot;/&gt;&lt;wsp:rsid wsp:val=&quot;677D408C&quot;/&gt;&lt;wsp:rsid wsp:val=&quot;677F1C8E&quot;/&gt;&lt;wsp:rsid wsp:val=&quot;677F7E04&quot;/&gt;&lt;wsp:rsid wsp:val=&quot;6780592A&quot;/&gt;&lt;wsp:rsid wsp:val=&quot;6784541A&quot;/&gt;&lt;wsp:rsid wsp:val=&quot;67860D92&quot;/&gt;&lt;wsp:rsid wsp:val=&quot;678673E4&quot;/&gt;&lt;wsp:rsid wsp:val=&quot;6787315C&quot;/&gt;&lt;wsp:rsid wsp:val=&quot;67883263&quot;/&gt;&lt;wsp:rsid wsp:val=&quot;678834BD&quot;/&gt;&lt;wsp:rsid wsp:val=&quot;67892A30&quot;/&gt;&lt;wsp:rsid wsp:val=&quot;678A67A9&quot;/&gt;&lt;wsp:rsid wsp:val=&quot;678B49FB&quot;/&gt;&lt;wsp:rsid wsp:val=&quot;678E252D&quot;/&gt;&lt;wsp:rsid wsp:val=&quot;67902011&quot;/&gt;&lt;wsp:rsid wsp:val=&quot;679127AC&quot;/&gt;&lt;wsp:rsid wsp:val=&quot;67915D89&quot;/&gt;&lt;wsp:rsid wsp:val=&quot;679413D5&quot;/&gt;&lt;wsp:rsid wsp:val=&quot;679531A0&quot;/&gt;&lt;wsp:rsid wsp:val=&quot;6796514D&quot;/&gt;&lt;wsp:rsid wsp:val=&quot;67987117&quot;/&gt;&lt;wsp:rsid wsp:val=&quot;679A4C3E&quot;/&gt;&lt;wsp:rsid wsp:val=&quot;679A69EC&quot;/&gt;&lt;wsp:rsid wsp:val=&quot;679B1F3D&quot;/&gt;&lt;wsp:rsid wsp:val=&quot;679C2DC3&quot;/&gt;&lt;wsp:rsid wsp:val=&quot;679C6C08&quot;/&gt;&lt;wsp:rsid wsp:val=&quot;679D028A&quot;/&gt;&lt;wsp:rsid wsp:val=&quot;679D472E&quot;/&gt;&lt;wsp:rsid wsp:val=&quot;679D64DC&quot;/&gt;&lt;wsp:rsid wsp:val=&quot;679F02B4&quot;/&gt;&lt;wsp:rsid wsp:val=&quot;67A122A9&quot;/&gt;&lt;wsp:rsid wsp:val=&quot;67A127C2&quot;/&gt;&lt;wsp:rsid wsp:val=&quot;67A23AF2&quot;/&gt;&lt;wsp:rsid wsp:val=&quot;67A45ABC&quot;/&gt;&lt;wsp:rsid wsp:val=&quot;67A555B6&quot;/&gt;&lt;wsp:rsid wsp:val=&quot;67A61834&quot;/&gt;&lt;wsp:rsid wsp:val=&quot;67A84660&quot;/&gt;&lt;wsp:rsid wsp:val=&quot;67A91325&quot;/&gt;&lt;wsp:rsid wsp:val=&quot;67AA29A7&quot;/&gt;&lt;wsp:rsid wsp:val=&quot;67AC1177&quot;/&gt;&lt;wsp:rsid wsp:val=&quot;67AE1C1C&quot;/&gt;&lt;wsp:rsid wsp:val=&quot;67AE2497&quot;/&gt;&lt;wsp:rsid wsp:val=&quot;67AF1239&quot;/&gt;&lt;wsp:rsid wsp:val=&quot;67B0620F&quot;/&gt;&lt;wsp:rsid wsp:val=&quot;67B11F87&quot;/&gt;&lt;wsp:rsid wsp:val=&quot;67B51A77&quot;/&gt;&lt;wsp:rsid wsp:val=&quot;67B524DA&quot;/&gt;&lt;wsp:rsid wsp:val=&quot;67B6134C&quot;/&gt;&lt;wsp:rsid wsp:val=&quot;67B83777&quot;/&gt;&lt;wsp:rsid wsp:val=&quot;67B850C4&quot;/&gt;&lt;wsp:rsid wsp:val=&quot;67B918F5&quot;/&gt;&lt;wsp:rsid wsp:val=&quot;67BB4BB4&quot;/&gt;&lt;wsp:rsid wsp:val=&quot;67BC2E06&quot;/&gt;&lt;wsp:rsid wsp:val=&quot;67BF6452&quot;/&gt;&lt;wsp:rsid wsp:val=&quot;67C10A7D&quot;/&gt;&lt;wsp:rsid wsp:val=&quot;67C223E6&quot;/&gt;&lt;wsp:rsid wsp:val=&quot;67C43A69&quot;/&gt;&lt;wsp:rsid wsp:val=&quot;67C47F0C&quot;/&gt;&lt;wsp:rsid wsp:val=&quot;67C5088E&quot;/&gt;&lt;wsp:rsid wsp:val=&quot;67C61B84&quot;/&gt;&lt;wsp:rsid wsp:val=&quot;67C717AB&quot;/&gt;&lt;wsp:rsid wsp:val=&quot;67C8720F&quot;/&gt;&lt;wsp:rsid wsp:val=&quot;67CA3C10&quot;/&gt;&lt;wsp:rsid wsp:val=&quot;67CA4DF7&quot;/&gt;&lt;wsp:rsid wsp:val=&quot;67CB3049&quot;/&gt;&lt;wsp:rsid wsp:val=&quot;67CD770E&quot;/&gt;&lt;wsp:rsid wsp:val=&quot;67CE0D8B&quot;/&gt;&lt;wsp:rsid wsp:val=&quot;67CF405C&quot;/&gt;&lt;wsp:rsid wsp:val=&quot;67CF4511&quot;/&gt;&lt;wsp:rsid wsp:val=&quot;67CF5C52&quot;/&gt;&lt;wsp:rsid wsp:val=&quot;67D0065F&quot;/&gt;&lt;wsp:rsid wsp:val=&quot;67D22A2B&quot;/&gt;&lt;wsp:rsid wsp:val=&quot;67D35195&quot;/&gt;&lt;wsp:rsid wsp:val=&quot;67D35A63&quot;/&gt;&lt;wsp:rsid wsp:val=&quot;67D363A2&quot;/&gt;&lt;wsp:rsid wsp:val=&quot;67D87514&quot;/&gt;&lt;wsp:rsid wsp:val=&quot;67DA1624&quot;/&gt;&lt;wsp:rsid wsp:val=&quot;67DB0DB2&quot;/&gt;&lt;wsp:rsid wsp:val=&quot;67DD0FCE&quot;/&gt;&lt;wsp:rsid wsp:val=&quot;67E05496&quot;/&gt;&lt;wsp:rsid wsp:val=&quot;67E16926&quot;/&gt;&lt;wsp:rsid wsp:val=&quot;67E20393&quot;/&gt;&lt;wsp:rsid wsp:val=&quot;67E265E5&quot;/&gt;&lt;wsp:rsid wsp:val=&quot;67E4235D&quot;/&gt;&lt;wsp:rsid wsp:val=&quot;67E46F50&quot;/&gt;&lt;wsp:rsid wsp:val=&quot;67E51A4D&quot;/&gt;&lt;wsp:rsid wsp:val=&quot;67E57A45&quot;/&gt;&lt;wsp:rsid wsp:val=&quot;67E73BFB&quot;/&gt;&lt;wsp:rsid wsp:val=&quot;67E934CF&quot;/&gt;&lt;wsp:rsid wsp:val=&quot;67E97C88&quot;/&gt;&lt;wsp:rsid wsp:val=&quot;67EB36EB&quot;/&gt;&lt;wsp:rsid wsp:val=&quot;67EE31DB&quot;/&gt;&lt;wsp:rsid wsp:val=&quot;67EE4F89&quot;/&gt;&lt;wsp:rsid wsp:val=&quot;67F2247B&quot;/&gt;&lt;wsp:rsid wsp:val=&quot;67F22877&quot;/&gt;&lt;wsp:rsid wsp:val=&quot;67F51E74&quot;/&gt;&lt;wsp:rsid wsp:val=&quot;67F87BB6&quot;/&gt;&lt;wsp:rsid wsp:val=&quot;67FA3534&quot;/&gt;&lt;wsp:rsid wsp:val=&quot;67FA392E&quot;/&gt;&lt;wsp:rsid wsp:val=&quot;67FA56DC&quot;/&gt;&lt;wsp:rsid wsp:val=&quot;67FC76A6&quot;/&gt;&lt;wsp:rsid wsp:val=&quot;67FD6F7B&quot;/&gt;&lt;wsp:rsid wsp:val=&quot;67FF0F45&quot;/&gt;&lt;wsp:rsid wsp:val=&quot;67FF7197&quot;/&gt;&lt;wsp:rsid wsp:val=&quot;68012F0F&quot;/&gt;&lt;wsp:rsid wsp:val=&quot;680227E3&quot;/&gt;&lt;wsp:rsid wsp:val=&quot;6803682D&quot;/&gt;&lt;wsp:rsid wsp:val=&quot;68064081&quot;/&gt;&lt;wsp:rsid wsp:val=&quot;68071BA7&quot;/&gt;&lt;wsp:rsid wsp:val=&quot;68086659&quot;/&gt;&lt;wsp:rsid wsp:val=&quot;68091DC3&quot;/&gt;&lt;wsp:rsid wsp:val=&quot;68093B71&quot;/&gt;&lt;wsp:rsid wsp:val=&quot;68095B31&quot;/&gt;&lt;wsp:rsid wsp:val=&quot;680B78E9&quot;/&gt;&lt;wsp:rsid wsp:val=&quot;680C5410&quot;/&gt;&lt;wsp:rsid wsp:val=&quot;68104F00&quot;/&gt;&lt;wsp:rsid wsp:val=&quot;68120C78&quot;/&gt;&lt;wsp:rsid wsp:val=&quot;68126ECA&quot;/&gt;&lt;wsp:rsid wsp:val=&quot;68150768&quot;/&gt;&lt;wsp:rsid wsp:val=&quot;68172BC2&quot;/&gt;&lt;wsp:rsid wsp:val=&quot;681744E0&quot;/&gt;&lt;wsp:rsid wsp:val=&quot;68182006&quot;/&gt;&lt;wsp:rsid wsp:val=&quot;68183DB4&quot;/&gt;&lt;wsp:rsid wsp:val=&quot;681A7B2C&quot;/&gt;&lt;wsp:rsid wsp:val=&quot;681F3395&quot;/&gt;&lt;wsp:rsid wsp:val=&quot;681F6961&quot;/&gt;&lt;wsp:rsid wsp:val=&quot;6820312D&quot;/&gt;&lt;wsp:rsid wsp:val=&quot;68216989&quot;/&gt;&lt;wsp:rsid wsp:val=&quot;68224C33&quot;/&gt;&lt;wsp:rsid wsp:val=&quot;68246BFD&quot;/&gt;&lt;wsp:rsid wsp:val=&quot;6826129E&quot;/&gt;&lt;wsp:rsid wsp:val=&quot;68262FBC&quot;/&gt;&lt;wsp:rsid wsp:val=&quot;68264723&quot;/&gt;&lt;wsp:rsid wsp:val=&quot;68273FF7&quot;/&gt;&lt;wsp:rsid wsp:val=&quot;68282249&quot;/&gt;&lt;wsp:rsid wsp:val=&quot;68294213&quot;/&gt;&lt;wsp:rsid wsp:val=&quot;682A7955&quot;/&gt;&lt;wsp:rsid wsp:val=&quot;682B3AE8&quot;/&gt;&lt;wsp:rsid wsp:val=&quot;682B7A3B&quot;/&gt;&lt;wsp:rsid wsp:val=&quot;682C1C8B&quot;/&gt;&lt;wsp:rsid wsp:val=&quot;682D5AB2&quot;/&gt;&lt;wsp:rsid wsp:val=&quot;682D7860&quot;/&gt;&lt;wsp:rsid wsp:val=&quot;683055A2&quot;/&gt;&lt;wsp:rsid wsp:val=&quot;683243DC&quot;/&gt;&lt;wsp:rsid wsp:val=&quot;68334284&quot;/&gt;&lt;wsp:rsid wsp:val=&quot;683344CF&quot;/&gt;&lt;wsp:rsid wsp:val=&quot;68352BB8&quot;/&gt;&lt;wsp:rsid wsp:val=&quot;683536BE&quot;/&gt;&lt;wsp:rsid wsp:val=&quot;68354966&quot;/&gt;&lt;wsp:rsid wsp:val=&quot;68376930&quot;/&gt;&lt;wsp:rsid wsp:val=&quot;68394457&quot;/&gt;&lt;wsp:rsid wsp:val=&quot;683A1F7D&quot;/&gt;&lt;wsp:rsid wsp:val=&quot;683A3D2B&quot;/&gt;&lt;wsp:rsid wsp:val=&quot;683B7530&quot;/&gt;&lt;wsp:rsid wsp:val=&quot;683C7AA3&quot;/&gt;&lt;wsp:rsid wsp:val=&quot;683D06E9&quot;/&gt;&lt;wsp:rsid wsp:val=&quot;683E1A6D&quot;/&gt;&lt;wsp:rsid wsp:val=&quot;683E7CBF&quot;/&gt;&lt;wsp:rsid wsp:val=&quot;683F3A37&quot;/&gt;&lt;wsp:rsid wsp:val=&quot;683F57E5&quot;/&gt;&lt;wsp:rsid wsp:val=&quot;6841330B&quot;/&gt;&lt;wsp:rsid wsp:val=&quot;68420E31&quot;/&gt;&lt;wsp:rsid wsp:val=&quot;684352D5&quot;/&gt;&lt;wsp:rsid wsp:val=&quot;6844104D&quot;/&gt;&lt;wsp:rsid wsp:val=&quot;68442DFB&quot;/&gt;&lt;wsp:rsid wsp:val=&quot;68444BA9&quot;/&gt;&lt;wsp:rsid wsp:val=&quot;68464DC5&quot;/&gt;&lt;wsp:rsid wsp:val=&quot;68465D84&quot;/&gt;&lt;wsp:rsid wsp:val=&quot;6848194D&quot;/&gt;&lt;wsp:rsid wsp:val=&quot;684828EC&quot;/&gt;&lt;wsp:rsid wsp:val=&quot;6848469A&quot;/&gt;&lt;wsp:rsid wsp:val=&quot;68490DD6&quot;/&gt;&lt;wsp:rsid wsp:val=&quot;684B23DC&quot;/&gt;&lt;wsp:rsid wsp:val=&quot;684B418A&quot;/&gt;&lt;wsp:rsid wsp:val=&quot;684D2FFA&quot;/&gt;&lt;wsp:rsid wsp:val=&quot;6853303E&quot;/&gt;&lt;wsp:rsid wsp:val=&quot;68594AF9&quot;/&gt;&lt;wsp:rsid wsp:val=&quot;685968A7&quot;/&gt;&lt;wsp:rsid wsp:val=&quot;685C1945&quot;/&gt;&lt;wsp:rsid wsp:val=&quot;685F7F2A&quot;/&gt;&lt;wsp:rsid wsp:val=&quot;68610A2F&quot;/&gt;&lt;wsp:rsid wsp:val=&quot;6861575B&quot;/&gt;&lt;wsp:rsid wsp:val=&quot;686314D3&quot;/&gt;&lt;wsp:rsid wsp:val=&quot;68637725&quot;/&gt;&lt;wsp:rsid wsp:val=&quot;6865349E&quot;/&gt;&lt;wsp:rsid wsp:val=&quot;68660FC4&quot;/&gt;&lt;wsp:rsid wsp:val=&quot;686B1B0F&quot;/&gt;&lt;wsp:rsid wsp:val=&quot;686C7991&quot;/&gt;&lt;wsp:rsid wsp:val=&quot;686F7E78&quot;/&gt;&lt;wsp:rsid wsp:val=&quot;687215ED&quot;/&gt;&lt;wsp:rsid wsp:val=&quot;687409E3&quot;/&gt;&lt;wsp:rsid wsp:val=&quot;68751207&quot;/&gt;&lt;wsp:rsid wsp:val=&quot;68784853&quot;/&gt;&lt;wsp:rsid wsp:val=&quot;687C07E7&quot;/&gt;&lt;wsp:rsid wsp:val=&quot;687C4343&quot;/&gt;&lt;wsp:rsid wsp:val=&quot;687E455F&quot;/&gt;&lt;wsp:rsid wsp:val=&quot;687F20A7&quot;/&gt;&lt;wsp:rsid wsp:val=&quot;68805514&quot;/&gt;&lt;wsp:rsid wsp:val=&quot;6881195A&quot;/&gt;&lt;wsp:rsid wsp:val=&quot;68862E7C&quot;/&gt;&lt;wsp:rsid wsp:val=&quot;68880F3A&quot;/&gt;&lt;wsp:rsid wsp:val=&quot;68896A60&quot;/&gt;&lt;wsp:rsid wsp:val=&quot;688A1A85&quot;/&gt;&lt;wsp:rsid wsp:val=&quot;688A2F04&quot;/&gt;&lt;wsp:rsid wsp:val=&quot;688B0A2A&quot;/&gt;&lt;wsp:rsid wsp:val=&quot;688D02FE&quot;/&gt;&lt;wsp:rsid wsp:val=&quot;688D47A2&quot;/&gt;&lt;wsp:rsid wsp:val=&quot;688D6550&quot;/&gt;&lt;wsp:rsid wsp:val=&quot;688F37C9&quot;/&gt;&lt;wsp:rsid wsp:val=&quot;688F6A1C&quot;/&gt;&lt;wsp:rsid wsp:val=&quot;68910A8B&quot;/&gt;&lt;wsp:rsid wsp:val=&quot;68923B67&quot;/&gt;&lt;wsp:rsid wsp:val=&quot;68945B31&quot;/&gt;&lt;wsp:rsid wsp:val=&quot;68946CAB&quot;/&gt;&lt;wsp:rsid wsp:val=&quot;68953657&quot;/&gt;&lt;wsp:rsid wsp:val=&quot;68955405&quot;/&gt;&lt;wsp:rsid wsp:val=&quot;6896419C&quot;/&gt;&lt;wsp:rsid wsp:val=&quot;68975621&quot;/&gt;&lt;wsp:rsid wsp:val=&quot;68996CA3&quot;/&gt;&lt;wsp:rsid wsp:val=&quot;689E42BA&quot;/&gt;&lt;wsp:rsid wsp:val=&quot;689E7704&quot;/&gt;&lt;wsp:rsid wsp:val=&quot;68A044D6&quot;/&gt;&lt;wsp:rsid wsp:val=&quot;68A1024E&quot;/&gt;&lt;wsp:rsid wsp:val=&quot;68A11FFC&quot;/&gt;&lt;wsp:rsid wsp:val=&quot;68A338A0&quot;/&gt;&lt;wsp:rsid wsp:val=&quot;68A35D74&quot;/&gt;&lt;wsp:rsid wsp:val=&quot;68A43D86&quot;/&gt;&lt;wsp:rsid wsp:val=&quot;68A51AEC&quot;/&gt;&lt;wsp:rsid wsp:val=&quot;68A613C0&quot;/&gt;&lt;wsp:rsid wsp:val=&quot;68AB69D7&quot;/&gt;&lt;wsp:rsid wsp:val=&quot;68AF296B&quot;/&gt;&lt;wsp:rsid wsp:val=&quot;68AF32AA&quot;/&gt;&lt;wsp:rsid wsp:val=&quot;68AF4719&quot;/&gt;&lt;wsp:rsid wsp:val=&quot;68B00491&quot;/&gt;&lt;wsp:rsid wsp:val=&quot;68B166E3&quot;/&gt;&lt;wsp:rsid wsp:val=&quot;68B16EE8&quot;/&gt;&lt;wsp:rsid wsp:val=&quot;68B27D65&quot;/&gt;&lt;wsp:rsid wsp:val=&quot;68B63F43&quot;/&gt;&lt;wsp:rsid wsp:val=&quot;68B65AA7&quot;/&gt;&lt;wsp:rsid wsp:val=&quot;68B834D5&quot;/&gt;&lt;wsp:rsid wsp:val=&quot;68B84965&quot;/&gt;&lt;wsp:rsid wsp:val=&quot;68B95597&quot;/&gt;&lt;wsp:rsid wsp:val=&quot;68B95DF5&quot;/&gt;&lt;wsp:rsid wsp:val=&quot;68B97345&quot;/&gt;&lt;wsp:rsid wsp:val=&quot;68BA4E6C&quot;/&gt;&lt;wsp:rsid wsp:val=&quot;68BB30BE&quot;/&gt;&lt;wsp:rsid wsp:val=&quot;68BC0BE4&quot;/&gt;&lt;wsp:rsid wsp:val=&quot;68BC32E6&quot;/&gt;&lt;wsp:rsid wsp:val=&quot;68BC5088&quot;/&gt;&lt;wsp:rsid wsp:val=&quot;68BC531B&quot;/&gt;&lt;wsp:rsid wsp:val=&quot;68BC6E36&quot;/&gt;&lt;wsp:rsid wsp:val=&quot;68BE2BAE&quot;/&gt;&lt;wsp:rsid wsp:val=&quot;68BF2482&quot;/&gt;&lt;wsp:rsid wsp:val=&quot;68C06926&quot;/&gt;&lt;wsp:rsid wsp:val=&quot;68C36416&quot;/&gt;&lt;wsp:rsid wsp:val=&quot;68C57892&quot;/&gt;&lt;wsp:rsid wsp:val=&quot;68C74A62&quot;/&gt;&lt;wsp:rsid wsp:val=&quot;68C81889&quot;/&gt;&lt;wsp:rsid wsp:val=&quot;68CB194B&quot;/&gt;&lt;wsp:rsid wsp:val=&quot;68CC52CB&quot;/&gt;&lt;wsp:rsid wsp:val=&quot;68CD1043&quot;/&gt;&lt;wsp:rsid wsp:val=&quot;68CF4DBB&quot;/&gt;&lt;wsp:rsid wsp:val=&quot;68CF6B69&quot;/&gt;&lt;wsp:rsid wsp:val=&quot;68CF6B8B&quot;/&gt;&lt;wsp:rsid wsp:val=&quot;68D128E1&quot;/&gt;&lt;wsp:rsid wsp:val=&quot;68D16026&quot;/&gt;&lt;wsp:rsid wsp:val=&quot;68D20407&quot;/&gt;&lt;wsp:rsid wsp:val=&quot;68D221B5&quot;/&gt;&lt;wsp:rsid wsp:val=&quot;68D2550C&quot;/&gt;&lt;wsp:rsid wsp:val=&quot;68D423D1&quot;/&gt;&lt;wsp:rsid wsp:val=&quot;68D66149&quot;/&gt;&lt;wsp:rsid wsp:val=&quot;68D67EF7&quot;/&gt;&lt;wsp:rsid wsp:val=&quot;68D83F4F&quot;/&gt;&lt;wsp:rsid wsp:val=&quot;68D93544&quot;/&gt;&lt;wsp:rsid wsp:val=&quot;68DB3760&quot;/&gt;&lt;wsp:rsid wsp:val=&quot;68DB550E&quot;/&gt;&lt;wsp:rsid wsp:val=&quot;68DB72BC&quot;/&gt;&lt;wsp:rsid wsp:val=&quot;68DC1286&quot;/&gt;&lt;wsp:rsid wsp:val=&quot;68DC4DE2&quot;/&gt;&lt;wsp:rsid wsp:val=&quot;68DD3D60&quot;/&gt;&lt;wsp:rsid wsp:val=&quot;68DE0B5A&quot;/&gt;&lt;wsp:rsid wsp:val=&quot;68E1064A&quot;/&gt;&lt;wsp:rsid wsp:val=&quot;68E1689C&quot;/&gt;&lt;wsp:rsid wsp:val=&quot;68E320A9&quot;/&gt;&lt;wsp:rsid wsp:val=&quot;68E343C2&quot;/&gt;&lt;wsp:rsid wsp:val=&quot;68E5013A&quot;/&gt;&lt;wsp:rsid wsp:val=&quot;68E51EE8&quot;/&gt;&lt;wsp:rsid wsp:val=&quot;68EA39A3&quot;/&gt;&lt;wsp:rsid wsp:val=&quot;68EC771B&quot;/&gt;&lt;wsp:rsid wsp:val=&quot;68ED3493&quot;/&gt;&lt;wsp:rsid wsp:val=&quot;68EF08E9&quot;/&gt;&lt;wsp:rsid wsp:val=&quot;68EF4B15&quot;/&gt;&lt;wsp:rsid wsp:val=&quot;68EF720B&quot;/&gt;&lt;wsp:rsid wsp:val=&quot;68F03A70&quot;/&gt;&lt;wsp:rsid wsp:val=&quot;68F16ADF&quot;/&gt;&lt;wsp:rsid wsp:val=&quot;68F31B06&quot;/&gt;&lt;wsp:rsid wsp:val=&quot;68F34846&quot;/&gt;&lt;wsp:rsid wsp:val=&quot;68F35F86&quot;/&gt;&lt;wsp:rsid wsp:val=&quot;68F47416&quot;/&gt;&lt;wsp:rsid wsp:val=&quot;68F55EA4&quot;/&gt;&lt;wsp:rsid wsp:val=&quot;68F66048&quot;/&gt;&lt;wsp:rsid wsp:val=&quot;68F71B4A&quot;/&gt;&lt;wsp:rsid wsp:val=&quot;68F800AA&quot;/&gt;&lt;wsp:rsid wsp:val=&quot;68F91E38&quot;/&gt;&lt;wsp:rsid wsp:val=&quot;68FB170C&quot;/&gt;&lt;wsp:rsid wsp:val=&quot;68FB5BB0&quot;/&gt;&lt;wsp:rsid wsp:val=&quot;68FD36D6&quot;/&gt;&lt;wsp:rsid wsp:val=&quot;69012A9A&quot;/&gt;&lt;wsp:rsid wsp:val=&quot;6903064C&quot;/&gt;&lt;wsp:rsid wsp:val=&quot;69036813&quot;/&gt;&lt;wsp:rsid wsp:val=&quot;6905258B&quot;/&gt;&lt;wsp:rsid wsp:val=&quot;690600B1&quot;/&gt;&lt;wsp:rsid wsp:val=&quot;69076303&quot;/&gt;&lt;wsp:rsid wsp:val=&quot;69076D25&quot;/&gt;&lt;wsp:rsid wsp:val=&quot;6908207B&quot;/&gt;&lt;wsp:rsid wsp:val=&quot;690E58E3&quot;/&gt;&lt;wsp:rsid wsp:val=&quot;690F3409&quot;/&gt;&lt;wsp:rsid wsp:val=&quot;690F401E&quot;/&gt;&lt;wsp:rsid wsp:val=&quot;69110F2F&quot;/&gt;&lt;wsp:rsid wsp:val=&quot;69112693&quot;/&gt;&lt;wsp:rsid wsp:val=&quot;69112CDD&quot;/&gt;&lt;wsp:rsid wsp:val=&quot;69126A56&quot;/&gt;&lt;wsp:rsid wsp:val=&quot;691722BE&quot;/&gt;&lt;wsp:rsid wsp:val=&quot;6917406C&quot;/&gt;&lt;wsp:rsid wsp:val=&quot;69174D42&quot;/&gt;&lt;wsp:rsid wsp:val=&quot;69197DE4&quot;/&gt;&lt;wsp:rsid wsp:val=&quot;691E2683&quot;/&gt;&lt;wsp:rsid wsp:val=&quot;691E5254&quot;/&gt;&lt;wsp:rsid wsp:val=&quot;691E6DF0&quot;/&gt;&lt;wsp:rsid wsp:val=&quot;692073C4&quot;/&gt;&lt;wsp:rsid wsp:val=&quot;69216C99&quot;/&gt;&lt;wsp:rsid wsp:val=&quot;69236EB5&quot;/&gt;&lt;wsp:rsid wsp:val=&quot;69256789&quot;/&gt;&lt;wsp:rsid wsp:val=&quot;69260A8E&quot;/&gt;&lt;wsp:rsid wsp:val=&quot;692613ED&quot;/&gt;&lt;wsp:rsid wsp:val=&quot;69270753&quot;/&gt;&lt;wsp:rsid wsp:val=&quot;692844CB&quot;/&gt;&lt;wsp:rsid wsp:val=&quot;69286279&quot;/&gt;&lt;wsp:rsid wsp:val=&quot;692A1FF1&quot;/&gt;&lt;wsp:rsid wsp:val=&quot;692C3FBB&quot;/&gt;&lt;wsp:rsid wsp:val=&quot;692C6117&quot;/&gt;&lt;wsp:rsid wsp:val=&quot;692C7B17&quot;/&gt;&lt;wsp:rsid wsp:val=&quot;692D4EA0&quot;/&gt;&lt;wsp:rsid wsp:val=&quot;692E7D33&quot;/&gt;&lt;wsp:rsid wsp:val=&quot;692F7608&quot;/&gt;&lt;wsp:rsid wsp:val=&quot;69303AE6&quot;/&gt;&lt;wsp:rsid wsp:val=&quot;69307669&quot;/&gt;&lt;wsp:rsid wsp:val=&quot;693115D2&quot;/&gt;&lt;wsp:rsid wsp:val=&quot;69316E2F&quot;/&gt;&lt;wsp:rsid wsp:val=&quot;6933184E&quot;/&gt;&lt;wsp:rsid wsp:val=&quot;6933450B&quot;/&gt;&lt;wsp:rsid wsp:val=&quot;693370F8&quot;/&gt;&lt;wsp:rsid wsp:val=&quot;693469CC&quot;/&gt;&lt;wsp:rsid wsp:val=&quot;693571DC&quot;/&gt;&lt;wsp:rsid wsp:val=&quot;6936536D&quot;/&gt;&lt;wsp:rsid wsp:val=&quot;69366BE8&quot;/&gt;&lt;wsp:rsid wsp:val=&quot;69390486&quot;/&gt;&lt;wsp:rsid wsp:val=&quot;6939645A&quot;/&gt;&lt;wsp:rsid wsp:val=&quot;693C3AD3&quot;/&gt;&lt;wsp:rsid wsp:val=&quot;693D1D24&quot;/&gt;&lt;wsp:rsid wsp:val=&quot;693D7F76&quot;/&gt;&lt;wsp:rsid wsp:val=&quot;693E5A9D&quot;/&gt;&lt;wsp:rsid wsp:val=&quot;694035C3&quot;/&gt;&lt;wsp:rsid wsp:val=&quot;6942558D&quot;/&gt;&lt;wsp:rsid wsp:val=&quot;694330B3&quot;/&gt;&lt;wsp:rsid wsp:val=&quot;69442264&quot;/&gt;&lt;wsp:rsid wsp:val=&quot;6945507D&quot;/&gt;&lt;wsp:rsid wsp:val=&quot;69456E2B&quot;/&gt;&lt;wsp:rsid wsp:val=&quot;69457813&quot;/&gt;&lt;wsp:rsid wsp:val=&quot;69474951&quot;/&gt;&lt;wsp:rsid wsp:val=&quot;69482477&quot;/&gt;&lt;wsp:rsid wsp:val=&quot;69484834&quot;/&gt;&lt;wsp:rsid wsp:val=&quot;694876AE&quot;/&gt;&lt;wsp:rsid wsp:val=&quot;6949691B&quot;/&gt;&lt;wsp:rsid wsp:val=&quot;694A2693&quot;/&gt;&lt;wsp:rsid wsp:val=&quot;694B4F8E&quot;/&gt;&lt;wsp:rsid wsp:val=&quot;694C1F68&quot;/&gt;&lt;wsp:rsid wsp:val=&quot;694C3FC0&quot;/&gt;&lt;wsp:rsid wsp:val=&quot;694C5DD3&quot;/&gt;&lt;wsp:rsid wsp:val=&quot;694E000D&quot;/&gt;&lt;wsp:rsid wsp:val=&quot;694E2071&quot;/&gt;&lt;wsp:rsid wsp:val=&quot;694F1A58&quot;/&gt;&lt;wsp:rsid wsp:val=&quot;694F334A&quot;/&gt;&lt;wsp:rsid wsp:val=&quot;694F4082&quot;/&gt;&lt;wsp:rsid wsp:val=&quot;69531548&quot;/&gt;&lt;wsp:rsid wsp:val=&quot;6953779A&quot;/&gt;&lt;wsp:rsid wsp:val=&quot;69562DE6&quot;/&gt;&lt;wsp:rsid wsp:val=&quot;69564B94&quot;/&gt;&lt;wsp:rsid wsp:val=&quot;69584DB0&quot;/&gt;&lt;wsp:rsid wsp:val=&quot;69586450&quot;/&gt;&lt;wsp:rsid wsp:val=&quot;69586B5E&quot;/&gt;&lt;wsp:rsid wsp:val=&quot;695928D6&quot;/&gt;&lt;wsp:rsid wsp:val=&quot;69594684&quot;/&gt;&lt;wsp:rsid wsp:val=&quot;69597D05&quot;/&gt;&lt;wsp:rsid wsp:val=&quot;695B03FD&quot;/&gt;&lt;wsp:rsid wsp:val=&quot;695B1E07&quot;/&gt;&lt;wsp:rsid wsp:val=&quot;695B664F&quot;/&gt;&lt;wsp:rsid wsp:val=&quot;695D23C7&quot;/&gt;&lt;wsp:rsid wsp:val=&quot;695E1C9B&quot;/&gt;&lt;wsp:rsid wsp:val=&quot;695E7EED&quot;/&gt;&lt;wsp:rsid wsp:val=&quot;69623539&quot;/&gt;&lt;wsp:rsid wsp:val=&quot;69624685&quot;/&gt;&lt;wsp:rsid wsp:val=&quot;69627926&quot;/&gt;&lt;wsp:rsid wsp:val=&quot;69635503&quot;/&gt;&lt;wsp:rsid wsp:val=&quot;69646650&quot;/&gt;&lt;wsp:rsid wsp:val=&quot;69670B4F&quot;/&gt;&lt;wsp:rsid wsp:val=&quot;69676DA1&quot;/&gt;&lt;wsp:rsid wsp:val=&quot;696848C8&quot;/&gt;&lt;wsp:rsid wsp:val=&quot;69692B1A&quot;/&gt;&lt;wsp:rsid wsp:val=&quot;696C204E&quot;/&gt;&lt;wsp:rsid wsp:val=&quot;696D617A&quot;/&gt;&lt;wsp:rsid wsp:val=&quot;696E0130&quot;/&gt;&lt;wsp:rsid wsp:val=&quot;696E6382&quot;/&gt;&lt;wsp:rsid wsp:val=&quot;696F5C56&quot;/&gt;&lt;wsp:rsid wsp:val=&quot;697119CE&quot;/&gt;&lt;wsp:rsid wsp:val=&quot;69717C20&quot;/&gt;&lt;wsp:rsid wsp:val=&quot;697414BE&quot;/&gt;&lt;wsp:rsid wsp:val=&quot;6974326C&quot;/&gt;&lt;wsp:rsid wsp:val=&quot;69747710&quot;/&gt;&lt;wsp:rsid wsp:val=&quot;69754EBD&quot;/&gt;&lt;wsp:rsid wsp:val=&quot;69766163&quot;/&gt;&lt;wsp:rsid wsp:val=&quot;697706BC&quot;/&gt;&lt;wsp:rsid wsp:val=&quot;69780FAF&quot;/&gt;&lt;wsp:rsid wsp:val=&quot;69787200&quot;/&gt;&lt;wsp:rsid wsp:val=&quot;69790883&quot;/&gt;&lt;wsp:rsid wsp:val=&quot;697A3B33&quot;/&gt;&lt;wsp:rsid wsp:val=&quot;697B1C0E&quot;/&gt;&lt;wsp:rsid wsp:val=&quot;697B3329&quot;/&gt;&lt;wsp:rsid wsp:val=&quot;697B45FB&quot;/&gt;&lt;wsp:rsid wsp:val=&quot;697D0373&quot;/&gt;&lt;wsp:rsid wsp:val=&quot;698060B5&quot;/&gt;&lt;wsp:rsid wsp:val=&quot;69823BDB&quot;/&gt;&lt;wsp:rsid wsp:val=&quot;698257CF&quot;/&gt;&lt;wsp:rsid wsp:val=&quot;69841830&quot;/&gt;&lt;wsp:rsid wsp:val=&quot;69847FBD&quot;/&gt;&lt;wsp:rsid wsp:val=&quot;69877444&quot;/&gt;&lt;wsp:rsid wsp:val=&quot;698931BC&quot;/&gt;&lt;wsp:rsid wsp:val=&quot;69894F6A&quot;/&gt;&lt;wsp:rsid wsp:val=&quot;698A2A90&quot;/&gt;&lt;wsp:rsid wsp:val=&quot;698C05B6&quot;/&gt;&lt;wsp:rsid wsp:val=&quot;698E432E&quot;/&gt;&lt;wsp:rsid wsp:val=&quot;69933ADF&quot;/&gt;&lt;wsp:rsid wsp:val=&quot;6994390F&quot;/&gt;&lt;wsp:rsid wsp:val=&quot;69967687&quot;/&gt;&lt;wsp:rsid wsp:val=&quot;69990F25&quot;/&gt;&lt;wsp:rsid wsp:val=&quot;69992CD3&quot;/&gt;&lt;wsp:rsid wsp:val=&quot;699B4C9D&quot;/&gt;&lt;wsp:rsid wsp:val=&quot;699C0FE7&quot;/&gt;&lt;wsp:rsid wsp:val=&quot;699C1B1D&quot;/&gt;&lt;wsp:rsid wsp:val=&quot;699C25E5&quot;/&gt;&lt;wsp:rsid wsp:val=&quot;699D27C3&quot;/&gt;&lt;wsp:rsid wsp:val=&quot;699E7ECE&quot;/&gt;&lt;wsp:rsid wsp:val=&quot;69A022B3&quot;/&gt;&lt;wsp:rsid wsp:val=&quot;69A04061&quot;/&gt;&lt;wsp:rsid wsp:val=&quot;69A1303B&quot;/&gt;&lt;wsp:rsid wsp:val=&quot;69A51678&quot;/&gt;&lt;wsp:rsid wsp:val=&quot;69A52045&quot;/&gt;&lt;wsp:rsid wsp:val=&quot;69A62E9E&quot;/&gt;&lt;wsp:rsid wsp:val=&quot;69A73255&quot;/&gt;&lt;wsp:rsid wsp:val=&quot;69A73642&quot;/&gt;&lt;wsp:rsid wsp:val=&quot;69A91168&quot;/&gt;&lt;wsp:rsid wsp:val=&quot;69AA4EE0&quot;/&gt;&lt;wsp:rsid wsp:val=&quot;69AC2A06&quot;/&gt;&lt;wsp:rsid wsp:val=&quot;69AD1ECC&quot;/&gt;&lt;wsp:rsid wsp:val=&quot;69AE2C22&quot;/&gt;&lt;wsp:rsid wsp:val=&quot;69AE677E&quot;/&gt;&lt;wsp:rsid wsp:val=&quot;69AF24F6&quot;/&gt;&lt;wsp:rsid wsp:val=&quot;69B23F98&quot;/&gt;&lt;wsp:rsid wsp:val=&quot;69B41D9F&quot;/&gt;&lt;wsp:rsid wsp:val=&quot;69B47B0D&quot;/&gt;&lt;wsp:rsid wsp:val=&quot;69B61AD7&quot;/&gt;&lt;wsp:rsid wsp:val=&quot;69B63885&quot;/&gt;&lt;wsp:rsid wsp:val=&quot;69B875FD&quot;/&gt;&lt;wsp:rsid wsp:val=&quot;69BC1994&quot;/&gt;&lt;wsp:rsid wsp:val=&quot;69BC5AB8&quot;/&gt;&lt;wsp:rsid wsp:val=&quot;69BD4C13&quot;/&gt;&lt;wsp:rsid wsp:val=&quot;69BE2739&quot;/&gt;&lt;wsp:rsid wsp:val=&quot;69BE5A22&quot;/&gt;&lt;wsp:rsid wsp:val=&quot;69C02956&quot;/&gt;&lt;wsp:rsid wsp:val=&quot;69C2222A&quot;/&gt;&lt;wsp:rsid wsp:val=&quot;69C45FA2&quot;/&gt;&lt;wsp:rsid wsp:val=&quot;69C51D1A&quot;/&gt;&lt;wsp:rsid wsp:val=&quot;69C537C3&quot;/&gt;&lt;wsp:rsid wsp:val=&quot;69C62FCC&quot;/&gt;&lt;wsp:rsid wsp:val=&quot;69C67F6C&quot;/&gt;&lt;wsp:rsid wsp:val=&quot;69C80215&quot;/&gt;&lt;wsp:rsid wsp:val=&quot;69C9180A&quot;/&gt;&lt;wsp:rsid wsp:val=&quot;69C935B8&quot;/&gt;&lt;wsp:rsid wsp:val=&quot;69CA13F4&quot;/&gt;&lt;wsp:rsid wsp:val=&quot;69CA7330&quot;/&gt;&lt;wsp:rsid wsp:val=&quot;69CB5582&quot;/&gt;&lt;wsp:rsid wsp:val=&quot;69CC30A8&quot;/&gt;&lt;wsp:rsid wsp:val=&quot;69CC4E56&quot;/&gt;&lt;wsp:rsid wsp:val=&quot;69CC6A0F&quot;/&gt;&lt;wsp:rsid wsp:val=&quot;69CD5CFD&quot;/&gt;&lt;wsp:rsid wsp:val=&quot;69CE5072&quot;/&gt;&lt;wsp:rsid wsp:val=&quot;69D02B99&quot;/&gt;&lt;wsp:rsid wsp:val=&quot;69D23E98&quot;/&gt;&lt;wsp:rsid wsp:val=&quot;69D361E5&quot;/&gt;&lt;wsp:rsid wsp:val=&quot;69D41F5D&quot;/&gt;&lt;wsp:rsid wsp:val=&quot;69D44760&quot;/&gt;&lt;wsp:rsid wsp:val=&quot;69D56401&quot;/&gt;&lt;wsp:rsid wsp:val=&quot;69D57C48&quot;/&gt;&lt;wsp:rsid wsp:val=&quot;69D739F8&quot;/&gt;&lt;wsp:rsid wsp:val=&quot;69D837FB&quot;/&gt;&lt;wsp:rsid wsp:val=&quot;69D87C9F&quot;/&gt;&lt;wsp:rsid wsp:val=&quot;69D92DC0&quot;/&gt;&lt;wsp:rsid wsp:val=&quot;69DA2D2B&quot;/&gt;&lt;wsp:rsid wsp:val=&quot;69DA7573&quot;/&gt;&lt;wsp:rsid wsp:val=&quot;69DC2968&quot;/&gt;&lt;wsp:rsid wsp:val=&quot;69DD52B6&quot;/&gt;&lt;wsp:rsid wsp:val=&quot;69DF38CB&quot;/&gt;&lt;wsp:rsid wsp:val=&quot;69E043AA&quot;/&gt;&lt;wsp:rsid wsp:val=&quot;69E228CC&quot;/&gt;&lt;wsp:rsid wsp:val=&quot;69E41409&quot;/&gt;&lt;wsp:rsid wsp:val=&quot;69E421A0&quot;/&gt;&lt;wsp:rsid wsp:val=&quot;69E44896&quot;/&gt;&lt;wsp:rsid wsp:val=&quot;69E55F18&quot;/&gt;&lt;wsp:rsid wsp:val=&quot;69E76134&quot;/&gt;&lt;wsp:rsid wsp:val=&quot;69E860BE&quot;/&gt;&lt;wsp:rsid wsp:val=&quot;69E91EAC&quot;/&gt;&lt;wsp:rsid wsp:val=&quot;69E9754E&quot;/&gt;&lt;wsp:rsid wsp:val=&quot;69EB36E1&quot;/&gt;&lt;wsp:rsid wsp:val=&quot;69EC32FE&quot;/&gt;&lt;wsp:rsid wsp:val=&quot;69EC374B&quot;/&gt;&lt;wsp:rsid wsp:val=&quot;69EC72A7&quot;/&gt;&lt;wsp:rsid wsp:val=&quot;69EE07EF&quot;/&gt;&lt;wsp:rsid wsp:val=&quot;69EE301F&quot;/&gt;&lt;wsp:rsid wsp:val=&quot;69F04FE9&quot;/&gt;&lt;wsp:rsid wsp:val=&quot;69F12B0F&quot;/&gt;&lt;wsp:rsid wsp:val=&quot;69F34AD9&quot;/&gt;&lt;wsp:rsid wsp:val=&quot;69F36887&quot;/&gt;&lt;wsp:rsid wsp:val=&quot;69F37393&quot;/&gt;&lt;wsp:rsid wsp:val=&quot;69F50851&quot;/&gt;&lt;wsp:rsid wsp:val=&quot;69F60125&quot;/&gt;&lt;wsp:rsid wsp:val=&quot;69F66377&quot;/&gt;&lt;wsp:rsid wsp:val=&quot;69F745C9&quot;/&gt;&lt;wsp:rsid wsp:val=&quot;69FA0715&quot;/&gt;&lt;wsp:rsid wsp:val=&quot;69FB0ACA&quot;/&gt;&lt;wsp:rsid wsp:val=&quot;69FB2DF3&quot;/&gt;&lt;wsp:rsid wsp:val=&quot;69FB573C&quot;/&gt;&lt;wsp:rsid wsp:val=&quot;69FC4283&quot;/&gt;&lt;wsp:rsid wsp:val=&quot;69FD14B4&quot;/&gt;&lt;wsp:rsid wsp:val=&quot;69FD7706&quot;/&gt;&lt;wsp:rsid wsp:val=&quot;69FF347E&quot;/&gt;&lt;wsp:rsid wsp:val=&quot;69FF522C&quot;/&gt;&lt;wsp:rsid wsp:val=&quot;69FF6FDA&quot;/&gt;&lt;wsp:rsid wsp:val=&quot;6A002C04&quot;/&gt;&lt;wsp:rsid wsp:val=&quot;6A002C61&quot;/&gt;&lt;wsp:rsid wsp:val=&quot;6A002D52&quot;/&gt;&lt;wsp:rsid wsp:val=&quot;6A022F6E&quot;/&gt;&lt;wsp:rsid wsp:val=&quot;6A026ACA&quot;/&gt;&lt;wsp:rsid wsp:val=&quot;6A0445F0&quot;/&gt;&lt;wsp:rsid wsp:val=&quot;6A0665BA&quot;/&gt;&lt;wsp:rsid wsp:val=&quot;6A0740E0&quot;/&gt;&lt;wsp:rsid wsp:val=&quot;6A0942FC&quot;/&gt;&lt;wsp:rsid wsp:val=&quot;6A097E59&quot;/&gt;&lt;wsp:rsid wsp:val=&quot;6A0A597F&quot;/&gt;&lt;wsp:rsid wsp:val=&quot;6A0E1913&quot;/&gt;&lt;wsp:rsid wsp:val=&quot;6A0E36C1&quot;/&gt;&lt;wsp:rsid wsp:val=&quot;6A0E7063&quot;/&gt;&lt;wsp:rsid wsp:val=&quot;6A102F95&quot;/&gt;&lt;wsp:rsid wsp:val=&quot;6A1052CA&quot;/&gt;&lt;wsp:rsid wsp:val=&quot;6A136F29&quot;/&gt;&lt;wsp:rsid wsp:val=&quot;6A154A4F&quot;/&gt;&lt;wsp:rsid wsp:val=&quot;6A162576&quot;/&gt;&lt;wsp:rsid wsp:val=&quot;6A1707C7&quot;/&gt;&lt;wsp:rsid wsp:val=&quot;6A18009C&quot;/&gt;&lt;wsp:rsid wsp:val=&quot;6A1A02B8&quot;/&gt;&lt;wsp:rsid wsp:val=&quot;6A1A2066&quot;/&gt;&lt;wsp:rsid wsp:val=&quot;6A1C5DDE&quot;/&gt;&lt;wsp:rsid wsp:val=&quot;6A1D6ADE&quot;/&gt;&lt;wsp:rsid wsp:val=&quot;6A1F652A&quot;/&gt;&lt;wsp:rsid wsp:val=&quot;6A203D51&quot;/&gt;&lt;wsp:rsid wsp:val=&quot;6A204463&quot;/&gt;&lt;wsp:rsid wsp:val=&quot;6A2048FC&quot;/&gt;&lt;wsp:rsid wsp:val=&quot;6A2151A2&quot;/&gt;&lt;wsp:rsid wsp:val=&quot;6A215566&quot;/&gt;&lt;wsp:rsid wsp:val=&quot;6A233AA2&quot;/&gt;&lt;wsp:rsid wsp:val=&quot;6A242EE4&quot;/&gt;&lt;wsp:rsid wsp:val=&quot;6A244C92&quot;/&gt;&lt;wsp:rsid wsp:val=&quot;6A246A40&quot;/&gt;&lt;wsp:rsid wsp:val=&quot;6A255214&quot;/&gt;&lt;wsp:rsid wsp:val=&quot;6A2922A9&quot;/&gt;&lt;wsp:rsid wsp:val=&quot;6A2B4273&quot;/&gt;&lt;wsp:rsid wsp:val=&quot;6A2E5C82&quot;/&gt;&lt;wsp:rsid wsp:val=&quot;6A303637&quot;/&gt;&lt;wsp:rsid wsp:val=&quot;6A314661&quot;/&gt;&lt;wsp:rsid wsp:val=&quot;6A315D44&quot;/&gt;&lt;wsp:rsid wsp:val=&quot;6A325601&quot;/&gt;&lt;wsp:rsid wsp:val=&quot;6A3273AF&quot;/&gt;&lt;wsp:rsid wsp:val=&quot;6A330664&quot;/&gt;&lt;wsp:rsid wsp:val=&quot;6A342511&quot;/&gt;&lt;wsp:rsid wsp:val=&quot;6A372C18&quot;/&gt;&lt;wsp:rsid wsp:val=&quot;6A3749C6&quot;/&gt;&lt;wsp:rsid wsp:val=&quot;6A39656C&quot;/&gt;&lt;wsp:rsid wsp:val=&quot;6A3A2708&quot;/&gt;&lt;wsp:rsid wsp:val=&quot;6A3B3D8A&quot;/&gt;&lt;wsp:rsid wsp:val=&quot;6A3C6480&quot;/&gt;&lt;wsp:rsid wsp:val=&quot;6A3D3FA6&quot;/&gt;&lt;wsp:rsid wsp:val=&quot;6A3F387A&quot;/&gt;&lt;wsp:rsid wsp:val=&quot;6A3F7D1E&quot;/&gt;&lt;wsp:rsid wsp:val=&quot;6A4175F2&quot;/&gt;&lt;wsp:rsid wsp:val=&quot;6A42336B&quot;/&gt;&lt;wsp:rsid wsp:val=&quot;6A4315BC&quot;/&gt;&lt;wsp:rsid wsp:val=&quot;6A4610AD&quot;/&gt;&lt;wsp:rsid wsp:val=&quot;6A486BD3&quot;/&gt;&lt;wsp:rsid wsp:val=&quot;6A4964A7&quot;/&gt;&lt;wsp:rsid wsp:val=&quot;6A4B47ED&quot;/&gt;&lt;wsp:rsid wsp:val=&quot;6A4B68EB&quot;/&gt;&lt;wsp:rsid wsp:val=&quot;6A4C5F97&quot;/&gt;&lt;wsp:rsid wsp:val=&quot;6A4D243B&quot;/&gt;&lt;wsp:rsid wsp:val=&quot;6A4D41E9&quot;/&gt;&lt;wsp:rsid wsp:val=&quot;6A4E79CD&quot;/&gt;&lt;wsp:rsid wsp:val=&quot;6A4E7F61&quot;/&gt;&lt;wsp:rsid wsp:val=&quot;6A4F7217&quot;/&gt;&lt;wsp:rsid wsp:val=&quot;6A507835&quot;/&gt;&lt;wsp:rsid wsp:val=&quot;6A520EC7&quot;/&gt;&lt;wsp:rsid wsp:val=&quot;6A535578&quot;/&gt;&lt;wsp:rsid wsp:val=&quot;6A550E2D&quot;/&gt;&lt;wsp:rsid wsp:val=&quot;6A570BC4&quot;/&gt;&lt;wsp:rsid wsp:val=&quot;6A571163&quot;/&gt;&lt;wsp:rsid wsp:val=&quot;6A575068&quot;/&gt;&lt;wsp:rsid wsp:val=&quot;6A58493C&quot;/&gt;&lt;wsp:rsid wsp:val=&quot;6A586EF6&quot;/&gt;&lt;wsp:rsid wsp:val=&quot;6A5A06B4&quot;/&gt;&lt;wsp:rsid wsp:val=&quot;6A5A6906&quot;/&gt;&lt;wsp:rsid wsp:val=&quot;6A5C612F&quot;/&gt;&lt;wsp:rsid wsp:val=&quot;6A615EE7&quot;/&gt;&lt;wsp:rsid wsp:val=&quot;6A6257BB&quot;/&gt;&lt;wsp:rsid wsp:val=&quot;6A633A0D&quot;/&gt;&lt;wsp:rsid wsp:val=&quot;6A6652AB&quot;/&gt;&lt;wsp:rsid wsp:val=&quot;6A667059&quot;/&gt;&lt;wsp:rsid wsp:val=&quot;6A682DD1&quot;/&gt;&lt;wsp:rsid wsp:val=&quot;6A6908F7&quot;/&gt;&lt;wsp:rsid wsp:val=&quot;6A6B28C1&quot;/&gt;&lt;wsp:rsid wsp:val=&quot;6A6B3CAB&quot;/&gt;&lt;wsp:rsid wsp:val=&quot;6A6D488B&quot;/&gt;&lt;wsp:rsid wsp:val=&quot;6A6D6639&quot;/&gt;&lt;wsp:rsid wsp:val=&quot;6A6F5AC6&quot;/&gt;&lt;wsp:rsid wsp:val=&quot;6A701C86&quot;/&gt;&lt;wsp:rsid wsp:val=&quot;6A70612A&quot;/&gt;&lt;wsp:rsid wsp:val=&quot;6A723956&quot;/&gt;&lt;wsp:rsid wsp:val=&quot;6A73288F&quot;/&gt;&lt;wsp:rsid wsp:val=&quot;6A752FE8&quot;/&gt;&lt;wsp:rsid wsp:val=&quot;6A764478&quot;/&gt;&lt;wsp:rsid wsp:val=&quot;6A771266&quot;/&gt;&lt;wsp:rsid wsp:val=&quot;6A7774B8&quot;/&gt;&lt;wsp:rsid wsp:val=&quot;6A791969&quot;/&gt;&lt;wsp:rsid wsp:val=&quot;6A793230&quot;/&gt;&lt;wsp:rsid wsp:val=&quot;6A794FDE&quot;/&gt;&lt;wsp:rsid wsp:val=&quot;6A7A6FA8&quot;/&gt;&lt;wsp:rsid wsp:val=&quot;6A7C4ACE&quot;/&gt;&lt;wsp:rsid wsp:val=&quot;6A7C687C&quot;/&gt;&lt;wsp:rsid wsp:val=&quot;6A7F636D&quot;/&gt;&lt;wsp:rsid wsp:val=&quot;6A7F77C4&quot;/&gt;&lt;wsp:rsid wsp:val=&quot;6A815C41&quot;/&gt;&lt;wsp:rsid wsp:val=&quot;6A8219B9&quot;/&gt;&lt;wsp:rsid wsp:val=&quot;6A835D38&quot;/&gt;&lt;wsp:rsid wsp:val=&quot;6A841BD5&quot;/&gt;&lt;wsp:rsid wsp:val=&quot;6A842057&quot;/&gt;&lt;wsp:rsid wsp:val=&quot;6A88688D&quot;/&gt;&lt;wsp:rsid wsp:val=&quot;6A8A71EB&quot;/&gt;&lt;wsp:rsid wsp:val=&quot;6A8B2F63&quot;/&gt;&lt;wsp:rsid wsp:val=&quot;6A8C669E&quot;/&gt;&lt;wsp:rsid wsp:val=&quot;6A8D6A57&quot;/&gt;&lt;wsp:rsid wsp:val=&quot;6A8D6CDC&quot;/&gt;&lt;wsp:rsid wsp:val=&quot;6A8E035E&quot;/&gt;&lt;wsp:rsid wsp:val=&quot;6A8F4802&quot;/&gt;&lt;wsp:rsid wsp:val=&quot;6A8F6E4D&quot;/&gt;&lt;wsp:rsid wsp:val=&quot;6A901ED2&quot;/&gt;&lt;wsp:rsid wsp:val=&quot;6A9040D6&quot;/&gt;&lt;wsp:rsid wsp:val=&quot;6A9260A0&quot;/&gt;&lt;wsp:rsid wsp:val=&quot;6A9516EC&quot;/&gt;&lt;wsp:rsid wsp:val=&quot;6A96674C&quot;/&gt;&lt;wsp:rsid wsp:val=&quot;6A971908&quot;/&gt;&lt;wsp:rsid wsp:val=&quot;6A9736B6&quot;/&gt;&lt;wsp:rsid wsp:val=&quot;6A974EF2&quot;/&gt;&lt;wsp:rsid wsp:val=&quot;6A99742E&quot;/&gt;&lt;wsp:rsid wsp:val=&quot;6A9A353A&quot;/&gt;&lt;wsp:rsid wsp:val=&quot;6A9A4F55&quot;/&gt;&lt;wsp:rsid wsp:val=&quot;6A9E0AB3&quot;/&gt;&lt;wsp:rsid wsp:val=&quot;6A9E2C97&quot;/&gt;&lt;wsp:rsid wsp:val=&quot;6A9E4A45&quot;/&gt;&lt;wsp:rsid wsp:val=&quot;6AA15FA4&quot;/&gt;&lt;wsp:rsid wsp:val=&quot;6AA208C4&quot;/&gt;&lt;wsp:rsid wsp:val=&quot;6AA3205B&quot;/&gt;&lt;wsp:rsid wsp:val=&quot;6AA45DD3&quot;/&gt;&lt;wsp:rsid wsp:val=&quot;6AA47B81&quot;/&gt;&lt;wsp:rsid wsp:val=&quot;6AA61B4B&quot;/&gt;&lt;wsp:rsid wsp:val=&quot;6AA72CE0&quot;/&gt;&lt;wsp:rsid wsp:val=&quot;6AA858C3&quot;/&gt;&lt;wsp:rsid wsp:val=&quot;6AA87672&quot;/&gt;&lt;wsp:rsid wsp:val=&quot;6AA933EA&quot;/&gt;&lt;wsp:rsid wsp:val=&quot;6AAB0F10&quot;/&gt;&lt;wsp:rsid wsp:val=&quot;6AAB7162&quot;/&gt;&lt;wsp:rsid wsp:val=&quot;6AAE1120&quot;/&gt;&lt;wsp:rsid wsp:val=&quot;6AAF6C52&quot;/&gt;&lt;wsp:rsid wsp:val=&quot;6AB2229E&quot;/&gt;&lt;wsp:rsid wsp:val=&quot;6AB26742&quot;/&gt;&lt;wsp:rsid wsp:val=&quot;6AB3133E&quot;/&gt;&lt;wsp:rsid wsp:val=&quot;6AB37DC4&quot;/&gt;&lt;wsp:rsid wsp:val=&quot;6AB53B3C&quot;/&gt;&lt;wsp:rsid wsp:val=&quot;6AB57FE0&quot;/&gt;&lt;wsp:rsid wsp:val=&quot;6AB73D58&quot;/&gt;&lt;wsp:rsid wsp:val=&quot;6AB778B5&quot;/&gt;&lt;wsp:rsid wsp:val=&quot;6AB853DB&quot;/&gt;&lt;wsp:rsid wsp:val=&quot;6AB9187F&quot;/&gt;&lt;wsp:rsid wsp:val=&quot;6AB9362D&quot;/&gt;&lt;wsp:rsid wsp:val=&quot;6ABA73A5&quot;/&gt;&lt;wsp:rsid wsp:val=&quot;6ABE0C43&quot;/&gt;&lt;wsp:rsid wsp:val=&quot;6ABF49BB&quot;/&gt;&lt;wsp:rsid wsp:val=&quot;6AC00E5F&quot;/&gt;&lt;wsp:rsid wsp:val=&quot;6AC020D7&quot;/&gt;&lt;wsp:rsid wsp:val=&quot;6AC029BD&quot;/&gt;&lt;wsp:rsid wsp:val=&quot;6AC10733&quot;/&gt;&lt;wsp:rsid wsp:val=&quot;6AC2155B&quot;/&gt;&lt;wsp:rsid wsp:val=&quot;6AC3133E&quot;/&gt;&lt;wsp:rsid wsp:val=&quot;6AC344AB&quot;/&gt;&lt;wsp:rsid wsp:val=&quot;6AC36259&quot;/&gt;&lt;wsp:rsid wsp:val=&quot;6AC50223&quot;/&gt;&lt;wsp:rsid wsp:val=&quot;6AC63F9C&quot;/&gt;&lt;wsp:rsid wsp:val=&quot;6AC65D4A&quot;/&gt;&lt;wsp:rsid wsp:val=&quot;6AC87D14&quot;/&gt;&lt;wsp:rsid wsp:val=&quot;6AC975E8&quot;/&gt;&lt;wsp:rsid wsp:val=&quot;6ACA3A8C&quot;/&gt;&lt;wsp:rsid wsp:val=&quot;6ACA5C60&quot;/&gt;&lt;wsp:rsid wsp:val=&quot;6ACB15B2&quot;/&gt;&lt;wsp:rsid wsp:val=&quot;6ACC3B31&quot;/&gt;&lt;wsp:rsid wsp:val=&quot;6ACD532A&quot;/&gt;&lt;wsp:rsid wsp:val=&quot;6ACD70D8&quot;/&gt;&lt;wsp:rsid wsp:val=&quot;6AD05083&quot;/&gt;&lt;wsp:rsid wsp:val=&quot;6AD06BC8&quot;/&gt;&lt;wsp:rsid wsp:val=&quot;6AD13942&quot;/&gt;&lt;wsp:rsid wsp:val=&quot;6AD211B1&quot;/&gt;&lt;wsp:rsid wsp:val=&quot;6AD263C3&quot;/&gt;&lt;wsp:rsid wsp:val=&quot;6AD40467&quot;/&gt;&lt;wsp:rsid wsp:val=&quot;6AD411D9&quot;/&gt;&lt;wsp:rsid wsp:val=&quot;6AD541DF&quot;/&gt;&lt;wsp:rsid wsp:val=&quot;6AD55F8D&quot;/&gt;&lt;wsp:rsid wsp:val=&quot;6AD66324&quot;/&gt;&lt;wsp:rsid wsp:val=&quot;6AD77F57&quot;/&gt;&lt;wsp:rsid wsp:val=&quot;6ADA17F5&quot;/&gt;&lt;wsp:rsid wsp:val=&quot;6ADA35A3&quot;/&gt;&lt;wsp:rsid wsp:val=&quot;6ADC556D&quot;/&gt;&lt;wsp:rsid wsp:val=&quot;6ADD2FCC&quot;/&gt;&lt;wsp:rsid wsp:val=&quot;6ADE12E5&quot;/&gt;&lt;wsp:rsid wsp:val=&quot;6ADE3093&quot;/&gt;&lt;wsp:rsid wsp:val=&quot;6ADE7537&quot;/&gt;&lt;wsp:rsid wsp:val=&quot;6ADF0BB9&quot;/&gt;&lt;wsp:rsid wsp:val=&quot;6ADF127C&quot;/&gt;&lt;wsp:rsid wsp:val=&quot;6AE01C3A&quot;/&gt;&lt;wsp:rsid wsp:val=&quot;6AE01FA6&quot;/&gt;&lt;wsp:rsid wsp:val=&quot;6AE0505D&quot;/&gt;&lt;wsp:rsid wsp:val=&quot;6AE1287C&quot;/&gt;&lt;wsp:rsid wsp:val=&quot;6AE12B83&quot;/&gt;&lt;wsp:rsid wsp:val=&quot;6AE14931&quot;/&gt;&lt;wsp:rsid wsp:val=&quot;6AE306AA&quot;/&gt;&lt;wsp:rsid wsp:val=&quot;6AE508C6&quot;/&gt;&lt;wsp:rsid wsp:val=&quot;6AE52674&quot;/&gt;&lt;wsp:rsid wsp:val=&quot;6AE54422&quot;/&gt;&lt;wsp:rsid wsp:val=&quot;6AE6019A&quot;/&gt;&lt;wsp:rsid wsp:val=&quot;6AE70738&quot;/&gt;&lt;wsp:rsid wsp:val=&quot;6AE83F12&quot;/&gt;&lt;wsp:rsid wsp:val=&quot;6AE96852&quot;/&gt;&lt;wsp:rsid wsp:val=&quot;6AEA6B50&quot;/&gt;&lt;wsp:rsid wsp:val=&quot;6AEB3A02&quot;/&gt;&lt;wsp:rsid wsp:val=&quot;6AEB755E&quot;/&gt;&lt;wsp:rsid wsp:val=&quot;6AED19D9&quot;/&gt;&lt;wsp:rsid wsp:val=&quot;6AED78BD&quot;/&gt;&lt;wsp:rsid wsp:val=&quot;6AF01018&quot;/&gt;&lt;wsp:rsid wsp:val=&quot;6AF26B3F&quot;/&gt;&lt;wsp:rsid wsp:val=&quot;6AF36CDB&quot;/&gt;&lt;wsp:rsid wsp:val=&quot;6AF4016B&quot;/&gt;&lt;wsp:rsid wsp:val=&quot;6AF40B09&quot;/&gt;&lt;wsp:rsid wsp:val=&quot;6AF44665&quot;/&gt;&lt;wsp:rsid wsp:val=&quot;6AF503DD&quot;/&gt;&lt;wsp:rsid wsp:val=&quot;6AF6662F&quot;/&gt;&lt;wsp:rsid wsp:val=&quot;6AF87E20&quot;/&gt;&lt;wsp:rsid wsp:val=&quot;6AF944CC&quot;/&gt;&lt;wsp:rsid wsp:val=&quot;6AF9611F&quot;/&gt;&lt;wsp:rsid wsp:val=&quot;6AFA59F3&quot;/&gt;&lt;wsp:rsid wsp:val=&quot;6AFF2C57&quot;/&gt;&lt;wsp:rsid wsp:val=&quot;6AFF300A&quot;/&gt;&lt;wsp:rsid wsp:val=&quot;6AFF671E&quot;/&gt;&lt;wsp:rsid wsp:val=&quot;6B036F9E&quot;/&gt;&lt;wsp:rsid wsp:val=&quot;6B054AC4&quot;/&gt;&lt;wsp:rsid wsp:val=&quot;6B0625EA&quot;/&gt;&lt;wsp:rsid wsp:val=&quot;6B064398&quot;/&gt;&lt;wsp:rsid wsp:val=&quot;6B07083C&quot;/&gt;&lt;wsp:rsid wsp:val=&quot;6B0B7C00&quot;/&gt;&lt;wsp:rsid wsp:val=&quot;6B0C451A&quot;/&gt;&lt;wsp:rsid wsp:val=&quot;6B0C5E52&quot;/&gt;&lt;wsp:rsid wsp:val=&quot;6B0D5727&quot;/&gt;&lt;wsp:rsid wsp:val=&quot;6B0E5024&quot;/&gt;&lt;wsp:rsid wsp:val=&quot;6B105217&quot;/&gt;&lt;wsp:rsid wsp:val=&quot;6B1116BB&quot;/&gt;&lt;wsp:rsid wsp:val=&quot;6B120F8F&quot;/&gt;&lt;wsp:rsid wsp:val=&quot;6B15282D&quot;/&gt;&lt;wsp:rsid wsp:val=&quot;6B1637B6&quot;/&gt;&lt;wsp:rsid wsp:val=&quot;6B1765A5&quot;/&gt;&lt;wsp:rsid wsp:val=&quot;6B182A49&quot;/&gt;&lt;wsp:rsid wsp:val=&quot;6B187579&quot;/&gt;&lt;wsp:rsid wsp:val=&quot;6B19056F&quot;/&gt;&lt;wsp:rsid wsp:val=&quot;6B1940CB&quot;/&gt;&lt;wsp:rsid wsp:val=&quot;6B1B6095&quot;/&gt;&lt;wsp:rsid wsp:val=&quot;6B1B793F&quot;/&gt;&lt;wsp:rsid wsp:val=&quot;6B1C27D3&quot;/&gt;&lt;wsp:rsid wsp:val=&quot;6B1C3BBC&quot;/&gt;&lt;wsp:rsid wsp:val=&quot;6B1D005F&quot;/&gt;&lt;wsp:rsid wsp:val=&quot;6B1E7934&quot;/&gt;&lt;wsp:rsid wsp:val=&quot;6B223384&quot;/&gt;&lt;wsp:rsid wsp:val=&quot;6B250CC2&quot;/&gt;&lt;wsp:rsid wsp:val=&quot;6B272C8C&quot;/&gt;&lt;wsp:rsid wsp:val=&quot;6B2807B2&quot;/&gt;&lt;wsp:rsid wsp:val=&quot;6B282560&quot;/&gt;&lt;wsp:rsid wsp:val=&quot;6B283627&quot;/&gt;&lt;wsp:rsid wsp:val=&quot;6B291D9C&quot;/&gt;&lt;wsp:rsid wsp:val=&quot;6B2A0087&quot;/&gt;&lt;wsp:rsid wsp:val=&quot;6B2A277C&quot;/&gt;&lt;wsp:rsid wsp:val=&quot;6B2A501B&quot;/&gt;&lt;wsp:rsid wsp:val=&quot;6B2B460C&quot;/&gt;&lt;wsp:rsid wsp:val=&quot;6B2C2051&quot;/&gt;&lt;wsp:rsid wsp:val=&quot;6B2C59DC&quot;/&gt;&lt;wsp:rsid wsp:val=&quot;6B2E02FC&quot;/&gt;&lt;wsp:rsid wsp:val=&quot;6B2F38EF&quot;/&gt;&lt;wsp:rsid wsp:val=&quot;6B2F7D93&quot;/&gt;&lt;wsp:rsid wsp:val=&quot;6B321631&quot;/&gt;&lt;wsp:rsid wsp:val=&quot;6B322639&quot;/&gt;&lt;wsp:rsid wsp:val=&quot;6B32518D&quot;/&gt;&lt;wsp:rsid wsp:val=&quot;6B361121&quot;/&gt;&lt;wsp:rsid wsp:val=&quot;6B36165F&quot;/&gt;&lt;wsp:rsid wsp:val=&quot;6B3727A3&quot;/&gt;&lt;wsp:rsid wsp:val=&quot;6B383103&quot;/&gt;&lt;wsp:rsid wsp:val=&quot;6B396213&quot;/&gt;&lt;wsp:rsid wsp:val=&quot;6B39651C&quot;/&gt;&lt;wsp:rsid wsp:val=&quot;6B3B6738&quot;/&gt;&lt;wsp:rsid wsp:val=&quot;6B3C600C&quot;/&gt;&lt;wsp:rsid wsp:val=&quot;6B3D425E&quot;/&gt;&lt;wsp:rsid wsp:val=&quot;6B3E7FD6&quot;/&gt;&lt;wsp:rsid wsp:val=&quot;6B404453&quot;/&gt;&lt;wsp:rsid wsp:val=&quot;6B421D71&quot;/&gt;&lt;wsp:rsid wsp:val=&quot;6B4227D3&quot;/&gt;&lt;wsp:rsid wsp:val=&quot;6B451364&quot;/&gt;&lt;wsp:rsid wsp:val=&quot;6B4725E4&quot;/&gt;&lt;wsp:rsid wsp:val=&quot;6B482C03&quot;/&gt;&lt;wsp:rsid wsp:val=&quot;6B4A24D7&quot;/&gt;&lt;wsp:rsid wsp:val=&quot;6B4A697B&quot;/&gt;&lt;wsp:rsid wsp:val=&quot;6B4B3B36&quot;/&gt;&lt;wsp:rsid wsp:val=&quot;6B4C26F3&quot;/&gt;&lt;wsp:rsid wsp:val=&quot;6B4C44A1&quot;/&gt;&lt;wsp:rsid wsp:val=&quot;6B4D1FC7&quot;/&gt;&lt;wsp:rsid wsp:val=&quot;6B4E646B&quot;/&gt;&lt;wsp:rsid wsp:val=&quot;6B525ADE&quot;/&gt;&lt;wsp:rsid wsp:val=&quot;6B5275DD&quot;/&gt;&lt;wsp:rsid wsp:val=&quot;6B530B87&quot;/&gt;&lt;wsp:rsid wsp:val=&quot;6B533A81&quot;/&gt;&lt;wsp:rsid wsp:val=&quot;6B5415A7&quot;/&gt;&lt;wsp:rsid wsp:val=&quot;6B56531F&quot;/&gt;&lt;wsp:rsid wsp:val=&quot;6B5670CE&quot;/&gt;&lt;wsp:rsid wsp:val=&quot;6B594E10&quot;/&gt;&lt;wsp:rsid wsp:val=&quot;6B596BBE&quot;/&gt;&lt;wsp:rsid wsp:val=&quot;6B5C045C&quot;/&gt;&lt;wsp:rsid wsp:val=&quot;6B607F4C&quot;/&gt;&lt;wsp:rsid wsp:val=&quot;6B61607B&quot;/&gt;&lt;wsp:rsid wsp:val=&quot;6B623CC4&quot;/&gt;&lt;wsp:rsid wsp:val=&quot;6B625A72&quot;/&gt;&lt;wsp:rsid wsp:val=&quot;6B6317EA&quot;/&gt;&lt;wsp:rsid wsp:val=&quot;6B6537B4&quot;/&gt;&lt;wsp:rsid wsp:val=&quot;6B6663C0&quot;/&gt;&lt;wsp:rsid wsp:val=&quot;6B67752D&quot;/&gt;&lt;wsp:rsid wsp:val=&quot;6B685053&quot;/&gt;&lt;wsp:rsid wsp:val=&quot;6B6932A5&quot;/&gt;&lt;wsp:rsid wsp:val=&quot;6B6A0DCB&quot;/&gt;&lt;wsp:rsid wsp:val=&quot;6B6B029E&quot;/&gt;&lt;wsp:rsid wsp:val=&quot;6B6B6B6D&quot;/&gt;&lt;wsp:rsid wsp:val=&quot;6B6C069F&quot;/&gt;&lt;wsp:rsid wsp:val=&quot;6B6C68F1&quot;/&gt;&lt;wsp:rsid wsp:val=&quot;6B6D2669&quot;/&gt;&lt;wsp:rsid wsp:val=&quot;6B6E31C9&quot;/&gt;&lt;wsp:rsid wsp:val=&quot;6B6F018F&quot;/&gt;&lt;wsp:rsid wsp:val=&quot;6B713F07&quot;/&gt;&lt;wsp:rsid wsp:val=&quot;6B714110&quot;/&gt;&lt;wsp:rsid wsp:val=&quot;6B715CB5&quot;/&gt;&lt;wsp:rsid wsp:val=&quot;6B7215AE&quot;/&gt;&lt;wsp:rsid wsp:val=&quot;6B7255A0&quot;/&gt;&lt;wsp:rsid wsp:val=&quot;6B741C4A&quot;/&gt;&lt;wsp:rsid wsp:val=&quot;6B767770&quot;/&gt;&lt;wsp:rsid wsp:val=&quot;6B777044&quot;/&gt;&lt;wsp:rsid wsp:val=&quot;6B7B2FD8&quot;/&gt;&lt;wsp:rsid wsp:val=&quot;6B7B6B34&quot;/&gt;&lt;wsp:rsid wsp:val=&quot;6B7C2CD8&quot;/&gt;&lt;wsp:rsid wsp:val=&quot;6B7D28AC&quot;/&gt;&lt;wsp:rsid wsp:val=&quot;6B8005EE&quot;/&gt;&lt;wsp:rsid wsp:val=&quot;6B80414A&quot;/&gt;&lt;wsp:rsid wsp:val=&quot;6B81194E&quot;/&gt;&lt;wsp:rsid wsp:val=&quot;6B811C71&quot;/&gt;&lt;wsp:rsid wsp:val=&quot;6B826114&quot;/&gt;&lt;wsp:rsid wsp:val=&quot;6B841E8D&quot;/&gt;&lt;wsp:rsid wsp:val=&quot;6B855FC9&quot;/&gt;&lt;wsp:rsid wsp:val=&quot;6B8579B3&quot;/&gt;&lt;wsp:rsid wsp:val=&quot;6B8754D9&quot;/&gt;&lt;wsp:rsid wsp:val=&quot;6B882FFF&quot;/&gt;&lt;wsp:rsid wsp:val=&quot;6B8A321B&quot;/&gt;&lt;wsp:rsid wsp:val=&quot;6B8C0D41&quot;/&gt;&lt;wsp:rsid wsp:val=&quot;6B8D0FF1&quot;/&gt;&lt;wsp:rsid wsp:val=&quot;6B8E2D0B&quot;/&gt;&lt;wsp:rsid wsp:val=&quot;6B8F438D&quot;/&gt;&lt;wsp:rsid wsp:val=&quot;6B910106&quot;/&gt;&lt;wsp:rsid wsp:val=&quot;6B93163B&quot;/&gt;&lt;wsp:rsid wsp:val=&quot;6B934FA4&quot;/&gt;&lt;wsp:rsid wsp:val=&quot;6B946AC1&quot;/&gt;&lt;wsp:rsid wsp:val=&quot;6B947BF6&quot;/&gt;&lt;wsp:rsid wsp:val=&quot;6B95409A&quot;/&gt;&lt;wsp:rsid wsp:val=&quot;6B9611C2&quot;/&gt;&lt;wsp:rsid wsp:val=&quot;6B96571C&quot;/&gt;&lt;wsp:rsid wsp:val=&quot;6B99520C&quot;/&gt;&lt;wsp:rsid wsp:val=&quot;6B995C5F&quot;/&gt;&lt;wsp:rsid wsp:val=&quot;6B9A06A5&quot;/&gt;&lt;wsp:rsid wsp:val=&quot;6B9A5EED&quot;/&gt;&lt;wsp:rsid wsp:val=&quot;6B9B16D8&quot;/&gt;&lt;wsp:rsid wsp:val=&quot;6B9D6AAA&quot;/&gt;&lt;wsp:rsid wsp:val=&quot;6B9E7389&quot;/&gt;&lt;wsp:rsid wsp:val=&quot;6BA047ED&quot;/&gt;&lt;wsp:rsid wsp:val=&quot;6BA25323&quot;/&gt;&lt;wsp:rsid wsp:val=&quot;6BA270AA&quot;/&gt;&lt;wsp:rsid wsp:val=&quot;6BA442DD&quot;/&gt;&lt;wsp:rsid wsp:val=&quot;6BA55A78&quot;/&gt;&lt;wsp:rsid wsp:val=&quot;6BA625AC&quot;/&gt;&lt;wsp:rsid wsp:val=&quot;6BA73DCD&quot;/&gt;&lt;wsp:rsid wsp:val=&quot;6BA8544F&quot;/&gt;&lt;wsp:rsid wsp:val=&quot;6BA936A1&quot;/&gt;&lt;wsp:rsid wsp:val=&quot;6BAA7419&quot;/&gt;&lt;wsp:rsid wsp:val=&quot;6BAF67DE&quot;/&gt;&lt;wsp:rsid wsp:val=&quot;6BB00113&quot;/&gt;&lt;wsp:rsid wsp:val=&quot;6BB35604&quot;/&gt;&lt;wsp:rsid wsp:val=&quot;6BB42046&quot;/&gt;&lt;wsp:rsid wsp:val=&quot;6BB64010&quot;/&gt;&lt;wsp:rsid wsp:val=&quot;6BB65DBE&quot;/&gt;&lt;wsp:rsid wsp:val=&quot;6BB86C0A&quot;/&gt;&lt;wsp:rsid wsp:val=&quot;6BB87D88&quot;/&gt;&lt;wsp:rsid wsp:val=&quot;6BB92554&quot;/&gt;&lt;wsp:rsid wsp:val=&quot;6BBA6E3D&quot;/&gt;&lt;wsp:rsid wsp:val=&quot;6BBB33D4&quot;/&gt;&lt;wsp:rsid wsp:val=&quot;6BBD714D&quot;/&gt;&lt;wsp:rsid wsp:val=&quot;6BC009EB&quot;/&gt;&lt;wsp:rsid wsp:val=&quot;6BC32289&quot;/&gt;&lt;wsp:rsid wsp:val=&quot;6BC404DB&quot;/&gt;&lt;wsp:rsid wsp:val=&quot;6BC95AF1&quot;/&gt;&lt;wsp:rsid wsp:val=&quot;6BCC4CAB&quot;/&gt;&lt;wsp:rsid wsp:val=&quot;6BCE3108&quot;/&gt;&lt;wsp:rsid wsp:val=&quot;6BCE4EB6&quot;/&gt;&lt;wsp:rsid wsp:val=&quot;6BCF0C2E&quot;/&gt;&lt;wsp:rsid wsp:val=&quot;6BCF6E80&quot;/&gt;&lt;wsp:rsid wsp:val=&quot;6BD01E2A&quot;/&gt;&lt;wsp:rsid wsp:val=&quot;6BD051C5&quot;/&gt;&lt;wsp:rsid wsp:val=&quot;6BD06690&quot;/&gt;&lt;wsp:rsid wsp:val=&quot;6BD2201D&quot;/&gt;&lt;wsp:rsid wsp:val=&quot;6BD2767D&quot;/&gt;&lt;wsp:rsid wsp:val=&quot;6BD334AD&quot;/&gt;&lt;wsp:rsid wsp:val=&quot;6BD526E8&quot;/&gt;&lt;wsp:rsid wsp:val=&quot;6BD55A96&quot;/&gt;&lt;wsp:rsid wsp:val=&quot;6BD61FBC&quot;/&gt;&lt;wsp:rsid wsp:val=&quot;6BD821D8&quot;/&gt;&lt;wsp:rsid wsp:val=&quot;6BD83F86&quot;/&gt;&lt;wsp:rsid wsp:val=&quot;6BD91AAD&quot;/&gt;&lt;wsp:rsid wsp:val=&quot;6BD9385B&quot;/&gt;&lt;wsp:rsid wsp:val=&quot;6BD951E1&quot;/&gt;&lt;wsp:rsid wsp:val=&quot;6BDA7CFF&quot;/&gt;&lt;wsp:rsid wsp:val=&quot;6BDB3A77&quot;/&gt;&lt;wsp:rsid wsp:val=&quot;6BDB5825&quot;/&gt;&lt;wsp:rsid wsp:val=&quot;6BDD159D&quot;/&gt;&lt;wsp:rsid wsp:val=&quot;6BE04BE9&quot;/&gt;&lt;wsp:rsid wsp:val=&quot;6BE24E05&quot;/&gt;&lt;wsp:rsid wsp:val=&quot;6BE40B7D&quot;/&gt;&lt;wsp:rsid wsp:val=&quot;6BE50451&quot;/&gt;&lt;wsp:rsid wsp:val=&quot;6BE566A3&quot;/&gt;&lt;wsp:rsid wsp:val=&quot;6BE6092A&quot;/&gt;&lt;wsp:rsid wsp:val=&quot;6BE84243&quot;/&gt;&lt;wsp:rsid wsp:val=&quot;6BE96194&quot;/&gt;&lt;wsp:rsid wsp:val=&quot;6BEA5A68&quot;/&gt;&lt;wsp:rsid wsp:val=&quot;6BEB1F0C&quot;/&gt;&lt;wsp:rsid wsp:val=&quot;6BEB5CFD&quot;/&gt;&lt;wsp:rsid wsp:val=&quot;6BEC17E0&quot;/&gt;&lt;wsp:rsid wsp:val=&quot;6BEC7A32&quot;/&gt;&lt;wsp:rsid wsp:val=&quot;6BED447B&quot;/&gt;&lt;wsp:rsid wsp:val=&quot;6BEE37AA&quot;/&gt;&lt;wsp:rsid wsp:val=&quot;6BF012D0&quot;/&gt;&lt;wsp:rsid wsp:val=&quot;6BF1329A&quot;/&gt;&lt;wsp:rsid wsp:val=&quot;6BF6265F&quot;/&gt;&lt;wsp:rsid wsp:val=&quot;6BF863D7&quot;/&gt;&lt;wsp:rsid wsp:val=&quot;6BF95CAB&quot;/&gt;&lt;wsp:rsid wsp:val=&quot;6BFA1229&quot;/&gt;&lt;wsp:rsid wsp:val=&quot;6BFA1456&quot;/&gt;&lt;wsp:rsid wsp:val=&quot;6BFA214F&quot;/&gt;&lt;wsp:rsid wsp:val=&quot;6BFB1A23&quot;/&gt;&lt;wsp:rsid wsp:val=&quot;6BFD1C3F&quot;/&gt;&lt;wsp:rsid wsp:val=&quot;6C00528B&quot;/&gt;&lt;wsp:rsid wsp:val=&quot;6C007039&quot;/&gt;&lt;wsp:rsid wsp:val=&quot;6C012059&quot;/&gt;&lt;wsp:rsid wsp:val=&quot;6C022C8A&quot;/&gt;&lt;wsp:rsid wsp:val=&quot;6C027255&quot;/&gt;&lt;wsp:rsid wsp:val=&quot;6C042FCD&quot;/&gt;&lt;wsp:rsid wsp:val=&quot;6C0528A2&quot;/&gt;&lt;wsp:rsid wsp:val=&quot;6C0703C8&quot;/&gt;&lt;wsp:rsid wsp:val=&quot;6C07486C&quot;/&gt;&lt;wsp:rsid wsp:val=&quot;6C094140&quot;/&gt;&lt;wsp:rsid wsp:val=&quot;6C0A55FF&quot;/&gt;&lt;wsp:rsid wsp:val=&quot;6C0A7EB8&quot;/&gt;&lt;wsp:rsid wsp:val=&quot;6C0B21AE&quot;/&gt;&lt;wsp:rsid wsp:val=&quot;6C0C3C30&quot;/&gt;&lt;wsp:rsid wsp:val=&quot;6C0D38BE&quot;/&gt;&lt;wsp:rsid wsp:val=&quot;6C0E1756&quot;/&gt;&lt;wsp:rsid wsp:val=&quot;6C156F89&quot;/&gt;&lt;wsp:rsid wsp:val=&quot;6C172D01&quot;/&gt;&lt;wsp:rsid wsp:val=&quot;6C1A634D&quot;/&gt;&lt;wsp:rsid wsp:val=&quot;6C1B0562&quot;/&gt;&lt;wsp:rsid wsp:val=&quot;6C1D5E3D&quot;/&gt;&lt;wsp:rsid wsp:val=&quot;6C1F3963&quot;/&gt;&lt;wsp:rsid wsp:val=&quot;6C1F5711&quot;/&gt;&lt;wsp:rsid wsp:val=&quot;6C1F64E1&quot;/&gt;&lt;wsp:rsid wsp:val=&quot;6C2076DB&quot;/&gt;&lt;wsp:rsid wsp:val=&quot;6C222D40&quot;/&gt;&lt;wsp:rsid wsp:val=&quot;6C225202&quot;/&gt;&lt;wsp:rsid wsp:val=&quot;6C2365FB&quot;/&gt;&lt;wsp:rsid wsp:val=&quot;6C254CF9&quot;/&gt;&lt;wsp:rsid wsp:val=&quot;6C256AA0&quot;/&gt;&lt;wsp:rsid wsp:val=&quot;6C262F44&quot;/&gt;&lt;wsp:rsid wsp:val=&quot;6C266DB6&quot;/&gt;&lt;wsp:rsid wsp:val=&quot;6C272818&quot;/&gt;&lt;wsp:rsid wsp:val=&quot;6C2816D6&quot;/&gt;&lt;wsp:rsid wsp:val=&quot;6C2C42D2&quot;/&gt;&lt;wsp:rsid wsp:val=&quot;6C2E004A&quot;/&gt;&lt;wsp:rsid wsp:val=&quot;6C2F0A11&quot;/&gt;&lt;wsp:rsid wsp:val=&quot;6C303DC2&quot;/&gt;&lt;wsp:rsid wsp:val=&quot;6C3118E9&quot;/&gt;&lt;wsp:rsid wsp:val=&quot;6C315445&quot;/&gt;&lt;wsp:rsid wsp:val=&quot;6C323B8B&quot;/&gt;&lt;wsp:rsid wsp:val=&quot;6C33740F&quot;/&gt;&lt;wsp:rsid wsp:val=&quot;6C337F2A&quot;/&gt;&lt;wsp:rsid wsp:val=&quot;6C353187&quot;/&gt;&lt;wsp:rsid wsp:val=&quot;6C353CDA&quot;/&gt;&lt;wsp:rsid wsp:val=&quot;6C355B2F&quot;/&gt;&lt;wsp:rsid wsp:val=&quot;6C376EFF&quot;/&gt;&lt;wsp:rsid wsp:val=&quot;6C3A079D&quot;/&gt;&lt;wsp:rsid wsp:val=&quot;6C3A69EF&quot;/&gt;&lt;wsp:rsid wsp:val=&quot;6C3B62C3&quot;/&gt;&lt;wsp:rsid wsp:val=&quot;6C3D028D&quot;/&gt;&lt;wsp:rsid wsp:val=&quot;6C3D246C&quot;/&gt;&lt;wsp:rsid wsp:val=&quot;6C3F4006&quot;/&gt;&lt;wsp:rsid wsp:val=&quot;6C411B2C&quot;/&gt;&lt;wsp:rsid wsp:val=&quot;6C4433CA&quot;/&gt;&lt;wsp:rsid wsp:val=&quot;6C44786E&quot;/&gt;&lt;wsp:rsid wsp:val=&quot;6C465394&quot;/&gt;&lt;wsp:rsid wsp:val=&quot;6C492150&quot;/&gt;&lt;wsp:rsid wsp:val=&quot;6C49442A&quot;/&gt;&lt;wsp:rsid wsp:val=&quot;6C4A5B71&quot;/&gt;&lt;wsp:rsid wsp:val=&quot;6C4B6506&quot;/&gt;&lt;wsp:rsid wsp:val=&quot;6C4D6722&quot;/&gt;&lt;wsp:rsid wsp:val=&quot;6C4E249B&quot;/&gt;&lt;wsp:rsid wsp:val=&quot;6C4E72B1&quot;/&gt;&lt;wsp:rsid wsp:val=&quot;6C4F7452&quot;/&gt;&lt;wsp:rsid wsp:val=&quot;6C515AE7&quot;/&gt;&lt;wsp:rsid wsp:val=&quot;6C517895&quot;/&gt;&lt;wsp:rsid wsp:val=&quot;6C525C70&quot;/&gt;&lt;wsp:rsid wsp:val=&quot;6C533118&quot;/&gt;&lt;wsp:rsid wsp:val=&quot;6C537AB1&quot;/&gt;&lt;wsp:rsid wsp:val=&quot;6C553829&quot;/&gt;&lt;wsp:rsid wsp:val=&quot;6C557385&quot;/&gt;&lt;wsp:rsid wsp:val=&quot;6C567B8C&quot;/&gt;&lt;wsp:rsid wsp:val=&quot;6C5775A1&quot;/&gt;&lt;wsp:rsid wsp:val=&quot;6C594EFB&quot;/&gt;&lt;wsp:rsid wsp:val=&quot;6C5A066F&quot;/&gt;&lt;wsp:rsid wsp:val=&quot;6C5A499B&quot;/&gt;&lt;wsp:rsid wsp:val=&quot;6C5A72D1&quot;/&gt;&lt;wsp:rsid wsp:val=&quot;6C5C6966&quot;/&gt;&lt;wsp:rsid wsp:val=&quot;6C5D1A55&quot;/&gt;&lt;wsp:rsid wsp:val=&quot;6C5D26DE&quot;/&gt;&lt;wsp:rsid wsp:val=&quot;6C5D448C&quot;/&gt;&lt;wsp:rsid wsp:val=&quot;6C5E0930&quot;/&gt;&lt;wsp:rsid wsp:val=&quot;6C5E5AB6&quot;/&gt;&lt;wsp:rsid wsp:val=&quot;6C5F1FB2&quot;/&gt;&lt;wsp:rsid wsp:val=&quot;6C5F6456&quot;/&gt;&lt;wsp:rsid wsp:val=&quot;6C635F46&quot;/&gt;&lt;wsp:rsid wsp:val=&quot;6C636C38&quot;/&gt;&lt;wsp:rsid wsp:val=&quot;6C643A6C&quot;/&gt;&lt;wsp:rsid wsp:val=&quot;6C6475C8&quot;/&gt;&lt;wsp:rsid wsp:val=&quot;6C661592&quot;/&gt;&lt;wsp:rsid wsp:val=&quot;6C67530A&quot;/&gt;&lt;wsp:rsid wsp:val=&quot;6C68710C&quot;/&gt;&lt;wsp:rsid wsp:val=&quot;6C691082&quot;/&gt;&lt;wsp:rsid wsp:val=&quot;6C692E30&quot;/&gt;&lt;wsp:rsid wsp:val=&quot;6C6972D4&quot;/&gt;&lt;wsp:rsid wsp:val=&quot;6C6C0C5A&quot;/&gt;&lt;wsp:rsid wsp:val=&quot;6C6E0447&quot;/&gt;&lt;wsp:rsid wsp:val=&quot;6C6E6699&quot;/&gt;&lt;wsp:rsid wsp:val=&quot;6C6F3E6A&quot;/&gt;&lt;wsp:rsid wsp:val=&quot;6C711CE5&quot;/&gt;&lt;wsp:rsid wsp:val=&quot;6C727F37&quot;/&gt;&lt;wsp:rsid wsp:val=&quot;6C731F01&quot;/&gt;&lt;wsp:rsid wsp:val=&quot;6C735A5D&quot;/&gt;&lt;wsp:rsid wsp:val=&quot;6C7543F7&quot;/&gt;&lt;wsp:rsid wsp:val=&quot;6C75594E&quot;/&gt;&lt;wsp:rsid wsp:val=&quot;6C755C79&quot;/&gt;&lt;wsp:rsid wsp:val=&quot;6C757A27&quot;/&gt;&lt;wsp:rsid wsp:val=&quot;6C762F55&quot;/&gt;&lt;wsp:rsid wsp:val=&quot;6C7669B4&quot;/&gt;&lt;wsp:rsid wsp:val=&quot;6C77379F&quot;/&gt;&lt;wsp:rsid wsp:val=&quot;6C77554D&quot;/&gt;&lt;wsp:rsid wsp:val=&quot;6C7812C6&quot;/&gt;&lt;wsp:rsid wsp:val=&quot;6C7C0DB6&quot;/&gt;&lt;wsp:rsid wsp:val=&quot;6C7D068A&quot;/&gt;&lt;wsp:rsid wsp:val=&quot;6C7E0D8E&quot;/&gt;&lt;wsp:rsid wsp:val=&quot;6C7F08A6&quot;/&gt;&lt;wsp:rsid wsp:val=&quot;6C7F4402&quot;/&gt;&lt;wsp:rsid wsp:val=&quot;6C7F4E9A&quot;/&gt;&lt;wsp:rsid wsp:val=&quot;6C81461E&quot;/&gt;&lt;wsp:rsid wsp:val=&quot;6C823EF2&quot;/&gt;&lt;wsp:rsid wsp:val=&quot;6C830396&quot;/&gt;&lt;wsp:rsid wsp:val=&quot;6C832144&quot;/&gt;&lt;wsp:rsid wsp:val=&quot;6C845EBC&quot;/&gt;&lt;wsp:rsid wsp:val=&quot;6C8620F1&quot;/&gt;&lt;wsp:rsid wsp:val=&quot;6C866D48&quot;/&gt;&lt;wsp:rsid wsp:val=&quot;6C88141A&quot;/&gt;&lt;wsp:rsid wsp:val=&quot;6C89702F&quot;/&gt;&lt;wsp:rsid wsp:val=&quot;6C8B2DA7&quot;/&gt;&lt;wsp:rsid wsp:val=&quot;6C8B46C6&quot;/&gt;&lt;wsp:rsid wsp:val=&quot;6C8B5575&quot;/&gt;&lt;wsp:rsid wsp:val=&quot;6C8C2600&quot;/&gt;&lt;wsp:rsid wsp:val=&quot;6C8D2FC3&quot;/&gt;&lt;wsp:rsid wsp:val=&quot;6C8D73F3&quot;/&gt;&lt;wsp:rsid wsp:val=&quot;6C8E21D0&quot;/&gt;&lt;wsp:rsid wsp:val=&quot;6C8E2897&quot;/&gt;&lt;wsp:rsid wsp:val=&quot;6C9205D9&quot;/&gt;&lt;wsp:rsid wsp:val=&quot;6C922387&quot;/&gt;&lt;wsp:rsid wsp:val=&quot;6C937EAD&quot;/&gt;&lt;wsp:rsid wsp:val=&quot;6C951E77&quot;/&gt;&lt;wsp:rsid wsp:val=&quot;6C961BE6&quot;/&gt;&lt;wsp:rsid wsp:val=&quot;6C97799E&quot;/&gt;&lt;wsp:rsid wsp:val=&quot;6C991968&quot;/&gt;&lt;wsp:rsid wsp:val=&quot;6C9A56E0&quot;/&gt;&lt;wsp:rsid wsp:val=&quot;6C9A737F&quot;/&gt;&lt;wsp:rsid wsp:val=&quot;6C9C1458&quot;/&gt;&lt;wsp:rsid wsp:val=&quot;6C9C3206&quot;/&gt;&lt;wsp:rsid wsp:val=&quot;6C9C4FB4&quot;/&gt;&lt;wsp:rsid wsp:val=&quot;6C9E6F7E&quot;/&gt;&lt;wsp:rsid wsp:val=&quot;6C9F2CF6&quot;/&gt;&lt;wsp:rsid wsp:val=&quot;6CA34594&quot;/&gt;&lt;wsp:rsid wsp:val=&quot;6CA36342&quot;/&gt;&lt;wsp:rsid wsp:val=&quot;6CA40EF3&quot;/&gt;&lt;wsp:rsid wsp:val=&quot;6CA67BE1&quot;/&gt;&lt;wsp:rsid wsp:val=&quot;6CA75A03&quot;/&gt;&lt;wsp:rsid wsp:val=&quot;6CA83959&quot;/&gt;&lt;wsp:rsid wsp:val=&quot;6CAB297C&quot;/&gt;&lt;wsp:rsid wsp:val=&quot;6CAB3479&quot;/&gt;&lt;wsp:rsid wsp:val=&quot;6CAB51F7&quot;/&gt;&lt;wsp:rsid wsp:val=&quot;6CAD0F6F&quot;/&gt;&lt;wsp:rsid wsp:val=&quot;6CAE084F&quot;/&gt;&lt;wsp:rsid wsp:val=&quot;6CAE2F39&quot;/&gt;&lt;wsp:rsid wsp:val=&quot;6CAF118B&quot;/&gt;&lt;wsp:rsid wsp:val=&quot;6CB00A5F&quot;/&gt;&lt;wsp:rsid wsp:val=&quot;6CB27C7E&quot;/&gt;&lt;wsp:rsid wsp:val=&quot;6CB5251A&quot;/&gt;&lt;wsp:rsid wsp:val=&quot;6CB542C8&quot;/&gt;&lt;wsp:rsid wsp:val=&quot;6CB70040&quot;/&gt;&lt;wsp:rsid wsp:val=&quot;6CB93DB8&quot;/&gt;&lt;wsp:rsid wsp:val=&quot;6CBA7B30&quot;/&gt;&lt;wsp:rsid wsp:val=&quot;6CBB0C5F&quot;/&gt;&lt;wsp:rsid wsp:val=&quot;6CBE13CE&quot;/&gt;&lt;wsp:rsid wsp:val=&quot;6CBE15D4&quot;/&gt;&lt;wsp:rsid wsp:val=&quot;6CBE317C&quot;/&gt;&lt;wsp:rsid wsp:val=&quot;6CBE3BC9&quot;/&gt;&lt;wsp:rsid wsp:val=&quot;6CBF18B4&quot;/&gt;&lt;wsp:rsid wsp:val=&quot;6CBF32F2&quot;/&gt;&lt;wsp:rsid wsp:val=&quot;6CBF47ED&quot;/&gt;&lt;wsp:rsid wsp:val=&quot;6CC00209&quot;/&gt;&lt;wsp:rsid wsp:val=&quot;6CC14A1B&quot;/&gt;&lt;wsp:rsid wsp:val=&quot;6CC24BA2&quot;/&gt;&lt;wsp:rsid wsp:val=&quot;6CC25CE0&quot;/&gt;&lt;wsp:rsid wsp:val=&quot;6CC30793&quot;/&gt;&lt;wsp:rsid wsp:val=&quot;6CC4275D&quot;/&gt;&lt;wsp:rsid wsp:val=&quot;6CC60283&quot;/&gt;&lt;wsp:rsid wsp:val=&quot;6CC61C99&quot;/&gt;&lt;wsp:rsid wsp:val=&quot;6CC8224D&quot;/&gt;&lt;wsp:rsid wsp:val=&quot;6CC83FFB&quot;/&gt;&lt;wsp:rsid wsp:val=&quot;6CC85DA9&quot;/&gt;&lt;wsp:rsid wsp:val=&quot;6CC928F5&quot;/&gt;&lt;wsp:rsid wsp:val=&quot;6CCB584C&quot;/&gt;&lt;wsp:rsid wsp:val=&quot;6CCB5899&quot;/&gt;&lt;wsp:rsid wsp:val=&quot;6CCB7647&quot;/&gt;&lt;wsp:rsid wsp:val=&quot;6CCC3665&quot;/&gt;&lt;wsp:rsid wsp:val=&quot;6CCD1611&quot;/&gt;&lt;wsp:rsid wsp:val=&quot;6CCD33BF&quot;/&gt;&lt;wsp:rsid wsp:val=&quot;6CCE7137&quot;/&gt;&lt;wsp:rsid wsp:val=&quot;6CCF08E7&quot;/&gt;&lt;wsp:rsid wsp:val=&quot;6CD25B27&quot;/&gt;&lt;wsp:rsid wsp:val=&quot;6CD25F52&quot;/&gt;&lt;wsp:rsid wsp:val=&quot;6CD26C28&quot;/&gt;&lt;wsp:rsid wsp:val=&quot;6CD408C1&quot;/&gt;&lt;wsp:rsid wsp:val=&quot;6CD40BF2&quot;/&gt;&lt;wsp:rsid wsp:val=&quot;6CD52274&quot;/&gt;&lt;wsp:rsid wsp:val=&quot;6CD96208&quot;/&gt;&lt;wsp:rsid wsp:val=&quot;6CDE580B&quot;/&gt;&lt;wsp:rsid wsp:val=&quot;6CDF2E4F&quot;/&gt;&lt;wsp:rsid wsp:val=&quot;6CDF30F3&quot;/&gt;&lt;wsp:rsid wsp:val=&quot;6CE10C19&quot;/&gt;&lt;wsp:rsid wsp:val=&quot;6CE16E6B&quot;/&gt;&lt;wsp:rsid wsp:val=&quot;6CE30E35&quot;/&gt;&lt;wsp:rsid wsp:val=&quot;6CE626D3&quot;/&gt;&lt;wsp:rsid wsp:val=&quot;6CE7542D&quot;/&gt;&lt;wsp:rsid wsp:val=&quot;6CE801F9&quot;/&gt;&lt;wsp:rsid wsp:val=&quot;6CE8644B&quot;/&gt;&lt;wsp:rsid wsp:val=&quot;6CEA54EF&quot;/&gt;&lt;wsp:rsid wsp:val=&quot;6CEB1A97&quot;/&gt;&lt;wsp:rsid wsp:val=&quot;6CEB7E0F&quot;/&gt;&lt;wsp:rsid wsp:val=&quot;6CED06BA&quot;/&gt;&lt;wsp:rsid wsp:val=&quot;6CED5810&quot;/&gt;&lt;wsp:rsid wsp:val=&quot;6CEF1588&quot;/&gt;&lt;wsp:rsid wsp:val=&quot;6CF06332&quot;/&gt;&lt;wsp:rsid wsp:val=&quot;6CF21078&quot;/&gt;&lt;wsp:rsid wsp:val=&quot;6CF272CA&quot;/&gt;&lt;wsp:rsid wsp:val=&quot;6CF41A63&quot;/&gt;&lt;wsp:rsid wsp:val=&quot;6CF546C4&quot;/&gt;&lt;wsp:rsid wsp:val=&quot;6CF7043C&quot;/&gt;&lt;wsp:rsid wsp:val=&quot;6CF92406&quot;/&gt;&lt;wsp:rsid wsp:val=&quot;6CFA1CDB&quot;/&gt;&lt;wsp:rsid wsp:val=&quot;6CFA617E&quot;/&gt;&lt;wsp:rsid wsp:val=&quot;6CFC5A53&quot;/&gt;&lt;wsp:rsid wsp:val=&quot;6D06058D&quot;/&gt;&lt;wsp:rsid wsp:val=&quot;6D062D75&quot;/&gt;&lt;wsp:rsid wsp:val=&quot;6D0668D1&quot;/&gt;&lt;wsp:rsid wsp:val=&quot;6D08089B&quot;/&gt;&lt;wsp:rsid wsp:val=&quot;6D082649&quot;/&gt;&lt;wsp:rsid wsp:val=&quot;6D087F43&quot;/&gt;&lt;wsp:rsid wsp:val=&quot;6D094E33&quot;/&gt;&lt;wsp:rsid wsp:val=&quot;6D0B213A&quot;/&gt;&lt;wsp:rsid wsp:val=&quot;6D0B3EE8&quot;/&gt;&lt;wsp:rsid wsp:val=&quot;6D0C5E17&quot;/&gt;&lt;wsp:rsid wsp:val=&quot;6D0D1A0E&quot;/&gt;&lt;wsp:rsid wsp:val=&quot;6D0D5EB2&quot;/&gt;&lt;wsp:rsid wsp:val=&quot;6D0D75F0&quot;/&gt;&lt;wsp:rsid wsp:val=&quot;6D0D7B7C&quot;/&gt;&lt;wsp:rsid wsp:val=&quot;6D0D7C60&quot;/&gt;&lt;wsp:rsid wsp:val=&quot;6D106FB1&quot;/&gt;&lt;wsp:rsid wsp:val=&quot;6D107750&quot;/&gt;&lt;wsp:rsid wsp:val=&quot;6D1128EF&quot;/&gt;&lt;wsp:rsid wsp:val=&quot;6D115E07&quot;/&gt;&lt;wsp:rsid wsp:val=&quot;6D125276&quot;/&gt;&lt;wsp:rsid wsp:val=&quot;6D142D9C&quot;/&gt;&lt;wsp:rsid wsp:val=&quot;6D147240&quot;/&gt;&lt;wsp:rsid wsp:val=&quot;6D156B14&quot;/&gt;&lt;wsp:rsid wsp:val=&quot;6D176D30&quot;/&gt;&lt;wsp:rsid wsp:val=&quot;6D1A237D&quot;/&gt;&lt;wsp:rsid wsp:val=&quot;6D1E00BF&quot;/&gt;&lt;wsp:rsid wsp:val=&quot;6D1E1E6D&quot;/&gt;&lt;wsp:rsid wsp:val=&quot;6D20018F&quot;/&gt;&lt;wsp:rsid wsp:val=&quot;6D203E37&quot;/&gt;&lt;wsp:rsid wsp:val=&quot;6D216E91&quot;/&gt;&lt;wsp:rsid wsp:val=&quot;6D260D22&quot;/&gt;&lt;wsp:rsid wsp:val=&quot;6D264001&quot;/&gt;&lt;wsp:rsid wsp:val=&quot;6D2A0812&quot;/&gt;&lt;wsp:rsid wsp:val=&quot;6D2A25C0&quot;/&gt;&lt;wsp:rsid wsp:val=&quot;6D2A6A64&quot;/&gt;&lt;wsp:rsid wsp:val=&quot;6D2B4915&quot;/&gt;&lt;wsp:rsid wsp:val=&quot;6D2D0302&quot;/&gt;&lt;wsp:rsid wsp:val=&quot;6D2D3E5E&quot;/&gt;&lt;wsp:rsid wsp:val=&quot;6D301BA0&quot;/&gt;&lt;wsp:rsid wsp:val=&quot;6D30394E&quot;/&gt;&lt;wsp:rsid wsp:val=&quot;6D317DF2&quot;/&gt;&lt;wsp:rsid wsp:val=&quot;6D323B6A&quot;/&gt;&lt;wsp:rsid wsp:val=&quot;6D333A34&quot;/&gt;&lt;wsp:rsid wsp:val=&quot;6D3B2A1F&quot;/&gt;&lt;wsp:rsid wsp:val=&quot;6D3B47CD&quot;/&gt;&lt;wsp:rsid wsp:val=&quot;6D3C22F3&quot;/&gt;&lt;wsp:rsid wsp:val=&quot;6D3E250F&quot;/&gt;&lt;wsp:rsid wsp:val=&quot;6D3E42BD&quot;/&gt;&lt;wsp:rsid wsp:val=&quot;6D3E606B&quot;/&gt;&lt;wsp:rsid wsp:val=&quot;6D3F3718&quot;/&gt;&lt;wsp:rsid wsp:val=&quot;6D415B5B&quot;/&gt;&lt;wsp:rsid wsp:val=&quot;6D45389E&quot;/&gt;&lt;wsp:rsid wsp:val=&quot;6D45564C&quot;/&gt;&lt;wsp:rsid wsp:val=&quot;6D455E49&quot;/&gt;&lt;wsp:rsid wsp:val=&quot;6D4573FA&quot;/&gt;&lt;wsp:rsid wsp:val=&quot;6D464F20&quot;/&gt;&lt;wsp:rsid wsp:val=&quot;6D48513C&quot;/&gt;&lt;wsp:rsid wsp:val=&quot;6D486EEA&quot;/&gt;&lt;wsp:rsid wsp:val=&quot;6D492422&quot;/&gt;&lt;wsp:rsid wsp:val=&quot;6D49739B&quot;/&gt;&lt;wsp:rsid wsp:val=&quot;6D4A4A10&quot;/&gt;&lt;wsp:rsid wsp:val=&quot;6D4B0788&quot;/&gt;&lt;wsp:rsid wsp:val=&quot;6D4B1CBB&quot;/&gt;&lt;wsp:rsid wsp:val=&quot;6D4B2536&quot;/&gt;&lt;wsp:rsid wsp:val=&quot;6D4C4C2C&quot;/&gt;&lt;wsp:rsid wsp:val=&quot;6D4D2752&quot;/&gt;&lt;wsp:rsid wsp:val=&quot;6D4F2026&quot;/&gt;&lt;wsp:rsid wsp:val=&quot;6D513FF0&quot;/&gt;&lt;wsp:rsid wsp:val=&quot;6D515B2D&quot;/&gt;&lt;wsp:rsid wsp:val=&quot;6D525A65&quot;/&gt;&lt;wsp:rsid wsp:val=&quot;6D543AE1&quot;/&gt;&lt;wsp:rsid wsp:val=&quot;6D5533B5&quot;/&gt;&lt;wsp:rsid wsp:val=&quot;6D561A4E&quot;/&gt;&lt;wsp:rsid wsp:val=&quot;6D567859&quot;/&gt;&lt;wsp:rsid wsp:val=&quot;6D57537F&quot;/&gt;&lt;wsp:rsid wsp:val=&quot;6D5910F7&quot;/&gt;&lt;wsp:rsid wsp:val=&quot;6D5B6C1D&quot;/&gt;&lt;wsp:rsid wsp:val=&quot;6D5D6CA1&quot;/&gt;&lt;wsp:rsid wsp:val=&quot;6D5E2269&quot;/&gt;&lt;wsp:rsid wsp:val=&quot;6D5E495F&quot;/&gt;&lt;wsp:rsid wsp:val=&quot;6D611D5A&quot;/&gt;&lt;wsp:rsid wsp:val=&quot;6D611E86&quot;/&gt;&lt;wsp:rsid wsp:val=&quot;6D620976&quot;/&gt;&lt;wsp:rsid wsp:val=&quot;6D6261FE&quot;/&gt;&lt;wsp:rsid wsp:val=&quot;6D642862&quot;/&gt;&lt;wsp:rsid wsp:val=&quot;6D655CEE&quot;/&gt;&lt;wsp:rsid wsp:val=&quot;6D665378&quot;/&gt;&lt;wsp:rsid wsp:val=&quot;6D667370&quot;/&gt;&lt;wsp:rsid wsp:val=&quot;6D6830E8&quot;/&gt;&lt;wsp:rsid wsp:val=&quot;6D6860B5&quot;/&gt;&lt;wsp:rsid wsp:val=&quot;6D686F3E&quot;/&gt;&lt;wsp:rsid wsp:val=&quot;6D68758C&quot;/&gt;&lt;wsp:rsid wsp:val=&quot;6D6B4986&quot;/&gt;&lt;wsp:rsid wsp:val=&quot;6D6C2BD8&quot;/&gt;&lt;wsp:rsid wsp:val=&quot;6D6C3BC5&quot;/&gt;&lt;wsp:rsid wsp:val=&quot;6D6D6950&quot;/&gt;&lt;wsp:rsid wsp:val=&quot;6D6F45CA&quot;/&gt;&lt;wsp:rsid wsp:val=&quot;6D702546&quot;/&gt;&lt;wsp:rsid wsp:val=&quot;6D7054EE&quot;/&gt;&lt;wsp:rsid wsp:val=&quot;6D7139D6&quot;/&gt;&lt;wsp:rsid wsp:val=&quot;6D725D15&quot;/&gt;&lt;wsp:rsid wsp:val=&quot;6D7777CF&quot;/&gt;&lt;wsp:rsid wsp:val=&quot;6D794D39&quot;/&gt;&lt;wsp:rsid wsp:val=&quot;6D7952F5&quot;/&gt;&lt;wsp:rsid wsp:val=&quot;6D7970A3&quot;/&gt;&lt;wsp:rsid wsp:val=&quot;6D7A524D&quot;/&gt;&lt;wsp:rsid wsp:val=&quot;6D7B40DA&quot;/&gt;&lt;wsp:rsid wsp:val=&quot;6D7B72BF&quot;/&gt;&lt;wsp:rsid wsp:val=&quot;6D7C6B93&quot;/&gt;&lt;wsp:rsid wsp:val=&quot;6D7D3037&quot;/&gt;&lt;wsp:rsid wsp:val=&quot;6D7D46B3&quot;/&gt;&lt;wsp:rsid wsp:val=&quot;6D7E2D8E&quot;/&gt;&lt;wsp:rsid wsp:val=&quot;6D7E5FDA&quot;/&gt;&lt;wsp:rsid wsp:val=&quot;6D7F17B7&quot;/&gt;&lt;wsp:rsid wsp:val=&quot;6D800432&quot;/&gt;&lt;wsp:rsid wsp:val=&quot;6D80557B&quot;/&gt;&lt;wsp:rsid wsp:val=&quot;6D806684&quot;/&gt;&lt;wsp:rsid wsp:val=&quot;6D8141AA&quot;/&gt;&lt;wsp:rsid wsp:val=&quot;6D8343C6&quot;/&gt;&lt;wsp:rsid wsp:val=&quot;6D836174&quot;/&gt;&lt;wsp:rsid wsp:val=&quot;6D842C2A&quot;/&gt;&lt;wsp:rsid wsp:val=&quot;6D854A1D&quot;/&gt;&lt;wsp:rsid wsp:val=&quot;6D8656F8&quot;/&gt;&lt;wsp:rsid wsp:val=&quot;6D8A5EA7&quot;/&gt;&lt;wsp:rsid wsp:val=&quot;6D8A7502&quot;/&gt;&lt;wsp:rsid wsp:val=&quot;6D8C5028&quot;/&gt;&lt;wsp:rsid wsp:val=&quot;6D8D0DA1&quot;/&gt;&lt;wsp:rsid wsp:val=&quot;6D8F4B19&quot;/&gt;&lt;wsp:rsid wsp:val=&quot;6D9070B3&quot;/&gt;&lt;wsp:rsid wsp:val=&quot;6D9143ED&quot;/&gt;&lt;wsp:rsid wsp:val=&quot;6D920165&quot;/&gt;&lt;wsp:rsid wsp:val=&quot;6D9263B7&quot;/&gt;&lt;wsp:rsid wsp:val=&quot;6D940200&quot;/&gt;&lt;wsp:rsid wsp:val=&quot;6D965EA7&quot;/&gt;&lt;wsp:rsid wsp:val=&quot;6D997745&quot;/&gt;&lt;wsp:rsid wsp:val=&quot;6D9B34BE&quot;/&gt;&lt;wsp:rsid wsp:val=&quot;6D9D2BF3&quot;/&gt;&lt;wsp:rsid wsp:val=&quot;6D9E4D5C&quot;/&gt;&lt;wsp:rsid wsp:val=&quot;6D9F7350&quot;/&gt;&lt;wsp:rsid wsp:val=&quot;6DA02882&quot;/&gt;&lt;wsp:rsid wsp:val=&quot;6DA22804&quot;/&gt;&lt;wsp:rsid wsp:val=&quot;6DA2484C&quot;/&gt;&lt;wsp:rsid wsp:val=&quot;6DA265FA&quot;/&gt;&lt;wsp:rsid wsp:val=&quot;6DA32372&quot;/&gt;&lt;wsp:rsid wsp:val=&quot;6DA5562E&quot;/&gt;&lt;wsp:rsid wsp:val=&quot;6DA560EA&quot;/&gt;&lt;wsp:rsid wsp:val=&quot;6DA700B4&quot;/&gt;&lt;wsp:rsid wsp:val=&quot;6DA73066&quot;/&gt;&lt;wsp:rsid wsp:val=&quot;6DA73C10&quot;/&gt;&lt;wsp:rsid wsp:val=&quot;6DA85BDA&quot;/&gt;&lt;wsp:rsid wsp:val=&quot;6DAA3701&quot;/&gt;&lt;wsp:rsid wsp:val=&quot;6DAA3B67&quot;/&gt;&lt;wsp:rsid wsp:val=&quot;6DAA54AF&quot;/&gt;&lt;wsp:rsid wsp:val=&quot;6DAC7BC8&quot;/&gt;&lt;wsp:rsid wsp:val=&quot;6DAF0D17&quot;/&gt;&lt;wsp:rsid wsp:val=&quot;6DAF6F69&quot;/&gt;&lt;wsp:rsid wsp:val=&quot;6DB0319F&quot;/&gt;&lt;wsp:rsid wsp:val=&quot;6DB12CE1&quot;/&gt;&lt;wsp:rsid wsp:val=&quot;6DB1683D&quot;/&gt;&lt;wsp:rsid wsp:val=&quot;6DB2571B&quot;/&gt;&lt;wsp:rsid wsp:val=&quot;6DB30807&quot;/&gt;&lt;wsp:rsid wsp:val=&quot;6DB34098&quot;/&gt;&lt;wsp:rsid wsp:val=&quot;6DB36A59&quot;/&gt;&lt;wsp:rsid wsp:val=&quot;6DB477EA&quot;/&gt;&lt;wsp:rsid wsp:val=&quot;6DB545B6&quot;/&gt;&lt;wsp:rsid wsp:val=&quot;6DB602F7&quot;/&gt;&lt;wsp:rsid wsp:val=&quot;6DB620A5&quot;/&gt;&lt;wsp:rsid wsp:val=&quot;6DB63E53&quot;/&gt;&lt;wsp:rsid wsp:val=&quot;6DB66549&quot;/&gt;&lt;wsp:rsid wsp:val=&quot;6DB77BCC&quot;/&gt;&lt;wsp:rsid wsp:val=&quot;6DB8406F&quot;/&gt;&lt;wsp:rsid wsp:val=&quot;6DB85E1E&quot;/&gt;&lt;wsp:rsid wsp:val=&quot;6DB91B96&quot;/&gt;&lt;wsp:rsid wsp:val=&quot;6DBB590E&quot;/&gt;&lt;wsp:rsid wsp:val=&quot;6DBB76BC&quot;/&gt;&lt;wsp:rsid wsp:val=&quot;6DBD3434&quot;/&gt;&lt;wsp:rsid wsp:val=&quot;6DBE71AC&quot;/&gt;&lt;wsp:rsid wsp:val=&quot;6DBF603E&quot;/&gt;&lt;wsp:rsid wsp:val=&quot;6DC10FAB&quot;/&gt;&lt;wsp:rsid wsp:val=&quot;6DC11FEB&quot;/&gt;&lt;wsp:rsid wsp:val=&quot;6DC24EEE&quot;/&gt;&lt;wsp:rsid wsp:val=&quot;6DC36570&quot;/&gt;&lt;wsp:rsid wsp:val=&quot;6DC42A14&quot;/&gt;&lt;wsp:rsid wsp:val=&quot;6DC522E8&quot;/&gt;&lt;wsp:rsid wsp:val=&quot;6DC72505&quot;/&gt;&lt;wsp:rsid wsp:val=&quot;6DC742B3&quot;/&gt;&lt;wsp:rsid wsp:val=&quot;6DC9002B&quot;/&gt;&lt;wsp:rsid wsp:val=&quot;6DC9057F&quot;/&gt;&lt;wsp:rsid wsp:val=&quot;6DCA3DA3&quot;/&gt;&lt;wsp:rsid wsp:val=&quot;6DCA5B51&quot;/&gt;&lt;wsp:rsid wsp:val=&quot;6DCC7B1B&quot;/&gt;&lt;wsp:rsid wsp:val=&quot;6DCE3893&quot;/&gt;&lt;wsp:rsid wsp:val=&quot;6DCF4F15&quot;/&gt;&lt;wsp:rsid wsp:val=&quot;6DCF760B&quot;/&gt;&lt;wsp:rsid wsp:val=&quot;6DD025FD&quot;/&gt;&lt;wsp:rsid wsp:val=&quot;6DD10452&quot;/&gt;&lt;wsp:rsid wsp:val=&quot;6DD14B25&quot;/&gt;&lt;wsp:rsid wsp:val=&quot;6DD15131&quot;/&gt;&lt;wsp:rsid wsp:val=&quot;6DD24A05&quot;/&gt;&lt;wsp:rsid wsp:val=&quot;6DD30EA9&quot;/&gt;&lt;wsp:rsid wsp:val=&quot;6DD4077E&quot;/&gt;&lt;wsp:rsid wsp:val=&quot;6DD86BE4&quot;/&gt;&lt;wsp:rsid wsp:val=&quot;6DD9425F&quot;/&gt;&lt;wsp:rsid wsp:val=&quot;6DD94A2A&quot;/&gt;&lt;wsp:rsid wsp:val=&quot;6DD95D94&quot;/&gt;&lt;wsp:rsid wsp:val=&quot;6DDB7D5E&quot;/&gt;&lt;wsp:rsid wsp:val=&quot;6DDD3AD6&quot;/&gt;&lt;wsp:rsid wsp:val=&quot;6DDD7632&quot;/&gt;&lt;wsp:rsid wsp:val=&quot;6DDE1315&quot;/&gt;&lt;wsp:rsid wsp:val=&quot;6DDE7486&quot;/&gt;&lt;wsp:rsid wsp:val=&quot;6DDF6574&quot;/&gt;&lt;wsp:rsid wsp:val=&quot;6DE02FB4&quot;/&gt;&lt;wsp:rsid wsp:val=&quot;6DE10C0B&quot;/&gt;&lt;wsp:rsid wsp:val=&quot;6DE13E96&quot;/&gt;&lt;wsp:rsid wsp:val=&quot;6DE17F47&quot;/&gt;&lt;wsp:rsid wsp:val=&quot;6DE21E3D&quot;/&gt;&lt;wsp:rsid wsp:val=&quot;6DE22E9A&quot;/&gt;&lt;wsp:rsid wsp:val=&quot;6DE309C1&quot;/&gt;&lt;wsp:rsid wsp:val=&quot;6DE54739&quot;/&gt;&lt;wsp:rsid wsp:val=&quot;6DE6283F&quot;/&gt;&lt;wsp:rsid wsp:val=&quot;6DE72678&quot;/&gt;&lt;wsp:rsid wsp:val=&quot;6DE76703&quot;/&gt;&lt;wsp:rsid wsp:val=&quot;6DEA0FF9&quot;/&gt;&lt;wsp:rsid wsp:val=&quot;6DEC134B&quot;/&gt;&lt;wsp:rsid wsp:val=&quot;6DEC1F6B&quot;/&gt;&lt;wsp:rsid wsp:val=&quot;6DEC3D19&quot;/&gt;&lt;wsp:rsid wsp:val=&quot;6DED1CA3&quot;/&gt;&lt;wsp:rsid wsp:val=&quot;6DEE7A91&quot;/&gt;&lt;wsp:rsid wsp:val=&quot;6DF024BC&quot;/&gt;&lt;wsp:rsid wsp:val=&quot;6DF130DE&quot;/&gt;&lt;wsp:rsid wsp:val=&quot;6DF332FA&quot;/&gt;&lt;wsp:rsid wsp:val=&quot;6DF350A8&quot;/&gt;&lt;wsp:rsid wsp:val=&quot;6DF64B98&quot;/&gt;&lt;wsp:rsid wsp:val=&quot;6DF76735&quot;/&gt;&lt;wsp:rsid wsp:val=&quot;6DF93F3F&quot;/&gt;&lt;wsp:rsid wsp:val=&quot;6DFA4688&quot;/&gt;&lt;wsp:rsid wsp:val=&quot;6DFB0400&quot;/&gt;&lt;wsp:rsid wsp:val=&quot;6DFB56B9&quot;/&gt;&lt;wsp:rsid wsp:val=&quot;6DFD7CD4&quot;/&gt;&lt;wsp:rsid wsp:val=&quot;6DFF1C9E&quot;/&gt;&lt;wsp:rsid wsp:val=&quot;6DFF3D69&quot;/&gt;&lt;wsp:rsid wsp:val=&quot;6E005A16&quot;/&gt;&lt;wsp:rsid wsp:val=&quot;6E013993&quot;/&gt;&lt;wsp:rsid wsp:val=&quot;6E027280&quot;/&gt;&lt;wsp:rsid wsp:val=&quot;6E0472B5&quot;/&gt;&lt;wsp:rsid wsp:val=&quot;6E053030&quot;/&gt;&lt;wsp:rsid wsp:val=&quot;6E070B53&quot;/&gt;&lt;wsp:rsid wsp:val=&quot;6E076DA5&quot;/&gt;&lt;wsp:rsid wsp:val=&quot;6E080427&quot;/&gt;&lt;wsp:rsid wsp:val=&quot;6E090116&quot;/&gt;&lt;wsp:rsid wsp:val=&quot;6E0A3477&quot;/&gt;&lt;wsp:rsid wsp:val=&quot;6E0A7146&quot;/&gt;&lt;wsp:rsid wsp:val=&quot;6E0C43BB&quot;/&gt;&lt;wsp:rsid wsp:val=&quot;6E0C7F17&quot;/&gt;&lt;wsp:rsid wsp:val=&quot;6E0F17B6&quot;/&gt;&lt;wsp:rsid wsp:val=&quot;6E0F36C1&quot;/&gt;&lt;wsp:rsid wsp:val=&quot;6E105C5A&quot;/&gt;&lt;wsp:rsid wsp:val=&quot;6E1535B9&quot;/&gt;&lt;wsp:rsid wsp:val=&quot;6E162B44&quot;/&gt;&lt;wsp:rsid wsp:val=&quot;6E182D60&quot;/&gt;&lt;wsp:rsid wsp:val=&quot;6E1950AD&quot;/&gt;&lt;wsp:rsid wsp:val=&quot;6E1B45FE&quot;/&gt;&lt;wsp:rsid wsp:val=&quot;6E1B63AC&quot;/&gt;&lt;wsp:rsid wsp:val=&quot;6E1D2124&quot;/&gt;&lt;wsp:rsid wsp:val=&quot;6E1E7093&quot;/&gt;&lt;wsp:rsid wsp:val=&quot;6E1F3234&quot;/&gt;&lt;wsp:rsid wsp:val=&quot;6E1F7C4B&quot;/&gt;&lt;wsp:rsid wsp:val=&quot;6E2039C3&quot;/&gt;&lt;wsp:rsid wsp:val=&quot;6E217E67&quot;/&gt;&lt;wsp:rsid wsp:val=&quot;6E225129&quot;/&gt;&lt;wsp:rsid wsp:val=&quot;6E22598D&quot;/&gt;&lt;wsp:rsid wsp:val=&quot;6E260A53&quot;/&gt;&lt;wsp:rsid wsp:val=&quot;6E274D51&quot;/&gt;&lt;wsp:rsid wsp:val=&quot;6E277F63&quot;/&gt;&lt;wsp:rsid wsp:val=&quot;6E2A07E5&quot;/&gt;&lt;wsp:rsid wsp:val=&quot;6E2C0FA1&quot;/&gt;&lt;wsp:rsid wsp:val=&quot;6E2E7E8E&quot;/&gt;&lt;wsp:rsid wsp:val=&quot;6E33002A&quot;/&gt;&lt;wsp:rsid wsp:val=&quot;6E331948&quot;/&gt;&lt;wsp:rsid wsp:val=&quot;6E34753E&quot;/&gt;&lt;wsp:rsid wsp:val=&quot;6E3556C0&quot;/&gt;&lt;wsp:rsid wsp:val=&quot;6E35746E&quot;/&gt;&lt;wsp:rsid wsp:val=&quot;6E380FA9&quot;/&gt;&lt;wsp:rsid wsp:val=&quot;6E394AF1&quot;/&gt;&lt;wsp:rsid wsp:val=&quot;6E3A2CD6&quot;/&gt;&lt;wsp:rsid wsp:val=&quot;6E3A6CA9&quot;/&gt;&lt;wsp:rsid wsp:val=&quot;6E3B07FD&quot;/&gt;&lt;wsp:rsid wsp:val=&quot;6E3B25AB&quot;/&gt;&lt;wsp:rsid wsp:val=&quot;6E3C2BCA&quot;/&gt;&lt;wsp:rsid wsp:val=&quot;6E3D3C72&quot;/&gt;&lt;wsp:rsid wsp:val=&quot;6E3D4575&quot;/&gt;&lt;wsp:rsid wsp:val=&quot;6E3F02ED&quot;/&gt;&lt;wsp:rsid wsp:val=&quot;6E3F209B&quot;/&gt;&lt;wsp:rsid wsp:val=&quot;6E40502B&quot;/&gt;&lt;wsp:rsid wsp:val=&quot;6E414065&quot;/&gt;&lt;wsp:rsid wsp:val=&quot;6E4476B1&quot;/&gt;&lt;wsp:rsid wsp:val=&quot;6E454B50&quot;/&gt;&lt;wsp:rsid wsp:val=&quot;6E476B79&quot;/&gt;&lt;wsp:rsid wsp:val=&quot;6E493180&quot;/&gt;&lt;wsp:rsid wsp:val=&quot;6E4A0A40&quot;/&gt;&lt;wsp:rsid wsp:val=&quot;6E4B0D18&quot;/&gt;&lt;wsp:rsid wsp:val=&quot;6E4B6747&quot;/&gt;&lt;wsp:rsid wsp:val=&quot;6E4E67EA&quot;/&gt;&lt;wsp:rsid wsp:val=&quot;6E4F0C06&quot;/&gt;&lt;wsp:rsid wsp:val=&quot;6E5024FA&quot;/&gt;&lt;wsp:rsid wsp:val=&quot;6E510020&quot;/&gt;&lt;wsp:rsid wsp:val=&quot;6E514CED&quot;/&gt;&lt;wsp:rsid wsp:val=&quot;6E526272&quot;/&gt;&lt;wsp:rsid wsp:val=&quot;6E533D98&quot;/&gt;&lt;wsp:rsid wsp:val=&quot;6E5518BE&quot;/&gt;&lt;wsp:rsid wsp:val=&quot;6E58315D&quot;/&gt;&lt;wsp:rsid wsp:val=&quot;6E587601&quot;/&gt;&lt;wsp:rsid wsp:val=&quot;6E5A5127&quot;/&gt;&lt;wsp:rsid wsp:val=&quot;6E5B52BA&quot;/&gt;&lt;wsp:rsid wsp:val=&quot;6E5D0662&quot;/&gt;&lt;wsp:rsid wsp:val=&quot;6E5E05F4&quot;/&gt;&lt;wsp:rsid wsp:val=&quot;6E5E53C9&quot;/&gt;&lt;wsp:rsid wsp:val=&quot;6E5F098F&quot;/&gt;&lt;wsp:rsid wsp:val=&quot;6E5F44EB&quot;/&gt;&lt;wsp:rsid wsp:val=&quot;6E600263&quot;/&gt;&lt;wsp:rsid wsp:val=&quot;6E61112C&quot;/&gt;&lt;wsp:rsid wsp:val=&quot;6E661D1D&quot;/&gt;&lt;wsp:rsid wsp:val=&quot;6E666DD7&quot;/&gt;&lt;wsp:rsid wsp:val=&quot;6E6935BC&quot;/&gt;&lt;wsp:rsid wsp:val=&quot;6E6B10E2&quot;/&gt;&lt;wsp:rsid wsp:val=&quot;6E6C4E5A&quot;/&gt;&lt;wsp:rsid wsp:val=&quot;6E6D58F0&quot;/&gt;&lt;wsp:rsid wsp:val=&quot;6E6E2980&quot;/&gt;&lt;wsp:rsid wsp:val=&quot;6E6E472E&quot;/&gt;&lt;wsp:rsid wsp:val=&quot;6E707791&quot;/&gt;&lt;wsp:rsid wsp:val=&quot;6E716558&quot;/&gt;&lt;wsp:rsid wsp:val=&quot;6E7206C2&quot;/&gt;&lt;wsp:rsid wsp:val=&quot;6E733541&quot;/&gt;&lt;wsp:rsid wsp:val=&quot;6E737F96&quot;/&gt;&lt;wsp:rsid wsp:val=&quot;6E742C1A&quot;/&gt;&lt;wsp:rsid wsp:val=&quot;6E7469C7&quot;/&gt;&lt;wsp:rsid wsp:val=&quot;6E7475A2&quot;/&gt;&lt;wsp:rsid wsp:val=&quot;6E752083&quot;/&gt;&lt;wsp:rsid wsp:val=&quot;6E755ABD&quot;/&gt;&lt;wsp:rsid wsp:val=&quot;6E761835&quot;/&gt;&lt;wsp:rsid wsp:val=&quot;6E770482&quot;/&gt;&lt;wsp:rsid wsp:val=&quot;6E781A51&quot;/&gt;&lt;wsp:rsid wsp:val=&quot;6E7A30D3&quot;/&gt;&lt;wsp:rsid wsp:val=&quot;6E7A38D9&quot;/&gt;&lt;wsp:rsid wsp:val=&quot;6E7A7577&quot;/&gt;&lt;wsp:rsid wsp:val=&quot;6E7B6E4B&quot;/&gt;&lt;wsp:rsid wsp:val=&quot;6E7D2BC3&quot;/&gt;&lt;wsp:rsid wsp:val=&quot;6E7D7067&quot;/&gt;&lt;wsp:rsid wsp:val=&quot;6E7F06E9&quot;/&gt;&lt;wsp:rsid wsp:val=&quot;6E804461&quot;/&gt;&lt;wsp:rsid wsp:val=&quot;6E810905&quot;/&gt;&lt;wsp:rsid wsp:val=&quot;6E82642B&quot;/&gt;&lt;wsp:rsid wsp:val=&quot;6E874588&quot;/&gt;&lt;wsp:rsid wsp:val=&quot;6E8842D7&quot;/&gt;&lt;wsp:rsid wsp:val=&quot;6E890338&quot;/&gt;&lt;wsp:rsid wsp:val=&quot;6E8961B8&quot;/&gt;&lt;wsp:rsid wsp:val=&quot;6E896EA8&quot;/&gt;&lt;wsp:rsid wsp:val=&quot;6E8A5340&quot;/&gt;&lt;wsp:rsid wsp:val=&quot;6E8C2E06&quot;/&gt;&lt;wsp:rsid wsp:val=&quot;6E8D72AA&quot;/&gt;&lt;wsp:rsid wsp:val=&quot;6E8F5B5F&quot;/&gt;&lt;wsp:rsid wsp:val=&quot;6E900879&quot;/&gt;&lt;wsp:rsid wsp:val=&quot;6E922B12&quot;/&gt;&lt;wsp:rsid wsp:val=&quot;6E9323E7&quot;/&gt;&lt;wsp:rsid wsp:val=&quot;6E9422B2&quot;/&gt;&lt;wsp:rsid wsp:val=&quot;6E9A19C7&quot;/&gt;&lt;wsp:rsid wsp:val=&quot;6E9C74ED&quot;/&gt;&lt;wsp:rsid wsp:val=&quot;6E9E14B7&quot;/&gt;&lt;wsp:rsid wsp:val=&quot;6E9F6FDD&quot;/&gt;&lt;wsp:rsid wsp:val=&quot;6EA136DF&quot;/&gt;&lt;wsp:rsid wsp:val=&quot;6EA2087C&quot;/&gt;&lt;wsp:rsid wsp:val=&quot;6EA2262A&quot;/&gt;&lt;wsp:rsid wsp:val=&quot;6EA36ACE&quot;/&gt;&lt;wsp:rsid wsp:val=&quot;6EA42846&quot;/&gt;&lt;wsp:rsid wsp:val=&quot;6EA75E92&quot;/&gt;&lt;wsp:rsid wsp:val=&quot;6EA939B8&quot;/&gt;&lt;wsp:rsid wsp:val=&quot;6EA97E5C&quot;/&gt;&lt;wsp:rsid wsp:val=&quot;6EAB7671&quot;/&gt;&lt;wsp:rsid wsp:val=&quot;6EAC5256&quot;/&gt;&lt;wsp:rsid wsp:val=&quot;6EAD684E&quot;/&gt;&lt;wsp:rsid wsp:val=&quot;6EAE5472&quot;/&gt;&lt;wsp:rsid wsp:val=&quot;6EAE733F&quot;/&gt;&lt;wsp:rsid wsp:val=&quot;6EAF2053&quot;/&gt;&lt;wsp:rsid wsp:val=&quot;6EB011EB&quot;/&gt;&lt;wsp:rsid wsp:val=&quot;6EB365E5&quot;/&gt;&lt;wsp:rsid wsp:val=&quot;6EB42BD3&quot;/&gt;&lt;wsp:rsid wsp:val=&quot;6EB5235D&quot;/&gt;&lt;wsp:rsid wsp:val=&quot;6EB563D5&quot;/&gt;&lt;wsp:rsid wsp:val=&quot;6EB62DE8&quot;/&gt;&lt;wsp:rsid wsp:val=&quot;6EB81E4D&quot;/&gt;&lt;wsp:rsid wsp:val=&quot;6EB83BFB&quot;/&gt;&lt;wsp:rsid wsp:val=&quot;6EBC193D&quot;/&gt;&lt;wsp:rsid wsp:val=&quot;6EC0089A&quot;/&gt;&lt;wsp:rsid wsp:val=&quot;6EC16F54&quot;/&gt;&lt;wsp:rsid wsp:val=&quot;6EC24A7A&quot;/&gt;&lt;wsp:rsid wsp:val=&quot;6EC46A44&quot;/&gt;&lt;wsp:rsid wsp:val=&quot;6EC627BC&quot;/&gt;&lt;wsp:rsid wsp:val=&quot;6EC922AC&quot;/&gt;&lt;wsp:rsid wsp:val=&quot;6EC95E08&quot;/&gt;&lt;wsp:rsid wsp:val=&quot;6ECA39AD&quot;/&gt;&lt;wsp:rsid wsp:val=&quot;6ECB392F&quot;/&gt;&lt;wsp:rsid wsp:val=&quot;6ECB66B8&quot;/&gt;&lt;wsp:rsid wsp:val=&quot;6ECC3C23&quot;/&gt;&lt;wsp:rsid wsp:val=&quot;6ECF78C3&quot;/&gt;&lt;wsp:rsid wsp:val=&quot;6ED0239E&quot;/&gt;&lt;wsp:rsid wsp:val=&quot;6ED07197&quot;/&gt;&lt;wsp:rsid wsp:val=&quot;6ED0761A&quot;/&gt;&lt;wsp:rsid wsp:val=&quot;6ED13F5D&quot;/&gt;&lt;wsp:rsid wsp:val=&quot;6ED21161&quot;/&gt;&lt;wsp:rsid wsp:val=&quot;6ED3687D&quot;/&gt;&lt;wsp:rsid wsp:val=&quot;6ED50C51&quot;/&gt;&lt;wsp:rsid wsp:val=&quot;6ED529FF&quot;/&gt;&lt;wsp:rsid wsp:val=&quot;6ED70525&quot;/&gt;&lt;wsp:rsid wsp:val=&quot;6ED749C9&quot;/&gt;&lt;wsp:rsid wsp:val=&quot;6ED8604B&quot;/&gt;&lt;wsp:rsid wsp:val=&quot;6ED92677&quot;/&gt;&lt;wsp:rsid wsp:val=&quot;6ED9678D&quot;/&gt;&lt;wsp:rsid wsp:val=&quot;6EDA0016&quot;/&gt;&lt;wsp:rsid wsp:val=&quot;6EDC1FE0&quot;/&gt;&lt;wsp:rsid wsp:val=&quot;6EDC5B3C&quot;/&gt;&lt;wsp:rsid wsp:val=&quot;6EDD056B&quot;/&gt;&lt;wsp:rsid wsp:val=&quot;6EDD3662&quot;/&gt;&lt;wsp:rsid wsp:val=&quot;6EDD6664&quot;/&gt;&lt;wsp:rsid wsp:val=&quot;6EDF73DA&quot;/&gt;&lt;wsp:rsid wsp:val=&quot;6EE05E54&quot;/&gt;&lt;wsp:rsid wsp:val=&quot;6EE175F6&quot;/&gt;&lt;wsp:rsid wsp:val=&quot;6EE42C42&quot;/&gt;&lt;wsp:rsid wsp:val=&quot;6EE449F0&quot;/&gt;&lt;wsp:rsid wsp:val=&quot;6EE507FF&quot;/&gt;&lt;wsp:rsid wsp:val=&quot;6EE60768&quot;/&gt;&lt;wsp:rsid wsp:val=&quot;6EE64C0C&quot;/&gt;&lt;wsp:rsid wsp:val=&quot;6EE669BA&quot;/&gt;&lt;wsp:rsid wsp:val=&quot;6EE80984&quot;/&gt;&lt;wsp:rsid wsp:val=&quot;6EE90259&quot;/&gt;&lt;wsp:rsid wsp:val=&quot;6EE964AB&quot;/&gt;&lt;wsp:rsid wsp:val=&quot;6EEB3FD1&quot;/&gt;&lt;wsp:rsid wsp:val=&quot;6EEB76D5&quot;/&gt;&lt;wsp:rsid wsp:val=&quot;6EEF1974&quot;/&gt;&lt;wsp:rsid wsp:val=&quot;6EF03395&quot;/&gt;&lt;wsp:rsid wsp:val=&quot;6EF07839&quot;/&gt;&lt;wsp:rsid wsp:val=&quot;6EF32E85&quot;/&gt;&lt;wsp:rsid wsp:val=&quot;6EF410D7&quot;/&gt;&lt;wsp:rsid wsp:val=&quot;6EF44042&quot;/&gt;&lt;wsp:rsid wsp:val=&quot;6EF56BFD&quot;/&gt;&lt;wsp:rsid wsp:val=&quot;6EF72976&quot;/&gt;&lt;wsp:rsid wsp:val=&quot;6EF8049C&quot;/&gt;&lt;wsp:rsid wsp:val=&quot;6EF87108&quot;/&gt;&lt;wsp:rsid wsp:val=&quot;6EF966EE&quot;/&gt;&lt;wsp:rsid wsp:val=&quot;6EFB71CA&quot;/&gt;&lt;wsp:rsid wsp:val=&quot;6EFF182A&quot;/&gt;&lt;wsp:rsid wsp:val=&quot;6F03131A&quot;/&gt;&lt;wsp:rsid wsp:val=&quot;6F06705D&quot;/&gt;&lt;wsp:rsid wsp:val=&quot;6F076EA4&quot;/&gt;&lt;wsp:rsid wsp:val=&quot;6F0917CE&quot;/&gt;&lt;wsp:rsid wsp:val=&quot;6F0A08FB&quot;/&gt;&lt;wsp:rsid wsp:val=&quot;6F0B4673&quot;/&gt;&lt;wsp:rsid wsp:val=&quot;6F0C55FA&quot;/&gt;&lt;wsp:rsid wsp:val=&quot;6F0E2CEA&quot;/&gt;&lt;wsp:rsid wsp:val=&quot;6F0F5F11&quot;/&gt;&lt;wsp:rsid wsp:val=&quot;6F10216C&quot;/&gt;&lt;wsp:rsid wsp:val=&quot;6F1057E5&quot;/&gt;&lt;wsp:rsid wsp:val=&quot;6F107F60&quot;/&gt;&lt;wsp:rsid wsp:val=&quot;6F12311E&quot;/&gt;&lt;wsp:rsid wsp:val=&quot;6F125A01&quot;/&gt;&lt;wsp:rsid wsp:val=&quot;6F14379C&quot;/&gt;&lt;wsp:rsid wsp:val=&quot;6F152DFC&quot;/&gt;&lt;wsp:rsid wsp:val=&quot;6F1866F2&quot;/&gt;&lt;wsp:rsid wsp:val=&quot;6F190B3E&quot;/&gt;&lt;wsp:rsid wsp:val=&quot;6F194749&quot;/&gt;&lt;wsp:rsid wsp:val=&quot;6F1A6664&quot;/&gt;&lt;wsp:rsid wsp:val=&quot;6F1C23DC&quot;/&gt;&lt;wsp:rsid wsp:val=&quot;6F1E7F02&quot;/&gt;&lt;wsp:rsid wsp:val=&quot;6F225983&quot;/&gt;&lt;wsp:rsid wsp:val=&quot;6F233805&quot;/&gt;&lt;wsp:rsid wsp:val=&quot;6F235519&quot;/&gt;&lt;wsp:rsid wsp:val=&quot;6F241291&quot;/&gt;&lt;wsp:rsid wsp:val=&quot;6F2474E3&quot;/&gt;&lt;wsp:rsid wsp:val=&quot;6F26325B&quot;/&gt;&lt;wsp:rsid wsp:val=&quot;6F265009&quot;/&gt;&lt;wsp:rsid wsp:val=&quot;6F280D81&quot;/&gt;&lt;wsp:rsid wsp:val=&quot;6F282B2F&quot;/&gt;&lt;wsp:rsid wsp:val=&quot;6F2968A7&quot;/&gt;&lt;wsp:rsid wsp:val=&quot;6F2A2D4B&quot;/&gt;&lt;wsp:rsid wsp:val=&quot;6F2B6AC3&quot;/&gt;&lt;wsp:rsid wsp:val=&quot;6F2C3427&quot;/&gt;&lt;wsp:rsid wsp:val=&quot;6F2D0768&quot;/&gt;&lt;wsp:rsid wsp:val=&quot;6F2D283B&quot;/&gt;&lt;wsp:rsid wsp:val=&quot;6F2D45E9&quot;/&gt;&lt;wsp:rsid wsp:val=&quot;6F2E2059&quot;/&gt;&lt;wsp:rsid wsp:val=&quot;6F2F0361&quot;/&gt;&lt;wsp:rsid wsp:val=&quot;6F2F657B&quot;/&gt;&lt;wsp:rsid wsp:val=&quot;6F304979&quot;/&gt;&lt;wsp:rsid wsp:val=&quot;6F321C00&quot;/&gt;&lt;wsp:rsid wsp:val=&quot;6F327E52&quot;/&gt;&lt;wsp:rsid wsp:val=&quot;6F343B4A&quot;/&gt;&lt;wsp:rsid wsp:val=&quot;6F35349E&quot;/&gt;&lt;wsp:rsid wsp:val=&quot;6F377216&quot;/&gt;&lt;wsp:rsid wsp:val=&quot;6F3911E0&quot;/&gt;&lt;wsp:rsid wsp:val=&quot;6F39203E&quot;/&gt;&lt;wsp:rsid wsp:val=&quot;6F394D3C&quot;/&gt;&lt;wsp:rsid wsp:val=&quot;6F3A05FC&quot;/&gt;&lt;wsp:rsid wsp:val=&quot;6F3A119B&quot;/&gt;&lt;wsp:rsid wsp:val=&quot;6F40256E&quot;/&gt;&lt;wsp:rsid wsp:val=&quot;6F410095&quot;/&gt;&lt;wsp:rsid wsp:val=&quot;6F413BF1&quot;/&gt;&lt;wsp:rsid wsp:val=&quot;6F433E0D&quot;/&gt;&lt;wsp:rsid wsp:val=&quot;6F433F5B&quot;/&gt;&lt;wsp:rsid wsp:val=&quot;6F435BBB&quot;/&gt;&lt;wsp:rsid wsp:val=&quot;6F4427B8&quot;/&gt;&lt;wsp:rsid wsp:val=&quot;6F4656AB&quot;/&gt;&lt;wsp:rsid wsp:val=&quot;6F481423&quot;/&gt;&lt;wsp:rsid wsp:val=&quot;6F484F7F&quot;/&gt;&lt;wsp:rsid wsp:val=&quot;6F490CF7&quot;/&gt;&lt;wsp:rsid wsp:val=&quot;6F49605B&quot;/&gt;&lt;wsp:rsid wsp:val=&quot;6F4A00F0&quot;/&gt;&lt;wsp:rsid wsp:val=&quot;6F4A69AF&quot;/&gt;&lt;wsp:rsid wsp:val=&quot;6F4A6F49&quot;/&gt;&lt;wsp:rsid wsp:val=&quot;6F4B0F13&quot;/&gt;&lt;wsp:rsid wsp:val=&quot;6F4B3922&quot;/&gt;&lt;wsp:rsid wsp:val=&quot;6F4B4A6F&quot;/&gt;&lt;wsp:rsid wsp:val=&quot;6F4F4560&quot;/&gt;&lt;wsp:rsid wsp:val=&quot;6F4F630E&quot;/&gt;&lt;wsp:rsid wsp:val=&quot;6F5222A2&quot;/&gt;&lt;wsp:rsid wsp:val=&quot;6F525DFE&quot;/&gt;&lt;wsp:rsid wsp:val=&quot;6F5558EE&quot;/&gt;&lt;wsp:rsid wsp:val=&quot;6F5953DE&quot;/&gt;&lt;wsp:rsid wsp:val=&quot;6F596922&quot;/&gt;&lt;wsp:rsid wsp:val=&quot;6F5B73A8&quot;/&gt;&lt;wsp:rsid wsp:val=&quot;6F5C0A2B&quot;/&gt;&lt;wsp:rsid wsp:val=&quot;6F5C4ECE&quot;/&gt;&lt;wsp:rsid wsp:val=&quot;6F5C6C7D&quot;/&gt;&lt;wsp:rsid wsp:val=&quot;6F5D357D&quot;/&gt;&lt;wsp:rsid wsp:val=&quot;6F5E0C47&quot;/&gt;&lt;wsp:rsid wsp:val=&quot;6F60051B&quot;/&gt;&lt;wsp:rsid wsp:val=&quot;6F602316&quot;/&gt;&lt;wsp:rsid wsp:val=&quot;6F6049BF&quot;/&gt;&lt;wsp:rsid wsp:val=&quot;6F60676D&quot;/&gt;&lt;wsp:rsid wsp:val=&quot;6F616041&quot;/&gt;&lt;wsp:rsid wsp:val=&quot;6F624C36&quot;/&gt;&lt;wsp:rsid wsp:val=&quot;6F6417C4&quot;/&gt;&lt;wsp:rsid wsp:val=&quot;6F655B31&quot;/&gt;&lt;wsp:rsid wsp:val=&quot;6F6A1399&quot;/&gt;&lt;wsp:rsid wsp:val=&quot;6F6B5112&quot;/&gt;&lt;wsp:rsid wsp:val=&quot;6F6D2C38&quot;/&gt;&lt;wsp:rsid wsp:val=&quot;6F6D49E6&quot;/&gt;&lt;wsp:rsid wsp:val=&quot;6F6F075E&quot;/&gt;&lt;wsp:rsid wsp:val=&quot;6F6F58B2&quot;/&gt;&lt;wsp:rsid wsp:val=&quot;6F712728&quot;/&gt;&lt;wsp:rsid wsp:val=&quot;6F71329B&quot;/&gt;&lt;wsp:rsid wsp:val=&quot;6F7264A0&quot;/&gt;&lt;wsp:rsid wsp:val=&quot;6F767D3E&quot;/&gt;&lt;wsp:rsid wsp:val=&quot;6F7B35A7&quot;/&gt;&lt;wsp:rsid wsp:val=&quot;6F7C731F&quot;/&gt;&lt;wsp:rsid wsp:val=&quot;6F7C7F24&quot;/&gt;&lt;wsp:rsid wsp:val=&quot;6F7F4719&quot;/&gt;&lt;wsp:rsid wsp:val=&quot;6F800BBD&quot;/&gt;&lt;wsp:rsid wsp:val=&quot;6F806E0F&quot;/&gt;&lt;wsp:rsid wsp:val=&quot;6F810491&quot;/&gt;&lt;wsp:rsid wsp:val=&quot;6F8166E3&quot;/&gt;&lt;wsp:rsid wsp:val=&quot;6F854425&quot;/&gt;&lt;wsp:rsid wsp:val=&quot;6F8561D3&quot;/&gt;&lt;wsp:rsid wsp:val=&quot;6F857F81&quot;/&gt;&lt;wsp:rsid wsp:val=&quot;6F881820&quot;/&gt;&lt;wsp:rsid wsp:val=&quot;6F885CC3&quot;/&gt;&lt;wsp:rsid wsp:val=&quot;6F8B6A13&quot;/&gt;&lt;wsp:rsid wsp:val=&quot;6F8D5088&quot;/&gt;&lt;wsp:rsid wsp:val=&quot;6F8F0E00&quot;/&gt;&lt;wsp:rsid wsp:val=&quot;6F904979&quot;/&gt;&lt;wsp:rsid wsp:val=&quot;6F906926&quot;/&gt;&lt;wsp:rsid wsp:val=&quot;6F91461B&quot;/&gt;&lt;wsp:rsid wsp:val=&quot;6F916CF4&quot;/&gt;&lt;wsp:rsid wsp:val=&quot;6F936635&quot;/&gt;&lt;wsp:rsid wsp:val=&quot;6F975F07&quot;/&gt;&lt;wsp:rsid wsp:val=&quot;6F983FC7&quot;/&gt;&lt;wsp:rsid wsp:val=&quot;6F9B1553&quot;/&gt;&lt;wsp:rsid wsp:val=&quot;6F9B3C2B&quot;/&gt;&lt;wsp:rsid wsp:val=&quot;6F9B77A5&quot;/&gt;&lt;wsp:rsid wsp:val=&quot;6F9E1043&quot;/&gt;&lt;wsp:rsid wsp:val=&quot;6F9E54E7&quot;/&gt;&lt;wsp:rsid wsp:val=&quot;6FA0300D&quot;/&gt;&lt;wsp:rsid wsp:val=&quot;6FA04DBB&quot;/&gt;&lt;wsp:rsid wsp:val=&quot;6FA128E1&quot;/&gt;&lt;wsp:rsid wsp:val=&quot;6FA36659&quot;/&gt;&lt;wsp:rsid wsp:val=&quot;6FA50623&quot;/&gt;&lt;wsp:rsid wsp:val=&quot;6FA523D2&quot;/&gt;&lt;wsp:rsid wsp:val=&quot;6FA61EDA&quot;/&gt;&lt;wsp:rsid wsp:val=&quot;6FA7614A&quot;/&gt;&lt;wsp:rsid wsp:val=&quot;6FA81EC2&quot;/&gt;&lt;wsp:rsid wsp:val=&quot;6FAA79E8&quot;/&gt;&lt;wsp:rsid wsp:val=&quot;6FAC19B2&quot;/&gt;&lt;wsp:rsid wsp:val=&quot;6FAD1286&quot;/&gt;&lt;wsp:rsid wsp:val=&quot;6FAE13CB&quot;/&gt;&lt;wsp:rsid wsp:val=&quot;6FAF46CD&quot;/&gt;&lt;wsp:rsid wsp:val=&quot;6FAF4FFE&quot;/&gt;&lt;wsp:rsid wsp:val=&quot;6FB01F63&quot;/&gt;&lt;wsp:rsid wsp:val=&quot;6FB029E4&quot;/&gt;&lt;wsp:rsid wsp:val=&quot;6FB16FC8&quot;/&gt;&lt;wsp:rsid wsp:val=&quot;6FB22D40&quot;/&gt;&lt;wsp:rsid wsp:val=&quot;6FB46AB9&quot;/&gt;&lt;wsp:rsid wsp:val=&quot;6FB563EA&quot;/&gt;&lt;wsp:rsid wsp:val=&quot;6FB62831&quot;/&gt;&lt;wsp:rsid wsp:val=&quot;6FB645DF&quot;/&gt;&lt;wsp:rsid wsp:val=&quot;6FB75A30&quot;/&gt;&lt;wsp:rsid wsp:val=&quot;6FB97C2B&quot;/&gt;&lt;wsp:rsid wsp:val=&quot;6FBB7E47&quot;/&gt;&lt;wsp:rsid wsp:val=&quot;6FBC5841&quot;/&gt;&lt;wsp:rsid wsp:val=&quot;6FC050A5&quot;/&gt;&lt;wsp:rsid wsp:val=&quot;6FC211D5&quot;/&gt;&lt;wsp:rsid wsp:val=&quot;6FC34F4E&quot;/&gt;&lt;wsp:rsid wsp:val=&quot;6FC50CC6&quot;/&gt;&lt;wsp:rsid wsp:val=&quot;6FC54822&quot;/&gt;&lt;wsp:rsid wsp:val=&quot;6FC61E8F&quot;/&gt;&lt;wsp:rsid wsp:val=&quot;6FC84312&quot;/&gt;&lt;wsp:rsid wsp:val=&quot;6FCA62DC&quot;/&gt;&lt;wsp:rsid wsp:val=&quot;6FCC33F2&quot;/&gt;&lt;wsp:rsid wsp:val=&quot;6FCD1397&quot;/&gt;&lt;wsp:rsid wsp:val=&quot;6FCD43FB&quot;/&gt;&lt;wsp:rsid wsp:val=&quot;6FCF3CB7&quot;/&gt;&lt;wsp:rsid wsp:val=&quot;6FCF56A0&quot;/&gt;&lt;wsp:rsid wsp:val=&quot;6FD131C7&quot;/&gt;&lt;wsp:rsid wsp:val=&quot;6FD1766A&quot;/&gt;&lt;wsp:rsid wsp:val=&quot;6FD3397A&quot;/&gt;&lt;wsp:rsid wsp:val=&quot;6FD607DD&quot;/&gt;&lt;wsp:rsid wsp:val=&quot;6FD902CD&quot;/&gt;&lt;wsp:rsid wsp:val=&quot;6FD9207B&quot;/&gt;&lt;wsp:rsid wsp:val=&quot;6FD9651F&quot;/&gt;&lt;wsp:rsid wsp:val=&quot;6FDD552B&quot;/&gt;&lt;wsp:rsid wsp:val=&quot;6FDE42DA&quot;/&gt;&lt;wsp:rsid wsp:val=&quot;6FDE7692&quot;/&gt;&lt;wsp:rsid wsp:val=&quot;6FDF48FC&quot;/&gt;&lt;wsp:rsid wsp:val=&quot;6FDF7BD8&quot;/&gt;&lt;wsp:rsid wsp:val=&quot;6FE27182&quot;/&gt;&lt;wsp:rsid wsp:val=&quot;6FE32EFA&quot;/&gt;&lt;wsp:rsid wsp:val=&quot;6FE44A4D&quot;/&gt;&lt;wsp:rsid wsp:val=&quot;6FE733CE&quot;/&gt;&lt;wsp:rsid wsp:val=&quot;6FE80510&quot;/&gt;&lt;wsp:rsid wsp:val=&quot;6FE86762&quot;/&gt;&lt;wsp:rsid wsp:val=&quot;6FEC0000&quot;/&gt;&lt;wsp:rsid wsp:val=&quot;6FED3D79&quot;/&gt;&lt;wsp:rsid wsp:val=&quot;6FEE06D0&quot;/&gt;&lt;wsp:rsid wsp:val=&quot;6FEE1FCA&quot;/&gt;&lt;wsp:rsid wsp:val=&quot;6FEF7AF1&quot;/&gt;&lt;wsp:rsid wsp:val=&quot;6FF15617&quot;/&gt;&lt;wsp:rsid wsp:val=&quot;6FF2313D&quot;/&gt;&lt;wsp:rsid wsp:val=&quot;6FF36706&quot;/&gt;&lt;wsp:rsid wsp:val=&quot;6FF45107&quot;/&gt;&lt;wsp:rsid wsp:val=&quot;6FF60E7F&quot;/&gt;&lt;wsp:rsid wsp:val=&quot;6FF84BF7&quot;/&gt;&lt;wsp:rsid wsp:val=&quot;6FFB1D32&quot;/&gt;&lt;wsp:rsid wsp:val=&quot;6FFB46E7&quot;/&gt;&lt;wsp:rsid wsp:val=&quot;6FFB6495&quot;/&gt;&lt;wsp:rsid wsp:val=&quot;6FFC5590&quot;/&gt;&lt;wsp:rsid wsp:val=&quot;6FFD220E&quot;/&gt;&lt;wsp:rsid wsp:val=&quot;6FFD3FBC&quot;/&gt;&lt;wsp:rsid wsp:val=&quot;7000585A&quot;/&gt;&lt;wsp:rsid wsp:val=&quot;70025A76&quot;/&gt;&lt;wsp:rsid wsp:val=&quot;7004359C&quot;/&gt;&lt;wsp:rsid wsp:val=&quot;70045690&quot;/&gt;&lt;wsp:rsid wsp:val=&quot;70052E70&quot;/&gt;&lt;wsp:rsid wsp:val=&quot;70057314&quot;/&gt;&lt;wsp:rsid wsp:val=&quot;70074E3A&quot;/&gt;&lt;wsp:rsid wsp:val=&quot;70097B7B&quot;/&gt;&lt;wsp:rsid wsp:val=&quot;700A492A&quot;/&gt;&lt;wsp:rsid wsp:val=&quot;700E225C&quot;/&gt;&lt;wsp:rsid wsp:val=&quot;700F3CEF&quot;/&gt;&lt;wsp:rsid wsp:val=&quot;70100F70&quot;/&gt;&lt;wsp:rsid wsp:val=&quot;70117A67&quot;/&gt;&lt;wsp:rsid wsp:val=&quot;70123113&quot;/&gt;&lt;wsp:rsid wsp:val=&quot;701231C2&quot;/&gt;&lt;wsp:rsid wsp:val=&quot;701337DF&quot;/&gt;&lt;wsp:rsid wsp:val=&quot;701557A9&quot;/&gt;&lt;wsp:rsid wsp:val=&quot;701660F1&quot;/&gt;&lt;wsp:rsid wsp:val=&quot;701778DC&quot;/&gt;&lt;wsp:rsid wsp:val=&quot;701A2DBF&quot;/&gt;&lt;wsp:rsid wsp:val=&quot;701C3816&quot;/&gt;&lt;wsp:rsid wsp:val=&quot;701D28B0&quot;/&gt;&lt;wsp:rsid wsp:val=&quot;701D640C&quot;/&gt;&lt;wsp:rsid wsp:val=&quot;70205EFC&quot;/&gt;&lt;wsp:rsid wsp:val=&quot;70207CAA&quot;/&gt;&lt;wsp:rsid wsp:val=&quot;702208C9&quot;/&gt;&lt;wsp:rsid wsp:val=&quot;7023779A&quot;/&gt;&lt;wsp:rsid wsp:val=&quot;70246FB7&quot;/&gt;&lt;wsp:rsid wsp:val=&quot;7024730F&quot;/&gt;&lt;wsp:rsid wsp:val=&quot;70252028&quot;/&gt;&lt;wsp:rsid wsp:val=&quot;702A0B29&quot;/&gt;&lt;wsp:rsid wsp:val=&quot;702C664F&quot;/&gt;&lt;wsp:rsid wsp:val=&quot;702E23C7&quot;/&gt;&lt;wsp:rsid wsp:val=&quot;702E6455&quot;/&gt;&lt;wsp:rsid wsp:val=&quot;702F4391&quot;/&gt;&lt;wsp:rsid wsp:val=&quot;70311EB7&quot;/&gt;&lt;wsp:rsid wsp:val=&quot;703270B5&quot;/&gt;&lt;wsp:rsid wsp:val=&quot;70343755&quot;/&gt;&lt;wsp:rsid wsp:val=&quot;70357BF9&quot;/&gt;&lt;wsp:rsid wsp:val=&quot;7036127C&quot;/&gt;&lt;wsp:rsid wsp:val=&quot;703642F5&quot;/&gt;&lt;wsp:rsid wsp:val=&quot;7036571F&quot;/&gt;&lt;wsp:rsid wsp:val=&quot;703674CE&quot;/&gt;&lt;wsp:rsid wsp:val=&quot;70390D6C&quot;/&gt;&lt;wsp:rsid wsp:val=&quot;70392C76&quot;/&gt;&lt;wsp:rsid wsp:val=&quot;703B0F88&quot;/&gt;&lt;wsp:rsid wsp:val=&quot;703B2D36&quot;/&gt;&lt;wsp:rsid wsp:val=&quot;703D085C&quot;/&gt;&lt;wsp:rsid wsp:val=&quot;703D3F4C&quot;/&gt;&lt;wsp:rsid wsp:val=&quot;703D6AAE&quot;/&gt;&lt;wsp:rsid wsp:val=&quot;703F2826&quot;/&gt;&lt;wsp:rsid wsp:val=&quot;703F5309&quot;/&gt;&lt;wsp:rsid wsp:val=&quot;703F6E9D&quot;/&gt;&lt;wsp:rsid wsp:val=&quot;7040714E&quot;/&gt;&lt;wsp:rsid wsp:val=&quot;704240C4&quot;/&gt;&lt;wsp:rsid wsp:val=&quot;704265C0&quot;/&gt;&lt;wsp:rsid wsp:val=&quot;70436AA7&quot;/&gt;&lt;wsp:rsid wsp:val=&quot;704812DB&quot;/&gt;&lt;wsp:rsid wsp:val=&quot;70497201&quot;/&gt;&lt;wsp:rsid wsp:val=&quot;704A2F79&quot;/&gt;&lt;wsp:rsid wsp:val=&quot;704C4F43&quot;/&gt;&lt;wsp:rsid wsp:val=&quot;704C7C5C&quot;/&gt;&lt;wsp:rsid wsp:val=&quot;704E23DE&quot;/&gt;&lt;wsp:rsid wsp:val=&quot;704E4817&quot;/&gt;&lt;wsp:rsid wsp:val=&quot;704F233D&quot;/&gt;&lt;wsp:rsid wsp:val=&quot;704F4E9C&quot;/&gt;&lt;wsp:rsid wsp:val=&quot;70512559&quot;/&gt;&lt;wsp:rsid wsp:val=&quot;70514307&quot;/&gt;&lt;wsp:rsid wsp:val=&quot;70514CF5&quot;/&gt;&lt;wsp:rsid wsp:val=&quot;7053007F&quot;/&gt;&lt;wsp:rsid wsp:val=&quot;70531E2E&quot;/&gt;&lt;wsp:rsid wsp:val=&quot;70545BA6&quot;/&gt;&lt;wsp:rsid wsp:val=&quot;705636CC&quot;/&gt;&lt;wsp:rsid wsp:val=&quot;70567B70&quot;/&gt;&lt;wsp:rsid wsp:val=&quot;705838E8&quot;/&gt;&lt;wsp:rsid wsp:val=&quot;70585414&quot;/&gt;&lt;wsp:rsid wsp:val=&quot;705858AD&quot;/&gt;&lt;wsp:rsid wsp:val=&quot;70587444&quot;/&gt;&lt;wsp:rsid wsp:val=&quot;705D0EFE&quot;/&gt;&lt;wsp:rsid wsp:val=&quot;706109EE&quot;/&gt;&lt;wsp:rsid wsp:val=&quot;706109F2&quot;/&gt;&lt;wsp:rsid wsp:val=&quot;70621E82&quot;/&gt;&lt;wsp:rsid wsp:val=&quot;70626515&quot;/&gt;&lt;wsp:rsid wsp:val=&quot;7064228D&quot;/&gt;&lt;wsp:rsid wsp:val=&quot;7065282C&quot;/&gt;&lt;wsp:rsid wsp:val=&quot;70665935&quot;/&gt;&lt;wsp:rsid wsp:val=&quot;70671D7D&quot;/&gt;&lt;wsp:rsid wsp:val=&quot;70691651&quot;/&gt;&lt;wsp:rsid wsp:val=&quot;706A7177&quot;/&gt;&lt;wsp:rsid wsp:val=&quot;706B361B&quot;/&gt;&lt;wsp:rsid wsp:val=&quot;706C06D6&quot;/&gt;&lt;wsp:rsid wsp:val=&quot;706C2EEF&quot;/&gt;&lt;wsp:rsid wsp:val=&quot;706D1DD0&quot;/&gt;&lt;wsp:rsid wsp:val=&quot;706E0425&quot;/&gt;&lt;wsp:rsid wsp:val=&quot;706E487B&quot;/&gt;&lt;wsp:rsid wsp:val=&quot;706F478E&quot;/&gt;&lt;wsp:rsid wsp:val=&quot;706F509D&quot;/&gt;&lt;wsp:rsid wsp:val=&quot;707029DF&quot;/&gt;&lt;wsp:rsid wsp:val=&quot;7073427E&quot;/&gt;&lt;wsp:rsid wsp:val=&quot;70761788&quot;/&gt;&lt;wsp:rsid wsp:val=&quot;70761FC0&quot;/&gt;&lt;wsp:rsid wsp:val=&quot;707A385E&quot;/&gt;&lt;wsp:rsid wsp:val=&quot;707A560C&quot;/&gt;&lt;wsp:rsid wsp:val=&quot;707B3132&quot;/&gt;&lt;wsp:rsid wsp:val=&quot;707B75D6&quot;/&gt;&lt;wsp:rsid wsp:val=&quot;707D334E&quot;/&gt;&lt;wsp:rsid wsp:val=&quot;707F13AA&quot;/&gt;&lt;wsp:rsid wsp:val=&quot;707F70C6&quot;/&gt;&lt;wsp:rsid wsp:val=&quot;7080699B&quot;/&gt;&lt;wsp:rsid wsp:val=&quot;70822713&quot;/&gt;&lt;wsp:rsid wsp:val=&quot;708244C1&quot;/&gt;&lt;wsp:rsid wsp:val=&quot;7082717F&quot;/&gt;&lt;wsp:rsid wsp:val=&quot;70856B87&quot;/&gt;&lt;wsp:rsid wsp:val=&quot;70877D29&quot;/&gt;&lt;wsp:rsid wsp:val=&quot;70886657&quot;/&gt;&lt;wsp:rsid wsp:val=&quot;7089584F&quot;/&gt;&lt;wsp:rsid wsp:val=&quot;708B5A6B&quot;/&gt;&lt;wsp:rsid wsp:val=&quot;708E10B8&quot;/&gt;&lt;wsp:rsid wsp:val=&quot;708E25E0&quot;/&gt;&lt;wsp:rsid wsp:val=&quot;708E2E66&quot;/&gt;&lt;wsp:rsid wsp:val=&quot;708F6BDE&quot;/&gt;&lt;wsp:rsid wsp:val=&quot;70912956&quot;/&gt;&lt;wsp:rsid wsp:val=&quot;7093565C&quot;/&gt;&lt;wsp:rsid wsp:val=&quot;709541F4&quot;/&gt;&lt;wsp:rsid wsp:val=&quot;709661BE&quot;/&gt;&lt;wsp:rsid wsp:val=&quot;70967F6C&quot;/&gt;&lt;wsp:rsid wsp:val=&quot;70980188&quot;/&gt;&lt;wsp:rsid wsp:val=&quot;709A7A5C&quot;/&gt;&lt;wsp:rsid wsp:val=&quot;709D12FB&quot;/&gt;&lt;wsp:rsid wsp:val=&quot;709D579F&quot;/&gt;&lt;wsp:rsid wsp:val=&quot;709D754D&quot;/&gt;&lt;wsp:rsid wsp:val=&quot;709E1FE6&quot;/&gt;&lt;wsp:rsid wsp:val=&quot;709F1E24&quot;/&gt;&lt;wsp:rsid wsp:val=&quot;709F3565&quot;/&gt;&lt;wsp:rsid wsp:val=&quot;709F441D&quot;/&gt;&lt;wsp:rsid wsp:val=&quot;709F5073&quot;/&gt;&lt;wsp:rsid wsp:val=&quot;70A00DEB&quot;/&gt;&lt;wsp:rsid wsp:val=&quot;70A22DB5&quot;/&gt;&lt;wsp:rsid wsp:val=&quot;70A408C8&quot;/&gt;&lt;wsp:rsid wsp:val=&quot;70A42689&quot;/&gt;&lt;wsp:rsid wsp:val=&quot;70A650C3&quot;/&gt;&lt;wsp:rsid wsp:val=&quot;70A72179&quot;/&gt;&lt;wsp:rsid wsp:val=&quot;70A73F27&quot;/&gt;&lt;wsp:rsid wsp:val=&quot;70A804DF&quot;/&gt;&lt;wsp:rsid wsp:val=&quot;70A95EF1&quot;/&gt;&lt;wsp:rsid wsp:val=&quot;70AC59E2&quot;/&gt;&lt;wsp:rsid wsp:val=&quot;70AE3508&quot;/&gt;&lt;wsp:rsid wsp:val=&quot;70B16AF4&quot;/&gt;&lt;wsp:rsid wsp:val=&quot;70B30B1E&quot;/&gt;&lt;wsp:rsid wsp:val=&quot;70B328CC&quot;/&gt;&lt;wsp:rsid wsp:val=&quot;70B8153B&quot;/&gt;&lt;wsp:rsid wsp:val=&quot;70B84386&quot;/&gt;&lt;wsp:rsid wsp:val=&quot;70BA00FF&quot;/&gt;&lt;wsp:rsid wsp:val=&quot;70BA4F67&quot;/&gt;&lt;wsp:rsid wsp:val=&quot;70BB6F1C&quot;/&gt;&lt;wsp:rsid wsp:val=&quot;70BB79D3&quot;/&gt;&lt;wsp:rsid wsp:val=&quot;70BF3967&quot;/&gt;&lt;wsp:rsid wsp:val=&quot;70C0289D&quot;/&gt;&lt;wsp:rsid wsp:val=&quot;70C1323B&quot;/&gt;&lt;wsp:rsid wsp:val=&quot;70C251BD&quot;/&gt;&lt;wsp:rsid wsp:val=&quot;70C25205&quot;/&gt;&lt;wsp:rsid wsp:val=&quot;70C40F7D&quot;/&gt;&lt;wsp:rsid wsp:val=&quot;70C44AD9&quot;/&gt;&lt;wsp:rsid wsp:val=&quot;70C66AA3&quot;/&gt;&lt;wsp:rsid wsp:val=&quot;70C71B7C&quot;/&gt;&lt;wsp:rsid wsp:val=&quot;70C76378&quot;/&gt;&lt;wsp:rsid wsp:val=&quot;70C85E27&quot;/&gt;&lt;wsp:rsid wsp:val=&quot;70C90342&quot;/&gt;&lt;wsp:rsid wsp:val=&quot;70C920F0&quot;/&gt;&lt;wsp:rsid wsp:val=&quot;70CA394F&quot;/&gt;&lt;wsp:rsid wsp:val=&quot;70CB230C&quot;/&gt;&lt;wsp:rsid wsp:val=&quot;70CB5E68&quot;/&gt;&lt;wsp:rsid wsp:val=&quot;70CB652E&quot;/&gt;&lt;wsp:rsid wsp:val=&quot;70CC398E&quot;/&gt;&lt;wsp:rsid wsp:val=&quot;70CD6084&quot;/&gt;&lt;wsp:rsid wsp:val=&quot;70D10655&quot;/&gt;&lt;wsp:rsid wsp:val=&quot;70D21A8E&quot;/&gt;&lt;wsp:rsid wsp:val=&quot;70D25448&quot;/&gt;&lt;wsp:rsid wsp:val=&quot;70D32F6E&quot;/&gt;&lt;wsp:rsid wsp:val=&quot;70D475D2&quot;/&gt;&lt;wsp:rsid wsp:val=&quot;70D50A94&quot;/&gt;&lt;wsp:rsid wsp:val=&quot;70D527EE&quot;/&gt;&lt;wsp:rsid wsp:val=&quot;70D54F38&quot;/&gt;&lt;wsp:rsid wsp:val=&quot;70D56CE6&quot;/&gt;&lt;wsp:rsid wsp:val=&quot;70D72A5F&quot;/&gt;&lt;wsp:rsid wsp:val=&quot;70D77694&quot;/&gt;&lt;wsp:rsid wsp:val=&quot;70D80585&quot;/&gt;&lt;wsp:rsid wsp:val=&quot;70DA6015&quot;/&gt;&lt;wsp:rsid wsp:val=&quot;70DE203F&quot;/&gt;&lt;wsp:rsid wsp:val=&quot;70DF36C1&quot;/&gt;&lt;wsp:rsid wsp:val=&quot;70E138DD&quot;/&gt;&lt;wsp:rsid wsp:val=&quot;70E4517B&quot;/&gt;&lt;wsp:rsid wsp:val=&quot;70E46F2A&quot;/&gt;&lt;wsp:rsid wsp:val=&quot;70E60EF4&quot;/&gt;&lt;wsp:rsid wsp:val=&quot;70E64A50&quot;/&gt;&lt;wsp:rsid wsp:val=&quot;70E76A1A&quot;/&gt;&lt;wsp:rsid wsp:val=&quot;70E84C6C&quot;/&gt;&lt;wsp:rsid wsp:val=&quot;70E909E4&quot;/&gt;&lt;wsp:rsid wsp:val=&quot;70EA43C9&quot;/&gt;&lt;wsp:rsid wsp:val=&quot;70ED4030&quot;/&gt;&lt;wsp:rsid wsp:val=&quot;70ED448B&quot;/&gt;&lt;wsp:rsid wsp:val=&quot;70EE1B56&quot;/&gt;&lt;wsp:rsid wsp:val=&quot;70EE5F9E&quot;/&gt;&lt;wsp:rsid wsp:val=&quot;70EE5FFA&quot;/&gt;&lt;wsp:rsid wsp:val=&quot;70F01D72&quot;/&gt;&lt;wsp:rsid wsp:val=&quot;70F03B20&quot;/&gt;&lt;wsp:rsid wsp:val=&quot;70F2429C&quot;/&gt;&lt;wsp:rsid wsp:val=&quot;70F2563F&quot;/&gt;&lt;wsp:rsid wsp:val=&quot;70F52EE5&quot;/&gt;&lt;wsp:rsid wsp:val=&quot;70F57389&quot;/&gt;&lt;wsp:rsid wsp:val=&quot;70F74EAF&quot;/&gt;&lt;wsp:rsid wsp:val=&quot;70F86D26&quot;/&gt;&lt;wsp:rsid wsp:val=&quot;70F8771B&quot;/&gt;&lt;wsp:rsid wsp:val=&quot;70FA04FB&quot;/&gt;&lt;wsp:rsid wsp:val=&quot;70FC0717&quot;/&gt;&lt;wsp:rsid wsp:val=&quot;70FC24C5&quot;/&gt;&lt;wsp:rsid wsp:val=&quot;70FC4273&quot;/&gt;&lt;wsp:rsid wsp:val=&quot;70FF3D63&quot;/&gt;&lt;wsp:rsid wsp:val=&quot;70FF5B11&quot;/&gt;&lt;wsp:rsid wsp:val=&quot;70FF68A0&quot;/&gt;&lt;wsp:rsid wsp:val=&quot;71033854&quot;/&gt;&lt;wsp:rsid wsp:val=&quot;7104120B&quot;/&gt;&lt;wsp:rsid wsp:val=&quot;71044B32&quot;/&gt;&lt;wsp:rsid wsp:val=&quot;710475CC&quot;/&gt;&lt;wsp:rsid wsp:val=&quot;7105665F&quot;/&gt;&lt;wsp:rsid wsp:val=&quot;71077A7F&quot;/&gt;&lt;wsp:rsid wsp:val=&quot;71080E6A&quot;/&gt;&lt;wsp:rsid wsp:val=&quot;71094BE2&quot;/&gt;&lt;wsp:rsid wsp:val=&quot;710B095A&quot;/&gt;&lt;wsp:rsid wsp:val=&quot;710B19BB&quot;/&gt;&lt;wsp:rsid wsp:val=&quot;710C5CDD&quot;/&gt;&lt;wsp:rsid wsp:val=&quot;710D46D2&quot;/&gt;&lt;wsp:rsid wsp:val=&quot;710E21F8&quot;/&gt;&lt;wsp:rsid wsp:val=&quot;710F6395&quot;/&gt;&lt;wsp:rsid wsp:val=&quot;7110326C&quot;/&gt;&lt;wsp:rsid wsp:val=&quot;71107D1F&quot;/&gt;&lt;wsp:rsid wsp:val=&quot;71121CE9&quot;/&gt;&lt;wsp:rsid wsp:val=&quot;71123A97&quot;/&gt;&lt;wsp:rsid wsp:val=&quot;711315BD&quot;/&gt;&lt;wsp:rsid wsp:val=&quot;71135446&quot;/&gt;&lt;wsp:rsid wsp:val=&quot;71144A65&quot;/&gt;&lt;wsp:rsid wsp:val=&quot;71145A61&quot;/&gt;&lt;wsp:rsid wsp:val=&quot;71174B27&quot;/&gt;&lt;wsp:rsid wsp:val=&quot;711B5D6B&quot;/&gt;&lt;wsp:rsid wsp:val=&quot;711C2B67&quot;/&gt;&lt;wsp:rsid wsp:val=&quot;711C66C3&quot;/&gt;&lt;wsp:rsid wsp:val=&quot;711D3091&quot;/&gt;&lt;wsp:rsid wsp:val=&quot;711D41EA&quot;/&gt;&lt;wsp:rsid wsp:val=&quot;711E1E29&quot;/&gt;&lt;wsp:rsid wsp:val=&quot;711E68DF&quot;/&gt;&lt;wsp:rsid wsp:val=&quot;71202D96&quot;/&gt;&lt;wsp:rsid wsp:val=&quot;712107AA&quot;/&gt;&lt;wsp:rsid wsp:val=&quot;71213CDA&quot;/&gt;&lt;wsp:rsid wsp:val=&quot;71225601&quot;/&gt;&lt;wsp:rsid wsp:val=&quot;71237A52&quot;/&gt;&lt;wsp:rsid wsp:val=&quot;71257C6E&quot;/&gt;&lt;wsp:rsid wsp:val=&quot;71274B5F&quot;/&gt;&lt;wsp:rsid wsp:val=&quot;712B3716&quot;/&gt;&lt;wsp:rsid wsp:val=&quot;712C417C&quot;/&gt;&lt;wsp:rsid wsp:val=&quot;713056CE&quot;/&gt;&lt;wsp:rsid wsp:val=&quot;71324139&quot;/&gt;&lt;wsp:rsid wsp:val=&quot;71333A0D&quot;/&gt;&lt;wsp:rsid wsp:val=&quot;7134404F&quot;/&gt;&lt;wsp:rsid wsp:val=&quot;71347EB1&quot;/&gt;&lt;wsp:rsid wsp:val=&quot;71353C29&quot;/&gt;&lt;wsp:rsid wsp:val=&quot;71357785&quot;/&gt;&lt;wsp:rsid wsp:val=&quot;713779A1&quot;/&gt;&lt;wsp:rsid wsp:val=&quot;713C0B14&quot;/&gt;&lt;wsp:rsid wsp:val=&quot;713C657E&quot;/&gt;&lt;wsp:rsid wsp:val=&quot;713C6D66&quot;/&gt;&lt;wsp:rsid wsp:val=&quot;713F6856&quot;/&gt;&lt;wsp:rsid wsp:val=&quot;7141437C&quot;/&gt;&lt;wsp:rsid wsp:val=&quot;71415FD9&quot;/&gt;&lt;wsp:rsid wsp:val=&quot;71424DA3&quot;/&gt;&lt;wsp:rsid wsp:val=&quot;71444FD4&quot;/&gt;&lt;wsp:rsid wsp:val=&quot;714479C8&quot;/&gt;&lt;wsp:rsid wsp:val=&quot;714517AD&quot;/&gt;&lt;wsp:rsid wsp:val=&quot;71453E6C&quot;/&gt;&lt;wsp:rsid wsp:val=&quot;714632C2&quot;/&gt;&lt;wsp:rsid wsp:val=&quot;71467BE4&quot;/&gt;&lt;wsp:rsid wsp:val=&quot;71486FF1&quot;/&gt;&lt;wsp:rsid wsp:val=&quot;71493231&quot;/&gt;&lt;wsp:rsid wsp:val=&quot;714B0D57&quot;/&gt;&lt;wsp:rsid wsp:val=&quot;714B6FA9&quot;/&gt;&lt;wsp:rsid wsp:val=&quot;714E7896&quot;/&gt;&lt;wsp:rsid wsp:val=&quot;714F4CEB&quot;/&gt;&lt;wsp:rsid wsp:val=&quot;714F6A99&quot;/&gt;&lt;wsp:rsid wsp:val=&quot;71500A63&quot;/&gt;&lt;wsp:rsid wsp:val=&quot;715028AC&quot;/&gt;&lt;wsp:rsid wsp:val=&quot;7150636D&quot;/&gt;&lt;wsp:rsid wsp:val=&quot;71516148&quot;/&gt;&lt;wsp:rsid wsp:val=&quot;71526589&quot;/&gt;&lt;wsp:rsid wsp:val=&quot;71535E5D&quot;/&gt;&lt;wsp:rsid wsp:val=&quot;71542301&quot;/&gt;&lt;wsp:rsid wsp:val=&quot;71546D9B&quot;/&gt;&lt;wsp:rsid wsp:val=&quot;71551BD5&quot;/&gt;&lt;wsp:rsid wsp:val=&quot;7157594D&quot;/&gt;&lt;wsp:rsid wsp:val=&quot;715776FB&quot;/&gt;&lt;wsp:rsid wsp:val=&quot;715A543E&quot;/&gt;&lt;wsp:rsid wsp:val=&quot;715A71EC&quot;/&gt;&lt;wsp:rsid wsp:val=&quot;715B5300&quot;/&gt;&lt;wsp:rsid wsp:val=&quot;715C11B6&quot;/&gt;&lt;wsp:rsid wsp:val=&quot;715C2F64&quot;/&gt;&lt;wsp:rsid wsp:val=&quot;715D30C9&quot;/&gt;&lt;wsp:rsid wsp:val=&quot;715D46EB&quot;/&gt;&lt;wsp:rsid wsp:val=&quot;715E6CDC&quot;/&gt;&lt;wsp:rsid wsp:val=&quot;71614A1E&quot;/&gt;&lt;wsp:rsid wsp:val=&quot;71663DE2&quot;/&gt;&lt;wsp:rsid wsp:val=&quot;71687B5B&quot;/&gt;&lt;wsp:rsid wsp:val=&quot;7169742F&quot;/&gt;&lt;wsp:rsid wsp:val=&quot;716A585F&quot;/&gt;&lt;wsp:rsid wsp:val=&quot;716B13F9&quot;/&gt;&lt;wsp:rsid wsp:val=&quot;716C160F&quot;/&gt;&lt;wsp:rsid wsp:val=&quot;716F0EE9&quot;/&gt;&lt;wsp:rsid wsp:val=&quot;717007BD&quot;/&gt;&lt;wsp:rsid wsp:val=&quot;71702B61&quot;/&gt;&lt;wsp:rsid wsp:val=&quot;71706A0F&quot;/&gt;&lt;wsp:rsid wsp:val=&quot;717402AD&quot;/&gt;&lt;wsp:rsid wsp:val=&quot;717464FF&quot;/&gt;&lt;wsp:rsid wsp:val=&quot;717679C7&quot;/&gt;&lt;wsp:rsid wsp:val=&quot;71775FF0&quot;/&gt;&lt;wsp:rsid wsp:val=&quot;71777D9E&quot;/&gt;&lt;wsp:rsid wsp:val=&quot;717812F3&quot;/&gt;&lt;wsp:rsid wsp:val=&quot;717A3C13&quot;/&gt;&lt;wsp:rsid wsp:val=&quot;717B5AE0&quot;/&gt;&lt;wsp:rsid wsp:val=&quot;717C1858&quot;/&gt;&lt;wsp:rsid wsp:val=&quot;717C7162&quot;/&gt;&lt;wsp:rsid wsp:val=&quot;717E354C&quot;/&gt;&lt;wsp:rsid wsp:val=&quot;717E737E&quot;/&gt;&lt;wsp:rsid wsp:val=&quot;717F372C&quot;/&gt;&lt;wsp:rsid wsp:val=&quot;71802656&quot;/&gt;&lt;wsp:rsid wsp:val=&quot;718304F0&quot;/&gt;&lt;wsp:rsid wsp:val=&quot;71866233&quot;/&gt;&lt;wsp:rsid wsp:val=&quot;71867FE1&quot;/&gt;&lt;wsp:rsid wsp:val=&quot;71893C8D&quot;/&gt;&lt;wsp:rsid wsp:val=&quot;718A5D23&quot;/&gt;&lt;wsp:rsid wsp:val=&quot;718A7127&quot;/&gt;&lt;wsp:rsid wsp:val=&quot;718C1A9B&quot;/&gt;&lt;wsp:rsid wsp:val=&quot;718C3BCF&quot;/&gt;&lt;wsp:rsid wsp:val=&quot;718D136F&quot;/&gt;&lt;wsp:rsid wsp:val=&quot;718F6BAA&quot;/&gt;&lt;wsp:rsid wsp:val=&quot;718F6E95&quot;/&gt;&lt;wsp:rsid wsp:val=&quot;719170B1&quot;/&gt;&lt;wsp:rsid wsp:val=&quot;71922E29&quot;/&gt;&lt;wsp:rsid wsp:val=&quot;719426FE&quot;/&gt;&lt;wsp:rsid wsp:val=&quot;71950224&quot;/&gt;&lt;wsp:rsid wsp:val=&quot;719646C8&quot;/&gt;&lt;wsp:rsid wsp:val=&quot;719721EE&quot;/&gt;&lt;wsp:rsid wsp:val=&quot;71997D14&quot;/&gt;&lt;wsp:rsid wsp:val=&quot;719C06EE&quot;/&gt;&lt;wsp:rsid wsp:val=&quot;719E474F&quot;/&gt;&lt;wsp:rsid wsp:val=&quot;719F16DB&quot;/&gt;&lt;wsp:rsid wsp:val=&quot;71A05546&quot;/&gt;&lt;wsp:rsid wsp:val=&quot;71A14E1B&quot;/&gt;&lt;wsp:rsid wsp:val=&quot;71A16BC9&quot;/&gt;&lt;wsp:rsid wsp:val=&quot;71A52B5D&quot;/&gt;&lt;wsp:rsid wsp:val=&quot;71A87F57&quot;/&gt;&lt;wsp:rsid wsp:val=&quot;71A90121&quot;/&gt;&lt;wsp:rsid wsp:val=&quot;71A91862&quot;/&gt;&lt;wsp:rsid wsp:val=&quot;71A96411&quot;/&gt;&lt;wsp:rsid wsp:val=&quot;71AA3CCF&quot;/&gt;&lt;wsp:rsid wsp:val=&quot;71AB6CD0&quot;/&gt;&lt;wsp:rsid wsp:val=&quot;71AF12E6&quot;/&gt;&lt;wsp:rsid wsp:val=&quot;71B20480&quot;/&gt;&lt;wsp:rsid wsp:val=&quot;71B66B18&quot;/&gt;&lt;wsp:rsid wsp:val=&quot;71B72890&quot;/&gt;&lt;wsp:rsid wsp:val=&quot;71B763EC&quot;/&gt;&lt;wsp:rsid wsp:val=&quot;71B84A16&quot;/&gt;&lt;wsp:rsid wsp:val=&quot;71B96608&quot;/&gt;&lt;wsp:rsid wsp:val=&quot;71BA7C8A&quot;/&gt;&lt;wsp:rsid wsp:val=&quot;71BB412E&quot;/&gt;&lt;wsp:rsid wsp:val=&quot;71BC1C54&quot;/&gt;&lt;wsp:rsid wsp:val=&quot;71BC7CD8&quot;/&gt;&lt;wsp:rsid wsp:val=&quot;71C01745&quot;/&gt;&lt;wsp:rsid wsp:val=&quot;71C11019&quot;/&gt;&lt;wsp:rsid wsp:val=&quot;71C1726B&quot;/&gt;&lt;wsp:rsid wsp:val=&quot;71C254BD&quot;/&gt;&lt;wsp:rsid wsp:val=&quot;71C25AD2&quot;/&gt;&lt;wsp:rsid wsp:val=&quot;71C32FE3&quot;/&gt;&lt;wsp:rsid wsp:val=&quot;71C4751B&quot;/&gt;&lt;wsp:rsid wsp:val=&quot;71C70D25&quot;/&gt;&lt;wsp:rsid wsp:val=&quot;71C72AD3&quot;/&gt;&lt;wsp:rsid wsp:val=&quot;71CA25C3&quot;/&gt;&lt;wsp:rsid wsp:val=&quot;71CA4371&quot;/&gt;&lt;wsp:rsid wsp:val=&quot;71CA55E3&quot;/&gt;&lt;wsp:rsid wsp:val=&quot;71CC2394&quot;/&gt;&lt;wsp:rsid wsp:val=&quot;71CC34BB&quot;/&gt;&lt;wsp:rsid wsp:val=&quot;71CC5D92&quot;/&gt;&lt;wsp:rsid wsp:val=&quot;71CD20B4&quot;/&gt;&lt;wsp:rsid wsp:val=&quot;71CE0425&quot;/&gt;&lt;wsp:rsid wsp:val=&quot;71CF53DA&quot;/&gt;&lt;wsp:rsid wsp:val=&quot;71D115FD&quot;/&gt;&lt;wsp:rsid wsp:val=&quot;71D23226&quot;/&gt;&lt;wsp:rsid wsp:val=&quot;71D27F8A&quot;/&gt;&lt;wsp:rsid wsp:val=&quot;71D376CA&quot;/&gt;&lt;wsp:rsid wsp:val=&quot;71D46F9E&quot;/&gt;&lt;wsp:rsid wsp:val=&quot;71D6157A&quot;/&gt;&lt;wsp:rsid wsp:val=&quot;71D7083C&quot;/&gt;&lt;wsp:rsid wsp:val=&quot;71D7319F&quot;/&gt;&lt;wsp:rsid wsp:val=&quot;71D84CE0&quot;/&gt;&lt;wsp:rsid wsp:val=&quot;71D90A58&quot;/&gt;&lt;wsp:rsid wsp:val=&quot;71D92806&quot;/&gt;&lt;wsp:rsid wsp:val=&quot;71DA23B6&quot;/&gt;&lt;wsp:rsid wsp:val=&quot;71DA669B&quot;/&gt;&lt;wsp:rsid wsp:val=&quot;71DB032D&quot;/&gt;&lt;wsp:rsid wsp:val=&quot;71DB657E&quot;/&gt;&lt;wsp:rsid wsp:val=&quot;71DD22F7&quot;/&gt;&lt;wsp:rsid wsp:val=&quot;71DE1BCB&quot;/&gt;&lt;wsp:rsid wsp:val=&quot;71DE606F&quot;/&gt;&lt;wsp:rsid wsp:val=&quot;71E03B95&quot;/&gt;&lt;wsp:rsid wsp:val=&quot;71E05943&quot;/&gt;&lt;wsp:rsid wsp:val=&quot;71E116BB&quot;/&gt;&lt;wsp:rsid wsp:val=&quot;71E13469&quot;/&gt;&lt;wsp:rsid wsp:val=&quot;71E33685&quot;/&gt;&lt;wsp:rsid wsp:val=&quot;71E371E1&quot;/&gt;&lt;wsp:rsid wsp:val=&quot;71E573FD&quot;/&gt;&lt;wsp:rsid wsp:val=&quot;71E72C94&quot;/&gt;&lt;wsp:rsid wsp:val=&quot;71E73175&quot;/&gt;&lt;wsp:rsid wsp:val=&quot;71E74F23&quot;/&gt;&lt;wsp:rsid wsp:val=&quot;71E754CD&quot;/&gt;&lt;wsp:rsid wsp:val=&quot;71E76CD1&quot;/&gt;&lt;wsp:rsid wsp:val=&quot;71E80C9B&quot;/&gt;&lt;wsp:rsid wsp:val=&quot;71E84124&quot;/&gt;&lt;wsp:rsid wsp:val=&quot;71EA0570&quot;/&gt;&lt;wsp:rsid wsp:val=&quot;71EA6A44&quot;/&gt;&lt;wsp:rsid wsp:val=&quot;71EC21EE&quot;/&gt;&lt;wsp:rsid wsp:val=&quot;71ED23ED&quot;/&gt;&lt;wsp:rsid wsp:val=&quot;71ED62B2&quot;/&gt;&lt;wsp:rsid wsp:val=&quot;71EF202A&quot;/&gt;&lt;wsp:rsid wsp:val=&quot;71F118FE&quot;/&gt;&lt;wsp:rsid wsp:val=&quot;71F15DA2&quot;/&gt;&lt;wsp:rsid wsp:val=&quot;71F17B50&quot;/&gt;&lt;wsp:rsid wsp:val=&quot;71F24F18&quot;/&gt;&lt;wsp:rsid wsp:val=&quot;71F25676&quot;/&gt;&lt;wsp:rsid wsp:val=&quot;71F4319C&quot;/&gt;&lt;wsp:rsid wsp:val=&quot;71F633B8&quot;/&gt;&lt;wsp:rsid wsp:val=&quot;71F72C8D&quot;/&gt;&lt;wsp:rsid wsp:val=&quot;71F80EDE&quot;/&gt;&lt;wsp:rsid wsp:val=&quot;71F87130&quot;/&gt;&lt;wsp:rsid wsp:val=&quot;71F96A05&quot;/&gt;&lt;wsp:rsid wsp:val=&quot;71FB09CF&quot;/&gt;&lt;wsp:rsid wsp:val=&quot;71FB452B&quot;/&gt;&lt;wsp:rsid wsp:val=&quot;72007D93&quot;/&gt;&lt;wsp:rsid wsp:val=&quot;72021099&quot;/&gt;&lt;wsp:rsid wsp:val=&quot;720336C8&quot;/&gt;&lt;wsp:rsid wsp:val=&quot;72071122&quot;/&gt;&lt;wsp:rsid wsp:val=&quot;72077373&quot;/&gt;&lt;wsp:rsid wsp:val=&quot;7208345D&quot;/&gt;&lt;wsp:rsid wsp:val=&quot;72084977&quot;/&gt;&lt;wsp:rsid wsp:val=&quot;72084E9A&quot;/&gt;&lt;wsp:rsid wsp:val=&quot;720A29C0&quot;/&gt;&lt;wsp:rsid wsp:val=&quot;720A602E&quot;/&gt;&lt;wsp:rsid wsp:val=&quot;720C2BDC&quot;/&gt;&lt;wsp:rsid wsp:val=&quot;720C6738&quot;/&gt;&lt;wsp:rsid wsp:val=&quot;720E0702&quot;/&gt;&lt;wsp:rsid wsp:val=&quot;720F6228&quot;/&gt;&lt;wsp:rsid wsp:val=&quot;72111FA0&quot;/&gt;&lt;wsp:rsid wsp:val=&quot;72113D4E&quot;/&gt;&lt;wsp:rsid wsp:val=&quot;72121874&quot;/&gt;&lt;wsp:rsid wsp:val=&quot;72127391&quot;/&gt;&lt;wsp:rsid wsp:val=&quot;72135D18&quot;/&gt;&lt;wsp:rsid wsp:val=&quot;721573F6&quot;/&gt;&lt;wsp:rsid wsp:val=&quot;7216333F&quot;/&gt;&lt;wsp:rsid wsp:val=&quot;721671A2&quot;/&gt;&lt;wsp:rsid wsp:val=&quot;721675B7&quot;/&gt;&lt;wsp:rsid wsp:val=&quot;72181581&quot;/&gt;&lt;wsp:rsid wsp:val=&quot;72194693&quot;/&gt;&lt;wsp:rsid wsp:val=&quot;721A1B3C&quot;/&gt;&lt;wsp:rsid wsp:val=&quot;721B16E4&quot;/&gt;&lt;wsp:rsid wsp:val=&quot;721B1B84&quot;/&gt;&lt;wsp:rsid wsp:val=&quot;721B697B&quot;/&gt;&lt;wsp:rsid wsp:val=&quot;721E646B&quot;/&gt;&lt;wsp:rsid wsp:val=&quot;721F290F&quot;/&gt;&lt;wsp:rsid wsp:val=&quot;721F4534&quot;/&gt;&lt;wsp:rsid wsp:val=&quot;722021E3&quot;/&gt;&lt;wsp:rsid wsp:val=&quot;72203F91&quot;/&gt;&lt;wsp:rsid wsp:val=&quot;722241AD&quot;/&gt;&lt;wsp:rsid wsp:val=&quot;72233A82&quot;/&gt;&lt;wsp:rsid wsp:val=&quot;72235642&quot;/&gt;&lt;wsp:rsid wsp:val=&quot;72247F25&quot;/&gt;&lt;wsp:rsid wsp:val=&quot;72253C9E&quot;/&gt;&lt;wsp:rsid wsp:val=&quot;722577FA&quot;/&gt;&lt;wsp:rsid wsp:val=&quot;722640C6&quot;/&gt;&lt;wsp:rsid wsp:val=&quot;72266C97&quot;/&gt;&lt;wsp:rsid wsp:val=&quot;722717C4&quot;/&gt;&lt;wsp:rsid wsp:val=&quot;72273572&quot;/&gt;&lt;wsp:rsid wsp:val=&quot;72283D07&quot;/&gt;&lt;wsp:rsid wsp:val=&quot;722A12B4&quot;/&gt;&lt;wsp:rsid wsp:val=&quot;722B17DF&quot;/&gt;&lt;wsp:rsid wsp:val=&quot;722C13C8&quot;/&gt;&lt;wsp:rsid wsp:val=&quot;722C2B09&quot;/&gt;&lt;wsp:rsid wsp:val=&quot;722F0678&quot;/&gt;&lt;wsp:rsid wsp:val=&quot;722F2426&quot;/&gt;&lt;wsp:rsid wsp:val=&quot;72335BC4&quot;/&gt;&lt;wsp:rsid wsp:val=&quot;7234129A&quot;/&gt;&lt;wsp:rsid wsp:val=&quot;72343EE1&quot;/&gt;&lt;wsp:rsid wsp:val=&quot;72347A3D&quot;/&gt;&lt;wsp:rsid wsp:val=&quot;7238577F&quot;/&gt;&lt;wsp:rsid wsp:val=&quot;7238752D&quot;/&gt;&lt;wsp:rsid wsp:val=&quot;723932A5&quot;/&gt;&lt;wsp:rsid wsp:val=&quot;723A71F6&quot;/&gt;&lt;wsp:rsid wsp:val=&quot;723B0DCB&quot;/&gt;&lt;wsp:rsid wsp:val=&quot;723B443F&quot;/&gt;&lt;wsp:rsid wsp:val=&quot;723B526F&quot;/&gt;&lt;wsp:rsid wsp:val=&quot;723B701D&quot;/&gt;&lt;wsp:rsid wsp:val=&quot;72402885&quot;/&gt;&lt;wsp:rsid wsp:val=&quot;724072F8&quot;/&gt;&lt;wsp:rsid wsp:val=&quot;72410CCD&quot;/&gt;&lt;wsp:rsid wsp:val=&quot;72421D2B&quot;/&gt;&lt;wsp:rsid wsp:val=&quot;72435ED2&quot;/&gt;&lt;wsp:rsid wsp:val=&quot;724759C2&quot;/&gt;&lt;wsp:rsid wsp:val=&quot;72475FCF&quot;/&gt;&lt;wsp:rsid wsp:val=&quot;72477770&quot;/&gt;&lt;wsp:rsid wsp:val=&quot;72483102&quot;/&gt;&lt;wsp:rsid wsp:val=&quot;72497CB5&quot;/&gt;&lt;wsp:rsid wsp:val=&quot;724A1184&quot;/&gt;&lt;wsp:rsid wsp:val=&quot;724A7260&quot;/&gt;&lt;wsp:rsid wsp:val=&quot;724B263C&quot;/&gt;&lt;wsp:rsid wsp:val=&quot;724C2FD8&quot;/&gt;&lt;wsp:rsid wsp:val=&quot;724D022D&quot;/&gt;&lt;wsp:rsid wsp:val=&quot;724E4B0C&quot;/&gt;&lt;wsp:rsid wsp:val=&quot;72505075&quot;/&gt;&lt;wsp:rsid wsp:val=&quot;72514A93&quot;/&gt;&lt;wsp:rsid wsp:val=&quot;725325B9&quot;/&gt;&lt;wsp:rsid wsp:val=&quot;72534367&quot;/&gt;&lt;wsp:rsid wsp:val=&quot;72543F0C&quot;/&gt;&lt;wsp:rsid wsp:val=&quot;72547143&quot;/&gt;&lt;wsp:rsid wsp:val=&quot;72553024&quot;/&gt;&lt;wsp:rsid wsp:val=&quot;72556331&quot;/&gt;&lt;wsp:rsid wsp:val=&quot;72563E57&quot;/&gt;&lt;wsp:rsid wsp:val=&quot;72565C05&quot;/&gt;&lt;wsp:rsid wsp:val=&quot;7258197D&quot;/&gt;&lt;wsp:rsid wsp:val=&quot;725956F5&quot;/&gt;&lt;wsp:rsid wsp:val=&quot;725A5559&quot;/&gt;&lt;wsp:rsid wsp:val=&quot;725B4D57&quot;/&gt;&lt;wsp:rsid wsp:val=&quot;725D3437&quot;/&gt;&lt;wsp:rsid wsp:val=&quot;725E4ABA&quot;/&gt;&lt;wsp:rsid wsp:val=&quot;72600832&quot;/&gt;&lt;wsp:rsid wsp:val=&quot;72615AD0&quot;/&gt;&lt;wsp:rsid wsp:val=&quot;726227FC&quot;/&gt;&lt;wsp:rsid wsp:val=&quot;72640310&quot;/&gt;&lt;wsp:rsid wsp:val=&quot;72640322&quot;/&gt;&lt;wsp:rsid wsp:val=&quot;72646574&quot;/&gt;&lt;wsp:rsid wsp:val=&quot;72651AFE&quot;/&gt;&lt;wsp:rsid wsp:val=&quot;726522EC&quot;/&gt;&lt;wsp:rsid wsp:val=&quot;72671BC0&quot;/&gt;&lt;wsp:rsid wsp:val=&quot;726A16B0&quot;/&gt;&lt;wsp:rsid wsp:val=&quot;726A7902&quot;/&gt;&lt;wsp:rsid wsp:val=&quot;726B5B54&quot;/&gt;&lt;wsp:rsid wsp:val=&quot;726C50C5&quot;/&gt;&lt;wsp:rsid wsp:val=&quot;726C5A82&quot;/&gt;&lt;wsp:rsid wsp:val=&quot;726E11A1&quot;/&gt;&lt;wsp:rsid wsp:val=&quot;726E28BB&quot;/&gt;&lt;wsp:rsid wsp:val=&quot;726E2F4F&quot;/&gt;&lt;wsp:rsid wsp:val=&quot;726F4F19&quot;/&gt;&lt;wsp:rsid wsp:val=&quot;72702893&quot;/&gt;&lt;wsp:rsid wsp:val=&quot;7270316B&quot;/&gt;&lt;wsp:rsid wsp:val=&quot;7271034C&quot;/&gt;&lt;wsp:rsid wsp:val=&quot;72730565&quot;/&gt;&lt;wsp:rsid wsp:val=&quot;727442DD&quot;/&gt;&lt;wsp:rsid wsp:val=&quot;727646A3&quot;/&gt;&lt;wsp:rsid wsp:val=&quot;72783DCD&quot;/&gt;&lt;wsp:rsid wsp:val=&quot;72785B7B&quot;/&gt;&lt;wsp:rsid wsp:val=&quot;727A7B45&quot;/&gt;&lt;wsp:rsid wsp:val=&quot;727B1B10&quot;/&gt;&lt;wsp:rsid wsp:val=&quot;727C559D&quot;/&gt;&lt;wsp:rsid wsp:val=&quot;727F33AE&quot;/&gt;&lt;wsp:rsid wsp:val=&quot;72800ED4&quot;/&gt;&lt;wsp:rsid wsp:val=&quot;72802C82&quot;/&gt;&lt;wsp:rsid wsp:val=&quot;728323FB&quot;/&gt;&lt;wsp:rsid wsp:val=&quot;72834520&quot;/&gt;&lt;wsp:rsid wsp:val=&quot;72842772&quot;/&gt;&lt;wsp:rsid wsp:val=&quot;72850298&quot;/&gt;&lt;wsp:rsid wsp:val=&quot;7285473C&quot;/&gt;&lt;wsp:rsid wsp:val=&quot;728704B4&quot;/&gt;&lt;wsp:rsid wsp:val=&quot;72895FDA&quot;/&gt;&lt;wsp:rsid wsp:val=&quot;728A58AF&quot;/&gt;&lt;wsp:rsid wsp:val=&quot;728B1D53&quot;/&gt;&lt;wsp:rsid wsp:val=&quot;728B49B4&quot;/&gt;&lt;wsp:rsid wsp:val=&quot;728E1843&quot;/&gt;&lt;wsp:rsid wsp:val=&quot;728E35F1&quot;/&gt;&lt;wsp:rsid wsp:val=&quot;728E539F&quot;/&gt;&lt;wsp:rsid wsp:val=&quot;728F21C0&quot;/&gt;&lt;wsp:rsid wsp:val=&quot;72903084&quot;/&gt;&lt;wsp:rsid wsp:val=&quot;72907369&quot;/&gt;&lt;wsp:rsid wsp:val=&quot;72916C3D&quot;/&gt;&lt;wsp:rsid wsp:val=&quot;72930C07&quot;/&gt;&lt;wsp:rsid wsp:val=&quot;72961AC7&quot;/&gt;&lt;wsp:rsid wsp:val=&quot;72964253&quot;/&gt;&lt;wsp:rsid wsp:val=&quot;72987EF6&quot;/&gt;&lt;wsp:rsid wsp:val=&quot;72990C1E&quot;/&gt;&lt;wsp:rsid wsp:val=&quot;729A3D44&quot;/&gt;&lt;wsp:rsid wsp:val=&quot;729B5D0E&quot;/&gt;&lt;wsp:rsid wsp:val=&quot;729D1A86&quot;/&gt;&lt;wsp:rsid wsp:val=&quot;729D3834&quot;/&gt;&lt;wsp:rsid wsp:val=&quot;729F135A&quot;/&gt;&lt;wsp:rsid wsp:val=&quot;72A02B79&quot;/&gt;&lt;wsp:rsid wsp:val=&quot;72A050D2&quot;/&gt;&lt;wsp:rsid wsp:val=&quot;72A1574A&quot;/&gt;&lt;wsp:rsid wsp:val=&quot;72A5093A&quot;/&gt;&lt;wsp:rsid wsp:val=&quot;72A746B3&quot;/&gt;&lt;wsp:rsid wsp:val=&quot;72AA7CFF&quot;/&gt;&lt;wsp:rsid wsp:val=&quot;72AC285D&quot;/&gt;&lt;wsp:rsid wsp:val=&quot;72AC7F1B&quot;/&gt;&lt;wsp:rsid wsp:val=&quot;72AD517D&quot;/&gt;&lt;wsp:rsid wsp:val=&quot;72AE77EF&quot;/&gt;&lt;wsp:rsid wsp:val=&quot;72AF2E9B&quot;/&gt;&lt;wsp:rsid wsp:val=&quot;72AF5315&quot;/&gt;&lt;wsp:rsid wsp:val=&quot;72B03567&quot;/&gt;&lt;wsp:rsid wsp:val=&quot;72B1108D&quot;/&gt;&lt;wsp:rsid wsp:val=&quot;72B23B61&quot;/&gt;&lt;wsp:rsid wsp:val=&quot;72B312A9&quot;/&gt;&lt;wsp:rsid wsp:val=&quot;72B33057&quot;/&gt;&lt;wsp:rsid wsp:val=&quot;72B5390F&quot;/&gt;&lt;wsp:rsid wsp:val=&quot;72B62B48&quot;/&gt;&lt;wsp:rsid wsp:val=&quot;72B8241C&quot;/&gt;&lt;wsp:rsid wsp:val=&quot;72B87500&quot;/&gt;&lt;wsp:rsid wsp:val=&quot;72BB3CBA&quot;/&gt;&lt;wsp:rsid wsp:val=&quot;72BF0CD3&quot;/&gt;&lt;wsp:rsid wsp:val=&quot;72BF7592&quot;/&gt;&lt;wsp:rsid wsp:val=&quot;72BF7C4E&quot;/&gt;&lt;wsp:rsid wsp:val=&quot;72C06C31&quot;/&gt;&lt;wsp:rsid wsp:val=&quot;72C07522&quot;/&gt;&lt;wsp:rsid wsp:val=&quot;72C25801&quot;/&gt;&lt;wsp:rsid wsp:val=&quot;72C40DC1&quot;/&gt;&lt;wsp:rsid wsp:val=&quot;72C473A3&quot;/&gt;&lt;wsp:rsid wsp:val=&quot;72C62D8B&quot;/&gt;&lt;wsp:rsid wsp:val=&quot;72CC1ABA&quot;/&gt;&lt;wsp:rsid wsp:val=&quot;72CE4AD0&quot;/&gt;&lt;wsp:rsid wsp:val=&quot;72CE60E3&quot;/&gt;&lt;wsp:rsid wsp:val=&quot;72CE7E91&quot;/&gt;&lt;wsp:rsid wsp:val=&quot;72D03C09&quot;/&gt;&lt;wsp:rsid wsp:val=&quot;72D1172F&quot;/&gt;&lt;wsp:rsid wsp:val=&quot;72D11D1B&quot;/&gt;&lt;wsp:rsid wsp:val=&quot;72D134DE&quot;/&gt;&lt;wsp:rsid wsp:val=&quot;72D17BC7&quot;/&gt;&lt;wsp:rsid wsp:val=&quot;72D233B6&quot;/&gt;&lt;wsp:rsid wsp:val=&quot;72D27981&quot;/&gt;&lt;wsp:rsid wsp:val=&quot;72D354A8&quot;/&gt;&lt;wsp:rsid wsp:val=&quot;72D477F2&quot;/&gt;&lt;wsp:rsid wsp:val=&quot;72D51220&quot;/&gt;&lt;wsp:rsid wsp:val=&quot;72D57472&quot;/&gt;&lt;wsp:rsid wsp:val=&quot;72D60AF4&quot;/&gt;&lt;wsp:rsid wsp:val=&quot;72D62859&quot;/&gt;&lt;wsp:rsid wsp:val=&quot;72D74F98&quot;/&gt;&lt;wsp:rsid wsp:val=&quot;72D7552E&quot;/&gt;&lt;wsp:rsid wsp:val=&quot;72D80D10&quot;/&gt;&lt;wsp:rsid wsp:val=&quot;72D8187A&quot;/&gt;&lt;wsp:rsid wsp:val=&quot;72D969D4&quot;/&gt;&lt;wsp:rsid wsp:val=&quot;72DA05E4&quot;/&gt;&lt;wsp:rsid wsp:val=&quot;72DA4A88&quot;/&gt;&lt;wsp:rsid wsp:val=&quot;72DA6836&quot;/&gt;&lt;wsp:rsid wsp:val=&quot;72DB6D6B&quot;/&gt;&lt;wsp:rsid wsp:val=&quot;72DC25AE&quot;/&gt;&lt;wsp:rsid wsp:val=&quot;72DD6326&quot;/&gt;&lt;wsp:rsid wsp:val=&quot;72DF3E4C&quot;/&gt;&lt;wsp:rsid wsp:val=&quot;72DF5BFA&quot;/&gt;&lt;wsp:rsid wsp:val=&quot;72E2393D&quot;/&gt;&lt;wsp:rsid wsp:val=&quot;72E4155E&quot;/&gt;&lt;wsp:rsid wsp:val=&quot;72E571EB&quot;/&gt;&lt;wsp:rsid wsp:val=&quot;72E651DB&quot;/&gt;&lt;wsp:rsid wsp:val=&quot;72E66F89&quot;/&gt;&lt;wsp:rsid wsp:val=&quot;72E94CCB&quot;/&gt;&lt;wsp:rsid wsp:val=&quot;72EA4F96&quot;/&gt;&lt;wsp:rsid wsp:val=&quot;72EB0A43&quot;/&gt;&lt;wsp:rsid wsp:val=&quot;72EB459F&quot;/&gt;&lt;wsp:rsid wsp:val=&quot;72EC0317&quot;/&gt;&lt;wsp:rsid wsp:val=&quot;72EC2C5F&quot;/&gt;&lt;wsp:rsid wsp:val=&quot;72ED47BB&quot;/&gt;&lt;wsp:rsid wsp:val=&quot;72EE5E3E&quot;/&gt;&lt;wsp:rsid wsp:val=&quot;72F07B01&quot;/&gt;&lt;wsp:rsid wsp:val=&quot;72F13B80&quot;/&gt;&lt;wsp:rsid wsp:val=&quot;72F166AD&quot;/&gt;&lt;wsp:rsid wsp:val=&quot;72F47912&quot;/&gt;&lt;wsp:rsid wsp:val=&quot;72F5541E&quot;/&gt;&lt;wsp:rsid wsp:val=&quot;72F62F44&quot;/&gt;&lt;wsp:rsid wsp:val=&quot;72F63973&quot;/&gt;&lt;wsp:rsid wsp:val=&quot;72F71196&quot;/&gt;&lt;wsp:rsid wsp:val=&quot;72F773E8&quot;/&gt;&lt;wsp:rsid wsp:val=&quot;72FB055A&quot;/&gt;&lt;wsp:rsid wsp:val=&quot;72FD0776&quot;/&gt;&lt;wsp:rsid wsp:val=&quot;72FD2525&quot;/&gt;&lt;wsp:rsid wsp:val=&quot;73010A86&quot;/&gt;&lt;wsp:rsid wsp:val=&quot;73012015&quot;/&gt;&lt;wsp:rsid wsp:val=&quot;73025D8D&quot;/&gt;&lt;wsp:rsid wsp:val=&quot;730333A6&quot;/&gt;&lt;wsp:rsid wsp:val=&quot;73042CE3&quot;/&gt;&lt;wsp:rsid wsp:val=&quot;73047407&quot;/&gt;&lt;wsp:rsid wsp:val=&quot;730613D9&quot;/&gt;&lt;wsp:rsid wsp:val=&quot;7306762B&quot;/&gt;&lt;wsp:rsid wsp:val=&quot;73067BC6&quot;/&gt;&lt;wsp:rsid wsp:val=&quot;73075151&quot;/&gt;&lt;wsp:rsid wsp:val=&quot;73076EFF&quot;/&gt;&lt;wsp:rsid wsp:val=&quot;730D09BA&quot;/&gt;&lt;wsp:rsid wsp:val=&quot;730D6C0C&quot;/&gt;&lt;wsp:rsid wsp:val=&quot;730E4732&quot;/&gt;&lt;wsp:rsid wsp:val=&quot;731004AA&quot;/&gt;&lt;wsp:rsid wsp:val=&quot;73102258&quot;/&gt;&lt;wsp:rsid wsp:val=&quot;73122968&quot;/&gt;&lt;wsp:rsid wsp:val=&quot;73125FD0&quot;/&gt;&lt;wsp:rsid wsp:val=&quot;73132D7F&quot;/&gt;&lt;wsp:rsid wsp:val=&quot;731358A4&quot;/&gt;&lt;wsp:rsid wsp:val=&quot;73137F9A&quot;/&gt;&lt;wsp:rsid wsp:val=&quot;73177274&quot;/&gt;&lt;wsp:rsid wsp:val=&quot;73186D0D&quot;/&gt;&lt;wsp:rsid wsp:val=&quot;7318735E&quot;/&gt;&lt;wsp:rsid wsp:val=&quot;731A4E85&quot;/&gt;&lt;wsp:rsid wsp:val=&quot;731C0BFD&quot;/&gt;&lt;wsp:rsid wsp:val=&quot;731C29AB&quot;/&gt;&lt;wsp:rsid wsp:val=&quot;731C6E4F&quot;/&gt;&lt;wsp:rsid wsp:val=&quot;731D4975&quot;/&gt;&lt;wsp:rsid wsp:val=&quot;731E21D2&quot;/&gt;&lt;wsp:rsid wsp:val=&quot;731F249B&quot;/&gt;&lt;wsp:rsid wsp:val=&quot;731F5D5E&quot;/&gt;&lt;wsp:rsid wsp:val=&quot;73216213&quot;/&gt;&lt;wsp:rsid wsp:val=&quot;7321692F&quot;/&gt;&lt;wsp:rsid wsp:val=&quot;73237CEF&quot;/&gt;&lt;wsp:rsid wsp:val=&quot;73247AB1&quot;/&gt;&lt;wsp:rsid wsp:val=&quot;732857F3&quot;/&gt;&lt;wsp:rsid wsp:val=&quot;7329156C&quot;/&gt;&lt;wsp:rsid wsp:val=&quot;732A432B&quot;/&gt;&lt;wsp:rsid wsp:val=&quot;732C6966&quot;/&gt;&lt;wsp:rsid wsp:val=&quot;732D6613&quot;/&gt;&lt;wsp:rsid wsp:val=&quot;732E0930&quot;/&gt;&lt;wsp:rsid wsp:val=&quot;732F1E4E&quot;/&gt;&lt;wsp:rsid wsp:val=&quot;733028FA&quot;/&gt;&lt;wsp:rsid wsp:val=&quot;733046A8&quot;/&gt;&lt;wsp:rsid wsp:val=&quot;73320420&quot;/&gt;&lt;wsp:rsid wsp:val=&quot;733A72D5&quot;/&gt;&lt;wsp:rsid wsp:val=&quot;733C304D&quot;/&gt;&lt;wsp:rsid wsp:val=&quot;733D141E&quot;/&gt;&lt;wsp:rsid wsp:val=&quot;733F0D8F&quot;/&gt;&lt;wsp:rsid wsp:val=&quot;733F35F9&quot;/&gt;&lt;wsp:rsid wsp:val=&quot;733F6699&quot;/&gt;&lt;wsp:rsid wsp:val=&quot;73433FF4&quot;/&gt;&lt;wsp:rsid wsp:val=&quot;734343DB&quot;/&gt;&lt;wsp:rsid wsp:val=&quot;73441F01&quot;/&gt;&lt;wsp:rsid wsp:val=&quot;734463A5&quot;/&gt;&lt;wsp:rsid wsp:val=&quot;73463ECB&quot;/&gt;&lt;wsp:rsid wsp:val=&quot;73465C7A&quot;/&gt;&lt;wsp:rsid wsp:val=&quot;734671BA&quot;/&gt;&lt;wsp:rsid wsp:val=&quot;73467A28&quot;/&gt;&lt;wsp:rsid wsp:val=&quot;73497518&quot;/&gt;&lt;wsp:rsid wsp:val=&quot;734A16A2&quot;/&gt;&lt;wsp:rsid wsp:val=&quot;734B7734&quot;/&gt;&lt;wsp:rsid wsp:val=&quot;734C0DB6&quot;/&gt;&lt;wsp:rsid wsp:val=&quot;734D525A&quot;/&gt;&lt;wsp:rsid wsp:val=&quot;734E2D80&quot;/&gt;&lt;wsp:rsid wsp:val=&quot;7352461E&quot;/&gt;&lt;wsp:rsid wsp:val=&quot;735314CD&quot;/&gt;&lt;wsp:rsid wsp:val=&quot;73532145&quot;/&gt;&lt;wsp:rsid wsp:val=&quot;73541EE2&quot;/&gt;&lt;wsp:rsid wsp:val=&quot;73555EBD&quot;/&gt;&lt;wsp:rsid wsp:val=&quot;73572B6B&quot;/&gt;&lt;wsp:rsid wsp:val=&quot;73581EBE&quot;/&gt;&lt;wsp:rsid wsp:val=&quot;735859AD&quot;/&gt;&lt;wsp:rsid wsp:val=&quot;7358775B&quot;/&gt;&lt;wsp:rsid wsp:val=&quot;735A1725&quot;/&gt;&lt;wsp:rsid wsp:val=&quot;735B7814&quot;/&gt;&lt;wsp:rsid wsp:val=&quot;735C549D&quot;/&gt;&lt;wsp:rsid wsp:val=&quot;735C7A0B&quot;/&gt;&lt;wsp:rsid wsp:val=&quot;735D1F6A&quot;/&gt;&lt;wsp:rsid wsp:val=&quot;735E5441&quot;/&gt;&lt;wsp:rsid wsp:val=&quot;735E7467&quot;/&gt;&lt;wsp:rsid wsp:val=&quot;73607D61&quot;/&gt;&lt;wsp:rsid wsp:val=&quot;73610D05&quot;/&gt;&lt;wsp:rsid wsp:val=&quot;73612AB3&quot;/&gt;&lt;wsp:rsid wsp:val=&quot;73613DC2&quot;/&gt;&lt;wsp:rsid wsp:val=&quot;73614861&quot;/&gt;&lt;wsp:rsid wsp:val=&quot;73634A7D&quot;/&gt;&lt;wsp:rsid wsp:val=&quot;7363682B&quot;/&gt;&lt;wsp:rsid wsp:val=&quot;73667E4A&quot;/&gt;&lt;wsp:rsid wsp:val=&quot;73680CD0&quot;/&gt;&lt;wsp:rsid wsp:val=&quot;736A2F70&quot;/&gt;&lt;wsp:rsid wsp:val=&quot;736B08BB&quot;/&gt;&lt;wsp:rsid wsp:val=&quot;736B56E0&quot;/&gt;&lt;wsp:rsid wsp:val=&quot;736C78E6&quot;/&gt;&lt;wsp:rsid wsp:val=&quot;736D1458&quot;/&gt;&lt;wsp:rsid wsp:val=&quot;736D3206&quot;/&gt;&lt;wsp:rsid wsp:val=&quot;7370719A&quot;/&gt;&lt;wsp:rsid wsp:val=&quot;73722F12&quot;/&gt;&lt;wsp:rsid wsp:val=&quot;73724CC1&quot;/&gt;&lt;wsp:rsid wsp:val=&quot;73726A6F&quot;/&gt;&lt;wsp:rsid wsp:val=&quot;73727918&quot;/&gt;&lt;wsp:rsid wsp:val=&quot;73734595&quot;/&gt;&lt;wsp:rsid wsp:val=&quot;737427E7&quot;/&gt;&lt;wsp:rsid wsp:val=&quot;7375030D&quot;/&gt;&lt;wsp:rsid wsp:val=&quot;7375655F&quot;/&gt;&lt;wsp:rsid wsp:val=&quot;73761BD1&quot;/&gt;&lt;wsp:rsid wsp:val=&quot;73774085&quot;/&gt;&lt;wsp:rsid wsp:val=&quot;73774D90&quot;/&gt;&lt;wsp:rsid wsp:val=&quot;73792049&quot;/&gt;&lt;wsp:rsid wsp:val=&quot;737A2133&quot;/&gt;&lt;wsp:rsid wsp:val=&quot;737C20A7&quot;/&gt;&lt;wsp:rsid wsp:val=&quot;737E5413&quot;/&gt;&lt;wsp:rsid wsp:val=&quot;737F2F3A&quot;/&gt;&lt;wsp:rsid wsp:val=&quot;73813156&quot;/&gt;&lt;wsp:rsid wsp:val=&quot;738270AF&quot;/&gt;&lt;wsp:rsid wsp:val=&quot;73840550&quot;/&gt;&lt;wsp:rsid wsp:val=&quot;7384741D&quot;/&gt;&lt;wsp:rsid wsp:val=&quot;738546A7&quot;/&gt;&lt;wsp:rsid wsp:val=&quot;7386076C&quot;/&gt;&lt;wsp:rsid wsp:val=&quot;73892FCE&quot;/&gt;&lt;wsp:rsid wsp:val=&quot;738A025C&quot;/&gt;&lt;wsp:rsid wsp:val=&quot;738A445E&quot;/&gt;&lt;wsp:rsid wsp:val=&quot;738B5D82&quot;/&gt;&lt;wsp:rsid wsp:val=&quot;738F5872&quot;/&gt;&lt;wsp:rsid wsp:val=&quot;738F7621&quot;/&gt;&lt;wsp:rsid wsp:val=&quot;73922C6D&quot;/&gt;&lt;wsp:rsid wsp:val=&quot;73927111&quot;/&gt;&lt;wsp:rsid wsp:val=&quot;7395275D&quot;/&gt;&lt;wsp:rsid wsp:val=&quot;73973553&quot;/&gt;&lt;wsp:rsid wsp:val=&quot;7399049F&quot;/&gt;&lt;wsp:rsid wsp:val=&quot;7399224D&quot;/&gt;&lt;wsp:rsid wsp:val=&quot;739E7864&quot;/&gt;&lt;wsp:rsid wsp:val=&quot;73A0182E&quot;/&gt;&lt;wsp:rsid wsp:val=&quot;73A11102&quot;/&gt;&lt;wsp:rsid wsp:val=&quot;73A155A6&quot;/&gt;&lt;wsp:rsid wsp:val=&quot;73A3131E&quot;/&gt;&lt;wsp:rsid wsp:val=&quot;73A34E7A&quot;/&gt;&lt;wsp:rsid wsp:val=&quot;73A352B6&quot;/&gt;&lt;wsp:rsid wsp:val=&quot;73A429A0&quot;/&gt;&lt;wsp:rsid wsp:val=&quot;73A527A7&quot;/&gt;&lt;wsp:rsid wsp:val=&quot;73A6496A&quot;/&gt;&lt;wsp:rsid wsp:val=&quot;73A715D1&quot;/&gt;&lt;wsp:rsid wsp:val=&quot;73A77DFA&quot;/&gt;&lt;wsp:rsid wsp:val=&quot;73A8345D&quot;/&gt;&lt;wsp:rsid wsp:val=&quot;73A86557&quot;/&gt;&lt;wsp:rsid wsp:val=&quot;73A97805&quot;/&gt;&lt;wsp:rsid wsp:val=&quot;73AA26AC&quot;/&gt;&lt;wsp:rsid wsp:val=&quot;73AB01D2&quot;/&gt;&lt;wsp:rsid wsp:val=&quot;73AB0341&quot;/&gt;&lt;wsp:rsid wsp:val=&quot;73AB1F81&quot;/&gt;&lt;wsp:rsid wsp:val=&quot;73AB3D2F&quot;/&gt;&lt;wsp:rsid wsp:val=&quot;73AF2672&quot;/&gt;&lt;wsp:rsid wsp:val=&quot;73AF7CC3&quot;/&gt;&lt;wsp:rsid wsp:val=&quot;73B00F90&quot;/&gt;&lt;wsp:rsid wsp:val=&quot;73B13A3B&quot;/&gt;&lt;wsp:rsid wsp:val=&quot;73B21561&quot;/&gt;&lt;wsp:rsid wsp:val=&quot;73B221D9&quot;/&gt;&lt;wsp:rsid wsp:val=&quot;73B2330F&quot;/&gt;&lt;wsp:rsid wsp:val=&quot;73B269A7&quot;/&gt;&lt;wsp:rsid wsp:val=&quot;73B452D9&quot;/&gt;&lt;wsp:rsid wsp:val=&quot;73B47087&quot;/&gt;&lt;wsp:rsid wsp:val=&quot;73B470BB&quot;/&gt;&lt;wsp:rsid wsp:val=&quot;73B52DFF&quot;/&gt;&lt;wsp:rsid wsp:val=&quot;73B6400B&quot;/&gt;&lt;wsp:rsid wsp:val=&quot;73B66B46&quot;/&gt;&lt;wsp:rsid wsp:val=&quot;73B70925&quot;/&gt;&lt;wsp:rsid wsp:val=&quot;73B928EF&quot;/&gt;&lt;wsp:rsid wsp:val=&quot;73BC418E&quot;/&gt;&lt;wsp:rsid wsp:val=&quot;73BE077C&quot;/&gt;&lt;wsp:rsid wsp:val=&quot;73C03C7E&quot;/&gt;&lt;wsp:rsid wsp:val=&quot;73C10D0D&quot;/&gt;&lt;wsp:rsid wsp:val=&quot;73C3376E&quot;/&gt;&lt;wsp:rsid wsp:val=&quot;73C51AD5&quot;/&gt;&lt;wsp:rsid wsp:val=&quot;73C60B68&quot;/&gt;&lt;wsp:rsid wsp:val=&quot;73C66DBA&quot;/&gt;&lt;wsp:rsid wsp:val=&quot;73C87AE8&quot;/&gt;&lt;wsp:rsid wsp:val=&quot;73CD48A4&quot;/&gt;&lt;wsp:rsid wsp:val=&quot;73CF42D2&quot;/&gt;&lt;wsp:rsid wsp:val=&quot;73CF53E7&quot;/&gt;&lt;wsp:rsid wsp:val=&quot;73CF5C6F&quot;/&gt;&lt;wsp:rsid wsp:val=&quot;73D03795&quot;/&gt;&lt;wsp:rsid wsp:val=&quot;73D17C39&quot;/&gt;&lt;wsp:rsid wsp:val=&quot;73D2575F&quot;/&gt;&lt;wsp:rsid wsp:val=&quot;73D2750D&quot;/&gt;&lt;wsp:rsid wsp:val=&quot;73D33B63&quot;/&gt;&lt;wsp:rsid wsp:val=&quot;73D43285&quot;/&gt;&lt;wsp:rsid wsp:val=&quot;73D634A1&quot;/&gt;&lt;wsp:rsid wsp:val=&quot;73D6524F&quot;/&gt;&lt;wsp:rsid wsp:val=&quot;73D70FC8&quot;/&gt;&lt;wsp:rsid wsp:val=&quot;73D74B24&quot;/&gt;&lt;wsp:rsid wsp:val=&quot;73D9089C&quot;/&gt;&lt;wsp:rsid wsp:val=&quot;73D90FB9&quot;/&gt;&lt;wsp:rsid wsp:val=&quot;73D96AEE&quot;/&gt;&lt;wsp:rsid wsp:val=&quot;73DC038C&quot;/&gt;&lt;wsp:rsid wsp:val=&quot;73DC3D05&quot;/&gt;&lt;wsp:rsid wsp:val=&quot;73DD2807&quot;/&gt;&lt;wsp:rsid wsp:val=&quot;73DE2356&quot;/&gt;&lt;wsp:rsid wsp:val=&quot;73DE4104&quot;/&gt;&lt;wsp:rsid wsp:val=&quot;73E060CE&quot;/&gt;&lt;wsp:rsid wsp:val=&quot;73E13BF4&quot;/&gt;&lt;wsp:rsid wsp:val=&quot;73E159A2&quot;/&gt;&lt;wsp:rsid wsp:val=&quot;73E3171A&quot;/&gt;&lt;wsp:rsid wsp:val=&quot;73E7745D&quot;/&gt;&lt;wsp:rsid wsp:val=&quot;73E86D31&quot;/&gt;&lt;wsp:rsid wsp:val=&quot;73EA125D&quot;/&gt;&lt;wsp:rsid wsp:val=&quot;73EC4A73&quot;/&gt;&lt;wsp:rsid wsp:val=&quot;73EF4563&quot;/&gt;&lt;wsp:rsid wsp:val=&quot;73EF6311&quot;/&gt;&lt;wsp:rsid wsp:val=&quot;73F12089&quot;/&gt;&lt;wsp:rsid wsp:val=&quot;73F14D7C&quot;/&gt;&lt;wsp:rsid wsp:val=&quot;73F25E01&quot;/&gt;&lt;wsp:rsid wsp:val=&quot;73F41F8C&quot;/&gt;&lt;wsp:rsid wsp:val=&quot;73F456D6&quot;/&gt;&lt;wsp:rsid wsp:val=&quot;73F62D29&quot;/&gt;&lt;wsp:rsid wsp:val=&quot;73F73418&quot;/&gt;&lt;wsp:rsid wsp:val=&quot;73F751C6&quot;/&gt;&lt;wsp:rsid wsp:val=&quot;73F76F74&quot;/&gt;&lt;wsp:rsid wsp:val=&quot;73FB2F08&quot;/&gt;&lt;wsp:rsid wsp:val=&quot;73FB4CB6&quot;/&gt;&lt;wsp:rsid wsp:val=&quot;73FB6DEA&quot;/&gt;&lt;wsp:rsid wsp:val=&quot;73FC458A&quot;/&gt;&lt;wsp:rsid wsp:val=&quot;7400051E&quot;/&gt;&lt;wsp:rsid wsp:val=&quot;74017DF2&quot;/&gt;&lt;wsp:rsid wsp:val=&quot;7403558B&quot;/&gt;&lt;wsp:rsid wsp:val=&quot;74035919&quot;/&gt;&lt;wsp:rsid wsp:val=&quot;74051691&quot;/&gt;&lt;wsp:rsid wsp:val=&quot;74057258&quot;/&gt;&lt;wsp:rsid wsp:val=&quot;74065409&quot;/&gt;&lt;wsp:rsid wsp:val=&quot;74081892&quot;/&gt;&lt;wsp:rsid wsp:val=&quot;74085625&quot;/&gt;&lt;wsp:rsid wsp:val=&quot;74086FAA&quot;/&gt;&lt;wsp:rsid wsp:val=&quot;740A314B&quot;/&gt;&lt;wsp:rsid wsp:val=&quot;740B2406&quot;/&gt;&lt;wsp:rsid wsp:val=&quot;740C0C71&quot;/&gt;&lt;wsp:rsid wsp:val=&quot;740C6EC3&quot;/&gt;&lt;wsp:rsid wsp:val=&quot;740D6797&quot;/&gt;&lt;wsp:rsid wsp:val=&quot;740F250F&quot;/&gt;&lt;wsp:rsid wsp:val=&quot;740F42BD&quot;/&gt;&lt;wsp:rsid wsp:val=&quot;74100036&quot;/&gt;&lt;wsp:rsid wsp:val=&quot;74116287&quot;/&gt;&lt;wsp:rsid wsp:val=&quot;74121D96&quot;/&gt;&lt;wsp:rsid wsp:val=&quot;74141049&quot;/&gt;&lt;wsp:rsid wsp:val=&quot;74141576&quot;/&gt;&lt;wsp:rsid wsp:val=&quot;74161AF0&quot;/&gt;&lt;wsp:rsid wsp:val=&quot;741713C4&quot;/&gt;&lt;wsp:rsid wsp:val=&quot;74192817&quot;/&gt;&lt;wsp:rsid wsp:val=&quot;7419338E&quot;/&gt;&lt;wsp:rsid wsp:val=&quot;741D2E7E&quot;/&gt;&lt;wsp:rsid wsp:val=&quot;741E09A4&quot;/&gt;&lt;wsp:rsid wsp:val=&quot;741E793C&quot;/&gt;&lt;wsp:rsid wsp:val=&quot;741F125A&quot;/&gt;&lt;wsp:rsid wsp:val=&quot;7420296E&quot;/&gt;&lt;wsp:rsid wsp:val=&quot;742064CB&quot;/&gt;&lt;wsp:rsid wsp:val=&quot;74213FF1&quot;/&gt;&lt;wsp:rsid wsp:val=&quot;74220495&quot;/&gt;&lt;wsp:rsid wsp:val=&quot;742324DB&quot;/&gt;&lt;wsp:rsid wsp:val=&quot;74250490&quot;/&gt;&lt;wsp:rsid wsp:val=&quot;742627BF&quot;/&gt;&lt;wsp:rsid wsp:val=&quot;7426541A&quot;/&gt;&lt;wsp:rsid wsp:val=&quot;74275AAB&quot;/&gt;&lt;wsp:rsid wsp:val=&quot;7429238A&quot;/&gt;&lt;wsp:rsid wsp:val=&quot;742C1313&quot;/&gt;&lt;wsp:rsid wsp:val=&quot;742D6E39&quot;/&gt;&lt;wsp:rsid wsp:val=&quot;7431692A&quot;/&gt;&lt;wsp:rsid wsp:val=&quot;74363F40&quot;/&gt;&lt;wsp:rsid wsp:val=&quot;7438212D&quot;/&gt;&lt;wsp:rsid wsp:val=&quot;74390206&quot;/&gt;&lt;wsp:rsid wsp:val=&quot;74393A30&quot;/&gt;&lt;wsp:rsid wsp:val=&quot;743B50B2&quot;/&gt;&lt;wsp:rsid wsp:val=&quot;743D707D&quot;/&gt;&lt;wsp:rsid wsp:val=&quot;74401365&quot;/&gt;&lt;wsp:rsid wsp:val=&quot;74404DBF&quot;/&gt;&lt;wsp:rsid wsp:val=&quot;74420232&quot;/&gt;&lt;wsp:rsid wsp:val=&quot;744321B9&quot;/&gt;&lt;wsp:rsid wsp:val=&quot;7446238B&quot;/&gt;&lt;wsp:rsid wsp:val=&quot;74463A57&quot;/&gt;&lt;wsp:rsid wsp:val=&quot;74465BE9&quot;/&gt;&lt;wsp:rsid wsp:val=&quot;7447614D&quot;/&gt;&lt;wsp:rsid wsp:val=&quot;74477EFB&quot;/&gt;&lt;wsp:rsid wsp:val=&quot;74493C73&quot;/&gt;&lt;wsp:rsid wsp:val=&quot;744A2D86&quot;/&gt;&lt;wsp:rsid wsp:val=&quot;744A3547&quot;/&gt;&lt;wsp:rsid wsp:val=&quot;744C3764&quot;/&gt;&lt;wsp:rsid wsp:val=&quot;744E128A&quot;/&gt;&lt;wsp:rsid wsp:val=&quot;744F6DB0&quot;/&gt;&lt;wsp:rsid wsp:val=&quot;745054B7&quot;/&gt;&lt;wsp:rsid wsp:val=&quot;74505C61&quot;/&gt;&lt;wsp:rsid wsp:val=&quot;74510D7A&quot;/&gt;&lt;wsp:rsid wsp:val=&quot;745148D6&quot;/&gt;&lt;wsp:rsid wsp:val=&quot;7452571B&quot;/&gt;&lt;wsp:rsid wsp:val=&quot;74534AF2&quot;/&gt;&lt;wsp:rsid wsp:val=&quot;74546174&quot;/&gt;&lt;wsp:rsid wsp:val=&quot;74555AF6&quot;/&gt;&lt;wsp:rsid wsp:val=&quot;7456013E&quot;/&gt;&lt;wsp:rsid wsp:val=&quot;74575C64&quot;/&gt;&lt;wsp:rsid wsp:val=&quot;745A5E80&quot;/&gt;&lt;wsp:rsid wsp:val=&quot;745A783C&quot;/&gt;&lt;wsp:rsid wsp:val=&quot;745B519B&quot;/&gt;&lt;wsp:rsid wsp:val=&quot;745D327B&quot;/&gt;&lt;wsp:rsid wsp:val=&quot;745D70B1&quot;/&gt;&lt;wsp:rsid wsp:val=&quot;745E268C&quot;/&gt;&lt;wsp:rsid wsp:val=&quot;745E3944&quot;/&gt;&lt;wsp:rsid wsp:val=&quot;74600FBD&quot;/&gt;&lt;wsp:rsid wsp:val=&quot;746152C5&quot;/&gt;&lt;wsp:rsid wsp:val=&quot;74620891&quot;/&gt;&lt;wsp:rsid wsp:val=&quot;74630446&quot;/&gt;&lt;wsp:rsid wsp:val=&quot;7463285B&quot;/&gt;&lt;wsp:rsid wsp:val=&quot;74633F76&quot;/&gt;&lt;wsp:rsid wsp:val=&quot;74634609&quot;/&gt;&lt;wsp:rsid wsp:val=&quot;74642945&quot;/&gt;&lt;wsp:rsid wsp:val=&quot;7464622B&quot;/&gt;&lt;wsp:rsid wsp:val=&quot;74650381&quot;/&gt;&lt;wsp:rsid wsp:val=&quot;74654825&quot;/&gt;&lt;wsp:rsid wsp:val=&quot;74685BFA&quot;/&gt;&lt;wsp:rsid wsp:val=&quot;74687E72&quot;/&gt;&lt;wsp:rsid wsp:val=&quot;746A1E3C&quot;/&gt;&lt;wsp:rsid wsp:val=&quot;746B4C90&quot;/&gt;&lt;wsp:rsid wsp:val=&quot;746C6120&quot;/&gt;&lt;wsp:rsid wsp:val=&quot;746F2FAE&quot;/&gt;&lt;wsp:rsid wsp:val=&quot;74704AA1&quot;/&gt;&lt;wsp:rsid wsp:val=&quot;747131CA&quot;/&gt;&lt;wsp:rsid wsp:val=&quot;74733422&quot;/&gt;&lt;wsp:rsid wsp:val=&quot;74744A68&quot;/&gt;&lt;wsp:rsid wsp:val=&quot;7476258E&quot;/&gt;&lt;wsp:rsid wsp:val=&quot;74795BDB&quot;/&gt;&lt;wsp:rsid wsp:val=&quot;747B1953&quot;/&gt;&lt;wsp:rsid wsp:val=&quot;747B5DF7&quot;/&gt;&lt;wsp:rsid wsp:val=&quot;747B7BA5&quot;/&gt;&lt;wsp:rsid wsp:val=&quot;747F1338&quot;/&gt;&lt;wsp:rsid wsp:val=&quot;747F19C5&quot;/&gt;&lt;wsp:rsid wsp:val=&quot;747F7695&quot;/&gt;&lt;wsp:rsid wsp:val=&quot;74827185&quot;/&gt;&lt;wsp:rsid wsp:val=&quot;74836CEA&quot;/&gt;&lt;wsp:rsid wsp:val=&quot;748A603A&quot;/&gt;&lt;wsp:rsid wsp:val=&quot;748C0004&quot;/&gt;&lt;wsp:rsid wsp:val=&quot;748C1DB2&quot;/&gt;&lt;wsp:rsid wsp:val=&quot;748C590E&quot;/&gt;&lt;wsp:rsid wsp:val=&quot;748D1686&quot;/&gt;&lt;wsp:rsid wsp:val=&quot;748D6B9A&quot;/&gt;&lt;wsp:rsid wsp:val=&quot;748E78D8&quot;/&gt;&lt;wsp:rsid wsp:val=&quot;748F3650&quot;/&gt;&lt;wsp:rsid wsp:val=&quot;748F53FE&quot;/&gt;&lt;wsp:rsid wsp:val=&quot;749018A2&quot;/&gt;&lt;wsp:rsid wsp:val=&quot;74933360&quot;/&gt;&lt;wsp:rsid wsp:val=&quot;74934EEE&quot;/&gt;&lt;wsp:rsid wsp:val=&quot;74936C9D&quot;/&gt;&lt;wsp:rsid wsp:val=&quot;749649DF&quot;/&gt;&lt;wsp:rsid wsp:val=&quot;749768DC&quot;/&gt;&lt;wsp:rsid wsp:val=&quot;749869A9&quot;/&gt;&lt;wsp:rsid wsp:val=&quot;74993231&quot;/&gt;&lt;wsp:rsid wsp:val=&quot;7499378D&quot;/&gt;&lt;wsp:rsid wsp:val=&quot;749953DF&quot;/&gt;&lt;wsp:rsid wsp:val=&quot;749B1FF5&quot;/&gt;&lt;wsp:rsid wsp:val=&quot;749C3ABE&quot;/&gt;&lt;wsp:rsid wsp:val=&quot;749D6D74&quot;/&gt;&lt;wsp:rsid wsp:val=&quot;749E52B8&quot;/&gt;&lt;wsp:rsid wsp:val=&quot;74A0243F&quot;/&gt;&lt;wsp:rsid wsp:val=&quot;74A0585D&quot;/&gt;&lt;wsp:rsid wsp:val=&quot;74A11815&quot;/&gt;&lt;wsp:rsid wsp:val=&quot;74A23383&quot;/&gt;&lt;wsp:rsid wsp:val=&quot;74A470FC&quot;/&gt;&lt;wsp:rsid wsp:val=&quot;74A54E21&quot;/&gt;&lt;wsp:rsid wsp:val=&quot;74A72748&quot;/&gt;&lt;wsp:rsid wsp:val=&quot;74A733CB&quot;/&gt;&lt;wsp:rsid wsp:val=&quot;74A94712&quot;/&gt;&lt;wsp:rsid wsp:val=&quot;74A964C0&quot;/&gt;&lt;wsp:rsid wsp:val=&quot;74A96BA0&quot;/&gt;&lt;wsp:rsid wsp:val=&quot;74AA048A&quot;/&gt;&lt;wsp:rsid wsp:val=&quot;74AA2238&quot;/&gt;&lt;wsp:rsid wsp:val=&quot;74AC5FB0&quot;/&gt;&lt;wsp:rsid wsp:val=&quot;74AE3AD6&quot;/&gt;&lt;wsp:rsid wsp:val=&quot;74AE7F7A&quot;/&gt;&lt;wsp:rsid wsp:val=&quot;74AF784E&quot;/&gt;&lt;wsp:rsid wsp:val=&quot;74B113E2&quot;/&gt;&lt;wsp:rsid wsp:val=&quot;74B11819&quot;/&gt;&lt;wsp:rsid wsp:val=&quot;74B135C7&quot;/&gt;&lt;wsp:rsid wsp:val=&quot;74B36359&quot;/&gt;&lt;wsp:rsid wsp:val=&quot;74B530B7&quot;/&gt;&lt;wsp:rsid wsp:val=&quot;74B60BDD&quot;/&gt;&lt;wsp:rsid wsp:val=&quot;74B65081&quot;/&gt;&lt;wsp:rsid wsp:val=&quot;74B82BA7&quot;/&gt;&lt;wsp:rsid wsp:val=&quot;74B86703&quot;/&gt;&lt;wsp:rsid wsp:val=&quot;74BA79C2&quot;/&gt;&lt;wsp:rsid wsp:val=&quot;74BD0CA9&quot;/&gt;&lt;wsp:rsid wsp:val=&quot;74C14349&quot;/&gt;&lt;wsp:rsid wsp:val=&quot;74C34940&quot;/&gt;&lt;wsp:rsid wsp:val=&quot;74C36C69&quot;/&gt;&lt;wsp:rsid wsp:val=&quot;74C4154C&quot;/&gt;&lt;wsp:rsid wsp:val=&quot;74C50E20&quot;/&gt;&lt;wsp:rsid wsp:val=&quot;74C60F3B&quot;/&gt;&lt;wsp:rsid wsp:val=&quot;74C652C4&quot;/&gt;&lt;wsp:rsid wsp:val=&quot;74C96B62&quot;/&gt;&lt;wsp:rsid wsp:val=&quot;74CA6436&quot;/&gt;&lt;wsp:rsid wsp:val=&quot;74CB28DA&quot;/&gt;&lt;wsp:rsid wsp:val=&quot;74CC0400&quot;/&gt;&lt;wsp:rsid wsp:val=&quot;74CF694D&quot;/&gt;&lt;wsp:rsid wsp:val=&quot;74D07EF1&quot;/&gt;&lt;wsp:rsid wsp:val=&quot;74D15A17&quot;/&gt;&lt;wsp:rsid wsp:val=&quot;74D379E1&quot;/&gt;&lt;wsp:rsid wsp:val=&quot;74D55D60&quot;/&gt;&lt;wsp:rsid wsp:val=&quot;74D6127F&quot;/&gt;&lt;wsp:rsid wsp:val=&quot;74D6302D&quot;/&gt;&lt;wsp:rsid wsp:val=&quot;74D774D1&quot;/&gt;&lt;wsp:rsid wsp:val=&quot;74D80B53&quot;/&gt;&lt;wsp:rsid wsp:val=&quot;74D81140&quot;/&gt;&lt;wsp:rsid wsp:val=&quot;74DA0D6F&quot;/&gt;&lt;wsp:rsid wsp:val=&quot;74DA28B2&quot;/&gt;&lt;wsp:rsid wsp:val=&quot;74DB0C05&quot;/&gt;&lt;wsp:rsid wsp:val=&quot;74DB4EF0&quot;/&gt;&lt;wsp:rsid wsp:val=&quot;74DD43BC&quot;/&gt;&lt;wsp:rsid wsp:val=&quot;74DF0134&quot;/&gt;&lt;wsp:rsid wsp:val=&quot;74E22266&quot;/&gt;&lt;wsp:rsid wsp:val=&quot;74E25E76&quot;/&gt;&lt;wsp:rsid wsp:val=&quot;74E306DE&quot;/&gt;&lt;wsp:rsid wsp:val=&quot;74E4399C&quot;/&gt;&lt;wsp:rsid wsp:val=&quot;74E4513F&quot;/&gt;&lt;wsp:rsid wsp:val=&quot;74E474F8&quot;/&gt;&lt;wsp:rsid wsp:val=&quot;74E7348C&quot;/&gt;&lt;wsp:rsid wsp:val=&quot;74EB49E5&quot;/&gt;&lt;wsp:rsid wsp:val=&quot;74EB6AD9&quot;/&gt;&lt;wsp:rsid wsp:val=&quot;74EC0AA3&quot;/&gt;&lt;wsp:rsid wsp:val=&quot;74EC45FF&quot;/&gt;&lt;wsp:rsid wsp:val=&quot;74EE0377&quot;/&gt;&lt;wsp:rsid wsp:val=&quot;74F00559&quot;/&gt;&lt;wsp:rsid wsp:val=&quot;74F00593&quot;/&gt;&lt;wsp:rsid wsp:val=&quot;74F040EF&quot;/&gt;&lt;wsp:rsid wsp:val=&quot;74F14380&quot;/&gt;&lt;wsp:rsid wsp:val=&quot;74F31E31&quot;/&gt;&lt;wsp:rsid wsp:val=&quot;74F51DA9&quot;/&gt;&lt;wsp:rsid wsp:val=&quot;74F55BA9&quot;/&gt;&lt;wsp:rsid wsp:val=&quot;74F646C9&quot;/&gt;&lt;wsp:rsid wsp:val=&quot;74F6547D&quot;/&gt;&lt;wsp:rsid wsp:val=&quot;74F6722B&quot;/&gt;&lt;wsp:rsid wsp:val=&quot;74F80D0C&quot;/&gt;&lt;wsp:rsid wsp:val=&quot;74F811F5&quot;/&gt;&lt;wsp:rsid wsp:val=&quot;74FC0CE6&quot;/&gt;&lt;wsp:rsid wsp:val=&quot;74FC3A90&quot;/&gt;&lt;wsp:rsid wsp:val=&quot;74FD4A5E&quot;/&gt;&lt;wsp:rsid wsp:val=&quot;74FD680C&quot;/&gt;&lt;wsp:rsid wsp:val=&quot;74FE028A&quot;/&gt;&lt;wsp:rsid wsp:val=&quot;74FF4332&quot;/&gt;&lt;wsp:rsid wsp:val=&quot;7501034C&quot;/&gt;&lt;wsp:rsid wsp:val=&quot;750162FC&quot;/&gt;&lt;wsp:rsid wsp:val=&quot;75022074&quot;/&gt;&lt;wsp:rsid wsp:val=&quot;75030E0A&quot;/&gt;&lt;wsp:rsid wsp:val=&quot;75041019&quot;/&gt;&lt;wsp:rsid wsp:val=&quot;75047B9A&quot;/&gt;&lt;wsp:rsid wsp:val=&quot;750510BE&quot;/&gt;&lt;wsp:rsid wsp:val=&quot;750556C0&quot;/&gt;&lt;wsp:rsid wsp:val=&quot;750577C9&quot;/&gt;&lt;wsp:rsid wsp:val=&quot;75071439&quot;/&gt;&lt;wsp:rsid wsp:val=&quot;7508401D&quot;/&gt;&lt;wsp:rsid wsp:val=&quot;750951B1&quot;/&gt;&lt;wsp:rsid wsp:val=&quot;750B533F&quot;/&gt;&lt;wsp:rsid wsp:val=&quot;750B717B&quot;/&gt;&lt;wsp:rsid wsp:val=&quot;750D2EF3&quot;/&gt;&lt;wsp:rsid wsp:val=&quot;751112D1&quot;/&gt;&lt;wsp:rsid wsp:val=&quot;751122B7&quot;/&gt;&lt;wsp:rsid wsp:val=&quot;751270DE&quot;/&gt;&lt;wsp:rsid wsp:val=&quot;75157FF9&quot;/&gt;&lt;wsp:rsid wsp:val=&quot;751604C4&quot;/&gt;&lt;wsp:rsid wsp:val=&quot;751741F7&quot;/&gt;&lt;wsp:rsid wsp:val=&quot;7518395C&quot;/&gt;&lt;wsp:rsid wsp:val=&quot;75187339&quot;/&gt;&lt;wsp:rsid wsp:val=&quot;751A116C&quot;/&gt;&lt;wsp:rsid wsp:val=&quot;751A73BE&quot;/&gt;&lt;wsp:rsid wsp:val=&quot;751B4EE4&quot;/&gt;&lt;wsp:rsid wsp:val=&quot;751C3136&quot;/&gt;&lt;wsp:rsid wsp:val=&quot;751D0C5C&quot;/&gt;&lt;wsp:rsid wsp:val=&quot;751D2A0A&quot;/&gt;&lt;wsp:rsid wsp:val=&quot;751D6EAE&quot;/&gt;&lt;wsp:rsid wsp:val=&quot;751F6782&quot;/&gt;&lt;wsp:rsid wsp:val=&quot;75220020&quot;/&gt;&lt;wsp:rsid wsp:val=&quot;75243D99&quot;/&gt;&lt;wsp:rsid wsp:val=&quot;75263EB1&quot;/&gt;&lt;wsp:rsid wsp:val=&quot;75264D66&quot;/&gt;&lt;wsp:rsid wsp:val=&quot;75267B11&quot;/&gt;&lt;wsp:rsid wsp:val=&quot;75271ADB&quot;/&gt;&lt;wsp:rsid wsp:val=&quot;75273889&quot;/&gt;&lt;wsp:rsid wsp:val=&quot;75287970&quot;/&gt;&lt;wsp:rsid wsp:val=&quot;752C70F1&quot;/&gt;&lt;wsp:rsid wsp:val=&quot;752C7656&quot;/&gt;&lt;wsp:rsid wsp:val=&quot;752E10BB&quot;/&gt;&lt;wsp:rsid wsp:val=&quot;752E4C17&quot;/&gt;&lt;wsp:rsid wsp:val=&quot;752F1D11&quot;/&gt;&lt;wsp:rsid wsp:val=&quot;75322959&quot;/&gt;&lt;wsp:rsid wsp:val=&quot;7533222E&quot;/&gt;&lt;wsp:rsid wsp:val=&quot;75355AFA&quot;/&gt;&lt;wsp:rsid wsp:val=&quot;75355FA6&quot;/&gt;&lt;wsp:rsid wsp:val=&quot;75361B5B&quot;/&gt;&lt;wsp:rsid wsp:val=&quot;75371D1E&quot;/&gt;&lt;wsp:rsid wsp:val=&quot;753A180E&quot;/&gt;&lt;wsp:rsid wsp:val=&quot;753A7A60&quot;/&gt;&lt;wsp:rsid wsp:val=&quot;753B10E2&quot;/&gt;&lt;wsp:rsid wsp:val=&quot;753F0BD2&quot;/&gt;&lt;wsp:rsid wsp:val=&quot;753F4E8F&quot;/&gt;&lt;wsp:rsid wsp:val=&quot;753F5076&quot;/&gt;&lt;wsp:rsid wsp:val=&quot;7541494A&quot;/&gt;&lt;wsp:rsid wsp:val=&quot;7542070D&quot;/&gt;&lt;wsp:rsid wsp:val=&quot;75436915&quot;/&gt;&lt;wsp:rsid wsp:val=&quot;7544443B&quot;/&gt;&lt;wsp:rsid wsp:val=&quot;75472AE0&quot;/&gt;&lt;wsp:rsid wsp:val=&quot;75475CD9&quot;/&gt;&lt;wsp:rsid wsp:val=&quot;75477F0F&quot;/&gt;&lt;wsp:rsid wsp:val=&quot;75491A51&quot;/&gt;&lt;wsp:rsid wsp:val=&quot;754B3A1B&quot;/&gt;&lt;wsp:rsid wsp:val=&quot;754B57C9&quot;/&gt;&lt;wsp:rsid wsp:val=&quot;754B57CB&quot;/&gt;&lt;wsp:rsid wsp:val=&quot;754D1541&quot;/&gt;&lt;wsp:rsid wsp:val=&quot;754D6952&quot;/&gt;&lt;wsp:rsid wsp:val=&quot;754D7793&quot;/&gt;&lt;wsp:rsid wsp:val=&quot;754E350B&quot;/&gt;&lt;wsp:rsid wsp:val=&quot;754E52B9&quot;/&gt;&lt;wsp:rsid wsp:val=&quot;754E7067&quot;/&gt;&lt;wsp:rsid wsp:val=&quot;75504B8E&quot;/&gt;&lt;wsp:rsid wsp:val=&quot;755303BA&quot;/&gt;&lt;wsp:rsid wsp:val=&quot;75543C54&quot;/&gt;&lt;wsp:rsid wsp:val=&quot;75543E9D&quot;/&gt;&lt;wsp:rsid wsp:val=&quot;75550D6B&quot;/&gt;&lt;wsp:rsid wsp:val=&quot;75581C94&quot;/&gt;&lt;wsp:rsid wsp:val=&quot;755A1EB0&quot;/&gt;&lt;wsp:rsid wsp:val=&quot;755C79D6&quot;/&gt;&lt;wsp:rsid wsp:val=&quot;755D54FC&quot;/&gt;&lt;wsp:rsid wsp:val=&quot;755E374E&quot;/&gt;&lt;wsp:rsid wsp:val=&quot;755F1275&quot;/&gt;&lt;wsp:rsid wsp:val=&quot;75630D65&quot;/&gt;&lt;wsp:rsid wsp:val=&quot;75660B34&quot;/&gt;&lt;wsp:rsid wsp:val=&quot;75662603&quot;/&gt;&lt;wsp:rsid wsp:val=&quot;756643B1&quot;/&gt;&lt;wsp:rsid wsp:val=&quot;75680129&quot;/&gt;&lt;wsp:rsid wsp:val=&quot;75687F5F&quot;/&gt;&lt;wsp:rsid wsp:val=&quot;75695C4F&quot;/&gt;&lt;wsp:rsid wsp:val=&quot;756A6E80&quot;/&gt;&lt;wsp:rsid wsp:val=&quot;756B7C19&quot;/&gt;&lt;wsp:rsid wsp:val=&quot;756D1BE3&quot;/&gt;&lt;wsp:rsid wsp:val=&quot;756F1F12&quot;/&gt;&lt;wsp:rsid wsp:val=&quot;75701CEC&quot;/&gt;&lt;wsp:rsid wsp:val=&quot;75706FDE&quot;/&gt;&lt;wsp:rsid wsp:val=&quot;75713D43&quot;/&gt;&lt;wsp:rsid wsp:val=&quot;757312B7&quot;/&gt;&lt;wsp:rsid wsp:val=&quot;75750A98&quot;/&gt;&lt;wsp:rsid wsp:val=&quot;757545F4&quot;/&gt;&lt;wsp:rsid wsp:val=&quot;75792336&quot;/&gt;&lt;wsp:rsid wsp:val=&quot;757C1BE0&quot;/&gt;&lt;wsp:rsid wsp:val=&quot;757D281F&quot;/&gt;&lt;wsp:rsid wsp:val=&quot;75840CDB&quot;/&gt;&lt;wsp:rsid wsp:val=&quot;75852311&quot;/&gt;&lt;wsp:rsid wsp:val=&quot;758560D5&quot;/&gt;&lt;wsp:rsid wsp:val=&quot;75863566&quot;/&gt;&lt;wsp:rsid wsp:val=&quot;75864A53&quot;/&gt;&lt;wsp:rsid wsp:val=&quot;75874327&quot;/&gt;&lt;wsp:rsid wsp:val=&quot;75894543&quot;/&gt;&lt;wsp:rsid wsp:val=&quot;758B3E18&quot;/&gt;&lt;wsp:rsid wsp:val=&quot;758D193E&quot;/&gt;&lt;wsp:rsid wsp:val=&quot;758D5DE2&quot;/&gt;&lt;wsp:rsid wsp:val=&quot;758D7B90&quot;/&gt;&lt;wsp:rsid wsp:val=&quot;75932CCC&quot;/&gt;&lt;wsp:rsid wsp:val=&quot;75952577&quot;/&gt;&lt;wsp:rsid wsp:val=&quot;75952EE8&quot;/&gt;&lt;wsp:rsid wsp:val=&quot;75994786&quot;/&gt;&lt;wsp:rsid wsp:val=&quot;759A22AD&quot;/&gt;&lt;wsp:rsid wsp:val=&quot;759A405B&quot;/&gt;&lt;wsp:rsid wsp:val=&quot;75A105B2&quot;/&gt;&lt;wsp:rsid wsp:val=&quot;75A1363B&quot;/&gt;&lt;wsp:rsid wsp:val=&quot;75A31161&quot;/&gt;&lt;wsp:rsid wsp:val=&quot;75A44ED9&quot;/&gt;&lt;wsp:rsid wsp:val=&quot;75A60C51&quot;/&gt;&lt;wsp:rsid wsp:val=&quot;75A86778&quot;/&gt;&lt;wsp:rsid wsp:val=&quot;75A94E00&quot;/&gt;&lt;wsp:rsid wsp:val=&quot;75AA195E&quot;/&gt;&lt;wsp:rsid wsp:val=&quot;75AA6994&quot;/&gt;&lt;wsp:rsid wsp:val=&quot;75AC3D19&quot;/&gt;&lt;wsp:rsid wsp:val=&quot;75AD3D8E&quot;/&gt;&lt;wsp:rsid wsp:val=&quot;75AF3FAA&quot;/&gt;&lt;wsp:rsid wsp:val=&quot;75AF5D58&quot;/&gt;&lt;wsp:rsid wsp:val=&quot;75B07D22&quot;/&gt;&lt;wsp:rsid wsp:val=&quot;75B415C0&quot;/&gt;&lt;wsp:rsid wsp:val=&quot;75B50E95&quot;/&gt;&lt;wsp:rsid wsp:val=&quot;75B74C0D&quot;/&gt;&lt;wsp:rsid wsp:val=&quot;75B86623&quot;/&gt;&lt;wsp:rsid wsp:val=&quot;75B90653&quot;/&gt;&lt;wsp:rsid wsp:val=&quot;75B94E29&quot;/&gt;&lt;wsp:rsid wsp:val=&quot;75B95A33&quot;/&gt;&lt;wsp:rsid wsp:val=&quot;75BA294F&quot;/&gt;&lt;wsp:rsid wsp:val=&quot;75BE0042&quot;/&gt;&lt;wsp:rsid wsp:val=&quot;75BE41ED&quot;/&gt;&lt;wsp:rsid wsp:val=&quot;75BF3AC1&quot;/&gt;&lt;wsp:rsid wsp:val=&quot;75BF7F65&quot;/&gt;&lt;wsp:rsid wsp:val=&quot;75C13CDD&quot;/&gt;&lt;wsp:rsid wsp:val=&quot;75C31803&quot;/&gt;&lt;wsp:rsid wsp:val=&quot;75C537CD&quot;/&gt;&lt;wsp:rsid wsp:val=&quot;75C567D4&quot;/&gt;&lt;wsp:rsid wsp:val=&quot;75C630A2&quot;/&gt;&lt;wsp:rsid wsp:val=&quot;75C64E50&quot;/&gt;&lt;wsp:rsid wsp:val=&quot;75C80BC8&quot;/&gt;&lt;wsp:rsid wsp:val=&quot;75C86896&quot;/&gt;&lt;wsp:rsid wsp:val=&quot;75C97D26&quot;/&gt;&lt;wsp:rsid wsp:val=&quot;75CA0DE4&quot;/&gt;&lt;wsp:rsid wsp:val=&quot;75CB06B8&quot;/&gt;&lt;wsp:rsid wsp:val=&quot;75CC3AD6&quot;/&gt;&lt;wsp:rsid wsp:val=&quot;75D164B8&quot;/&gt;&lt;wsp:rsid wsp:val=&quot;75D21089&quot;/&gt;&lt;wsp:rsid wsp:val=&quot;75D457BF&quot;/&gt;&lt;wsp:rsid wsp:val=&quot;75D532E5&quot;/&gt;&lt;wsp:rsid wsp:val=&quot;75D94B83&quot;/&gt;&lt;wsp:rsid wsp:val=&quot;75DC0B17&quot;/&gt;&lt;wsp:rsid wsp:val=&quot;75DC28C5&quot;/&gt;&lt;wsp:rsid wsp:val=&quot;75DC4673&quot;/&gt;&lt;wsp:rsid wsp:val=&quot;75DF5F11&quot;/&gt;&lt;wsp:rsid wsp:val=&quot;75E23522&quot;/&gt;&lt;wsp:rsid wsp:val=&quot;75E2636A&quot;/&gt;&lt;wsp:rsid wsp:val=&quot;75E31EA6&quot;/&gt;&lt;wsp:rsid wsp:val=&quot;75E369BA&quot;/&gt;&lt;wsp:rsid wsp:val=&quot;75E53827&quot;/&gt;&lt;wsp:rsid wsp:val=&quot;75E643DE&quot;/&gt;&lt;wsp:rsid wsp:val=&quot;75E83018&quot;/&gt;&lt;wsp:rsid wsp:val=&quot;75EA4FE2&quot;/&gt;&lt;wsp:rsid wsp:val=&quot;75EB0D5A&quot;/&gt;&lt;wsp:rsid wsp:val=&quot;75EB0E21&quot;/&gt;&lt;wsp:rsid wsp:val=&quot;75ED09A5&quot;/&gt;&lt;wsp:rsid wsp:val=&quot;75ED6880&quot;/&gt;&lt;wsp:rsid wsp:val=&quot;75F145C2&quot;/&gt;&lt;wsp:rsid wsp:val=&quot;75F220E9&quot;/&gt;&lt;wsp:rsid wsp:val=&quot;75F23243&quot;/&gt;&lt;wsp:rsid wsp:val=&quot;75F255FC&quot;/&gt;&lt;wsp:rsid wsp:val=&quot;75F45E61&quot;/&gt;&lt;wsp:rsid wsp:val=&quot;75F54172&quot;/&gt;&lt;wsp:rsid wsp:val=&quot;75F55735&quot;/&gt;&lt;wsp:rsid wsp:val=&quot;75F714AD&quot;/&gt;&lt;wsp:rsid wsp:val=&quot;75F75951&quot;/&gt;&lt;wsp:rsid wsp:val=&quot;75F95225&quot;/&gt;&lt;wsp:rsid wsp:val=&quot;75FB10A4&quot;/&gt;&lt;wsp:rsid wsp:val=&quot;75FC370E&quot;/&gt;&lt;wsp:rsid wsp:val=&quot;75FD3C08&quot;/&gt;&lt;wsp:rsid wsp:val=&quot;75FE0A8D&quot;/&gt;&lt;wsp:rsid wsp:val=&quot;75FE45EA&quot;/&gt;&lt;wsp:rsid wsp:val=&quot;75FF0362&quot;/&gt;&lt;wsp:rsid wsp:val=&quot;75FF1FC7&quot;/&gt;&lt;wsp:rsid wsp:val=&quot;760000A9&quot;/&gt;&lt;wsp:rsid wsp:val=&quot;760029C6&quot;/&gt;&lt;wsp:rsid wsp:val=&quot;76004806&quot;/&gt;&lt;wsp:rsid wsp:val=&quot;7601232C&quot;/&gt;&lt;wsp:rsid wsp:val=&quot;760140DA&quot;/&gt;&lt;wsp:rsid wsp:val=&quot;76031347&quot;/&gt;&lt;wsp:rsid wsp:val=&quot;76037E52&quot;/&gt;&lt;wsp:rsid wsp:val=&quot;76044EB6&quot;/&gt;&lt;wsp:rsid wsp:val=&quot;76051E1C&quot;/&gt;&lt;wsp:rsid wsp:val=&quot;76067942&quot;/&gt;&lt;wsp:rsid wsp:val=&quot;76074262&quot;/&gt;&lt;wsp:rsid wsp:val=&quot;76081158&quot;/&gt;&lt;wsp:rsid wsp:val=&quot;7608190C&quot;/&gt;&lt;wsp:rsid wsp:val=&quot;76097EA0&quot;/&gt;&lt;wsp:rsid wsp:val=&quot;760A106F&quot;/&gt;&lt;wsp:rsid wsp:val=&quot;760A7AED&quot;/&gt;&lt;wsp:rsid wsp:val=&quot;760C31AA&quot;/&gt;&lt;wsp:rsid wsp:val=&quot;760D0CD1&quot;/&gt;&lt;wsp:rsid wsp:val=&quot;760D2A7F&quot;/&gt;&lt;wsp:rsid wsp:val=&quot;761024BB&quot;/&gt;&lt;wsp:rsid wsp:val=&quot;7610256F&quot;/&gt;&lt;wsp:rsid wsp:val=&quot;76104C5D&quot;/&gt;&lt;wsp:rsid wsp:val=&quot;76121A56&quot;/&gt;&lt;wsp:rsid wsp:val=&quot;761262E7&quot;/&gt;&lt;wsp:rsid wsp:val=&quot;761407FA&quot;/&gt;&lt;wsp:rsid wsp:val=&quot;7614205F&quot;/&gt;&lt;wsp:rsid wsp:val=&quot;76143E0D&quot;/&gt;&lt;wsp:rsid wsp:val=&quot;76191423&quot;/&gt;&lt;wsp:rsid wsp:val=&quot;761958C7&quot;/&gt;&lt;wsp:rsid wsp:val=&quot;761B163F&quot;/&gt;&lt;wsp:rsid wsp:val=&quot;761E2EDE&quot;/&gt;&lt;wsp:rsid wsp:val=&quot;761E337E&quot;/&gt;&lt;wsp:rsid wsp:val=&quot;761E4C8C&quot;/&gt;&lt;wsp:rsid wsp:val=&quot;761E6A3A&quot;/&gt;&lt;wsp:rsid wsp:val=&quot;7621652A&quot;/&gt;&lt;wsp:rsid wsp:val=&quot;76235D60&quot;/&gt;&lt;wsp:rsid wsp:val=&quot;7625426C&quot;/&gt;&lt;wsp:rsid wsp:val=&quot;76261D92&quot;/&gt;&lt;wsp:rsid wsp:val=&quot;76263B40&quot;/&gt;&lt;wsp:rsid wsp:val=&quot;76277FE4&quot;/&gt;&lt;wsp:rsid wsp:val=&quot;76283D5C&quot;/&gt;&lt;wsp:rsid wsp:val=&quot;762878B8&quot;/&gt;&lt;wsp:rsid wsp:val=&quot;762A7AD4&quot;/&gt;&lt;wsp:rsid wsp:val=&quot;762B73A9&quot;/&gt;&lt;wsp:rsid wsp:val=&quot;762D4ECF&quot;/&gt;&lt;wsp:rsid wsp:val=&quot;763224E5&quot;/&gt;&lt;wsp:rsid wsp:val=&quot;763241CE&quot;/&gt;&lt;wsp:rsid wsp:val=&quot;763444AF&quot;/&gt;&lt;wsp:rsid wsp:val=&quot;7635099D&quot;/&gt;&lt;wsp:rsid wsp:val=&quot;763521BC&quot;/&gt;&lt;wsp:rsid wsp:val=&quot;76377AFB&quot;/&gt;&lt;wsp:rsid wsp:val=&quot;76391AC6&quot;/&gt;&lt;wsp:rsid wsp:val=&quot;76397D18&quot;/&gt;&lt;wsp:rsid wsp:val=&quot;763B30F9&quot;/&gt;&lt;wsp:rsid wsp:val=&quot;763B3A90&quot;/&gt;&lt;wsp:rsid wsp:val=&quot;763C6907&quot;/&gt;&lt;wsp:rsid wsp:val=&quot;76402AE9&quot;/&gt;&lt;wsp:rsid wsp:val=&quot;76404C02&quot;/&gt;&lt;wsp:rsid wsp:val=&quot;764346F2&quot;/&gt;&lt;wsp:rsid wsp:val=&quot;76452218&quot;/&gt;&lt;wsp:rsid wsp:val=&quot;76467CD1&quot;/&gt;&lt;wsp:rsid wsp:val=&quot;76481D09&quot;/&gt;&lt;wsp:rsid wsp:val=&quot;764861AD&quot;/&gt;&lt;wsp:rsid wsp:val=&quot;76495614&quot;/&gt;&lt;wsp:rsid wsp:val=&quot;764A3CD3&quot;/&gt;&lt;wsp:rsid wsp:val=&quot;764A539C&quot;/&gt;&lt;wsp:rsid wsp:val=&quot;764A5806&quot;/&gt;&lt;wsp:rsid wsp:val=&quot;764C7A4B&quot;/&gt;&lt;wsp:rsid wsp:val=&quot;764D5571&quot;/&gt;&lt;wsp:rsid wsp:val=&quot;764D788C&quot;/&gt;&lt;wsp:rsid wsp:val=&quot;764E0DBE&quot;/&gt;&lt;wsp:rsid wsp:val=&quot;76507140&quot;/&gt;&lt;wsp:rsid wsp:val=&quot;76524935&quot;/&gt;&lt;wsp:rsid wsp:val=&quot;765406AD&quot;/&gt;&lt;wsp:rsid wsp:val=&quot;76544B51&quot;/&gt;&lt;wsp:rsid wsp:val=&quot;76564426&quot;/&gt;&lt;wsp:rsid wsp:val=&quot;765661D4&quot;/&gt;&lt;wsp:rsid wsp:val=&quot;76571F4C&quot;/&gt;&lt;wsp:rsid wsp:val=&quot;765B7C8E&quot;/&gt;&lt;wsp:rsid wsp:val=&quot;765C7562&quot;/&gt;&lt;wsp:rsid wsp:val=&quot;766034F6&quot;/&gt;&lt;wsp:rsid wsp:val=&quot;766052A4&quot;/&gt;&lt;wsp:rsid wsp:val=&quot;7662101C&quot;/&gt;&lt;wsp:rsid wsp:val=&quot;76634D94&quot;/&gt;&lt;wsp:rsid wsp:val=&quot;76636B42&quot;/&gt;&lt;wsp:rsid wsp:val=&quot;76654669&quot;/&gt;&lt;wsp:rsid wsp:val=&quot;76676633&quot;/&gt;&lt;wsp:rsid wsp:val=&quot;76685F07&quot;/&gt;&lt;wsp:rsid wsp:val=&quot;766A1C7F&quot;/&gt;&lt;wsp:rsid wsp:val=&quot;766B44F7&quot;/&gt;&lt;wsp:rsid wsp:val=&quot;766D0D29&quot;/&gt;&lt;wsp:rsid wsp:val=&quot;766D6E76&quot;/&gt;&lt;wsp:rsid wsp:val=&quot;766D79C1&quot;/&gt;&lt;wsp:rsid wsp:val=&quot;7671125F&quot;/&gt;&lt;wsp:rsid wsp:val=&quot;76732AF1&quot;/&gt;&lt;wsp:rsid wsp:val=&quot;76746D49&quot;/&gt;&lt;wsp:rsid wsp:val=&quot;76760624&quot;/&gt;&lt;wsp:rsid wsp:val=&quot;76767F28&quot;/&gt;&lt;wsp:rsid wsp:val=&quot;76790114&quot;/&gt;&lt;wsp:rsid wsp:val=&quot;767945B8&quot;/&gt;&lt;wsp:rsid wsp:val=&quot;76796366&quot;/&gt;&lt;wsp:rsid wsp:val=&quot;767B404B&quot;/&gt;&lt;wsp:rsid wsp:val=&quot;767E1BCE&quot;/&gt;&lt;wsp:rsid wsp:val=&quot;767E572A&quot;/&gt;&lt;wsp:rsid wsp:val=&quot;767F3E5C&quot;/&gt;&lt;wsp:rsid wsp:val=&quot;76816FC9&quot;/&gt;&lt;wsp:rsid wsp:val=&quot;768216BE&quot;/&gt;&lt;wsp:rsid wsp:val=&quot;7682346D&quot;/&gt;&lt;wsp:rsid wsp:val=&quot;768371E5&quot;/&gt;&lt;wsp:rsid wsp:val=&quot;768702BE&quot;/&gt;&lt;wsp:rsid wsp:val=&quot;76870EAD&quot;/&gt;&lt;wsp:rsid wsp:val=&quot;76880F72&quot;/&gt;&lt;wsp:rsid wsp:val=&quot;768A40CF&quot;/&gt;&lt;wsp:rsid wsp:val=&quot;768B79D3&quot;/&gt;&lt;wsp:rsid wsp:val=&quot;768C42EB&quot;/&gt;&lt;wsp:rsid wsp:val=&quot;768C438A&quot;/&gt;&lt;wsp:rsid wsp:val=&quot;768E1E11&quot;/&gt;&lt;wsp:rsid wsp:val=&quot;76911902&quot;/&gt;&lt;wsp:rsid wsp:val=&quot;76914B30&quot;/&gt;&lt;wsp:rsid wsp:val=&quot;769431A0&quot;/&gt;&lt;wsp:rsid wsp:val=&quot;76944F4E&quot;/&gt;&lt;wsp:rsid wsp:val=&quot;76946CFC&quot;/&gt;&lt;wsp:rsid wsp:val=&quot;76960CC6&quot;/&gt;&lt;wsp:rsid wsp:val=&quot;76982C90&quot;/&gt;&lt;wsp:rsid wsp:val=&quot;76984A3E&quot;/&gt;&lt;wsp:rsid wsp:val=&quot;769B008A&quot;/&gt;&lt;wsp:rsid wsp:val=&quot;769D2054&quot;/&gt;&lt;wsp:rsid wsp:val=&quot;769D3E02&quot;/&gt;&lt;wsp:rsid wsp:val=&quot;769E04A2&quot;/&gt;&lt;wsp:rsid wsp:val=&quot;769E5DCD&quot;/&gt;&lt;wsp:rsid wsp:val=&quot;76A258BD&quot;/&gt;&lt;wsp:rsid wsp:val=&quot;76A2766B&quot;/&gt;&lt;wsp:rsid wsp:val=&quot;76A41635&quot;/&gt;&lt;wsp:rsid wsp:val=&quot;76A5715B&quot;/&gt;&lt;wsp:rsid wsp:val=&quot;76A71125&quot;/&gt;&lt;wsp:rsid wsp:val=&quot;76A827A7&quot;/&gt;&lt;wsp:rsid wsp:val=&quot;76AC2297&quot;/&gt;&lt;wsp:rsid wsp:val=&quot;76AC673B&quot;/&gt;&lt;wsp:rsid wsp:val=&quot;76AD6949&quot;/&gt;&lt;wsp:rsid wsp:val=&quot;76AD7DBE&quot;/&gt;&lt;wsp:rsid wsp:val=&quot;76AE4262&quot;/&gt;&lt;wsp:rsid wsp:val=&quot;76B000B8&quot;/&gt;&lt;wsp:rsid wsp:val=&quot;76B13D52&quot;/&gt;&lt;wsp:rsid wsp:val=&quot;76B255A9&quot;/&gt;&lt;wsp:rsid wsp:val=&quot;76B4114C&quot;/&gt;&lt;wsp:rsid wsp:val=&quot;76B80C3C&quot;/&gt;&lt;wsp:rsid wsp:val=&quot;76B94231&quot;/&gt;&lt;wsp:rsid wsp:val=&quot;76BC122C&quot;/&gt;&lt;wsp:rsid wsp:val=&quot;76BD44A5&quot;/&gt;&lt;wsp:rsid wsp:val=&quot;76BE0607&quot;/&gt;&lt;wsp:rsid wsp:val=&quot;76C05D43&quot;/&gt;&lt;wsp:rsid wsp:val=&quot;76C2363A&quot;/&gt;&lt;wsp:rsid wsp:val=&quot;76C23869&quot;/&gt;&lt;wsp:rsid wsp:val=&quot;76C515AB&quot;/&gt;&lt;wsp:rsid wsp:val=&quot;76C9109B&quot;/&gt;&lt;wsp:rsid wsp:val=&quot;76CA0970&quot;/&gt;&lt;wsp:rsid wsp:val=&quot;76CA4B18&quot;/&gt;&lt;wsp:rsid wsp:val=&quot;76CB5809&quot;/&gt;&lt;wsp:rsid wsp:val=&quot;76CC0092&quot;/&gt;&lt;wsp:rsid wsp:val=&quot;76CC293A&quot;/&gt;&lt;wsp:rsid wsp:val=&quot;76CE0460&quot;/&gt;&lt;wsp:rsid wsp:val=&quot;76CF41D8&quot;/&gt;&lt;wsp:rsid wsp:val=&quot;76D11CFE&quot;/&gt;&lt;wsp:rsid wsp:val=&quot;76D161A2&quot;/&gt;&lt;wsp:rsid wsp:val=&quot;76D17F50&quot;/&gt;&lt;wsp:rsid wsp:val=&quot;76D65566&quot;/&gt;&lt;wsp:rsid wsp:val=&quot;76D715EF&quot;/&gt;&lt;wsp:rsid wsp:val=&quot;76D75E34&quot;/&gt;&lt;wsp:rsid wsp:val=&quot;76D812DE&quot;/&gt;&lt;wsp:rsid wsp:val=&quot;76D966AC&quot;/&gt;&lt;wsp:rsid wsp:val=&quot;76DA32A9&quot;/&gt;&lt;wsp:rsid wsp:val=&quot;76DA5057&quot;/&gt;&lt;wsp:rsid wsp:val=&quot;76DB3351&quot;/&gt;&lt;wsp:rsid wsp:val=&quot;76DB492B&quot;/&gt;&lt;wsp:rsid wsp:val=&quot;76DD490E&quot;/&gt;&lt;wsp:rsid wsp:val=&quot;76DF7E71&quot;/&gt;&lt;wsp:rsid wsp:val=&quot;76E00193&quot;/&gt;&lt;wsp:rsid wsp:val=&quot;76E063E5&quot;/&gt;&lt;wsp:rsid wsp:val=&quot;76E11AB7&quot;/&gt;&lt;wsp:rsid wsp:val=&quot;76E47C83&quot;/&gt;&lt;wsp:rsid wsp:val=&quot;76E77774&quot;/&gt;&lt;wsp:rsid wsp:val=&quot;76E8192A&quot;/&gt;&lt;wsp:rsid wsp:val=&quot;76E86DB9&quot;/&gt;&lt;wsp:rsid wsp:val=&quot;76EB3463&quot;/&gt;&lt;wsp:rsid wsp:val=&quot;76EC08E6&quot;/&gt;&lt;wsp:rsid wsp:val=&quot;76EE19B1&quot;/&gt;&lt;wsp:rsid wsp:val=&quot;76EE28B0&quot;/&gt;&lt;wsp:rsid wsp:val=&quot;76EE465E&quot;/&gt;&lt;wsp:rsid wsp:val=&quot;76F1414E&quot;/&gt;&lt;wsp:rsid wsp:val=&quot;76F361BD&quot;/&gt;&lt;wsp:rsid wsp:val=&quot;76F61765&quot;/&gt;&lt;wsp:rsid wsp:val=&quot;76F679B7&quot;/&gt;&lt;wsp:rsid wsp:val=&quot;76F746AB&quot;/&gt;&lt;wsp:rsid wsp:val=&quot;76FA74A7&quot;/&gt;&lt;wsp:rsid wsp:val=&quot;770025E3&quot;/&gt;&lt;wsp:rsid wsp:val=&quot;7700798F&quot;/&gt;&lt;wsp:rsid wsp:val=&quot;77024AC0&quot;/&gt;&lt;wsp:rsid wsp:val=&quot;77040CFC&quot;/&gt;&lt;wsp:rsid wsp:val=&quot;770420D4&quot;/&gt;&lt;wsp:rsid wsp:val=&quot;770519A8&quot;/&gt;&lt;wsp:rsid wsp:val=&quot;77057BFA&quot;/&gt;&lt;wsp:rsid wsp:val=&quot;77062342&quot;/&gt;&lt;wsp:rsid wsp:val=&quot;7706409E&quot;/&gt;&lt;wsp:rsid wsp:val=&quot;77075720&quot;/&gt;&lt;wsp:rsid wsp:val=&quot;77091498&quot;/&gt;&lt;wsp:rsid wsp:val=&quot;77092404&quot;/&gt;&lt;wsp:rsid wsp:val=&quot;7709593C&quot;/&gt;&lt;wsp:rsid wsp:val=&quot;770B3462&quot;/&gt;&lt;wsp:rsid wsp:val=&quot;770C0F88&quot;/&gt;&lt;wsp:rsid wsp:val=&quot;770C2D36&quot;/&gt;&lt;wsp:rsid wsp:val=&quot;770C71DA&quot;/&gt;&lt;wsp:rsid wsp:val=&quot;770F2826&quot;/&gt;&lt;wsp:rsid wsp:val=&quot;77130569&quot;/&gt;&lt;wsp:rsid wsp:val=&quot;77132AC7&quot;/&gt;&lt;wsp:rsid wsp:val=&quot;77147E3D&quot;/&gt;&lt;wsp:rsid wsp:val=&quot;77155DD6&quot;/&gt;&lt;wsp:rsid wsp:val=&quot;77161E07&quot;/&gt;&lt;wsp:rsid wsp:val=&quot;77185B7F&quot;/&gt;&lt;wsp:rsid wsp:val=&quot;771A18F7&quot;/&gt;&lt;wsp:rsid wsp:val=&quot;771A36A5&quot;/&gt;&lt;wsp:rsid wsp:val=&quot;771B11CB&quot;/&gt;&lt;wsp:rsid wsp:val=&quot;771C5CA9&quot;/&gt;&lt;wsp:rsid wsp:val=&quot;771D3195&quot;/&gt;&lt;wsp:rsid wsp:val=&quot;771E7C80&quot;/&gt;&lt;wsp:rsid wsp:val=&quot;77205ABA&quot;/&gt;&lt;wsp:rsid wsp:val=&quot;772067E2&quot;/&gt;&lt;wsp:rsid wsp:val=&quot;772207AC&quot;/&gt;&lt;wsp:rsid wsp:val=&quot;772462D2&quot;/&gt;&lt;wsp:rsid wsp:val=&quot;7726029C&quot;/&gt;&lt;wsp:rsid wsp:val=&quot;772674A3&quot;/&gt;&lt;wsp:rsid wsp:val=&quot;77275DC2&quot;/&gt;&lt;wsp:rsid wsp:val=&quot;7728424C&quot;/&gt;&lt;wsp:rsid wsp:val=&quot;77290C39&quot;/&gt;&lt;wsp:rsid wsp:val=&quot;772A140E&quot;/&gt;&lt;wsp:rsid wsp:val=&quot;772B4CFB&quot;/&gt;&lt;wsp:rsid wsp:val=&quot;772C39B6&quot;/&gt;&lt;wsp:rsid wsp:val=&quot;772C5186&quot;/&gt;&lt;wsp:rsid wsp:val=&quot;772F3393&quot;/&gt;&lt;wsp:rsid wsp:val=&quot;772F6DE2&quot;/&gt;&lt;wsp:rsid wsp:val=&quot;77304C77&quot;/&gt;&lt;wsp:rsid wsp:val=&quot;77324E93&quot;/&gt;&lt;wsp:rsid wsp:val=&quot;77364257&quot;/&gt;&lt;wsp:rsid wsp:val=&quot;77366005&quot;/&gt;&lt;wsp:rsid wsp:val=&quot;773724A9&quot;/&gt;&lt;wsp:rsid wsp:val=&quot;77387FCF&quot;/&gt;&lt;wsp:rsid wsp:val=&quot;773A0D9F&quot;/&gt;&lt;wsp:rsid wsp:val=&quot;773A3D47&quot;/&gt;&lt;wsp:rsid wsp:val=&quot;773F1BDB&quot;/&gt;&lt;wsp:rsid wsp:val=&quot;77420E4E&quot;/&gt;&lt;wsp:rsid wsp:val=&quot;774249AA&quot;/&gt;&lt;wsp:rsid wsp:val=&quot;77440722&quot;/&gt;&lt;wsp:rsid wsp:val=&quot;774424D0&quot;/&gt;&lt;wsp:rsid wsp:val=&quot;77456248&quot;/&gt;&lt;wsp:rsid wsp:val=&quot;774A6156&quot;/&gt;&lt;wsp:rsid wsp:val=&quot;774D3A7A&quot;/&gt;&lt;wsp:rsid wsp:val=&quot;774E15A1&quot;/&gt;&lt;wsp:rsid wsp:val=&quot;774E334F&quot;/&gt;&lt;wsp:rsid wsp:val=&quot;774E77D5&quot;/&gt;&lt;wsp:rsid wsp:val=&quot;774E77F3&quot;/&gt;&lt;wsp:rsid wsp:val=&quot;77514BED&quot;/&gt;&lt;wsp:rsid wsp:val=&quot;77516680&quot;/&gt;&lt;wsp:rsid wsp:val=&quot;77530965&quot;/&gt;&lt;wsp:rsid wsp:val=&quot;775C1F10&quot;/&gt;&lt;wsp:rsid wsp:val=&quot;775C3CBE&quot;/&gt;&lt;wsp:rsid wsp:val=&quot;775E5C88&quot;/&gt;&lt;wsp:rsid wsp:val=&quot;77621424&quot;/&gt;&lt;wsp:rsid wsp:val=&quot;7762586D&quot;/&gt;&lt;wsp:rsid wsp:val=&quot;7763052D&quot;/&gt;&lt;wsp:rsid wsp:val=&quot;77640DC4&quot;/&gt;&lt;wsp:rsid wsp:val=&quot;77660698&quot;/&gt;&lt;wsp:rsid wsp:val=&quot;776606EA&quot;/&gt;&lt;wsp:rsid wsp:val=&quot;776668EA&quot;/&gt;&lt;wsp:rsid wsp:val=&quot;7767024F&quot;/&gt;&lt;wsp:rsid wsp:val=&quot;776963DA&quot;/&gt;&lt;wsp:rsid wsp:val=&quot;776B4E89&quot;/&gt;&lt;wsp:rsid wsp:val=&quot;776E39F1&quot;/&gt;&lt;wsp:rsid wsp:val=&quot;776E579F&quot;/&gt;&lt;wsp:rsid wsp:val=&quot;777059BB&quot;/&gt;&lt;wsp:rsid wsp:val=&quot;77721D03&quot;/&gt;&lt;wsp:rsid wsp:val=&quot;777234E1&quot;/&gt;&lt;wsp:rsid wsp:val=&quot;77725362&quot;/&gt;&lt;wsp:rsid wsp:val=&quot;77731007&quot;/&gt;&lt;wsp:rsid wsp:val=&quot;77741A85&quot;/&gt;&lt;wsp:rsid wsp:val=&quot;77755AC3&quot;/&gt;&lt;wsp:rsid wsp:val=&quot;77762421&quot;/&gt;&lt;wsp:rsid wsp:val=&quot;77784870&quot;/&gt;&lt;wsp:rsid wsp:val=&quot;7778661E&quot;/&gt;&lt;wsp:rsid wsp:val=&quot;777C4360&quot;/&gt;&lt;wsp:rsid wsp:val=&quot;777C7EBC&quot;/&gt;&lt;wsp:rsid wsp:val=&quot;777D1E86&quot;/&gt;&lt;wsp:rsid wsp:val=&quot;777D3BB6&quot;/&gt;&lt;wsp:rsid wsp:val=&quot;777D3C34&quot;/&gt;&lt;wsp:rsid wsp:val=&quot;77811976&quot;/&gt;&lt;wsp:rsid wsp:val=&quot;7783749C&quot;/&gt;&lt;wsp:rsid wsp:val=&quot;77843214&quot;/&gt;&lt;wsp:rsid wsp:val=&quot;77846D70&quot;/&gt;&lt;wsp:rsid wsp:val=&quot;77857096&quot;/&gt;&lt;wsp:rsid wsp:val=&quot;77860D3A&quot;/&gt;&lt;wsp:rsid wsp:val=&quot;77862AE9&quot;/&gt;&lt;wsp:rsid wsp:val=&quot;778637D8&quot;/&gt;&lt;wsp:rsid wsp:val=&quot;778A35E9&quot;/&gt;&lt;wsp:rsid wsp:val=&quot;778B45A3&quot;/&gt;&lt;wsp:rsid wsp:val=&quot;778C3E77&quot;/&gt;&lt;wsp:rsid wsp:val=&quot;778D20C9&quot;/&gt;&lt;wsp:rsid wsp:val=&quot;778E4093&quot;/&gt;&lt;wsp:rsid wsp:val=&quot;778E7BEF&quot;/&gt;&lt;wsp:rsid wsp:val=&quot;77905715&quot;/&gt;&lt;wsp:rsid wsp:val=&quot;77925931&quot;/&gt;&lt;wsp:rsid wsp:val=&quot;77926AE4&quot;/&gt;&lt;wsp:rsid wsp:val=&quot;77933457&quot;/&gt;&lt;wsp:rsid wsp:val=&quot;7793469B&quot;/&gt;&lt;wsp:rsid wsp:val=&quot;77935205&quot;/&gt;&lt;wsp:rsid wsp:val=&quot;77951E3D&quot;/&gt;&lt;wsp:rsid wsp:val=&quot;77955421&quot;/&gt;&lt;wsp:rsid wsp:val=&quot;77961B8C&quot;/&gt;&lt;wsp:rsid wsp:val=&quot;77996CC0&quot;/&gt;&lt;wsp:rsid wsp:val=&quot;779A47E6&quot;/&gt;&lt;wsp:rsid wsp:val=&quot;779A6594&quot;/&gt;&lt;wsp:rsid wsp:val=&quot;779B0572&quot;/&gt;&lt;wsp:rsid wsp:val=&quot;779B4CA4&quot;/&gt;&lt;wsp:rsid wsp:val=&quot;779D7E32&quot;/&gt;&lt;wsp:rsid wsp:val=&quot;779E726F&quot;/&gt;&lt;wsp:rsid wsp:val=&quot;77A03606&quot;/&gt;&lt;wsp:rsid wsp:val=&quot;77A1170C&quot;/&gt;&lt;wsp:rsid wsp:val=&quot;77A15B74&quot;/&gt;&lt;wsp:rsid wsp:val=&quot;77A17922&quot;/&gt;&lt;wsp:rsid wsp:val=&quot;77A46D61&quot;/&gt;&lt;wsp:rsid wsp:val=&quot;77A47413&quot;/&gt;&lt;wsp:rsid wsp:val=&quot;77A613DD&quot;/&gt;&lt;wsp:rsid wsp:val=&quot;77A7663E&quot;/&gt;&lt;wsp:rsid wsp:val=&quot;77A85155&quot;/&gt;&lt;wsp:rsid wsp:val=&quot;77A94A29&quot;/&gt;&lt;wsp:rsid wsp:val=&quot;77AC54F3&quot;/&gt;&lt;wsp:rsid wsp:val=&quot;77AD276B&quot;/&gt;&lt;wsp:rsid wsp:val=&quot;77AD4519&quot;/&gt;&lt;wsp:rsid wsp:val=&quot;77AE0291&quot;/&gt;&lt;wsp:rsid wsp:val=&quot;77AF64E3&quot;/&gt;&lt;wsp:rsid wsp:val=&quot;77B27D81&quot;/&gt;&lt;wsp:rsid wsp:val=&quot;77B51620&quot;/&gt;&lt;wsp:rsid wsp:val=&quot;77B533CE&quot;/&gt;&lt;wsp:rsid wsp:val=&quot;77B56B1F&quot;/&gt;&lt;wsp:rsid wsp:val=&quot;77B70EF4&quot;/&gt;&lt;wsp:rsid wsp:val=&quot;77B91110&quot;/&gt;&lt;wsp:rsid wsp:val=&quot;77B91A3C&quot;/&gt;&lt;wsp:rsid wsp:val=&quot;77BC475C&quot;/&gt;&lt;wsp:rsid wsp:val=&quot;77BF304D&quot;/&gt;&lt;wsp:rsid wsp:val=&quot;77BF5FFA&quot;/&gt;&lt;wsp:rsid wsp:val=&quot;77C10022&quot;/&gt;&lt;wsp:rsid wsp:val=&quot;77C16217&quot;/&gt;&lt;wsp:rsid wsp:val=&quot;77C523BF&quot;/&gt;&lt;wsp:rsid wsp:val=&quot;77C60C6B&quot;/&gt;&lt;wsp:rsid wsp:val=&quot;77C67389&quot;/&gt;&lt;wsp:rsid wsp:val=&quot;77C81353&quot;/&gt;&lt;wsp:rsid wsp:val=&quot;77C90C27&quot;/&gt;&lt;wsp:rsid wsp:val=&quot;77CA50CB&quot;/&gt;&lt;wsp:rsid wsp:val=&quot;77CB2BF1&quot;/&gt;&lt;wsp:rsid wsp:val=&quot;77CB499F&quot;/&gt;&lt;wsp:rsid wsp:val=&quot;77CD6969&quot;/&gt;&lt;wsp:rsid wsp:val=&quot;77CE623E&quot;/&gt;&lt;wsp:rsid wsp:val=&quot;77CF26E1&quot;/&gt;&lt;wsp:rsid wsp:val=&quot;77D01FB6&quot;/&gt;&lt;wsp:rsid wsp:val=&quot;77D21742&quot;/&gt;&lt;wsp:rsid wsp:val=&quot;77D37580&quot;/&gt;&lt;wsp:rsid wsp:val=&quot;77D45F4A&quot;/&gt;&lt;wsp:rsid wsp:val=&quot;77D5581E&quot;/&gt;&lt;wsp:rsid wsp:val=&quot;77D575CC&quot;/&gt;&lt;wsp:rsid wsp:val=&quot;77D870BC&quot;/&gt;&lt;wsp:rsid wsp:val=&quot;77D93560&quot;/&gt;&lt;wsp:rsid wsp:val=&quot;77DA1086&quot;/&gt;&lt;wsp:rsid wsp:val=&quot;77DA4BE2&quot;/&gt;&lt;wsp:rsid wsp:val=&quot;77DC095A&quot;/&gt;&lt;wsp:rsid wsp:val=&quot;77DD6EF2&quot;/&gt;&lt;wsp:rsid wsp:val=&quot;77DE12E7&quot;/&gt;&lt;wsp:rsid wsp:val=&quot;77DF044B&quot;/&gt;&lt;wsp:rsid wsp:val=&quot;77DF669D&quot;/&gt;&lt;wsp:rsid wsp:val=&quot;77E15F71&quot;/&gt;&lt;wsp:rsid wsp:val=&quot;77E31CE9&quot;/&gt;&lt;wsp:rsid wsp:val=&quot;77E51F05&quot;/&gt;&lt;wsp:rsid wsp:val=&quot;77E616E5&quot;/&gt;&lt;wsp:rsid wsp:val=&quot;77E81E45&quot;/&gt;&lt;wsp:rsid wsp:val=&quot;77E837A3&quot;/&gt;&lt;wsp:rsid wsp:val=&quot;77E84005&quot;/&gt;&lt;wsp:rsid wsp:val=&quot;77EA751B&quot;/&gt;&lt;wsp:rsid wsp:val=&quot;77EE6736&quot;/&gt;&lt;wsp:rsid wsp:val=&quot;77EF68E0&quot;/&gt;&lt;wsp:rsid wsp:val=&quot;77F04406&quot;/&gt;&lt;wsp:rsid wsp:val=&quot;77F17B5B&quot;/&gt;&lt;wsp:rsid wsp:val=&quot;77F2017E&quot;/&gt;&lt;wsp:rsid wsp:val=&quot;77F24622&quot;/&gt;&lt;wsp:rsid wsp:val=&quot;77F42148&quot;/&gt;&lt;wsp:rsid wsp:val=&quot;77F71C38&quot;/&gt;&lt;wsp:rsid wsp:val=&quot;77F739E6&quot;/&gt;&lt;wsp:rsid wsp:val=&quot;77F94095&quot;/&gt;&lt;wsp:rsid wsp:val=&quot;77F9775E&quot;/&gt;&lt;wsp:rsid wsp:val=&quot;77FA34D6&quot;/&gt;&lt;wsp:rsid wsp:val=&quot;77FC0D3A&quot;/&gt;&lt;wsp:rsid wsp:val=&quot;77FC2DAB&quot;/&gt;&lt;wsp:rsid wsp:val=&quot;77FC724F&quot;/&gt;&lt;wsp:rsid wsp:val=&quot;77FF289B&quot;/&gt;&lt;wsp:rsid wsp:val=&quot;7801371C&quot;/&gt;&lt;wsp:rsid wsp:val=&quot;78014F60&quot;/&gt;&lt;wsp:rsid wsp:val=&quot;780305DD&quot;/&gt;&lt;wsp:rsid wsp:val=&quot;78030C0D&quot;/&gt;&lt;wsp:rsid wsp:val=&quot;7804209D&quot;/&gt;&lt;wsp:rsid wsp:val=&quot;780600CD&quot;/&gt;&lt;wsp:rsid wsp:val=&quot;78063C29&quot;/&gt;&lt;wsp:rsid wsp:val=&quot;780954C8&quot;/&gt;&lt;wsp:rsid wsp:val=&quot;780A196C&quot;/&gt;&lt;wsp:rsid wsp:val=&quot;780B56E4&quot;/&gt;&lt;wsp:rsid wsp:val=&quot;780B7492&quot;/&gt;&lt;wsp:rsid wsp:val=&quot;780F09F4&quot;/&gt;&lt;wsp:rsid wsp:val=&quot;780F51E9&quot;/&gt;&lt;wsp:rsid wsp:val=&quot;781118C2&quot;/&gt;&lt;wsp:rsid wsp:val=&quot;78120820&quot;/&gt;&lt;wsp:rsid wsp:val=&quot;78126A72&quot;/&gt;&lt;wsp:rsid wsp:val=&quot;78153E6C&quot;/&gt;&lt;wsp:rsid wsp:val=&quot;78175E36&quot;/&gt;&lt;wsp:rsid wsp:val=&quot;78177BE5&quot;/&gt;&lt;wsp:rsid wsp:val=&quot;781850C6&quot;/&gt;&lt;wsp:rsid wsp:val=&quot;78185266&quot;/&gt;&lt;wsp:rsid wsp:val=&quot;78191BAF&quot;/&gt;&lt;wsp:rsid wsp:val=&quot;7819395D&quot;/&gt;&lt;wsp:rsid wsp:val=&quot;78197E01&quot;/&gt;&lt;wsp:rsid wsp:val=&quot;781A1483&quot;/&gt;&lt;wsp:rsid wsp:val=&quot;781C2EF4&quot;/&gt;&lt;wsp:rsid wsp:val=&quot;781C51FB&quot;/&gt;&lt;wsp:rsid wsp:val=&quot;781C6122&quot;/&gt;&lt;wsp:rsid wsp:val=&quot;781E0F73&quot;/&gt;&lt;wsp:rsid wsp:val=&quot;781E5814&quot;/&gt;&lt;wsp:rsid wsp:val=&quot;781F5F02&quot;/&gt;&lt;wsp:rsid wsp:val=&quot;78200914&quot;/&gt;&lt;wsp:rsid wsp:val=&quot;7820118F&quot;/&gt;&lt;wsp:rsid wsp:val=&quot;782347DB&quot;/&gt;&lt;wsp:rsid wsp:val=&quot;782567A5&quot;/&gt;&lt;wsp:rsid wsp:val=&quot;78267E28&quot;/&gt;&lt;wsp:rsid wsp:val=&quot;78280044&quot;/&gt;&lt;wsp:rsid wsp:val=&quot;78283BA0&quot;/&gt;&lt;wsp:rsid wsp:val=&quot;782A5B6A&quot;/&gt;&lt;wsp:rsid wsp:val=&quot;782B3690&quot;/&gt;&lt;wsp:rsid wsp:val=&quot;782B3824&quot;/&gt;&lt;wsp:rsid wsp:val=&quot;782B4FD1&quot;/&gt;&lt;wsp:rsid wsp:val=&quot;783267CC&quot;/&gt;&lt;wsp:rsid wsp:val=&quot;78340796&quot;/&gt;&lt;wsp:rsid wsp:val=&quot;78342545&quot;/&gt;&lt;wsp:rsid wsp:val=&quot;78370287&quot;/&gt;&lt;wsp:rsid wsp:val=&quot;78372035&quot;/&gt;&lt;wsp:rsid wsp:val=&quot;78393FFF&quot;/&gt;&lt;wsp:rsid wsp:val=&quot;78397B5B&quot;/&gt;&lt;wsp:rsid wsp:val=&quot;783B1B25&quot;/&gt;&lt;wsp:rsid wsp:val=&quot;783B7D77&quot;/&gt;&lt;wsp:rsid wsp:val=&quot;783E0C02&quot;/&gt;&lt;wsp:rsid wsp:val=&quot;783E1615&quot;/&gt;&lt;wsp:rsid wsp:val=&quot;7840538D&quot;/&gt;&lt;wsp:rsid wsp:val=&quot;78411105&quot;/&gt;&lt;wsp:rsid wsp:val=&quot;78412EB3&quot;/&gt;&lt;wsp:rsid wsp:val=&quot;78414C61&quot;/&gt;&lt;wsp:rsid wsp:val=&quot;7842246B&quot;/&gt;&lt;wsp:rsid wsp:val=&quot;78434E7D&quot;/&gt;&lt;wsp:rsid wsp:val=&quot;7844495E&quot;/&gt;&lt;wsp:rsid wsp:val=&quot;784529A4&quot;/&gt;&lt;wsp:rsid wsp:val=&quot;78461E4F&quot;/&gt;&lt;wsp:rsid wsp:val=&quot;78462278&quot;/&gt;&lt;wsp:rsid wsp:val=&quot;78482494&quot;/&gt;&lt;wsp:rsid wsp:val=&quot;78497340&quot;/&gt;&lt;wsp:rsid wsp:val=&quot;784A33A1&quot;/&gt;&lt;wsp:rsid wsp:val=&quot;784A446A&quot;/&gt;&lt;wsp:rsid wsp:val=&quot;784A620C&quot;/&gt;&lt;wsp:rsid wsp:val=&quot;784C1F84&quot;/&gt;&lt;wsp:rsid wsp:val=&quot;784D023A&quot;/&gt;&lt;wsp:rsid wsp:val=&quot;784D7AAA&quot;/&gt;&lt;wsp:rsid wsp:val=&quot;784F35A8&quot;/&gt;&lt;wsp:rsid wsp:val=&quot;784F55D0&quot;/&gt;&lt;wsp:rsid wsp:val=&quot;78520C1D&quot;/&gt;&lt;wsp:rsid wsp:val=&quot;78540E39&quot;/&gt;&lt;wsp:rsid wsp:val=&quot;7854343D&quot;/&gt;&lt;wsp:rsid wsp:val=&quot;7855070D&quot;/&gt;&lt;wsp:rsid wsp:val=&quot;78570929&quot;/&gt;&lt;wsp:rsid wsp:val=&quot;78571CD3&quot;/&gt;&lt;wsp:rsid wsp:val=&quot;785726D7&quot;/&gt;&lt;wsp:rsid wsp:val=&quot;78574485&quot;/&gt;&lt;wsp:rsid wsp:val=&quot;785B21C7&quot;/&gt;&lt;wsp:rsid wsp:val=&quot;785C7CED&quot;/&gt;&lt;wsp:rsid wsp:val=&quot;785E5399&quot;/&gt;&lt;wsp:rsid wsp:val=&quot;7860333A&quot;/&gt;&lt;wsp:rsid wsp:val=&quot;786077DD&quot;/&gt;&lt;wsp:rsid wsp:val=&quot;78610809&quot;/&gt;&lt;wsp:rsid wsp:val=&quot;78615304&quot;/&gt;&lt;wsp:rsid wsp:val=&quot;78623556&quot;/&gt;&lt;wsp:rsid wsp:val=&quot;78650950&quot;/&gt;&lt;wsp:rsid wsp:val=&quot;78650EDE&quot;/&gt;&lt;wsp:rsid wsp:val=&quot;78654DF4&quot;/&gt;&lt;wsp:rsid wsp:val=&quot;78656BA2&quot;/&gt;&lt;wsp:rsid wsp:val=&quot;786646C8&quot;/&gt;&lt;wsp:rsid wsp:val=&quot;78670B6C&quot;/&gt;&lt;wsp:rsid wsp:val=&quot;78686692&quot;/&gt;&lt;wsp:rsid wsp:val=&quot;78697DBA&quot;/&gt;&lt;wsp:rsid wsp:val=&quot;786A065C&quot;/&gt;&lt;wsp:rsid wsp:val=&quot;786B1CDE&quot;/&gt;&lt;wsp:rsid wsp:val=&quot;786D1EFA&quot;/&gt;&lt;wsp:rsid wsp:val=&quot;786D3CA8&quot;/&gt;&lt;wsp:rsid wsp:val=&quot;787119EB&quot;/&gt;&lt;wsp:rsid wsp:val=&quot;78715547&quot;/&gt;&lt;wsp:rsid wsp:val=&quot;78743289&quot;/&gt;&lt;wsp:rsid wsp:val=&quot;78760DAF&quot;/&gt;&lt;wsp:rsid wsp:val=&quot;78762B5D&quot;/&gt;&lt;wsp:rsid wsp:val=&quot;78774B27&quot;/&gt;&lt;wsp:rsid wsp:val=&quot;78782D79&quot;/&gt;&lt;wsp:rsid wsp:val=&quot;7878384E&quot;/&gt;&lt;wsp:rsid wsp:val=&quot;787943FB&quot;/&gt;&lt;wsp:rsid wsp:val=&quot;787B63C5&quot;/&gt;&lt;wsp:rsid wsp:val=&quot;787C3EEC&quot;/&gt;&lt;wsp:rsid wsp:val=&quot;787E6574&quot;/&gt;&lt;wsp:rsid wsp:val=&quot;787E7C64&quot;/&gt;&lt;wsp:rsid wsp:val=&quot;7880578A&quot;/&gt;&lt;wsp:rsid wsp:val=&quot;78822A65&quot;/&gt;&lt;wsp:rsid wsp:val=&quot;78827754&quot;/&gt;&lt;wsp:rsid wsp:val=&quot;7883171E&quot;/&gt;&lt;wsp:rsid wsp:val=&quot;788334CC&quot;/&gt;&lt;wsp:rsid wsp:val=&quot;7883527A&quot;/&gt;&lt;wsp:rsid wsp:val=&quot;78836649&quot;/&gt;&lt;wsp:rsid wsp:val=&quot;78850FF2&quot;/&gt;&lt;wsp:rsid wsp:val=&quot;788555E3&quot;/&gt;&lt;wsp:rsid wsp:val=&quot;78855ED8&quot;/&gt;&lt;wsp:rsid wsp:val=&quot;788717DD&quot;/&gt;&lt;wsp:rsid wsp:val=&quot;78884C81&quot;/&gt;&lt;wsp:rsid wsp:val=&quot;788A03B6&quot;/&gt;&lt;wsp:rsid wsp:val=&quot;788A136D&quot;/&gt;&lt;wsp:rsid wsp:val=&quot;788A3512&quot;/&gt;&lt;wsp:rsid wsp:val=&quot;788A6608&quot;/&gt;&lt;wsp:rsid wsp:val=&quot;788A686C&quot;/&gt;&lt;wsp:rsid wsp:val=&quot;788B412F&quot;/&gt;&lt;wsp:rsid wsp:val=&quot;788C2381&quot;/&gt;&lt;wsp:rsid wsp:val=&quot;788D434B&quot;/&gt;&lt;wsp:rsid wsp:val=&quot;788D5D25&quot;/&gt;&lt;wsp:rsid wsp:val=&quot;788D60F9&quot;/&gt;&lt;wsp:rsid wsp:val=&quot;788F3C1F&quot;/&gt;&lt;wsp:rsid wsp:val=&quot;789154FC&quot;/&gt;&lt;wsp:rsid wsp:val=&quot;7892370F&quot;/&gt;&lt;wsp:rsid wsp:val=&quot;78944D1F&quot;/&gt;&lt;wsp:rsid wsp:val=&quot;78947487&quot;/&gt;&lt;wsp:rsid wsp:val=&quot;78972AD3&quot;/&gt;&lt;wsp:rsid wsp:val=&quot;78986183&quot;/&gt;&lt;wsp:rsid wsp:val=&quot;78986F77&quot;/&gt;&lt;wsp:rsid wsp:val=&quot;789B6A68&quot;/&gt;&lt;wsp:rsid wsp:val=&quot;789D458E&quot;/&gt;&lt;wsp:rsid wsp:val=&quot;789E02CE&quot;/&gt;&lt;wsp:rsid wsp:val=&quot;789E0306&quot;/&gt;&lt;wsp:rsid wsp:val=&quot;78A05C89&quot;/&gt;&lt;wsp:rsid wsp:val=&quot;78A05E2C&quot;/&gt;&lt;wsp:rsid wsp:val=&quot;78A222B9&quot;/&gt;&lt;wsp:rsid wsp:val=&quot;78A23952&quot;/&gt;&lt;wsp:rsid wsp:val=&quot;78A376CA&quot;/&gt;&lt;wsp:rsid wsp:val=&quot;78A5100B&quot;/&gt;&lt;wsp:rsid wsp:val=&quot;78A53442&quot;/&gt;&lt;wsp:rsid wsp:val=&quot;78A551F0&quot;/&gt;&lt;wsp:rsid wsp:val=&quot;78A70F68&quot;/&gt;&lt;wsp:rsid wsp:val=&quot;78A84CE1&quot;/&gt;&lt;wsp:rsid wsp:val=&quot;78A90480&quot;/&gt;&lt;wsp:rsid wsp:val=&quot;78A94CD1&quot;/&gt;&lt;wsp:rsid wsp:val=&quot;78AC7AAF&quot;/&gt;&lt;wsp:rsid wsp:val=&quot;78AD0549&quot;/&gt;&lt;wsp:rsid wsp:val=&quot;78AD54CB&quot;/&gt;&lt;wsp:rsid wsp:val=&quot;78AE679B&quot;/&gt;&lt;wsp:rsid wsp:val=&quot;78AF42C1&quot;/&gt;&lt;wsp:rsid wsp:val=&quot;78B418D7&quot;/&gt;&lt;wsp:rsid wsp:val=&quot;78B450B4&quot;/&gt;&lt;wsp:rsid wsp:val=&quot;78B6564F&quot;/&gt;&lt;wsp:rsid wsp:val=&quot;78B673FD&quot;/&gt;&lt;wsp:rsid wsp:val=&quot;78B67AE2&quot;/&gt;&lt;wsp:rsid wsp:val=&quot;78B77027&quot;/&gt;&lt;wsp:rsid wsp:val=&quot;78BD078C&quot;/&gt;&lt;wsp:rsid wsp:val=&quot;78BE3412&quot;/&gt;&lt;wsp:rsid wsp:val=&quot;78BE4504&quot;/&gt;&lt;wsp:rsid wsp:val=&quot;78BE5B70&quot;/&gt;&lt;wsp:rsid wsp:val=&quot;78BE5FE3&quot;/&gt;&lt;wsp:rsid wsp:val=&quot;78BE62B2&quot;/&gt;&lt;wsp:rsid wsp:val=&quot;78C0027C&quot;/&gt;&lt;wsp:rsid wsp:val=&quot;78C03D81&quot;/&gt;&lt;wsp:rsid wsp:val=&quot;78C20243&quot;/&gt;&lt;wsp:rsid wsp:val=&quot;78C25DA2&quot;/&gt;&lt;wsp:rsid wsp:val=&quot;78C31B1A&quot;/&gt;&lt;wsp:rsid wsp:val=&quot;78C338C8&quot;/&gt;&lt;wsp:rsid wsp:val=&quot;78C7099A&quot;/&gt;&lt;wsp:rsid wsp:val=&quot;78C733B9&quot;/&gt;&lt;wsp:rsid wsp:val=&quot;78C9039A&quot;/&gt;&lt;wsp:rsid wsp:val=&quot;78C935D5&quot;/&gt;&lt;wsp:rsid wsp:val=&quot;78CA2EA9&quot;/&gt;&lt;wsp:rsid wsp:val=&quot;78CA30F6&quot;/&gt;&lt;wsp:rsid wsp:val=&quot;78CA4C09&quot;/&gt;&lt;wsp:rsid wsp:val=&quot;78CC6C21&quot;/&gt;&lt;wsp:rsid wsp:val=&quot;78D22D18&quot;/&gt;&lt;wsp:rsid wsp:val=&quot;78D6184E&quot;/&gt;&lt;wsp:rsid wsp:val=&quot;78D65B77&quot;/&gt;&lt;wsp:rsid wsp:val=&quot;78D83818&quot;/&gt;&lt;wsp:rsid wsp:val=&quot;78DA6420&quot;/&gt;&lt;wsp:rsid wsp:val=&quot;78DA7590&quot;/&gt;&lt;wsp:rsid wsp:val=&quot;78DB4035&quot;/&gt;&lt;wsp:rsid wsp:val=&quot;78DB50B6&quot;/&gt;&lt;wsp:rsid wsp:val=&quot;78DB6BE4&quot;/&gt;&lt;wsp:rsid wsp:val=&quot;78DC222C&quot;/&gt;&lt;wsp:rsid wsp:val=&quot;78DD498A&quot;/&gt;&lt;wsp:rsid wsp:val=&quot;78DE6954&quot;/&gt;&lt;wsp:rsid wsp:val=&quot;78DF1567&quot;/&gt;&lt;wsp:rsid wsp:val=&quot;78DF7126&quot;/&gt;&lt;wsp:rsid wsp:val=&quot;78E0091E&quot;/&gt;&lt;wsp:rsid wsp:val=&quot;78E15AA7&quot;/&gt;&lt;wsp:rsid wsp:val=&quot;78E353DE&quot;/&gt;&lt;wsp:rsid wsp:val=&quot;78E35D19&quot;/&gt;&lt;wsp:rsid wsp:val=&quot;78E51A91&quot;/&gt;&lt;wsp:rsid wsp:val=&quot;78E57CE3&quot;/&gt;&lt;wsp:rsid wsp:val=&quot;78E66F3A&quot;/&gt;&lt;wsp:rsid wsp:val=&quot;78E7615E&quot;/&gt;&lt;wsp:rsid wsp:val=&quot;78E81581&quot;/&gt;&lt;wsp:rsid wsp:val=&quot;78EA52F9&quot;/&gt;&lt;wsp:rsid wsp:val=&quot;78EC1071&quot;/&gt;&lt;wsp:rsid wsp:val=&quot;78EE303B&quot;/&gt;&lt;wsp:rsid wsp:val=&quot;78EF0B61&quot;/&gt;&lt;wsp:rsid wsp:val=&quot;78EF46BD&quot;/&gt;&lt;wsp:rsid wsp:val=&quot;78F1477F&quot;/&gt;&lt;wsp:rsid wsp:val=&quot;78F30652&quot;/&gt;&lt;wsp:rsid wsp:val=&quot;78F41CD4&quot;/&gt;&lt;wsp:rsid wsp:val=&quot;78F46178&quot;/&gt;&lt;wsp:rsid wsp:val=&quot;78F85C68&quot;/&gt;&lt;wsp:rsid wsp:val=&quot;78F9378E&quot;/&gt;&lt;wsp:rsid wsp:val=&quot;78F9553C&quot;/&gt;&lt;wsp:rsid wsp:val=&quot;78FB12B4&quot;/&gt;&lt;wsp:rsid wsp:val=&quot;78FC1ED6&quot;/&gt;&lt;wsp:rsid wsp:val=&quot;78FF66E6&quot;/&gt;&lt;wsp:rsid wsp:val=&quot;79010967&quot;/&gt;&lt;wsp:rsid wsp:val=&quot;79014BF0&quot;/&gt;&lt;wsp:rsid wsp:val=&quot;7902172F&quot;/&gt;&lt;wsp:rsid wsp:val=&quot;79022643&quot;/&gt;&lt;wsp:rsid wsp:val=&quot;790243F1&quot;/&gt;&lt;wsp:rsid wsp:val=&quot;79030169&quot;/&gt;&lt;wsp:rsid wsp:val=&quot;79035A3D&quot;/&gt;&lt;wsp:rsid wsp:val=&quot;79040CED&quot;/&gt;&lt;wsp:rsid wsp:val=&quot;7904460D&quot;/&gt;&lt;wsp:rsid wsp:val=&quot;79052133&quot;/&gt;&lt;wsp:rsid wsp:val=&quot;79055BA7&quot;/&gt;&lt;wsp:rsid wsp:val=&quot;790740FD&quot;/&gt;&lt;wsp:rsid wsp:val=&quot;790939D1&quot;/&gt;&lt;wsp:rsid wsp:val=&quot;790A181D&quot;/&gt;&lt;wsp:rsid wsp:val=&quot;790A7749&quot;/&gt;&lt;wsp:rsid wsp:val=&quot;790C34C1&quot;/&gt;&lt;wsp:rsid wsp:val=&quot;790C526F&quot;/&gt;&lt;wsp:rsid wsp:val=&quot;790E0FE8&quot;/&gt;&lt;wsp:rsid wsp:val=&quot;790E7239&quot;/&gt;&lt;wsp:rsid wsp:val=&quot;790F4D60&quot;/&gt;&lt;wsp:rsid wsp:val=&quot;79105D70&quot;/&gt;&lt;wsp:rsid wsp:val=&quot;79112886&quot;/&gt;&lt;wsp:rsid wsp:val=&quot;79134850&quot;/&gt;&lt;wsp:rsid wsp:val=&quot;79144124&quot;/&gt;&lt;wsp:rsid wsp:val=&quot;791505C8&quot;/&gt;&lt;wsp:rsid wsp:val=&quot;79164340&quot;/&gt;&lt;wsp:rsid wsp:val=&quot;791660EE&quot;/&gt;&lt;wsp:rsid wsp:val=&quot;79175B42&quot;/&gt;&lt;wsp:rsid wsp:val=&quot;7918575E&quot;/&gt;&lt;wsp:rsid wsp:val=&quot;791A3913&quot;/&gt;&lt;wsp:rsid wsp:val=&quot;791A3E30&quot;/&gt;&lt;wsp:rsid wsp:val=&quot;791A5BDE&quot;/&gt;&lt;wsp:rsid wsp:val=&quot;791A693D&quot;/&gt;&lt;wsp:rsid wsp:val=&quot;791B299E&quot;/&gt;&lt;wsp:rsid wsp:val=&quot;791B54B2&quot;/&gt;&lt;wsp:rsid wsp:val=&quot;791E4FA3&quot;/&gt;&lt;wsp:rsid wsp:val=&quot;791F1447&quot;/&gt;&lt;wsp:rsid wsp:val=&quot;791F6F11&quot;/&gt;&lt;wsp:rsid wsp:val=&quot;79200D1B&quot;/&gt;&lt;wsp:rsid wsp:val=&quot;79202AC9&quot;/&gt;&lt;wsp:rsid wsp:val=&quot;79217840&quot;/&gt;&lt;wsp:rsid wsp:val=&quot;79224A93&quot;/&gt;&lt;wsp:rsid wsp:val=&quot;79246A5D&quot;/&gt;&lt;wsp:rsid wsp:val=&quot;79246F07&quot;/&gt;&lt;wsp:rsid wsp:val=&quot;792702FB&quot;/&gt;&lt;wsp:rsid wsp:val=&quot;79270F41&quot;/&gt;&lt;wsp:rsid wsp:val=&quot;7927654D&quot;/&gt;&lt;wsp:rsid wsp:val=&quot;79284F5D&quot;/&gt;&lt;wsp:rsid wsp:val=&quot;79294073&quot;/&gt;&lt;wsp:rsid wsp:val=&quot;79297BCF&quot;/&gt;&lt;wsp:rsid wsp:val=&quot;792A3948&quot;/&gt;&lt;wsp:rsid wsp:val=&quot;79312F28&quot;/&gt;&lt;wsp:rsid wsp:val=&quot;79330C25&quot;/&gt;&lt;wsp:rsid wsp:val=&quot;79334EF2&quot;/&gt;&lt;wsp:rsid wsp:val=&quot;793367B4&quot;/&gt;&lt;wsp:rsid wsp:val=&quot;79346574&quot;/&gt;&lt;wsp:rsid wsp:val=&quot;79382508&quot;/&gt;&lt;wsp:rsid wsp:val=&quot;79386064&quot;/&gt;&lt;wsp:rsid wsp:val=&quot;79395A06&quot;/&gt;&lt;wsp:rsid wsp:val=&quot;793B7903&quot;/&gt;&lt;wsp:rsid wsp:val=&quot;793C0847&quot;/&gt;&lt;wsp:rsid wsp:val=&quot;793D367B&quot;/&gt;&lt;wsp:rsid wsp:val=&quot;793D7B1F&quot;/&gt;&lt;wsp:rsid wsp:val=&quot;793E1FC4&quot;/&gt;&lt;wsp:rsid wsp:val=&quot;793F3897&quot;/&gt;&lt;wsp:rsid wsp:val=&quot;794013BD&quot;/&gt;&lt;wsp:rsid wsp:val=&quot;7940316B&quot;/&gt;&lt;wsp:rsid wsp:val=&quot;79403229&quot;/&gt;&lt;wsp:rsid wsp:val=&quot;79436833&quot;/&gt;&lt;wsp:rsid wsp:val=&quot;79442C5B&quot;/&gt;&lt;wsp:rsid wsp:val=&quot;79450781&quot;/&gt;&lt;wsp:rsid wsp:val=&quot;79454555&quot;/&gt;&lt;wsp:rsid wsp:val=&quot;79462DC9&quot;/&gt;&lt;wsp:rsid wsp:val=&quot;79472CD7&quot;/&gt;&lt;wsp:rsid wsp:val=&quot;794762A8&quot;/&gt;&lt;wsp:rsid wsp:val=&quot;79492020&quot;/&gt;&lt;wsp:rsid wsp:val=&quot;794C38BE&quot;/&gt;&lt;wsp:rsid wsp:val=&quot;794C5FB4&quot;/&gt;&lt;wsp:rsid wsp:val=&quot;794C7D62&quot;/&gt;&lt;wsp:rsid wsp:val=&quot;794E16AD&quot;/&gt;&lt;wsp:rsid wsp:val=&quot;794F04D8&quot;/&gt;&lt;wsp:rsid wsp:val=&quot;794F7F7D&quot;/&gt;&lt;wsp:rsid wsp:val=&quot;79507852&quot;/&gt;&lt;wsp:rsid wsp:val=&quot;79515378&quot;/&gt;&lt;wsp:rsid wsp:val=&quot;79517126&quot;/&gt;&lt;wsp:rsid wsp:val=&quot;7953020F&quot;/&gt;&lt;wsp:rsid wsp:val=&quot;795409C4&quot;/&gt;&lt;wsp:rsid wsp:val=&quot;7954169F&quot;/&gt;&lt;wsp:rsid wsp:val=&quot;79554E68&quot;/&gt;&lt;wsp:rsid wsp:val=&quot;79565C8F&quot;/&gt;&lt;wsp:rsid wsp:val=&quot;79570BE0&quot;/&gt;&lt;wsp:rsid wsp:val=&quot;79586707&quot;/&gt;&lt;wsp:rsid wsp:val=&quot;795A422D&quot;/&gt;&lt;wsp:rsid wsp:val=&quot;795A5FDB&quot;/&gt;&lt;wsp:rsid wsp:val=&quot;795B1D53&quot;/&gt;&lt;wsp:rsid wsp:val=&quot;795B7FFB&quot;/&gt;&lt;wsp:rsid wsp:val=&quot;795C7706&quot;/&gt;&lt;wsp:rsid wsp:val=&quot;795F5CE7&quot;/&gt;&lt;wsp:rsid wsp:val=&quot;796230E1&quot;/&gt;&lt;wsp:rsid wsp:val=&quot;79641194&quot;/&gt;&lt;wsp:rsid wsp:val=&quot;796432FD&quot;/&gt;&lt;wsp:rsid wsp:val=&quot;79646E59&quot;/&gt;&lt;wsp:rsid wsp:val=&quot;79677B15&quot;/&gt;&lt;wsp:rsid wsp:val=&quot;79694470&quot;/&gt;&lt;wsp:rsid wsp:val=&quot;796A7FA8&quot;/&gt;&lt;wsp:rsid wsp:val=&quot;796B643A&quot;/&gt;&lt;wsp:rsid wsp:val=&quot;796C21B2&quot;/&gt;&lt;wsp:rsid wsp:val=&quot;796C5D0E&quot;/&gt;&lt;wsp:rsid wsp:val=&quot;796C7DA7&quot;/&gt;&lt;wsp:rsid wsp:val=&quot;796E1A86&quot;/&gt;&lt;wsp:rsid wsp:val=&quot;79703A50&quot;/&gt;&lt;wsp:rsid wsp:val=&quot;79711576&quot;/&gt;&lt;wsp:rsid wsp:val=&quot;797177C8&quot;/&gt;&lt;wsp:rsid wsp:val=&quot;79725A1A&quot;/&gt;&lt;wsp:rsid wsp:val=&quot;79733540&quot;/&gt;&lt;wsp:rsid wsp:val=&quot;797608F4&quot;/&gt;&lt;wsp:rsid wsp:val=&quot;79764DDF&quot;/&gt;&lt;wsp:rsid wsp:val=&quot;7977760A&quot;/&gt;&lt;wsp:rsid wsp:val=&quot;79780B57&quot;/&gt;&lt;wsp:rsid wsp:val=&quot;79782905&quot;/&gt;&lt;wsp:rsid wsp:val=&quot;797846B3&quot;/&gt;&lt;wsp:rsid wsp:val=&quot;7978655F&quot;/&gt;&lt;wsp:rsid wsp:val=&quot;797C008D&quot;/&gt;&lt;wsp:rsid wsp:val=&quot;797C0647&quot;/&gt;&lt;wsp:rsid wsp:val=&quot;797D521B&quot;/&gt;&lt;wsp:rsid wsp:val=&quot;797D5D12&quot;/&gt;&lt;wsp:rsid wsp:val=&quot;797F0137&quot;/&gt;&lt;wsp:rsid wsp:val=&quot;797F2284&quot;/&gt;&lt;wsp:rsid wsp:val=&quot;79800E71&quot;/&gt;&lt;wsp:rsid wsp:val=&quot;79823784&quot;/&gt;&lt;wsp:rsid wsp:val=&quot;79824D37&quot;/&gt;&lt;wsp:rsid wsp:val=&quot;798451A5&quot;/&gt;&lt;wsp:rsid wsp:val=&quot;79866623&quot;/&gt;&lt;wsp:rsid wsp:val=&quot;79872B48&quot;/&gt;&lt;wsp:rsid wsp:val=&quot;79887A88&quot;/&gt;&lt;wsp:rsid wsp:val=&quot;798B088A&quot;/&gt;&lt;wsp:rsid wsp:val=&quot;798C63B0&quot;/&gt;&lt;wsp:rsid wsp:val=&quot;798E037A&quot;/&gt;&lt;wsp:rsid wsp:val=&quot;799040F2&quot;/&gt;&lt;wsp:rsid wsp:val=&quot;79905EA0&quot;/&gt;&lt;wsp:rsid wsp:val=&quot;79915775&quot;/&gt;&lt;wsp:rsid wsp:val=&quot;79921C19&quot;/&gt;&lt;wsp:rsid wsp:val=&quot;79933F60&quot;/&gt;&lt;wsp:rsid wsp:val=&quot;79955265&quot;/&gt;&lt;wsp:rsid wsp:val=&quot;79960FDD&quot;/&gt;&lt;wsp:rsid wsp:val=&quot;79961451&quot;/&gt;&lt;wsp:rsid wsp:val=&quot;79982FA7&quot;/&gt;&lt;wsp:rsid wsp:val=&quot;79986B03&quot;/&gt;&lt;wsp:rsid wsp:val=&quot;799B52C3&quot;/&gt;&lt;wsp:rsid wsp:val=&quot;799B65F3&quot;/&gt;&lt;wsp:rsid wsp:val=&quot;799C4845&quot;/&gt;&lt;wsp:rsid wsp:val=&quot;799D7107&quot;/&gt;&lt;wsp:rsid wsp:val=&quot;799F7E92&quot;/&gt;&lt;wsp:rsid wsp:val=&quot;79A33E26&quot;/&gt;&lt;wsp:rsid wsp:val=&quot;79A454A8&quot;/&gt;&lt;wsp:rsid wsp:val=&quot;79A47B9E&quot;/&gt;&lt;wsp:rsid wsp:val=&quot;79A623D6&quot;/&gt;&lt;wsp:rsid wsp:val=&quot;79A67472&quot;/&gt;&lt;wsp:rsid wsp:val=&quot;79A731EA&quot;/&gt;&lt;wsp:rsid wsp:val=&quot;79A74F98&quot;/&gt;&lt;wsp:rsid wsp:val=&quot;79A74FA7&quot;/&gt;&lt;wsp:rsid wsp:val=&quot;79AB2CDA&quot;/&gt;&lt;wsp:rsid wsp:val=&quot;79AB4A88&quot;/&gt;&lt;wsp:rsid wsp:val=&quot;79AC25AE&quot;/&gt;&lt;wsp:rsid wsp:val=&quot;79AD6A52&quot;/&gt;&lt;wsp:rsid wsp:val=&quot;79B002F1&quot;/&gt;&lt;wsp:rsid wsp:val=&quot;79B0209F&quot;/&gt;&lt;wsp:rsid wsp:val=&quot;79B06543&quot;/&gt;&lt;wsp:rsid wsp:val=&quot;79B17BC5&quot;/&gt;&lt;wsp:rsid wsp:val=&quot;79B24069&quot;/&gt;&lt;wsp:rsid wsp:val=&quot;79B3393D&quot;/&gt;&lt;wsp:rsid wsp:val=&quot;79B37DE1&quot;/&gt;&lt;wsp:rsid wsp:val=&quot;79B55907&quot;/&gt;&lt;wsp:rsid wsp:val=&quot;79B80F53&quot;/&gt;&lt;wsp:rsid wsp:val=&quot;79B871A5&quot;/&gt;&lt;wsp:rsid wsp:val=&quot;79B93FD2&quot;/&gt;&lt;wsp:rsid wsp:val=&quot;79BD0233&quot;/&gt;&lt;wsp:rsid wsp:val=&quot;79BD47BC&quot;/&gt;&lt;wsp:rsid wsp:val=&quot;79BD5FEF&quot;/&gt;&lt;wsp:rsid wsp:val=&quot;79BD656A&quot;/&gt;&lt;wsp:rsid wsp:val=&quot;79BE4E53&quot;/&gt;&lt;wsp:rsid wsp:val=&quot;79C124FE&quot;/&gt;&lt;wsp:rsid wsp:val=&quot;79C63670&quot;/&gt;&lt;wsp:rsid wsp:val=&quot;79C67B14&quot;/&gt;&lt;wsp:rsid wsp:val=&quot;79C778EB&quot;/&gt;&lt;wsp:rsid wsp:val=&quot;79C8563A&quot;/&gt;&lt;wsp:rsid wsp:val=&quot;79CA1A9B&quot;/&gt;&lt;wsp:rsid wsp:val=&quot;79CA7A1E&quot;/&gt;&lt;wsp:rsid wsp:val=&quot;79CB0C87&quot;/&gt;&lt;wsp:rsid wsp:val=&quot;79CB512B&quot;/&gt;&lt;wsp:rsid wsp:val=&quot;79CB6ED9&quot;/&gt;&lt;wsp:rsid wsp:val=&quot;79D00993&quot;/&gt;&lt;wsp:rsid wsp:val=&quot;79D02741&quot;/&gt;&lt;wsp:rsid wsp:val=&quot;79D0629D&quot;/&gt;&lt;wsp:rsid wsp:val=&quot;79D13345&quot;/&gt;&lt;wsp:rsid wsp:val=&quot;79D20267&quot;/&gt;&lt;wsp:rsid wsp:val=&quot;79D2705F&quot;/&gt;&lt;wsp:rsid wsp:val=&quot;79D55FA9&quot;/&gt;&lt;wsp:rsid wsp:val=&quot;79D57D57&quot;/&gt;&lt;wsp:rsid wsp:val=&quot;79D7587D&quot;/&gt;&lt;wsp:rsid wsp:val=&quot;79D81204&quot;/&gt;&lt;wsp:rsid wsp:val=&quot;79DA70F1&quot;/&gt;&lt;wsp:rsid wsp:val=&quot;79DC10E6&quot;/&gt;&lt;wsp:rsid wsp:val=&quot;79DF2984&quot;/&gt;&lt;wsp:rsid wsp:val=&quot;79E24222&quot;/&gt;&lt;wsp:rsid wsp:val=&quot;79E32474&quot;/&gt;&lt;wsp:rsid wsp:val=&quot;79E461EC&quot;/&gt;&lt;wsp:rsid wsp:val=&quot;79E61F64&quot;/&gt;&lt;wsp:rsid wsp:val=&quot;79E81839&quot;/&gt;&lt;wsp:rsid wsp:val=&quot;79E93803&quot;/&gt;&lt;wsp:rsid wsp:val=&quot;79E955B1&quot;/&gt;&lt;wsp:rsid wsp:val=&quot;79E9735F&quot;/&gt;&lt;wsp:rsid wsp:val=&quot;79EA61EA&quot;/&gt;&lt;wsp:rsid wsp:val=&quot;79EB1329&quot;/&gt;&lt;wsp:rsid wsp:val=&quot;79EB30D7&quot;/&gt;&lt;wsp:rsid wsp:val=&quot;79ED50A1&quot;/&gt;&lt;wsp:rsid wsp:val=&quot;79EE0E19&quot;/&gt;&lt;wsp:rsid wsp:val=&quot;79EF706B&quot;/&gt;&lt;wsp:rsid wsp:val=&quot;79F04B91&quot;/&gt;&lt;wsp:rsid wsp:val=&quot;79F0693F&quot;/&gt;&lt;wsp:rsid wsp:val=&quot;79F226B7&quot;/&gt;&lt;wsp:rsid wsp:val=&quot;79F3642F&quot;/&gt;&lt;wsp:rsid wsp:val=&quot;79F503F9&quot;/&gt;&lt;wsp:rsid wsp:val=&quot;79F53F55&quot;/&gt;&lt;wsp:rsid wsp:val=&quot;79F65ECE&quot;/&gt;&lt;wsp:rsid wsp:val=&quot;79F70513&quot;/&gt;&lt;wsp:rsid wsp:val=&quot;79F71A7C&quot;/&gt;&lt;wsp:rsid wsp:val=&quot;79FA2095&quot;/&gt;&lt;wsp:rsid wsp:val=&quot;79FE105C&quot;/&gt;&lt;wsp:rsid wsp:val=&quot;7A0423EA&quot;/&gt;&lt;wsp:rsid wsp:val=&quot;7A044199&quot;/&gt;&lt;wsp:rsid wsp:val=&quot;7A066163&quot;/&gt;&lt;wsp:rsid wsp:val=&quot;7A0917AF&quot;/&gt;&lt;wsp:rsid wsp:val=&quot;7A092C03&quot;/&gt;&lt;wsp:rsid wsp:val=&quot;7A0D129F&quot;/&gt;&lt;wsp:rsid wsp:val=&quot;7A100D8F&quot;/&gt;&lt;wsp:rsid wsp:val=&quot;7A102B3D&quot;/&gt;&lt;wsp:rsid wsp:val=&quot;7A106FE1&quot;/&gt;&lt;wsp:rsid wsp:val=&quot;7A13262E&quot;/&gt;&lt;wsp:rsid wsp:val=&quot;7A141089&quot;/&gt;&lt;wsp:rsid wsp:val=&quot;7A144D7D&quot;/&gt;&lt;wsp:rsid wsp:val=&quot;7A146AD1&quot;/&gt;&lt;wsp:rsid wsp:val=&quot;7A173ECC&quot;/&gt;&lt;wsp:rsid wsp:val=&quot;7A1A1C0E&quot;/&gt;&lt;wsp:rsid wsp:val=&quot;7A1A3B88&quot;/&gt;&lt;wsp:rsid wsp:val=&quot;7A1C5986&quot;/&gt;&lt;wsp:rsid wsp:val=&quot;7A2113E8&quot;/&gt;&lt;wsp:rsid wsp:val=&quot;7A24483B&quot;/&gt;&lt;wsp:rsid wsp:val=&quot;7A2465E9&quot;/&gt;&lt;wsp:rsid wsp:val=&quot;7A2605B3&quot;/&gt;&lt;wsp:rsid wsp:val=&quot;7A275D86&quot;/&gt;&lt;wsp:rsid wsp:val=&quot;7A281F9B&quot;/&gt;&lt;wsp:rsid wsp:val=&quot;7A28257D&quot;/&gt;&lt;wsp:rsid wsp:val=&quot;7A293BFF&quot;/&gt;&lt;wsp:rsid wsp:val=&quot;7A2A0A5F&quot;/&gt;&lt;wsp:rsid wsp:val=&quot;7A2B3E1B&quot;/&gt;&lt;wsp:rsid wsp:val=&quot;7A2B5BC9&quot;/&gt;&lt;wsp:rsid wsp:val=&quot;7A2B7977&quot;/&gt;&lt;wsp:rsid wsp:val=&quot;7A2C0507&quot;/&gt;&lt;wsp:rsid wsp:val=&quot;7A2C5F9D&quot;/&gt;&lt;wsp:rsid wsp:val=&quot;7A2D181E&quot;/&gt;&lt;wsp:rsid wsp:val=&quot;7A2D7B93&quot;/&gt;&lt;wsp:rsid wsp:val=&quot;7A2E4BCF&quot;/&gt;&lt;wsp:rsid wsp:val=&quot;7A301431&quot;/&gt;&lt;wsp:rsid wsp:val=&quot;7A304F8E&quot;/&gt;&lt;wsp:rsid wsp:val=&quot;7A31097F&quot;/&gt;&lt;wsp:rsid wsp:val=&quot;7A320D06&quot;/&gt;&lt;wsp:rsid wsp:val=&quot;7A326F58&quot;/&gt;&lt;wsp:rsid wsp:val=&quot;7A342CD0&quot;/&gt;&lt;wsp:rsid wsp:val=&quot;7A364017&quot;/&gt;&lt;wsp:rsid wsp:val=&quot;7A3727C0&quot;/&gt;&lt;wsp:rsid wsp:val=&quot;7A37456E&quot;/&gt;&lt;wsp:rsid wsp:val=&quot;7A383CAC&quot;/&gt;&lt;wsp:rsid wsp:val=&quot;7A392094&quot;/&gt;&lt;wsp:rsid wsp:val=&quot;7A3B3EC6&quot;/&gt;&lt;wsp:rsid wsp:val=&quot;7A3C3932&quot;/&gt;&lt;wsp:rsid wsp:val=&quot;7A3C7DD6&quot;/&gt;&lt;wsp:rsid wsp:val=&quot;7A3D1AF3&quot;/&gt;&lt;wsp:rsid wsp:val=&quot;7A3E58FC&quot;/&gt;&lt;wsp:rsid wsp:val=&quot;7A3E76AA&quot;/&gt;&lt;wsp:rsid wsp:val=&quot;7A401675&quot;/&gt;&lt;wsp:rsid wsp:val=&quot;7A41363F&quot;/&gt;&lt;wsp:rsid wsp:val=&quot;7A431E76&quot;/&gt;&lt;wsp:rsid wsp:val=&quot;7A456C8B&quot;/&gt;&lt;wsp:rsid wsp:val=&quot;7A462A03&quot;/&gt;&lt;wsp:rsid wsp:val=&quot;7A4A24F3&quot;/&gt;&lt;wsp:rsid wsp:val=&quot;7A4B0019&quot;/&gt;&lt;wsp:rsid wsp:val=&quot;7A4D3D91&quot;/&gt;&lt;wsp:rsid wsp:val=&quot;7A4E1337&quot;/&gt;&lt;wsp:rsid wsp:val=&quot;7A4F18B8&quot;/&gt;&lt;wsp:rsid wsp:val=&quot;7A505630&quot;/&gt;&lt;wsp:rsid wsp:val=&quot;7A5213A8&quot;/&gt;&lt;wsp:rsid wsp:val=&quot;7A5275FA&quot;/&gt;&lt;wsp:rsid wsp:val=&quot;7A540C7C&quot;/&gt;&lt;wsp:rsid wsp:val=&quot;7A545120&quot;/&gt;&lt;wsp:rsid wsp:val=&quot;7A56120A&quot;/&gt;&lt;wsp:rsid wsp:val=&quot;7A564142&quot;/&gt;&lt;wsp:rsid wsp:val=&quot;7A57269A&quot;/&gt;&lt;wsp:rsid wsp:val=&quot;7A5769BE&quot;/&gt;&lt;wsp:rsid wsp:val=&quot;7A594FBA&quot;/&gt;&lt;wsp:rsid wsp:val=&quot;7A5B64AE&quot;/&gt;&lt;wsp:rsid wsp:val=&quot;7A5C3FD5&quot;/&gt;&lt;wsp:rsid wsp:val=&quot;7A5C507C&quot;/&gt;&lt;wsp:rsid wsp:val=&quot;7A5C5D83&quot;/&gt;&lt;wsp:rsid wsp:val=&quot;7A5E5F9F&quot;/&gt;&lt;wsp:rsid wsp:val=&quot;7A603AC5&quot;/&gt;&lt;wsp:rsid wsp:val=&quot;7A61076D&quot;/&gt;&lt;wsp:rsid wsp:val=&quot;7A6115EB&quot;/&gt;&lt;wsp:rsid wsp:val=&quot;7A61783D&quot;/&gt;&lt;wsp:rsid wsp:val=&quot;7A623539&quot;/&gt;&lt;wsp:rsid wsp:val=&quot;7A627ABF&quot;/&gt;&lt;wsp:rsid wsp:val=&quot;7A635363&quot;/&gt;&lt;wsp:rsid wsp:val=&quot;7A637111&quot;/&gt;&lt;wsp:rsid wsp:val=&quot;7A655361&quot;/&gt;&lt;wsp:rsid wsp:val=&quot;7A6730A5&quot;/&gt;&lt;wsp:rsid wsp:val=&quot;7A68361F&quot;/&gt;&lt;wsp:rsid wsp:val=&quot;7A697680&quot;/&gt;&lt;wsp:rsid wsp:val=&quot;7A6B4218&quot;/&gt;&lt;wsp:rsid wsp:val=&quot;7A6E07E5&quot;/&gt;&lt;wsp:rsid wsp:val=&quot;7A6F1F5A&quot;/&gt;&lt;wsp:rsid wsp:val=&quot;7A6F34F2&quot;/&gt;&lt;wsp:rsid wsp:val=&quot;7A7237F8&quot;/&gt;&lt;wsp:rsid wsp:val=&quot;7A731BC2&quot;/&gt;&lt;wsp:rsid wsp:val=&quot;7A74131E&quot;/&gt;&lt;wsp:rsid wsp:val=&quot;7A747570&quot;/&gt;&lt;wsp:rsid wsp:val=&quot;7A770E0E&quot;/&gt;&lt;wsp:rsid wsp:val=&quot;7A772BBC&quot;/&gt;&lt;wsp:rsid wsp:val=&quot;7A773114&quot;/&gt;&lt;wsp:rsid wsp:val=&quot;7A792DD8&quot;/&gt;&lt;wsp:rsid wsp:val=&quot;7A795A34&quot;/&gt;&lt;wsp:rsid wsp:val=&quot;7A796935&quot;/&gt;&lt;wsp:rsid wsp:val=&quot;7A7E03EF&quot;/&gt;&lt;wsp:rsid wsp:val=&quot;7A7F0704&quot;/&gt;&lt;wsp:rsid wsp:val=&quot;7A7F1A71&quot;/&gt;&lt;wsp:rsid wsp:val=&quot;7A804167&quot;/&gt;&lt;wsp:rsid wsp:val=&quot;7A8265E1&quot;/&gt;&lt;wsp:rsid wsp:val=&quot;7A831561&quot;/&gt;&lt;wsp:rsid wsp:val=&quot;7A8349DB&quot;/&gt;&lt;wsp:rsid wsp:val=&quot;7A8377B3&quot;/&gt;&lt;wsp:rsid wsp:val=&quot;7A862E00&quot;/&gt;&lt;wsp:rsid wsp:val=&quot;7A877DFD&quot;/&gt;&lt;wsp:rsid wsp:val=&quot;7A88414E&quot;/&gt;&lt;wsp:rsid wsp:val=&quot;7A884DCA&quot;/&gt;&lt;wsp:rsid wsp:val=&quot;7A8A28F0&quot;/&gt;&lt;wsp:rsid wsp:val=&quot;7A8B158A&quot;/&gt;&lt;wsp:rsid wsp:val=&quot;7A8D211A&quot;/&gt;&lt;wsp:rsid wsp:val=&quot;7A8E7600&quot;/&gt;&lt;wsp:rsid wsp:val=&quot;7A923C54&quot;/&gt;&lt;wsp:rsid wsp:val=&quot;7A923E9A&quot;/&gt;&lt;wsp:rsid wsp:val=&quot;7A9279F6&quot;/&gt;&lt;wsp:rsid wsp:val=&quot;7A9419C0&quot;/&gt;&lt;wsp:rsid wsp:val=&quot;7A943D7D&quot;/&gt;&lt;wsp:rsid wsp:val=&quot;7A957BAE&quot;/&gt;&lt;wsp:rsid wsp:val=&quot;7A97325F&quot;/&gt;&lt;wsp:rsid wsp:val=&quot;7A9A51C6&quot;/&gt;&lt;wsp:rsid wsp:val=&quot;7A9B2D4F&quot;/&gt;&lt;wsp:rsid wsp:val=&quot;7A9D6AC7&quot;/&gt;&lt;wsp:rsid wsp:val=&quot;7A9F594C&quot;/&gt;&lt;wsp:rsid wsp:val=&quot;7AA03EC1&quot;/&gt;&lt;wsp:rsid wsp:val=&quot;7AA15E8B&quot;/&gt;&lt;wsp:rsid wsp:val=&quot;7AA17C39&quot;/&gt;&lt;wsp:rsid wsp:val=&quot;7AA41A6E&quot;/&gt;&lt;wsp:rsid wsp:val=&quot;7AA5772A&quot;/&gt;&lt;wsp:rsid wsp:val=&quot;7AA877CA&quot;/&gt;&lt;wsp:rsid wsp:val=&quot;7AAB0B58&quot;/&gt;&lt;wsp:rsid wsp:val=&quot;7AAB33B9&quot;/&gt;&lt;wsp:rsid wsp:val=&quot;7AAC0AB8&quot;/&gt;&lt;wsp:rsid wsp:val=&quot;7AAC2004&quot;/&gt;&lt;wsp:rsid wsp:val=&quot;7AAC3494&quot;/&gt;&lt;wsp:rsid wsp:val=&quot;7AAC4F5C&quot;/&gt;&lt;wsp:rsid wsp:val=&quot;7AAD21E0&quot;/&gt;&lt;wsp:rsid wsp:val=&quot;7AAD65DE&quot;/&gt;&lt;wsp:rsid wsp:val=&quot;7AB12572&quot;/&gt;&lt;wsp:rsid wsp:val=&quot;7AB2554D&quot;/&gt;&lt;wsp:rsid wsp:val=&quot;7AB61937&quot;/&gt;&lt;wsp:rsid wsp:val=&quot;7AB65C87&quot;/&gt;&lt;wsp:rsid wsp:val=&quot;7AB91427&quot;/&gt;&lt;wsp:rsid wsp:val=&quot;7AB931D5&quot;/&gt;&lt;wsp:rsid wsp:val=&quot;7AB94F83&quot;/&gt;&lt;wsp:rsid wsp:val=&quot;7ABA4357&quot;/&gt;&lt;wsp:rsid wsp:val=&quot;7ABB0CFB&quot;/&gt;&lt;wsp:rsid wsp:val=&quot;7ABB4C43&quot;/&gt;&lt;wsp:rsid wsp:val=&quot;7ABB519F&quot;/&gt;&lt;wsp:rsid wsp:val=&quot;7ABC1261&quot;/&gt;&lt;wsp:rsid wsp:val=&quot;7ABC4A73&quot;/&gt;&lt;wsp:rsid wsp:val=&quot;7ABD2CC5&quot;/&gt;&lt;wsp:rsid wsp:val=&quot;7ABE2599&quot;/&gt;&lt;wsp:rsid wsp:val=&quot;7AC04563&quot;/&gt;&lt;wsp:rsid wsp:val=&quot;7AC2422A&quot;/&gt;&lt;wsp:rsid wsp:val=&quot;7AC2652D&quot;/&gt;&lt;wsp:rsid wsp:val=&quot;7AC35E02&quot;/&gt;&lt;wsp:rsid wsp:val=&quot;7AC37551&quot;/&gt;&lt;wsp:rsid wsp:val=&quot;7AC51B7A&quot;/&gt;&lt;wsp:rsid wsp:val=&quot;7AC5601E&quot;/&gt;&lt;wsp:rsid wsp:val=&quot;7AC676A0&quot;/&gt;&lt;wsp:rsid wsp:val=&quot;7AC94AB2&quot;/&gt;&lt;wsp:rsid wsp:val=&quot;7AC97B81&quot;/&gt;&lt;wsp:rsid wsp:val=&quot;7ACA53E2&quot;/&gt;&lt;wsp:rsid wsp:val=&quot;7ACB00AE&quot;/&gt;&lt;wsp:rsid wsp:val=&quot;7ACB52DC&quot;/&gt;&lt;wsp:rsid wsp:val=&quot;7ACC2F08&quot;/&gt;&lt;wsp:rsid wsp:val=&quot;7ACC75D7&quot;/&gt;&lt;wsp:rsid wsp:val=&quot;7ACE0067&quot;/&gt;&lt;wsp:rsid wsp:val=&quot;7ACE4ED2&quot;/&gt;&lt;wsp:rsid wsp:val=&quot;7AD03284&quot;/&gt;&lt;wsp:rsid wsp:val=&quot;7AD1051F&quot;/&gt;&lt;wsp:rsid wsp:val=&quot;7AD149C3&quot;/&gt;&lt;wsp:rsid wsp:val=&quot;7AD3164A&quot;/&gt;&lt;wsp:rsid wsp:val=&quot;7AD449B5&quot;/&gt;&lt;wsp:rsid wsp:val=&quot;7AD63B30&quot;/&gt;&lt;wsp:rsid wsp:val=&quot;7AD710E4&quot;/&gt;&lt;wsp:rsid wsp:val=&quot;7AD72F66&quot;/&gt;&lt;wsp:rsid wsp:val=&quot;7AD74DE8&quot;/&gt;&lt;wsp:rsid wsp:val=&quot;7AD973D3&quot;/&gt;&lt;wsp:rsid wsp:val=&quot;7ADB139D&quot;/&gt;&lt;wsp:rsid wsp:val=&quot;7ADB7D95&quot;/&gt;&lt;wsp:rsid wsp:val=&quot;7ADC6EC3&quot;/&gt;&lt;wsp:rsid wsp:val=&quot;7ADE6238&quot;/&gt;&lt;wsp:rsid wsp:val=&quot;7AE00762&quot;/&gt;&lt;wsp:rsid wsp:val=&quot;7AE03DFA&quot;/&gt;&lt;wsp:rsid wsp:val=&quot;7AE04C06&quot;/&gt;&lt;wsp:rsid wsp:val=&quot;7AE069B4&quot;/&gt;&lt;wsp:rsid wsp:val=&quot;7AE2097E&quot;/&gt;&lt;wsp:rsid wsp:val=&quot;7AE244DA&quot;/&gt;&lt;wsp:rsid wsp:val=&quot;7AE446F6&quot;/&gt;&lt;wsp:rsid wsp:val=&quot;7AE5221C&quot;/&gt;&lt;wsp:rsid wsp:val=&quot;7AE53337&quot;/&gt;&lt;wsp:rsid wsp:val=&quot;7AE55D78&quot;/&gt;&lt;wsp:rsid wsp:val=&quot;7AE61EF5&quot;/&gt;&lt;wsp:rsid wsp:val=&quot;7AE66FA7&quot;/&gt;&lt;wsp:rsid wsp:val=&quot;7AE77D42&quot;/&gt;&lt;wsp:rsid wsp:val=&quot;7AE85868&quot;/&gt;&lt;wsp:rsid wsp:val=&quot;7AE91D0C&quot;/&gt;&lt;wsp:rsid wsp:val=&quot;7AE91FA6&quot;/&gt;&lt;wsp:rsid wsp:val=&quot;7AEA7832&quot;/&gt;&lt;wsp:rsid wsp:val=&quot;7AEC5358&quot;/&gt;&lt;wsp:rsid wsp:val=&quot;7AED2E7F&quot;/&gt;&lt;wsp:rsid wsp:val=&quot;7AEF309B&quot;/&gt;&lt;wsp:rsid wsp:val=&quot;7AEF6BF7&quot;/&gt;&lt;wsp:rsid wsp:val=&quot;7AF1471D&quot;/&gt;&lt;wsp:rsid wsp:val=&quot;7AF216B7&quot;/&gt;&lt;wsp:rsid wsp:val=&quot;7AF406B1&quot;/&gt;&lt;wsp:rsid wsp:val=&quot;7AF4245F&quot;/&gt;&lt;wsp:rsid wsp:val=&quot;7AF43FB8&quot;/&gt;&lt;wsp:rsid wsp:val=&quot;7AF75AAB&quot;/&gt;&lt;wsp:rsid wsp:val=&quot;7AF81F4F&quot;/&gt;&lt;wsp:rsid wsp:val=&quot;7AF91823&quot;/&gt;&lt;wsp:rsid wsp:val=&quot;7AF95CC7&quot;/&gt;&lt;wsp:rsid wsp:val=&quot;7AF97A75&quot;/&gt;&lt;wsp:rsid wsp:val=&quot;7AFB2C7A&quot;/&gt;&lt;wsp:rsid wsp:val=&quot;7AFB37ED&quot;/&gt;&lt;wsp:rsid wsp:val=&quot;7AFD1314&quot;/&gt;&lt;wsp:rsid wsp:val=&quot;7B000E04&quot;/&gt;&lt;wsp:rsid wsp:val=&quot;7B007056&quot;/&gt;&lt;wsp:rsid wsp:val=&quot;7B02692A&quot;/&gt;&lt;wsp:rsid wsp:val=&quot;7B030BB8&quot;/&gt;&lt;wsp:rsid wsp:val=&quot;7B046B46&quot;/&gt;&lt;wsp:rsid wsp:val=&quot;7B0501C8&quot;/&gt;&lt;wsp:rsid wsp:val=&quot;7B05466C&quot;/&gt;&lt;wsp:rsid wsp:val=&quot;7B05641A&quot;/&gt;&lt;wsp:rsid wsp:val=&quot;7B056CAC&quot;/&gt;&lt;wsp:rsid wsp:val=&quot;7B0570B5&quot;/&gt;&lt;wsp:rsid wsp:val=&quot;7B0614CE&quot;/&gt;&lt;wsp:rsid wsp:val=&quot;7B090C39&quot;/&gt;&lt;wsp:rsid wsp:val=&quot;7B0A28DC&quot;/&gt;&lt;wsp:rsid wsp:val=&quot;7B0C59FB&quot;/&gt;&lt;wsp:rsid wsp:val=&quot;7B0F54EB&quot;/&gt;&lt;wsp:rsid wsp:val=&quot;7B113011&quot;/&gt;&lt;wsp:rsid wsp:val=&quot;7B114DBF&quot;/&gt;&lt;wsp:rsid wsp:val=&quot;7B116B6D&quot;/&gt;&lt;wsp:rsid wsp:val=&quot;7B1211B1&quot;/&gt;&lt;wsp:rsid wsp:val=&quot;7B1448AF&quot;/&gt;&lt;wsp:rsid wsp:val=&quot;7B14665D&quot;/&gt;&lt;wsp:rsid wsp:val=&quot;7B160FC2&quot;/&gt;&lt;wsp:rsid wsp:val=&quot;7B164183&quot;/&gt;&lt;wsp:rsid wsp:val=&quot;7B166879&quot;/&gt;&lt;wsp:rsid wsp:val=&quot;7B197943&quot;/&gt;&lt;wsp:rsid wsp:val=&quot;7B1A0118&quot;/&gt;&lt;wsp:rsid wsp:val=&quot;7B1B3E90&quot;/&gt;&lt;wsp:rsid wsp:val=&quot;7B1C4E34&quot;/&gt;&lt;wsp:rsid wsp:val=&quot;7B1D03F0&quot;/&gt;&lt;wsp:rsid wsp:val=&quot;7B1D19B6&quot;/&gt;&lt;wsp:rsid wsp:val=&quot;7B1E74DC&quot;/&gt;&lt;wsp:rsid wsp:val=&quot;7B1F572E&quot;/&gt;&lt;wsp:rsid wsp:val=&quot;7B203254&quot;/&gt;&lt;wsp:rsid wsp:val=&quot;7B211776&quot;/&gt;&lt;wsp:rsid wsp:val=&quot;7B234AF2&quot;/&gt;&lt;wsp:rsid wsp:val=&quot;7B241E85&quot;/&gt;&lt;wsp:rsid wsp:val=&quot;7B25086A&quot;/&gt;&lt;wsp:rsid wsp:val=&quot;7B2508E0&quot;/&gt;&lt;wsp:rsid wsp:val=&quot;7B256ABC&quot;/&gt;&lt;wsp:rsid wsp:val=&quot;7B272834&quot;/&gt;&lt;wsp:rsid wsp:val=&quot;7B2766DE&quot;/&gt;&lt;wsp:rsid wsp:val=&quot;7B276DA3&quot;/&gt;&lt;wsp:rsid wsp:val=&quot;7B2809C3&quot;/&gt;&lt;wsp:rsid wsp:val=&quot;7B2965AD&quot;/&gt;&lt;wsp:rsid wsp:val=&quot;7B2A5E81&quot;/&gt;&lt;wsp:rsid wsp:val=&quot;7B2A7C2F&quot;/&gt;&lt;wsp:rsid wsp:val=&quot;7B2F16E9&quot;/&gt;&lt;wsp:rsid wsp:val=&quot;7B2F3497&quot;/&gt;&lt;wsp:rsid wsp:val=&quot;7B310FBD&quot;/&gt;&lt;wsp:rsid wsp:val=&quot;7B31720F&quot;/&gt;&lt;wsp:rsid wsp:val=&quot;7B340AAD&quot;/&gt;&lt;wsp:rsid wsp:val=&quot;7B34197A&quot;/&gt;&lt;wsp:rsid wsp:val=&quot;7B346CFF&quot;/&gt;&lt;wsp:rsid wsp:val=&quot;7B3665D4&quot;/&gt;&lt;wsp:rsid wsp:val=&quot;7B38234C&quot;/&gt;&lt;wsp:rsid wsp:val=&quot;7B3A2568&quot;/&gt;&lt;wsp:rsid wsp:val=&quot;7B3A4316&quot;/&gt;&lt;wsp:rsid wsp:val=&quot;7B3D5BB4&quot;/&gt;&lt;wsp:rsid wsp:val=&quot;7B3F6A8D&quot;/&gt;&lt;wsp:rsid wsp:val=&quot;7B407452&quot;/&gt;&lt;wsp:rsid wsp:val=&quot;7B420EAF&quot;/&gt;&lt;wsp:rsid wsp:val=&quot;7B42540E&quot;/&gt;&lt;wsp:rsid wsp:val=&quot;7B427D7A&quot;/&gt;&lt;wsp:rsid wsp:val=&quot;7B430CF1&quot;/&gt;&lt;wsp:rsid wsp:val=&quot;7B451DEC&quot;/&gt;&lt;wsp:rsid wsp:val=&quot;7B454A69&quot;/&gt;&lt;wsp:rsid wsp:val=&quot;7B4707E1&quot;/&gt;&lt;wsp:rsid wsp:val=&quot;7B474C85&quot;/&gt;&lt;wsp:rsid wsp:val=&quot;7B4909FD&quot;/&gt;&lt;wsp:rsid wsp:val=&quot;7B4A207F&quot;/&gt;&lt;wsp:rsid wsp:val=&quot;7B4E05AB&quot;/&gt;&lt;wsp:rsid wsp:val=&quot;7B4E7DC1&quot;/&gt;&lt;wsp:rsid wsp:val=&quot;7B503B39&quot;/&gt;&lt;wsp:rsid wsp:val=&quot;7B542EFE&quot;/&gt;&lt;wsp:rsid wsp:val=&quot;7B5443C8&quot;/&gt;&lt;wsp:rsid wsp:val=&quot;7B551150&quot;/&gt;&lt;wsp:rsid wsp:val=&quot;7B567BE1&quot;/&gt;&lt;wsp:rsid wsp:val=&quot;7B5761A4&quot;/&gt;&lt;wsp:rsid wsp:val=&quot;7B5A6766&quot;/&gt;&lt;wsp:rsid wsp:val=&quot;7B5B0730&quot;/&gt;&lt;wsp:rsid wsp:val=&quot;7B5B603A&quot;/&gt;&lt;wsp:rsid wsp:val=&quot;7B5D6256&quot;/&gt;&lt;wsp:rsid wsp:val=&quot;7B6018A2&quot;/&gt;&lt;wsp:rsid wsp:val=&quot;7B6149EA&quot;/&gt;&lt;wsp:rsid wsp:val=&quot;7B615D46&quot;/&gt;&lt;wsp:rsid wsp:val=&quot;7B641393&quot;/&gt;&lt;wsp:rsid wsp:val=&quot;7B6475E5&quot;/&gt;&lt;wsp:rsid wsp:val=&quot;7B66335D&quot;/&gt;&lt;wsp:rsid wsp:val=&quot;7B670E83&quot;/&gt;&lt;wsp:rsid wsp:val=&quot;7B6770D5&quot;/&gt;&lt;wsp:rsid wsp:val=&quot;7B686D42&quot;/&gt;&lt;wsp:rsid wsp:val=&quot;7B687129&quot;/&gt;&lt;wsp:rsid wsp:val=&quot;7B691CFA&quot;/&gt;&lt;wsp:rsid wsp:val=&quot;7B694BFB&quot;/&gt;&lt;wsp:rsid wsp:val=&quot;7B6969A9&quot;/&gt;&lt;wsp:rsid wsp:val=&quot;7B6A1C3D&quot;/&gt;&lt;wsp:rsid wsp:val=&quot;7B6A44CF&quot;/&gt;&lt;wsp:rsid wsp:val=&quot;7B6B0973&quot;/&gt;&lt;wsp:rsid wsp:val=&quot;7B6C46EB&quot;/&gt;&lt;wsp:rsid wsp:val=&quot;7B6D1DAC&quot;/&gt;&lt;wsp:rsid wsp:val=&quot;7B6E0463&quot;/&gt;&lt;wsp:rsid wsp:val=&quot;7B6E3FBF&quot;/&gt;&lt;wsp:rsid wsp:val=&quot;7B6E5D6D&quot;/&gt;&lt;wsp:rsid wsp:val=&quot;7B711D02&quot;/&gt;&lt;wsp:rsid wsp:val=&quot;7B7315D6&quot;/&gt;&lt;wsp:rsid wsp:val=&quot;7B743FDB&quot;/&gt;&lt;wsp:rsid wsp:val=&quot;7B7535A0&quot;/&gt;&lt;wsp:rsid wsp:val=&quot;7B7A6E08&quot;/&gt;&lt;wsp:rsid wsp:val=&quot;7B7B048A&quot;/&gt;&lt;wsp:rsid wsp:val=&quot;7B7B2B53&quot;/&gt;&lt;wsp:rsid wsp:val=&quot;7B7B7DB6&quot;/&gt;&lt;wsp:rsid wsp:val=&quot;7B7D2454&quot;/&gt;&lt;wsp:rsid wsp:val=&quot;7B7F4F51&quot;/&gt;&lt;wsp:rsid wsp:val=&quot;7B82586C&quot;/&gt;&lt;wsp:rsid wsp:val=&quot;7B841746&quot;/&gt;&lt;wsp:rsid wsp:val=&quot;7B841A35&quot;/&gt;&lt;wsp:rsid wsp:val=&quot;7B857C91&quot;/&gt;&lt;wsp:rsid wsp:val=&quot;7B863F31&quot;/&gt;&lt;wsp:rsid wsp:val=&quot;7B864E6F&quot;/&gt;&lt;wsp:rsid wsp:val=&quot;7B871525&quot;/&gt;&lt;wsp:rsid wsp:val=&quot;7B875283&quot;/&gt;&lt;wsp:rsid wsp:val=&quot;7B885DF9&quot;/&gt;&lt;wsp:rsid wsp:val=&quot;7B890DF9&quot;/&gt;&lt;wsp:rsid wsp:val=&quot;7B892BA7&quot;/&gt;&lt;wsp:rsid wsp:val=&quot;7B8C2698&quot;/&gt;&lt;wsp:rsid wsp:val=&quot;7B8C6B3B&quot;/&gt;&lt;wsp:rsid wsp:val=&quot;7B8D4F30&quot;/&gt;&lt;wsp:rsid wsp:val=&quot;7B8F0435&quot;/&gt;&lt;wsp:rsid wsp:val=&quot;7B8F3F36&quot;/&gt;&lt;wsp:rsid wsp:val=&quot;7B900E48&quot;/&gt;&lt;wsp:rsid wsp:val=&quot;7B936DF3&quot;/&gt;&lt;wsp:rsid wsp:val=&quot;7B950D81&quot;/&gt;&lt;wsp:rsid wsp:val=&quot;7B9559F0&quot;/&gt;&lt;wsp:rsid wsp:val=&quot;7B9652C4&quot;/&gt;&lt;wsp:rsid wsp:val=&quot;7B987833&quot;/&gt;&lt;wsp:rsid wsp:val=&quot;7B997698&quot;/&gt;&lt;wsp:rsid wsp:val=&quot;7B9D2AF7&quot;/&gt;&lt;wsp:rsid wsp:val=&quot;7B9D6653&quot;/&gt;&lt;wsp:rsid wsp:val=&quot;7B9E0939&quot;/&gt;&lt;wsp:rsid wsp:val=&quot;7B9F23CB&quot;/&gt;&lt;wsp:rsid wsp:val=&quot;7BA06143&quot;/&gt;&lt;wsp:rsid wsp:val=&quot;7BA14395&quot;/&gt;&lt;wsp:rsid wsp:val=&quot;7BA21EBB&quot;/&gt;&lt;wsp:rsid wsp:val=&quot;7BA25995&quot;/&gt;&lt;wsp:rsid wsp:val=&quot;7BA45C33&quot;/&gt;&lt;wsp:rsid wsp:val=&quot;7BA774D1&quot;/&gt;&lt;wsp:rsid wsp:val=&quot;7BA9149B&quot;/&gt;&lt;wsp:rsid wsp:val=&quot;7BAB6FC2&quot;/&gt;&lt;wsp:rsid wsp:val=&quot;7BAC2D3A&quot;/&gt;&lt;wsp:rsid wsp:val=&quot;7BAC4AE8&quot;/&gt;&lt;wsp:rsid wsp:val=&quot;7BAD6F9E&quot;/&gt;&lt;wsp:rsid wsp:val=&quot;7BB10350&quot;/&gt;&lt;wsp:rsid wsp:val=&quot;7BB302F8&quot;/&gt;&lt;wsp:rsid wsp:val=&quot;7BB340C8&quot;/&gt;&lt;wsp:rsid wsp:val=&quot;7BB442A0&quot;/&gt;&lt;wsp:rsid wsp:val=&quot;7BB46E71&quot;/&gt;&lt;wsp:rsid wsp:val=&quot;7BB551E1&quot;/&gt;&lt;wsp:rsid wsp:val=&quot;7BB73BB8&quot;/&gt;&lt;wsp:rsid wsp:val=&quot;7BB87930&quot;/&gt;&lt;wsp:rsid wsp:val=&quot;7BBC14BA&quot;/&gt;&lt;wsp:rsid wsp:val=&quot;7BBD3591&quot;/&gt;&lt;wsp:rsid wsp:val=&quot;7BBF2A6D&quot;/&gt;&lt;wsp:rsid wsp:val=&quot;7BBF30A8&quot;/&gt;&lt;wsp:rsid wsp:val=&quot;7BBF481B&quot;/&gt;&lt;wsp:rsid wsp:val=&quot;7BC43D95&quot;/&gt;&lt;wsp:rsid wsp:val=&quot;7BC52CCB&quot;/&gt;&lt;wsp:rsid wsp:val=&quot;7BC6204D&quot;/&gt;&lt;wsp:rsid wsp:val=&quot;7BC65BA9&quot;/&gt;&lt;wsp:rsid wsp:val=&quot;7BC71922&quot;/&gt;&lt;wsp:rsid wsp:val=&quot;7BC938EC&quot;/&gt;&lt;wsp:rsid wsp:val=&quot;7BCC50F8&quot;/&gt;&lt;wsp:rsid wsp:val=&quot;7BD06197&quot;/&gt;&lt;wsp:rsid wsp:val=&quot;7BD209F2&quot;/&gt;&lt;wsp:rsid wsp:val=&quot;7BD227A0&quot;/&gt;&lt;wsp:rsid wsp:val=&quot;7BD52290&quot;/&gt;&lt;wsp:rsid wsp:val=&quot;7BD55DED&quot;/&gt;&lt;wsp:rsid wsp:val=&quot;7BD61B65&quot;/&gt;&lt;wsp:rsid wsp:val=&quot;7BD75A22&quot;/&gt;&lt;wsp:rsid wsp:val=&quot;7BD823A4&quot;/&gt;&lt;wsp:rsid wsp:val=&quot;7BDA1655&quot;/&gt;&lt;wsp:rsid wsp:val=&quot;7BDA3403&quot;/&gt;&lt;wsp:rsid wsp:val=&quot;7BDA78A7&quot;/&gt;&lt;wsp:rsid wsp:val=&quot;7BDC191D&quot;/&gt;&lt;wsp:rsid wsp:val=&quot;7BDD2EF3&quot;/&gt;&lt;wsp:rsid wsp:val=&quot;7BDF0A19&quot;/&gt;&lt;wsp:rsid wsp:val=&quot;7BDF310F&quot;/&gt;&lt;wsp:rsid wsp:val=&quot;7BDF4EBD&quot;/&gt;&lt;wsp:rsid wsp:val=&quot;7BE2675B&quot;/&gt;&lt;wsp:rsid wsp:val=&quot;7BE424D4&quot;/&gt;&lt;wsp:rsid wsp:val=&quot;7BE6624C&quot;/&gt;&lt;wsp:rsid wsp:val=&quot;7BE67FFA&quot;/&gt;&lt;wsp:rsid wsp:val=&quot;7BE91898&quot;/&gt;&lt;wsp:rsid wsp:val=&quot;7BE97AEA&quot;/&gt;&lt;wsp:rsid wsp:val=&quot;7BEA7D4F&quot;/&gt;&lt;wsp:rsid wsp:val=&quot;7BEC1860&quot;/&gt;&lt;wsp:rsid wsp:val=&quot;7BEE7DDE&quot;/&gt;&lt;wsp:rsid wsp:val=&quot;7BF00E78&quot;/&gt;&lt;wsp:rsid wsp:val=&quot;7BF070CA&quot;/&gt;&lt;wsp:rsid wsp:val=&quot;7BF1074D&quot;/&gt;&lt;wsp:rsid wsp:val=&quot;7BF24BF0&quot;/&gt;&lt;wsp:rsid wsp:val=&quot;7BF36B62&quot;/&gt;&lt;wsp:rsid wsp:val=&quot;7BF73FB5&quot;/&gt;&lt;wsp:rsid wsp:val=&quot;7BF81544&quot;/&gt;&lt;wsp:rsid wsp:val=&quot;7BF81ADB&quot;/&gt;&lt;wsp:rsid wsp:val=&quot;7BF85F7F&quot;/&gt;&lt;wsp:rsid wsp:val=&quot;7BF94115&quot;/&gt;&lt;wsp:rsid wsp:val=&quot;7BFA5853&quot;/&gt;&lt;wsp:rsid wsp:val=&quot;7BFB7EC5&quot;/&gt;&lt;wsp:rsid wsp:val=&quot;7BFC781D&quot;/&gt;&lt;wsp:rsid wsp:val=&quot;7BFD3595&quot;/&gt;&lt;wsp:rsid wsp:val=&quot;7BFE412C&quot;/&gt;&lt;wsp:rsid wsp:val=&quot;7BFF10BB&quot;/&gt;&lt;wsp:rsid wsp:val=&quot;7BFF730D&quot;/&gt;&lt;wsp:rsid wsp:val=&quot;7C013085&quot;/&gt;&lt;wsp:rsid wsp:val=&quot;7C01581E&quot;/&gt;&lt;wsp:rsid wsp:val=&quot;7C02295A&quot;/&gt;&lt;wsp:rsid wsp:val=&quot;7C030BAC&quot;/&gt;&lt;wsp:rsid wsp:val=&quot;7C032A6B&quot;/&gt;&lt;wsp:rsid wsp:val=&quot;7C044924&quot;/&gt;&lt;wsp:rsid wsp:val=&quot;7C06244A&quot;/&gt;&lt;wsp:rsid wsp:val=&quot;7C0641F8&quot;/&gt;&lt;wsp:rsid wsp:val=&quot;7C091F3A&quot;/&gt;&lt;wsp:rsid wsp:val=&quot;7C0B7A60&quot;/&gt;&lt;wsp:rsid wsp:val=&quot;7C0D1A2A&quot;/&gt;&lt;wsp:rsid wsp:val=&quot;7C0E18D7&quot;/&gt;&lt;wsp:rsid wsp:val=&quot;7C0E7550&quot;/&gt;&lt;wsp:rsid wsp:val=&quot;7C10151B&quot;/&gt;&lt;wsp:rsid wsp:val=&quot;7C134B67&quot;/&gt;&lt;wsp:rsid wsp:val=&quot;7C1354EF&quot;/&gt;&lt;wsp:rsid wsp:val=&quot;7C142DB9&quot;/&gt;&lt;wsp:rsid wsp:val=&quot;7C15363D&quot;/&gt;&lt;wsp:rsid wsp:val=&quot;7C156B31&quot;/&gt;&lt;wsp:rsid wsp:val=&quot;7C157102&quot;/&gt;&lt;wsp:rsid wsp:val=&quot;7C174657&quot;/&gt;&lt;wsp:rsid wsp:val=&quot;7C18217D&quot;/&gt;&lt;wsp:rsid wsp:val=&quot;7C183F2B&quot;/&gt;&lt;wsp:rsid wsp:val=&quot;7C1903CF&quot;/&gt;&lt;wsp:rsid wsp:val=&quot;7C1F175E&quot;/&gt;&lt;wsp:rsid wsp:val=&quot;7C1F39FE&quot;/&gt;&lt;wsp:rsid wsp:val=&quot;7C1F52BA&quot;/&gt;&lt;wsp:rsid wsp:val=&quot;7C211032&quot;/&gt;&lt;wsp:rsid wsp:val=&quot;7C2154D6&quot;/&gt;&lt;wsp:rsid wsp:val=&quot;7C2171A3&quot;/&gt;&lt;wsp:rsid wsp:val=&quot;7C246653&quot;/&gt;&lt;wsp:rsid wsp:val=&quot;7C262AEC&quot;/&gt;&lt;wsp:rsid wsp:val=&quot;7C296138&quot;/&gt;&lt;wsp:rsid wsp:val=&quot;7C2A2C16&quot;/&gt;&lt;wsp:rsid wsp:val=&quot;7C2B3C5E&quot;/&gt;&lt;wsp:rsid wsp:val=&quot;7C2D3E7B&quot;/&gt;&lt;wsp:rsid wsp:val=&quot;7C2D5C29&quot;/&gt;&lt;wsp:rsid wsp:val=&quot;7C2D79D7&quot;/&gt;&lt;wsp:rsid wsp:val=&quot;7C2E048F&quot;/&gt;&lt;wsp:rsid wsp:val=&quot;7C2E374F&quot;/&gt;&lt;wsp:rsid wsp:val=&quot;7C322B65&quot;/&gt;&lt;wsp:rsid wsp:val=&quot;7C350F81&quot;/&gt;&lt;wsp:rsid wsp:val=&quot;7C354ADD&quot;/&gt;&lt;wsp:rsid wsp:val=&quot;7C370855&quot;/&gt;&lt;wsp:rsid wsp:val=&quot;7C372603&quot;/&gt;&lt;wsp:rsid wsp:val=&quot;7C3945CD&quot;/&gt;&lt;wsp:rsid wsp:val=&quot;7C3A0345&quot;/&gt;&lt;wsp:rsid wsp:val=&quot;7C3C2310&quot;/&gt;&lt;wsp:rsid wsp:val=&quot;7C3C5C2A&quot;/&gt;&lt;wsp:rsid wsp:val=&quot;7C3D07C3&quot;/&gt;&lt;wsp:rsid wsp:val=&quot;7C3E0A71&quot;/&gt;&lt;wsp:rsid wsp:val=&quot;7C3F595C&quot;/&gt;&lt;wsp:rsid wsp:val=&quot;7C4111CA&quot;/&gt;&lt;wsp:rsid wsp:val=&quot;7C417926&quot;/&gt;&lt;wsp:rsid wsp:val=&quot;7C4371FA&quot;/&gt;&lt;wsp:rsid wsp:val=&quot;7C4411C4&quot;/&gt;&lt;wsp:rsid wsp:val=&quot;7C442F72&quot;/&gt;&lt;wsp:rsid wsp:val=&quot;7C457B4B&quot;/&gt;&lt;wsp:rsid wsp:val=&quot;7C460A98&quot;/&gt;&lt;wsp:rsid wsp:val=&quot;7C460FDB&quot;/&gt;&lt;wsp:rsid wsp:val=&quot;7C46568D&quot;/&gt;&lt;wsp:rsid wsp:val=&quot;7C484810&quot;/&gt;&lt;wsp:rsid wsp:val=&quot;7C4B2553&quot;/&gt;&lt;wsp:rsid wsp:val=&quot;7C4B4301&quot;/&gt;&lt;wsp:rsid wsp:val=&quot;7C4B60AF&quot;/&gt;&lt;wsp:rsid wsp:val=&quot;7C4D323B&quot;/&gt;&lt;wsp:rsid wsp:val=&quot;7C4E5B9F&quot;/&gt;&lt;wsp:rsid wsp:val=&quot;7C4F2043&quot;/&gt;&lt;wsp:rsid wsp:val=&quot;7C5036C5&quot;/&gt;&lt;wsp:rsid wsp:val=&quot;7C5238E1&quot;/&gt;&lt;wsp:rsid wsp:val=&quot;7C525607&quot;/&gt;&lt;wsp:rsid wsp:val=&quot;7C5331B5&quot;/&gt;&lt;wsp:rsid wsp:val=&quot;7C55517F&quot;/&gt;&lt;wsp:rsid wsp:val=&quot;7C570EF7&quot;/&gt;&lt;wsp:rsid wsp:val=&quot;7C590215&quot;/&gt;&lt;wsp:rsid wsp:val=&quot;7C5A2796&quot;/&gt;&lt;wsp:rsid wsp:val=&quot;7C5A4544&quot;/&gt;&lt;wsp:rsid wsp:val=&quot;7C5B09E8&quot;/&gt;&lt;wsp:rsid wsp:val=&quot;7C5E4034&quot;/&gt;&lt;wsp:rsid wsp:val=&quot;7C5F1B5A&quot;/&gt;&lt;wsp:rsid wsp:val=&quot;7C5F1B82&quot;/&gt;&lt;wsp:rsid wsp:val=&quot;7C601079&quot;/&gt;&lt;wsp:rsid wsp:val=&quot;7C605FFE&quot;/&gt;&lt;wsp:rsid wsp:val=&quot;7C617073&quot;/&gt;&lt;wsp:rsid wsp:val=&quot;7C63164A&quot;/&gt;&lt;wsp:rsid wsp:val=&quot;7C6333F8&quot;/&gt;&lt;wsp:rsid wsp:val=&quot;7C6453C2&quot;/&gt;&lt;wsp:rsid wsp:val=&quot;7C66113B&quot;/&gt;&lt;wsp:rsid wsp:val=&quot;7C684EB3&quot;/&gt;&lt;wsp:rsid wsp:val=&quot;7C6B04FF&quot;/&gt;&lt;wsp:rsid wsp:val=&quot;7C6B5616&quot;/&gt;&lt;wsp:rsid wsp:val=&quot;7C6B6751&quot;/&gt;&lt;wsp:rsid wsp:val=&quot;7C6B7A54&quot;/&gt;&lt;wsp:rsid wsp:val=&quot;7C6C5AC7&quot;/&gt;&lt;wsp:rsid wsp:val=&quot;7C6D007A&quot;/&gt;&lt;wsp:rsid wsp:val=&quot;7C6D4277&quot;/&gt;&lt;wsp:rsid wsp:val=&quot;7C6D5616&quot;/&gt;&lt;wsp:rsid wsp:val=&quot;7C6D5F2E&quot;/&gt;&lt;wsp:rsid wsp:val=&quot;7C701FB9&quot;/&gt;&lt;wsp:rsid wsp:val=&quot;7C7056D8&quot;/&gt;&lt;wsp:rsid wsp:val=&quot;7C705B15&quot;/&gt;&lt;wsp:rsid wsp:val=&quot;7C75312C&quot;/&gt;&lt;wsp:rsid wsp:val=&quot;7C7553A2&quot;/&gt;&lt;wsp:rsid wsp:val=&quot;7C7554E9&quot;/&gt;&lt;wsp:rsid wsp:val=&quot;7C7575D0&quot;/&gt;&lt;wsp:rsid wsp:val=&quot;7C765821&quot;/&gt;&lt;wsp:rsid wsp:val=&quot;7C790E6E&quot;/&gt;&lt;wsp:rsid wsp:val=&quot;7C7A4BE6&quot;/&gt;&lt;wsp:rsid wsp:val=&quot;7C7E0232&quot;/&gt;&lt;wsp:rsid wsp:val=&quot;7C7E1AF1&quot;/&gt;&lt;wsp:rsid wsp:val=&quot;7C7F66B9&quot;/&gt;&lt;wsp:rsid wsp:val=&quot;7C80044E&quot;/&gt;&lt;wsp:rsid wsp:val=&quot;7C8021FC&quot;/&gt;&lt;wsp:rsid wsp:val=&quot;7C817D22&quot;/&gt;&lt;wsp:rsid wsp:val=&quot;7C831CEC&quot;/&gt;&lt;wsp:rsid wsp:val=&quot;7C833A9B&quot;/&gt;&lt;wsp:rsid wsp:val=&quot;7C887303&quot;/&gt;&lt;wsp:rsid wsp:val=&quot;7C8A0E4F&quot;/&gt;&lt;wsp:rsid wsp:val=&quot;7C8B6DF3&quot;/&gt;&lt;wsp:rsid wsp:val=&quot;7C8C67B6&quot;/&gt;&lt;wsp:rsid wsp:val=&quot;7C8D2B6B&quot;/&gt;&lt;wsp:rsid wsp:val=&quot;7C8E41ED&quot;/&gt;&lt;wsp:rsid wsp:val=&quot;7C8F243F&quot;/&gt;&lt;wsp:rsid wsp:val=&quot;7C9061B7&quot;/&gt;&lt;wsp:rsid wsp:val=&quot;7C94199E&quot;/&gt;&lt;wsp:rsid wsp:val=&quot;7C947A56&quot;/&gt;&lt;wsp:rsid wsp:val=&quot;7C9712F4&quot;/&gt;&lt;wsp:rsid wsp:val=&quot;7C975798&quot;/&gt;&lt;wsp:rsid wsp:val=&quot;7C977546&quot;/&gt;&lt;wsp:rsid wsp:val=&quot;7C9960B9&quot;/&gt;&lt;wsp:rsid wsp:val=&quot;7C997985&quot;/&gt;&lt;wsp:rsid wsp:val=&quot;7C9B5288&quot;/&gt;&lt;wsp:rsid wsp:val=&quot;7C9C2DAE&quot;/&gt;&lt;wsp:rsid wsp:val=&quot;7C9C65D2&quot;/&gt;&lt;wsp:rsid wsp:val=&quot;7C9D1B23&quot;/&gt;&lt;wsp:rsid wsp:val=&quot;7C9E6B26&quot;/&gt;&lt;wsp:rsid wsp:val=&quot;7CA12173&quot;/&gt;&lt;wsp:rsid wsp:val=&quot;7CA3413D&quot;/&gt;&lt;wsp:rsid wsp:val=&quot;7CA36E25&quot;/&gt;&lt;wsp:rsid wsp:val=&quot;7CA419F6&quot;/&gt;&lt;wsp:rsid wsp:val=&quot;7CA51C63&quot;/&gt;&lt;wsp:rsid wsp:val=&quot;7CA67789&quot;/&gt;&lt;wsp:rsid wsp:val=&quot;7CA73C2D&quot;/&gt;&lt;wsp:rsid wsp:val=&quot;7CAA54CB&quot;/&gt;&lt;wsp:rsid wsp:val=&quot;7CAB16E6&quot;/&gt;&lt;wsp:rsid wsp:val=&quot;7CAB2FF1&quot;/&gt;&lt;wsp:rsid wsp:val=&quot;7CAB4D9F&quot;/&gt;&lt;wsp:rsid wsp:val=&quot;7CAE58D3&quot;/&gt;&lt;wsp:rsid wsp:val=&quot;7CAE62A4&quot;/&gt;&lt;wsp:rsid wsp:val=&quot;7CB1685A&quot;/&gt;&lt;wsp:rsid wsp:val=&quot;7CB24380&quot;/&gt;&lt;wsp:rsid wsp:val=&quot;7CB2612E&quot;/&gt;&lt;wsp:rsid wsp:val=&quot;7CB414EB&quot;/&gt;&lt;wsp:rsid wsp:val=&quot;7CB443E4&quot;/&gt;&lt;wsp:rsid wsp:val=&quot;7CB52486&quot;/&gt;&lt;wsp:rsid wsp:val=&quot;7CB63E70&quot;/&gt;&lt;wsp:rsid wsp:val=&quot;7CB73744&quot;/&gt;&lt;wsp:rsid wsp:val=&quot;7CB93960&quot;/&gt;&lt;wsp:rsid wsp:val=&quot;7CB9570E&quot;/&gt;&lt;wsp:rsid wsp:val=&quot;7CB97A54&quot;/&gt;&lt;wsp:rsid wsp:val=&quot;7CBA26A7&quot;/&gt;&lt;wsp:rsid wsp:val=&quot;7CBA32DC&quot;/&gt;&lt;wsp:rsid wsp:val=&quot;7CBA4FE2&quot;/&gt;&lt;wsp:rsid wsp:val=&quot;7CBA733C&quot;/&gt;&lt;wsp:rsid wsp:val=&quot;7CBB1486&quot;/&gt;&lt;wsp:rsid wsp:val=&quot;7CBB3234&quot;/&gt;&lt;wsp:rsid wsp:val=&quot;7CBC110D&quot;/&gt;&lt;wsp:rsid wsp:val=&quot;7CBC51FE&quot;/&gt;&lt;wsp:rsid wsp:val=&quot;7CBC6FAC&quot;/&gt;&lt;wsp:rsid wsp:val=&quot;7CC04CEF&quot;/&gt;&lt;wsp:rsid wsp:val=&quot;7CC06A9D&quot;/&gt;&lt;wsp:rsid wsp:val=&quot;7CC174D4&quot;/&gt;&lt;wsp:rsid wsp:val=&quot;7CC3658D&quot;/&gt;&lt;wsp:rsid wsp:val=&quot;7CC61BD9&quot;/&gt;&lt;wsp:rsid wsp:val=&quot;7CC6544B&quot;/&gt;&lt;wsp:rsid wsp:val=&quot;7CC77E2B&quot;/&gt;&lt;wsp:rsid wsp:val=&quot;7CCC3693&quot;/&gt;&lt;wsp:rsid wsp:val=&quot;7CCF6CE0&quot;/&gt;&lt;wsp:rsid wsp:val=&quot;7CD04806&quot;/&gt;&lt;wsp:rsid wsp:val=&quot;7CD10CAA&quot;/&gt;&lt;wsp:rsid wsp:val=&quot;7CD24A22&quot;/&gt;&lt;wsp:rsid wsp:val=&quot;7CD41612&quot;/&gt;&lt;wsp:rsid wsp:val=&quot;7CD460A4&quot;/&gt;&lt;wsp:rsid wsp:val=&quot;7CD46F1F&quot;/&gt;&lt;wsp:rsid wsp:val=&quot;7CD56132&quot;/&gt;&lt;wsp:rsid wsp:val=&quot;7CD6079C&quot;/&gt;&lt;wsp:rsid wsp:val=&quot;7CDA0507&quot;/&gt;&lt;wsp:rsid wsp:val=&quot;7CDB38D7&quot;/&gt;&lt;wsp:rsid wsp:val=&quot;7CDB7433&quot;/&gt;&lt;wsp:rsid wsp:val=&quot;7CDB7F75&quot;/&gt;&lt;wsp:rsid wsp:val=&quot;7CDD764F&quot;/&gt;&lt;wsp:rsid wsp:val=&quot;7CDE0A96&quot;/&gt;&lt;wsp:rsid wsp:val=&quot;7CDE5175&quot;/&gt;&lt;wsp:rsid wsp:val=&quot;7CDF5BE8&quot;/&gt;&lt;wsp:rsid wsp:val=&quot;7CE00EED&quot;/&gt;&lt;wsp:rsid wsp:val=&quot;7CE10508&quot;/&gt;&lt;wsp:rsid wsp:val=&quot;7CE3278B&quot;/&gt;&lt;wsp:rsid wsp:val=&quot;7CE36A7B&quot;/&gt;&lt;wsp:rsid wsp:val=&quot;7CE64029&quot;/&gt;&lt;wsp:rsid wsp:val=&quot;7CE65DD7&quot;/&gt;&lt;wsp:rsid wsp:val=&quot;7CE7227B&quot;/&gt;&lt;wsp:rsid wsp:val=&quot;7CE81B50&quot;/&gt;&lt;wsp:rsid wsp:val=&quot;7CE87DA1&quot;/&gt;&lt;wsp:rsid wsp:val=&quot;7CEA3B1A&quot;/&gt;&lt;wsp:rsid wsp:val=&quot;7CEA58C8&quot;/&gt;&lt;wsp:rsid wsp:val=&quot;7CEC1640&quot;/&gt;&lt;wsp:rsid wsp:val=&quot;7CED360A&quot;/&gt;&lt;wsp:rsid wsp:val=&quot;7CED3947&quot;/&gt;&lt;wsp:rsid wsp:val=&quot;7CED53B8&quot;/&gt;&lt;wsp:rsid wsp:val=&quot;7CED670E&quot;/&gt;&lt;wsp:rsid wsp:val=&quot;7CED6AAB&quot;/&gt;&lt;wsp:rsid wsp:val=&quot;7CEF7382&quot;/&gt;&lt;wsp:rsid wsp:val=&quot;7CF013CC&quot;/&gt;&lt;wsp:rsid wsp:val=&quot;7CF16C56&quot;/&gt;&lt;wsp:rsid wsp:val=&quot;7CF229CE&quot;/&gt;&lt;wsp:rsid wsp:val=&quot;7CF36E72&quot;/&gt;&lt;wsp:rsid wsp:val=&quot;7CF44998&quot;/&gt;&lt;wsp:rsid wsp:val=&quot;7CF6426C&quot;/&gt;&lt;wsp:rsid wsp:val=&quot;7CF7337E&quot;/&gt;&lt;wsp:rsid wsp:val=&quot;7CF77FE5&quot;/&gt;&lt;wsp:rsid wsp:val=&quot;7CF8424B&quot;/&gt;&lt;wsp:rsid wsp:val=&quot;7CF90201&quot;/&gt;&lt;wsp:rsid wsp:val=&quot;7CF9504E&quot;/&gt;&lt;wsp:rsid wsp:val=&quot;7CFB6428&quot;/&gt;&lt;wsp:rsid wsp:val=&quot;7CFD1A9F&quot;/&gt;&lt;wsp:rsid wsp:val=&quot;7CFD384D&quot;/&gt;&lt;wsp:rsid wsp:val=&quot;7CFE75C5&quot;/&gt;&lt;wsp:rsid wsp:val=&quot;7D0050EB&quot;/&gt;&lt;wsp:rsid wsp:val=&quot;7D016B7E&quot;/&gt;&lt;wsp:rsid wsp:val=&quot;7D0239FF&quot;/&gt;&lt;wsp:rsid wsp:val=&quot;7D052445&quot;/&gt;&lt;wsp:rsid wsp:val=&quot;7D052701&quot;/&gt;&lt;wsp:rsid wsp:val=&quot;7D056BA5&quot;/&gt;&lt;wsp:rsid wsp:val=&quot;7D0607E8&quot;/&gt;&lt;wsp:rsid wsp:val=&quot;7D061599&quot;/&gt;&lt;wsp:rsid wsp:val=&quot;7D0739BA&quot;/&gt;&lt;wsp:rsid wsp:val=&quot;7D07647A&quot;/&gt;&lt;wsp:rsid wsp:val=&quot;7D080444&quot;/&gt;&lt;wsp:rsid wsp:val=&quot;7D083996&quot;/&gt;&lt;wsp:rsid wsp:val=&quot;7D0A7D18&quot;/&gt;&lt;wsp:rsid wsp:val=&quot;7D0B2882&quot;/&gt;&lt;wsp:rsid wsp:val=&quot;7D0B583E&quot;/&gt;&lt;wsp:rsid wsp:val=&quot;7D0C7F34&quot;/&gt;&lt;wsp:rsid wsp:val=&quot;7D0D4954&quot;/&gt;&lt;wsp:rsid wsp:val=&quot;7D0F17D2&quot;/&gt;&lt;wsp:rsid wsp:val=&quot;7D1110A6&quot;/&gt;&lt;wsp:rsid wsp:val=&quot;7D124E1E&quot;/&gt;&lt;wsp:rsid wsp:val=&quot;7D133070&quot;/&gt;&lt;wsp:rsid wsp:val=&quot;7D1868D9&quot;/&gt;&lt;wsp:rsid wsp:val=&quot;7D186F3E&quot;/&gt;&lt;wsp:rsid wsp:val=&quot;7D1961AD&quot;/&gt;&lt;wsp:rsid wsp:val=&quot;7D1B0177&quot;/&gt;&lt;wsp:rsid wsp:val=&quot;7D1B1F25&quot;/&gt;&lt;wsp:rsid wsp:val=&quot;7D1B3CD3&quot;/&gt;&lt;wsp:rsid wsp:val=&quot;7D1C187F&quot;/&gt;&lt;wsp:rsid wsp:val=&quot;7D1D3EEF&quot;/&gt;&lt;wsp:rsid wsp:val=&quot;7D20753B&quot;/&gt;&lt;wsp:rsid wsp:val=&quot;7D232E8C&quot;/&gt;&lt;wsp:rsid wsp:val=&quot;7D2431E0&quot;/&gt;&lt;wsp:rsid wsp:val=&quot;7D250FF6&quot;/&gt;&lt;wsp:rsid wsp:val=&quot;7D2565CF&quot;/&gt;&lt;wsp:rsid wsp:val=&quot;7D267526&quot;/&gt;&lt;wsp:rsid wsp:val=&quot;7D2708CA&quot;/&gt;&lt;wsp:rsid wsp:val=&quot;7D2A03BA&quot;/&gt;&lt;wsp:rsid wsp:val=&quot;7D2A2168&quot;/&gt;&lt;wsp:rsid wsp:val=&quot;7D2B0EB1&quot;/&gt;&lt;wsp:rsid wsp:val=&quot;7D2C4132&quot;/&gt;&lt;wsp:rsid wsp:val=&quot;7D2E5C49&quot;/&gt;&lt;wsp:rsid wsp:val=&quot;7D2F3C22&quot;/&gt;&lt;wsp:rsid wsp:val=&quot;7D3251DF&quot;/&gt;&lt;wsp:rsid wsp:val=&quot;7D3354C1&quot;/&gt;&lt;wsp:rsid wsp:val=&quot;7D341239&quot;/&gt;&lt;wsp:rsid wsp:val=&quot;7D364FB1&quot;/&gt;&lt;wsp:rsid wsp:val=&quot;7D376633&quot;/&gt;&lt;wsp:rsid wsp:val=&quot;7D380D29&quot;/&gt;&lt;wsp:rsid wsp:val=&quot;7D3905FD&quot;/&gt;&lt;wsp:rsid wsp:val=&quot;7D391DCB&quot;/&gt;&lt;wsp:rsid wsp:val=&quot;7D39684F&quot;/&gt;&lt;wsp:rsid wsp:val=&quot;7D3D00ED&quot;/&gt;&lt;wsp:rsid wsp:val=&quot;7D40007C&quot;/&gt;&lt;wsp:rsid wsp:val=&quot;7D4023B4&quot;/&gt;&lt;wsp:rsid wsp:val=&quot;7D40373A&quot;/&gt;&lt;wsp:rsid wsp:val=&quot;7D424CD4&quot;/&gt;&lt;wsp:rsid wsp:val=&quot;7D44147C&quot;/&gt;&lt;wsp:rsid wsp:val=&quot;7D444E48&quot;/&gt;&lt;wsp:rsid wsp:val=&quot;7D456FA2&quot;/&gt;&lt;wsp:rsid wsp:val=&quot;7D474AC8&quot;/&gt;&lt;wsp:rsid wsp:val=&quot;7D484972&quot;/&gt;&lt;wsp:rsid wsp:val=&quot;7D494BA7&quot;/&gt;&lt;wsp:rsid wsp:val=&quot;7D496A92&quot;/&gt;&lt;wsp:rsid wsp:val=&quot;7D4A0A5C&quot;/&gt;&lt;wsp:rsid wsp:val=&quot;7D4B59EB&quot;/&gt;&lt;wsp:rsid wsp:val=&quot;7D4E33DB&quot;/&gt;&lt;wsp:rsid wsp:val=&quot;7D4F6073&quot;/&gt;&lt;wsp:rsid wsp:val=&quot;7D4F7E21&quot;/&gt;&lt;wsp:rsid wsp:val=&quot;7D511DEB&quot;/&gt;&lt;wsp:rsid wsp:val=&quot;7D52346D&quot;/&gt;&lt;wsp:rsid wsp:val=&quot;7D524328&quot;/&gt;&lt;wsp:rsid wsp:val=&quot;7D5316BF&quot;/&gt;&lt;wsp:rsid wsp:val=&quot;7D540579&quot;/&gt;&lt;wsp:rsid wsp:val=&quot;7D5771AB&quot;/&gt;&lt;wsp:rsid wsp:val=&quot;7D592A4D&quot;/&gt;&lt;wsp:rsid wsp:val=&quot;7D5947FB&quot;/&gt;&lt;wsp:rsid wsp:val=&quot;7D5B4A17&quot;/&gt;&lt;wsp:rsid wsp:val=&quot;7D5E0064&quot;/&gt;&lt;wsp:rsid wsp:val=&quot;7D5E40CD&quot;/&gt;&lt;wsp:rsid wsp:val=&quot;7D5E674A&quot;/&gt;&lt;wsp:rsid wsp:val=&quot;7D5F3C88&quot;/&gt;&lt;wsp:rsid wsp:val=&quot;7D5F62B6&quot;/&gt;&lt;wsp:rsid wsp:val=&quot;7D6003A6&quot;/&gt;&lt;wsp:rsid wsp:val=&quot;7D601980&quot;/&gt;&lt;wsp:rsid wsp:val=&quot;7D60202E&quot;/&gt;&lt;wsp:rsid wsp:val=&quot;7D652E27&quot;/&gt;&lt;wsp:rsid wsp:val=&quot;7D67516A&quot;/&gt;&lt;wsp:rsid wsp:val=&quot;7D67555F&quot;/&gt;&lt;wsp:rsid wsp:val=&quot;7D692C90&quot;/&gt;&lt;wsp:rsid wsp:val=&quot;7D697134&quot;/&gt;&lt;wsp:rsid wsp:val=&quot;7D6A07B6&quot;/&gt;&lt;wsp:rsid wsp:val=&quot;7D6B1788&quot;/&gt;&lt;wsp:rsid wsp:val=&quot;7D6B2EAC&quot;/&gt;&lt;wsp:rsid wsp:val=&quot;7D6C09D3&quot;/&gt;&lt;wsp:rsid wsp:val=&quot;7D6D33E9&quot;/&gt;&lt;wsp:rsid wsp:val=&quot;7D6E02A7&quot;/&gt;&lt;wsp:rsid wsp:val=&quot;7D6E474B&quot;/&gt;&lt;wsp:rsid wsp:val=&quot;7D6F5120&quot;/&gt;&lt;wsp:rsid wsp:val=&quot;7D711B45&quot;/&gt;&lt;wsp:rsid wsp:val=&quot;7D7274AA&quot;/&gt;&lt;wsp:rsid wsp:val=&quot;7D731D61&quot;/&gt;&lt;wsp:rsid wsp:val=&quot;7D73234A&quot;/&gt;&lt;wsp:rsid wsp:val=&quot;7D7635FF&quot;/&gt;&lt;wsp:rsid wsp:val=&quot;7D7706BD&quot;/&gt;&lt;wsp:rsid wsp:val=&quot;7D777879&quot;/&gt;&lt;wsp:rsid wsp:val=&quot;7D781125&quot;/&gt;&lt;wsp:rsid wsp:val=&quot;7D782ED3&quot;/&gt;&lt;wsp:rsid wsp:val=&quot;7D787377&quot;/&gt;&lt;wsp:rsid wsp:val=&quot;7D796C4C&quot;/&gt;&lt;wsp:rsid wsp:val=&quot;7D7A3160&quot;/&gt;&lt;wsp:rsid wsp:val=&quot;7D7B29C4&quot;/&gt;&lt;wsp:rsid wsp:val=&quot;7D7E2356&quot;/&gt;&lt;wsp:rsid wsp:val=&quot;7D7F0706&quot;/&gt;&lt;wsp:rsid wsp:val=&quot;7D7F24B4&quot;/&gt;&lt;wsp:rsid wsp:val=&quot;7D80128F&quot;/&gt;&lt;wsp:rsid wsp:val=&quot;7D801F0B&quot;/&gt;&lt;wsp:rsid wsp:val=&quot;7D80622C&quot;/&gt;&lt;wsp:rsid wsp:val=&quot;7D807FDA&quot;/&gt;&lt;wsp:rsid wsp:val=&quot;7D831878&quot;/&gt;&lt;wsp:rsid wsp:val=&quot;7D8361C8&quot;/&gt;&lt;wsp:rsid wsp:val=&quot;7D844A87&quot;/&gt;&lt;wsp:rsid wsp:val=&quot;7D8555F0&quot;/&gt;&lt;wsp:rsid wsp:val=&quot;7D860E2B&quot;/&gt;&lt;wsp:rsid wsp:val=&quot;7D871368&quot;/&gt;&lt;wsp:rsid wsp:val=&quot;7D89592A&quot;/&gt;&lt;wsp:rsid wsp:val=&quot;7D8A2C07&quot;/&gt;&lt;wsp:rsid wsp:val=&quot;7D8B70AB&quot;/&gt;&lt;wsp:rsid wsp:val=&quot;7D8C4BD1&quot;/&gt;&lt;wsp:rsid wsp:val=&quot;7D8C6DBE&quot;/&gt;&lt;wsp:rsid wsp:val=&quot;7D8E0949&quot;/&gt;&lt;wsp:rsid wsp:val=&quot;7D8E26F7&quot;/&gt;&lt;wsp:rsid wsp:val=&quot;7D8F646F&quot;/&gt;&lt;wsp:rsid wsp:val=&quot;7D8F7DEC&quot;/&gt;&lt;wsp:rsid wsp:val=&quot;7D9121E7&quot;/&gt;&lt;wsp:rsid wsp:val=&quot;7D92689C&quot;/&gt;&lt;wsp:rsid wsp:val=&quot;7D9336CB&quot;/&gt;&lt;wsp:rsid wsp:val=&quot;7D9341B1&quot;/&gt;&lt;wsp:rsid wsp:val=&quot;7D937D0D&quot;/&gt;&lt;wsp:rsid wsp:val=&quot;7D9677FD&quot;/&gt;&lt;wsp:rsid wsp:val=&quot;7D972E83&quot;/&gt;&lt;wsp:rsid wsp:val=&quot;7D9817C8&quot;/&gt;&lt;wsp:rsid wsp:val=&quot;7D983576&quot;/&gt;&lt;wsp:rsid wsp:val=&quot;7D98438D&quot;/&gt;&lt;wsp:rsid wsp:val=&quot;7D985324&quot;/&gt;&lt;wsp:rsid wsp:val=&quot;7D9A72EE&quot;/&gt;&lt;wsp:rsid wsp:val=&quot;7D9B3066&quot;/&gt;&lt;wsp:rsid wsp:val=&quot;7D9C18D5&quot;/&gt;&lt;wsp:rsid wsp:val=&quot;7D9E2DD0&quot;/&gt;&lt;wsp:rsid wsp:val=&quot;7DA0067C&quot;/&gt;&lt;wsp:rsid wsp:val=&quot;7DA261A2&quot;/&gt;&lt;wsp:rsid wsp:val=&quot;7DA4016C&quot;/&gt;&lt;wsp:rsid wsp:val=&quot;7DA55C93&quot;/&gt;&lt;wsp:rsid wsp:val=&quot;7DA63EE4&quot;/&gt;&lt;wsp:rsid wsp:val=&quot;7DA71A0B&quot;/&gt;&lt;wsp:rsid wsp:val=&quot;7DA912DF&quot;/&gt;&lt;wsp:rsid wsp:val=&quot;7DAA5DED&quot;/&gt;&lt;wsp:rsid wsp:val=&quot;7DAB14FB&quot;/&gt;&lt;wsp:rsid wsp:val=&quot;7DAC2806&quot;/&gt;&lt;wsp:rsid wsp:val=&quot;7DAE0FEB&quot;/&gt;&lt;wsp:rsid wsp:val=&quot;7DAE4B47&quot;/&gt;&lt;wsp:rsid wsp:val=&quot;7DAF266D&quot;/&gt;&lt;wsp:rsid wsp:val=&quot;7DB008BF&quot;/&gt;&lt;wsp:rsid wsp:val=&quot;7DB14637&quot;/&gt;&lt;wsp:rsid wsp:val=&quot;7DB3215D&quot;/&gt;&lt;wsp:rsid wsp:val=&quot;7DB52379&quot;/&gt;&lt;wsp:rsid wsp:val=&quot;7DB54128&quot;/&gt;&lt;wsp:rsid wsp:val=&quot;7DB61C4E&quot;/&gt;&lt;wsp:rsid wsp:val=&quot;7DB859C6&quot;/&gt;&lt;wsp:rsid wsp:val=&quot;7DB94E07&quot;/&gt;&lt;wsp:rsid wsp:val=&quot;7DBB2AB4&quot;/&gt;&lt;wsp:rsid wsp:val=&quot;7DBB7264&quot;/&gt;&lt;wsp:rsid wsp:val=&quot;7DBD122E&quot;/&gt;&lt;wsp:rsid wsp:val=&quot;7DBD4D8A&quot;/&gt;&lt;wsp:rsid wsp:val=&quot;7DBF0B02&quot;/&gt;&lt;wsp:rsid wsp:val=&quot;7DBF6B39&quot;/&gt;&lt;wsp:rsid wsp:val=&quot;7DC10D1E&quot;/&gt;&lt;wsp:rsid wsp:val=&quot;7DC425BD&quot;/&gt;&lt;wsp:rsid wsp:val=&quot;7DC46119&quot;/&gt;&lt;wsp:rsid wsp:val=&quot;7DC73E5B&quot;/&gt;&lt;wsp:rsid wsp:val=&quot;7DCA74A7&quot;/&gt;&lt;wsp:rsid wsp:val=&quot;7DCC321F&quot;/&gt;&lt;wsp:rsid wsp:val=&quot;7DCC3C07&quot;/&gt;&lt;wsp:rsid wsp:val=&quot;7DCD56F2&quot;/&gt;&lt;wsp:rsid wsp:val=&quot;7DD02D0F&quot;/&gt;&lt;wsp:rsid wsp:val=&quot;7DD06D82&quot;/&gt;&lt;wsp:rsid wsp:val=&quot;7DD16A88&quot;/&gt;&lt;wsp:rsid wsp:val=&quot;7DD24CD9&quot;/&gt;&lt;wsp:rsid wsp:val=&quot;7DD32800&quot;/&gt;&lt;wsp:rsid wsp:val=&quot;7DD56578&quot;/&gt;&lt;wsp:rsid wsp:val=&quot;7DD8176D&quot;/&gt;&lt;wsp:rsid wsp:val=&quot;7DD87E16&quot;/&gt;&lt;wsp:rsid wsp:val=&quot;7DD918A9&quot;/&gt;&lt;wsp:rsid wsp:val=&quot;7DD95881&quot;/&gt;&lt;wsp:rsid wsp:val=&quot;7DDC7906&quot;/&gt;&lt;wsp:rsid wsp:val=&quot;7DDC79A9&quot;/&gt;&lt;wsp:rsid wsp:val=&quot;7DDD542C&quot;/&gt;&lt;wsp:rsid wsp:val=&quot;7DDD6DD3&quot;/&gt;&lt;wsp:rsid wsp:val=&quot;7DDF2F52&quot;/&gt;&lt;wsp:rsid wsp:val=&quot;7DDF73F6&quot;/&gt;&lt;wsp:rsid wsp:val=&quot;7DE06CCB&quot;/&gt;&lt;wsp:rsid wsp:val=&quot;7DE14F1D&quot;/&gt;&lt;wsp:rsid wsp:val=&quot;7DE20C95&quot;/&gt;&lt;wsp:rsid wsp:val=&quot;7DE44A0D&quot;/&gt;&lt;wsp:rsid wsp:val=&quot;7DE467BB&quot;/&gt;&lt;wsp:rsid wsp:val=&quot;7DE47E14&quot;/&gt;&lt;wsp:rsid wsp:val=&quot;7DE93DD1&quot;/&gt;&lt;wsp:rsid wsp:val=&quot;7DEB5D9B&quot;/&gt;&lt;wsp:rsid wsp:val=&quot;7DEB7B49&quot;/&gt;&lt;wsp:rsid wsp:val=&quot;7DEC38C1&quot;/&gt;&lt;wsp:rsid wsp:val=&quot;7DED1B13&quot;/&gt;&lt;wsp:rsid wsp:val=&quot;7DF05160&quot;/&gt;&lt;wsp:rsid wsp:val=&quot;7DF34C50&quot;/&gt;&lt;wsp:rsid wsp:val=&quot;7DF369FE&quot;/&gt;&lt;wsp:rsid wsp:val=&quot;7DF509C8&quot;/&gt;&lt;wsp:rsid wsp:val=&quot;7DF52776&quot;/&gt;&lt;wsp:rsid wsp:val=&quot;7DF53919&quot;/&gt;&lt;wsp:rsid wsp:val=&quot;7DF6029C&quot;/&gt;&lt;wsp:rsid wsp:val=&quot;7DF73FD2&quot;/&gt;&lt;wsp:rsid wsp:val=&quot;7DF82266&quot;/&gt;&lt;wsp:rsid wsp:val=&quot;7DFA0355&quot;/&gt;&lt;wsp:rsid wsp:val=&quot;7DFC1D56&quot;/&gt;&lt;wsp:rsid wsp:val=&quot;7DFD162B&quot;/&gt;&lt;wsp:rsid wsp:val=&quot;7DFD20AA&quot;/&gt;&lt;wsp:rsid wsp:val=&quot;7DFD5ACF&quot;/&gt;&lt;wsp:rsid wsp:val=&quot;7DFD787D&quot;/&gt;&lt;wsp:rsid wsp:val=&quot;7DFF35F5&quot;/&gt;&lt;wsp:rsid wsp:val=&quot;7DFF53A3&quot;/&gt;&lt;wsp:rsid wsp:val=&quot;7E000A2B&quot;/&gt;&lt;wsp:rsid wsp:val=&quot;7E003F9D&quot;/&gt;&lt;wsp:rsid wsp:val=&quot;7E024E93&quot;/&gt;&lt;wsp:rsid wsp:val=&quot;7E026C41&quot;/&gt;&lt;wsp:rsid wsp:val=&quot;7E040C0B&quot;/&gt;&lt;wsp:rsid wsp:val=&quot;7E0429B9&quot;/&gt;&lt;wsp:rsid wsp:val=&quot;7E096221&quot;/&gt;&lt;wsp:rsid wsp:val=&quot;7E0977F0&quot;/&gt;&lt;wsp:rsid wsp:val=&quot;7E097FCF&quot;/&gt;&lt;wsp:rsid wsp:val=&quot;7E0B01EB&quot;/&gt;&lt;wsp:rsid wsp:val=&quot;7E0B1F99&quot;/&gt;&lt;wsp:rsid wsp:val=&quot;7E0B673C&quot;/&gt;&lt;wsp:rsid wsp:val=&quot;7E0C7AC0&quot;/&gt;&lt;wsp:rsid wsp:val=&quot;7E0E5F91&quot;/&gt;&lt;wsp:rsid wsp:val=&quot;7E121076&quot;/&gt;&lt;wsp:rsid wsp:val=&quot;7E123328&quot;/&gt;&lt;wsp:rsid wsp:val=&quot;7E125FC0&quot;/&gt;&lt;wsp:rsid wsp:val=&quot;7E130E4E&quot;/&gt;&lt;wsp:rsid wsp:val=&quot;7E1352F2&quot;/&gt;&lt;wsp:rsid wsp:val=&quot;7E1370A0&quot;/&gt;&lt;wsp:rsid wsp:val=&quot;7E140841&quot;/&gt;&lt;wsp:rsid wsp:val=&quot;7E142CC9&quot;/&gt;&lt;wsp:rsid wsp:val=&quot;7E155919&quot;/&gt;&lt;wsp:rsid wsp:val=&quot;7E156974&quot;/&gt;&lt;wsp:rsid wsp:val=&quot;7E1626EC&quot;/&gt;&lt;wsp:rsid wsp:val=&quot;7E1846B6&quot;/&gt;&lt;wsp:rsid wsp:val=&quot;7E186464&quot;/&gt;&lt;wsp:rsid wsp:val=&quot;7E196427&quot;/&gt;&lt;wsp:rsid wsp:val=&quot;7E1A042F&quot;/&gt;&lt;wsp:rsid wsp:val=&quot;7E1C41A7&quot;/&gt;&lt;wsp:rsid wsp:val=&quot;7E1C5F55&quot;/&gt;&lt;wsp:rsid wsp:val=&quot;7E1E7F1F&quot;/&gt;&lt;wsp:rsid wsp:val=&quot;7E1F3C97&quot;/&gt;&lt;wsp:rsid wsp:val=&quot;7E2059DB&quot;/&gt;&lt;wsp:rsid wsp:val=&quot;7E21356B&quot;/&gt;&lt;wsp:rsid wsp:val=&quot;7E215319&quot;/&gt;&lt;wsp:rsid wsp:val=&quot;7E235535&quot;/&gt;&lt;wsp:rsid wsp:val=&quot;7E244E09&quot;/&gt;&lt;wsp:rsid wsp:val=&quot;7E2651F7&quot;/&gt;&lt;wsp:rsid wsp:val=&quot;7E2A3C98&quot;/&gt;&lt;wsp:rsid wsp:val=&quot;7E2B43EA&quot;/&gt;&lt;wsp:rsid wsp:val=&quot;7E2B727B&quot;/&gt;&lt;wsp:rsid wsp:val=&quot;7E2D0162&quot;/&gt;&lt;wsp:rsid wsp:val=&quot;7E2E3EDA&quot;/&gt;&lt;wsp:rsid wsp:val=&quot;7E2E5C88&quot;/&gt;&lt;wsp:rsid wsp:val=&quot;7E3037AE&quot;/&gt;&lt;wsp:rsid wsp:val=&quot;7E327526&quot;/&gt;&lt;wsp:rsid wsp:val=&quot;7E34648B&quot;/&gt;&lt;wsp:rsid wsp:val=&quot;7E350DC4&quot;/&gt;&lt;wsp:rsid wsp:val=&quot;7E357016&quot;/&gt;&lt;wsp:rsid wsp:val=&quot;7E394D59&quot;/&gt;&lt;wsp:rsid wsp:val=&quot;7E3A287F&quot;/&gt;&lt;wsp:rsid wsp:val=&quot;7E3C60AD&quot;/&gt;&lt;wsp:rsid wsp:val=&quot;7E3C65F7&quot;/&gt;&lt;wsp:rsid wsp:val=&quot;7E3D5ECB&quot;/&gt;&lt;wsp:rsid wsp:val=&quot;7E3F60E7&quot;/&gt;&lt;wsp:rsid wsp:val=&quot;7E405EBE&quot;/&gt;&lt;wsp:rsid wsp:val=&quot;7E4234E1&quot;/&gt;&lt;wsp:rsid wsp:val=&quot;7E423C46&quot;/&gt;&lt;wsp:rsid wsp:val=&quot;7E431733&quot;/&gt;&lt;wsp:rsid wsp:val=&quot;7E464D80&quot;/&gt;&lt;wsp:rsid wsp:val=&quot;7E4B05E8&quot;/&gt;&lt;wsp:rsid wsp:val=&quot;7E4B4A8C&quot;/&gt;&lt;wsp:rsid wsp:val=&quot;7E4D4360&quot;/&gt;&lt;wsp:rsid wsp:val=&quot;7E4E5849&quot;/&gt;&lt;wsp:rsid wsp:val=&quot;7E5020A2&quot;/&gt;&lt;wsp:rsid wsp:val=&quot;7E505BFE&quot;/&gt;&lt;wsp:rsid wsp:val=&quot;7E510584&quot;/&gt;&lt;wsp:rsid wsp:val=&quot;7E551467&quot;/&gt;&lt;wsp:rsid wsp:val=&quot;7E573431&quot;/&gt;&lt;wsp:rsid wsp:val=&quot;7E582D05&quot;/&gt;&lt;wsp:rsid wsp:val=&quot;7E5971A9&quot;/&gt;&lt;wsp:rsid wsp:val=&quot;7E5A4CCF&quot;/&gt;&lt;wsp:rsid wsp:val=&quot;7E5E656D&quot;/&gt;&lt;wsp:rsid wsp:val=&quot;7E5F1447&quot;/&gt;&lt;wsp:rsid wsp:val=&quot;7E621509&quot;/&gt;&lt;wsp:rsid wsp:val=&quot;7E627771&quot;/&gt;&lt;wsp:rsid wsp:val=&quot;7E631DD5&quot;/&gt;&lt;wsp:rsid wsp:val=&quot;7E633AAA&quot;/&gt;&lt;wsp:rsid wsp:val=&quot;7E633B84&quot;/&gt;&lt;wsp:rsid wsp:val=&quot;7E635932&quot;/&gt;&lt;wsp:rsid wsp:val=&quot;7E665422&quot;/&gt;&lt;wsp:rsid wsp:val=&quot;7E6A6190&quot;/&gt;&lt;wsp:rsid wsp:val=&quot;7E6B58D5&quot;/&gt;&lt;wsp:rsid wsp:val=&quot;7E6D4A02&quot;/&gt;&lt;wsp:rsid wsp:val=&quot;7E6E4135&quot;/&gt;&lt;wsp:rsid wsp:val=&quot;7E6F7507&quot;/&gt;&lt;wsp:rsid wsp:val=&quot;7E70004F&quot;/&gt;&lt;wsp:rsid wsp:val=&quot;7E703825&quot;/&gt;&lt;wsp:rsid wsp:val=&quot;7E725B75&quot;/&gt;&lt;wsp:rsid wsp:val=&quot;7E7757D5&quot;/&gt;&lt;wsp:rsid wsp:val=&quot;7E7933A7&quot;/&gt;&lt;wsp:rsid wsp:val=&quot;7E7A0ECD&quot;/&gt;&lt;wsp:rsid wsp:val=&quot;7E7A2C7B&quot;/&gt;&lt;wsp:rsid wsp:val=&quot;7E7A711F&quot;/&gt;&lt;wsp:rsid wsp:val=&quot;7E7E6C0F&quot;/&gt;&lt;wsp:rsid wsp:val=&quot;7E7F0292&quot;/&gt;&lt;wsp:rsid wsp:val=&quot;7E7F64E4&quot;/&gt;&lt;wsp:rsid wsp:val=&quot;7E81400A&quot;/&gt;&lt;wsp:rsid wsp:val=&quot;7E834226&quot;/&gt;&lt;wsp:rsid wsp:val=&quot;7E857F9E&quot;/&gt;&lt;wsp:rsid wsp:val=&quot;7E861620&quot;/&gt;&lt;wsp:rsid wsp:val=&quot;7E8807F6&quot;/&gt;&lt;wsp:rsid wsp:val=&quot;7E8835EA&quot;/&gt;&lt;wsp:rsid wsp:val=&quot;7E891110&quot;/&gt;&lt;wsp:rsid wsp:val=&quot;7E8A4D88&quot;/&gt;&lt;wsp:rsid wsp:val=&quot;7E8A5B6F&quot;/&gt;&lt;wsp:rsid wsp:val=&quot;7E8B30DA&quot;/&gt;&lt;wsp:rsid wsp:val=&quot;7E8B6C36&quot;/&gt;&lt;wsp:rsid wsp:val=&quot;7E8C49F5&quot;/&gt;&lt;wsp:rsid wsp:val=&quot;7E8D44C5&quot;/&gt;&lt;wsp:rsid wsp:val=&quot;7E8D6E52&quot;/&gt;&lt;wsp:rsid wsp:val=&quot;7E8E6727&quot;/&gt;&lt;wsp:rsid wsp:val=&quot;7E8F2BCB&quot;/&gt;&lt;wsp:rsid wsp:val=&quot;7E902E46&quot;/&gt;&lt;wsp:rsid wsp:val=&quot;7E906943&quot;/&gt;&lt;wsp:rsid wsp:val=&quot;7E924469&quot;/&gt;&lt;wsp:rsid wsp:val=&quot;7E933E58&quot;/&gt;&lt;wsp:rsid wsp:val=&quot;7E9401E1&quot;/&gt;&lt;wsp:rsid wsp:val=&quot;7E971A7F&quot;/&gt;&lt;wsp:rsid wsp:val=&quot;7E975577&quot;/&gt;&lt;wsp:rsid wsp:val=&quot;7E9957F7&quot;/&gt;&lt;wsp:rsid wsp:val=&quot;7E9A3EF8&quot;/&gt;&lt;wsp:rsid wsp:val=&quot;7E9B6AC9&quot;/&gt;&lt;wsp:rsid wsp:val=&quot;7E9C13E9&quot;/&gt;&lt;wsp:rsid wsp:val=&quot;7E9C48E7&quot;/&gt;&lt;wsp:rsid wsp:val=&quot;7E9E2E0E&quot;/&gt;&lt;wsp:rsid wsp:val=&quot;7E9F0934&quot;/&gt;&lt;wsp:rsid wsp:val=&quot;7E9F26E2&quot;/&gt;&lt;wsp:rsid wsp:val=&quot;7EA128FE&quot;/&gt;&lt;wsp:rsid wsp:val=&quot;7EA321D2&quot;/&gt;&lt;wsp:rsid wsp:val=&quot;7EA5419C&quot;/&gt;&lt;wsp:rsid wsp:val=&quot;7EA61CC2&quot;/&gt;&lt;wsp:rsid wsp:val=&quot;7EA83C8C&quot;/&gt;&lt;wsp:rsid wsp:val=&quot;7EA85A3A&quot;/&gt;&lt;wsp:rsid wsp:val=&quot;7EA877E8&quot;/&gt;&lt;wsp:rsid wsp:val=&quot;7EAA17B2&quot;/&gt;&lt;wsp:rsid wsp:val=&quot;7EAB50F7&quot;/&gt;&lt;wsp:rsid wsp:val=&quot;7EAB7A4E&quot;/&gt;&lt;wsp:rsid wsp:val=&quot;7EAD3051&quot;/&gt;&lt;wsp:rsid wsp:val=&quot;7EAD3724&quot;/&gt;&lt;wsp:rsid wsp:val=&quot;7EAD4DFF&quot;/&gt;&lt;wsp:rsid wsp:val=&quot;7EB0669D&quot;/&gt;&lt;wsp:rsid wsp:val=&quot;7EB138C0&quot;/&gt;&lt;wsp:rsid wsp:val=&quot;7EB24D50&quot;/&gt;&lt;wsp:rsid wsp:val=&quot;7EB268B9&quot;/&gt;&lt;wsp:rsid wsp:val=&quot;7EB40DB1&quot;/&gt;&lt;wsp:rsid wsp:val=&quot;7EB42631&quot;/&gt;&lt;wsp:rsid wsp:val=&quot;7EB451A2&quot;/&gt;&lt;wsp:rsid wsp:val=&quot;7EB61686&quot;/&gt;&lt;wsp:rsid wsp:val=&quot;7EB75C7D&quot;/&gt;&lt;wsp:rsid wsp:val=&quot;7EBA751C&quot;/&gt;&lt;wsp:rsid wsp:val=&quot;7EBC3294&quot;/&gt;&lt;wsp:rsid wsp:val=&quot;7EBD7E66&quot;/&gt;&lt;wsp:rsid wsp:val=&quot;7EBF08B1&quot;/&gt;&lt;wsp:rsid wsp:val=&quot;7EC00FD6&quot;/&gt;&lt;wsp:rsid wsp:val=&quot;7EC16AFC&quot;/&gt;&lt;wsp:rsid wsp:val=&quot;7EC2593C&quot;/&gt;&lt;wsp:rsid wsp:val=&quot;7EC363D0&quot;/&gt;&lt;wsp:rsid wsp:val=&quot;7EC5039A&quot;/&gt;&lt;wsp:rsid wsp:val=&quot;7EC50D5E&quot;/&gt;&lt;wsp:rsid wsp:val=&quot;7EC531C6&quot;/&gt;&lt;wsp:rsid wsp:val=&quot;7EC65EC0&quot;/&gt;&lt;wsp:rsid wsp:val=&quot;7EC81C39&quot;/&gt;&lt;wsp:rsid wsp:val=&quot;7EC860DC&quot;/&gt;&lt;wsp:rsid wsp:val=&quot;7EC9775F&quot;/&gt;&lt;wsp:rsid wsp:val=&quot;7ECA59B1&quot;/&gt;&lt;wsp:rsid wsp:val=&quot;7ECC2D22&quot;/&gt;&lt;wsp:rsid wsp:val=&quot;7ECD54A1&quot;/&gt;&lt;wsp:rsid wsp:val=&quot;7ECF746B&quot;/&gt;&lt;wsp:rsid wsp:val=&quot;7ED06D3F&quot;/&gt;&lt;wsp:rsid wsp:val=&quot;7ED14F91&quot;/&gt;&lt;wsp:rsid wsp:val=&quot;7ED20D09&quot;/&gt;&lt;wsp:rsid wsp:val=&quot;7ED22AB7&quot;/&gt;&lt;wsp:rsid wsp:val=&quot;7ED3017A&quot;/&gt;&lt;wsp:rsid wsp:val=&quot;7ED405DD&quot;/&gt;&lt;wsp:rsid wsp:val=&quot;7ED4682F&quot;/&gt;&lt;wsp:rsid wsp:val=&quot;7ED54355&quot;/&gt;&lt;wsp:rsid wsp:val=&quot;7ED607F9&quot;/&gt;&lt;wsp:rsid wsp:val=&quot;7ED93E46&quot;/&gt;&lt;wsp:rsid wsp:val=&quot;7ED97EFB&quot;/&gt;&lt;wsp:rsid wsp:val=&quot;7EDA196C&quot;/&gt;&lt;wsp:rsid wsp:val=&quot;7EDA1D53&quot;/&gt;&lt;wsp:rsid wsp:val=&quot;7EDB7BBE&quot;/&gt;&lt;wsp:rsid wsp:val=&quot;7EDC1B88&quot;/&gt;&lt;wsp:rsid wsp:val=&quot;7EDC7492&quot;/&gt;&lt;wsp:rsid wsp:val=&quot;7EDE320A&quot;/&gt;&lt;wsp:rsid wsp:val=&quot;7EDE76AE&quot;/&gt;&lt;wsp:rsid wsp:val=&quot;7EE051FD&quot;/&gt;&lt;wsp:rsid wsp:val=&quot;7EE10F4C&quot;/&gt;&lt;wsp:rsid wsp:val=&quot;7EE12CFA&quot;/&gt;&lt;wsp:rsid wsp:val=&quot;7EE30820&quot;/&gt;&lt;wsp:rsid wsp:val=&quot;7EE747B5&quot;/&gt;&lt;wsp:rsid wsp:val=&quot;7EE8052D&quot;/&gt;&lt;wsp:rsid wsp:val=&quot;7EED169F&quot;/&gt;&lt;wsp:rsid wsp:val=&quot;7EED5B43&quot;/&gt;&lt;wsp:rsid wsp:val=&quot;7EEF71C5&quot;/&gt;&lt;wsp:rsid wsp:val=&quot;7EF00CCA&quot;/&gt;&lt;wsp:rsid wsp:val=&quot;7EF02F3D&quot;/&gt;&lt;wsp:rsid wsp:val=&quot;7EF03E00&quot;/&gt;&lt;wsp:rsid wsp:val=&quot;7EF20AA2&quot;/&gt;&lt;wsp:rsid wsp:val=&quot;7EF23899&quot;/&gt;&lt;wsp:rsid wsp:val=&quot;7EF40C80&quot;/&gt;&lt;wsp:rsid wsp:val=&quot;7EF415E7&quot;/&gt;&lt;wsp:rsid wsp:val=&quot;7EF42A2E&quot;/&gt;&lt;wsp:rsid wsp:val=&quot;7EF649F8&quot;/&gt;&lt;wsp:rsid wsp:val=&quot;7EF7251E&quot;/&gt;&lt;wsp:rsid wsp:val=&quot;7EF742CC&quot;/&gt;&lt;wsp:rsid wsp:val=&quot;7EF931C4&quot;/&gt;&lt;wsp:rsid wsp:val=&quot;7EFA0B2A&quot;/&gt;&lt;wsp:rsid wsp:val=&quot;7EFB3DBC&quot;/&gt;&lt;wsp:rsid wsp:val=&quot;7EFC5D86&quot;/&gt;&lt;wsp:rsid wsp:val=&quot;7EFE38AC&quot;/&gt;&lt;wsp:rsid wsp:val=&quot;7F001CE7&quot;/&gt;&lt;wsp:rsid wsp:val=&quot;7F0215EE&quot;/&gt;&lt;wsp:rsid wsp:val=&quot;7F032C71&quot;/&gt;&lt;wsp:rsid wsp:val=&quot;7F054C3B&quot;/&gt;&lt;wsp:rsid wsp:val=&quot;7F062761&quot;/&gt;&lt;wsp:rsid wsp:val=&quot;7F0709B3&quot;/&gt;&lt;wsp:rsid wsp:val=&quot;7F076C05&quot;/&gt;&lt;wsp:rsid wsp:val=&quot;7F0A3FFF&quot;/&gt;&lt;wsp:rsid wsp:val=&quot;7F0C281B&quot;/&gt;&lt;wsp:rsid wsp:val=&quot;7F0F1615&quot;/&gt;&lt;wsp:rsid wsp:val=&quot;7F0F5AB9&quot;/&gt;&lt;wsp:rsid wsp:val=&quot;7F0F7867&quot;/&gt;&lt;wsp:rsid wsp:val=&quot;7F1042DC&quot;/&gt;&lt;wsp:rsid wsp:val=&quot;7F122CEE&quot;/&gt;&lt;wsp:rsid wsp:val=&quot;7F127358&quot;/&gt;&lt;wsp:rsid wsp:val=&quot;7F141322&quot;/&gt;&lt;wsp:rsid wsp:val=&quot;7F1430D0&quot;/&gt;&lt;wsp:rsid wsp:val=&quot;7F1629A4&quot;/&gt;&lt;wsp:rsid wsp:val=&quot;7F166E48&quot;/&gt;&lt;wsp:rsid wsp:val=&quot;7F17164A&quot;/&gt;&lt;wsp:rsid wsp:val=&quot;7F17496E&quot;/&gt;&lt;wsp:rsid wsp:val=&quot;7F182BC0&quot;/&gt;&lt;wsp:rsid wsp:val=&quot;7F1B620C&quot;/&gt;&lt;wsp:rsid wsp:val=&quot;7F1B7CAE&quot;/&gt;&lt;wsp:rsid wsp:val=&quot;7F1C287F&quot;/&gt;&lt;wsp:rsid wsp:val=&quot;7F1C3D32&quot;/&gt;&lt;wsp:rsid wsp:val=&quot;7F207CC7&quot;/&gt;&lt;wsp:rsid wsp:val=&quot;7F211349&quot;/&gt;&lt;wsp:rsid wsp:val=&quot;7F2257ED&quot;/&gt;&lt;wsp:rsid wsp:val=&quot;7F241613&quot;/&gt;&lt;wsp:rsid wsp:val=&quot;7F250E39&quot;/&gt;&lt;wsp:rsid wsp:val=&quot;7F253C46&quot;/&gt;&lt;wsp:rsid wsp:val=&quot;7F264BB1&quot;/&gt;&lt;wsp:rsid wsp:val=&quot;7F2770C2&quot;/&gt;&lt;wsp:rsid wsp:val=&quot;7F294E83&quot;/&gt;&lt;wsp:rsid wsp:val=&quot;7F2A46A1&quot;/&gt;&lt;wsp:rsid wsp:val=&quot;7F2A6313&quot;/&gt;&lt;wsp:rsid wsp:val=&quot;7F2C21C7&quot;/&gt;&lt;wsp:rsid wsp:val=&quot;7F2D4191&quot;/&gt;&lt;wsp:rsid wsp:val=&quot;7F2E7F2D&quot;/&gt;&lt;wsp:rsid wsp:val=&quot;7F2F3A66&quot;/&gt;&lt;wsp:rsid wsp:val=&quot;7F2F7F0A&quot;/&gt;&lt;wsp:rsid wsp:val=&quot;7F315A30&quot;/&gt;&lt;wsp:rsid wsp:val=&quot;7F323556&quot;/&gt;&lt;wsp:rsid wsp:val=&quot;7F327676&quot;/&gt;&lt;wsp:rsid wsp:val=&quot;7F34107C&quot;/&gt;&lt;wsp:rsid wsp:val=&quot;7F3472CE&quot;/&gt;&lt;wsp:rsid wsp:val=&quot;7F385E37&quot;/&gt;&lt;wsp:rsid wsp:val=&quot;7F392B36&quot;/&gt;&lt;wsp:rsid wsp:val=&quot;7F393237&quot;/&gt;&lt;wsp:rsid wsp:val=&quot;7F3A0C3E&quot;/&gt;&lt;wsp:rsid wsp:val=&quot;7F3B065C&quot;/&gt;&lt;wsp:rsid wsp:val=&quot;7F3D43D5&quot;/&gt;&lt;wsp:rsid wsp:val=&quot;7F3E2029&quot;/&gt;&lt;wsp:rsid wsp:val=&quot;7F401C7A&quot;/&gt;&lt;wsp:rsid wsp:val=&quot;7F420B28&quot;/&gt;&lt;wsp:rsid wsp:val=&quot;7F425A2A&quot;/&gt;&lt;wsp:rsid wsp:val=&quot;7F437511&quot;/&gt;&lt;wsp:rsid wsp:val=&quot;7F4514DB&quot;/&gt;&lt;wsp:rsid wsp:val=&quot;7F453289&quot;/&gt;&lt;wsp:rsid wsp:val=&quot;7F45772D&quot;/&gt;&lt;wsp:rsid wsp:val=&quot;7F4643AB&quot;/&gt;&lt;wsp:rsid wsp:val=&quot;7F4734A5&quot;/&gt;&lt;wsp:rsid wsp:val=&quot;7F475253&quot;/&gt;&lt;wsp:rsid wsp:val=&quot;7F482D79&quot;/&gt;&lt;wsp:rsid wsp:val=&quot;7F496799&quot;/&gt;&lt;wsp:rsid wsp:val=&quot;7F4A08A0&quot;/&gt;&lt;wsp:rsid wsp:val=&quot;7F4A4D43&quot;/&gt;&lt;wsp:rsid wsp:val=&quot;7F4A6AF1&quot;/&gt;&lt;wsp:rsid wsp:val=&quot;7F4D5B65&quot;/&gt;&lt;wsp:rsid wsp:val=&quot;7F4F235A&quot;/&gt;&lt;wsp:rsid wsp:val=&quot;7F52633B&quot;/&gt;&lt;wsp:rsid wsp:val=&quot;7F565496&quot;/&gt;&lt;wsp:rsid wsp:val=&quot;7F5867C0&quot;/&gt;&lt;wsp:rsid wsp:val=&quot;7F587460&quot;/&gt;&lt;wsp:rsid wsp:val=&quot;7F596D35&quot;/&gt;&lt;wsp:rsid wsp:val=&quot;7F5B1BB7&quot;/&gt;&lt;wsp:rsid wsp:val=&quot;7F5B30BB&quot;/&gt;&lt;wsp:rsid wsp:val=&quot;7F5C05D3&quot;/&gt;&lt;wsp:rsid wsp:val=&quot;7F5D4E94&quot;/&gt;&lt;wsp:rsid wsp:val=&quot;7F5F07EF&quot;/&gt;&lt;wsp:rsid wsp:val=&quot;7F623E3B&quot;/&gt;&lt;wsp:rsid wsp:val=&quot;7F625BE9&quot;/&gt;&lt;wsp:rsid wsp:val=&quot;7F642A82&quot;/&gt;&lt;wsp:rsid wsp:val=&quot;7F65392B&quot;/&gt;&lt;wsp:rsid wsp:val=&quot;7F66411F&quot;/&gt;&lt;wsp:rsid wsp:val=&quot;7F671451&quot;/&gt;&lt;wsp:rsid wsp:val=&quot;7F6749FC&quot;/&gt;&lt;wsp:rsid wsp:val=&quot;7F686806&quot;/&gt;&lt;wsp:rsid wsp:val=&quot;7F6C0C97&quot;/&gt;&lt;wsp:rsid wsp:val=&quot;7F6C4CBA&quot;/&gt;&lt;wsp:rsid wsp:val=&quot;7F6F6558&quot;/&gt;&lt;wsp:rsid wsp:val=&quot;7F700A57&quot;/&gt;&lt;wsp:rsid wsp:val=&quot;7F720EA7&quot;/&gt;&lt;wsp:rsid wsp:val=&quot;7F722CA2&quot;/&gt;&lt;wsp:rsid wsp:val=&quot;7F737DF6&quot;/&gt;&lt;wsp:rsid wsp:val=&quot;7F74591C&quot;/&gt;&lt;wsp:rsid wsp:val=&quot;7F754A2B&quot;/&gt;&lt;wsp:rsid wsp:val=&quot;7F761695&quot;/&gt;&lt;wsp:rsid wsp:val=&quot;7F765B38&quot;/&gt;&lt;wsp:rsid wsp:val=&quot;7F7678E7&quot;/&gt;&lt;wsp:rsid wsp:val=&quot;7F7818B1&quot;/&gt;&lt;wsp:rsid wsp:val=&quot;7F78540D&quot;/&gt;&lt;wsp:rsid wsp:val=&quot;7F7B472A&quot;/&gt;&lt;wsp:rsid wsp:val=&quot;7F7F5C7C&quot;/&gt;&lt;wsp:rsid wsp:val=&quot;7F824394&quot;/&gt;&lt;wsp:rsid wsp:val=&quot;7F82628B&quot;/&gt;&lt;wsp:rsid wsp:val=&quot;7F842003&quot;/&gt;&lt;wsp:rsid wsp:val=&quot;7F8457DC&quot;/&gt;&lt;wsp:rsid wsp:val=&quot;7F846F1D&quot;/&gt;&lt;wsp:rsid wsp:val=&quot;7F8518D8&quot;/&gt;&lt;wsp:rsid wsp:val=&quot;7F855246&quot;/&gt;&lt;wsp:rsid wsp:val=&quot;7F855D7C&quot;/&gt;&lt;wsp:rsid wsp:val=&quot;7F857B2A&quot;/&gt;&lt;wsp:rsid wsp:val=&quot;7F871AF4&quot;/&gt;&lt;wsp:rsid wsp:val=&quot;7F8813C8&quot;/&gt;&lt;wsp:rsid wsp:val=&quot;7F8879AA&quot;/&gt;&lt;wsp:rsid wsp:val=&quot;7F892B1E&quot;/&gt;&lt;wsp:rsid wsp:val=&quot;7F8C0EB8&quot;/&gt;&lt;wsp:rsid wsp:val=&quot;7F8F4102&quot;/&gt;&lt;wsp:rsid wsp:val=&quot;7F914720&quot;/&gt;&lt;wsp:rsid wsp:val=&quot;7F925AEA&quot;/&gt;&lt;wsp:rsid wsp:val=&quot;7F932247&quot;/&gt;&lt;wsp:rsid wsp:val=&quot;7F963AE5&quot;/&gt;&lt;wsp:rsid wsp:val=&quot;7F970ECA&quot;/&gt;&lt;wsp:rsid wsp:val=&quot;7F98785D&quot;/&gt;&lt;wsp:rsid wsp:val=&quot;7F997CB3&quot;/&gt;&lt;wsp:rsid wsp:val=&quot;7F9B734D&quot;/&gt;&lt;wsp:rsid wsp:val=&quot;7F9D1317&quot;/&gt;&lt;wsp:rsid wsp:val=&quot;7F9D6634&quot;/&gt;&lt;wsp:rsid wsp:val=&quot;7F9F508F&quot;/&gt;&lt;wsp:rsid wsp:val=&quot;7F9F6E3D&quot;/&gt;&lt;wsp:rsid wsp:val=&quot;7FA03EF9&quot;/&gt;&lt;wsp:rsid wsp:val=&quot;7FA426A6&quot;/&gt;&lt;wsp:rsid wsp:val=&quot;7FA44454&quot;/&gt;&lt;wsp:rsid wsp:val=&quot;7FA56256&quot;/&gt;&lt;wsp:rsid wsp:val=&quot;7FA610A8&quot;/&gt;&lt;wsp:rsid wsp:val=&quot;7FA676E6&quot;/&gt;&lt;wsp:rsid wsp:val=&quot;7FA73F44&quot;/&gt;&lt;wsp:rsid wsp:val=&quot;7FA77392&quot;/&gt;&lt;wsp:rsid wsp:val=&quot;7FA93855&quot;/&gt;&lt;wsp:rsid wsp:val=&quot;7FA97CBC&quot;/&gt;&lt;wsp:rsid wsp:val=&quot;7FAA68F3&quot;/&gt;&lt;wsp:rsid wsp:val=&quot;7FAC4C99&quot;/&gt;&lt;wsp:rsid wsp:val=&quot;7FAC50B6&quot;/&gt;&lt;wsp:rsid wsp:val=&quot;7FAE0F2C&quot;/&gt;&lt;wsp:rsid wsp:val=&quot;7FAF0FC2&quot;/&gt;&lt;wsp:rsid wsp:val=&quot;7FAF2DF8&quot;/&gt;&lt;wsp:rsid wsp:val=&quot;7FB14DC3&quot;/&gt;&lt;wsp:rsid wsp:val=&quot;7FB273CA&quot;/&gt;&lt;wsp:rsid wsp:val=&quot;7FB36445&quot;/&gt;&lt;wsp:rsid wsp:val=&quot;7FB4040F&quot;/&gt;&lt;wsp:rsid wsp:val=&quot;7FB421BD&quot;/&gt;&lt;wsp:rsid wsp:val=&quot;7FB65F35&quot;/&gt;&lt;wsp:rsid wsp:val=&quot;7FB671DB&quot;/&gt;&lt;wsp:rsid wsp:val=&quot;7FBA5A25&quot;/&gt;&lt;wsp:rsid wsp:val=&quot;7FBA6FEC&quot;/&gt;&lt;wsp:rsid wsp:val=&quot;7FBA7941&quot;/&gt;&lt;wsp:rsid wsp:val=&quot;7FBB7440&quot;/&gt;&lt;wsp:rsid wsp:val=&quot;7FBD44DD&quot;/&gt;&lt;wsp:rsid wsp:val=&quot;7FBD5515&quot;/&gt;&lt;wsp:rsid wsp:val=&quot;7FBE4DEA&quot;/&gt;&lt;wsp:rsid wsp:val=&quot;7FC00B62&quot;/&gt;&lt;wsp:rsid wsp:val=&quot;7FC02E5E&quot;/&gt;&lt;wsp:rsid wsp:val=&quot;7FC27C35&quot;/&gt;&lt;wsp:rsid wsp:val=&quot;7FC30BE7&quot;/&gt;&lt;wsp:rsid wsp:val=&quot;7FC32F20&quot;/&gt;&lt;wsp:rsid wsp:val=&quot;7FC44AF6&quot;/&gt;&lt;wsp:rsid wsp:val=&quot;7FC5261C&quot;/&gt;&lt;wsp:rsid wsp:val=&quot;7FC56178&quot;/&gt;&lt;wsp:rsid wsp:val=&quot;7FC632C4&quot;/&gt;&lt;wsp:rsid wsp:val=&quot;7FC65272&quot;/&gt;&lt;wsp:rsid wsp:val=&quot;7FC70142&quot;/&gt;&lt;wsp:rsid wsp:val=&quot;7FC84033&quot;/&gt;&lt;wsp:rsid wsp:val=&quot;7FC9210C&quot;/&gt;&lt;wsp:rsid wsp:val=&quot;7FC93EBA&quot;/&gt;&lt;wsp:rsid wsp:val=&quot;7FC95C68&quot;/&gt;&lt;wsp:rsid wsp:val=&quot;7FCA378E&quot;/&gt;&lt;wsp:rsid wsp:val=&quot;7FCA6AE1&quot;/&gt;&lt;wsp:rsid wsp:val=&quot;7FCB55CD&quot;/&gt;&lt;wsp:rsid wsp:val=&quot;7FCB6A2C&quot;/&gt;&lt;wsp:rsid wsp:val=&quot;7FCB7C32&quot;/&gt;&lt;wsp:rsid wsp:val=&quot;7FCC39AA&quot;/&gt;&lt;wsp:rsid wsp:val=&quot;7FCE14D1&quot;/&gt;&lt;wsp:rsid wsp:val=&quot;7FD0349B&quot;/&gt;&lt;wsp:rsid wsp:val=&quot;7FD12D6F&quot;/&gt;&lt;wsp:rsid wsp:val=&quot;7FD34D39&quot;/&gt;&lt;wsp:rsid wsp:val=&quot;7FD40A33&quot;/&gt;&lt;wsp:rsid wsp:val=&quot;7FD4460D&quot;/&gt;&lt;wsp:rsid wsp:val=&quot;7FD8234F&quot;/&gt;&lt;wsp:rsid wsp:val=&quot;7FD9642C&quot;/&gt;&lt;wsp:rsid wsp:val=&quot;7FDA65D6&quot;/&gt;&lt;wsp:rsid wsp:val=&quot;7FDA7E75&quot;/&gt;&lt;wsp:rsid wsp:val=&quot;7FDB3BED&quot;/&gt;&lt;wsp:rsid wsp:val=&quot;7FDB599C&quot;/&gt;&lt;wsp:rsid wsp:val=&quot;7FDF548C&quot;/&gt;&lt;wsp:rsid wsp:val=&quot;7FE06D2E&quot;/&gt;&lt;wsp:rsid wsp:val=&quot;7FE14CA0&quot;/&gt;&lt;wsp:rsid wsp:val=&quot;7FE26D2A&quot;/&gt;&lt;wsp:rsid wsp:val=&quot;7FE40CF4&quot;/&gt;&lt;wsp:rsid wsp:val=&quot;7FE47E50&quot;/&gt;&lt;wsp:rsid wsp:val=&quot;7FE53549&quot;/&gt;&lt;wsp:rsid wsp:val=&quot;7FE72592&quot;/&gt;&lt;wsp:rsid wsp:val=&quot;7FE74340&quot;/&gt;&lt;wsp:rsid wsp:val=&quot;7FEC35BC&quot;/&gt;&lt;wsp:rsid wsp:val=&quot;7FEC7BA9&quot;/&gt;&lt;wsp:rsid wsp:val=&quot;7FED5DAB&quot;/&gt;&lt;wsp:rsid wsp:val=&quot;7FEE3921&quot;/&gt;&lt;wsp:rsid wsp:val=&quot;7FEE56CF&quot;/&gt;&lt;wsp:rsid wsp:val=&quot;7FF07D9E&quot;/&gt;&lt;wsp:rsid wsp:val=&quot;7FF151BF&quot;/&gt;&lt;wsp:rsid wsp:val=&quot;7FF16F6D&quot;/&gt;&lt;wsp:rsid wsp:val=&quot;7FF17C71&quot;/&gt;&lt;wsp:rsid wsp:val=&quot;7FF2594B&quot;/&gt;&lt;wsp:rsid wsp:val=&quot;7FF32CE5&quot;/&gt;&lt;wsp:rsid wsp:val=&quot;7FF76C79&quot;/&gt;&lt;wsp:rsid wsp:val=&quot;7FF7723F&quot;/&gt;&lt;wsp:rsid wsp:val=&quot;7FF802FC&quot;/&gt;&lt;wsp:rsid wsp:val=&quot;7FF8654D&quot;/&gt;&lt;wsp:rsid wsp:val=&quot;7FFB603E&quot;/&gt;&lt;wsp:rsid wsp:val=&quot;7FFF5B2E&quot;/&gt;&lt;/wsp:rsids&gt;&lt;/w:docPr&gt;&lt;w:body&gt;&lt;wx:sect&gt;&lt;w:p wsp:rsidR=&quot;00000000&quot; wsp:rsidRDefault=&quot;00721B5C&quot; wsp:rsidP=&quot;00721B5C&quot;&gt;&lt;w:pPr&gt;&lt;w:ind w:first-line=&quot;480&quot;/&gt;&lt;/w:pPr&gt;&lt;m:oMathPara&gt;&lt;m:oMath&gt;&lt;m:sSubSup&gt;&lt;m:sSubSupPr&gt;&lt;m:ctrlPr&gt;&lt;w:rPr&gt;&lt;w:rFonts w:ascii=&quot;Cambria Math&quot; w:h-ansi=&quot;Cambria Math&quot;/&gt;&lt;wx:font wx:val=&quot;Cambria Math&quot;/&gt;&lt;w:i/&gt;&lt;w:sz-cs w:val=&quot;21&quot;/&gt;&lt;/w:rPr&gt;&lt;/m:ctrlPr&gt;&lt;/m:sSubSupPr&gt;&lt;m:e&gt;&lt;m:r&gt;&lt;w:rPr&gt;&lt;w:rFonts w:ascii=&quot;Cambria Math&quot; w:h-ansi=&quot;Cambria Math&quot;/&gt;&lt;wx:font wx:val=&quot;Cambria Math&quot;/&gt;&lt;w:i/&gt;&lt;w:sz-cs w:val=&quot;21&quot;/&gt;&lt;/w:rPr&gt;&lt;m:t&gt;Q&lt;/m:t&gt;&lt;/m:r&gt;&lt;/m:e&gt;&lt;m:sub&gt;&lt;m:r&gt;&lt;w:rPr&gt;&lt;w:rFonts w:ascii=&quot;Cambria Math&quot; w:h-ansi=&quot;Cambria Math&quot;/&gt;&lt;wx:font wx:val=&quot;Cambria Math&quot;/&gt;&lt;w:i/&gt;&lt;w:sz-cs w:val=&quot;21&quot;/&gt;&lt;/w:rPr&gt;&lt;m:t&gt;p&lt;/m:t&gt;&lt;/m:r&gt;&lt;/m:sub&gt;&lt;m:sup&gt;&lt;m:r&gt;&lt;w:rPr&gt;&lt;w:rFonts w:ascii=&quot;Cambria Math&quot; w:h-ansi=&quot;Cambria Math&quot;/&gt;&lt;wx:font wx:val=&quot;Cambria Math&quot;/&gt;&lt;w:i/&gt;&lt;w:sz-cs w:val=&quot;21&quot;/&gt;&lt;/w:rPr&gt;&lt;m:t&gt;'&lt;/m:t&gt;&lt;/m:r&gt;&lt;/m:sup&gt;&lt;/m:sSub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14" chromakey="#FFFFFF" o:title=""/>
                  <o:lock v:ext="edit" aspectratio="t"/>
                  <w10:wrap type="none"/>
                  <w10:anchorlock/>
                </v:shape>
              </w:pict>
            </w:r>
            <w:r>
              <w:rPr>
                <w:rFonts w:hint="default"/>
                <w:caps w:val="0"/>
                <w:color w:val="auto"/>
                <w:spacing w:val="0"/>
                <w:position w:val="0"/>
                <w:highlight w:val="none"/>
              </w:rPr>
              <w:fldChar w:fldCharType="end"/>
            </w:r>
            <w:r>
              <w:rPr>
                <w:rFonts w:hint="eastAsia"/>
                <w:caps w:val="0"/>
                <w:color w:val="auto"/>
                <w:spacing w:val="0"/>
                <w:position w:val="0"/>
                <w:highlight w:val="none"/>
              </w:rPr>
              <w:t>：总扬尘量，（</w:t>
            </w:r>
            <w:r>
              <w:rPr>
                <w:rFonts w:hint="default"/>
                <w:caps w:val="0"/>
                <w:color w:val="auto"/>
                <w:spacing w:val="0"/>
                <w:position w:val="0"/>
                <w:highlight w:val="none"/>
              </w:rPr>
              <w:t>kg/a）；</w:t>
            </w:r>
          </w:p>
          <w:p w14:paraId="0C337679">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V：车辆速度，</w:t>
            </w:r>
            <w:r>
              <w:rPr>
                <w:rFonts w:hint="default"/>
                <w:caps w:val="0"/>
                <w:color w:val="auto"/>
                <w:spacing w:val="0"/>
                <w:position w:val="0"/>
                <w:highlight w:val="none"/>
              </w:rPr>
              <w:t>20km/h；</w:t>
            </w:r>
          </w:p>
          <w:p w14:paraId="09AAF66F">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M：车辆载重，</w:t>
            </w:r>
            <w:r>
              <w:rPr>
                <w:rFonts w:hint="eastAsia"/>
                <w:caps w:val="0"/>
                <w:color w:val="auto"/>
                <w:spacing w:val="0"/>
                <w:position w:val="0"/>
                <w:highlight w:val="none"/>
                <w:lang w:val="en-US" w:eastAsia="zh-CN"/>
              </w:rPr>
              <w:t>4</w:t>
            </w:r>
            <w:r>
              <w:rPr>
                <w:rFonts w:hint="default"/>
                <w:caps w:val="0"/>
                <w:color w:val="auto"/>
                <w:spacing w:val="0"/>
                <w:position w:val="0"/>
                <w:highlight w:val="none"/>
              </w:rPr>
              <w:t>0t/辆；</w:t>
            </w:r>
          </w:p>
          <w:p w14:paraId="045E269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P：路面灰尘覆盖率，</w:t>
            </w:r>
            <w:r>
              <w:rPr>
                <w:rFonts w:hint="default"/>
                <w:caps w:val="0"/>
                <w:color w:val="auto"/>
                <w:spacing w:val="0"/>
                <w:position w:val="0"/>
                <w:highlight w:val="none"/>
              </w:rPr>
              <w:t>0.05~0.3kg/㎡，取0.</w:t>
            </w:r>
            <w:r>
              <w:rPr>
                <w:rFonts w:hint="eastAsia"/>
                <w:caps w:val="0"/>
                <w:color w:val="auto"/>
                <w:spacing w:val="0"/>
                <w:position w:val="0"/>
                <w:highlight w:val="none"/>
                <w:lang w:val="en-US" w:eastAsia="zh-CN"/>
              </w:rPr>
              <w:t>05</w:t>
            </w:r>
            <w:r>
              <w:rPr>
                <w:rFonts w:hint="default"/>
                <w:caps w:val="0"/>
                <w:color w:val="auto"/>
                <w:spacing w:val="0"/>
                <w:position w:val="0"/>
                <w:highlight w:val="none"/>
              </w:rPr>
              <w:t>kg/㎡；</w:t>
            </w:r>
          </w:p>
          <w:p w14:paraId="08542DF9">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L：运距，</w:t>
            </w:r>
            <w:r>
              <w:rPr>
                <w:rFonts w:hint="default"/>
                <w:caps w:val="0"/>
                <w:color w:val="auto"/>
                <w:spacing w:val="0"/>
                <w:position w:val="0"/>
                <w:highlight w:val="none"/>
              </w:rPr>
              <w:t>km；取0.5km；</w:t>
            </w:r>
          </w:p>
          <w:p w14:paraId="72AF617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Q：运输量，</w:t>
            </w:r>
            <w:r>
              <w:rPr>
                <w:rFonts w:hint="eastAsia"/>
                <w:caps w:val="0"/>
                <w:color w:val="auto"/>
                <w:spacing w:val="0"/>
                <w:position w:val="0"/>
                <w:highlight w:val="none"/>
                <w:lang w:val="en-US" w:eastAsia="zh-CN"/>
              </w:rPr>
              <w:t>399070</w:t>
            </w:r>
            <w:r>
              <w:rPr>
                <w:rFonts w:hint="default"/>
                <w:caps w:val="0"/>
                <w:color w:val="auto"/>
                <w:spacing w:val="0"/>
                <w:position w:val="0"/>
                <w:highlight w:val="none"/>
              </w:rPr>
              <w:t>t/a</w:t>
            </w:r>
            <w:r>
              <w:rPr>
                <w:rFonts w:hint="eastAsia"/>
                <w:caps w:val="0"/>
                <w:color w:val="auto"/>
                <w:spacing w:val="0"/>
                <w:position w:val="0"/>
                <w:highlight w:val="none"/>
              </w:rPr>
              <w:t>。</w:t>
            </w:r>
          </w:p>
          <w:p w14:paraId="6FF89617">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rPr>
              <w:t>厂区内运输距离按</w:t>
            </w:r>
            <w:r>
              <w:rPr>
                <w:rFonts w:hint="default"/>
                <w:caps w:val="0"/>
                <w:color w:val="auto"/>
                <w:spacing w:val="0"/>
                <w:position w:val="0"/>
                <w:highlight w:val="none"/>
              </w:rPr>
              <w:t>500m计，经计算，道路扬尘量为</w:t>
            </w:r>
            <w:r>
              <w:rPr>
                <w:rFonts w:hint="eastAsia"/>
                <w:caps w:val="0"/>
                <w:color w:val="auto"/>
                <w:spacing w:val="0"/>
                <w:position w:val="0"/>
                <w:highlight w:val="none"/>
                <w:lang w:val="en-US" w:eastAsia="zh-CN"/>
              </w:rPr>
              <w:t>0.42</w:t>
            </w:r>
            <w:r>
              <w:rPr>
                <w:rFonts w:hint="default"/>
                <w:caps w:val="0"/>
                <w:color w:val="auto"/>
                <w:spacing w:val="0"/>
                <w:position w:val="0"/>
                <w:highlight w:val="none"/>
              </w:rPr>
              <w:t>kg/km·辆，运输总扬尘总量为</w:t>
            </w:r>
            <w:r>
              <w:rPr>
                <w:rFonts w:hint="eastAsia"/>
                <w:caps w:val="0"/>
                <w:color w:val="auto"/>
                <w:spacing w:val="0"/>
                <w:position w:val="0"/>
                <w:highlight w:val="none"/>
                <w:lang w:val="en-US" w:eastAsia="zh-CN"/>
              </w:rPr>
              <w:t>2.14</w:t>
            </w:r>
            <w:r>
              <w:rPr>
                <w:rFonts w:hint="default"/>
                <w:caps w:val="0"/>
                <w:color w:val="auto"/>
                <w:spacing w:val="0"/>
                <w:position w:val="0"/>
                <w:highlight w:val="none"/>
              </w:rPr>
              <w:t>t/a，</w:t>
            </w:r>
            <w:r>
              <w:rPr>
                <w:rFonts w:hint="default"/>
                <w:caps w:val="0"/>
                <w:color w:val="auto"/>
                <w:spacing w:val="0"/>
                <w:position w:val="0"/>
                <w:sz w:val="24"/>
                <w:szCs w:val="24"/>
                <w:highlight w:val="none"/>
              </w:rPr>
              <w:t>厂区道路已硬化，</w:t>
            </w:r>
            <w:r>
              <w:rPr>
                <w:rFonts w:hint="default"/>
                <w:caps w:val="0"/>
                <w:color w:val="auto"/>
                <w:spacing w:val="0"/>
                <w:position w:val="0"/>
                <w:highlight w:val="none"/>
              </w:rPr>
              <w:t>为防止运输道路积尘引起二次扬尘，</w:t>
            </w:r>
            <w:r>
              <w:rPr>
                <w:rFonts w:hint="default"/>
                <w:caps w:val="0"/>
                <w:color w:val="auto"/>
                <w:spacing w:val="0"/>
                <w:position w:val="0"/>
                <w:sz w:val="24"/>
                <w:szCs w:val="24"/>
                <w:highlight w:val="none"/>
              </w:rPr>
              <w:t>建设单位对</w:t>
            </w:r>
            <w:r>
              <w:rPr>
                <w:rFonts w:hint="default"/>
                <w:caps w:val="0"/>
                <w:color w:val="auto"/>
                <w:spacing w:val="0"/>
                <w:position w:val="0"/>
                <w:highlight w:val="none"/>
              </w:rPr>
              <w:t>运有物料的车辆应采用棚布遮盖，定期人工清</w:t>
            </w:r>
            <w:r>
              <w:rPr>
                <w:rFonts w:hint="eastAsia"/>
                <w:caps w:val="0"/>
                <w:color w:val="auto"/>
                <w:spacing w:val="0"/>
                <w:position w:val="0"/>
                <w:highlight w:val="none"/>
              </w:rPr>
              <w:t>扫，并进行防尘洒水，在晴天对路面进行清扫和洒水，并适当控制车速，</w:t>
            </w:r>
            <w:r>
              <w:rPr>
                <w:rFonts w:hint="default"/>
                <w:caps w:val="0"/>
                <w:color w:val="auto"/>
                <w:spacing w:val="0"/>
                <w:position w:val="0"/>
                <w:sz w:val="24"/>
                <w:szCs w:val="24"/>
                <w:highlight w:val="none"/>
              </w:rPr>
              <w:t>处理效率可达到</w:t>
            </w:r>
            <w:r>
              <w:rPr>
                <w:rFonts w:hint="default" w:ascii="Times New Roman" w:hAnsi="Times New Roman" w:eastAsia="Times New Roman" w:cs="Times New Roman"/>
                <w:caps w:val="0"/>
                <w:color w:val="auto"/>
                <w:spacing w:val="0"/>
                <w:position w:val="0"/>
                <w:sz w:val="24"/>
                <w:szCs w:val="24"/>
                <w:highlight w:val="none"/>
              </w:rPr>
              <w:t>90%</w:t>
            </w:r>
            <w:r>
              <w:rPr>
                <w:rFonts w:hint="default"/>
                <w:caps w:val="0"/>
                <w:color w:val="auto"/>
                <w:spacing w:val="0"/>
                <w:position w:val="0"/>
                <w:sz w:val="24"/>
                <w:szCs w:val="24"/>
                <w:highlight w:val="none"/>
              </w:rPr>
              <w:t>左右，</w:t>
            </w:r>
            <w:r>
              <w:rPr>
                <w:rFonts w:hint="eastAsia"/>
                <w:caps w:val="0"/>
                <w:color w:val="auto"/>
                <w:spacing w:val="0"/>
                <w:position w:val="0"/>
                <w:highlight w:val="none"/>
              </w:rPr>
              <w:t>则</w:t>
            </w:r>
            <w:r>
              <w:rPr>
                <w:rFonts w:hint="eastAsia"/>
                <w:caps w:val="0"/>
                <w:color w:val="auto"/>
                <w:spacing w:val="0"/>
                <w:position w:val="0"/>
                <w:highlight w:val="none"/>
                <w:lang w:eastAsia="zh-CN"/>
              </w:rPr>
              <w:t>输送粉尘</w:t>
            </w:r>
            <w:r>
              <w:rPr>
                <w:rFonts w:hint="default"/>
                <w:caps w:val="0"/>
                <w:color w:val="auto"/>
                <w:spacing w:val="0"/>
                <w:position w:val="0"/>
                <w:highlight w:val="none"/>
              </w:rPr>
              <w:t>排放量约为</w:t>
            </w:r>
            <w:r>
              <w:rPr>
                <w:rFonts w:hint="eastAsia"/>
                <w:caps w:val="0"/>
                <w:color w:val="auto"/>
                <w:spacing w:val="0"/>
                <w:position w:val="0"/>
                <w:highlight w:val="none"/>
                <w:lang w:val="en-US" w:eastAsia="zh-CN"/>
              </w:rPr>
              <w:t>0.214</w:t>
            </w:r>
            <w:r>
              <w:rPr>
                <w:rFonts w:hint="default"/>
                <w:caps w:val="0"/>
                <w:color w:val="auto"/>
                <w:spacing w:val="0"/>
                <w:position w:val="0"/>
                <w:highlight w:val="none"/>
              </w:rPr>
              <w:t>t/a（</w:t>
            </w:r>
            <w:r>
              <w:rPr>
                <w:rFonts w:hint="eastAsia"/>
                <w:caps w:val="0"/>
                <w:color w:val="auto"/>
                <w:spacing w:val="0"/>
                <w:position w:val="0"/>
                <w:highlight w:val="none"/>
                <w:lang w:val="en-US" w:eastAsia="zh-CN"/>
              </w:rPr>
              <w:t>0.045</w:t>
            </w:r>
            <w:r>
              <w:rPr>
                <w:rFonts w:hint="default"/>
                <w:caps w:val="0"/>
                <w:color w:val="auto"/>
                <w:spacing w:val="0"/>
                <w:position w:val="0"/>
                <w:highlight w:val="none"/>
              </w:rPr>
              <w:t>kg/h），呈无组织排放。</w:t>
            </w:r>
          </w:p>
          <w:p w14:paraId="143760A6">
            <w:pPr>
              <w:pStyle w:val="74"/>
              <w:keepNext w:val="0"/>
              <w:keepLines w:val="0"/>
              <w:numPr>
                <w:ilvl w:val="0"/>
                <w:numId w:val="0"/>
              </w:numPr>
              <w:suppressLineNumbers w:val="0"/>
              <w:bidi w:val="0"/>
              <w:spacing w:before="0" w:beforeAutospacing="0" w:after="0" w:afterAutospacing="0"/>
              <w:ind w:left="0" w:leftChars="0" w:right="0" w:rightChars="0" w:firstLine="482" w:firstLineChars="200"/>
              <w:rPr>
                <w:rFonts w:hint="eastAsia"/>
                <w:b/>
                <w:bCs w:val="0"/>
                <w:caps w:val="0"/>
                <w:color w:val="auto"/>
                <w:spacing w:val="0"/>
                <w:position w:val="0"/>
                <w:highlight w:val="none"/>
                <w:lang w:val="en-US" w:eastAsia="zh-CN"/>
              </w:rPr>
            </w:pPr>
            <w:r>
              <w:rPr>
                <w:rFonts w:hint="eastAsia" w:cs="Times New Roman"/>
                <w:b/>
                <w:bCs w:val="0"/>
                <w:caps w:val="0"/>
                <w:color w:val="auto"/>
                <w:spacing w:val="0"/>
                <w:kern w:val="2"/>
                <w:position w:val="0"/>
                <w:sz w:val="24"/>
                <w:szCs w:val="24"/>
                <w:highlight w:val="none"/>
                <w:lang w:val="en-US" w:eastAsia="zh-CN" w:bidi="ar-SA"/>
              </w:rPr>
              <w:t>1.3、</w:t>
            </w:r>
            <w:r>
              <w:rPr>
                <w:rFonts w:hint="eastAsia" w:ascii="Times New Roman" w:hAnsi="Times New Roman" w:eastAsia="宋体" w:cs="Times New Roman"/>
                <w:b/>
                <w:bCs w:val="0"/>
                <w:caps w:val="0"/>
                <w:color w:val="auto"/>
                <w:spacing w:val="0"/>
                <w:kern w:val="2"/>
                <w:position w:val="0"/>
                <w:sz w:val="24"/>
                <w:szCs w:val="21"/>
                <w:highlight w:val="none"/>
                <w:lang w:val="zh-CN" w:eastAsia="zh-CN" w:bidi="ar-SA"/>
              </w:rPr>
              <w:t>排气筒参数及合理性分析</w:t>
            </w:r>
          </w:p>
          <w:p w14:paraId="1915100F">
            <w:pPr>
              <w:pStyle w:val="76"/>
              <w:keepNext w:val="0"/>
              <w:keepLines w:val="0"/>
              <w:suppressLineNumbers w:val="0"/>
              <w:spacing w:before="0" w:beforeAutospacing="0" w:after="0" w:afterAutospacing="0"/>
              <w:ind w:left="0" w:right="0" w:firstLine="480"/>
              <w:rPr>
                <w:rFonts w:hint="default" w:ascii="Times New Roman" w:hAnsi="Times New Roman" w:eastAsia="宋体" w:cs="Times New Roman"/>
                <w:caps w:val="0"/>
                <w:color w:val="auto"/>
                <w:spacing w:val="0"/>
                <w:kern w:val="2"/>
                <w:position w:val="0"/>
                <w:sz w:val="24"/>
                <w:szCs w:val="21"/>
                <w:highlight w:val="none"/>
                <w:lang w:val="en-US" w:eastAsia="zh-CN" w:bidi="ar-SA"/>
              </w:rPr>
            </w:pPr>
            <w:r>
              <w:rPr>
                <w:rFonts w:hint="default" w:ascii="Times New Roman" w:hAnsi="Times New Roman" w:eastAsia="宋体" w:cs="Times New Roman"/>
                <w:caps w:val="0"/>
                <w:color w:val="auto"/>
                <w:spacing w:val="0"/>
                <w:kern w:val="2"/>
                <w:position w:val="0"/>
                <w:sz w:val="24"/>
                <w:szCs w:val="21"/>
                <w:highlight w:val="none"/>
                <w:lang w:val="en-US" w:eastAsia="zh-CN" w:bidi="ar-SA"/>
              </w:rPr>
              <w:fldChar w:fldCharType="begin"/>
            </w:r>
            <w:r>
              <w:rPr>
                <w:rFonts w:hint="default" w:ascii="Times New Roman" w:hAnsi="Times New Roman" w:eastAsia="宋体" w:cs="Times New Roman"/>
                <w:caps w:val="0"/>
                <w:color w:val="auto"/>
                <w:spacing w:val="0"/>
                <w:kern w:val="2"/>
                <w:position w:val="0"/>
                <w:sz w:val="24"/>
                <w:szCs w:val="21"/>
                <w:highlight w:val="none"/>
                <w:lang w:val="en-US" w:eastAsia="zh-CN" w:bidi="ar-SA"/>
              </w:rPr>
              <w:instrText xml:space="preserve"> </w:instrText>
            </w:r>
            <w:r>
              <w:rPr>
                <w:rFonts w:hint="eastAsia" w:ascii="Times New Roman" w:hAnsi="Times New Roman" w:eastAsia="宋体" w:cs="Times New Roman"/>
                <w:caps w:val="0"/>
                <w:color w:val="auto"/>
                <w:spacing w:val="0"/>
                <w:kern w:val="2"/>
                <w:position w:val="0"/>
                <w:sz w:val="24"/>
                <w:szCs w:val="21"/>
                <w:highlight w:val="none"/>
                <w:lang w:val="en-US" w:eastAsia="zh-CN" w:bidi="ar-SA"/>
              </w:rPr>
              <w:instrText xml:space="preserve">= 1 \* GB3</w:instrText>
            </w:r>
            <w:r>
              <w:rPr>
                <w:rFonts w:hint="default" w:ascii="Times New Roman" w:hAnsi="Times New Roman" w:eastAsia="宋体" w:cs="Times New Roman"/>
                <w:caps w:val="0"/>
                <w:color w:val="auto"/>
                <w:spacing w:val="0"/>
                <w:kern w:val="2"/>
                <w:position w:val="0"/>
                <w:sz w:val="24"/>
                <w:szCs w:val="21"/>
                <w:highlight w:val="none"/>
                <w:lang w:val="en-US" w:eastAsia="zh-CN" w:bidi="ar-SA"/>
              </w:rPr>
              <w:instrText xml:space="preserve"> </w:instrText>
            </w:r>
            <w:r>
              <w:rPr>
                <w:rFonts w:hint="default" w:ascii="Times New Roman" w:hAnsi="Times New Roman" w:eastAsia="宋体" w:cs="Times New Roman"/>
                <w:caps w:val="0"/>
                <w:color w:val="auto"/>
                <w:spacing w:val="0"/>
                <w:kern w:val="2"/>
                <w:position w:val="0"/>
                <w:sz w:val="24"/>
                <w:szCs w:val="21"/>
                <w:highlight w:val="none"/>
                <w:lang w:val="en-US" w:eastAsia="zh-CN" w:bidi="ar-SA"/>
              </w:rPr>
              <w:fldChar w:fldCharType="separate"/>
            </w:r>
            <w:r>
              <w:rPr>
                <w:rFonts w:hint="eastAsia" w:ascii="Times New Roman" w:hAnsi="Times New Roman" w:eastAsia="宋体" w:cs="Times New Roman"/>
                <w:caps w:val="0"/>
                <w:color w:val="auto"/>
                <w:spacing w:val="0"/>
                <w:kern w:val="2"/>
                <w:position w:val="0"/>
                <w:sz w:val="24"/>
                <w:szCs w:val="21"/>
                <w:highlight w:val="none"/>
                <w:lang w:val="en-US" w:eastAsia="zh-CN" w:bidi="ar-SA"/>
              </w:rPr>
              <w:t>①</w:t>
            </w:r>
            <w:r>
              <w:rPr>
                <w:rFonts w:hint="default" w:ascii="Times New Roman" w:hAnsi="Times New Roman" w:eastAsia="宋体" w:cs="Times New Roman"/>
                <w:caps w:val="0"/>
                <w:color w:val="auto"/>
                <w:spacing w:val="0"/>
                <w:kern w:val="2"/>
                <w:position w:val="0"/>
                <w:sz w:val="24"/>
                <w:szCs w:val="21"/>
                <w:highlight w:val="none"/>
                <w:lang w:val="en-US" w:eastAsia="zh-CN" w:bidi="ar-SA"/>
              </w:rPr>
              <w:fldChar w:fldCharType="end"/>
            </w:r>
            <w:r>
              <w:rPr>
                <w:rFonts w:hint="eastAsia" w:ascii="Times New Roman" w:hAnsi="Times New Roman" w:eastAsia="宋体" w:cs="Times New Roman"/>
                <w:caps w:val="0"/>
                <w:color w:val="auto"/>
                <w:spacing w:val="0"/>
                <w:kern w:val="2"/>
                <w:position w:val="0"/>
                <w:sz w:val="24"/>
                <w:szCs w:val="21"/>
                <w:highlight w:val="none"/>
                <w:lang w:val="en-US" w:eastAsia="zh-CN" w:bidi="ar-SA"/>
              </w:rPr>
              <w:t>排气简高度设置合理性分析：</w:t>
            </w:r>
            <w:r>
              <w:rPr>
                <w:rFonts w:hint="default" w:ascii="Times New Roman" w:hAnsi="Times New Roman" w:eastAsia="宋体" w:cs="Times New Roman"/>
                <w:caps w:val="0"/>
                <w:color w:val="auto"/>
                <w:spacing w:val="0"/>
                <w:kern w:val="2"/>
                <w:position w:val="0"/>
                <w:sz w:val="24"/>
                <w:szCs w:val="21"/>
                <w:highlight w:val="none"/>
                <w:lang w:val="en-US" w:eastAsia="zh-CN" w:bidi="ar-SA"/>
              </w:rPr>
              <w:t>由于</w:t>
            </w:r>
            <w:r>
              <w:rPr>
                <w:rFonts w:hint="eastAsia" w:ascii="Times New Roman" w:hAnsi="Times New Roman" w:eastAsia="宋体" w:cs="Times New Roman"/>
                <w:caps w:val="0"/>
                <w:color w:val="auto"/>
                <w:spacing w:val="0"/>
                <w:kern w:val="2"/>
                <w:position w:val="0"/>
                <w:sz w:val="24"/>
                <w:szCs w:val="21"/>
                <w:highlight w:val="none"/>
                <w:lang w:val="en-US" w:eastAsia="zh-CN" w:bidi="ar-SA"/>
              </w:rPr>
              <w:t>本项目</w:t>
            </w:r>
            <w:r>
              <w:rPr>
                <w:rFonts w:hint="default" w:ascii="Times New Roman" w:hAnsi="Times New Roman" w:eastAsia="宋体" w:cs="Times New Roman"/>
                <w:caps w:val="0"/>
                <w:color w:val="auto"/>
                <w:spacing w:val="0"/>
                <w:kern w:val="2"/>
                <w:position w:val="0"/>
                <w:sz w:val="24"/>
                <w:szCs w:val="21"/>
                <w:highlight w:val="none"/>
                <w:lang w:val="en-US" w:eastAsia="zh-CN" w:bidi="ar-SA"/>
              </w:rPr>
              <w:t>废气主要</w:t>
            </w:r>
            <w:r>
              <w:rPr>
                <w:rFonts w:hint="eastAsia" w:ascii="Times New Roman" w:hAnsi="Times New Roman" w:eastAsia="宋体" w:cs="Times New Roman"/>
                <w:caps w:val="0"/>
                <w:color w:val="auto"/>
                <w:spacing w:val="0"/>
                <w:kern w:val="2"/>
                <w:position w:val="0"/>
                <w:sz w:val="24"/>
                <w:szCs w:val="21"/>
                <w:highlight w:val="none"/>
                <w:lang w:val="en-US" w:eastAsia="zh-CN" w:bidi="ar-SA"/>
              </w:rPr>
              <w:t>为</w:t>
            </w:r>
            <w:r>
              <w:rPr>
                <w:rFonts w:hint="eastAsia" w:cs="Times New Roman"/>
                <w:caps w:val="0"/>
                <w:color w:val="auto"/>
                <w:spacing w:val="0"/>
                <w:kern w:val="2"/>
                <w:position w:val="0"/>
                <w:sz w:val="24"/>
                <w:szCs w:val="21"/>
                <w:highlight w:val="none"/>
                <w:lang w:val="en-US" w:eastAsia="zh-CN" w:bidi="ar-SA"/>
              </w:rPr>
              <w:t>投料粉尘、</w:t>
            </w:r>
            <w:r>
              <w:rPr>
                <w:rFonts w:hint="eastAsia"/>
                <w:caps w:val="0"/>
                <w:color w:val="auto"/>
                <w:spacing w:val="0"/>
                <w:position w:val="0"/>
                <w:highlight w:val="none"/>
              </w:rPr>
              <w:t>搅拌粉尘</w:t>
            </w:r>
            <w:r>
              <w:rPr>
                <w:rFonts w:hint="default" w:ascii="Times New Roman" w:hAnsi="Times New Roman" w:eastAsia="宋体" w:cs="Times New Roman"/>
                <w:caps w:val="0"/>
                <w:color w:val="auto"/>
                <w:spacing w:val="0"/>
                <w:kern w:val="2"/>
                <w:position w:val="0"/>
                <w:sz w:val="24"/>
                <w:szCs w:val="21"/>
                <w:highlight w:val="none"/>
                <w:lang w:val="en-US" w:eastAsia="zh-CN" w:bidi="ar-SA"/>
              </w:rPr>
              <w:t>，</w:t>
            </w:r>
            <w:r>
              <w:rPr>
                <w:rFonts w:hint="eastAsia" w:ascii="Times New Roman" w:hAnsi="Times New Roman" w:eastAsia="宋体" w:cs="Times New Roman"/>
                <w:caps w:val="0"/>
                <w:color w:val="auto"/>
                <w:spacing w:val="0"/>
                <w:kern w:val="2"/>
                <w:position w:val="0"/>
                <w:sz w:val="24"/>
                <w:szCs w:val="21"/>
                <w:highlight w:val="none"/>
                <w:lang w:val="en-US" w:eastAsia="zh-CN" w:bidi="ar-SA"/>
              </w:rPr>
              <w:t>根据《大气污染物综合排放标准》（GB16297-1996）</w:t>
            </w:r>
            <w:r>
              <w:rPr>
                <w:rFonts w:hint="eastAsia"/>
                <w:caps w:val="0"/>
                <w:color w:val="auto"/>
                <w:spacing w:val="0"/>
                <w:position w:val="0"/>
                <w:highlight w:val="none"/>
                <w:lang w:val="en-US" w:eastAsia="zh-CN"/>
              </w:rPr>
              <w:t>，</w:t>
            </w:r>
            <w:r>
              <w:rPr>
                <w:rFonts w:hint="eastAsia"/>
                <w:caps w:val="0"/>
                <w:color w:val="auto"/>
                <w:spacing w:val="0"/>
                <w:position w:val="0"/>
                <w:highlight w:val="none"/>
              </w:rPr>
              <w:t>规定排气简最低允许高度为15m</w:t>
            </w:r>
            <w:r>
              <w:rPr>
                <w:rFonts w:hint="eastAsia"/>
                <w:caps w:val="0"/>
                <w:color w:val="auto"/>
                <w:spacing w:val="0"/>
                <w:position w:val="0"/>
                <w:highlight w:val="none"/>
                <w:lang w:eastAsia="zh-CN"/>
              </w:rPr>
              <w:t>，</w:t>
            </w:r>
            <w:r>
              <w:rPr>
                <w:rFonts w:hint="eastAsia" w:ascii="Times New Roman" w:hAnsi="Times New Roman" w:eastAsia="宋体" w:cs="Times New Roman"/>
                <w:caps w:val="0"/>
                <w:color w:val="auto"/>
                <w:spacing w:val="0"/>
                <w:kern w:val="2"/>
                <w:position w:val="0"/>
                <w:sz w:val="24"/>
                <w:szCs w:val="21"/>
                <w:highlight w:val="none"/>
                <w:lang w:val="en-US" w:eastAsia="zh-CN" w:bidi="ar-SA"/>
              </w:rPr>
              <w:t>当排气简周围半径200m距离内有建筑物时，排气简还应高出最高建筑物</w:t>
            </w:r>
            <w:r>
              <w:rPr>
                <w:rFonts w:hint="eastAsia" w:cs="Times New Roman"/>
                <w:caps w:val="0"/>
                <w:color w:val="auto"/>
                <w:spacing w:val="0"/>
                <w:kern w:val="2"/>
                <w:position w:val="0"/>
                <w:sz w:val="24"/>
                <w:szCs w:val="21"/>
                <w:highlight w:val="none"/>
                <w:lang w:val="en-US" w:eastAsia="zh-CN" w:bidi="ar-SA"/>
              </w:rPr>
              <w:t>5</w:t>
            </w:r>
            <w:r>
              <w:rPr>
                <w:rFonts w:hint="eastAsia" w:ascii="Times New Roman" w:hAnsi="Times New Roman" w:eastAsia="宋体" w:cs="Times New Roman"/>
                <w:caps w:val="0"/>
                <w:color w:val="auto"/>
                <w:spacing w:val="0"/>
                <w:kern w:val="2"/>
                <w:position w:val="0"/>
                <w:sz w:val="24"/>
                <w:szCs w:val="21"/>
                <w:highlight w:val="none"/>
                <w:lang w:val="en-US" w:eastAsia="zh-CN" w:bidi="ar-SA"/>
              </w:rPr>
              <w:t>m以上</w:t>
            </w:r>
            <w:r>
              <w:rPr>
                <w:rFonts w:hint="eastAsia" w:cs="Times New Roman"/>
                <w:caps w:val="0"/>
                <w:color w:val="auto"/>
                <w:spacing w:val="0"/>
                <w:kern w:val="2"/>
                <w:position w:val="0"/>
                <w:sz w:val="24"/>
                <w:szCs w:val="21"/>
                <w:highlight w:val="none"/>
                <w:lang w:val="en-US" w:eastAsia="zh-CN" w:bidi="ar-SA"/>
              </w:rPr>
              <w:t>，不能达到排气筒相关规定的</w:t>
            </w:r>
            <w:r>
              <w:rPr>
                <w:rFonts w:hint="eastAsia" w:ascii="Times New Roman" w:hAnsi="Times New Roman" w:eastAsia="宋体" w:cs="Times New Roman"/>
                <w:caps w:val="0"/>
                <w:color w:val="auto"/>
                <w:spacing w:val="0"/>
                <w:kern w:val="2"/>
                <w:position w:val="0"/>
                <w:sz w:val="24"/>
                <w:szCs w:val="21"/>
                <w:highlight w:val="none"/>
                <w:lang w:val="en-US" w:eastAsia="zh-CN" w:bidi="ar-SA"/>
              </w:rPr>
              <w:t>应按相应区域排放标准值的50%执行。本项目</w:t>
            </w:r>
            <w:r>
              <w:rPr>
                <w:rFonts w:hint="default" w:ascii="Times New Roman" w:hAnsi="Times New Roman" w:eastAsia="宋体" w:cs="Times New Roman"/>
                <w:caps w:val="0"/>
                <w:color w:val="auto"/>
                <w:spacing w:val="0"/>
                <w:kern w:val="2"/>
                <w:position w:val="0"/>
                <w:sz w:val="24"/>
                <w:szCs w:val="21"/>
                <w:highlight w:val="none"/>
                <w:lang w:val="en-US" w:eastAsia="zh-CN" w:bidi="ar-SA"/>
              </w:rPr>
              <w:t>产生的废气通过</w:t>
            </w:r>
            <w:r>
              <w:rPr>
                <w:rFonts w:hint="eastAsia" w:cs="Times New Roman"/>
                <w:caps w:val="0"/>
                <w:color w:val="auto"/>
                <w:spacing w:val="0"/>
                <w:kern w:val="2"/>
                <w:position w:val="0"/>
                <w:sz w:val="24"/>
                <w:szCs w:val="21"/>
                <w:highlight w:val="none"/>
                <w:lang w:val="en-US" w:eastAsia="zh-CN" w:bidi="ar-SA"/>
              </w:rPr>
              <w:t>15</w:t>
            </w:r>
            <w:r>
              <w:rPr>
                <w:rFonts w:hint="default" w:ascii="Times New Roman" w:hAnsi="Times New Roman" w:eastAsia="宋体" w:cs="Times New Roman"/>
                <w:caps w:val="0"/>
                <w:color w:val="auto"/>
                <w:spacing w:val="0"/>
                <w:kern w:val="2"/>
                <w:position w:val="0"/>
                <w:sz w:val="24"/>
                <w:szCs w:val="21"/>
                <w:highlight w:val="none"/>
                <w:lang w:val="en-US" w:eastAsia="zh-CN" w:bidi="ar-SA"/>
              </w:rPr>
              <w:t>米高</w:t>
            </w:r>
            <w:r>
              <w:rPr>
                <w:rFonts w:hint="eastAsia" w:ascii="Times New Roman" w:hAnsi="Times New Roman" w:eastAsia="宋体" w:cs="Times New Roman"/>
                <w:caps w:val="0"/>
                <w:color w:val="auto"/>
                <w:spacing w:val="0"/>
                <w:kern w:val="2"/>
                <w:position w:val="0"/>
                <w:sz w:val="24"/>
                <w:szCs w:val="21"/>
                <w:highlight w:val="none"/>
                <w:lang w:val="en-US" w:eastAsia="zh-CN" w:bidi="ar-SA"/>
              </w:rPr>
              <w:t>排气筒</w:t>
            </w:r>
            <w:r>
              <w:rPr>
                <w:rFonts w:hint="default" w:ascii="Times New Roman" w:hAnsi="Times New Roman" w:eastAsia="宋体" w:cs="Times New Roman"/>
                <w:caps w:val="0"/>
                <w:color w:val="auto"/>
                <w:spacing w:val="0"/>
                <w:kern w:val="2"/>
                <w:position w:val="0"/>
                <w:sz w:val="24"/>
                <w:szCs w:val="21"/>
                <w:highlight w:val="none"/>
                <w:lang w:val="en-US" w:eastAsia="zh-CN" w:bidi="ar-SA"/>
              </w:rPr>
              <w:t>排放</w:t>
            </w:r>
            <w:r>
              <w:rPr>
                <w:rFonts w:hint="eastAsia" w:ascii="Times New Roman" w:hAnsi="Times New Roman" w:eastAsia="宋体" w:cs="Times New Roman"/>
                <w:caps w:val="0"/>
                <w:color w:val="auto"/>
                <w:spacing w:val="0"/>
                <w:kern w:val="2"/>
                <w:position w:val="0"/>
                <w:sz w:val="24"/>
                <w:szCs w:val="21"/>
                <w:highlight w:val="none"/>
                <w:lang w:val="en-US" w:eastAsia="zh-CN" w:bidi="ar-SA"/>
              </w:rPr>
              <w:t>，项目周围2</w:t>
            </w:r>
            <w:r>
              <w:rPr>
                <w:rFonts w:hint="default" w:ascii="Times New Roman" w:hAnsi="Times New Roman" w:eastAsia="宋体" w:cs="Times New Roman"/>
                <w:caps w:val="0"/>
                <w:color w:val="auto"/>
                <w:spacing w:val="0"/>
                <w:kern w:val="2"/>
                <w:position w:val="0"/>
                <w:sz w:val="24"/>
                <w:szCs w:val="21"/>
                <w:highlight w:val="none"/>
                <w:lang w:val="en-US" w:eastAsia="zh-CN" w:bidi="ar-SA"/>
              </w:rPr>
              <w:t>00m</w:t>
            </w:r>
            <w:r>
              <w:rPr>
                <w:rFonts w:hint="eastAsia" w:ascii="Times New Roman" w:hAnsi="Times New Roman" w:eastAsia="宋体" w:cs="Times New Roman"/>
                <w:caps w:val="0"/>
                <w:color w:val="auto"/>
                <w:spacing w:val="0"/>
                <w:kern w:val="2"/>
                <w:position w:val="0"/>
                <w:sz w:val="24"/>
                <w:szCs w:val="21"/>
                <w:highlight w:val="none"/>
                <w:lang w:val="en-US" w:eastAsia="zh-CN" w:bidi="ar-SA"/>
              </w:rPr>
              <w:t>范围内最高建筑物为</w:t>
            </w:r>
            <w:r>
              <w:rPr>
                <w:rFonts w:hint="eastAsia" w:cs="Times New Roman"/>
                <w:caps w:val="0"/>
                <w:color w:val="auto"/>
                <w:spacing w:val="0"/>
                <w:kern w:val="2"/>
                <w:position w:val="0"/>
                <w:sz w:val="24"/>
                <w:szCs w:val="21"/>
                <w:highlight w:val="none"/>
                <w:lang w:val="en-US" w:eastAsia="zh-CN" w:bidi="ar-SA"/>
              </w:rPr>
              <w:t>8</w:t>
            </w:r>
            <w:r>
              <w:rPr>
                <w:rFonts w:hint="eastAsia" w:ascii="Times New Roman" w:hAnsi="Times New Roman" w:eastAsia="宋体" w:cs="Times New Roman"/>
                <w:caps w:val="0"/>
                <w:color w:val="auto"/>
                <w:spacing w:val="0"/>
                <w:kern w:val="2"/>
                <w:position w:val="0"/>
                <w:sz w:val="24"/>
                <w:szCs w:val="21"/>
                <w:highlight w:val="none"/>
                <w:lang w:val="en-US" w:eastAsia="zh-CN" w:bidi="ar-SA"/>
              </w:rPr>
              <w:t>米，排气筒高度从严执行满足高出周围200m半径范围的建筑</w:t>
            </w:r>
            <w:r>
              <w:rPr>
                <w:rFonts w:hint="eastAsia" w:cs="Times New Roman"/>
                <w:caps w:val="0"/>
                <w:color w:val="auto"/>
                <w:spacing w:val="0"/>
                <w:kern w:val="2"/>
                <w:position w:val="0"/>
                <w:sz w:val="24"/>
                <w:szCs w:val="21"/>
                <w:highlight w:val="none"/>
                <w:lang w:val="en-US" w:eastAsia="zh-CN" w:bidi="ar-SA"/>
              </w:rPr>
              <w:t>5</w:t>
            </w:r>
            <w:r>
              <w:rPr>
                <w:rFonts w:hint="eastAsia" w:ascii="Times New Roman" w:hAnsi="Times New Roman" w:eastAsia="宋体" w:cs="Times New Roman"/>
                <w:caps w:val="0"/>
                <w:color w:val="auto"/>
                <w:spacing w:val="0"/>
                <w:kern w:val="2"/>
                <w:position w:val="0"/>
                <w:sz w:val="24"/>
                <w:szCs w:val="21"/>
                <w:highlight w:val="none"/>
                <w:lang w:val="en-US" w:eastAsia="zh-CN" w:bidi="ar-SA"/>
              </w:rPr>
              <w:t>m以上要求。</w:t>
            </w:r>
          </w:p>
          <w:p w14:paraId="29334F41">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aps w:val="0"/>
                <w:color w:val="auto"/>
                <w:spacing w:val="0"/>
                <w:kern w:val="2"/>
                <w:position w:val="0"/>
                <w:sz w:val="24"/>
                <w:szCs w:val="21"/>
                <w:highlight w:val="none"/>
                <w:lang w:val="en-US" w:eastAsia="zh-CN" w:bidi="ar-SA"/>
              </w:rPr>
            </w:pPr>
            <w:r>
              <w:rPr>
                <w:rFonts w:hint="default" w:ascii="Times New Roman" w:hAnsi="Times New Roman" w:eastAsia="宋体" w:cs="Times New Roman"/>
                <w:caps w:val="0"/>
                <w:color w:val="auto"/>
                <w:spacing w:val="0"/>
                <w:kern w:val="2"/>
                <w:position w:val="0"/>
                <w:sz w:val="24"/>
                <w:szCs w:val="21"/>
                <w:highlight w:val="none"/>
                <w:lang w:val="en-US" w:eastAsia="zh-CN" w:bidi="ar-SA"/>
              </w:rPr>
              <w:fldChar w:fldCharType="begin"/>
            </w:r>
            <w:r>
              <w:rPr>
                <w:rFonts w:hint="default" w:ascii="Times New Roman" w:hAnsi="Times New Roman" w:eastAsia="宋体" w:cs="Times New Roman"/>
                <w:caps w:val="0"/>
                <w:color w:val="auto"/>
                <w:spacing w:val="0"/>
                <w:kern w:val="2"/>
                <w:position w:val="0"/>
                <w:sz w:val="24"/>
                <w:szCs w:val="21"/>
                <w:highlight w:val="none"/>
                <w:lang w:val="en-US" w:eastAsia="zh-CN" w:bidi="ar-SA"/>
              </w:rPr>
              <w:instrText xml:space="preserve"> </w:instrText>
            </w:r>
            <w:r>
              <w:rPr>
                <w:rFonts w:hint="eastAsia" w:ascii="Times New Roman" w:hAnsi="Times New Roman" w:eastAsia="宋体" w:cs="Times New Roman"/>
                <w:caps w:val="0"/>
                <w:color w:val="auto"/>
                <w:spacing w:val="0"/>
                <w:kern w:val="2"/>
                <w:position w:val="0"/>
                <w:sz w:val="24"/>
                <w:szCs w:val="21"/>
                <w:highlight w:val="none"/>
                <w:lang w:val="en-US" w:eastAsia="zh-CN" w:bidi="ar-SA"/>
              </w:rPr>
              <w:instrText xml:space="preserve">= 2 \* GB3</w:instrText>
            </w:r>
            <w:r>
              <w:rPr>
                <w:rFonts w:hint="default" w:ascii="Times New Roman" w:hAnsi="Times New Roman" w:eastAsia="宋体" w:cs="Times New Roman"/>
                <w:caps w:val="0"/>
                <w:color w:val="auto"/>
                <w:spacing w:val="0"/>
                <w:kern w:val="2"/>
                <w:position w:val="0"/>
                <w:sz w:val="24"/>
                <w:szCs w:val="21"/>
                <w:highlight w:val="none"/>
                <w:lang w:val="en-US" w:eastAsia="zh-CN" w:bidi="ar-SA"/>
              </w:rPr>
              <w:instrText xml:space="preserve"> </w:instrText>
            </w:r>
            <w:r>
              <w:rPr>
                <w:rFonts w:hint="default" w:ascii="Times New Roman" w:hAnsi="Times New Roman" w:eastAsia="宋体" w:cs="Times New Roman"/>
                <w:caps w:val="0"/>
                <w:color w:val="auto"/>
                <w:spacing w:val="0"/>
                <w:kern w:val="2"/>
                <w:position w:val="0"/>
                <w:sz w:val="24"/>
                <w:szCs w:val="21"/>
                <w:highlight w:val="none"/>
                <w:lang w:val="en-US" w:eastAsia="zh-CN" w:bidi="ar-SA"/>
              </w:rPr>
              <w:fldChar w:fldCharType="separate"/>
            </w:r>
            <w:r>
              <w:rPr>
                <w:rFonts w:hint="eastAsia" w:ascii="Times New Roman" w:hAnsi="Times New Roman" w:eastAsia="宋体" w:cs="Times New Roman"/>
                <w:caps w:val="0"/>
                <w:color w:val="auto"/>
                <w:spacing w:val="0"/>
                <w:kern w:val="2"/>
                <w:position w:val="0"/>
                <w:sz w:val="24"/>
                <w:szCs w:val="21"/>
                <w:highlight w:val="none"/>
                <w:lang w:val="en-US" w:eastAsia="zh-CN" w:bidi="ar-SA"/>
              </w:rPr>
              <w:t>②</w:t>
            </w:r>
            <w:r>
              <w:rPr>
                <w:rFonts w:hint="default" w:ascii="Times New Roman" w:hAnsi="Times New Roman" w:eastAsia="宋体" w:cs="Times New Roman"/>
                <w:caps w:val="0"/>
                <w:color w:val="auto"/>
                <w:spacing w:val="0"/>
                <w:kern w:val="2"/>
                <w:position w:val="0"/>
                <w:sz w:val="24"/>
                <w:szCs w:val="21"/>
                <w:highlight w:val="none"/>
                <w:lang w:val="en-US" w:eastAsia="zh-CN" w:bidi="ar-SA"/>
              </w:rPr>
              <w:fldChar w:fldCharType="end"/>
            </w:r>
            <w:r>
              <w:rPr>
                <w:rFonts w:hint="eastAsia" w:ascii="Times New Roman" w:hAnsi="Times New Roman" w:eastAsia="宋体" w:cs="Times New Roman"/>
                <w:caps w:val="0"/>
                <w:color w:val="auto"/>
                <w:spacing w:val="0"/>
                <w:kern w:val="2"/>
                <w:position w:val="0"/>
                <w:sz w:val="24"/>
                <w:szCs w:val="21"/>
                <w:highlight w:val="none"/>
                <w:lang w:val="en-US" w:eastAsia="zh-CN" w:bidi="ar-SA"/>
              </w:rPr>
              <w:t>排气简内径设置合理性分析：排气简的出口直径应根据出口流速确定。排气简设置参数详见下表。</w:t>
            </w:r>
          </w:p>
          <w:p w14:paraId="58C8782E">
            <w:pPr>
              <w:pStyle w:val="75"/>
              <w:keepNext w:val="0"/>
              <w:keepLines w:val="0"/>
              <w:numPr>
                <w:ilvl w:val="0"/>
                <w:numId w:val="7"/>
              </w:numPr>
              <w:suppressLineNumbers w:val="0"/>
              <w:bidi w:val="0"/>
              <w:spacing w:before="0" w:beforeAutospacing="0" w:after="0" w:afterAutospacing="0"/>
              <w:ind w:left="425" w:leftChars="0" w:right="0" w:hanging="425" w:firstLineChars="0"/>
              <w:rPr>
                <w:rFonts w:hint="eastAsia"/>
                <w:caps w:val="0"/>
                <w:color w:val="auto"/>
                <w:spacing w:val="0"/>
                <w:position w:val="0"/>
                <w:highlight w:val="none"/>
              </w:rPr>
            </w:pPr>
            <w:r>
              <w:rPr>
                <w:rFonts w:hint="eastAsia"/>
                <w:caps w:val="0"/>
                <w:color w:val="auto"/>
                <w:spacing w:val="0"/>
                <w:position w:val="0"/>
                <w:highlight w:val="none"/>
              </w:rPr>
              <w:t>排气筒参数详情表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67"/>
              <w:gridCol w:w="1312"/>
              <w:gridCol w:w="1313"/>
              <w:gridCol w:w="1313"/>
              <w:gridCol w:w="1388"/>
              <w:gridCol w:w="1544"/>
            </w:tblGrid>
            <w:tr w14:paraId="202B10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367" w:type="dxa"/>
                  <w:vMerge w:val="restart"/>
                  <w:noWrap w:val="0"/>
                  <w:vAlign w:val="center"/>
                </w:tcPr>
                <w:p w14:paraId="04961E93">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排气筒名称</w:t>
                  </w:r>
                </w:p>
              </w:tc>
              <w:tc>
                <w:tcPr>
                  <w:tcW w:w="1312" w:type="dxa"/>
                  <w:vMerge w:val="restart"/>
                  <w:noWrap w:val="0"/>
                  <w:vAlign w:val="center"/>
                </w:tcPr>
                <w:p w14:paraId="506A0B11">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排气筒底部海拔高度（m）</w:t>
                  </w:r>
                </w:p>
              </w:tc>
              <w:tc>
                <w:tcPr>
                  <w:tcW w:w="5558" w:type="dxa"/>
                  <w:gridSpan w:val="4"/>
                  <w:noWrap w:val="0"/>
                  <w:vAlign w:val="center"/>
                </w:tcPr>
                <w:p w14:paraId="33E27240">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排气筒参数</w:t>
                  </w:r>
                </w:p>
              </w:tc>
            </w:tr>
            <w:tr w14:paraId="77E3B8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367" w:type="dxa"/>
                  <w:vMerge w:val="continue"/>
                  <w:noWrap w:val="0"/>
                  <w:vAlign w:val="center"/>
                </w:tcPr>
                <w:p w14:paraId="4147A3CE">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p>
              </w:tc>
              <w:tc>
                <w:tcPr>
                  <w:tcW w:w="1312" w:type="dxa"/>
                  <w:vMerge w:val="continue"/>
                  <w:noWrap w:val="0"/>
                  <w:vAlign w:val="center"/>
                </w:tcPr>
                <w:p w14:paraId="1CE0BC1A">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p>
              </w:tc>
              <w:tc>
                <w:tcPr>
                  <w:tcW w:w="1313" w:type="dxa"/>
                  <w:noWrap w:val="0"/>
                  <w:vAlign w:val="center"/>
                </w:tcPr>
                <w:p w14:paraId="441A7045">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高度（m）</w:t>
                  </w:r>
                </w:p>
              </w:tc>
              <w:tc>
                <w:tcPr>
                  <w:tcW w:w="1313" w:type="dxa"/>
                  <w:noWrap w:val="0"/>
                  <w:vAlign w:val="center"/>
                </w:tcPr>
                <w:p w14:paraId="1672572D">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内径（m）</w:t>
                  </w:r>
                </w:p>
              </w:tc>
              <w:tc>
                <w:tcPr>
                  <w:tcW w:w="1388" w:type="dxa"/>
                  <w:noWrap w:val="0"/>
                  <w:vAlign w:val="center"/>
                </w:tcPr>
                <w:p w14:paraId="1612DD5A">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温度（℃）</w:t>
                  </w:r>
                </w:p>
              </w:tc>
              <w:tc>
                <w:tcPr>
                  <w:tcW w:w="1544" w:type="dxa"/>
                  <w:noWrap w:val="0"/>
                  <w:vAlign w:val="center"/>
                </w:tcPr>
                <w:p w14:paraId="5121D13B">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流速（m</w:t>
                  </w:r>
                  <w:r>
                    <w:rPr>
                      <w:rFonts w:hint="default"/>
                      <w:caps w:val="0"/>
                      <w:color w:val="auto"/>
                      <w:spacing w:val="0"/>
                      <w:position w:val="0"/>
                      <w:highlight w:val="none"/>
                      <w:lang w:val="en-US" w:eastAsia="zh-CN"/>
                    </w:rPr>
                    <w:t>/s</w:t>
                  </w:r>
                  <w:r>
                    <w:rPr>
                      <w:rFonts w:hint="eastAsia"/>
                      <w:caps w:val="0"/>
                      <w:color w:val="auto"/>
                      <w:spacing w:val="0"/>
                      <w:position w:val="0"/>
                      <w:highlight w:val="none"/>
                      <w:lang w:val="en-US" w:eastAsia="zh-CN"/>
                    </w:rPr>
                    <w:t>）</w:t>
                  </w:r>
                </w:p>
              </w:tc>
            </w:tr>
            <w:tr w14:paraId="41DFAF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367" w:type="dxa"/>
                  <w:noWrap w:val="0"/>
                  <w:vAlign w:val="center"/>
                </w:tcPr>
                <w:p w14:paraId="393A87DB">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D</w:t>
                  </w:r>
                  <w:r>
                    <w:rPr>
                      <w:rFonts w:hint="default"/>
                      <w:caps w:val="0"/>
                      <w:color w:val="auto"/>
                      <w:spacing w:val="0"/>
                      <w:position w:val="0"/>
                      <w:highlight w:val="none"/>
                      <w:lang w:val="en-US" w:eastAsia="zh-CN"/>
                    </w:rPr>
                    <w:t>A001</w:t>
                  </w:r>
                </w:p>
              </w:tc>
              <w:tc>
                <w:tcPr>
                  <w:tcW w:w="1312" w:type="dxa"/>
                  <w:noWrap w:val="0"/>
                  <w:vAlign w:val="center"/>
                </w:tcPr>
                <w:p w14:paraId="7381A4EE">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default"/>
                      <w:caps w:val="0"/>
                      <w:color w:val="auto"/>
                      <w:spacing w:val="0"/>
                      <w:position w:val="0"/>
                      <w:highlight w:val="none"/>
                      <w:lang w:val="en-US" w:eastAsia="zh-CN"/>
                    </w:rPr>
                    <w:t>1</w:t>
                  </w:r>
                </w:p>
              </w:tc>
              <w:tc>
                <w:tcPr>
                  <w:tcW w:w="1313" w:type="dxa"/>
                  <w:noWrap w:val="0"/>
                  <w:vAlign w:val="center"/>
                </w:tcPr>
                <w:p w14:paraId="4601AAB8">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15</w:t>
                  </w:r>
                </w:p>
              </w:tc>
              <w:tc>
                <w:tcPr>
                  <w:tcW w:w="1313" w:type="dxa"/>
                  <w:noWrap w:val="0"/>
                  <w:vAlign w:val="center"/>
                </w:tcPr>
                <w:p w14:paraId="02E00D42">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0.3</w:t>
                  </w:r>
                </w:p>
              </w:tc>
              <w:tc>
                <w:tcPr>
                  <w:tcW w:w="1388" w:type="dxa"/>
                  <w:noWrap w:val="0"/>
                  <w:vAlign w:val="center"/>
                </w:tcPr>
                <w:p w14:paraId="39A78005">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w:t>
                  </w:r>
                </w:p>
              </w:tc>
              <w:tc>
                <w:tcPr>
                  <w:tcW w:w="1544" w:type="dxa"/>
                  <w:noWrap w:val="0"/>
                  <w:vAlign w:val="center"/>
                </w:tcPr>
                <w:p w14:paraId="5452D40A">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19.6</w:t>
                  </w:r>
                </w:p>
              </w:tc>
            </w:tr>
          </w:tbl>
          <w:p w14:paraId="72B5A6A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根据《大气污染治理工程技术导则》（H2000-2010)，排气筒的出口内径根据出口流速确定，流速宜为15-20m/s左右。从上表可以看出，排气筒D</w:t>
            </w:r>
            <w:r>
              <w:rPr>
                <w:rFonts w:hint="default"/>
                <w:caps w:val="0"/>
                <w:color w:val="auto"/>
                <w:spacing w:val="0"/>
                <w:position w:val="0"/>
                <w:highlight w:val="none"/>
                <w:lang w:val="en-US" w:eastAsia="zh-CN"/>
              </w:rPr>
              <w:t>A001</w:t>
            </w:r>
            <w:r>
              <w:rPr>
                <w:rFonts w:hint="eastAsia"/>
                <w:caps w:val="0"/>
                <w:color w:val="auto"/>
                <w:spacing w:val="0"/>
                <w:position w:val="0"/>
                <w:highlight w:val="none"/>
                <w:lang w:val="en-US" w:eastAsia="zh-CN"/>
              </w:rPr>
              <w:t>的烟气流速合理，排气简内径设置合理。</w:t>
            </w:r>
          </w:p>
          <w:p w14:paraId="69D552BB">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1.</w:t>
            </w:r>
            <w:r>
              <w:rPr>
                <w:rFonts w:hint="eastAsia"/>
                <w:b/>
                <w:bCs w:val="0"/>
                <w:caps w:val="0"/>
                <w:color w:val="auto"/>
                <w:spacing w:val="0"/>
                <w:position w:val="0"/>
                <w:highlight w:val="none"/>
                <w:lang w:val="en-US" w:eastAsia="zh-CN"/>
              </w:rPr>
              <w:t>4</w:t>
            </w:r>
            <w:r>
              <w:rPr>
                <w:rFonts w:hint="default"/>
                <w:b/>
                <w:bCs w:val="0"/>
                <w:caps w:val="0"/>
                <w:color w:val="auto"/>
                <w:spacing w:val="0"/>
                <w:position w:val="0"/>
                <w:highlight w:val="none"/>
              </w:rPr>
              <w:t>、</w:t>
            </w:r>
            <w:r>
              <w:rPr>
                <w:rFonts w:hint="eastAsia"/>
                <w:b/>
                <w:bCs w:val="0"/>
                <w:caps w:val="0"/>
                <w:color w:val="auto"/>
                <w:spacing w:val="0"/>
                <w:position w:val="0"/>
                <w:highlight w:val="none"/>
              </w:rPr>
              <w:t>卫生防护距离</w:t>
            </w:r>
          </w:p>
          <w:p w14:paraId="355965CB">
            <w:pPr>
              <w:keepNext w:val="0"/>
              <w:keepLines w:val="0"/>
              <w:widowControl w:val="0"/>
              <w:suppressLineNumbers w:val="0"/>
              <w:bidi w:val="0"/>
              <w:spacing w:before="0" w:beforeLines="0" w:beforeAutospacing="0" w:after="0" w:afterLines="0" w:afterAutospacing="0" w:line="360" w:lineRule="auto"/>
              <w:ind w:left="0" w:right="0" w:firstLine="480" w:firstLineChars="200"/>
              <w:jc w:val="both"/>
              <w:rPr>
                <w:rFonts w:hint="default" w:ascii="Times New Roman" w:hAnsi="Times New Roman" w:eastAsia="宋体" w:cs="Times New Roman"/>
                <w:caps w:val="0"/>
                <w:color w:val="auto"/>
                <w:spacing w:val="0"/>
                <w:w w:val="100"/>
                <w:kern w:val="2"/>
                <w:position w:val="0"/>
                <w:sz w:val="24"/>
                <w:szCs w:val="24"/>
                <w:highlight w:val="none"/>
                <w:lang w:val="en-US" w:eastAsia="zh-CN" w:bidi="ar-SA"/>
              </w:rPr>
            </w:pPr>
            <w:r>
              <w:rPr>
                <w:rFonts w:hint="default" w:ascii="Times New Roman" w:hAnsi="Times New Roman" w:eastAsia="宋体" w:cs="Times New Roman"/>
                <w:caps w:val="0"/>
                <w:color w:val="auto"/>
                <w:spacing w:val="0"/>
                <w:w w:val="100"/>
                <w:kern w:val="2"/>
                <w:position w:val="0"/>
                <w:sz w:val="24"/>
                <w:szCs w:val="24"/>
                <w:highlight w:val="none"/>
                <w:lang w:val="en-US" w:eastAsia="zh-CN" w:bidi="ar-SA"/>
              </w:rPr>
              <w:t>根据《大气有害物质无组织排放卫生防护距离推导技术导则》（GB/T39499-2020），不同行业及生产工艺产生无组织排放的特征大气有害物质差别较大。在选取特征大气有害物质时，应首先考虑其对人体健康损害毒性特点，并根据目标行业企业的产量及其原辅材料、工艺特征、中间产物、产排污特点等具体情况，确定单个大气有害物质的无组织排放量及等标排放量（Qc/cm），最终确定卫生防护距离相关的主要特征大气有害物质1种~2种。</w:t>
            </w:r>
          </w:p>
          <w:p w14:paraId="5142FFAD">
            <w:pPr>
              <w:keepNext w:val="0"/>
              <w:keepLines w:val="0"/>
              <w:widowControl w:val="0"/>
              <w:suppressLineNumbers w:val="0"/>
              <w:bidi w:val="0"/>
              <w:spacing w:before="0" w:beforeLines="0" w:beforeAutospacing="0" w:after="0" w:afterLines="0" w:afterAutospacing="0" w:line="360" w:lineRule="auto"/>
              <w:ind w:left="0" w:right="0" w:firstLine="480" w:firstLineChars="200"/>
              <w:jc w:val="both"/>
              <w:rPr>
                <w:rFonts w:hint="default" w:ascii="Times New Roman" w:hAnsi="Times New Roman" w:eastAsia="宋体" w:cs="Times New Roman"/>
                <w:caps w:val="0"/>
                <w:color w:val="auto"/>
                <w:spacing w:val="0"/>
                <w:w w:val="100"/>
                <w:kern w:val="2"/>
                <w:position w:val="0"/>
                <w:sz w:val="24"/>
                <w:szCs w:val="24"/>
                <w:highlight w:val="none"/>
                <w:lang w:val="en-US" w:eastAsia="zh-CN" w:bidi="ar-SA"/>
              </w:rPr>
            </w:pPr>
            <w:r>
              <w:rPr>
                <w:rFonts w:hint="default" w:ascii="Times New Roman" w:hAnsi="Times New Roman" w:eastAsia="宋体" w:cs="Times New Roman"/>
                <w:caps w:val="0"/>
                <w:color w:val="auto"/>
                <w:spacing w:val="0"/>
                <w:w w:val="100"/>
                <w:kern w:val="2"/>
                <w:position w:val="0"/>
                <w:sz w:val="24"/>
                <w:szCs w:val="24"/>
                <w:highlight w:val="none"/>
                <w:lang w:val="en-US" w:eastAsia="zh-CN" w:bidi="ar-SA"/>
              </w:rPr>
              <w:t>当目标企业无组织排放存在多种有毒有害污染物时，基于单个污染物的等标排放量计算结果，优先选择等标排放最大的污染物为企业无组织排放的主要特征大气有害物质。当前两种污染物的等标排放量相差在10%以内时，需要同时选择这两种特征大气有害物质分别计算卫生防护距离初值。本项目等标排放量计算如下：</w:t>
            </w:r>
          </w:p>
          <w:p w14:paraId="152437C8">
            <w:pPr>
              <w:keepNext w:val="0"/>
              <w:keepLines w:val="0"/>
              <w:widowControl w:val="0"/>
              <w:numPr>
                <w:ilvl w:val="0"/>
                <w:numId w:val="7"/>
              </w:numPr>
              <w:suppressLineNumbers w:val="0"/>
              <w:bidi w:val="0"/>
              <w:spacing w:before="0" w:beforeLines="0" w:beforeAutospacing="0" w:after="0" w:afterLines="0" w:afterAutospacing="0" w:line="240" w:lineRule="auto"/>
              <w:ind w:left="425" w:leftChars="0" w:right="0" w:hanging="425" w:firstLineChars="0"/>
              <w:jc w:val="center"/>
              <w:rPr>
                <w:rFonts w:hint="default" w:ascii="Times New Roman" w:hAnsi="Times New Roman" w:eastAsia="宋体" w:cs="Times New Roman"/>
                <w:b/>
                <w:caps w:val="0"/>
                <w:color w:val="auto"/>
                <w:spacing w:val="0"/>
                <w:w w:val="100"/>
                <w:kern w:val="2"/>
                <w:position w:val="0"/>
                <w:sz w:val="24"/>
                <w:szCs w:val="24"/>
                <w:highlight w:val="none"/>
                <w:lang w:val="en-US" w:eastAsia="zh-CN" w:bidi="ar-SA"/>
              </w:rPr>
            </w:pPr>
            <w:r>
              <w:rPr>
                <w:rFonts w:hint="default" w:ascii="Times New Roman" w:hAnsi="Times New Roman" w:eastAsia="宋体" w:cs="Times New Roman"/>
                <w:b/>
                <w:caps w:val="0"/>
                <w:color w:val="auto"/>
                <w:spacing w:val="0"/>
                <w:w w:val="100"/>
                <w:kern w:val="2"/>
                <w:position w:val="0"/>
                <w:sz w:val="24"/>
                <w:szCs w:val="24"/>
                <w:highlight w:val="none"/>
                <w:lang w:val="en-US" w:eastAsia="zh-CN" w:bidi="ar-SA"/>
              </w:rPr>
              <w:t>项目无组织排放废气无组织排放量及等标排放量结果表</w:t>
            </w:r>
          </w:p>
          <w:tbl>
            <w:tblPr>
              <w:tblStyle w:val="93"/>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979"/>
              <w:gridCol w:w="1048"/>
              <w:gridCol w:w="1089"/>
              <w:gridCol w:w="1787"/>
              <w:gridCol w:w="2142"/>
              <w:gridCol w:w="1192"/>
            </w:tblGrid>
            <w:tr w14:paraId="684B163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6" w:hRule="atLeast"/>
                <w:jc w:val="center"/>
              </w:trPr>
              <w:tc>
                <w:tcPr>
                  <w:tcW w:w="979" w:type="dxa"/>
                  <w:tcBorders>
                    <w:tl2br w:val="nil"/>
                    <w:tr2bl w:val="nil"/>
                  </w:tcBorders>
                  <w:vAlign w:val="center"/>
                </w:tcPr>
                <w:p w14:paraId="07CF47A8">
                  <w:pPr>
                    <w:widowControl w:val="0"/>
                    <w:bidi w:val="0"/>
                    <w:spacing w:line="240" w:lineRule="auto"/>
                    <w:ind w:firstLine="0" w:firstLineChars="0"/>
                    <w:jc w:val="center"/>
                    <w:rPr>
                      <w:rFonts w:ascii="Times New Roman" w:hAnsi="Times New Roman" w:eastAsia="宋体" w:cs="Times New Roman"/>
                      <w:caps w:val="0"/>
                      <w:color w:val="auto"/>
                      <w:spacing w:val="0"/>
                      <w:w w:val="100"/>
                      <w:kern w:val="2"/>
                      <w:position w:val="0"/>
                      <w:sz w:val="21"/>
                      <w:szCs w:val="21"/>
                      <w:highlight w:val="none"/>
                      <w:lang w:val="en-US" w:eastAsia="zh-CN" w:bidi="ar-SA"/>
                    </w:rPr>
                  </w:pPr>
                  <w:r>
                    <w:rPr>
                      <w:rFonts w:ascii="Times New Roman" w:hAnsi="Times New Roman" w:eastAsia="宋体" w:cs="Times New Roman"/>
                      <w:caps w:val="0"/>
                      <w:color w:val="auto"/>
                      <w:spacing w:val="0"/>
                      <w:w w:val="100"/>
                      <w:kern w:val="2"/>
                      <w:position w:val="0"/>
                      <w:sz w:val="21"/>
                      <w:szCs w:val="21"/>
                      <w:highlight w:val="none"/>
                      <w:lang w:val="en-US" w:eastAsia="zh-CN" w:bidi="ar-SA"/>
                    </w:rPr>
                    <w:t>污染源位置</w:t>
                  </w:r>
                </w:p>
              </w:tc>
              <w:tc>
                <w:tcPr>
                  <w:tcW w:w="1048" w:type="dxa"/>
                  <w:tcBorders>
                    <w:tl2br w:val="nil"/>
                    <w:tr2bl w:val="nil"/>
                  </w:tcBorders>
                  <w:vAlign w:val="center"/>
                </w:tcPr>
                <w:p w14:paraId="40646C0B">
                  <w:pPr>
                    <w:widowControl w:val="0"/>
                    <w:bidi w:val="0"/>
                    <w:spacing w:line="240" w:lineRule="auto"/>
                    <w:ind w:firstLine="0" w:firstLineChars="0"/>
                    <w:jc w:val="center"/>
                    <w:rPr>
                      <w:rFonts w:ascii="Times New Roman" w:hAnsi="Times New Roman" w:eastAsia="宋体" w:cs="Times New Roman"/>
                      <w:caps w:val="0"/>
                      <w:color w:val="auto"/>
                      <w:spacing w:val="0"/>
                      <w:w w:val="100"/>
                      <w:kern w:val="2"/>
                      <w:position w:val="0"/>
                      <w:sz w:val="21"/>
                      <w:szCs w:val="21"/>
                      <w:highlight w:val="none"/>
                      <w:lang w:val="en-US" w:eastAsia="zh-CN" w:bidi="ar-SA"/>
                    </w:rPr>
                  </w:pPr>
                  <w:r>
                    <w:rPr>
                      <w:rFonts w:ascii="Times New Roman" w:hAnsi="Times New Roman" w:eastAsia="宋体" w:cs="Times New Roman"/>
                      <w:caps w:val="0"/>
                      <w:color w:val="auto"/>
                      <w:spacing w:val="0"/>
                      <w:w w:val="100"/>
                      <w:kern w:val="2"/>
                      <w:position w:val="0"/>
                      <w:sz w:val="21"/>
                      <w:szCs w:val="21"/>
                      <w:highlight w:val="none"/>
                      <w:lang w:val="en-US" w:eastAsia="zh-CN" w:bidi="ar-SA"/>
                    </w:rPr>
                    <w:t>污染物名称</w:t>
                  </w:r>
                </w:p>
              </w:tc>
              <w:tc>
                <w:tcPr>
                  <w:tcW w:w="1089" w:type="dxa"/>
                  <w:tcBorders>
                    <w:tl2br w:val="nil"/>
                    <w:tr2bl w:val="nil"/>
                  </w:tcBorders>
                  <w:vAlign w:val="center"/>
                </w:tcPr>
                <w:p w14:paraId="26FDC26C">
                  <w:pPr>
                    <w:widowControl w:val="0"/>
                    <w:bidi w:val="0"/>
                    <w:spacing w:line="240" w:lineRule="auto"/>
                    <w:ind w:firstLine="0" w:firstLineChars="0"/>
                    <w:jc w:val="center"/>
                    <w:rPr>
                      <w:rFonts w:ascii="Times New Roman" w:hAnsi="Times New Roman" w:eastAsia="宋体" w:cs="Times New Roman"/>
                      <w:caps w:val="0"/>
                      <w:color w:val="auto"/>
                      <w:spacing w:val="0"/>
                      <w:w w:val="100"/>
                      <w:kern w:val="2"/>
                      <w:position w:val="0"/>
                      <w:sz w:val="21"/>
                      <w:szCs w:val="21"/>
                      <w:highlight w:val="none"/>
                      <w:lang w:val="en-US" w:eastAsia="zh-CN" w:bidi="ar-SA"/>
                    </w:rPr>
                  </w:pPr>
                  <w:r>
                    <w:rPr>
                      <w:rFonts w:ascii="Times New Roman" w:hAnsi="Times New Roman" w:eastAsia="宋体" w:cs="Times New Roman"/>
                      <w:caps w:val="0"/>
                      <w:color w:val="auto"/>
                      <w:spacing w:val="0"/>
                      <w:w w:val="100"/>
                      <w:kern w:val="2"/>
                      <w:position w:val="0"/>
                      <w:sz w:val="21"/>
                      <w:szCs w:val="21"/>
                      <w:highlight w:val="none"/>
                      <w:lang w:val="en-US" w:eastAsia="zh-CN" w:bidi="ar-SA"/>
                    </w:rPr>
                    <w:t>排放量kg/h</w:t>
                  </w:r>
                </w:p>
              </w:tc>
              <w:tc>
                <w:tcPr>
                  <w:tcW w:w="1787" w:type="dxa"/>
                  <w:tcBorders>
                    <w:tl2br w:val="nil"/>
                    <w:tr2bl w:val="nil"/>
                  </w:tcBorders>
                  <w:vAlign w:val="center"/>
                </w:tcPr>
                <w:p w14:paraId="6A6E9F3F">
                  <w:pPr>
                    <w:widowControl w:val="0"/>
                    <w:bidi w:val="0"/>
                    <w:spacing w:line="240" w:lineRule="auto"/>
                    <w:ind w:firstLine="0" w:firstLineChars="0"/>
                    <w:jc w:val="center"/>
                    <w:rPr>
                      <w:rFonts w:ascii="Times New Roman" w:hAnsi="Times New Roman" w:eastAsia="宋体" w:cs="Times New Roman"/>
                      <w:caps w:val="0"/>
                      <w:color w:val="auto"/>
                      <w:spacing w:val="0"/>
                      <w:w w:val="100"/>
                      <w:kern w:val="2"/>
                      <w:position w:val="0"/>
                      <w:sz w:val="21"/>
                      <w:szCs w:val="21"/>
                      <w:highlight w:val="none"/>
                      <w:lang w:val="en-US" w:eastAsia="zh-CN" w:bidi="ar-SA"/>
                    </w:rPr>
                  </w:pPr>
                  <w:r>
                    <w:rPr>
                      <w:rFonts w:ascii="Times New Roman" w:hAnsi="Times New Roman" w:eastAsia="宋体" w:cs="Times New Roman"/>
                      <w:caps w:val="0"/>
                      <w:color w:val="auto"/>
                      <w:spacing w:val="0"/>
                      <w:w w:val="100"/>
                      <w:kern w:val="2"/>
                      <w:position w:val="0"/>
                      <w:sz w:val="21"/>
                      <w:szCs w:val="21"/>
                      <w:highlight w:val="none"/>
                      <w:lang w:val="en-US" w:eastAsia="zh-CN" w:bidi="ar-SA"/>
                    </w:rPr>
                    <w:t>环境空气质量标准限值（mg/m</w:t>
                  </w:r>
                  <w:r>
                    <w:rPr>
                      <w:rFonts w:ascii="Times New Roman" w:hAnsi="Times New Roman" w:eastAsia="宋体" w:cs="Times New Roman"/>
                      <w:caps w:val="0"/>
                      <w:color w:val="auto"/>
                      <w:spacing w:val="0"/>
                      <w:w w:val="100"/>
                      <w:kern w:val="2"/>
                      <w:position w:val="0"/>
                      <w:sz w:val="21"/>
                      <w:szCs w:val="21"/>
                      <w:highlight w:val="none"/>
                      <w:vertAlign w:val="superscript"/>
                      <w:lang w:val="en-US" w:eastAsia="zh-CN" w:bidi="ar-SA"/>
                    </w:rPr>
                    <w:t>3</w:t>
                  </w:r>
                  <w:r>
                    <w:rPr>
                      <w:rFonts w:ascii="Times New Roman" w:hAnsi="Times New Roman" w:eastAsia="宋体" w:cs="Times New Roman"/>
                      <w:caps w:val="0"/>
                      <w:color w:val="auto"/>
                      <w:spacing w:val="0"/>
                      <w:w w:val="100"/>
                      <w:kern w:val="2"/>
                      <w:position w:val="0"/>
                      <w:sz w:val="21"/>
                      <w:szCs w:val="21"/>
                      <w:highlight w:val="none"/>
                      <w:lang w:val="en-US" w:eastAsia="zh-CN" w:bidi="ar-SA"/>
                    </w:rPr>
                    <w:t>）*</w:t>
                  </w:r>
                </w:p>
              </w:tc>
              <w:tc>
                <w:tcPr>
                  <w:tcW w:w="2142" w:type="dxa"/>
                  <w:tcBorders>
                    <w:tl2br w:val="nil"/>
                    <w:tr2bl w:val="nil"/>
                  </w:tcBorders>
                  <w:vAlign w:val="center"/>
                </w:tcPr>
                <w:p w14:paraId="6F396B7B">
                  <w:pPr>
                    <w:widowControl w:val="0"/>
                    <w:bidi w:val="0"/>
                    <w:spacing w:line="240" w:lineRule="auto"/>
                    <w:ind w:firstLine="0" w:firstLineChars="0"/>
                    <w:jc w:val="center"/>
                    <w:rPr>
                      <w:rFonts w:ascii="Times New Roman" w:hAnsi="Times New Roman" w:eastAsia="宋体" w:cs="Times New Roman"/>
                      <w:caps w:val="0"/>
                      <w:color w:val="auto"/>
                      <w:spacing w:val="0"/>
                      <w:w w:val="100"/>
                      <w:kern w:val="2"/>
                      <w:position w:val="0"/>
                      <w:sz w:val="21"/>
                      <w:szCs w:val="21"/>
                      <w:highlight w:val="none"/>
                      <w:lang w:val="en-US" w:eastAsia="zh-CN" w:bidi="ar-SA"/>
                    </w:rPr>
                  </w:pPr>
                  <w:r>
                    <w:rPr>
                      <w:rFonts w:ascii="Times New Roman" w:hAnsi="Times New Roman" w:eastAsia="宋体" w:cs="Times New Roman"/>
                      <w:caps w:val="0"/>
                      <w:color w:val="auto"/>
                      <w:spacing w:val="0"/>
                      <w:w w:val="100"/>
                      <w:kern w:val="2"/>
                      <w:position w:val="0"/>
                      <w:sz w:val="21"/>
                      <w:szCs w:val="21"/>
                      <w:highlight w:val="none"/>
                      <w:lang w:val="en-US" w:eastAsia="zh-CN" w:bidi="ar-SA"/>
                    </w:rPr>
                    <w:t>等标排放量</w:t>
                  </w:r>
                </w:p>
                <w:p w14:paraId="450463B4">
                  <w:pPr>
                    <w:widowControl w:val="0"/>
                    <w:bidi w:val="0"/>
                    <w:spacing w:line="240" w:lineRule="auto"/>
                    <w:ind w:firstLine="0" w:firstLineChars="0"/>
                    <w:jc w:val="center"/>
                    <w:rPr>
                      <w:rFonts w:ascii="Times New Roman" w:hAnsi="Times New Roman" w:eastAsia="宋体" w:cs="Times New Roman"/>
                      <w:caps w:val="0"/>
                      <w:color w:val="auto"/>
                      <w:spacing w:val="0"/>
                      <w:w w:val="100"/>
                      <w:kern w:val="2"/>
                      <w:position w:val="0"/>
                      <w:sz w:val="21"/>
                      <w:szCs w:val="21"/>
                      <w:highlight w:val="none"/>
                      <w:lang w:val="en-US" w:eastAsia="zh-CN" w:bidi="ar-SA"/>
                    </w:rPr>
                  </w:pPr>
                  <w:r>
                    <w:rPr>
                      <w:rFonts w:ascii="Times New Roman" w:hAnsi="Times New Roman" w:eastAsia="宋体" w:cs="Times New Roman"/>
                      <w:caps w:val="0"/>
                      <w:color w:val="auto"/>
                      <w:spacing w:val="0"/>
                      <w:w w:val="100"/>
                      <w:kern w:val="2"/>
                      <w:position w:val="0"/>
                      <w:sz w:val="21"/>
                      <w:szCs w:val="21"/>
                      <w:highlight w:val="none"/>
                      <w:lang w:val="en-US" w:eastAsia="zh-CN" w:bidi="ar-SA"/>
                    </w:rPr>
                    <w:t>（Qc/cm）</w:t>
                  </w:r>
                </w:p>
              </w:tc>
              <w:tc>
                <w:tcPr>
                  <w:tcW w:w="1192" w:type="dxa"/>
                  <w:tcBorders>
                    <w:tl2br w:val="nil"/>
                    <w:tr2bl w:val="nil"/>
                  </w:tcBorders>
                  <w:vAlign w:val="center"/>
                </w:tcPr>
                <w:p w14:paraId="2382C4E1">
                  <w:pPr>
                    <w:widowControl w:val="0"/>
                    <w:bidi w:val="0"/>
                    <w:spacing w:line="240" w:lineRule="auto"/>
                    <w:ind w:firstLine="0" w:firstLineChars="0"/>
                    <w:jc w:val="center"/>
                    <w:rPr>
                      <w:rFonts w:hint="default" w:ascii="Times New Roman" w:hAnsi="Times New Roman" w:eastAsia="宋体" w:cs="Times New Roman"/>
                      <w:caps w:val="0"/>
                      <w:color w:val="auto"/>
                      <w:spacing w:val="0"/>
                      <w:w w:val="100"/>
                      <w:kern w:val="2"/>
                      <w:position w:val="0"/>
                      <w:sz w:val="21"/>
                      <w:szCs w:val="21"/>
                      <w:highlight w:val="none"/>
                      <w:lang w:val="en-US" w:eastAsia="zh-CN" w:bidi="ar-SA"/>
                    </w:rPr>
                  </w:pPr>
                  <w:r>
                    <w:rPr>
                      <w:rFonts w:hint="eastAsia" w:ascii="Times New Roman" w:hAnsi="Times New Roman" w:eastAsia="宋体" w:cs="Times New Roman"/>
                      <w:caps w:val="0"/>
                      <w:color w:val="auto"/>
                      <w:spacing w:val="0"/>
                      <w:w w:val="100"/>
                      <w:kern w:val="2"/>
                      <w:position w:val="0"/>
                      <w:sz w:val="21"/>
                      <w:szCs w:val="21"/>
                      <w:highlight w:val="none"/>
                      <w:lang w:val="en-US" w:eastAsia="zh-CN" w:bidi="ar-SA"/>
                    </w:rPr>
                    <w:t>相差百分比%</w:t>
                  </w:r>
                </w:p>
              </w:tc>
            </w:tr>
            <w:tr w14:paraId="6A71F8C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07" w:hRule="atLeast"/>
                <w:jc w:val="center"/>
              </w:trPr>
              <w:tc>
                <w:tcPr>
                  <w:tcW w:w="979" w:type="dxa"/>
                  <w:vMerge w:val="restart"/>
                  <w:tcBorders>
                    <w:tl2br w:val="nil"/>
                    <w:tr2bl w:val="nil"/>
                  </w:tcBorders>
                  <w:vAlign w:val="center"/>
                </w:tcPr>
                <w:p w14:paraId="3B5DD818">
                  <w:pPr>
                    <w:widowControl w:val="0"/>
                    <w:bidi w:val="0"/>
                    <w:spacing w:line="240" w:lineRule="auto"/>
                    <w:ind w:firstLine="0" w:firstLineChars="0"/>
                    <w:jc w:val="center"/>
                    <w:rPr>
                      <w:rFonts w:hint="default" w:ascii="Times New Roman" w:hAnsi="Times New Roman" w:eastAsia="宋体" w:cs="Times New Roman"/>
                      <w:caps w:val="0"/>
                      <w:color w:val="auto"/>
                      <w:spacing w:val="0"/>
                      <w:w w:val="100"/>
                      <w:kern w:val="2"/>
                      <w:position w:val="0"/>
                      <w:sz w:val="21"/>
                      <w:szCs w:val="21"/>
                      <w:highlight w:val="none"/>
                      <w:lang w:val="en-US" w:eastAsia="zh-CN" w:bidi="ar-SA"/>
                    </w:rPr>
                  </w:pPr>
                  <w:r>
                    <w:rPr>
                      <w:rFonts w:ascii="Times New Roman" w:hAnsi="Times New Roman" w:eastAsia="宋体" w:cs="Times New Roman"/>
                      <w:caps w:val="0"/>
                      <w:color w:val="auto"/>
                      <w:spacing w:val="0"/>
                      <w:w w:val="100"/>
                      <w:kern w:val="2"/>
                      <w:position w:val="0"/>
                      <w:sz w:val="21"/>
                      <w:szCs w:val="21"/>
                      <w:highlight w:val="none"/>
                      <w:lang w:val="en-US" w:eastAsia="zh-CN" w:bidi="ar-SA"/>
                    </w:rPr>
                    <w:t>生产</w:t>
                  </w:r>
                  <w:r>
                    <w:rPr>
                      <w:rFonts w:hint="eastAsia" w:cs="Times New Roman"/>
                      <w:caps w:val="0"/>
                      <w:color w:val="auto"/>
                      <w:spacing w:val="0"/>
                      <w:w w:val="100"/>
                      <w:kern w:val="2"/>
                      <w:position w:val="0"/>
                      <w:sz w:val="21"/>
                      <w:szCs w:val="21"/>
                      <w:highlight w:val="none"/>
                      <w:lang w:val="en-US" w:eastAsia="zh-CN" w:bidi="ar-SA"/>
                    </w:rPr>
                    <w:t>区</w:t>
                  </w:r>
                </w:p>
              </w:tc>
              <w:tc>
                <w:tcPr>
                  <w:tcW w:w="1048" w:type="dxa"/>
                  <w:tcBorders>
                    <w:tl2br w:val="nil"/>
                    <w:tr2bl w:val="nil"/>
                  </w:tcBorders>
                  <w:vAlign w:val="center"/>
                </w:tcPr>
                <w:p w14:paraId="217D8E92">
                  <w:pPr>
                    <w:widowControl w:val="0"/>
                    <w:bidi w:val="0"/>
                    <w:spacing w:line="240" w:lineRule="auto"/>
                    <w:ind w:firstLine="0" w:firstLineChars="0"/>
                    <w:jc w:val="center"/>
                    <w:rPr>
                      <w:rFonts w:ascii="Times New Roman" w:hAnsi="Times New Roman" w:eastAsia="宋体" w:cs="Times New Roman"/>
                      <w:caps w:val="0"/>
                      <w:color w:val="auto"/>
                      <w:spacing w:val="0"/>
                      <w:w w:val="100"/>
                      <w:kern w:val="2"/>
                      <w:position w:val="0"/>
                      <w:sz w:val="21"/>
                      <w:szCs w:val="21"/>
                      <w:highlight w:val="none"/>
                      <w:lang w:val="en-US" w:eastAsia="zh-CN" w:bidi="ar-SA"/>
                    </w:rPr>
                  </w:pPr>
                  <w:r>
                    <w:rPr>
                      <w:rFonts w:hint="eastAsia" w:ascii="Times New Roman" w:hAnsi="Times New Roman" w:eastAsia="宋体" w:cs="Times New Roman"/>
                      <w:caps w:val="0"/>
                      <w:color w:val="auto"/>
                      <w:spacing w:val="0"/>
                      <w:w w:val="100"/>
                      <w:kern w:val="2"/>
                      <w:position w:val="0"/>
                      <w:sz w:val="21"/>
                      <w:szCs w:val="21"/>
                      <w:highlight w:val="none"/>
                      <w:lang w:val="en-US" w:eastAsia="zh-CN" w:bidi="ar-SA"/>
                    </w:rPr>
                    <w:t>颗粒物</w:t>
                  </w:r>
                </w:p>
              </w:tc>
              <w:tc>
                <w:tcPr>
                  <w:tcW w:w="1089" w:type="dxa"/>
                  <w:tcBorders>
                    <w:tl2br w:val="nil"/>
                    <w:tr2bl w:val="nil"/>
                  </w:tcBorders>
                  <w:vAlign w:val="center"/>
                </w:tcPr>
                <w:p w14:paraId="15404041">
                  <w:pPr>
                    <w:pStyle w:val="28"/>
                    <w:bidi w:val="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0.</w:t>
                  </w:r>
                  <w:r>
                    <w:rPr>
                      <w:rFonts w:hint="eastAsia"/>
                      <w:caps w:val="0"/>
                      <w:color w:val="auto"/>
                      <w:spacing w:val="0"/>
                      <w:position w:val="0"/>
                      <w:highlight w:val="none"/>
                      <w:lang w:val="en-US" w:eastAsia="zh-CN"/>
                    </w:rPr>
                    <w:t>1212</w:t>
                  </w:r>
                </w:p>
              </w:tc>
              <w:tc>
                <w:tcPr>
                  <w:tcW w:w="1787" w:type="dxa"/>
                  <w:tcBorders>
                    <w:tl2br w:val="nil"/>
                    <w:tr2bl w:val="nil"/>
                  </w:tcBorders>
                  <w:vAlign w:val="center"/>
                </w:tcPr>
                <w:p w14:paraId="2E00FE80">
                  <w:pPr>
                    <w:pStyle w:val="28"/>
                    <w:bidi w:val="0"/>
                    <w:rPr>
                      <w:caps w:val="0"/>
                      <w:color w:val="auto"/>
                      <w:spacing w:val="0"/>
                      <w:position w:val="0"/>
                      <w:highlight w:val="none"/>
                      <w:lang w:val="en-US" w:eastAsia="zh-CN"/>
                    </w:rPr>
                  </w:pPr>
                  <w:r>
                    <w:rPr>
                      <w:rFonts w:hint="default"/>
                      <w:caps w:val="0"/>
                      <w:color w:val="auto"/>
                      <w:spacing w:val="0"/>
                      <w:position w:val="0"/>
                      <w:highlight w:val="none"/>
                      <w:lang w:val="en-US" w:eastAsia="zh-CN"/>
                    </w:rPr>
                    <w:t>0.9</w:t>
                  </w:r>
                </w:p>
              </w:tc>
              <w:tc>
                <w:tcPr>
                  <w:tcW w:w="2142" w:type="dxa"/>
                  <w:tcBorders>
                    <w:tl2br w:val="nil"/>
                    <w:tr2bl w:val="nil"/>
                  </w:tcBorders>
                  <w:vAlign w:val="center"/>
                </w:tcPr>
                <w:p w14:paraId="15BFD22C">
                  <w:pPr>
                    <w:pStyle w:val="28"/>
                    <w:bidi w:val="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13.47</w:t>
                  </w:r>
                </w:p>
              </w:tc>
              <w:tc>
                <w:tcPr>
                  <w:tcW w:w="1192" w:type="dxa"/>
                  <w:vMerge w:val="restart"/>
                  <w:tcBorders>
                    <w:tl2br w:val="nil"/>
                    <w:tr2bl w:val="nil"/>
                  </w:tcBorders>
                  <w:vAlign w:val="center"/>
                </w:tcPr>
                <w:p w14:paraId="48DD8E0C">
                  <w:pPr>
                    <w:widowControl w:val="0"/>
                    <w:bidi w:val="0"/>
                    <w:spacing w:line="240" w:lineRule="auto"/>
                    <w:ind w:firstLine="0" w:firstLineChars="0"/>
                    <w:jc w:val="center"/>
                    <w:rPr>
                      <w:rFonts w:hint="default" w:ascii="Times New Roman" w:hAnsi="Times New Roman" w:eastAsia="宋体" w:cs="Times New Roman"/>
                      <w:caps w:val="0"/>
                      <w:color w:val="auto"/>
                      <w:spacing w:val="0"/>
                      <w:w w:val="100"/>
                      <w:kern w:val="2"/>
                      <w:position w:val="0"/>
                      <w:sz w:val="21"/>
                      <w:szCs w:val="21"/>
                      <w:highlight w:val="none"/>
                      <w:lang w:val="en-US" w:eastAsia="zh-CN" w:bidi="ar-SA"/>
                    </w:rPr>
                  </w:pPr>
                  <w:r>
                    <w:rPr>
                      <w:rFonts w:hint="eastAsia" w:cs="Times New Roman"/>
                      <w:caps w:val="0"/>
                      <w:color w:val="auto"/>
                      <w:spacing w:val="0"/>
                      <w:w w:val="100"/>
                      <w:kern w:val="2"/>
                      <w:position w:val="0"/>
                      <w:sz w:val="21"/>
                      <w:szCs w:val="21"/>
                      <w:highlight w:val="none"/>
                      <w:lang w:val="en-US" w:eastAsia="zh-CN" w:bidi="ar-SA"/>
                    </w:rPr>
                    <w:t>72.9</w:t>
                  </w:r>
                </w:p>
              </w:tc>
            </w:tr>
            <w:tr w14:paraId="0F87B7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81" w:hRule="atLeast"/>
                <w:jc w:val="center"/>
              </w:trPr>
              <w:tc>
                <w:tcPr>
                  <w:tcW w:w="979" w:type="dxa"/>
                  <w:vMerge w:val="continue"/>
                  <w:tcBorders>
                    <w:tl2br w:val="nil"/>
                    <w:tr2bl w:val="nil"/>
                  </w:tcBorders>
                  <w:vAlign w:val="center"/>
                </w:tcPr>
                <w:p w14:paraId="2B497A44">
                  <w:pPr>
                    <w:widowControl w:val="0"/>
                    <w:bidi w:val="0"/>
                    <w:spacing w:line="240" w:lineRule="auto"/>
                    <w:ind w:firstLine="0" w:firstLineChars="0"/>
                    <w:jc w:val="center"/>
                    <w:rPr>
                      <w:rFonts w:ascii="Times New Roman" w:hAnsi="Times New Roman" w:eastAsia="宋体" w:cs="Times New Roman"/>
                      <w:caps w:val="0"/>
                      <w:color w:val="auto"/>
                      <w:spacing w:val="0"/>
                      <w:w w:val="100"/>
                      <w:kern w:val="2"/>
                      <w:position w:val="0"/>
                      <w:sz w:val="21"/>
                      <w:szCs w:val="21"/>
                      <w:highlight w:val="none"/>
                      <w:lang w:val="en-US" w:eastAsia="zh-CN" w:bidi="ar-SA"/>
                    </w:rPr>
                  </w:pPr>
                </w:p>
              </w:tc>
              <w:tc>
                <w:tcPr>
                  <w:tcW w:w="1048" w:type="dxa"/>
                  <w:tcBorders>
                    <w:tl2br w:val="nil"/>
                    <w:tr2bl w:val="nil"/>
                  </w:tcBorders>
                  <w:vAlign w:val="center"/>
                </w:tcPr>
                <w:p w14:paraId="614B064B">
                  <w:pPr>
                    <w:widowControl w:val="0"/>
                    <w:bidi w:val="0"/>
                    <w:spacing w:line="240" w:lineRule="auto"/>
                    <w:ind w:firstLine="0" w:firstLineChars="0"/>
                    <w:jc w:val="center"/>
                    <w:rPr>
                      <w:rFonts w:ascii="Times New Roman" w:hAnsi="Times New Roman" w:eastAsia="宋体" w:cs="Times New Roman"/>
                      <w:caps w:val="0"/>
                      <w:color w:val="auto"/>
                      <w:spacing w:val="0"/>
                      <w:w w:val="100"/>
                      <w:kern w:val="2"/>
                      <w:position w:val="0"/>
                      <w:sz w:val="21"/>
                      <w:szCs w:val="21"/>
                      <w:highlight w:val="none"/>
                      <w:lang w:val="en-US" w:eastAsia="zh-CN" w:bidi="ar-SA"/>
                    </w:rPr>
                  </w:pPr>
                  <w:r>
                    <w:rPr>
                      <w:rFonts w:hint="eastAsia" w:cs="Times New Roman"/>
                      <w:caps w:val="0"/>
                      <w:color w:val="auto"/>
                      <w:spacing w:val="0"/>
                      <w:w w:val="100"/>
                      <w:kern w:val="2"/>
                      <w:position w:val="0"/>
                      <w:sz w:val="21"/>
                      <w:szCs w:val="21"/>
                      <w:highlight w:val="none"/>
                      <w:lang w:val="en-US" w:eastAsia="zh-CN" w:bidi="ar-SA"/>
                    </w:rPr>
                    <w:t>氟化物</w:t>
                  </w:r>
                </w:p>
              </w:tc>
              <w:tc>
                <w:tcPr>
                  <w:tcW w:w="1089" w:type="dxa"/>
                  <w:tcBorders>
                    <w:tl2br w:val="nil"/>
                    <w:tr2bl w:val="nil"/>
                  </w:tcBorders>
                  <w:vAlign w:val="center"/>
                </w:tcPr>
                <w:p w14:paraId="623C8497">
                  <w:pPr>
                    <w:pStyle w:val="28"/>
                    <w:bidi w:val="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0.00</w:t>
                  </w:r>
                  <w:r>
                    <w:rPr>
                      <w:rFonts w:hint="eastAsia"/>
                      <w:caps w:val="0"/>
                      <w:color w:val="auto"/>
                      <w:spacing w:val="0"/>
                      <w:position w:val="0"/>
                      <w:highlight w:val="none"/>
                      <w:lang w:val="en-US" w:eastAsia="zh-CN"/>
                    </w:rPr>
                    <w:t>073</w:t>
                  </w:r>
                </w:p>
              </w:tc>
              <w:tc>
                <w:tcPr>
                  <w:tcW w:w="1787" w:type="dxa"/>
                  <w:tcBorders>
                    <w:tl2br w:val="nil"/>
                    <w:tr2bl w:val="nil"/>
                  </w:tcBorders>
                  <w:vAlign w:val="center"/>
                </w:tcPr>
                <w:p w14:paraId="011F0286">
                  <w:pPr>
                    <w:pStyle w:val="28"/>
                    <w:bidi w:val="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0.02</w:t>
                  </w:r>
                </w:p>
              </w:tc>
              <w:tc>
                <w:tcPr>
                  <w:tcW w:w="2142" w:type="dxa"/>
                  <w:tcBorders>
                    <w:tl2br w:val="nil"/>
                    <w:tr2bl w:val="nil"/>
                  </w:tcBorders>
                  <w:vAlign w:val="center"/>
                </w:tcPr>
                <w:p w14:paraId="3BDCB50D">
                  <w:pPr>
                    <w:pStyle w:val="28"/>
                    <w:bidi w:val="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3.65</w:t>
                  </w:r>
                </w:p>
              </w:tc>
              <w:tc>
                <w:tcPr>
                  <w:tcW w:w="1192" w:type="dxa"/>
                  <w:vMerge w:val="continue"/>
                  <w:tcBorders>
                    <w:tl2br w:val="nil"/>
                    <w:tr2bl w:val="nil"/>
                  </w:tcBorders>
                  <w:vAlign w:val="center"/>
                </w:tcPr>
                <w:p w14:paraId="339AC136">
                  <w:pPr>
                    <w:widowControl w:val="0"/>
                    <w:bidi w:val="0"/>
                    <w:spacing w:line="240" w:lineRule="auto"/>
                    <w:ind w:firstLine="0" w:firstLineChars="0"/>
                    <w:jc w:val="center"/>
                    <w:rPr>
                      <w:rFonts w:hint="eastAsia" w:ascii="Times New Roman" w:hAnsi="Times New Roman" w:eastAsia="宋体" w:cs="Times New Roman"/>
                      <w:caps w:val="0"/>
                      <w:color w:val="auto"/>
                      <w:spacing w:val="0"/>
                      <w:w w:val="100"/>
                      <w:kern w:val="2"/>
                      <w:position w:val="0"/>
                      <w:sz w:val="21"/>
                      <w:szCs w:val="21"/>
                      <w:highlight w:val="none"/>
                      <w:lang w:val="en-US" w:eastAsia="zh-CN" w:bidi="ar-SA"/>
                    </w:rPr>
                  </w:pPr>
                </w:p>
              </w:tc>
            </w:tr>
          </w:tbl>
          <w:p w14:paraId="18255F8E">
            <w:pPr>
              <w:keepNext w:val="0"/>
              <w:keepLines w:val="0"/>
              <w:widowControl w:val="0"/>
              <w:suppressLineNumbers w:val="0"/>
              <w:bidi w:val="0"/>
              <w:spacing w:before="0" w:beforeLines="0" w:beforeAutospacing="0" w:after="0" w:afterLines="0" w:afterAutospacing="0" w:line="360" w:lineRule="auto"/>
              <w:ind w:left="0" w:right="0" w:firstLine="422" w:firstLineChars="200"/>
              <w:jc w:val="both"/>
              <w:rPr>
                <w:rFonts w:hint="default" w:ascii="Times New Roman" w:hAnsi="Times New Roman" w:eastAsia="宋体" w:cs="Times New Roman"/>
                <w:b/>
                <w:bCs/>
                <w:caps w:val="0"/>
                <w:color w:val="auto"/>
                <w:spacing w:val="0"/>
                <w:w w:val="100"/>
                <w:kern w:val="2"/>
                <w:position w:val="0"/>
                <w:sz w:val="21"/>
                <w:szCs w:val="21"/>
                <w:highlight w:val="none"/>
                <w:lang w:val="en-US" w:eastAsia="zh-CN" w:bidi="ar-SA"/>
              </w:rPr>
            </w:pPr>
            <w:r>
              <w:rPr>
                <w:rFonts w:hint="default" w:ascii="Times New Roman" w:hAnsi="Times New Roman" w:eastAsia="宋体" w:cs="Times New Roman"/>
                <w:b/>
                <w:bCs/>
                <w:caps w:val="0"/>
                <w:color w:val="auto"/>
                <w:spacing w:val="0"/>
                <w:w w:val="100"/>
                <w:kern w:val="2"/>
                <w:position w:val="0"/>
                <w:sz w:val="21"/>
                <w:szCs w:val="21"/>
                <w:highlight w:val="none"/>
                <w:lang w:val="en-US" w:eastAsia="zh-CN" w:bidi="ar-SA"/>
              </w:rPr>
              <w:t>注：</w:t>
            </w:r>
            <w:r>
              <w:rPr>
                <w:rFonts w:hint="default" w:ascii="Times New Roman" w:hAnsi="Times New Roman" w:eastAsia="Times New Roman" w:cs="Times New Roman"/>
                <w:b/>
                <w:bCs/>
                <w:caps w:val="0"/>
                <w:color w:val="auto"/>
                <w:spacing w:val="0"/>
                <w:w w:val="100"/>
                <w:kern w:val="2"/>
                <w:position w:val="0"/>
                <w:sz w:val="21"/>
                <w:szCs w:val="21"/>
                <w:highlight w:val="none"/>
                <w:lang w:val="en-US" w:eastAsia="zh-CN" w:bidi="ar-SA"/>
              </w:rPr>
              <w:t>*</w:t>
            </w:r>
            <w:r>
              <w:rPr>
                <w:rFonts w:hint="default" w:ascii="Times New Roman" w:hAnsi="Times New Roman" w:eastAsia="宋体" w:cs="Times New Roman"/>
                <w:b/>
                <w:bCs/>
                <w:caps w:val="0"/>
                <w:color w:val="auto"/>
                <w:spacing w:val="0"/>
                <w:w w:val="100"/>
                <w:kern w:val="2"/>
                <w:position w:val="0"/>
                <w:sz w:val="21"/>
                <w:szCs w:val="21"/>
                <w:highlight w:val="none"/>
                <w:lang w:val="en-US" w:eastAsia="zh-CN" w:bidi="ar-SA"/>
              </w:rPr>
              <w:t>为小时平均质量浓度。</w:t>
            </w:r>
          </w:p>
          <w:p w14:paraId="0D55BD87">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ascii="Times New Roman" w:hAnsi="Times New Roman" w:eastAsia="宋体" w:cs="Times New Roman"/>
                <w:caps w:val="0"/>
                <w:color w:val="auto"/>
                <w:spacing w:val="0"/>
                <w:w w:val="100"/>
                <w:kern w:val="2"/>
                <w:position w:val="0"/>
                <w:sz w:val="24"/>
                <w:szCs w:val="24"/>
                <w:highlight w:val="none"/>
                <w:lang w:val="en-US" w:eastAsia="zh-CN" w:bidi="ar-SA"/>
              </w:rPr>
              <w:t>根据计算，本项目生产</w:t>
            </w:r>
            <w:r>
              <w:rPr>
                <w:rFonts w:hint="eastAsia" w:cs="Times New Roman"/>
                <w:caps w:val="0"/>
                <w:color w:val="auto"/>
                <w:spacing w:val="0"/>
                <w:w w:val="100"/>
                <w:kern w:val="2"/>
                <w:position w:val="0"/>
                <w:sz w:val="24"/>
                <w:szCs w:val="24"/>
                <w:highlight w:val="none"/>
                <w:lang w:val="en-US" w:eastAsia="zh-CN" w:bidi="ar-SA"/>
              </w:rPr>
              <w:t>区</w:t>
            </w:r>
            <w:r>
              <w:rPr>
                <w:rFonts w:hint="default" w:ascii="Times New Roman" w:hAnsi="Times New Roman" w:eastAsia="宋体" w:cs="Times New Roman"/>
                <w:caps w:val="0"/>
                <w:color w:val="auto"/>
                <w:spacing w:val="0"/>
                <w:w w:val="100"/>
                <w:kern w:val="2"/>
                <w:position w:val="0"/>
                <w:sz w:val="24"/>
                <w:szCs w:val="24"/>
                <w:highlight w:val="none"/>
                <w:lang w:val="en-US" w:eastAsia="zh-CN" w:bidi="ar-SA"/>
              </w:rPr>
              <w:t>选取颗粒物来确定最终卫生防护距离。</w:t>
            </w:r>
            <w:r>
              <w:rPr>
                <w:rFonts w:hint="default"/>
                <w:caps w:val="0"/>
                <w:color w:val="auto"/>
                <w:spacing w:val="0"/>
                <w:position w:val="0"/>
                <w:highlight w:val="none"/>
              </w:rPr>
              <w:t>根据《大气有害物质无组织排放卫生防护距离推导技术导则》（GB/T39499-2020）规定，无组织排放有害物质的生产单元（生产区、车间、工段）与居民区之间应设置卫生防护距离，计算公式如下：</w:t>
            </w:r>
          </w:p>
          <w:p w14:paraId="4F190C1E">
            <w:pPr>
              <w:pStyle w:val="74"/>
              <w:keepNext w:val="0"/>
              <w:keepLines w:val="0"/>
              <w:suppressLineNumbers w:val="0"/>
              <w:bidi w:val="0"/>
              <w:spacing w:before="0" w:beforeAutospacing="0" w:after="0" w:afterAutospacing="0"/>
              <w:ind w:left="0" w:right="0"/>
              <w:rPr>
                <w:rFonts w:hint="default"/>
                <w:caps w:val="0"/>
                <w:snapToGrid w:val="0"/>
                <w:color w:val="auto"/>
                <w:spacing w:val="0"/>
                <w:kern w:val="0"/>
                <w:position w:val="0"/>
                <w:highlight w:val="none"/>
              </w:rPr>
            </w:pPr>
            <w:r>
              <w:rPr>
                <w:rFonts w:hint="default"/>
                <w:caps w:val="0"/>
                <w:color w:val="auto"/>
                <w:spacing w:val="0"/>
                <w:position w:val="0"/>
                <w:highlight w:val="none"/>
              </w:rPr>
              <w:t>确定项目车间的卫生防护距离的计算公式为：</w:t>
            </w:r>
          </w:p>
          <w:p w14:paraId="3389BA5A">
            <w:pPr>
              <w:pStyle w:val="76"/>
              <w:keepNext w:val="0"/>
              <w:keepLines w:val="0"/>
              <w:suppressLineNumbers w:val="0"/>
              <w:spacing w:before="0" w:beforeAutospacing="0" w:after="0" w:afterAutospacing="0"/>
              <w:ind w:left="0" w:right="0"/>
              <w:jc w:val="center"/>
              <w:rPr>
                <w:rFonts w:hint="default"/>
                <w:caps w:val="0"/>
                <w:snapToGrid w:val="0"/>
                <w:color w:val="auto"/>
                <w:spacing w:val="0"/>
                <w:kern w:val="0"/>
                <w:position w:val="0"/>
                <w:highlight w:val="none"/>
              </w:rPr>
            </w:pPr>
            <w:r>
              <w:rPr>
                <w:rFonts w:hint="default"/>
                <w:caps w:val="0"/>
                <w:snapToGrid w:val="0"/>
                <w:color w:val="auto"/>
                <w:spacing w:val="0"/>
                <w:kern w:val="0"/>
                <w:position w:val="0"/>
                <w:highlight w:val="none"/>
              </w:rPr>
              <w:drawing>
                <wp:inline distT="0" distB="0" distL="114300" distR="114300">
                  <wp:extent cx="278130" cy="387985"/>
                  <wp:effectExtent l="0" t="0" r="11430" b="8890"/>
                  <wp:docPr id="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pic:cNvPicPr>
                            <a:picLocks noChangeAspect="1"/>
                          </pic:cNvPicPr>
                        </pic:nvPicPr>
                        <pic:blipFill>
                          <a:blip r:embed="rId15"/>
                          <a:stretch>
                            <a:fillRect/>
                          </a:stretch>
                        </pic:blipFill>
                        <pic:spPr>
                          <a:xfrm>
                            <a:off x="0" y="0"/>
                            <a:ext cx="278130" cy="387985"/>
                          </a:xfrm>
                          <a:prstGeom prst="rect">
                            <a:avLst/>
                          </a:prstGeom>
                          <a:noFill/>
                          <a:ln>
                            <a:noFill/>
                          </a:ln>
                        </pic:spPr>
                      </pic:pic>
                    </a:graphicData>
                  </a:graphic>
                </wp:inline>
              </w:drawing>
            </w:r>
            <w:r>
              <w:rPr>
                <w:rFonts w:hint="default"/>
                <w:caps w:val="0"/>
                <w:snapToGrid w:val="0"/>
                <w:color w:val="auto"/>
                <w:spacing w:val="0"/>
                <w:kern w:val="0"/>
                <w:position w:val="0"/>
                <w:highlight w:val="none"/>
              </w:rPr>
              <w:t>＝</w:t>
            </w:r>
            <w:r>
              <w:rPr>
                <w:rFonts w:hint="default"/>
                <w:caps w:val="0"/>
                <w:snapToGrid w:val="0"/>
                <w:color w:val="auto"/>
                <w:spacing w:val="0"/>
                <w:kern w:val="0"/>
                <w:position w:val="0"/>
                <w:highlight w:val="none"/>
              </w:rPr>
              <w:drawing>
                <wp:inline distT="0" distB="0" distL="114300" distR="114300">
                  <wp:extent cx="1383030" cy="387985"/>
                  <wp:effectExtent l="0" t="0" r="0" b="8890"/>
                  <wp:docPr id="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pic:cNvPicPr>
                            <a:picLocks noChangeAspect="1"/>
                          </pic:cNvPicPr>
                        </pic:nvPicPr>
                        <pic:blipFill>
                          <a:blip r:embed="rId16"/>
                          <a:stretch>
                            <a:fillRect/>
                          </a:stretch>
                        </pic:blipFill>
                        <pic:spPr>
                          <a:xfrm>
                            <a:off x="0" y="0"/>
                            <a:ext cx="1383030" cy="387985"/>
                          </a:xfrm>
                          <a:prstGeom prst="rect">
                            <a:avLst/>
                          </a:prstGeom>
                          <a:noFill/>
                          <a:ln>
                            <a:noFill/>
                          </a:ln>
                        </pic:spPr>
                      </pic:pic>
                    </a:graphicData>
                  </a:graphic>
                </wp:inline>
              </w:drawing>
            </w:r>
            <w:r>
              <w:rPr>
                <w:rFonts w:hint="eastAsia"/>
                <w:caps w:val="0"/>
                <w:snapToGrid w:val="0"/>
                <w:color w:val="auto"/>
                <w:spacing w:val="0"/>
                <w:kern w:val="0"/>
                <w:position w:val="0"/>
                <w:highlight w:val="none"/>
              </w:rPr>
              <w:t>（</w:t>
            </w:r>
            <w:r>
              <w:rPr>
                <w:rFonts w:hint="default"/>
                <w:caps w:val="0"/>
                <w:snapToGrid w:val="0"/>
                <w:color w:val="auto"/>
                <w:spacing w:val="0"/>
                <w:kern w:val="0"/>
                <w:position w:val="0"/>
                <w:highlight w:val="none"/>
              </w:rPr>
              <w:t>1</w:t>
            </w:r>
            <w:r>
              <w:rPr>
                <w:rFonts w:hint="eastAsia"/>
                <w:caps w:val="0"/>
                <w:snapToGrid w:val="0"/>
                <w:color w:val="auto"/>
                <w:spacing w:val="0"/>
                <w:kern w:val="0"/>
                <w:position w:val="0"/>
                <w:highlight w:val="none"/>
              </w:rPr>
              <w:t>）</w:t>
            </w:r>
          </w:p>
          <w:p w14:paraId="1BD879F4">
            <w:pPr>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caps w:val="0"/>
                <w:color w:val="auto"/>
                <w:spacing w:val="0"/>
                <w:position w:val="0"/>
                <w:szCs w:val="21"/>
                <w:highlight w:val="none"/>
              </w:rPr>
            </w:pPr>
            <w:r>
              <w:rPr>
                <w:rFonts w:hint="default"/>
                <w:caps w:val="0"/>
                <w:color w:val="auto"/>
                <w:spacing w:val="0"/>
                <w:position w:val="0"/>
                <w:highlight w:val="none"/>
              </w:rPr>
              <w:t>其中：A、B、C、D—卫生防护距离计算系数；</w:t>
            </w:r>
            <w:r>
              <w:rPr>
                <w:rFonts w:hint="default" w:ascii="Times New Roman" w:hAnsi="Times New Roman" w:eastAsia="宋体" w:cs="Times New Roman"/>
                <w:caps w:val="0"/>
                <w:color w:val="auto"/>
                <w:spacing w:val="0"/>
                <w:position w:val="0"/>
                <w:szCs w:val="21"/>
                <w:highlight w:val="none"/>
              </w:rPr>
              <w:t>从GB/T39499-2020表1中查取，根据5年项目的平均风速1.8m/s（小于2m/s），按Ⅲ类，防护距离小于1000m，取值为</w:t>
            </w:r>
            <w:r>
              <w:rPr>
                <w:rFonts w:hint="default" w:ascii="Times New Roman" w:hAnsi="Times New Roman" w:eastAsia="宋体" w:cs="Times New Roman"/>
                <w:i/>
                <w:caps w:val="0"/>
                <w:color w:val="auto"/>
                <w:spacing w:val="0"/>
                <w:position w:val="0"/>
                <w:szCs w:val="21"/>
                <w:highlight w:val="none"/>
              </w:rPr>
              <w:t>A=400，B=0.01，C=1.85，D=0.78</w:t>
            </w:r>
            <w:r>
              <w:rPr>
                <w:rFonts w:hint="default" w:ascii="Times New Roman" w:hAnsi="Times New Roman" w:eastAsia="宋体" w:cs="Times New Roman"/>
                <w:caps w:val="0"/>
                <w:color w:val="auto"/>
                <w:spacing w:val="0"/>
                <w:position w:val="0"/>
                <w:szCs w:val="21"/>
                <w:highlight w:val="none"/>
              </w:rPr>
              <w:t>；</w:t>
            </w:r>
          </w:p>
          <w:p w14:paraId="1BE0EEF7">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C</w:t>
            </w:r>
            <w:r>
              <w:rPr>
                <w:rFonts w:hint="default"/>
                <w:caps w:val="0"/>
                <w:color w:val="auto"/>
                <w:spacing w:val="0"/>
                <w:position w:val="0"/>
                <w:highlight w:val="none"/>
                <w:vertAlign w:val="subscript"/>
              </w:rPr>
              <w:t>m</w:t>
            </w:r>
            <w:r>
              <w:rPr>
                <w:rFonts w:hint="default"/>
                <w:caps w:val="0"/>
                <w:color w:val="auto"/>
                <w:spacing w:val="0"/>
                <w:position w:val="0"/>
                <w:highlight w:val="none"/>
              </w:rPr>
              <w:t>—大气有害物质环境空气质量的标准限值，mg/m</w:t>
            </w:r>
            <w:r>
              <w:rPr>
                <w:rFonts w:hint="default"/>
                <w:caps w:val="0"/>
                <w:color w:val="auto"/>
                <w:spacing w:val="0"/>
                <w:position w:val="0"/>
                <w:highlight w:val="none"/>
                <w:vertAlign w:val="superscript"/>
              </w:rPr>
              <w:t>3</w:t>
            </w:r>
            <w:r>
              <w:rPr>
                <w:rFonts w:hint="default"/>
                <w:caps w:val="0"/>
                <w:color w:val="auto"/>
                <w:spacing w:val="0"/>
                <w:position w:val="0"/>
                <w:highlight w:val="none"/>
              </w:rPr>
              <w:t>；</w:t>
            </w:r>
          </w:p>
          <w:p w14:paraId="3101B0F8">
            <w:pPr>
              <w:pStyle w:val="74"/>
              <w:keepNext w:val="0"/>
              <w:keepLines w:val="0"/>
              <w:suppressLineNumbers w:val="0"/>
              <w:bidi w:val="0"/>
              <w:spacing w:before="0" w:beforeAutospacing="0" w:after="0" w:afterAutospacing="0"/>
              <w:ind w:left="0" w:right="0"/>
              <w:rPr>
                <w:rFonts w:hint="eastAsia" w:eastAsia="宋体"/>
                <w:caps w:val="0"/>
                <w:color w:val="auto"/>
                <w:spacing w:val="0"/>
                <w:position w:val="0"/>
                <w:highlight w:val="none"/>
                <w:lang w:eastAsia="zh-CN"/>
              </w:rPr>
            </w:pPr>
            <w:r>
              <w:rPr>
                <w:rFonts w:hint="default"/>
                <w:caps w:val="0"/>
                <w:color w:val="auto"/>
                <w:spacing w:val="0"/>
                <w:position w:val="0"/>
                <w:highlight w:val="none"/>
              </w:rPr>
              <w:t>L—大气有害物质卫生防护距离初值，m</w:t>
            </w:r>
            <w:r>
              <w:rPr>
                <w:rFonts w:hint="eastAsia"/>
                <w:caps w:val="0"/>
                <w:color w:val="auto"/>
                <w:spacing w:val="0"/>
                <w:position w:val="0"/>
                <w:highlight w:val="none"/>
                <w:lang w:eastAsia="zh-CN"/>
              </w:rPr>
              <w:t>；</w:t>
            </w:r>
          </w:p>
          <w:p w14:paraId="3C78508E">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Q</w:t>
            </w:r>
            <w:r>
              <w:rPr>
                <w:rFonts w:hint="default"/>
                <w:caps w:val="0"/>
                <w:color w:val="auto"/>
                <w:spacing w:val="0"/>
                <w:position w:val="0"/>
                <w:highlight w:val="none"/>
                <w:vertAlign w:val="subscript"/>
              </w:rPr>
              <w:t>c</w:t>
            </w:r>
            <w:r>
              <w:rPr>
                <w:rFonts w:hint="default"/>
                <w:caps w:val="0"/>
                <w:color w:val="auto"/>
                <w:spacing w:val="0"/>
                <w:position w:val="0"/>
                <w:highlight w:val="none"/>
              </w:rPr>
              <w:t>—大气有害物质的无组织排放量，kg/h；</w:t>
            </w:r>
          </w:p>
          <w:p w14:paraId="53C0C55D">
            <w:pPr>
              <w:pStyle w:val="74"/>
              <w:keepNext w:val="0"/>
              <w:keepLines w:val="0"/>
              <w:suppressLineNumbers w:val="0"/>
              <w:bidi w:val="0"/>
              <w:spacing w:before="0" w:beforeAutospacing="0" w:after="0" w:afterAutospacing="0"/>
              <w:ind w:left="0" w:right="0"/>
              <w:rPr>
                <w:rFonts w:hint="eastAsia" w:eastAsia="宋体"/>
                <w:caps w:val="0"/>
                <w:snapToGrid w:val="0"/>
                <w:color w:val="auto"/>
                <w:spacing w:val="0"/>
                <w:kern w:val="0"/>
                <w:position w:val="0"/>
                <w:highlight w:val="none"/>
                <w:lang w:eastAsia="zh-CN"/>
              </w:rPr>
            </w:pPr>
            <w:r>
              <w:rPr>
                <w:rFonts w:hint="default"/>
                <w:caps w:val="0"/>
                <w:color w:val="auto"/>
                <w:spacing w:val="0"/>
                <w:position w:val="0"/>
                <w:highlight w:val="none"/>
              </w:rPr>
              <w:t>r—大气有害物质无组织排放源所在生产单元的等效半径，m</w:t>
            </w:r>
            <w:r>
              <w:rPr>
                <w:rFonts w:hint="eastAsia"/>
                <w:caps w:val="0"/>
                <w:color w:val="auto"/>
                <w:spacing w:val="0"/>
                <w:position w:val="0"/>
                <w:highlight w:val="none"/>
                <w:lang w:eastAsia="zh-CN"/>
              </w:rPr>
              <w:t>。</w:t>
            </w:r>
          </w:p>
          <w:p w14:paraId="03B67E94">
            <w:pPr>
              <w:pStyle w:val="75"/>
              <w:keepNext w:val="0"/>
              <w:keepLines w:val="0"/>
              <w:numPr>
                <w:ilvl w:val="0"/>
                <w:numId w:val="7"/>
              </w:numPr>
              <w:suppressLineNumbers w:val="0"/>
              <w:bidi w:val="0"/>
              <w:spacing w:before="0" w:beforeAutospacing="0" w:after="0" w:afterAutospacing="0"/>
              <w:ind w:left="425" w:leftChars="0" w:right="0" w:hanging="425" w:firstLineChars="0"/>
              <w:rPr>
                <w:rFonts w:hint="default"/>
                <w:caps w:val="0"/>
                <w:color w:val="auto"/>
                <w:spacing w:val="0"/>
                <w:position w:val="0"/>
                <w:highlight w:val="none"/>
              </w:rPr>
            </w:pPr>
            <w:r>
              <w:rPr>
                <w:rFonts w:hint="default"/>
                <w:caps w:val="0"/>
                <w:color w:val="auto"/>
                <w:spacing w:val="0"/>
                <w:position w:val="0"/>
                <w:highlight w:val="none"/>
              </w:rPr>
              <w:t>卫生防护距离计算结果一览表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52"/>
              <w:gridCol w:w="1025"/>
              <w:gridCol w:w="1119"/>
              <w:gridCol w:w="946"/>
              <w:gridCol w:w="626"/>
              <w:gridCol w:w="694"/>
              <w:gridCol w:w="692"/>
              <w:gridCol w:w="708"/>
              <w:gridCol w:w="944"/>
              <w:gridCol w:w="631"/>
            </w:tblGrid>
            <w:tr w14:paraId="79F54B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517" w:type="pct"/>
                  <w:vMerge w:val="restart"/>
                  <w:noWrap w:val="0"/>
                  <w:vAlign w:val="center"/>
                </w:tcPr>
                <w:p w14:paraId="3A655D44">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污染源</w:t>
                  </w:r>
                </w:p>
              </w:tc>
              <w:tc>
                <w:tcPr>
                  <w:tcW w:w="622" w:type="pct"/>
                  <w:vMerge w:val="restart"/>
                  <w:noWrap w:val="0"/>
                  <w:vAlign w:val="center"/>
                </w:tcPr>
                <w:p w14:paraId="4025BFDF">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面积/m</w:t>
                  </w:r>
                  <w:r>
                    <w:rPr>
                      <w:rFonts w:hint="default"/>
                      <w:b/>
                      <w:bCs/>
                      <w:caps w:val="0"/>
                      <w:color w:val="auto"/>
                      <w:spacing w:val="0"/>
                      <w:position w:val="0"/>
                      <w:highlight w:val="none"/>
                      <w:vertAlign w:val="superscript"/>
                    </w:rPr>
                    <w:t>2</w:t>
                  </w:r>
                </w:p>
              </w:tc>
              <w:tc>
                <w:tcPr>
                  <w:tcW w:w="679" w:type="pct"/>
                  <w:vMerge w:val="restart"/>
                  <w:noWrap w:val="0"/>
                  <w:vAlign w:val="center"/>
                </w:tcPr>
                <w:p w14:paraId="4168C27E">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污染物</w:t>
                  </w:r>
                </w:p>
              </w:tc>
              <w:tc>
                <w:tcPr>
                  <w:tcW w:w="574" w:type="pct"/>
                  <w:vMerge w:val="restart"/>
                  <w:noWrap w:val="0"/>
                  <w:vAlign w:val="center"/>
                </w:tcPr>
                <w:p w14:paraId="3D7A45C7">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排放速率/kg/h</w:t>
                  </w:r>
                </w:p>
              </w:tc>
              <w:tc>
                <w:tcPr>
                  <w:tcW w:w="1651" w:type="pct"/>
                  <w:gridSpan w:val="4"/>
                  <w:noWrap w:val="0"/>
                  <w:vAlign w:val="center"/>
                </w:tcPr>
                <w:p w14:paraId="17396BB6">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计算系数</w:t>
                  </w:r>
                </w:p>
              </w:tc>
              <w:tc>
                <w:tcPr>
                  <w:tcW w:w="573" w:type="pct"/>
                  <w:vMerge w:val="restart"/>
                  <w:noWrap w:val="0"/>
                  <w:vAlign w:val="center"/>
                </w:tcPr>
                <w:p w14:paraId="59932EF1">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计算结果/m</w:t>
                  </w:r>
                </w:p>
              </w:tc>
              <w:tc>
                <w:tcPr>
                  <w:tcW w:w="383" w:type="pct"/>
                  <w:vMerge w:val="restart"/>
                  <w:noWrap w:val="0"/>
                  <w:vAlign w:val="center"/>
                </w:tcPr>
                <w:p w14:paraId="38ADA3D1">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取值/m</w:t>
                  </w:r>
                </w:p>
              </w:tc>
            </w:tr>
            <w:tr w14:paraId="0E5D9B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517" w:type="pct"/>
                  <w:vMerge w:val="continue"/>
                  <w:noWrap w:val="0"/>
                  <w:vAlign w:val="center"/>
                </w:tcPr>
                <w:p w14:paraId="2CE67C24">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622" w:type="pct"/>
                  <w:vMerge w:val="continue"/>
                  <w:noWrap w:val="0"/>
                  <w:vAlign w:val="center"/>
                </w:tcPr>
                <w:p w14:paraId="7D9A7FCC">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679" w:type="pct"/>
                  <w:vMerge w:val="continue"/>
                  <w:noWrap w:val="0"/>
                  <w:vAlign w:val="center"/>
                </w:tcPr>
                <w:p w14:paraId="79035A3E">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574" w:type="pct"/>
                  <w:vMerge w:val="continue"/>
                  <w:noWrap w:val="0"/>
                  <w:vAlign w:val="center"/>
                </w:tcPr>
                <w:p w14:paraId="6A53B305">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379" w:type="pct"/>
                  <w:noWrap w:val="0"/>
                  <w:vAlign w:val="center"/>
                </w:tcPr>
                <w:p w14:paraId="49D2AA8C">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A</w:t>
                  </w:r>
                </w:p>
              </w:tc>
              <w:tc>
                <w:tcPr>
                  <w:tcW w:w="421" w:type="pct"/>
                  <w:noWrap w:val="0"/>
                  <w:vAlign w:val="center"/>
                </w:tcPr>
                <w:p w14:paraId="40CA1DA9">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B</w:t>
                  </w:r>
                </w:p>
              </w:tc>
              <w:tc>
                <w:tcPr>
                  <w:tcW w:w="420" w:type="pct"/>
                  <w:noWrap w:val="0"/>
                  <w:vAlign w:val="center"/>
                </w:tcPr>
                <w:p w14:paraId="38D47E66">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C</w:t>
                  </w:r>
                </w:p>
              </w:tc>
              <w:tc>
                <w:tcPr>
                  <w:tcW w:w="429" w:type="pct"/>
                  <w:noWrap w:val="0"/>
                  <w:vAlign w:val="center"/>
                </w:tcPr>
                <w:p w14:paraId="4DF88296">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D</w:t>
                  </w:r>
                </w:p>
              </w:tc>
              <w:tc>
                <w:tcPr>
                  <w:tcW w:w="573" w:type="pct"/>
                  <w:vMerge w:val="continue"/>
                  <w:noWrap w:val="0"/>
                  <w:vAlign w:val="center"/>
                </w:tcPr>
                <w:p w14:paraId="3FECC8DA">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383" w:type="pct"/>
                  <w:vMerge w:val="continue"/>
                  <w:noWrap w:val="0"/>
                  <w:vAlign w:val="center"/>
                </w:tcPr>
                <w:p w14:paraId="6F8CF529">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71C236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517" w:type="pct"/>
                  <w:noWrap w:val="0"/>
                  <w:vAlign w:val="center"/>
                </w:tcPr>
                <w:p w14:paraId="1CACED1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ascii="Times New Roman" w:hAnsi="Times New Roman" w:eastAsia="宋体" w:cs="Times New Roman"/>
                      <w:caps w:val="0"/>
                      <w:color w:val="auto"/>
                      <w:spacing w:val="0"/>
                      <w:w w:val="100"/>
                      <w:kern w:val="2"/>
                      <w:position w:val="0"/>
                      <w:sz w:val="21"/>
                      <w:szCs w:val="21"/>
                      <w:highlight w:val="none"/>
                      <w:lang w:val="en-US" w:eastAsia="zh-CN" w:bidi="ar-SA"/>
                    </w:rPr>
                    <w:t>生产</w:t>
                  </w:r>
                  <w:r>
                    <w:rPr>
                      <w:rFonts w:hint="eastAsia" w:cs="Times New Roman"/>
                      <w:caps w:val="0"/>
                      <w:color w:val="auto"/>
                      <w:spacing w:val="0"/>
                      <w:w w:val="100"/>
                      <w:kern w:val="2"/>
                      <w:position w:val="0"/>
                      <w:sz w:val="21"/>
                      <w:szCs w:val="21"/>
                      <w:highlight w:val="none"/>
                      <w:lang w:val="en-US" w:eastAsia="zh-CN" w:bidi="ar-SA"/>
                    </w:rPr>
                    <w:t>厂房</w:t>
                  </w:r>
                </w:p>
              </w:tc>
              <w:tc>
                <w:tcPr>
                  <w:tcW w:w="622" w:type="pct"/>
                  <w:noWrap w:val="0"/>
                  <w:vAlign w:val="center"/>
                </w:tcPr>
                <w:p w14:paraId="3CD223F4">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6100</w:t>
                  </w:r>
                </w:p>
              </w:tc>
              <w:tc>
                <w:tcPr>
                  <w:tcW w:w="679" w:type="pct"/>
                  <w:noWrap w:val="0"/>
                  <w:vAlign w:val="center"/>
                </w:tcPr>
                <w:p w14:paraId="4CBA5B6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颗粒物</w:t>
                  </w:r>
                </w:p>
              </w:tc>
              <w:tc>
                <w:tcPr>
                  <w:tcW w:w="574" w:type="pct"/>
                  <w:noWrap w:val="0"/>
                  <w:vAlign w:val="center"/>
                </w:tcPr>
                <w:p w14:paraId="6146BFB8">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0.1212</w:t>
                  </w:r>
                </w:p>
              </w:tc>
              <w:tc>
                <w:tcPr>
                  <w:tcW w:w="379" w:type="pct"/>
                  <w:noWrap w:val="0"/>
                  <w:vAlign w:val="center"/>
                </w:tcPr>
                <w:p w14:paraId="1E2163E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470</w:t>
                  </w:r>
                </w:p>
              </w:tc>
              <w:tc>
                <w:tcPr>
                  <w:tcW w:w="421" w:type="pct"/>
                  <w:noWrap w:val="0"/>
                  <w:vAlign w:val="center"/>
                </w:tcPr>
                <w:p w14:paraId="14BB620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0.021</w:t>
                  </w:r>
                </w:p>
              </w:tc>
              <w:tc>
                <w:tcPr>
                  <w:tcW w:w="420" w:type="pct"/>
                  <w:noWrap w:val="0"/>
                  <w:vAlign w:val="center"/>
                </w:tcPr>
                <w:p w14:paraId="60644B2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1.85</w:t>
                  </w:r>
                </w:p>
              </w:tc>
              <w:tc>
                <w:tcPr>
                  <w:tcW w:w="429" w:type="pct"/>
                  <w:noWrap w:val="0"/>
                  <w:vAlign w:val="center"/>
                </w:tcPr>
                <w:p w14:paraId="531AB95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0.84</w:t>
                  </w:r>
                </w:p>
              </w:tc>
              <w:tc>
                <w:tcPr>
                  <w:tcW w:w="573" w:type="pct"/>
                  <w:noWrap w:val="0"/>
                  <w:vAlign w:val="center"/>
                </w:tcPr>
                <w:p w14:paraId="5DF9E9B5">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3.578</w:t>
                  </w:r>
                </w:p>
              </w:tc>
              <w:tc>
                <w:tcPr>
                  <w:tcW w:w="383" w:type="pct"/>
                  <w:noWrap w:val="0"/>
                  <w:vAlign w:val="center"/>
                </w:tcPr>
                <w:p w14:paraId="604F380C">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50</w:t>
                  </w:r>
                </w:p>
              </w:tc>
            </w:tr>
          </w:tbl>
          <w:p w14:paraId="6A93E8AF">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因此经计算可知，本项目卫生防护距离定为</w:t>
            </w:r>
            <w:r>
              <w:rPr>
                <w:rFonts w:hint="eastAsia"/>
                <w:caps w:val="0"/>
                <w:color w:val="auto"/>
                <w:spacing w:val="0"/>
                <w:position w:val="0"/>
                <w:highlight w:val="none"/>
                <w:lang w:val="en-US" w:eastAsia="zh-CN"/>
              </w:rPr>
              <w:t>生厂区往</w:t>
            </w:r>
            <w:r>
              <w:rPr>
                <w:rFonts w:hint="default"/>
                <w:caps w:val="0"/>
                <w:color w:val="auto"/>
                <w:spacing w:val="0"/>
                <w:position w:val="0"/>
                <w:highlight w:val="none"/>
              </w:rPr>
              <w:t>外延</w:t>
            </w:r>
            <w:r>
              <w:rPr>
                <w:rFonts w:hint="eastAsia"/>
                <w:caps w:val="0"/>
                <w:color w:val="auto"/>
                <w:spacing w:val="0"/>
                <w:position w:val="0"/>
                <w:highlight w:val="none"/>
                <w:lang w:val="en-US" w:eastAsia="zh-CN"/>
              </w:rPr>
              <w:t>50</w:t>
            </w:r>
            <w:r>
              <w:rPr>
                <w:rFonts w:hint="default"/>
                <w:caps w:val="0"/>
                <w:color w:val="auto"/>
                <w:spacing w:val="0"/>
                <w:position w:val="0"/>
                <w:highlight w:val="none"/>
              </w:rPr>
              <w:t>m。</w:t>
            </w:r>
          </w:p>
          <w:p w14:paraId="58AF82F0">
            <w:pPr>
              <w:pStyle w:val="8"/>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根据现场勘查可知，本项目</w:t>
            </w:r>
            <w:r>
              <w:rPr>
                <w:rFonts w:hint="eastAsia" w:ascii="Times New Roman" w:hAnsi="Times New Roman" w:eastAsia="宋体"/>
                <w:caps w:val="0"/>
                <w:color w:val="auto"/>
                <w:spacing w:val="0"/>
                <w:position w:val="0"/>
                <w:highlight w:val="none"/>
                <w:lang w:val="en-US" w:eastAsia="zh-CN"/>
              </w:rPr>
              <w:t>卫生防护距离</w:t>
            </w:r>
            <w:r>
              <w:rPr>
                <w:rFonts w:hint="eastAsia"/>
                <w:caps w:val="0"/>
                <w:color w:val="auto"/>
                <w:spacing w:val="0"/>
                <w:position w:val="0"/>
                <w:highlight w:val="none"/>
                <w:lang w:val="en-US" w:eastAsia="zh-CN"/>
              </w:rPr>
              <w:t>50米范围内无</w:t>
            </w:r>
            <w:r>
              <w:rPr>
                <w:rFonts w:hint="default"/>
                <w:caps w:val="0"/>
                <w:color w:val="auto"/>
                <w:spacing w:val="0"/>
                <w:position w:val="0"/>
                <w:highlight w:val="none"/>
              </w:rPr>
              <w:t>环境敏感点，因此本项目无组织废气对周边敏感目标影响较小。</w:t>
            </w:r>
          </w:p>
          <w:p w14:paraId="18D0C451">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1.4、非正常工况下排放分析</w:t>
            </w:r>
          </w:p>
          <w:p w14:paraId="3B54376B">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项目在车间开工时，首先启动所有的废气处理装置，然后再开始车间的工艺流程，以确保生产过程中产生的废气能够得到有效处理。车间停工时，所有的废气处理装置将继续运转，待工艺中的废气完全排出后才逐台关闭。车间在开工和停工时排放的污染物均能得到有效处理，排气筒排出的污染物浓度与正常生产时基本一致。</w:t>
            </w:r>
          </w:p>
          <w:p w14:paraId="4C394B41">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非正常排放是当废气处理设备出现故障时，生产过程中开停车、设备检修、工艺设备运转异常等非正常工况下的污染物排放，以及污染物排放控制措施达不到应有效率等情况下的排放。项目废气非正常工况排放主要原因是废气治理效率下降为0%，但废气收集系统可以正常运行，废气通过排气筒排放等情况，废气处理设施出现故障不能正常运行时，应立即停产进行维修，避免对周围环境造成污染。废气非正常工况源强情况见下表。</w:t>
            </w:r>
          </w:p>
          <w:p w14:paraId="5596EA84">
            <w:pPr>
              <w:pStyle w:val="75"/>
              <w:keepNext w:val="0"/>
              <w:keepLines w:val="0"/>
              <w:numPr>
                <w:ilvl w:val="0"/>
                <w:numId w:val="7"/>
              </w:numPr>
              <w:suppressLineNumbers w:val="0"/>
              <w:bidi w:val="0"/>
              <w:spacing w:before="0" w:beforeAutospacing="0" w:after="0" w:afterAutospacing="0"/>
              <w:ind w:left="425" w:leftChars="0" w:right="0" w:hanging="425" w:firstLineChars="0"/>
              <w:rPr>
                <w:rFonts w:hint="default"/>
                <w:caps w:val="0"/>
                <w:color w:val="auto"/>
                <w:spacing w:val="0"/>
                <w:position w:val="0"/>
                <w:highlight w:val="none"/>
              </w:rPr>
            </w:pPr>
            <w:r>
              <w:rPr>
                <w:rFonts w:hint="default"/>
                <w:caps w:val="0"/>
                <w:color w:val="auto"/>
                <w:spacing w:val="0"/>
                <w:position w:val="0"/>
                <w:highlight w:val="none"/>
              </w:rPr>
              <w:t>废气污染源非正常排放汇总表</w:t>
            </w:r>
          </w:p>
          <w:tbl>
            <w:tblPr>
              <w:tblStyle w:val="23"/>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80"/>
              <w:gridCol w:w="947"/>
              <w:gridCol w:w="685"/>
              <w:gridCol w:w="494"/>
              <w:gridCol w:w="1008"/>
              <w:gridCol w:w="897"/>
              <w:gridCol w:w="830"/>
              <w:gridCol w:w="739"/>
              <w:gridCol w:w="772"/>
              <w:gridCol w:w="1182"/>
            </w:tblGrid>
            <w:tr w14:paraId="6014CE3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80" w:type="dxa"/>
                  <w:vMerge w:val="restart"/>
                  <w:noWrap w:val="0"/>
                  <w:vAlign w:val="center"/>
                </w:tcPr>
                <w:p w14:paraId="542F0A2F">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排气筒编号</w:t>
                  </w:r>
                </w:p>
              </w:tc>
              <w:tc>
                <w:tcPr>
                  <w:tcW w:w="947" w:type="dxa"/>
                  <w:vMerge w:val="restart"/>
                  <w:noWrap w:val="0"/>
                  <w:vAlign w:val="center"/>
                </w:tcPr>
                <w:p w14:paraId="2FD7CC22">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污染物排放形式</w:t>
                  </w:r>
                </w:p>
              </w:tc>
              <w:tc>
                <w:tcPr>
                  <w:tcW w:w="685" w:type="dxa"/>
                  <w:vMerge w:val="restart"/>
                  <w:noWrap w:val="0"/>
                  <w:vAlign w:val="center"/>
                </w:tcPr>
                <w:p w14:paraId="51E7D2D0">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污染物种类</w:t>
                  </w:r>
                </w:p>
              </w:tc>
              <w:tc>
                <w:tcPr>
                  <w:tcW w:w="2399" w:type="dxa"/>
                  <w:gridSpan w:val="3"/>
                  <w:noWrap w:val="0"/>
                  <w:vAlign w:val="center"/>
                </w:tcPr>
                <w:p w14:paraId="73B62392">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非正常排放频次</w:t>
                  </w:r>
                </w:p>
              </w:tc>
              <w:tc>
                <w:tcPr>
                  <w:tcW w:w="2341" w:type="dxa"/>
                  <w:gridSpan w:val="3"/>
                  <w:noWrap w:val="0"/>
                  <w:vAlign w:val="center"/>
                </w:tcPr>
                <w:p w14:paraId="0A873917">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污染物排放情况</w:t>
                  </w:r>
                </w:p>
              </w:tc>
              <w:tc>
                <w:tcPr>
                  <w:tcW w:w="1182" w:type="dxa"/>
                  <w:vMerge w:val="restart"/>
                  <w:noWrap w:val="0"/>
                  <w:vAlign w:val="center"/>
                </w:tcPr>
                <w:p w14:paraId="115EE1E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b/>
                      <w:bCs/>
                      <w:caps w:val="0"/>
                      <w:color w:val="auto"/>
                      <w:spacing w:val="0"/>
                      <w:position w:val="0"/>
                      <w:highlight w:val="none"/>
                    </w:rPr>
                    <w:t>控制措施</w:t>
                  </w:r>
                </w:p>
              </w:tc>
            </w:tr>
            <w:tr w14:paraId="4DF977A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80" w:type="dxa"/>
                  <w:vMerge w:val="continue"/>
                  <w:noWrap w:val="0"/>
                  <w:vAlign w:val="center"/>
                </w:tcPr>
                <w:p w14:paraId="7ADEC84F">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947" w:type="dxa"/>
                  <w:vMerge w:val="continue"/>
                  <w:noWrap w:val="0"/>
                  <w:vAlign w:val="center"/>
                </w:tcPr>
                <w:p w14:paraId="5E87FAF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685" w:type="dxa"/>
                  <w:vMerge w:val="continue"/>
                  <w:noWrap w:val="0"/>
                  <w:vAlign w:val="center"/>
                </w:tcPr>
                <w:p w14:paraId="3654FB2F">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494" w:type="dxa"/>
                  <w:noWrap w:val="0"/>
                  <w:vAlign w:val="center"/>
                </w:tcPr>
                <w:p w14:paraId="4F4927FF">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次数</w:t>
                  </w:r>
                </w:p>
              </w:tc>
              <w:tc>
                <w:tcPr>
                  <w:tcW w:w="1008" w:type="dxa"/>
                  <w:noWrap w:val="0"/>
                  <w:vAlign w:val="center"/>
                </w:tcPr>
                <w:p w14:paraId="1D84721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单次持续时间</w:t>
                  </w:r>
                </w:p>
              </w:tc>
              <w:tc>
                <w:tcPr>
                  <w:tcW w:w="897" w:type="dxa"/>
                  <w:noWrap w:val="0"/>
                  <w:vAlign w:val="center"/>
                </w:tcPr>
                <w:p w14:paraId="752A9E1E">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总排放时间</w:t>
                  </w:r>
                </w:p>
              </w:tc>
              <w:tc>
                <w:tcPr>
                  <w:tcW w:w="830" w:type="dxa"/>
                  <w:noWrap w:val="0"/>
                  <w:vAlign w:val="center"/>
                </w:tcPr>
                <w:p w14:paraId="08824BE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排放浓度</w:t>
                  </w:r>
                </w:p>
              </w:tc>
              <w:tc>
                <w:tcPr>
                  <w:tcW w:w="739" w:type="dxa"/>
                  <w:noWrap w:val="0"/>
                  <w:vAlign w:val="center"/>
                </w:tcPr>
                <w:p w14:paraId="17AB7C08">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排放速度</w:t>
                  </w:r>
                </w:p>
              </w:tc>
              <w:tc>
                <w:tcPr>
                  <w:tcW w:w="772" w:type="dxa"/>
                  <w:noWrap w:val="0"/>
                  <w:vAlign w:val="center"/>
                </w:tcPr>
                <w:p w14:paraId="5761A80C">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排放总量</w:t>
                  </w:r>
                </w:p>
              </w:tc>
              <w:tc>
                <w:tcPr>
                  <w:tcW w:w="1182" w:type="dxa"/>
                  <w:vMerge w:val="continue"/>
                  <w:noWrap w:val="0"/>
                  <w:vAlign w:val="top"/>
                </w:tcPr>
                <w:p w14:paraId="0D015BB2">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2E387D8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80" w:type="dxa"/>
                  <w:vMerge w:val="continue"/>
                  <w:noWrap w:val="0"/>
                  <w:vAlign w:val="center"/>
                </w:tcPr>
                <w:p w14:paraId="37E64458">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947" w:type="dxa"/>
                  <w:vMerge w:val="continue"/>
                  <w:noWrap w:val="0"/>
                  <w:vAlign w:val="center"/>
                </w:tcPr>
                <w:p w14:paraId="7945ED74">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685" w:type="dxa"/>
                  <w:vMerge w:val="continue"/>
                  <w:noWrap w:val="0"/>
                  <w:vAlign w:val="center"/>
                </w:tcPr>
                <w:p w14:paraId="051102E0">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494" w:type="dxa"/>
                  <w:noWrap w:val="0"/>
                  <w:vAlign w:val="center"/>
                </w:tcPr>
                <w:p w14:paraId="6E058531">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次/年</w:t>
                  </w:r>
                </w:p>
              </w:tc>
              <w:tc>
                <w:tcPr>
                  <w:tcW w:w="1008" w:type="dxa"/>
                  <w:noWrap w:val="0"/>
                  <w:vAlign w:val="center"/>
                </w:tcPr>
                <w:p w14:paraId="01497287">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小时</w:t>
                  </w:r>
                </w:p>
              </w:tc>
              <w:tc>
                <w:tcPr>
                  <w:tcW w:w="897" w:type="dxa"/>
                  <w:noWrap w:val="0"/>
                  <w:vAlign w:val="center"/>
                </w:tcPr>
                <w:p w14:paraId="44523F39">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小时</w:t>
                  </w:r>
                </w:p>
              </w:tc>
              <w:tc>
                <w:tcPr>
                  <w:tcW w:w="830" w:type="dxa"/>
                  <w:noWrap w:val="0"/>
                  <w:vAlign w:val="center"/>
                </w:tcPr>
                <w:p w14:paraId="4B63BE7A">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mg/m</w:t>
                  </w:r>
                  <w:r>
                    <w:rPr>
                      <w:rFonts w:hint="default"/>
                      <w:b/>
                      <w:bCs/>
                      <w:caps w:val="0"/>
                      <w:color w:val="auto"/>
                      <w:spacing w:val="0"/>
                      <w:position w:val="0"/>
                      <w:highlight w:val="none"/>
                      <w:vertAlign w:val="superscript"/>
                    </w:rPr>
                    <w:t>3</w:t>
                  </w:r>
                </w:p>
              </w:tc>
              <w:tc>
                <w:tcPr>
                  <w:tcW w:w="739" w:type="dxa"/>
                  <w:noWrap w:val="0"/>
                  <w:vAlign w:val="center"/>
                </w:tcPr>
                <w:p w14:paraId="6E557241">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kg/h</w:t>
                  </w:r>
                </w:p>
              </w:tc>
              <w:tc>
                <w:tcPr>
                  <w:tcW w:w="772" w:type="dxa"/>
                  <w:noWrap w:val="0"/>
                  <w:vAlign w:val="center"/>
                </w:tcPr>
                <w:p w14:paraId="046801E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kg/a</w:t>
                  </w:r>
                </w:p>
              </w:tc>
              <w:tc>
                <w:tcPr>
                  <w:tcW w:w="1182" w:type="dxa"/>
                  <w:vMerge w:val="continue"/>
                  <w:noWrap w:val="0"/>
                  <w:vAlign w:val="top"/>
                </w:tcPr>
                <w:p w14:paraId="7FF0EF8D">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57FA262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jc w:val="center"/>
              </w:trPr>
              <w:tc>
                <w:tcPr>
                  <w:tcW w:w="680" w:type="dxa"/>
                  <w:vMerge w:val="restart"/>
                  <w:noWrap/>
                  <w:vAlign w:val="center"/>
                </w:tcPr>
                <w:p w14:paraId="17383FB2">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rPr>
                    <w:t>DA0</w:t>
                  </w:r>
                  <w:r>
                    <w:rPr>
                      <w:rFonts w:hint="eastAsia"/>
                      <w:caps w:val="0"/>
                      <w:color w:val="auto"/>
                      <w:spacing w:val="0"/>
                      <w:position w:val="0"/>
                      <w:highlight w:val="none"/>
                      <w:lang w:val="en-US" w:eastAsia="zh-CN"/>
                    </w:rPr>
                    <w:t>01</w:t>
                  </w:r>
                </w:p>
              </w:tc>
              <w:tc>
                <w:tcPr>
                  <w:tcW w:w="947" w:type="dxa"/>
                  <w:vMerge w:val="restart"/>
                  <w:noWrap w:val="0"/>
                  <w:vAlign w:val="center"/>
                </w:tcPr>
                <w:p w14:paraId="7095F64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有组织</w:t>
                  </w:r>
                </w:p>
              </w:tc>
              <w:tc>
                <w:tcPr>
                  <w:tcW w:w="685" w:type="dxa"/>
                  <w:noWrap w:val="0"/>
                  <w:vAlign w:val="center"/>
                </w:tcPr>
                <w:p w14:paraId="5D4C064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颗粒物</w:t>
                  </w:r>
                </w:p>
              </w:tc>
              <w:tc>
                <w:tcPr>
                  <w:tcW w:w="494" w:type="dxa"/>
                  <w:noWrap w:val="0"/>
                  <w:vAlign w:val="center"/>
                </w:tcPr>
                <w:p w14:paraId="1684A19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2</w:t>
                  </w:r>
                </w:p>
              </w:tc>
              <w:tc>
                <w:tcPr>
                  <w:tcW w:w="1008" w:type="dxa"/>
                  <w:noWrap w:val="0"/>
                  <w:vAlign w:val="center"/>
                </w:tcPr>
                <w:p w14:paraId="379AFD5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1</w:t>
                  </w:r>
                </w:p>
              </w:tc>
              <w:tc>
                <w:tcPr>
                  <w:tcW w:w="897" w:type="dxa"/>
                  <w:noWrap w:val="0"/>
                  <w:vAlign w:val="center"/>
                </w:tcPr>
                <w:p w14:paraId="3896C81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2</w:t>
                  </w:r>
                </w:p>
              </w:tc>
              <w:tc>
                <w:tcPr>
                  <w:tcW w:w="830" w:type="dxa"/>
                  <w:shd w:val="clear" w:color="auto" w:fill="auto"/>
                  <w:noWrap w:val="0"/>
                  <w:vAlign w:val="center"/>
                </w:tcPr>
                <w:p w14:paraId="4B958E9B">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1136</w:t>
                  </w:r>
                </w:p>
              </w:tc>
              <w:tc>
                <w:tcPr>
                  <w:tcW w:w="739" w:type="dxa"/>
                  <w:shd w:val="clear" w:color="auto" w:fill="auto"/>
                  <w:noWrap w:val="0"/>
                  <w:vAlign w:val="center"/>
                </w:tcPr>
                <w:p w14:paraId="2DE3DA9E">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5.68</w:t>
                  </w:r>
                </w:p>
              </w:tc>
              <w:tc>
                <w:tcPr>
                  <w:tcW w:w="772" w:type="dxa"/>
                  <w:noWrap w:val="0"/>
                  <w:vAlign w:val="center"/>
                </w:tcPr>
                <w:p w14:paraId="3A0C22DE">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11.36</w:t>
                  </w:r>
                </w:p>
              </w:tc>
              <w:tc>
                <w:tcPr>
                  <w:tcW w:w="1182" w:type="dxa"/>
                  <w:vMerge w:val="restart"/>
                  <w:noWrap w:val="0"/>
                  <w:vAlign w:val="center"/>
                </w:tcPr>
                <w:p w14:paraId="6C35EE6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及时检修、保养废气处理设施，启动应急预案，若短时间不能解决需停产</w:t>
                  </w:r>
                </w:p>
              </w:tc>
            </w:tr>
            <w:tr w14:paraId="098C76D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80" w:type="dxa"/>
                  <w:vMerge w:val="continue"/>
                  <w:noWrap/>
                  <w:vAlign w:val="center"/>
                </w:tcPr>
                <w:p w14:paraId="655DC9B5">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947" w:type="dxa"/>
                  <w:vMerge w:val="continue"/>
                  <w:noWrap w:val="0"/>
                  <w:vAlign w:val="center"/>
                </w:tcPr>
                <w:p w14:paraId="16E084BF">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685" w:type="dxa"/>
                  <w:shd w:val="clear" w:color="auto" w:fill="auto"/>
                  <w:noWrap w:val="0"/>
                  <w:vAlign w:val="center"/>
                </w:tcPr>
                <w:p w14:paraId="1CFFC03A">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rPr>
                    <w:t>铊及其化合物</w:t>
                  </w:r>
                </w:p>
              </w:tc>
              <w:tc>
                <w:tcPr>
                  <w:tcW w:w="494" w:type="dxa"/>
                  <w:shd w:val="clear" w:color="auto" w:fill="auto"/>
                  <w:noWrap w:val="0"/>
                  <w:vAlign w:val="center"/>
                </w:tcPr>
                <w:p w14:paraId="680FE098">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2</w:t>
                  </w:r>
                </w:p>
              </w:tc>
              <w:tc>
                <w:tcPr>
                  <w:tcW w:w="1008" w:type="dxa"/>
                  <w:shd w:val="clear" w:color="auto" w:fill="auto"/>
                  <w:noWrap w:val="0"/>
                  <w:vAlign w:val="center"/>
                </w:tcPr>
                <w:p w14:paraId="4C793798">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1</w:t>
                  </w:r>
                </w:p>
              </w:tc>
              <w:tc>
                <w:tcPr>
                  <w:tcW w:w="897" w:type="dxa"/>
                  <w:shd w:val="clear" w:color="auto" w:fill="auto"/>
                  <w:noWrap w:val="0"/>
                  <w:vAlign w:val="center"/>
                </w:tcPr>
                <w:p w14:paraId="443FBC27">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2</w:t>
                  </w:r>
                </w:p>
              </w:tc>
              <w:tc>
                <w:tcPr>
                  <w:tcW w:w="830" w:type="dxa"/>
                  <w:shd w:val="clear" w:color="auto" w:fill="auto"/>
                  <w:noWrap w:val="0"/>
                  <w:vAlign w:val="center"/>
                </w:tcPr>
                <w:p w14:paraId="6CBA2921">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default"/>
                      <w:caps w:val="0"/>
                      <w:color w:val="auto"/>
                      <w:spacing w:val="0"/>
                      <w:position w:val="0"/>
                      <w:highlight w:val="none"/>
                      <w:lang w:val="en-US" w:eastAsia="zh-CN"/>
                    </w:rPr>
                    <w:t>0.0133</w:t>
                  </w:r>
                </w:p>
              </w:tc>
              <w:tc>
                <w:tcPr>
                  <w:tcW w:w="739" w:type="dxa"/>
                  <w:shd w:val="clear" w:color="auto" w:fill="auto"/>
                  <w:noWrap w:val="0"/>
                  <w:vAlign w:val="center"/>
                </w:tcPr>
                <w:p w14:paraId="3710D171">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default"/>
                      <w:caps w:val="0"/>
                      <w:color w:val="auto"/>
                      <w:spacing w:val="0"/>
                      <w:position w:val="0"/>
                      <w:highlight w:val="none"/>
                      <w:lang w:val="en-US" w:eastAsia="zh-CN"/>
                    </w:rPr>
                    <w:t>0.0000665</w:t>
                  </w:r>
                </w:p>
              </w:tc>
              <w:tc>
                <w:tcPr>
                  <w:tcW w:w="772" w:type="dxa"/>
                  <w:shd w:val="clear" w:color="auto" w:fill="auto"/>
                  <w:noWrap w:val="0"/>
                  <w:vAlign w:val="center"/>
                </w:tcPr>
                <w:p w14:paraId="5D94A4BD">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0.000133</w:t>
                  </w:r>
                </w:p>
              </w:tc>
              <w:tc>
                <w:tcPr>
                  <w:tcW w:w="1182" w:type="dxa"/>
                  <w:vMerge w:val="continue"/>
                  <w:noWrap w:val="0"/>
                  <w:vAlign w:val="center"/>
                </w:tcPr>
                <w:p w14:paraId="4036C2E1">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r>
            <w:tr w14:paraId="306A532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80" w:type="dxa"/>
                  <w:vMerge w:val="continue"/>
                  <w:noWrap/>
                  <w:vAlign w:val="center"/>
                </w:tcPr>
                <w:p w14:paraId="22D8A845">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947" w:type="dxa"/>
                  <w:vMerge w:val="continue"/>
                  <w:noWrap w:val="0"/>
                  <w:vAlign w:val="center"/>
                </w:tcPr>
                <w:p w14:paraId="00996F6B">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685" w:type="dxa"/>
                  <w:shd w:val="clear" w:color="auto" w:fill="auto"/>
                  <w:noWrap w:val="0"/>
                  <w:vAlign w:val="center"/>
                </w:tcPr>
                <w:p w14:paraId="187C4066">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rPr>
                    <w:t>铍及其化合物</w:t>
                  </w:r>
                </w:p>
              </w:tc>
              <w:tc>
                <w:tcPr>
                  <w:tcW w:w="494" w:type="dxa"/>
                  <w:shd w:val="clear" w:color="auto" w:fill="auto"/>
                  <w:noWrap w:val="0"/>
                  <w:vAlign w:val="center"/>
                </w:tcPr>
                <w:p w14:paraId="4DEE8B33">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2</w:t>
                  </w:r>
                </w:p>
              </w:tc>
              <w:tc>
                <w:tcPr>
                  <w:tcW w:w="1008" w:type="dxa"/>
                  <w:shd w:val="clear" w:color="auto" w:fill="auto"/>
                  <w:noWrap w:val="0"/>
                  <w:vAlign w:val="center"/>
                </w:tcPr>
                <w:p w14:paraId="47E6F157">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1</w:t>
                  </w:r>
                </w:p>
              </w:tc>
              <w:tc>
                <w:tcPr>
                  <w:tcW w:w="897" w:type="dxa"/>
                  <w:shd w:val="clear" w:color="auto" w:fill="auto"/>
                  <w:noWrap w:val="0"/>
                  <w:vAlign w:val="center"/>
                </w:tcPr>
                <w:p w14:paraId="071E855E">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2</w:t>
                  </w:r>
                </w:p>
              </w:tc>
              <w:tc>
                <w:tcPr>
                  <w:tcW w:w="830" w:type="dxa"/>
                  <w:shd w:val="clear" w:color="auto" w:fill="auto"/>
                  <w:noWrap w:val="0"/>
                  <w:vAlign w:val="center"/>
                </w:tcPr>
                <w:p w14:paraId="4E4904C1">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default"/>
                      <w:caps w:val="0"/>
                      <w:color w:val="auto"/>
                      <w:spacing w:val="0"/>
                      <w:position w:val="0"/>
                      <w:highlight w:val="none"/>
                      <w:lang w:val="en-US" w:eastAsia="zh-CN"/>
                    </w:rPr>
                    <w:t>0.0743</w:t>
                  </w:r>
                </w:p>
              </w:tc>
              <w:tc>
                <w:tcPr>
                  <w:tcW w:w="739" w:type="dxa"/>
                  <w:shd w:val="clear" w:color="auto" w:fill="auto"/>
                  <w:noWrap w:val="0"/>
                  <w:vAlign w:val="center"/>
                </w:tcPr>
                <w:p w14:paraId="7CEB4DBC">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default"/>
                      <w:caps w:val="0"/>
                      <w:color w:val="auto"/>
                      <w:spacing w:val="0"/>
                      <w:position w:val="0"/>
                      <w:highlight w:val="none"/>
                      <w:lang w:val="en-US" w:eastAsia="zh-CN"/>
                    </w:rPr>
                    <w:t>0.00037</w:t>
                  </w:r>
                </w:p>
              </w:tc>
              <w:tc>
                <w:tcPr>
                  <w:tcW w:w="772" w:type="dxa"/>
                  <w:shd w:val="clear" w:color="auto" w:fill="auto"/>
                  <w:noWrap w:val="0"/>
                  <w:vAlign w:val="center"/>
                </w:tcPr>
                <w:p w14:paraId="2E872090">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0.00074</w:t>
                  </w:r>
                </w:p>
              </w:tc>
              <w:tc>
                <w:tcPr>
                  <w:tcW w:w="1182" w:type="dxa"/>
                  <w:vMerge w:val="continue"/>
                  <w:noWrap w:val="0"/>
                  <w:vAlign w:val="center"/>
                </w:tcPr>
                <w:p w14:paraId="5015248A">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r>
            <w:tr w14:paraId="0FE86E8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80" w:type="dxa"/>
                  <w:vMerge w:val="continue"/>
                  <w:noWrap/>
                  <w:vAlign w:val="center"/>
                </w:tcPr>
                <w:p w14:paraId="74216F37">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947" w:type="dxa"/>
                  <w:vMerge w:val="continue"/>
                  <w:noWrap w:val="0"/>
                  <w:vAlign w:val="center"/>
                </w:tcPr>
                <w:p w14:paraId="02CF8ED5">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685" w:type="dxa"/>
                  <w:shd w:val="clear" w:color="auto" w:fill="auto"/>
                  <w:noWrap w:val="0"/>
                  <w:vAlign w:val="center"/>
                </w:tcPr>
                <w:p w14:paraId="61B3BBEB">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rPr>
                    <w:t>氟化物</w:t>
                  </w:r>
                </w:p>
              </w:tc>
              <w:tc>
                <w:tcPr>
                  <w:tcW w:w="494" w:type="dxa"/>
                  <w:shd w:val="clear" w:color="auto" w:fill="auto"/>
                  <w:noWrap w:val="0"/>
                  <w:vAlign w:val="center"/>
                </w:tcPr>
                <w:p w14:paraId="7088B2C6">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2</w:t>
                  </w:r>
                </w:p>
              </w:tc>
              <w:tc>
                <w:tcPr>
                  <w:tcW w:w="1008" w:type="dxa"/>
                  <w:shd w:val="clear" w:color="auto" w:fill="auto"/>
                  <w:noWrap w:val="0"/>
                  <w:vAlign w:val="center"/>
                </w:tcPr>
                <w:p w14:paraId="2355F0F9">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1</w:t>
                  </w:r>
                </w:p>
              </w:tc>
              <w:tc>
                <w:tcPr>
                  <w:tcW w:w="897" w:type="dxa"/>
                  <w:shd w:val="clear" w:color="auto" w:fill="auto"/>
                  <w:noWrap w:val="0"/>
                  <w:vAlign w:val="center"/>
                </w:tcPr>
                <w:p w14:paraId="6E1299B3">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2</w:t>
                  </w:r>
                </w:p>
              </w:tc>
              <w:tc>
                <w:tcPr>
                  <w:tcW w:w="830" w:type="dxa"/>
                  <w:shd w:val="clear" w:color="auto" w:fill="auto"/>
                  <w:noWrap w:val="0"/>
                  <w:vAlign w:val="center"/>
                </w:tcPr>
                <w:p w14:paraId="18826AA5">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default"/>
                      <w:caps w:val="0"/>
                      <w:color w:val="auto"/>
                      <w:spacing w:val="0"/>
                      <w:position w:val="0"/>
                      <w:highlight w:val="none"/>
                      <w:lang w:val="en-US" w:eastAsia="zh-CN"/>
                    </w:rPr>
                    <w:t>20.445</w:t>
                  </w:r>
                </w:p>
              </w:tc>
              <w:tc>
                <w:tcPr>
                  <w:tcW w:w="739" w:type="dxa"/>
                  <w:shd w:val="clear" w:color="auto" w:fill="auto"/>
                  <w:noWrap w:val="0"/>
                  <w:vAlign w:val="center"/>
                </w:tcPr>
                <w:p w14:paraId="1FE69EC2">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default"/>
                      <w:caps w:val="0"/>
                      <w:color w:val="auto"/>
                      <w:spacing w:val="0"/>
                      <w:position w:val="0"/>
                      <w:highlight w:val="none"/>
                      <w:lang w:val="en-US" w:eastAsia="zh-CN"/>
                    </w:rPr>
                    <w:t>0.1</w:t>
                  </w:r>
                </w:p>
              </w:tc>
              <w:tc>
                <w:tcPr>
                  <w:tcW w:w="772" w:type="dxa"/>
                  <w:shd w:val="clear" w:color="auto" w:fill="auto"/>
                  <w:noWrap w:val="0"/>
                  <w:vAlign w:val="center"/>
                </w:tcPr>
                <w:p w14:paraId="3CA42AE0">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0.2</w:t>
                  </w:r>
                </w:p>
              </w:tc>
              <w:tc>
                <w:tcPr>
                  <w:tcW w:w="1182" w:type="dxa"/>
                  <w:vMerge w:val="continue"/>
                  <w:noWrap w:val="0"/>
                  <w:vAlign w:val="center"/>
                </w:tcPr>
                <w:p w14:paraId="3247A796">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r>
          </w:tbl>
          <w:p w14:paraId="7B46DC91">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由</w:t>
            </w:r>
            <w:r>
              <w:rPr>
                <w:rFonts w:hint="eastAsia"/>
                <w:caps w:val="0"/>
                <w:color w:val="auto"/>
                <w:spacing w:val="0"/>
                <w:position w:val="0"/>
                <w:highlight w:val="none"/>
              </w:rPr>
              <w:t>上</w:t>
            </w:r>
            <w:r>
              <w:rPr>
                <w:rFonts w:hint="default"/>
                <w:caps w:val="0"/>
                <w:color w:val="auto"/>
                <w:spacing w:val="0"/>
                <w:position w:val="0"/>
                <w:highlight w:val="none"/>
              </w:rPr>
              <w:t>表可知，在非正常情况下，废气排气筒有组织排放浓度和速率显著增加。为防止废气事故排放，企业应在生产过程中加强管理，一旦废气治理系统故障，立即停产检修，防止事故废气排放。同时，企业应加强生产管理，根据设备性质和要求做相应的点检和检修，预防事故的发生。综上所述，在企业妥善管理的前提下，本项目外排废气经过处理后可达标排放。</w:t>
            </w:r>
          </w:p>
          <w:p w14:paraId="7E273BCA">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1.5、废气环境影响分析</w:t>
            </w:r>
          </w:p>
          <w:p w14:paraId="3C809579">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1.5.1</w:t>
            </w:r>
            <w:r>
              <w:rPr>
                <w:rFonts w:hint="eastAsia"/>
                <w:caps w:val="0"/>
                <w:color w:val="auto"/>
                <w:spacing w:val="0"/>
                <w:position w:val="0"/>
                <w:highlight w:val="none"/>
              </w:rPr>
              <w:t>、</w:t>
            </w:r>
            <w:r>
              <w:rPr>
                <w:rFonts w:hint="default"/>
                <w:caps w:val="0"/>
                <w:color w:val="auto"/>
                <w:spacing w:val="0"/>
                <w:position w:val="0"/>
                <w:highlight w:val="none"/>
              </w:rPr>
              <w:t>达标排放分析</w:t>
            </w:r>
          </w:p>
          <w:p w14:paraId="34F3BC4F">
            <w:pPr>
              <w:pStyle w:val="76"/>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rPr>
              <w:t>项目有</w:t>
            </w:r>
            <w:r>
              <w:rPr>
                <w:rFonts w:hint="default"/>
                <w:caps w:val="0"/>
                <w:color w:val="auto"/>
                <w:spacing w:val="0"/>
                <w:position w:val="0"/>
                <w:highlight w:val="none"/>
              </w:rPr>
              <w:t>组织废气主要为</w:t>
            </w:r>
            <w:r>
              <w:rPr>
                <w:rFonts w:hint="eastAsia"/>
                <w:caps w:val="0"/>
                <w:color w:val="auto"/>
                <w:spacing w:val="0"/>
                <w:position w:val="0"/>
                <w:highlight w:val="none"/>
                <w:lang w:val="en-US" w:eastAsia="zh-CN"/>
              </w:rPr>
              <w:t>投料粉尘、</w:t>
            </w:r>
            <w:r>
              <w:rPr>
                <w:rFonts w:hint="eastAsia"/>
                <w:caps w:val="0"/>
                <w:color w:val="auto"/>
                <w:spacing w:val="0"/>
                <w:position w:val="0"/>
                <w:highlight w:val="none"/>
              </w:rPr>
              <w:t>搅拌粉尘</w:t>
            </w:r>
            <w:r>
              <w:rPr>
                <w:rFonts w:hint="default"/>
                <w:caps w:val="0"/>
                <w:color w:val="auto"/>
                <w:spacing w:val="0"/>
                <w:position w:val="0"/>
                <w:highlight w:val="none"/>
              </w:rPr>
              <w:t>，</w:t>
            </w:r>
            <w:r>
              <w:rPr>
                <w:rFonts w:hint="eastAsia"/>
                <w:caps w:val="0"/>
                <w:color w:val="auto"/>
                <w:spacing w:val="0"/>
                <w:position w:val="0"/>
                <w:highlight w:val="none"/>
                <w:lang w:val="en-US" w:eastAsia="zh-CN"/>
              </w:rPr>
              <w:t>投料粉尘</w:t>
            </w:r>
            <w:r>
              <w:rPr>
                <w:rFonts w:hint="eastAsia" w:ascii="Times New Roman" w:eastAsia="宋体"/>
                <w:caps w:val="0"/>
                <w:color w:val="auto"/>
                <w:spacing w:val="0"/>
                <w:position w:val="0"/>
                <w:highlight w:val="none"/>
                <w:lang w:val="en-US" w:eastAsia="zh-CN"/>
              </w:rPr>
              <w:t>通过</w:t>
            </w:r>
            <w:r>
              <w:rPr>
                <w:rFonts w:hint="eastAsia"/>
                <w:caps w:val="0"/>
                <w:color w:val="auto"/>
                <w:spacing w:val="0"/>
                <w:position w:val="0"/>
                <w:highlight w:val="none"/>
                <w:lang w:val="en-US" w:eastAsia="zh-CN"/>
              </w:rPr>
              <w:t>集气罩</w:t>
            </w:r>
            <w:r>
              <w:rPr>
                <w:rFonts w:hint="eastAsia" w:ascii="Times New Roman" w:eastAsia="宋体"/>
                <w:caps w:val="0"/>
                <w:color w:val="auto"/>
                <w:spacing w:val="0"/>
                <w:position w:val="0"/>
                <w:highlight w:val="none"/>
                <w:lang w:val="en-US" w:eastAsia="zh-CN"/>
              </w:rPr>
              <w:t>收集后由</w:t>
            </w:r>
            <w:r>
              <w:rPr>
                <w:rFonts w:hint="default"/>
                <w:caps w:val="0"/>
                <w:color w:val="auto"/>
                <w:spacing w:val="0"/>
                <w:position w:val="0"/>
                <w:highlight w:val="none"/>
              </w:rPr>
              <w:t>布袋除尘器处理后</w:t>
            </w:r>
            <w:r>
              <w:rPr>
                <w:rFonts w:hint="eastAsia" w:ascii="Times New Roman" w:eastAsia="宋体"/>
                <w:caps w:val="0"/>
                <w:color w:val="auto"/>
                <w:spacing w:val="0"/>
                <w:position w:val="0"/>
                <w:highlight w:val="none"/>
                <w:lang w:val="en-US" w:eastAsia="zh-CN"/>
              </w:rPr>
              <w:t>经一根15m</w:t>
            </w:r>
            <w:r>
              <w:rPr>
                <w:rFonts w:hint="default"/>
                <w:caps w:val="0"/>
                <w:color w:val="auto"/>
                <w:spacing w:val="0"/>
                <w:position w:val="0"/>
                <w:highlight w:val="none"/>
              </w:rPr>
              <w:t>高排气筒（DA00</w:t>
            </w:r>
            <w:r>
              <w:rPr>
                <w:rFonts w:hint="eastAsia" w:ascii="Times New Roman" w:eastAsia="宋体"/>
                <w:caps w:val="0"/>
                <w:color w:val="auto"/>
                <w:spacing w:val="0"/>
                <w:position w:val="0"/>
                <w:highlight w:val="none"/>
                <w:lang w:val="en-US" w:eastAsia="zh-CN"/>
              </w:rPr>
              <w:t>1</w:t>
            </w:r>
            <w:r>
              <w:rPr>
                <w:rFonts w:hint="default"/>
                <w:caps w:val="0"/>
                <w:color w:val="auto"/>
                <w:spacing w:val="0"/>
                <w:position w:val="0"/>
                <w:highlight w:val="none"/>
              </w:rPr>
              <w:t>）排放</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搅拌粉尘通过密闭管道收集后由</w:t>
            </w:r>
            <w:r>
              <w:rPr>
                <w:rFonts w:hint="default"/>
                <w:caps w:val="0"/>
                <w:color w:val="auto"/>
                <w:spacing w:val="0"/>
                <w:position w:val="0"/>
                <w:highlight w:val="none"/>
              </w:rPr>
              <w:t>布袋除尘器处理后</w:t>
            </w:r>
            <w:r>
              <w:rPr>
                <w:rFonts w:hint="eastAsia"/>
                <w:caps w:val="0"/>
                <w:color w:val="auto"/>
                <w:spacing w:val="0"/>
                <w:position w:val="0"/>
                <w:highlight w:val="none"/>
                <w:lang w:val="en-US" w:eastAsia="zh-CN"/>
              </w:rPr>
              <w:t>经一根15m</w:t>
            </w:r>
            <w:r>
              <w:rPr>
                <w:rFonts w:hint="default"/>
                <w:caps w:val="0"/>
                <w:color w:val="auto"/>
                <w:spacing w:val="0"/>
                <w:position w:val="0"/>
                <w:highlight w:val="none"/>
              </w:rPr>
              <w:t>高排气筒（DA00</w:t>
            </w:r>
            <w:r>
              <w:rPr>
                <w:rFonts w:hint="eastAsia"/>
                <w:caps w:val="0"/>
                <w:color w:val="auto"/>
                <w:spacing w:val="0"/>
                <w:position w:val="0"/>
                <w:highlight w:val="none"/>
                <w:lang w:val="en-US" w:eastAsia="zh-CN"/>
              </w:rPr>
              <w:t>1</w:t>
            </w:r>
            <w:r>
              <w:rPr>
                <w:rFonts w:hint="default"/>
                <w:caps w:val="0"/>
                <w:color w:val="auto"/>
                <w:spacing w:val="0"/>
                <w:position w:val="0"/>
                <w:highlight w:val="none"/>
              </w:rPr>
              <w:t>）排放</w:t>
            </w:r>
            <w:r>
              <w:rPr>
                <w:rFonts w:hint="eastAsia"/>
                <w:caps w:val="0"/>
                <w:color w:val="auto"/>
                <w:spacing w:val="0"/>
                <w:position w:val="0"/>
                <w:highlight w:val="none"/>
                <w:lang w:val="en-US" w:eastAsia="zh-CN"/>
              </w:rPr>
              <w:t>。</w:t>
            </w:r>
            <w:r>
              <w:rPr>
                <w:rFonts w:hint="default"/>
                <w:caps w:val="0"/>
                <w:color w:val="auto"/>
                <w:spacing w:val="0"/>
                <w:position w:val="0"/>
                <w:highlight w:val="none"/>
              </w:rPr>
              <w:t>无组织废气采用</w:t>
            </w:r>
            <w:r>
              <w:rPr>
                <w:rFonts w:hint="eastAsia"/>
                <w:caps w:val="0"/>
                <w:color w:val="auto"/>
                <w:spacing w:val="0"/>
                <w:position w:val="0"/>
                <w:highlight w:val="none"/>
                <w:lang w:val="en-US" w:eastAsia="zh-CN"/>
              </w:rPr>
              <w:t>沉降+洒水喷淋处理，并</w:t>
            </w:r>
            <w:r>
              <w:rPr>
                <w:rFonts w:hint="default"/>
                <w:caps w:val="0"/>
                <w:color w:val="auto"/>
                <w:spacing w:val="0"/>
                <w:position w:val="0"/>
                <w:highlight w:val="none"/>
              </w:rPr>
              <w:t>加强管理等方式处理，减少粉尘对外排放。本项目</w:t>
            </w:r>
            <w:r>
              <w:rPr>
                <w:rFonts w:hint="eastAsia"/>
                <w:caps w:val="0"/>
                <w:color w:val="auto"/>
                <w:spacing w:val="0"/>
                <w:position w:val="0"/>
                <w:highlight w:val="none"/>
                <w:lang w:val="en-US" w:eastAsia="zh-CN"/>
              </w:rPr>
              <w:t>投料粉尘、</w:t>
            </w:r>
            <w:r>
              <w:rPr>
                <w:rFonts w:hint="eastAsia"/>
                <w:caps w:val="0"/>
                <w:color w:val="auto"/>
                <w:spacing w:val="0"/>
                <w:position w:val="0"/>
                <w:highlight w:val="none"/>
              </w:rPr>
              <w:t>搅拌粉尘</w:t>
            </w:r>
            <w:r>
              <w:rPr>
                <w:rFonts w:hint="default"/>
                <w:caps w:val="0"/>
                <w:color w:val="auto"/>
                <w:spacing w:val="0"/>
                <w:position w:val="0"/>
                <w:highlight w:val="none"/>
              </w:rPr>
              <w:t>等颗粒物</w:t>
            </w:r>
            <w:r>
              <w:rPr>
                <w:rFonts w:hint="eastAsia"/>
                <w:caps w:val="0"/>
                <w:color w:val="auto"/>
                <w:spacing w:val="0"/>
                <w:position w:val="0"/>
                <w:highlight w:val="none"/>
                <w:lang w:val="en-US" w:eastAsia="zh-CN"/>
              </w:rPr>
              <w:t>执行</w:t>
            </w:r>
            <w:r>
              <w:rPr>
                <w:rFonts w:hint="eastAsia"/>
                <w:caps w:val="0"/>
                <w:color w:val="auto"/>
                <w:spacing w:val="0"/>
                <w:position w:val="0"/>
                <w:highlight w:val="none"/>
              </w:rPr>
              <w:t>《水泥工业大气污染物排放标准》（GB4915-2013）</w:t>
            </w:r>
            <w:r>
              <w:rPr>
                <w:rFonts w:hint="default"/>
                <w:caps w:val="0"/>
                <w:color w:val="auto"/>
                <w:spacing w:val="0"/>
                <w:position w:val="0"/>
                <w:highlight w:val="none"/>
              </w:rPr>
              <w:t>中</w:t>
            </w:r>
            <w:r>
              <w:rPr>
                <w:rFonts w:hint="eastAsia"/>
                <w:caps w:val="0"/>
                <w:color w:val="auto"/>
                <w:spacing w:val="0"/>
                <w:position w:val="0"/>
                <w:highlight w:val="none"/>
              </w:rPr>
              <w:t>表1新建企业排放限值；氟化物、铊及其化合物排放</w:t>
            </w:r>
            <w:r>
              <w:rPr>
                <w:rFonts w:hint="eastAsia" w:ascii="Times New Roman" w:eastAsia="宋体"/>
                <w:caps w:val="0"/>
                <w:color w:val="auto"/>
                <w:spacing w:val="0"/>
                <w:position w:val="0"/>
                <w:highlight w:val="none"/>
                <w:lang w:val="en-US" w:eastAsia="zh-CN"/>
              </w:rPr>
              <w:t>能满足</w:t>
            </w:r>
            <w:r>
              <w:rPr>
                <w:rFonts w:hint="eastAsia"/>
                <w:caps w:val="0"/>
                <w:color w:val="auto"/>
                <w:spacing w:val="0"/>
                <w:position w:val="0"/>
                <w:highlight w:val="none"/>
                <w:lang w:eastAsia="zh-CN"/>
              </w:rPr>
              <w:t>《无机化学工业污染物排放标准》（GB31573-2015）修改单</w:t>
            </w:r>
            <w:r>
              <w:rPr>
                <w:rFonts w:hint="eastAsia"/>
                <w:caps w:val="0"/>
                <w:color w:val="auto"/>
                <w:spacing w:val="0"/>
                <w:position w:val="0"/>
                <w:highlight w:val="none"/>
              </w:rPr>
              <w:t>；铍及其化合物排放</w:t>
            </w:r>
            <w:r>
              <w:rPr>
                <w:rFonts w:hint="eastAsia" w:ascii="Times New Roman" w:eastAsia="宋体"/>
                <w:caps w:val="0"/>
                <w:color w:val="auto"/>
                <w:spacing w:val="0"/>
                <w:position w:val="0"/>
                <w:highlight w:val="none"/>
                <w:lang w:val="en-US" w:eastAsia="zh-CN"/>
              </w:rPr>
              <w:t>能满足</w:t>
            </w:r>
            <w:r>
              <w:rPr>
                <w:rFonts w:hint="eastAsia"/>
                <w:caps w:val="0"/>
                <w:color w:val="auto"/>
                <w:spacing w:val="0"/>
                <w:position w:val="0"/>
                <w:highlight w:val="none"/>
              </w:rPr>
              <w:t>《大气污染物综合排放标准》（GB16297-1996）</w:t>
            </w:r>
            <w:r>
              <w:rPr>
                <w:rFonts w:hint="eastAsia"/>
                <w:caps w:val="0"/>
                <w:color w:val="auto"/>
                <w:spacing w:val="0"/>
                <w:position w:val="0"/>
                <w:highlight w:val="none"/>
                <w:lang w:eastAsia="zh-CN"/>
              </w:rPr>
              <w:t>；</w:t>
            </w:r>
            <w:r>
              <w:rPr>
                <w:rFonts w:hint="eastAsia"/>
                <w:caps w:val="0"/>
                <w:color w:val="auto"/>
                <w:spacing w:val="0"/>
                <w:position w:val="0"/>
                <w:highlight w:val="none"/>
              </w:rPr>
              <w:t>厂界无组织氟化物、铊及其化合物排放</w:t>
            </w:r>
            <w:r>
              <w:rPr>
                <w:rFonts w:hint="eastAsia" w:ascii="Times New Roman" w:eastAsia="宋体"/>
                <w:caps w:val="0"/>
                <w:color w:val="auto"/>
                <w:spacing w:val="0"/>
                <w:position w:val="0"/>
                <w:highlight w:val="none"/>
                <w:lang w:val="en-US" w:eastAsia="zh-CN"/>
              </w:rPr>
              <w:t>能满足</w:t>
            </w:r>
            <w:r>
              <w:rPr>
                <w:rFonts w:hint="eastAsia"/>
                <w:caps w:val="0"/>
                <w:color w:val="auto"/>
                <w:spacing w:val="0"/>
                <w:position w:val="0"/>
                <w:highlight w:val="none"/>
                <w:lang w:eastAsia="zh-CN"/>
              </w:rPr>
              <w:t>《无机化学工业污染物排放标准》（GB31573-2015）修改单</w:t>
            </w:r>
            <w:r>
              <w:rPr>
                <w:rFonts w:hint="eastAsia"/>
                <w:caps w:val="0"/>
                <w:color w:val="auto"/>
                <w:spacing w:val="0"/>
                <w:position w:val="0"/>
                <w:highlight w:val="none"/>
              </w:rPr>
              <w:t>表5企业边界大气污染物排放限值；铍及其化合物排放</w:t>
            </w:r>
            <w:r>
              <w:rPr>
                <w:rFonts w:hint="eastAsia" w:ascii="Times New Roman" w:eastAsia="宋体"/>
                <w:caps w:val="0"/>
                <w:color w:val="auto"/>
                <w:spacing w:val="0"/>
                <w:position w:val="0"/>
                <w:highlight w:val="none"/>
                <w:lang w:val="en-US" w:eastAsia="zh-CN"/>
              </w:rPr>
              <w:t>能满足</w:t>
            </w:r>
            <w:r>
              <w:rPr>
                <w:rFonts w:hint="eastAsia"/>
                <w:caps w:val="0"/>
                <w:color w:val="auto"/>
                <w:spacing w:val="0"/>
                <w:position w:val="0"/>
                <w:highlight w:val="none"/>
              </w:rPr>
              <w:t>《大气污染物综合排放标准》（GB16297-1996）表2无组织排放监控浓度限值</w:t>
            </w:r>
            <w:r>
              <w:rPr>
                <w:rFonts w:hint="eastAsia"/>
                <w:caps w:val="0"/>
                <w:color w:val="auto"/>
                <w:spacing w:val="0"/>
                <w:position w:val="0"/>
                <w:highlight w:val="none"/>
                <w:lang w:eastAsia="zh-CN"/>
              </w:rPr>
              <w:t>，</w:t>
            </w:r>
            <w:r>
              <w:rPr>
                <w:rFonts w:hint="eastAsia"/>
                <w:caps w:val="0"/>
                <w:color w:val="auto"/>
                <w:spacing w:val="0"/>
                <w:position w:val="0"/>
                <w:highlight w:val="none"/>
              </w:rPr>
              <w:t>颗粒物无组织排放</w:t>
            </w:r>
            <w:r>
              <w:rPr>
                <w:rFonts w:hint="eastAsia"/>
                <w:caps w:val="0"/>
                <w:color w:val="auto"/>
                <w:spacing w:val="0"/>
                <w:position w:val="0"/>
                <w:highlight w:val="none"/>
                <w:lang w:val="en-US" w:eastAsia="zh-CN"/>
              </w:rPr>
              <w:t>满足</w:t>
            </w:r>
            <w:r>
              <w:rPr>
                <w:rFonts w:hint="eastAsia"/>
                <w:caps w:val="0"/>
                <w:color w:val="auto"/>
                <w:spacing w:val="0"/>
                <w:position w:val="0"/>
                <w:highlight w:val="none"/>
              </w:rPr>
              <w:t>《水泥工业大气污染物排放标准》（GB4915-2013）表</w:t>
            </w:r>
            <w:r>
              <w:rPr>
                <w:rFonts w:hint="eastAsia"/>
                <w:caps w:val="0"/>
                <w:color w:val="auto"/>
                <w:spacing w:val="0"/>
                <w:position w:val="0"/>
                <w:highlight w:val="none"/>
                <w:lang w:val="en-US" w:eastAsia="zh-CN"/>
              </w:rPr>
              <w:t>3</w:t>
            </w:r>
            <w:r>
              <w:rPr>
                <w:rFonts w:hint="eastAsia"/>
                <w:caps w:val="0"/>
                <w:color w:val="auto"/>
                <w:spacing w:val="0"/>
                <w:position w:val="0"/>
                <w:highlight w:val="none"/>
              </w:rPr>
              <w:t>大气污染物无组织排放监控浓度限值。</w:t>
            </w:r>
            <w:r>
              <w:rPr>
                <w:rFonts w:hint="default"/>
                <w:caps w:val="0"/>
                <w:color w:val="auto"/>
                <w:spacing w:val="0"/>
                <w:position w:val="0"/>
                <w:highlight w:val="none"/>
              </w:rPr>
              <w:t>根据表4-1，</w:t>
            </w:r>
            <w:r>
              <w:rPr>
                <w:rFonts w:hint="eastAsia"/>
                <w:caps w:val="0"/>
                <w:color w:val="auto"/>
                <w:spacing w:val="0"/>
                <w:position w:val="0"/>
                <w:highlight w:val="none"/>
                <w:lang w:val="en-US" w:eastAsia="zh-CN"/>
              </w:rPr>
              <w:t>本项目废气在相应处理措施处理后均能满足相应排放标准。</w:t>
            </w:r>
          </w:p>
          <w:p w14:paraId="511EA5B9">
            <w:pPr>
              <w:pStyle w:val="76"/>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由表4-</w:t>
            </w:r>
            <w:r>
              <w:rPr>
                <w:rFonts w:hint="eastAsia"/>
                <w:caps w:val="0"/>
                <w:color w:val="auto"/>
                <w:spacing w:val="0"/>
                <w:position w:val="0"/>
                <w:highlight w:val="none"/>
                <w:lang w:val="en-US" w:eastAsia="zh-CN"/>
              </w:rPr>
              <w:t>7</w:t>
            </w:r>
            <w:r>
              <w:rPr>
                <w:rFonts w:hint="default"/>
                <w:caps w:val="0"/>
                <w:color w:val="auto"/>
                <w:spacing w:val="0"/>
                <w:position w:val="0"/>
                <w:highlight w:val="none"/>
              </w:rPr>
              <w:t>可知，在非正常情况下，排气筒有组织排放浓度和速率显著增加。为防止废气事故排放，企业应在生产过程中加强管理，一旦废气治理系统故障，立即停产检修，防止事故废气排放。同时，企业应加强生产管理，根据设备性质和要求做相应的点检和检修，预防事故的发生。</w:t>
            </w:r>
          </w:p>
          <w:p w14:paraId="448E7797">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综上所述，在企业妥善管理的前提下，本项目外排废气经过处理后可达标排放。</w:t>
            </w:r>
          </w:p>
          <w:p w14:paraId="5D564096">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1.5.2</w:t>
            </w:r>
            <w:r>
              <w:rPr>
                <w:rFonts w:hint="eastAsia"/>
                <w:caps w:val="0"/>
                <w:color w:val="auto"/>
                <w:spacing w:val="0"/>
                <w:position w:val="0"/>
                <w:highlight w:val="none"/>
              </w:rPr>
              <w:t>、</w:t>
            </w:r>
            <w:r>
              <w:rPr>
                <w:rFonts w:hint="default"/>
                <w:caps w:val="0"/>
                <w:color w:val="auto"/>
                <w:spacing w:val="0"/>
                <w:position w:val="0"/>
                <w:highlight w:val="none"/>
              </w:rPr>
              <w:t>废气治理设施可行性分析</w:t>
            </w:r>
          </w:p>
          <w:p w14:paraId="2157B4A4">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1、有组织废气</w:t>
            </w:r>
          </w:p>
          <w:p w14:paraId="7D676876">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根据</w:t>
            </w:r>
            <w:r>
              <w:rPr>
                <w:rFonts w:hint="default"/>
                <w:caps w:val="0"/>
                <w:color w:val="auto"/>
                <w:spacing w:val="0"/>
                <w:position w:val="0"/>
                <w:highlight w:val="none"/>
              </w:rPr>
              <w:t>《排污许可证申请与核发技术规范废弃资源加工工业》（HJ1034）和《排污单位自行监测技术指南砖瓦工业》（HJ1254-2022）</w:t>
            </w:r>
            <w:r>
              <w:rPr>
                <w:rFonts w:hint="eastAsia"/>
                <w:caps w:val="0"/>
                <w:color w:val="auto"/>
                <w:spacing w:val="0"/>
                <w:position w:val="0"/>
                <w:highlight w:val="none"/>
              </w:rPr>
              <w:t>中的废气污染防治可行技术，</w:t>
            </w:r>
            <w:r>
              <w:rPr>
                <w:rFonts w:hint="default"/>
                <w:caps w:val="0"/>
                <w:color w:val="auto"/>
                <w:spacing w:val="0"/>
                <w:position w:val="0"/>
                <w:highlight w:val="none"/>
              </w:rPr>
              <w:t>颗粒物污染防治可行技术包括：</w:t>
            </w:r>
            <w:r>
              <w:rPr>
                <w:rFonts w:hint="eastAsia"/>
                <w:caps w:val="0"/>
                <w:color w:val="auto"/>
                <w:spacing w:val="0"/>
                <w:position w:val="0"/>
                <w:highlight w:val="none"/>
              </w:rPr>
              <w:t>袋式除尘器、电除尘器、电袋复合除尘器</w:t>
            </w:r>
            <w:r>
              <w:rPr>
                <w:rFonts w:hint="default"/>
                <w:caps w:val="0"/>
                <w:color w:val="auto"/>
                <w:spacing w:val="0"/>
                <w:position w:val="0"/>
                <w:highlight w:val="none"/>
              </w:rPr>
              <w:t>、其他</w:t>
            </w:r>
            <w:r>
              <w:rPr>
                <w:rFonts w:hint="eastAsia"/>
                <w:caps w:val="0"/>
                <w:color w:val="auto"/>
                <w:spacing w:val="0"/>
                <w:position w:val="0"/>
                <w:highlight w:val="none"/>
                <w:lang w:val="en-US" w:eastAsia="zh-CN"/>
              </w:rPr>
              <w:t>等高效除尘设备</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根据水泥工业污染防治技术政策[公告2013年第31号]，逸散粉尘的设备和作业场所均应采取控制措施，在工艺条件允许的前提下，宜优先采用密闭、覆盖或负压操作的方法，防止粉尘逸出，或负压收集含尘气体净化处理后排放。通过合理工艺布置、厂内密闭输送、路面硬化、清扫洒水等措施减少道路交通扬尘。</w:t>
            </w:r>
            <w:r>
              <w:rPr>
                <w:rFonts w:hint="default"/>
                <w:caps w:val="0"/>
                <w:color w:val="auto"/>
                <w:spacing w:val="0"/>
                <w:position w:val="0"/>
                <w:highlight w:val="none"/>
              </w:rPr>
              <w:t>本项目粉尘采取</w:t>
            </w:r>
            <w:r>
              <w:rPr>
                <w:rFonts w:hint="eastAsia"/>
                <w:caps w:val="0"/>
                <w:color w:val="auto"/>
                <w:spacing w:val="0"/>
                <w:position w:val="0"/>
                <w:highlight w:val="none"/>
                <w:lang w:val="en-US" w:eastAsia="zh-CN"/>
              </w:rPr>
              <w:t>密闭管道</w:t>
            </w:r>
            <w:r>
              <w:rPr>
                <w:rFonts w:hint="eastAsia"/>
                <w:caps w:val="0"/>
                <w:color w:val="auto"/>
                <w:spacing w:val="0"/>
                <w:position w:val="0"/>
                <w:highlight w:val="none"/>
              </w:rPr>
              <w:t>收集+袋式除尘</w:t>
            </w:r>
            <w:r>
              <w:rPr>
                <w:rFonts w:hint="default"/>
                <w:caps w:val="0"/>
                <w:color w:val="auto"/>
                <w:spacing w:val="0"/>
                <w:position w:val="0"/>
                <w:highlight w:val="none"/>
              </w:rPr>
              <w:t>处理</w:t>
            </w:r>
            <w:r>
              <w:rPr>
                <w:rFonts w:hint="eastAsia"/>
                <w:caps w:val="0"/>
                <w:color w:val="auto"/>
                <w:spacing w:val="0"/>
                <w:position w:val="0"/>
                <w:highlight w:val="none"/>
                <w:lang w:eastAsia="zh-CN"/>
              </w:rPr>
              <w:t>，</w:t>
            </w:r>
            <w:r>
              <w:rPr>
                <w:rFonts w:hint="default"/>
                <w:caps w:val="0"/>
                <w:color w:val="auto"/>
                <w:spacing w:val="0"/>
                <w:position w:val="0"/>
                <w:highlight w:val="none"/>
              </w:rPr>
              <w:t>为可行技术。</w:t>
            </w:r>
          </w:p>
          <w:p w14:paraId="1C7EBADD">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有组织排放控制要求：</w:t>
            </w:r>
          </w:p>
          <w:p w14:paraId="1C9D1E0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①环保设施先于其对应的生产设施运转，后于对应设施关闭，保证在生产设施运行波动情况下仍能正常运转，实现达标排放。废气收集系统的输送管道应密闭，在负压下运行，集气方向应与污染气流运动方向一致。</w:t>
            </w:r>
          </w:p>
          <w:p w14:paraId="7888371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②废气收集处理系统与生产工艺设备同步运行。废气收集处理系统发生故障或检修时，对应的生产工艺设备应停止运行，待检修完毕后同步投入使用。</w:t>
            </w:r>
          </w:p>
          <w:p w14:paraId="465FDF6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③所有治理设施制定操作规程，明确各项运行参数，实际运行参数应与操作规程一致。加强环保设备巡检，消除设备隐患，保证正常运行。</w:t>
            </w:r>
          </w:p>
          <w:p w14:paraId="155D0C7B">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④建立环保设施运行、维修巡检、原辅材料消耗、仪表数据等的记录和存档制度，并按要求记录和存档。</w:t>
            </w:r>
          </w:p>
          <w:p w14:paraId="78DC8B1E">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2、无组织废气</w:t>
            </w:r>
          </w:p>
          <w:p w14:paraId="1F901516">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本项目运输过程应采用喷雾、洒水、喷淋等降尘措施；</w:t>
            </w:r>
            <w:r>
              <w:rPr>
                <w:rFonts w:hint="default"/>
                <w:caps w:val="0"/>
                <w:color w:val="auto"/>
                <w:spacing w:val="0"/>
                <w:position w:val="0"/>
                <w:highlight w:val="none"/>
              </w:rPr>
              <w:t>运有物料的车辆应采用棚布遮盖，</w:t>
            </w:r>
            <w:r>
              <w:rPr>
                <w:rFonts w:hint="eastAsia"/>
                <w:caps w:val="0"/>
                <w:color w:val="auto"/>
                <w:spacing w:val="0"/>
                <w:position w:val="0"/>
                <w:highlight w:val="none"/>
              </w:rPr>
              <w:t>采取密闭运输，出场前用水冲洗轮胎，降低运输扬尘的排放；加快老旧车辆的淘汰和不达标车辆的整治；加强运输车辆规范化管理，严格实施密闭运输，积极响应国家节能减排号召，运输车辆采用新能源车辆，减少运输过程的碳排放。原辅材料的运输路线建议选择敏感点少且距离短的优化路线，减少运输过程对环境的影响。采取以上措施能明细减少本项目无组织排放废气对环境的影响，根据表4</w:t>
            </w:r>
            <w:r>
              <w:rPr>
                <w:rFonts w:hint="default"/>
                <w:caps w:val="0"/>
                <w:color w:val="auto"/>
                <w:spacing w:val="0"/>
                <w:position w:val="0"/>
                <w:highlight w:val="none"/>
              </w:rPr>
              <w:t>-1</w:t>
            </w:r>
            <w:r>
              <w:rPr>
                <w:rFonts w:hint="eastAsia"/>
                <w:caps w:val="0"/>
                <w:color w:val="auto"/>
                <w:spacing w:val="0"/>
                <w:position w:val="0"/>
                <w:highlight w:val="none"/>
              </w:rPr>
              <w:t>的工程分析结果，本项目无组织排放量较少，因此无组织废气排放处理措施可行。</w:t>
            </w:r>
          </w:p>
          <w:p w14:paraId="3F21E56F">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无组织废气收集和处理应满足以下要求：</w:t>
            </w:r>
          </w:p>
          <w:p w14:paraId="30E189F8">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①储存要求：物料均密闭存放，不露天储存，且采取喷淋降尘措施。</w:t>
            </w:r>
          </w:p>
          <w:p w14:paraId="2D160B1F">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②</w:t>
            </w:r>
            <w:r>
              <w:rPr>
                <w:rFonts w:hint="default"/>
                <w:caps w:val="0"/>
                <w:color w:val="auto"/>
                <w:spacing w:val="0"/>
                <w:position w:val="0"/>
                <w:highlight w:val="none"/>
              </w:rPr>
              <w:t>废气收集管道应密闭；</w:t>
            </w:r>
          </w:p>
          <w:p w14:paraId="2019970E">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③</w:t>
            </w:r>
            <w:r>
              <w:rPr>
                <w:rFonts w:hint="default"/>
                <w:caps w:val="0"/>
                <w:color w:val="auto"/>
                <w:spacing w:val="0"/>
                <w:position w:val="0"/>
                <w:highlight w:val="none"/>
              </w:rPr>
              <w:t>废气收集处理系统应与生产工艺设备同步运行；</w:t>
            </w:r>
          </w:p>
          <w:p w14:paraId="6F421953">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default"/>
                <w:caps w:val="0"/>
                <w:color w:val="auto"/>
                <w:spacing w:val="0"/>
                <w:position w:val="0"/>
                <w:highlight w:val="none"/>
              </w:rPr>
              <w:t>④废气收集效率不应低于80%</w:t>
            </w:r>
            <w:r>
              <w:rPr>
                <w:rFonts w:hint="eastAsia"/>
                <w:caps w:val="0"/>
                <w:color w:val="auto"/>
                <w:spacing w:val="0"/>
                <w:position w:val="0"/>
                <w:highlight w:val="none"/>
                <w:lang w:eastAsia="zh-CN"/>
              </w:rPr>
              <w:t>。</w:t>
            </w:r>
          </w:p>
          <w:p w14:paraId="518B2C6A">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⑤</w:t>
            </w:r>
            <w:r>
              <w:rPr>
                <w:rFonts w:hint="default"/>
                <w:caps w:val="0"/>
                <w:color w:val="auto"/>
                <w:spacing w:val="0"/>
                <w:position w:val="0"/>
                <w:highlight w:val="none"/>
              </w:rPr>
              <w:t>为进一步缓解无组织废气排放对周围环境的影响，建议企业应该做好以下防治措施：</w:t>
            </w:r>
          </w:p>
          <w:p w14:paraId="54F2C8A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⑥</w:t>
            </w:r>
            <w:r>
              <w:rPr>
                <w:rFonts w:hint="default"/>
                <w:caps w:val="0"/>
                <w:color w:val="auto"/>
                <w:spacing w:val="0"/>
                <w:position w:val="0"/>
                <w:highlight w:val="none"/>
              </w:rPr>
              <w:t>定期检修</w:t>
            </w:r>
            <w:r>
              <w:rPr>
                <w:rFonts w:hint="eastAsia"/>
                <w:caps w:val="0"/>
                <w:color w:val="auto"/>
                <w:spacing w:val="0"/>
                <w:position w:val="0"/>
                <w:highlight w:val="none"/>
              </w:rPr>
              <w:t>袋式</w:t>
            </w:r>
            <w:r>
              <w:rPr>
                <w:rFonts w:hint="default"/>
                <w:caps w:val="0"/>
                <w:color w:val="auto"/>
                <w:spacing w:val="0"/>
                <w:position w:val="0"/>
                <w:highlight w:val="none"/>
              </w:rPr>
              <w:t>除尘设备等设备，保证其废气处理效率；</w:t>
            </w:r>
          </w:p>
          <w:p w14:paraId="0AF042A1">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⑦加强员工培训，严格按照规定操作仪器设备。</w:t>
            </w:r>
          </w:p>
          <w:p w14:paraId="35CEAB47">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default"/>
                <w:caps w:val="0"/>
                <w:color w:val="auto"/>
                <w:spacing w:val="0"/>
                <w:position w:val="0"/>
                <w:highlight w:val="none"/>
              </w:rPr>
              <w:t>经采取上述措施后，可以有效减少无组织颗粒物排放，确保厂界颗粒物无组织浓度满足</w:t>
            </w:r>
            <w:r>
              <w:rPr>
                <w:rFonts w:hint="eastAsia"/>
                <w:caps w:val="0"/>
                <w:color w:val="auto"/>
                <w:spacing w:val="0"/>
                <w:position w:val="0"/>
                <w:highlight w:val="none"/>
              </w:rPr>
              <w:t>《水泥工业大气污染物排放标准》（GB4915-2013）表3大气污染物无组织排放限值要求</w:t>
            </w:r>
            <w:r>
              <w:rPr>
                <w:rFonts w:hint="eastAsia"/>
                <w:caps w:val="0"/>
                <w:color w:val="auto"/>
                <w:spacing w:val="0"/>
                <w:position w:val="0"/>
                <w:highlight w:val="none"/>
                <w:lang w:eastAsia="zh-CN"/>
              </w:rPr>
              <w:t>；</w:t>
            </w:r>
            <w:r>
              <w:rPr>
                <w:rFonts w:hint="eastAsia"/>
                <w:caps w:val="0"/>
                <w:color w:val="auto"/>
                <w:spacing w:val="0"/>
                <w:position w:val="0"/>
                <w:highlight w:val="none"/>
              </w:rPr>
              <w:t>氟化物、铊及其化合物排放</w:t>
            </w:r>
            <w:r>
              <w:rPr>
                <w:rFonts w:hint="eastAsia" w:ascii="Times New Roman" w:eastAsia="宋体"/>
                <w:caps w:val="0"/>
                <w:color w:val="auto"/>
                <w:spacing w:val="0"/>
                <w:position w:val="0"/>
                <w:highlight w:val="none"/>
                <w:lang w:val="en-US" w:eastAsia="zh-CN"/>
              </w:rPr>
              <w:t>能满足</w:t>
            </w:r>
            <w:r>
              <w:rPr>
                <w:rFonts w:hint="eastAsia"/>
                <w:caps w:val="0"/>
                <w:color w:val="auto"/>
                <w:spacing w:val="0"/>
                <w:position w:val="0"/>
                <w:highlight w:val="none"/>
                <w:lang w:eastAsia="zh-CN"/>
              </w:rPr>
              <w:t>《无机化学工业污染物排放标准》（GB31573-2015）修改单</w:t>
            </w:r>
            <w:r>
              <w:rPr>
                <w:rFonts w:hint="eastAsia"/>
                <w:caps w:val="0"/>
                <w:color w:val="auto"/>
                <w:spacing w:val="0"/>
                <w:position w:val="0"/>
                <w:highlight w:val="none"/>
              </w:rPr>
              <w:t>表5企业边界大气污染物排放限值；铍及其化合物排放</w:t>
            </w:r>
            <w:r>
              <w:rPr>
                <w:rFonts w:hint="eastAsia" w:ascii="Times New Roman" w:eastAsia="宋体"/>
                <w:caps w:val="0"/>
                <w:color w:val="auto"/>
                <w:spacing w:val="0"/>
                <w:position w:val="0"/>
                <w:highlight w:val="none"/>
                <w:lang w:val="en-US" w:eastAsia="zh-CN"/>
              </w:rPr>
              <w:t>能满足</w:t>
            </w:r>
            <w:r>
              <w:rPr>
                <w:rFonts w:hint="eastAsia"/>
                <w:caps w:val="0"/>
                <w:color w:val="auto"/>
                <w:spacing w:val="0"/>
                <w:position w:val="0"/>
                <w:highlight w:val="none"/>
              </w:rPr>
              <w:t>《大气污染物综合排放标准》（GB16297-1996）表2无组织排放监控浓度限值。</w:t>
            </w:r>
          </w:p>
          <w:p w14:paraId="4CD4411C">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1.6、废气</w:t>
            </w:r>
            <w:r>
              <w:rPr>
                <w:rFonts w:hint="eastAsia"/>
                <w:b/>
                <w:bCs w:val="0"/>
                <w:caps w:val="0"/>
                <w:color w:val="auto"/>
                <w:spacing w:val="0"/>
                <w:position w:val="0"/>
                <w:highlight w:val="none"/>
              </w:rPr>
              <w:t>自行</w:t>
            </w:r>
            <w:r>
              <w:rPr>
                <w:rFonts w:hint="default"/>
                <w:b/>
                <w:bCs w:val="0"/>
                <w:caps w:val="0"/>
                <w:color w:val="auto"/>
                <w:spacing w:val="0"/>
                <w:position w:val="0"/>
                <w:highlight w:val="none"/>
              </w:rPr>
              <w:t>监测要求</w:t>
            </w:r>
          </w:p>
          <w:p w14:paraId="7B4C0BE5">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根据本项目工程特点，并结合《排污许可证申请与核发技术规范总则》（HJ942-2018）</w:t>
            </w:r>
            <w:r>
              <w:rPr>
                <w:rFonts w:hint="eastAsia"/>
                <w:caps w:val="0"/>
                <w:color w:val="auto"/>
                <w:spacing w:val="0"/>
                <w:position w:val="0"/>
                <w:highlight w:val="none"/>
              </w:rPr>
              <w:t>、《排污许可证申请与核发技术规范废弃资源加工工业》（HJ1034）和</w:t>
            </w:r>
            <w:r>
              <w:rPr>
                <w:rFonts w:hint="default"/>
                <w:caps w:val="0"/>
                <w:color w:val="auto"/>
                <w:spacing w:val="0"/>
                <w:position w:val="0"/>
                <w:highlight w:val="none"/>
              </w:rPr>
              <w:t>《</w:t>
            </w:r>
            <w:r>
              <w:rPr>
                <w:rFonts w:hint="eastAsia"/>
                <w:caps w:val="0"/>
                <w:color w:val="auto"/>
                <w:spacing w:val="0"/>
                <w:position w:val="0"/>
                <w:highlight w:val="none"/>
              </w:rPr>
              <w:t>排污单位自行监测技术指南砖瓦工业</w:t>
            </w:r>
            <w:r>
              <w:rPr>
                <w:rFonts w:hint="default"/>
                <w:caps w:val="0"/>
                <w:color w:val="auto"/>
                <w:spacing w:val="0"/>
                <w:position w:val="0"/>
                <w:highlight w:val="none"/>
              </w:rPr>
              <w:t>》（HJ</w:t>
            </w:r>
            <w:r>
              <w:rPr>
                <w:rFonts w:hint="eastAsia"/>
                <w:caps w:val="0"/>
                <w:color w:val="auto"/>
                <w:spacing w:val="0"/>
                <w:position w:val="0"/>
                <w:highlight w:val="none"/>
                <w:lang w:val="en-US" w:eastAsia="zh-CN"/>
              </w:rPr>
              <w:t>1254</w:t>
            </w:r>
            <w:r>
              <w:rPr>
                <w:rFonts w:hint="default"/>
                <w:caps w:val="0"/>
                <w:color w:val="auto"/>
                <w:spacing w:val="0"/>
                <w:position w:val="0"/>
                <w:highlight w:val="none"/>
              </w:rPr>
              <w:t>-20</w:t>
            </w:r>
            <w:r>
              <w:rPr>
                <w:rFonts w:hint="eastAsia"/>
                <w:caps w:val="0"/>
                <w:color w:val="auto"/>
                <w:spacing w:val="0"/>
                <w:position w:val="0"/>
                <w:highlight w:val="none"/>
                <w:lang w:val="en-US" w:eastAsia="zh-CN"/>
              </w:rPr>
              <w:t>22</w:t>
            </w:r>
            <w:r>
              <w:rPr>
                <w:rFonts w:hint="default"/>
                <w:caps w:val="0"/>
                <w:color w:val="auto"/>
                <w:spacing w:val="0"/>
                <w:position w:val="0"/>
                <w:highlight w:val="none"/>
              </w:rPr>
              <w:t>）</w:t>
            </w:r>
            <w:r>
              <w:rPr>
                <w:rFonts w:hint="eastAsia"/>
                <w:caps w:val="0"/>
                <w:color w:val="auto"/>
                <w:spacing w:val="0"/>
                <w:position w:val="0"/>
                <w:highlight w:val="none"/>
              </w:rPr>
              <w:t>的相关规定</w:t>
            </w:r>
            <w:r>
              <w:rPr>
                <w:rFonts w:hint="default"/>
                <w:caps w:val="0"/>
                <w:color w:val="auto"/>
                <w:spacing w:val="0"/>
                <w:position w:val="0"/>
                <w:highlight w:val="none"/>
              </w:rPr>
              <w:t>，废气排放监测计划见下表。</w:t>
            </w:r>
          </w:p>
          <w:p w14:paraId="79D3AB6F">
            <w:pPr>
              <w:pStyle w:val="75"/>
              <w:keepNext w:val="0"/>
              <w:keepLines w:val="0"/>
              <w:numPr>
                <w:ilvl w:val="0"/>
                <w:numId w:val="7"/>
              </w:numPr>
              <w:suppressLineNumbers w:val="0"/>
              <w:bidi w:val="0"/>
              <w:spacing w:before="0" w:beforeAutospacing="0" w:after="0" w:afterAutospacing="0"/>
              <w:ind w:left="425" w:leftChars="0" w:right="0" w:hanging="425" w:firstLineChars="0"/>
              <w:rPr>
                <w:rFonts w:hint="default"/>
                <w:caps w:val="0"/>
                <w:color w:val="auto"/>
                <w:spacing w:val="0"/>
                <w:position w:val="0"/>
                <w:highlight w:val="none"/>
              </w:rPr>
            </w:pPr>
            <w:r>
              <w:rPr>
                <w:rFonts w:hint="default"/>
                <w:caps w:val="0"/>
                <w:color w:val="auto"/>
                <w:spacing w:val="0"/>
                <w:position w:val="0"/>
                <w:highlight w:val="none"/>
              </w:rPr>
              <w:t>本项目废气监测计划一览表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1120"/>
              <w:gridCol w:w="1200"/>
              <w:gridCol w:w="4779"/>
            </w:tblGrid>
            <w:tr w14:paraId="66F6CB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pct"/>
                  <w:noWrap w:val="0"/>
                  <w:vAlign w:val="center"/>
                </w:tcPr>
                <w:p w14:paraId="33D1A5AD">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监测点位</w:t>
                  </w:r>
                </w:p>
              </w:tc>
              <w:tc>
                <w:tcPr>
                  <w:tcW w:w="679" w:type="pct"/>
                  <w:noWrap w:val="0"/>
                  <w:vAlign w:val="center"/>
                </w:tcPr>
                <w:p w14:paraId="40A2E8F5">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监测指标</w:t>
                  </w:r>
                </w:p>
              </w:tc>
              <w:tc>
                <w:tcPr>
                  <w:tcW w:w="728" w:type="pct"/>
                  <w:noWrap w:val="0"/>
                  <w:vAlign w:val="center"/>
                </w:tcPr>
                <w:p w14:paraId="6197665A">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监测频次</w:t>
                  </w:r>
                </w:p>
              </w:tc>
              <w:tc>
                <w:tcPr>
                  <w:tcW w:w="2900" w:type="pct"/>
                  <w:noWrap w:val="0"/>
                  <w:vAlign w:val="center"/>
                </w:tcPr>
                <w:p w14:paraId="6B6962ED">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执行排放标准</w:t>
                  </w:r>
                </w:p>
              </w:tc>
            </w:tr>
            <w:tr w14:paraId="6AFA03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pct"/>
                  <w:vMerge w:val="restart"/>
                  <w:noWrap w:val="0"/>
                  <w:vAlign w:val="center"/>
                </w:tcPr>
                <w:p w14:paraId="6F5E00E3">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DA001</w:t>
                  </w:r>
                </w:p>
              </w:tc>
              <w:tc>
                <w:tcPr>
                  <w:tcW w:w="679" w:type="pct"/>
                  <w:noWrap w:val="0"/>
                  <w:vAlign w:val="center"/>
                </w:tcPr>
                <w:p w14:paraId="06677C6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颗粒物</w:t>
                  </w:r>
                </w:p>
              </w:tc>
              <w:tc>
                <w:tcPr>
                  <w:tcW w:w="728" w:type="pct"/>
                  <w:noWrap w:val="0"/>
                  <w:vAlign w:val="center"/>
                </w:tcPr>
                <w:p w14:paraId="05C26C04">
                  <w:pPr>
                    <w:pStyle w:val="28"/>
                    <w:keepNext w:val="0"/>
                    <w:keepLines w:val="0"/>
                    <w:suppressLineNumbers w:val="0"/>
                    <w:bidi w:val="0"/>
                    <w:spacing w:beforeAutospacing="0" w:afterAutospacing="0"/>
                    <w:ind w:left="0" w:right="0"/>
                    <w:rPr>
                      <w:rFonts w:hint="eastAsia"/>
                      <w:caps w:val="0"/>
                      <w:color w:val="auto"/>
                      <w:spacing w:val="0"/>
                      <w:position w:val="0"/>
                      <w:highlight w:val="none"/>
                      <w:lang w:eastAsia="zh-CN"/>
                    </w:rPr>
                  </w:pPr>
                  <w:r>
                    <w:rPr>
                      <w:rFonts w:hint="default"/>
                      <w:caps w:val="0"/>
                      <w:color w:val="auto"/>
                      <w:spacing w:val="0"/>
                      <w:position w:val="0"/>
                      <w:highlight w:val="none"/>
                    </w:rPr>
                    <w:t>1次/</w:t>
                  </w:r>
                  <w:r>
                    <w:rPr>
                      <w:rFonts w:hint="eastAsia"/>
                      <w:caps w:val="0"/>
                      <w:color w:val="auto"/>
                      <w:spacing w:val="0"/>
                      <w:position w:val="0"/>
                      <w:highlight w:val="none"/>
                      <w:lang w:val="en-US" w:eastAsia="zh-CN"/>
                    </w:rPr>
                    <w:t>月</w:t>
                  </w:r>
                </w:p>
              </w:tc>
              <w:tc>
                <w:tcPr>
                  <w:tcW w:w="2900" w:type="pct"/>
                  <w:noWrap w:val="0"/>
                  <w:vAlign w:val="center"/>
                </w:tcPr>
                <w:p w14:paraId="3FEA227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《水泥工业大气污染物排放标准》（GB4915-2013）</w:t>
                  </w:r>
                  <w:r>
                    <w:rPr>
                      <w:rFonts w:hint="default"/>
                      <w:caps w:val="0"/>
                      <w:color w:val="auto"/>
                      <w:spacing w:val="0"/>
                      <w:position w:val="0"/>
                      <w:highlight w:val="none"/>
                    </w:rPr>
                    <w:t>表1</w:t>
                  </w:r>
                </w:p>
              </w:tc>
            </w:tr>
            <w:tr w14:paraId="480E2B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690" w:type="pct"/>
                  <w:vMerge w:val="continue"/>
                  <w:noWrap w:val="0"/>
                  <w:vAlign w:val="center"/>
                </w:tcPr>
                <w:p w14:paraId="129A4381">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p>
              </w:tc>
              <w:tc>
                <w:tcPr>
                  <w:tcW w:w="679" w:type="pct"/>
                  <w:shd w:val="clear" w:color="auto" w:fill="auto"/>
                  <w:noWrap w:val="0"/>
                  <w:vAlign w:val="center"/>
                </w:tcPr>
                <w:p w14:paraId="79265264">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rPr>
                    <w:t>铊及其化合物</w:t>
                  </w:r>
                </w:p>
              </w:tc>
              <w:tc>
                <w:tcPr>
                  <w:tcW w:w="728" w:type="pct"/>
                  <w:shd w:val="clear" w:color="auto" w:fill="auto"/>
                  <w:noWrap w:val="0"/>
                  <w:vAlign w:val="center"/>
                </w:tcPr>
                <w:p w14:paraId="4112E046">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1次/</w:t>
                  </w:r>
                  <w:r>
                    <w:rPr>
                      <w:rFonts w:hint="eastAsia"/>
                      <w:caps w:val="0"/>
                      <w:color w:val="auto"/>
                      <w:spacing w:val="0"/>
                      <w:position w:val="0"/>
                      <w:highlight w:val="none"/>
                    </w:rPr>
                    <w:t>月</w:t>
                  </w:r>
                </w:p>
              </w:tc>
              <w:tc>
                <w:tcPr>
                  <w:tcW w:w="2900" w:type="pct"/>
                  <w:shd w:val="clear" w:color="auto" w:fill="auto"/>
                  <w:noWrap w:val="0"/>
                  <w:vAlign w:val="center"/>
                </w:tcPr>
                <w:p w14:paraId="0DB10346">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eastAsia="zh-CN"/>
                    </w:rPr>
                    <w:t>《无机化学工业污染物排放标准》（GB31573-2015）修改单</w:t>
                  </w:r>
                </w:p>
              </w:tc>
            </w:tr>
            <w:tr w14:paraId="1B68AD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690" w:type="pct"/>
                  <w:vMerge w:val="continue"/>
                  <w:noWrap w:val="0"/>
                  <w:vAlign w:val="center"/>
                </w:tcPr>
                <w:p w14:paraId="392A60CF">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p>
              </w:tc>
              <w:tc>
                <w:tcPr>
                  <w:tcW w:w="679" w:type="pct"/>
                  <w:shd w:val="clear" w:color="auto" w:fill="auto"/>
                  <w:noWrap w:val="0"/>
                  <w:vAlign w:val="center"/>
                </w:tcPr>
                <w:p w14:paraId="0F2B6291">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rPr>
                    <w:t>氟化物</w:t>
                  </w:r>
                </w:p>
              </w:tc>
              <w:tc>
                <w:tcPr>
                  <w:tcW w:w="728" w:type="pct"/>
                  <w:shd w:val="clear" w:color="auto" w:fill="auto"/>
                  <w:noWrap w:val="0"/>
                  <w:vAlign w:val="center"/>
                </w:tcPr>
                <w:p w14:paraId="210DAD1F">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1次/</w:t>
                  </w:r>
                  <w:r>
                    <w:rPr>
                      <w:rFonts w:hint="eastAsia"/>
                      <w:caps w:val="0"/>
                      <w:color w:val="auto"/>
                      <w:spacing w:val="0"/>
                      <w:position w:val="0"/>
                      <w:highlight w:val="none"/>
                    </w:rPr>
                    <w:t>月</w:t>
                  </w:r>
                </w:p>
              </w:tc>
              <w:tc>
                <w:tcPr>
                  <w:tcW w:w="2900" w:type="pct"/>
                  <w:shd w:val="clear" w:color="auto" w:fill="auto"/>
                  <w:noWrap w:val="0"/>
                  <w:vAlign w:val="center"/>
                </w:tcPr>
                <w:p w14:paraId="1377DBD7">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eastAsia="zh-CN"/>
                    </w:rPr>
                    <w:t>《无机化学工业污染物排放标准》（GB31573-2015）修改单</w:t>
                  </w:r>
                </w:p>
              </w:tc>
            </w:tr>
            <w:tr w14:paraId="597087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pct"/>
                  <w:vMerge w:val="continue"/>
                  <w:noWrap w:val="0"/>
                  <w:vAlign w:val="center"/>
                </w:tcPr>
                <w:p w14:paraId="522AC756">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p>
              </w:tc>
              <w:tc>
                <w:tcPr>
                  <w:tcW w:w="679" w:type="pct"/>
                  <w:shd w:val="clear" w:color="auto" w:fill="auto"/>
                  <w:noWrap w:val="0"/>
                  <w:vAlign w:val="center"/>
                </w:tcPr>
                <w:p w14:paraId="761B8A52">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rPr>
                    <w:t>铍及其化合物</w:t>
                  </w:r>
                </w:p>
              </w:tc>
              <w:tc>
                <w:tcPr>
                  <w:tcW w:w="728" w:type="pct"/>
                  <w:shd w:val="clear" w:color="auto" w:fill="auto"/>
                  <w:noWrap w:val="0"/>
                  <w:vAlign w:val="center"/>
                </w:tcPr>
                <w:p w14:paraId="67C578ED">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1次/</w:t>
                  </w:r>
                  <w:r>
                    <w:rPr>
                      <w:rFonts w:hint="eastAsia"/>
                      <w:caps w:val="0"/>
                      <w:color w:val="auto"/>
                      <w:spacing w:val="0"/>
                      <w:position w:val="0"/>
                      <w:highlight w:val="none"/>
                    </w:rPr>
                    <w:t>月</w:t>
                  </w:r>
                </w:p>
              </w:tc>
              <w:tc>
                <w:tcPr>
                  <w:tcW w:w="2900" w:type="pct"/>
                  <w:shd w:val="clear" w:color="auto" w:fill="auto"/>
                  <w:noWrap w:val="0"/>
                  <w:vAlign w:val="center"/>
                </w:tcPr>
                <w:p w14:paraId="3F090DA4">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rPr>
                    <w:t>《大气污染物综合排放标准》（GB16297-1996）</w:t>
                  </w:r>
                </w:p>
              </w:tc>
            </w:tr>
            <w:tr w14:paraId="0A3BD5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pct"/>
                  <w:noWrap w:val="0"/>
                  <w:vAlign w:val="center"/>
                </w:tcPr>
                <w:p w14:paraId="21D234A4">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default"/>
                      <w:caps w:val="0"/>
                      <w:color w:val="auto"/>
                      <w:spacing w:val="0"/>
                      <w:position w:val="0"/>
                      <w:highlight w:val="none"/>
                    </w:rPr>
                    <w:t>厂</w:t>
                  </w:r>
                  <w:r>
                    <w:rPr>
                      <w:rFonts w:hint="eastAsia"/>
                      <w:caps w:val="0"/>
                      <w:color w:val="auto"/>
                      <w:spacing w:val="0"/>
                      <w:position w:val="0"/>
                      <w:highlight w:val="none"/>
                    </w:rPr>
                    <w:t>界</w:t>
                  </w:r>
                </w:p>
              </w:tc>
              <w:tc>
                <w:tcPr>
                  <w:tcW w:w="679" w:type="pct"/>
                  <w:noWrap w:val="0"/>
                  <w:vAlign w:val="center"/>
                </w:tcPr>
                <w:p w14:paraId="520F049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颗粒物</w:t>
                  </w:r>
                </w:p>
              </w:tc>
              <w:tc>
                <w:tcPr>
                  <w:tcW w:w="728" w:type="pct"/>
                  <w:noWrap w:val="0"/>
                  <w:vAlign w:val="center"/>
                </w:tcPr>
                <w:p w14:paraId="35BB5E55">
                  <w:pPr>
                    <w:pStyle w:val="28"/>
                    <w:keepNext w:val="0"/>
                    <w:keepLines w:val="0"/>
                    <w:suppressLineNumbers w:val="0"/>
                    <w:bidi w:val="0"/>
                    <w:spacing w:beforeAutospacing="0" w:afterAutospacing="0"/>
                    <w:ind w:left="0" w:right="0"/>
                    <w:rPr>
                      <w:rFonts w:hint="eastAsia"/>
                      <w:caps w:val="0"/>
                      <w:color w:val="auto"/>
                      <w:spacing w:val="0"/>
                      <w:position w:val="0"/>
                      <w:highlight w:val="none"/>
                      <w:lang w:eastAsia="zh-CN"/>
                    </w:rPr>
                  </w:pPr>
                  <w:r>
                    <w:rPr>
                      <w:rFonts w:hint="default"/>
                      <w:caps w:val="0"/>
                      <w:color w:val="auto"/>
                      <w:spacing w:val="0"/>
                      <w:position w:val="0"/>
                      <w:highlight w:val="none"/>
                    </w:rPr>
                    <w:t>1次/</w:t>
                  </w:r>
                  <w:r>
                    <w:rPr>
                      <w:rFonts w:hint="eastAsia"/>
                      <w:caps w:val="0"/>
                      <w:color w:val="auto"/>
                      <w:spacing w:val="0"/>
                      <w:position w:val="0"/>
                      <w:highlight w:val="none"/>
                      <w:lang w:val="en-US" w:eastAsia="zh-CN"/>
                    </w:rPr>
                    <w:t>年</w:t>
                  </w:r>
                </w:p>
              </w:tc>
              <w:tc>
                <w:tcPr>
                  <w:tcW w:w="2900" w:type="pct"/>
                  <w:noWrap w:val="0"/>
                  <w:vAlign w:val="center"/>
                </w:tcPr>
                <w:p w14:paraId="4D30498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《水泥工业大气污染物排放标准》（GB4915-2013）表3大气污染物无组织排放限值</w:t>
                  </w:r>
                </w:p>
              </w:tc>
            </w:tr>
          </w:tbl>
          <w:p w14:paraId="024C6D04">
            <w:pPr>
              <w:pStyle w:val="86"/>
              <w:keepNext w:val="0"/>
              <w:keepLines w:val="0"/>
              <w:suppressLineNumbers w:val="0"/>
              <w:spacing w:before="0" w:beforeAutospacing="0" w:after="0" w:afterAutospacing="0"/>
              <w:ind w:left="0" w:right="0" w:firstLine="560"/>
              <w:rPr>
                <w:rFonts w:hint="eastAsia" w:cs="Times New Roman"/>
                <w:caps w:val="0"/>
                <w:color w:val="auto"/>
                <w:spacing w:val="0"/>
                <w:position w:val="0"/>
                <w:sz w:val="28"/>
                <w:szCs w:val="28"/>
                <w:highlight w:val="none"/>
              </w:rPr>
            </w:pPr>
          </w:p>
        </w:tc>
      </w:tr>
    </w:tbl>
    <w:p w14:paraId="6383E820">
      <w:pPr>
        <w:pStyle w:val="74"/>
        <w:bidi w:val="0"/>
        <w:ind w:left="0" w:leftChars="0" w:firstLine="0" w:firstLineChars="0"/>
        <w:rPr>
          <w:rFonts w:hint="eastAsia"/>
          <w:caps w:val="0"/>
          <w:color w:val="auto"/>
          <w:spacing w:val="0"/>
          <w:position w:val="0"/>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13589"/>
      </w:tblGrid>
      <w:tr w14:paraId="365D2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7" w:hRule="atLeast"/>
          <w:jc w:val="center"/>
        </w:trPr>
        <w:tc>
          <w:tcPr>
            <w:tcW w:w="585" w:type="dxa"/>
            <w:noWrap w:val="0"/>
            <w:vAlign w:val="center"/>
          </w:tcPr>
          <w:p w14:paraId="1BCAC442">
            <w:pPr>
              <w:pStyle w:val="75"/>
              <w:keepNext w:val="0"/>
              <w:keepLines w:val="0"/>
              <w:suppressLineNumbers w:val="0"/>
              <w:bidi w:val="0"/>
              <w:spacing w:before="0" w:beforeAutospacing="0" w:after="0" w:afterAutospacing="0"/>
              <w:ind w:left="0" w:right="0"/>
              <w:rPr>
                <w:rFonts w:hint="default"/>
                <w:b/>
                <w:caps w:val="0"/>
                <w:snapToGrid w:val="0"/>
                <w:color w:val="auto"/>
                <w:spacing w:val="0"/>
                <w:kern w:val="0"/>
                <w:position w:val="0"/>
                <w:szCs w:val="28"/>
                <w:highlight w:val="none"/>
              </w:rPr>
            </w:pPr>
            <w:r>
              <w:rPr>
                <w:rFonts w:hint="default"/>
                <w:caps w:val="0"/>
                <w:color w:val="auto"/>
                <w:spacing w:val="0"/>
                <w:position w:val="0"/>
                <w:highlight w:val="none"/>
              </w:rPr>
              <w:t>运营期环境影响和保护措施</w:t>
            </w:r>
          </w:p>
        </w:tc>
        <w:tc>
          <w:tcPr>
            <w:tcW w:w="13589" w:type="dxa"/>
            <w:noWrap w:val="0"/>
            <w:vAlign w:val="center"/>
          </w:tcPr>
          <w:p w14:paraId="3FBBE737">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2、废水</w:t>
            </w:r>
          </w:p>
          <w:p w14:paraId="06C60516">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2.1、废水污染源情况</w:t>
            </w:r>
          </w:p>
          <w:p w14:paraId="18048C30">
            <w:pPr>
              <w:pStyle w:val="75"/>
              <w:keepNext w:val="0"/>
              <w:keepLines w:val="0"/>
              <w:numPr>
                <w:ilvl w:val="0"/>
                <w:numId w:val="7"/>
              </w:numPr>
              <w:suppressLineNumbers w:val="0"/>
              <w:bidi w:val="0"/>
              <w:spacing w:before="0" w:beforeAutospacing="0" w:after="0" w:afterAutospacing="0"/>
              <w:ind w:left="425" w:leftChars="0" w:right="0" w:hanging="425" w:firstLineChars="0"/>
              <w:rPr>
                <w:rFonts w:hint="default"/>
                <w:caps w:val="0"/>
                <w:color w:val="auto"/>
                <w:spacing w:val="0"/>
                <w:position w:val="0"/>
                <w:highlight w:val="none"/>
              </w:rPr>
            </w:pPr>
            <w:r>
              <w:rPr>
                <w:rFonts w:hint="default"/>
                <w:caps w:val="0"/>
                <w:color w:val="auto"/>
                <w:spacing w:val="0"/>
                <w:position w:val="0"/>
                <w:highlight w:val="none"/>
              </w:rPr>
              <w:t>废水污染源产生、排放汇总表</w:t>
            </w:r>
          </w:p>
          <w:tbl>
            <w:tblPr>
              <w:tblStyle w:val="23"/>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830"/>
              <w:gridCol w:w="830"/>
              <w:gridCol w:w="830"/>
              <w:gridCol w:w="830"/>
              <w:gridCol w:w="1743"/>
              <w:gridCol w:w="1153"/>
              <w:gridCol w:w="1153"/>
              <w:gridCol w:w="1153"/>
              <w:gridCol w:w="830"/>
              <w:gridCol w:w="1154"/>
              <w:gridCol w:w="831"/>
              <w:gridCol w:w="831"/>
              <w:gridCol w:w="1205"/>
            </w:tblGrid>
            <w:tr w14:paraId="617FC07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06" w:hRule="atLeast"/>
                <w:jc w:val="center"/>
              </w:trPr>
              <w:tc>
                <w:tcPr>
                  <w:tcW w:w="830" w:type="dxa"/>
                  <w:vMerge w:val="restart"/>
                  <w:tcBorders>
                    <w:tl2br w:val="nil"/>
                    <w:tr2bl w:val="nil"/>
                  </w:tcBorders>
                  <w:shd w:val="clear" w:color="auto" w:fill="auto"/>
                  <w:vAlign w:val="center"/>
                </w:tcPr>
                <w:p w14:paraId="36B31A97">
                  <w:pPr>
                    <w:pStyle w:val="28"/>
                    <w:keepNext w:val="0"/>
                    <w:keepLines w:val="0"/>
                    <w:suppressLineNumbers w:val="0"/>
                    <w:bidi w:val="0"/>
                    <w:spacing w:beforeAutospacing="0" w:afterAutospacing="0"/>
                    <w:ind w:left="0" w:right="0"/>
                    <w:rPr>
                      <w:rFonts w:hint="eastAsia"/>
                      <w:b/>
                      <w:bCs/>
                      <w:caps w:val="0"/>
                      <w:color w:val="auto"/>
                      <w:spacing w:val="0"/>
                      <w:position w:val="0"/>
                      <w:highlight w:val="none"/>
                    </w:rPr>
                  </w:pPr>
                  <w:r>
                    <w:rPr>
                      <w:rFonts w:hint="eastAsia"/>
                      <w:b/>
                      <w:bCs/>
                      <w:caps w:val="0"/>
                      <w:color w:val="auto"/>
                      <w:spacing w:val="0"/>
                      <w:position w:val="0"/>
                      <w:highlight w:val="none"/>
                      <w:lang w:val="en-US" w:eastAsia="zh-CN"/>
                    </w:rPr>
                    <w:t>类别</w:t>
                  </w:r>
                </w:p>
              </w:tc>
              <w:tc>
                <w:tcPr>
                  <w:tcW w:w="830" w:type="dxa"/>
                  <w:tcBorders>
                    <w:tl2br w:val="nil"/>
                    <w:tr2bl w:val="nil"/>
                  </w:tcBorders>
                  <w:shd w:val="clear" w:color="auto" w:fill="auto"/>
                  <w:vAlign w:val="center"/>
                </w:tcPr>
                <w:p w14:paraId="41392A49">
                  <w:pPr>
                    <w:pStyle w:val="28"/>
                    <w:keepNext w:val="0"/>
                    <w:keepLines w:val="0"/>
                    <w:suppressLineNumbers w:val="0"/>
                    <w:bidi w:val="0"/>
                    <w:spacing w:beforeAutospacing="0" w:afterAutospacing="0"/>
                    <w:ind w:left="0" w:right="0"/>
                    <w:rPr>
                      <w:rFonts w:hint="eastAsia"/>
                      <w:b/>
                      <w:bCs/>
                      <w:caps w:val="0"/>
                      <w:color w:val="auto"/>
                      <w:spacing w:val="0"/>
                      <w:position w:val="0"/>
                      <w:highlight w:val="none"/>
                    </w:rPr>
                  </w:pPr>
                  <w:r>
                    <w:rPr>
                      <w:rFonts w:hint="eastAsia"/>
                      <w:b/>
                      <w:bCs/>
                      <w:caps w:val="0"/>
                      <w:color w:val="auto"/>
                      <w:spacing w:val="0"/>
                      <w:position w:val="0"/>
                      <w:highlight w:val="none"/>
                      <w:lang w:val="en-US" w:eastAsia="zh-CN"/>
                    </w:rPr>
                    <w:t>污染物</w:t>
                  </w:r>
                </w:p>
              </w:tc>
              <w:tc>
                <w:tcPr>
                  <w:tcW w:w="3403" w:type="dxa"/>
                  <w:gridSpan w:val="3"/>
                  <w:tcBorders>
                    <w:tl2br w:val="nil"/>
                    <w:tr2bl w:val="nil"/>
                  </w:tcBorders>
                  <w:shd w:val="clear" w:color="auto" w:fill="auto"/>
                  <w:vAlign w:val="center"/>
                </w:tcPr>
                <w:p w14:paraId="7062C486">
                  <w:pPr>
                    <w:pStyle w:val="28"/>
                    <w:keepNext w:val="0"/>
                    <w:keepLines w:val="0"/>
                    <w:suppressLineNumbers w:val="0"/>
                    <w:bidi w:val="0"/>
                    <w:spacing w:beforeAutospacing="0" w:afterAutospacing="0"/>
                    <w:ind w:left="0" w:right="0"/>
                    <w:rPr>
                      <w:rFonts w:hint="eastAsia"/>
                      <w:b/>
                      <w:bCs/>
                      <w:caps w:val="0"/>
                      <w:color w:val="auto"/>
                      <w:spacing w:val="0"/>
                      <w:position w:val="0"/>
                      <w:highlight w:val="none"/>
                    </w:rPr>
                  </w:pPr>
                  <w:r>
                    <w:rPr>
                      <w:rFonts w:hint="eastAsia"/>
                      <w:b/>
                      <w:bCs/>
                      <w:caps w:val="0"/>
                      <w:color w:val="auto"/>
                      <w:spacing w:val="0"/>
                      <w:position w:val="0"/>
                      <w:highlight w:val="none"/>
                      <w:lang w:val="en-US" w:eastAsia="zh-CN"/>
                    </w:rPr>
                    <w:t>污染物产生量和浓度</w:t>
                  </w:r>
                </w:p>
              </w:tc>
              <w:tc>
                <w:tcPr>
                  <w:tcW w:w="3459" w:type="dxa"/>
                  <w:gridSpan w:val="3"/>
                  <w:tcBorders>
                    <w:tl2br w:val="nil"/>
                    <w:tr2bl w:val="nil"/>
                  </w:tcBorders>
                  <w:shd w:val="clear" w:color="auto" w:fill="auto"/>
                  <w:vAlign w:val="center"/>
                </w:tcPr>
                <w:p w14:paraId="5C2AB0DB">
                  <w:pPr>
                    <w:pStyle w:val="28"/>
                    <w:keepNext w:val="0"/>
                    <w:keepLines w:val="0"/>
                    <w:suppressLineNumbers w:val="0"/>
                    <w:bidi w:val="0"/>
                    <w:spacing w:beforeAutospacing="0" w:afterAutospacing="0"/>
                    <w:ind w:left="0" w:right="0"/>
                    <w:rPr>
                      <w:rFonts w:hint="eastAsia"/>
                      <w:b/>
                      <w:bCs/>
                      <w:caps w:val="0"/>
                      <w:color w:val="auto"/>
                      <w:spacing w:val="0"/>
                      <w:position w:val="0"/>
                      <w:highlight w:val="none"/>
                    </w:rPr>
                  </w:pPr>
                  <w:r>
                    <w:rPr>
                      <w:rFonts w:hint="eastAsia"/>
                      <w:b/>
                      <w:bCs/>
                      <w:caps w:val="0"/>
                      <w:color w:val="auto"/>
                      <w:spacing w:val="0"/>
                      <w:position w:val="0"/>
                      <w:highlight w:val="none"/>
                      <w:lang w:val="en-US" w:eastAsia="zh-CN"/>
                    </w:rPr>
                    <w:t>污染治理设施</w:t>
                  </w:r>
                </w:p>
              </w:tc>
              <w:tc>
                <w:tcPr>
                  <w:tcW w:w="1984" w:type="dxa"/>
                  <w:gridSpan w:val="2"/>
                  <w:tcBorders>
                    <w:tl2br w:val="nil"/>
                    <w:tr2bl w:val="nil"/>
                  </w:tcBorders>
                  <w:shd w:val="clear" w:color="auto" w:fill="auto"/>
                  <w:vAlign w:val="center"/>
                </w:tcPr>
                <w:p w14:paraId="1185B2DF">
                  <w:pPr>
                    <w:pStyle w:val="28"/>
                    <w:keepNext w:val="0"/>
                    <w:keepLines w:val="0"/>
                    <w:suppressLineNumbers w:val="0"/>
                    <w:bidi w:val="0"/>
                    <w:spacing w:beforeAutospacing="0" w:afterAutospacing="0"/>
                    <w:ind w:left="0" w:right="0"/>
                    <w:rPr>
                      <w:rFonts w:hint="eastAsia"/>
                      <w:b/>
                      <w:bCs/>
                      <w:caps w:val="0"/>
                      <w:color w:val="auto"/>
                      <w:spacing w:val="0"/>
                      <w:position w:val="0"/>
                      <w:highlight w:val="none"/>
                    </w:rPr>
                  </w:pPr>
                  <w:r>
                    <w:rPr>
                      <w:rFonts w:hint="eastAsia"/>
                      <w:b/>
                      <w:bCs/>
                      <w:caps w:val="0"/>
                      <w:color w:val="auto"/>
                      <w:spacing w:val="0"/>
                      <w:position w:val="0"/>
                      <w:highlight w:val="none"/>
                      <w:lang w:val="en-US" w:eastAsia="zh-CN"/>
                    </w:rPr>
                    <w:t>污染物排放</w:t>
                  </w:r>
                </w:p>
              </w:tc>
              <w:tc>
                <w:tcPr>
                  <w:tcW w:w="1662" w:type="dxa"/>
                  <w:gridSpan w:val="2"/>
                  <w:tcBorders>
                    <w:tl2br w:val="nil"/>
                    <w:tr2bl w:val="nil"/>
                  </w:tcBorders>
                  <w:shd w:val="clear" w:color="auto" w:fill="auto"/>
                  <w:vAlign w:val="center"/>
                </w:tcPr>
                <w:p w14:paraId="1F0AB0D2">
                  <w:pPr>
                    <w:pStyle w:val="28"/>
                    <w:keepNext w:val="0"/>
                    <w:keepLines w:val="0"/>
                    <w:suppressLineNumbers w:val="0"/>
                    <w:bidi w:val="0"/>
                    <w:spacing w:beforeAutospacing="0" w:afterAutospacing="0"/>
                    <w:ind w:left="0" w:right="0"/>
                    <w:rPr>
                      <w:rFonts w:hint="eastAsia"/>
                      <w:b/>
                      <w:bCs/>
                      <w:caps w:val="0"/>
                      <w:color w:val="auto"/>
                      <w:spacing w:val="0"/>
                      <w:position w:val="0"/>
                      <w:highlight w:val="none"/>
                      <w:lang w:val="en-US" w:eastAsia="zh-CN"/>
                    </w:rPr>
                  </w:pPr>
                  <w:r>
                    <w:rPr>
                      <w:rFonts w:hint="eastAsia"/>
                      <w:b/>
                      <w:bCs/>
                      <w:caps w:val="0"/>
                      <w:color w:val="auto"/>
                      <w:spacing w:val="0"/>
                      <w:position w:val="0"/>
                      <w:highlight w:val="none"/>
                      <w:lang w:val="en-US" w:eastAsia="zh-CN"/>
                    </w:rPr>
                    <w:t>排放口基本情况</w:t>
                  </w:r>
                </w:p>
              </w:tc>
              <w:tc>
                <w:tcPr>
                  <w:tcW w:w="1205" w:type="dxa"/>
                  <w:tcBorders>
                    <w:tl2br w:val="nil"/>
                    <w:tr2bl w:val="nil"/>
                  </w:tcBorders>
                  <w:shd w:val="clear" w:color="auto" w:fill="auto"/>
                  <w:vAlign w:val="center"/>
                </w:tcPr>
                <w:p w14:paraId="1534EAFF">
                  <w:pPr>
                    <w:pStyle w:val="28"/>
                    <w:keepNext w:val="0"/>
                    <w:keepLines w:val="0"/>
                    <w:suppressLineNumbers w:val="0"/>
                    <w:bidi w:val="0"/>
                    <w:spacing w:beforeAutospacing="0" w:afterAutospacing="0"/>
                    <w:ind w:left="0" w:right="0"/>
                    <w:rPr>
                      <w:rFonts w:hint="eastAsia"/>
                      <w:b/>
                      <w:bCs/>
                      <w:caps w:val="0"/>
                      <w:color w:val="auto"/>
                      <w:spacing w:val="0"/>
                      <w:position w:val="0"/>
                      <w:highlight w:val="none"/>
                    </w:rPr>
                  </w:pPr>
                  <w:r>
                    <w:rPr>
                      <w:rFonts w:hint="eastAsia"/>
                      <w:b/>
                      <w:bCs/>
                      <w:caps w:val="0"/>
                      <w:color w:val="auto"/>
                      <w:spacing w:val="0"/>
                      <w:position w:val="0"/>
                      <w:highlight w:val="none"/>
                      <w:lang w:val="en-US" w:eastAsia="zh-CN"/>
                    </w:rPr>
                    <w:t>接管标准</w:t>
                  </w:r>
                </w:p>
              </w:tc>
            </w:tr>
            <w:tr w14:paraId="340BB68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06" w:hRule="atLeast"/>
                <w:jc w:val="center"/>
              </w:trPr>
              <w:tc>
                <w:tcPr>
                  <w:tcW w:w="830" w:type="dxa"/>
                  <w:vMerge w:val="continue"/>
                  <w:tcBorders>
                    <w:tl2br w:val="nil"/>
                    <w:tr2bl w:val="nil"/>
                  </w:tcBorders>
                  <w:shd w:val="clear" w:color="auto" w:fill="auto"/>
                  <w:vAlign w:val="center"/>
                </w:tcPr>
                <w:p w14:paraId="19F9E989">
                  <w:pPr>
                    <w:pStyle w:val="28"/>
                    <w:keepNext w:val="0"/>
                    <w:keepLines w:val="0"/>
                    <w:suppressLineNumbers w:val="0"/>
                    <w:bidi w:val="0"/>
                    <w:spacing w:beforeAutospacing="0" w:afterAutospacing="0"/>
                    <w:ind w:left="0" w:right="0"/>
                    <w:rPr>
                      <w:rFonts w:hint="eastAsia"/>
                      <w:b/>
                      <w:bCs/>
                      <w:caps w:val="0"/>
                      <w:color w:val="auto"/>
                      <w:spacing w:val="0"/>
                      <w:position w:val="0"/>
                      <w:highlight w:val="none"/>
                    </w:rPr>
                  </w:pPr>
                </w:p>
              </w:tc>
              <w:tc>
                <w:tcPr>
                  <w:tcW w:w="830" w:type="dxa"/>
                  <w:tcBorders>
                    <w:tl2br w:val="nil"/>
                    <w:tr2bl w:val="nil"/>
                  </w:tcBorders>
                  <w:shd w:val="clear" w:color="auto" w:fill="auto"/>
                  <w:vAlign w:val="center"/>
                </w:tcPr>
                <w:p w14:paraId="3F7D63A1">
                  <w:pPr>
                    <w:pStyle w:val="28"/>
                    <w:keepNext w:val="0"/>
                    <w:keepLines w:val="0"/>
                    <w:suppressLineNumbers w:val="0"/>
                    <w:bidi w:val="0"/>
                    <w:spacing w:beforeAutospacing="0" w:afterAutospacing="0"/>
                    <w:ind w:left="0" w:right="0"/>
                    <w:rPr>
                      <w:rFonts w:hint="eastAsia"/>
                      <w:b/>
                      <w:bCs/>
                      <w:caps w:val="0"/>
                      <w:color w:val="auto"/>
                      <w:spacing w:val="0"/>
                      <w:position w:val="0"/>
                      <w:highlight w:val="none"/>
                    </w:rPr>
                  </w:pPr>
                  <w:r>
                    <w:rPr>
                      <w:rFonts w:hint="eastAsia"/>
                      <w:b/>
                      <w:bCs/>
                      <w:caps w:val="0"/>
                      <w:color w:val="auto"/>
                      <w:spacing w:val="0"/>
                      <w:position w:val="0"/>
                      <w:highlight w:val="none"/>
                      <w:lang w:val="en-US" w:eastAsia="zh-CN"/>
                    </w:rPr>
                    <w:t>种类</w:t>
                  </w:r>
                </w:p>
              </w:tc>
              <w:tc>
                <w:tcPr>
                  <w:tcW w:w="830" w:type="dxa"/>
                  <w:tcBorders>
                    <w:tl2br w:val="nil"/>
                    <w:tr2bl w:val="nil"/>
                  </w:tcBorders>
                  <w:shd w:val="clear" w:color="auto" w:fill="auto"/>
                  <w:vAlign w:val="center"/>
                </w:tcPr>
                <w:p w14:paraId="1827A257">
                  <w:pPr>
                    <w:pStyle w:val="28"/>
                    <w:keepNext w:val="0"/>
                    <w:keepLines w:val="0"/>
                    <w:suppressLineNumbers w:val="0"/>
                    <w:bidi w:val="0"/>
                    <w:spacing w:beforeAutospacing="0" w:afterAutospacing="0"/>
                    <w:ind w:left="0" w:right="0"/>
                    <w:rPr>
                      <w:rFonts w:hint="eastAsia"/>
                      <w:b/>
                      <w:bCs/>
                      <w:caps w:val="0"/>
                      <w:color w:val="auto"/>
                      <w:spacing w:val="0"/>
                      <w:position w:val="0"/>
                      <w:highlight w:val="none"/>
                    </w:rPr>
                  </w:pPr>
                  <w:r>
                    <w:rPr>
                      <w:rFonts w:hint="eastAsia"/>
                      <w:b/>
                      <w:bCs/>
                      <w:caps w:val="0"/>
                      <w:color w:val="auto"/>
                      <w:spacing w:val="0"/>
                      <w:position w:val="0"/>
                      <w:highlight w:val="none"/>
                      <w:lang w:val="en-US" w:eastAsia="zh-CN"/>
                    </w:rPr>
                    <w:t>废水量</w:t>
                  </w:r>
                </w:p>
              </w:tc>
              <w:tc>
                <w:tcPr>
                  <w:tcW w:w="830" w:type="dxa"/>
                  <w:tcBorders>
                    <w:tl2br w:val="nil"/>
                    <w:tr2bl w:val="nil"/>
                  </w:tcBorders>
                  <w:shd w:val="clear" w:color="auto" w:fill="auto"/>
                  <w:vAlign w:val="center"/>
                </w:tcPr>
                <w:p w14:paraId="0200DFDD">
                  <w:pPr>
                    <w:pStyle w:val="28"/>
                    <w:keepNext w:val="0"/>
                    <w:keepLines w:val="0"/>
                    <w:suppressLineNumbers w:val="0"/>
                    <w:bidi w:val="0"/>
                    <w:spacing w:beforeAutospacing="0" w:afterAutospacing="0"/>
                    <w:ind w:left="0" w:right="0"/>
                    <w:rPr>
                      <w:rFonts w:hint="eastAsia"/>
                      <w:b/>
                      <w:bCs/>
                      <w:caps w:val="0"/>
                      <w:color w:val="auto"/>
                      <w:spacing w:val="0"/>
                      <w:position w:val="0"/>
                      <w:highlight w:val="none"/>
                    </w:rPr>
                  </w:pPr>
                  <w:r>
                    <w:rPr>
                      <w:rFonts w:hint="eastAsia"/>
                      <w:b/>
                      <w:bCs/>
                      <w:caps w:val="0"/>
                      <w:color w:val="auto"/>
                      <w:spacing w:val="0"/>
                      <w:position w:val="0"/>
                      <w:highlight w:val="none"/>
                      <w:lang w:val="en-US" w:eastAsia="zh-CN"/>
                    </w:rPr>
                    <w:t>产生浓度</w:t>
                  </w:r>
                </w:p>
              </w:tc>
              <w:tc>
                <w:tcPr>
                  <w:tcW w:w="1743" w:type="dxa"/>
                  <w:tcBorders>
                    <w:tl2br w:val="nil"/>
                    <w:tr2bl w:val="nil"/>
                  </w:tcBorders>
                  <w:shd w:val="clear" w:color="auto" w:fill="auto"/>
                  <w:vAlign w:val="center"/>
                </w:tcPr>
                <w:p w14:paraId="368B334B">
                  <w:pPr>
                    <w:pStyle w:val="28"/>
                    <w:keepNext w:val="0"/>
                    <w:keepLines w:val="0"/>
                    <w:suppressLineNumbers w:val="0"/>
                    <w:bidi w:val="0"/>
                    <w:spacing w:beforeAutospacing="0" w:afterAutospacing="0"/>
                    <w:ind w:left="0" w:right="0"/>
                    <w:rPr>
                      <w:rFonts w:hint="eastAsia"/>
                      <w:b/>
                      <w:bCs/>
                      <w:caps w:val="0"/>
                      <w:color w:val="auto"/>
                      <w:spacing w:val="0"/>
                      <w:position w:val="0"/>
                      <w:highlight w:val="none"/>
                    </w:rPr>
                  </w:pPr>
                  <w:r>
                    <w:rPr>
                      <w:rFonts w:hint="eastAsia"/>
                      <w:b/>
                      <w:bCs/>
                      <w:caps w:val="0"/>
                      <w:color w:val="auto"/>
                      <w:spacing w:val="0"/>
                      <w:position w:val="0"/>
                      <w:highlight w:val="none"/>
                      <w:lang w:val="en-US" w:eastAsia="zh-CN"/>
                    </w:rPr>
                    <w:t>产生量</w:t>
                  </w:r>
                </w:p>
              </w:tc>
              <w:tc>
                <w:tcPr>
                  <w:tcW w:w="1153" w:type="dxa"/>
                  <w:tcBorders>
                    <w:tl2br w:val="nil"/>
                    <w:tr2bl w:val="nil"/>
                  </w:tcBorders>
                  <w:shd w:val="clear" w:color="auto" w:fill="auto"/>
                  <w:vAlign w:val="center"/>
                </w:tcPr>
                <w:p w14:paraId="2548C090">
                  <w:pPr>
                    <w:pStyle w:val="28"/>
                    <w:keepNext w:val="0"/>
                    <w:keepLines w:val="0"/>
                    <w:suppressLineNumbers w:val="0"/>
                    <w:bidi w:val="0"/>
                    <w:spacing w:beforeAutospacing="0" w:afterAutospacing="0"/>
                    <w:ind w:left="0" w:right="0"/>
                    <w:rPr>
                      <w:rFonts w:hint="eastAsia"/>
                      <w:b/>
                      <w:bCs/>
                      <w:caps w:val="0"/>
                      <w:color w:val="auto"/>
                      <w:spacing w:val="0"/>
                      <w:position w:val="0"/>
                      <w:highlight w:val="none"/>
                    </w:rPr>
                  </w:pPr>
                  <w:r>
                    <w:rPr>
                      <w:rFonts w:hint="eastAsia"/>
                      <w:b/>
                      <w:bCs/>
                      <w:caps w:val="0"/>
                      <w:color w:val="auto"/>
                      <w:spacing w:val="0"/>
                      <w:position w:val="0"/>
                      <w:highlight w:val="none"/>
                      <w:lang w:val="en-US" w:eastAsia="zh-CN"/>
                    </w:rPr>
                    <w:t>主要治理工艺</w:t>
                  </w:r>
                </w:p>
              </w:tc>
              <w:tc>
                <w:tcPr>
                  <w:tcW w:w="1153" w:type="dxa"/>
                  <w:tcBorders>
                    <w:tl2br w:val="nil"/>
                    <w:tr2bl w:val="nil"/>
                  </w:tcBorders>
                  <w:shd w:val="clear" w:color="auto" w:fill="auto"/>
                  <w:vAlign w:val="center"/>
                </w:tcPr>
                <w:p w14:paraId="5A917A3F">
                  <w:pPr>
                    <w:pStyle w:val="28"/>
                    <w:keepNext w:val="0"/>
                    <w:keepLines w:val="0"/>
                    <w:suppressLineNumbers w:val="0"/>
                    <w:bidi w:val="0"/>
                    <w:spacing w:beforeAutospacing="0" w:afterAutospacing="0"/>
                    <w:ind w:left="0" w:right="0"/>
                    <w:rPr>
                      <w:rFonts w:hint="eastAsia"/>
                      <w:b/>
                      <w:bCs/>
                      <w:caps w:val="0"/>
                      <w:color w:val="auto"/>
                      <w:spacing w:val="0"/>
                      <w:position w:val="0"/>
                      <w:highlight w:val="none"/>
                    </w:rPr>
                  </w:pPr>
                  <w:r>
                    <w:rPr>
                      <w:rFonts w:hint="eastAsia"/>
                      <w:b/>
                      <w:bCs/>
                      <w:caps w:val="0"/>
                      <w:color w:val="auto"/>
                      <w:spacing w:val="0"/>
                      <w:position w:val="0"/>
                      <w:highlight w:val="none"/>
                      <w:lang w:val="en-US" w:eastAsia="zh-CN"/>
                    </w:rPr>
                    <w:t>去除效率</w:t>
                  </w:r>
                </w:p>
              </w:tc>
              <w:tc>
                <w:tcPr>
                  <w:tcW w:w="1153" w:type="dxa"/>
                  <w:vMerge w:val="restart"/>
                  <w:tcBorders>
                    <w:tl2br w:val="nil"/>
                    <w:tr2bl w:val="nil"/>
                  </w:tcBorders>
                  <w:shd w:val="clear" w:color="auto" w:fill="auto"/>
                  <w:vAlign w:val="center"/>
                </w:tcPr>
                <w:p w14:paraId="4CD6244E">
                  <w:pPr>
                    <w:pStyle w:val="28"/>
                    <w:keepNext w:val="0"/>
                    <w:keepLines w:val="0"/>
                    <w:suppressLineNumbers w:val="0"/>
                    <w:bidi w:val="0"/>
                    <w:spacing w:beforeAutospacing="0" w:afterAutospacing="0"/>
                    <w:ind w:left="0" w:right="0"/>
                    <w:rPr>
                      <w:rFonts w:hint="eastAsia"/>
                      <w:b/>
                      <w:bCs/>
                      <w:caps w:val="0"/>
                      <w:color w:val="auto"/>
                      <w:spacing w:val="0"/>
                      <w:position w:val="0"/>
                      <w:highlight w:val="none"/>
                    </w:rPr>
                  </w:pPr>
                  <w:r>
                    <w:rPr>
                      <w:rFonts w:hint="eastAsia"/>
                      <w:b/>
                      <w:bCs/>
                      <w:caps w:val="0"/>
                      <w:color w:val="auto"/>
                      <w:spacing w:val="0"/>
                      <w:position w:val="0"/>
                      <w:highlight w:val="none"/>
                      <w:lang w:val="en-US" w:eastAsia="zh-CN"/>
                    </w:rPr>
                    <w:t>是否可行技术</w:t>
                  </w:r>
                </w:p>
              </w:tc>
              <w:tc>
                <w:tcPr>
                  <w:tcW w:w="830" w:type="dxa"/>
                  <w:tcBorders>
                    <w:tl2br w:val="nil"/>
                    <w:tr2bl w:val="nil"/>
                  </w:tcBorders>
                  <w:shd w:val="clear" w:color="auto" w:fill="auto"/>
                  <w:vAlign w:val="center"/>
                </w:tcPr>
                <w:p w14:paraId="63906152">
                  <w:pPr>
                    <w:pStyle w:val="28"/>
                    <w:keepNext w:val="0"/>
                    <w:keepLines w:val="0"/>
                    <w:suppressLineNumbers w:val="0"/>
                    <w:bidi w:val="0"/>
                    <w:spacing w:beforeAutospacing="0" w:afterAutospacing="0"/>
                    <w:ind w:left="0" w:right="0"/>
                    <w:rPr>
                      <w:rFonts w:hint="eastAsia"/>
                      <w:b/>
                      <w:bCs/>
                      <w:caps w:val="0"/>
                      <w:color w:val="auto"/>
                      <w:spacing w:val="0"/>
                      <w:position w:val="0"/>
                      <w:highlight w:val="none"/>
                    </w:rPr>
                  </w:pPr>
                  <w:r>
                    <w:rPr>
                      <w:rFonts w:hint="eastAsia"/>
                      <w:b/>
                      <w:bCs/>
                      <w:caps w:val="0"/>
                      <w:color w:val="auto"/>
                      <w:spacing w:val="0"/>
                      <w:position w:val="0"/>
                      <w:highlight w:val="none"/>
                      <w:lang w:val="en-US" w:eastAsia="zh-CN"/>
                    </w:rPr>
                    <w:t>排放浓度</w:t>
                  </w:r>
                </w:p>
              </w:tc>
              <w:tc>
                <w:tcPr>
                  <w:tcW w:w="1154" w:type="dxa"/>
                  <w:tcBorders>
                    <w:tl2br w:val="nil"/>
                    <w:tr2bl w:val="nil"/>
                  </w:tcBorders>
                  <w:shd w:val="clear" w:color="auto" w:fill="auto"/>
                  <w:vAlign w:val="center"/>
                </w:tcPr>
                <w:p w14:paraId="3EBE2DC3">
                  <w:pPr>
                    <w:pStyle w:val="28"/>
                    <w:keepNext w:val="0"/>
                    <w:keepLines w:val="0"/>
                    <w:suppressLineNumbers w:val="0"/>
                    <w:bidi w:val="0"/>
                    <w:spacing w:beforeAutospacing="0" w:afterAutospacing="0"/>
                    <w:ind w:left="0" w:right="0"/>
                    <w:rPr>
                      <w:rFonts w:hint="eastAsia"/>
                      <w:b/>
                      <w:bCs/>
                      <w:caps w:val="0"/>
                      <w:color w:val="auto"/>
                      <w:spacing w:val="0"/>
                      <w:position w:val="0"/>
                      <w:highlight w:val="none"/>
                    </w:rPr>
                  </w:pPr>
                  <w:r>
                    <w:rPr>
                      <w:rFonts w:hint="eastAsia"/>
                      <w:b/>
                      <w:bCs/>
                      <w:caps w:val="0"/>
                      <w:color w:val="auto"/>
                      <w:spacing w:val="0"/>
                      <w:position w:val="0"/>
                      <w:highlight w:val="none"/>
                      <w:lang w:val="en-US" w:eastAsia="zh-CN"/>
                    </w:rPr>
                    <w:t>排放量</w:t>
                  </w:r>
                </w:p>
              </w:tc>
              <w:tc>
                <w:tcPr>
                  <w:tcW w:w="831" w:type="dxa"/>
                  <w:vMerge w:val="restart"/>
                  <w:tcBorders>
                    <w:tl2br w:val="nil"/>
                    <w:tr2bl w:val="nil"/>
                  </w:tcBorders>
                  <w:shd w:val="clear" w:color="auto" w:fill="auto"/>
                  <w:vAlign w:val="center"/>
                </w:tcPr>
                <w:p w14:paraId="040B21B5">
                  <w:pPr>
                    <w:pStyle w:val="28"/>
                    <w:keepNext w:val="0"/>
                    <w:keepLines w:val="0"/>
                    <w:suppressLineNumbers w:val="0"/>
                    <w:bidi w:val="0"/>
                    <w:spacing w:beforeAutospacing="0" w:afterAutospacing="0"/>
                    <w:ind w:left="0" w:right="0"/>
                    <w:rPr>
                      <w:rFonts w:hint="eastAsia"/>
                      <w:b/>
                      <w:bCs/>
                      <w:caps w:val="0"/>
                      <w:color w:val="auto"/>
                      <w:spacing w:val="0"/>
                      <w:position w:val="0"/>
                      <w:highlight w:val="none"/>
                    </w:rPr>
                  </w:pPr>
                  <w:r>
                    <w:rPr>
                      <w:rFonts w:hint="eastAsia"/>
                      <w:b/>
                      <w:bCs/>
                      <w:caps w:val="0"/>
                      <w:color w:val="auto"/>
                      <w:spacing w:val="0"/>
                      <w:position w:val="0"/>
                      <w:highlight w:val="none"/>
                      <w:lang w:val="en-US" w:eastAsia="zh-CN"/>
                    </w:rPr>
                    <w:t>排放方式</w:t>
                  </w:r>
                </w:p>
              </w:tc>
              <w:tc>
                <w:tcPr>
                  <w:tcW w:w="831" w:type="dxa"/>
                  <w:vMerge w:val="restart"/>
                  <w:tcBorders>
                    <w:tl2br w:val="nil"/>
                    <w:tr2bl w:val="nil"/>
                  </w:tcBorders>
                  <w:shd w:val="clear" w:color="auto" w:fill="auto"/>
                  <w:vAlign w:val="center"/>
                </w:tcPr>
                <w:p w14:paraId="6EA27DE0">
                  <w:pPr>
                    <w:pStyle w:val="28"/>
                    <w:keepNext w:val="0"/>
                    <w:keepLines w:val="0"/>
                    <w:suppressLineNumbers w:val="0"/>
                    <w:bidi w:val="0"/>
                    <w:spacing w:beforeAutospacing="0" w:afterAutospacing="0"/>
                    <w:ind w:left="0" w:right="0"/>
                    <w:rPr>
                      <w:rFonts w:hint="eastAsia"/>
                      <w:b/>
                      <w:bCs/>
                      <w:caps w:val="0"/>
                      <w:color w:val="auto"/>
                      <w:spacing w:val="0"/>
                      <w:position w:val="0"/>
                      <w:highlight w:val="none"/>
                    </w:rPr>
                  </w:pPr>
                  <w:r>
                    <w:rPr>
                      <w:rFonts w:hint="eastAsia"/>
                      <w:b/>
                      <w:bCs/>
                      <w:caps w:val="0"/>
                      <w:color w:val="auto"/>
                      <w:spacing w:val="0"/>
                      <w:position w:val="0"/>
                      <w:highlight w:val="none"/>
                      <w:lang w:val="en-US" w:eastAsia="zh-CN"/>
                    </w:rPr>
                    <w:t>排放去向</w:t>
                  </w:r>
                </w:p>
              </w:tc>
              <w:tc>
                <w:tcPr>
                  <w:tcW w:w="1205" w:type="dxa"/>
                  <w:vMerge w:val="restart"/>
                  <w:tcBorders>
                    <w:tl2br w:val="nil"/>
                    <w:tr2bl w:val="nil"/>
                  </w:tcBorders>
                  <w:shd w:val="clear" w:color="auto" w:fill="auto"/>
                  <w:vAlign w:val="center"/>
                </w:tcPr>
                <w:p w14:paraId="214A8E94">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lang w:val="en-US" w:eastAsia="zh-CN"/>
                    </w:rPr>
                    <w:t>mg/L</w:t>
                  </w:r>
                </w:p>
              </w:tc>
            </w:tr>
            <w:tr w14:paraId="505B53B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2" w:hRule="atLeast"/>
                <w:jc w:val="center"/>
              </w:trPr>
              <w:tc>
                <w:tcPr>
                  <w:tcW w:w="830" w:type="dxa"/>
                  <w:vMerge w:val="continue"/>
                  <w:tcBorders>
                    <w:tl2br w:val="nil"/>
                    <w:tr2bl w:val="nil"/>
                  </w:tcBorders>
                  <w:shd w:val="clear" w:color="auto" w:fill="auto"/>
                  <w:vAlign w:val="center"/>
                </w:tcPr>
                <w:p w14:paraId="272A5E09">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40F152CF">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lang w:val="en-US" w:eastAsia="zh-CN"/>
                    </w:rPr>
                    <w:t>/</w:t>
                  </w:r>
                </w:p>
              </w:tc>
              <w:tc>
                <w:tcPr>
                  <w:tcW w:w="830" w:type="dxa"/>
                  <w:tcBorders>
                    <w:tl2br w:val="nil"/>
                    <w:tr2bl w:val="nil"/>
                  </w:tcBorders>
                  <w:shd w:val="clear" w:color="auto" w:fill="auto"/>
                  <w:vAlign w:val="center"/>
                </w:tcPr>
                <w:p w14:paraId="2DF2B52C">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lang w:val="en-US" w:eastAsia="zh-CN"/>
                    </w:rPr>
                    <w:t>m</w:t>
                  </w:r>
                  <w:r>
                    <w:rPr>
                      <w:rFonts w:hint="default"/>
                      <w:b/>
                      <w:bCs/>
                      <w:caps w:val="0"/>
                      <w:color w:val="auto"/>
                      <w:spacing w:val="0"/>
                      <w:position w:val="0"/>
                      <w:highlight w:val="none"/>
                      <w:vertAlign w:val="superscript"/>
                      <w:lang w:val="en-US" w:eastAsia="zh-CN"/>
                    </w:rPr>
                    <w:t>3</w:t>
                  </w:r>
                  <w:r>
                    <w:rPr>
                      <w:rFonts w:hint="default"/>
                      <w:b/>
                      <w:bCs/>
                      <w:caps w:val="0"/>
                      <w:color w:val="auto"/>
                      <w:spacing w:val="0"/>
                      <w:position w:val="0"/>
                      <w:highlight w:val="none"/>
                      <w:lang w:val="en-US" w:eastAsia="zh-CN"/>
                    </w:rPr>
                    <w:t>/a</w:t>
                  </w:r>
                </w:p>
              </w:tc>
              <w:tc>
                <w:tcPr>
                  <w:tcW w:w="830" w:type="dxa"/>
                  <w:tcBorders>
                    <w:tl2br w:val="nil"/>
                    <w:tr2bl w:val="nil"/>
                  </w:tcBorders>
                  <w:shd w:val="clear" w:color="auto" w:fill="auto"/>
                  <w:vAlign w:val="center"/>
                </w:tcPr>
                <w:p w14:paraId="214D25C6">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lang w:val="en-US" w:eastAsia="zh-CN"/>
                    </w:rPr>
                    <w:t>mg/L</w:t>
                  </w:r>
                </w:p>
              </w:tc>
              <w:tc>
                <w:tcPr>
                  <w:tcW w:w="1743" w:type="dxa"/>
                  <w:tcBorders>
                    <w:tl2br w:val="nil"/>
                    <w:tr2bl w:val="nil"/>
                  </w:tcBorders>
                  <w:shd w:val="clear" w:color="auto" w:fill="auto"/>
                  <w:vAlign w:val="center"/>
                </w:tcPr>
                <w:p w14:paraId="3F4ECD81">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lang w:val="en-US" w:eastAsia="zh-CN"/>
                    </w:rPr>
                    <w:t>t/a</w:t>
                  </w:r>
                </w:p>
              </w:tc>
              <w:tc>
                <w:tcPr>
                  <w:tcW w:w="1153" w:type="dxa"/>
                  <w:tcBorders>
                    <w:tl2br w:val="nil"/>
                    <w:tr2bl w:val="nil"/>
                  </w:tcBorders>
                  <w:shd w:val="clear" w:color="auto" w:fill="auto"/>
                  <w:vAlign w:val="center"/>
                </w:tcPr>
                <w:p w14:paraId="26AC5D8A">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lang w:val="en-US" w:eastAsia="zh-CN"/>
                    </w:rPr>
                    <w:t>/</w:t>
                  </w:r>
                </w:p>
              </w:tc>
              <w:tc>
                <w:tcPr>
                  <w:tcW w:w="1153" w:type="dxa"/>
                  <w:tcBorders>
                    <w:tl2br w:val="nil"/>
                    <w:tr2bl w:val="nil"/>
                  </w:tcBorders>
                  <w:shd w:val="clear" w:color="auto" w:fill="auto"/>
                  <w:vAlign w:val="center"/>
                </w:tcPr>
                <w:p w14:paraId="73125405">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lang w:val="en-US" w:eastAsia="zh-CN"/>
                    </w:rPr>
                    <w:t>%</w:t>
                  </w:r>
                </w:p>
              </w:tc>
              <w:tc>
                <w:tcPr>
                  <w:tcW w:w="1153" w:type="dxa"/>
                  <w:vMerge w:val="continue"/>
                  <w:tcBorders>
                    <w:tl2br w:val="nil"/>
                    <w:tr2bl w:val="nil"/>
                  </w:tcBorders>
                  <w:shd w:val="clear" w:color="auto" w:fill="auto"/>
                  <w:vAlign w:val="center"/>
                </w:tcPr>
                <w:p w14:paraId="02C2DC64">
                  <w:pPr>
                    <w:pStyle w:val="28"/>
                    <w:keepNext w:val="0"/>
                    <w:keepLines w:val="0"/>
                    <w:suppressLineNumbers w:val="0"/>
                    <w:bidi w:val="0"/>
                    <w:spacing w:beforeAutospacing="0" w:afterAutospacing="0"/>
                    <w:ind w:left="0" w:right="0"/>
                    <w:rPr>
                      <w:rFonts w:hint="eastAsia"/>
                      <w:b/>
                      <w:bCs/>
                      <w:caps w:val="0"/>
                      <w:color w:val="auto"/>
                      <w:spacing w:val="0"/>
                      <w:position w:val="0"/>
                      <w:highlight w:val="none"/>
                    </w:rPr>
                  </w:pPr>
                </w:p>
              </w:tc>
              <w:tc>
                <w:tcPr>
                  <w:tcW w:w="830" w:type="dxa"/>
                  <w:tcBorders>
                    <w:tl2br w:val="nil"/>
                    <w:tr2bl w:val="nil"/>
                  </w:tcBorders>
                  <w:shd w:val="clear" w:color="auto" w:fill="auto"/>
                  <w:vAlign w:val="center"/>
                </w:tcPr>
                <w:p w14:paraId="568E4F90">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lang w:val="en-US" w:eastAsia="zh-CN"/>
                    </w:rPr>
                    <w:t>mg/L</w:t>
                  </w:r>
                </w:p>
              </w:tc>
              <w:tc>
                <w:tcPr>
                  <w:tcW w:w="1154" w:type="dxa"/>
                  <w:tcBorders>
                    <w:tl2br w:val="nil"/>
                    <w:tr2bl w:val="nil"/>
                  </w:tcBorders>
                  <w:shd w:val="clear" w:color="auto" w:fill="auto"/>
                  <w:vAlign w:val="center"/>
                </w:tcPr>
                <w:p w14:paraId="65B72E18">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lang w:val="en-US" w:eastAsia="zh-CN"/>
                    </w:rPr>
                    <w:t>t/a</w:t>
                  </w:r>
                </w:p>
              </w:tc>
              <w:tc>
                <w:tcPr>
                  <w:tcW w:w="831" w:type="dxa"/>
                  <w:vMerge w:val="continue"/>
                  <w:tcBorders>
                    <w:tl2br w:val="nil"/>
                    <w:tr2bl w:val="nil"/>
                  </w:tcBorders>
                  <w:shd w:val="clear" w:color="auto" w:fill="auto"/>
                  <w:vAlign w:val="center"/>
                </w:tcPr>
                <w:p w14:paraId="30C5DA1D">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1" w:type="dxa"/>
                  <w:vMerge w:val="continue"/>
                  <w:tcBorders>
                    <w:tl2br w:val="nil"/>
                    <w:tr2bl w:val="nil"/>
                  </w:tcBorders>
                  <w:shd w:val="clear" w:color="auto" w:fill="auto"/>
                  <w:vAlign w:val="center"/>
                </w:tcPr>
                <w:p w14:paraId="0B591ED7">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05" w:type="dxa"/>
                  <w:vMerge w:val="continue"/>
                  <w:tcBorders>
                    <w:tl2br w:val="nil"/>
                    <w:tr2bl w:val="nil"/>
                  </w:tcBorders>
                  <w:shd w:val="clear" w:color="auto" w:fill="auto"/>
                  <w:vAlign w:val="center"/>
                </w:tcPr>
                <w:p w14:paraId="1950BF28">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147354B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3" w:hRule="atLeast"/>
                <w:jc w:val="center"/>
              </w:trPr>
              <w:tc>
                <w:tcPr>
                  <w:tcW w:w="830" w:type="dxa"/>
                  <w:vMerge w:val="restart"/>
                  <w:tcBorders>
                    <w:tl2br w:val="nil"/>
                    <w:tr2bl w:val="nil"/>
                  </w:tcBorders>
                  <w:shd w:val="clear" w:color="auto" w:fill="auto"/>
                  <w:vAlign w:val="center"/>
                </w:tcPr>
                <w:p w14:paraId="1F0C9F4C">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生活污水</w:t>
                  </w:r>
                </w:p>
              </w:tc>
              <w:tc>
                <w:tcPr>
                  <w:tcW w:w="830" w:type="dxa"/>
                  <w:tcBorders>
                    <w:tl2br w:val="nil"/>
                    <w:tr2bl w:val="nil"/>
                  </w:tcBorders>
                  <w:shd w:val="clear" w:color="auto" w:fill="auto"/>
                  <w:vAlign w:val="center"/>
                </w:tcPr>
                <w:p w14:paraId="1855AF8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pH</w:t>
                  </w:r>
                </w:p>
              </w:tc>
              <w:tc>
                <w:tcPr>
                  <w:tcW w:w="830" w:type="dxa"/>
                  <w:vMerge w:val="restart"/>
                  <w:tcBorders>
                    <w:tl2br w:val="nil"/>
                    <w:tr2bl w:val="nil"/>
                  </w:tcBorders>
                  <w:shd w:val="clear" w:color="auto" w:fill="auto"/>
                  <w:vAlign w:val="center"/>
                </w:tcPr>
                <w:p w14:paraId="563D809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288</w:t>
                  </w:r>
                </w:p>
              </w:tc>
              <w:tc>
                <w:tcPr>
                  <w:tcW w:w="830" w:type="dxa"/>
                  <w:tcBorders>
                    <w:tl2br w:val="nil"/>
                    <w:tr2bl w:val="nil"/>
                  </w:tcBorders>
                  <w:shd w:val="clear" w:color="auto" w:fill="auto"/>
                  <w:vAlign w:val="center"/>
                </w:tcPr>
                <w:p w14:paraId="766BF4C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6~9</w:t>
                  </w:r>
                </w:p>
              </w:tc>
              <w:tc>
                <w:tcPr>
                  <w:tcW w:w="1743" w:type="dxa"/>
                  <w:tcBorders>
                    <w:tl2br w:val="nil"/>
                    <w:tr2bl w:val="nil"/>
                  </w:tcBorders>
                  <w:shd w:val="clear" w:color="auto" w:fill="auto"/>
                  <w:vAlign w:val="center"/>
                </w:tcPr>
                <w:p w14:paraId="3E736B6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1153" w:type="dxa"/>
                  <w:vMerge w:val="restart"/>
                  <w:tcBorders>
                    <w:tl2br w:val="nil"/>
                    <w:tr2bl w:val="nil"/>
                  </w:tcBorders>
                  <w:shd w:val="clear" w:color="auto" w:fill="auto"/>
                  <w:vAlign w:val="center"/>
                </w:tcPr>
                <w:p w14:paraId="4C24A660">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化粪池</w:t>
                  </w:r>
                </w:p>
              </w:tc>
              <w:tc>
                <w:tcPr>
                  <w:tcW w:w="1153" w:type="dxa"/>
                  <w:tcBorders>
                    <w:tl2br w:val="nil"/>
                    <w:tr2bl w:val="nil"/>
                  </w:tcBorders>
                  <w:shd w:val="clear" w:color="auto" w:fill="auto"/>
                  <w:vAlign w:val="center"/>
                </w:tcPr>
                <w:p w14:paraId="1CD8834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1153" w:type="dxa"/>
                  <w:vMerge w:val="restart"/>
                  <w:tcBorders>
                    <w:tl2br w:val="nil"/>
                    <w:tr2bl w:val="nil"/>
                  </w:tcBorders>
                  <w:shd w:val="clear" w:color="auto" w:fill="auto"/>
                  <w:vAlign w:val="center"/>
                </w:tcPr>
                <w:p w14:paraId="7C2303A1">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是</w:t>
                  </w:r>
                </w:p>
              </w:tc>
              <w:tc>
                <w:tcPr>
                  <w:tcW w:w="830" w:type="dxa"/>
                  <w:tcBorders>
                    <w:tl2br w:val="nil"/>
                    <w:tr2bl w:val="nil"/>
                  </w:tcBorders>
                  <w:shd w:val="clear" w:color="auto" w:fill="auto"/>
                  <w:vAlign w:val="center"/>
                </w:tcPr>
                <w:p w14:paraId="26C651F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6~9</w:t>
                  </w:r>
                </w:p>
              </w:tc>
              <w:tc>
                <w:tcPr>
                  <w:tcW w:w="1154" w:type="dxa"/>
                  <w:tcBorders>
                    <w:tl2br w:val="nil"/>
                    <w:tr2bl w:val="nil"/>
                  </w:tcBorders>
                  <w:shd w:val="clear" w:color="auto" w:fill="auto"/>
                  <w:vAlign w:val="center"/>
                </w:tcPr>
                <w:p w14:paraId="752B1D5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c>
                <w:tcPr>
                  <w:tcW w:w="831" w:type="dxa"/>
                  <w:vMerge w:val="restart"/>
                  <w:tcBorders>
                    <w:tl2br w:val="nil"/>
                    <w:tr2bl w:val="nil"/>
                  </w:tcBorders>
                  <w:shd w:val="clear" w:color="auto" w:fill="auto"/>
                  <w:vAlign w:val="center"/>
                </w:tcPr>
                <w:p w14:paraId="02F2BC66">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不外排</w:t>
                  </w:r>
                </w:p>
              </w:tc>
              <w:tc>
                <w:tcPr>
                  <w:tcW w:w="831" w:type="dxa"/>
                  <w:vMerge w:val="restart"/>
                  <w:tcBorders>
                    <w:tl2br w:val="nil"/>
                    <w:tr2bl w:val="nil"/>
                  </w:tcBorders>
                  <w:shd w:val="clear" w:color="auto" w:fill="auto"/>
                  <w:vAlign w:val="center"/>
                </w:tcPr>
                <w:p w14:paraId="39833229">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用于林地灌</w:t>
                  </w:r>
                </w:p>
              </w:tc>
              <w:tc>
                <w:tcPr>
                  <w:tcW w:w="1205" w:type="dxa"/>
                  <w:tcBorders>
                    <w:tl2br w:val="nil"/>
                    <w:tr2bl w:val="nil"/>
                  </w:tcBorders>
                  <w:shd w:val="clear" w:color="auto" w:fill="auto"/>
                  <w:noWrap/>
                  <w:vAlign w:val="center"/>
                </w:tcPr>
                <w:p w14:paraId="43BF72B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6~9</w:t>
                  </w:r>
                </w:p>
              </w:tc>
            </w:tr>
            <w:tr w14:paraId="4BFD221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3" w:hRule="atLeast"/>
                <w:jc w:val="center"/>
              </w:trPr>
              <w:tc>
                <w:tcPr>
                  <w:tcW w:w="830" w:type="dxa"/>
                  <w:vMerge w:val="continue"/>
                  <w:tcBorders>
                    <w:tl2br w:val="nil"/>
                    <w:tr2bl w:val="nil"/>
                  </w:tcBorders>
                  <w:shd w:val="clear" w:color="auto" w:fill="auto"/>
                  <w:vAlign w:val="center"/>
                </w:tcPr>
                <w:p w14:paraId="055CC750">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48259E2F">
                  <w:pPr>
                    <w:pStyle w:val="28"/>
                    <w:keepNext w:val="0"/>
                    <w:keepLines w:val="0"/>
                    <w:suppressLineNumbers w:val="0"/>
                    <w:bidi w:val="0"/>
                    <w:spacing w:beforeAutospacing="0" w:afterAutospacing="0"/>
                    <w:ind w:left="0" w:right="0"/>
                    <w:rPr>
                      <w:rFonts w:hint="default"/>
                      <w:caps w:val="0"/>
                      <w:color w:val="auto"/>
                      <w:spacing w:val="0"/>
                      <w:position w:val="0"/>
                      <w:highlight w:val="none"/>
                      <w:vertAlign w:val="subscript"/>
                    </w:rPr>
                  </w:pPr>
                  <w:r>
                    <w:rPr>
                      <w:rFonts w:hint="default"/>
                      <w:caps w:val="0"/>
                      <w:color w:val="auto"/>
                      <w:spacing w:val="0"/>
                      <w:position w:val="0"/>
                      <w:highlight w:val="none"/>
                      <w:vertAlign w:val="baseline"/>
                      <w:lang w:val="en-US" w:eastAsia="zh-CN"/>
                    </w:rPr>
                    <w:t>COD</w:t>
                  </w:r>
                  <w:r>
                    <w:rPr>
                      <w:rFonts w:hint="default"/>
                      <w:caps w:val="0"/>
                      <w:color w:val="auto"/>
                      <w:spacing w:val="0"/>
                      <w:position w:val="0"/>
                      <w:highlight w:val="none"/>
                      <w:vertAlign w:val="subscript"/>
                      <w:lang w:val="en-US" w:eastAsia="zh-CN"/>
                    </w:rPr>
                    <w:t>Cr</w:t>
                  </w:r>
                </w:p>
              </w:tc>
              <w:tc>
                <w:tcPr>
                  <w:tcW w:w="830" w:type="dxa"/>
                  <w:vMerge w:val="continue"/>
                  <w:tcBorders>
                    <w:tl2br w:val="nil"/>
                    <w:tr2bl w:val="nil"/>
                  </w:tcBorders>
                  <w:shd w:val="clear" w:color="auto" w:fill="auto"/>
                  <w:vAlign w:val="center"/>
                </w:tcPr>
                <w:p w14:paraId="1D0E22F1">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830" w:type="dxa"/>
                  <w:tcBorders>
                    <w:tl2br w:val="nil"/>
                    <w:tr2bl w:val="nil"/>
                  </w:tcBorders>
                  <w:shd w:val="clear" w:color="auto" w:fill="auto"/>
                  <w:vAlign w:val="center"/>
                </w:tcPr>
                <w:p w14:paraId="79953B6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250</w:t>
                  </w:r>
                </w:p>
              </w:tc>
              <w:tc>
                <w:tcPr>
                  <w:tcW w:w="1743" w:type="dxa"/>
                  <w:tcBorders>
                    <w:tl2br w:val="nil"/>
                    <w:tr2bl w:val="nil"/>
                  </w:tcBorders>
                  <w:shd w:val="clear" w:color="auto" w:fill="auto"/>
                  <w:noWrap/>
                  <w:vAlign w:val="center"/>
                </w:tcPr>
                <w:p w14:paraId="271C9E22">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0.072</w:t>
                  </w:r>
                </w:p>
              </w:tc>
              <w:tc>
                <w:tcPr>
                  <w:tcW w:w="1153" w:type="dxa"/>
                  <w:vMerge w:val="continue"/>
                  <w:tcBorders>
                    <w:tl2br w:val="nil"/>
                    <w:tr2bl w:val="nil"/>
                  </w:tcBorders>
                  <w:shd w:val="clear" w:color="auto" w:fill="auto"/>
                  <w:vAlign w:val="center"/>
                </w:tcPr>
                <w:p w14:paraId="6790786B">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153" w:type="dxa"/>
                  <w:tcBorders>
                    <w:tl2br w:val="nil"/>
                    <w:tr2bl w:val="nil"/>
                  </w:tcBorders>
                  <w:shd w:val="clear" w:color="auto" w:fill="auto"/>
                  <w:vAlign w:val="center"/>
                </w:tcPr>
                <w:p w14:paraId="706FA4E7">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25</w:t>
                  </w:r>
                </w:p>
              </w:tc>
              <w:tc>
                <w:tcPr>
                  <w:tcW w:w="1153" w:type="dxa"/>
                  <w:vMerge w:val="continue"/>
                  <w:tcBorders>
                    <w:tl2br w:val="nil"/>
                    <w:tr2bl w:val="nil"/>
                  </w:tcBorders>
                  <w:shd w:val="clear" w:color="auto" w:fill="auto"/>
                  <w:vAlign w:val="center"/>
                </w:tcPr>
                <w:p w14:paraId="1FC04569">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27AD62D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187.5</w:t>
                  </w:r>
                </w:p>
              </w:tc>
              <w:tc>
                <w:tcPr>
                  <w:tcW w:w="1154" w:type="dxa"/>
                  <w:tcBorders>
                    <w:tl2br w:val="nil"/>
                    <w:tr2bl w:val="nil"/>
                  </w:tcBorders>
                  <w:shd w:val="clear" w:color="auto" w:fill="auto"/>
                  <w:vAlign w:val="center"/>
                </w:tcPr>
                <w:p w14:paraId="24F1A39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0.054</w:t>
                  </w:r>
                </w:p>
              </w:tc>
              <w:tc>
                <w:tcPr>
                  <w:tcW w:w="831" w:type="dxa"/>
                  <w:vMerge w:val="continue"/>
                  <w:tcBorders>
                    <w:tl2br w:val="nil"/>
                    <w:tr2bl w:val="nil"/>
                  </w:tcBorders>
                  <w:shd w:val="clear" w:color="auto" w:fill="auto"/>
                  <w:vAlign w:val="center"/>
                </w:tcPr>
                <w:p w14:paraId="1721A8DC">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1" w:type="dxa"/>
                  <w:vMerge w:val="continue"/>
                  <w:tcBorders>
                    <w:tl2br w:val="nil"/>
                    <w:tr2bl w:val="nil"/>
                  </w:tcBorders>
                  <w:shd w:val="clear" w:color="auto" w:fill="auto"/>
                  <w:vAlign w:val="center"/>
                </w:tcPr>
                <w:p w14:paraId="7592B246">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05" w:type="dxa"/>
                  <w:tcBorders>
                    <w:tl2br w:val="nil"/>
                    <w:tr2bl w:val="nil"/>
                  </w:tcBorders>
                  <w:shd w:val="clear" w:color="auto" w:fill="auto"/>
                  <w:vAlign w:val="center"/>
                </w:tcPr>
                <w:p w14:paraId="436EAE9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200</w:t>
                  </w:r>
                </w:p>
              </w:tc>
            </w:tr>
            <w:tr w14:paraId="3E9A5EF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3" w:hRule="atLeast"/>
                <w:jc w:val="center"/>
              </w:trPr>
              <w:tc>
                <w:tcPr>
                  <w:tcW w:w="830" w:type="dxa"/>
                  <w:vMerge w:val="continue"/>
                  <w:tcBorders>
                    <w:tl2br w:val="nil"/>
                    <w:tr2bl w:val="nil"/>
                  </w:tcBorders>
                  <w:shd w:val="clear" w:color="auto" w:fill="auto"/>
                  <w:vAlign w:val="center"/>
                </w:tcPr>
                <w:p w14:paraId="7E083FC7">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69E944D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BOD</w:t>
                  </w:r>
                  <w:r>
                    <w:rPr>
                      <w:rFonts w:hint="default"/>
                      <w:caps w:val="0"/>
                      <w:color w:val="auto"/>
                      <w:spacing w:val="0"/>
                      <w:position w:val="0"/>
                      <w:highlight w:val="none"/>
                      <w:vertAlign w:val="subscript"/>
                      <w:lang w:val="en-US" w:eastAsia="zh-CN"/>
                    </w:rPr>
                    <w:t>5</w:t>
                  </w:r>
                </w:p>
              </w:tc>
              <w:tc>
                <w:tcPr>
                  <w:tcW w:w="830" w:type="dxa"/>
                  <w:vMerge w:val="continue"/>
                  <w:tcBorders>
                    <w:tl2br w:val="nil"/>
                    <w:tr2bl w:val="nil"/>
                  </w:tcBorders>
                  <w:shd w:val="clear" w:color="auto" w:fill="auto"/>
                  <w:vAlign w:val="center"/>
                </w:tcPr>
                <w:p w14:paraId="74641D87">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830" w:type="dxa"/>
                  <w:tcBorders>
                    <w:tl2br w:val="nil"/>
                    <w:tr2bl w:val="nil"/>
                  </w:tcBorders>
                  <w:shd w:val="clear" w:color="auto" w:fill="auto"/>
                  <w:vAlign w:val="center"/>
                </w:tcPr>
                <w:p w14:paraId="11CAB5B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100</w:t>
                  </w:r>
                </w:p>
              </w:tc>
              <w:tc>
                <w:tcPr>
                  <w:tcW w:w="1743" w:type="dxa"/>
                  <w:tcBorders>
                    <w:tl2br w:val="nil"/>
                    <w:tr2bl w:val="nil"/>
                  </w:tcBorders>
                  <w:shd w:val="clear" w:color="auto" w:fill="auto"/>
                  <w:noWrap/>
                  <w:vAlign w:val="center"/>
                </w:tcPr>
                <w:p w14:paraId="5BAE0DCA">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0.0288</w:t>
                  </w:r>
                </w:p>
              </w:tc>
              <w:tc>
                <w:tcPr>
                  <w:tcW w:w="1153" w:type="dxa"/>
                  <w:vMerge w:val="continue"/>
                  <w:tcBorders>
                    <w:tl2br w:val="nil"/>
                    <w:tr2bl w:val="nil"/>
                  </w:tcBorders>
                  <w:shd w:val="clear" w:color="auto" w:fill="auto"/>
                  <w:vAlign w:val="center"/>
                </w:tcPr>
                <w:p w14:paraId="176272C6">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153" w:type="dxa"/>
                  <w:tcBorders>
                    <w:tl2br w:val="nil"/>
                    <w:tr2bl w:val="nil"/>
                  </w:tcBorders>
                  <w:shd w:val="clear" w:color="auto" w:fill="auto"/>
                  <w:vAlign w:val="center"/>
                </w:tcPr>
                <w:p w14:paraId="6AFC466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9</w:t>
                  </w:r>
                </w:p>
              </w:tc>
              <w:tc>
                <w:tcPr>
                  <w:tcW w:w="1153" w:type="dxa"/>
                  <w:vMerge w:val="continue"/>
                  <w:tcBorders>
                    <w:tl2br w:val="nil"/>
                    <w:tr2bl w:val="nil"/>
                  </w:tcBorders>
                  <w:shd w:val="clear" w:color="auto" w:fill="auto"/>
                  <w:vAlign w:val="center"/>
                </w:tcPr>
                <w:p w14:paraId="6E882EF0">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7001EBF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91</w:t>
                  </w:r>
                </w:p>
              </w:tc>
              <w:tc>
                <w:tcPr>
                  <w:tcW w:w="1154" w:type="dxa"/>
                  <w:tcBorders>
                    <w:tl2br w:val="nil"/>
                    <w:tr2bl w:val="nil"/>
                  </w:tcBorders>
                  <w:shd w:val="clear" w:color="auto" w:fill="auto"/>
                  <w:vAlign w:val="center"/>
                </w:tcPr>
                <w:p w14:paraId="76D5E4A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0.0262</w:t>
                  </w:r>
                </w:p>
              </w:tc>
              <w:tc>
                <w:tcPr>
                  <w:tcW w:w="831" w:type="dxa"/>
                  <w:vMerge w:val="continue"/>
                  <w:tcBorders>
                    <w:tl2br w:val="nil"/>
                    <w:tr2bl w:val="nil"/>
                  </w:tcBorders>
                  <w:shd w:val="clear" w:color="auto" w:fill="auto"/>
                  <w:vAlign w:val="center"/>
                </w:tcPr>
                <w:p w14:paraId="5564F95D">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1" w:type="dxa"/>
                  <w:vMerge w:val="continue"/>
                  <w:tcBorders>
                    <w:tl2br w:val="nil"/>
                    <w:tr2bl w:val="nil"/>
                  </w:tcBorders>
                  <w:shd w:val="clear" w:color="auto" w:fill="auto"/>
                  <w:vAlign w:val="center"/>
                </w:tcPr>
                <w:p w14:paraId="0DE7845E">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05" w:type="dxa"/>
                  <w:tcBorders>
                    <w:tl2br w:val="nil"/>
                    <w:tr2bl w:val="nil"/>
                  </w:tcBorders>
                  <w:shd w:val="clear" w:color="auto" w:fill="auto"/>
                  <w:noWrap/>
                  <w:vAlign w:val="center"/>
                </w:tcPr>
                <w:p w14:paraId="4C93D0E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100</w:t>
                  </w:r>
                </w:p>
              </w:tc>
            </w:tr>
            <w:tr w14:paraId="42B91DA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3" w:hRule="atLeast"/>
                <w:jc w:val="center"/>
              </w:trPr>
              <w:tc>
                <w:tcPr>
                  <w:tcW w:w="830" w:type="dxa"/>
                  <w:vMerge w:val="continue"/>
                  <w:tcBorders>
                    <w:tl2br w:val="nil"/>
                    <w:tr2bl w:val="nil"/>
                  </w:tcBorders>
                  <w:shd w:val="clear" w:color="auto" w:fill="auto"/>
                  <w:vAlign w:val="center"/>
                </w:tcPr>
                <w:p w14:paraId="3F425563">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285B119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SS</w:t>
                  </w:r>
                </w:p>
              </w:tc>
              <w:tc>
                <w:tcPr>
                  <w:tcW w:w="830" w:type="dxa"/>
                  <w:vMerge w:val="continue"/>
                  <w:tcBorders>
                    <w:tl2br w:val="nil"/>
                    <w:tr2bl w:val="nil"/>
                  </w:tcBorders>
                  <w:shd w:val="clear" w:color="auto" w:fill="auto"/>
                  <w:vAlign w:val="center"/>
                </w:tcPr>
                <w:p w14:paraId="4618A308">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830" w:type="dxa"/>
                  <w:tcBorders>
                    <w:tl2br w:val="nil"/>
                    <w:tr2bl w:val="nil"/>
                  </w:tcBorders>
                  <w:shd w:val="clear" w:color="auto" w:fill="auto"/>
                  <w:vAlign w:val="center"/>
                </w:tcPr>
                <w:p w14:paraId="3C0C9E2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150</w:t>
                  </w:r>
                </w:p>
              </w:tc>
              <w:tc>
                <w:tcPr>
                  <w:tcW w:w="1743" w:type="dxa"/>
                  <w:tcBorders>
                    <w:tl2br w:val="nil"/>
                    <w:tr2bl w:val="nil"/>
                  </w:tcBorders>
                  <w:shd w:val="clear" w:color="auto" w:fill="auto"/>
                  <w:noWrap/>
                  <w:vAlign w:val="center"/>
                </w:tcPr>
                <w:p w14:paraId="189A8B51">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0.0432</w:t>
                  </w:r>
                </w:p>
              </w:tc>
              <w:tc>
                <w:tcPr>
                  <w:tcW w:w="1153" w:type="dxa"/>
                  <w:vMerge w:val="continue"/>
                  <w:tcBorders>
                    <w:tl2br w:val="nil"/>
                    <w:tr2bl w:val="nil"/>
                  </w:tcBorders>
                  <w:shd w:val="clear" w:color="auto" w:fill="auto"/>
                  <w:vAlign w:val="center"/>
                </w:tcPr>
                <w:p w14:paraId="0DB58C84">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153" w:type="dxa"/>
                  <w:tcBorders>
                    <w:tl2br w:val="nil"/>
                    <w:tr2bl w:val="nil"/>
                  </w:tcBorders>
                  <w:shd w:val="clear" w:color="auto" w:fill="auto"/>
                  <w:vAlign w:val="center"/>
                </w:tcPr>
                <w:p w14:paraId="604AE20C">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40</w:t>
                  </w:r>
                </w:p>
              </w:tc>
              <w:tc>
                <w:tcPr>
                  <w:tcW w:w="1153" w:type="dxa"/>
                  <w:vMerge w:val="continue"/>
                  <w:tcBorders>
                    <w:tl2br w:val="nil"/>
                    <w:tr2bl w:val="nil"/>
                  </w:tcBorders>
                  <w:shd w:val="clear" w:color="auto" w:fill="auto"/>
                  <w:vAlign w:val="center"/>
                </w:tcPr>
                <w:p w14:paraId="19F773C9">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4D926E5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90</w:t>
                  </w:r>
                </w:p>
              </w:tc>
              <w:tc>
                <w:tcPr>
                  <w:tcW w:w="1154" w:type="dxa"/>
                  <w:tcBorders>
                    <w:tl2br w:val="nil"/>
                    <w:tr2bl w:val="nil"/>
                  </w:tcBorders>
                  <w:shd w:val="clear" w:color="auto" w:fill="auto"/>
                  <w:vAlign w:val="center"/>
                </w:tcPr>
                <w:p w14:paraId="599CC22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0.026</w:t>
                  </w:r>
                </w:p>
              </w:tc>
              <w:tc>
                <w:tcPr>
                  <w:tcW w:w="831" w:type="dxa"/>
                  <w:vMerge w:val="continue"/>
                  <w:tcBorders>
                    <w:tl2br w:val="nil"/>
                    <w:tr2bl w:val="nil"/>
                  </w:tcBorders>
                  <w:shd w:val="clear" w:color="auto" w:fill="auto"/>
                  <w:vAlign w:val="center"/>
                </w:tcPr>
                <w:p w14:paraId="1D307E6D">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1" w:type="dxa"/>
                  <w:vMerge w:val="continue"/>
                  <w:tcBorders>
                    <w:tl2br w:val="nil"/>
                    <w:tr2bl w:val="nil"/>
                  </w:tcBorders>
                  <w:shd w:val="clear" w:color="auto" w:fill="auto"/>
                  <w:vAlign w:val="center"/>
                </w:tcPr>
                <w:p w14:paraId="58347609">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05" w:type="dxa"/>
                  <w:tcBorders>
                    <w:tl2br w:val="nil"/>
                    <w:tr2bl w:val="nil"/>
                  </w:tcBorders>
                  <w:shd w:val="clear" w:color="auto" w:fill="auto"/>
                  <w:noWrap/>
                  <w:vAlign w:val="center"/>
                </w:tcPr>
                <w:p w14:paraId="61EDA72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100</w:t>
                  </w:r>
                </w:p>
              </w:tc>
            </w:tr>
            <w:tr w14:paraId="7DEAD10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3" w:hRule="atLeast"/>
                <w:jc w:val="center"/>
              </w:trPr>
              <w:tc>
                <w:tcPr>
                  <w:tcW w:w="830" w:type="dxa"/>
                  <w:vMerge w:val="continue"/>
                  <w:tcBorders>
                    <w:tl2br w:val="nil"/>
                    <w:tr2bl w:val="nil"/>
                  </w:tcBorders>
                  <w:shd w:val="clear" w:color="auto" w:fill="auto"/>
                  <w:vAlign w:val="center"/>
                </w:tcPr>
                <w:p w14:paraId="56478B0B">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4774544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NH</w:t>
                  </w:r>
                  <w:r>
                    <w:rPr>
                      <w:rFonts w:hint="default"/>
                      <w:caps w:val="0"/>
                      <w:color w:val="auto"/>
                      <w:spacing w:val="0"/>
                      <w:position w:val="0"/>
                      <w:highlight w:val="none"/>
                      <w:vertAlign w:val="subscript"/>
                      <w:lang w:val="en-US" w:eastAsia="zh-CN"/>
                    </w:rPr>
                    <w:t>3</w:t>
                  </w:r>
                  <w:r>
                    <w:rPr>
                      <w:rFonts w:hint="default"/>
                      <w:caps w:val="0"/>
                      <w:color w:val="auto"/>
                      <w:spacing w:val="0"/>
                      <w:position w:val="0"/>
                      <w:highlight w:val="none"/>
                      <w:lang w:val="en-US" w:eastAsia="zh-CN"/>
                    </w:rPr>
                    <w:t>-N</w:t>
                  </w:r>
                </w:p>
              </w:tc>
              <w:tc>
                <w:tcPr>
                  <w:tcW w:w="830" w:type="dxa"/>
                  <w:vMerge w:val="continue"/>
                  <w:tcBorders>
                    <w:tl2br w:val="nil"/>
                    <w:tr2bl w:val="nil"/>
                  </w:tcBorders>
                  <w:shd w:val="clear" w:color="auto" w:fill="auto"/>
                  <w:vAlign w:val="center"/>
                </w:tcPr>
                <w:p w14:paraId="6D7A303A">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830" w:type="dxa"/>
                  <w:tcBorders>
                    <w:tl2br w:val="nil"/>
                    <w:tr2bl w:val="nil"/>
                  </w:tcBorders>
                  <w:shd w:val="clear" w:color="auto" w:fill="auto"/>
                  <w:vAlign w:val="center"/>
                </w:tcPr>
                <w:p w14:paraId="2A0A260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25</w:t>
                  </w:r>
                </w:p>
              </w:tc>
              <w:tc>
                <w:tcPr>
                  <w:tcW w:w="1743" w:type="dxa"/>
                  <w:tcBorders>
                    <w:tl2br w:val="nil"/>
                    <w:tr2bl w:val="nil"/>
                  </w:tcBorders>
                  <w:shd w:val="clear" w:color="auto" w:fill="auto"/>
                  <w:noWrap/>
                  <w:vAlign w:val="center"/>
                </w:tcPr>
                <w:p w14:paraId="09B13104">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0.0072</w:t>
                  </w:r>
                </w:p>
              </w:tc>
              <w:tc>
                <w:tcPr>
                  <w:tcW w:w="1153" w:type="dxa"/>
                  <w:vMerge w:val="continue"/>
                  <w:tcBorders>
                    <w:tl2br w:val="nil"/>
                    <w:tr2bl w:val="nil"/>
                  </w:tcBorders>
                  <w:shd w:val="clear" w:color="auto" w:fill="auto"/>
                  <w:vAlign w:val="center"/>
                </w:tcPr>
                <w:p w14:paraId="698E44FD">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153" w:type="dxa"/>
                  <w:tcBorders>
                    <w:tl2br w:val="nil"/>
                    <w:tr2bl w:val="nil"/>
                  </w:tcBorders>
                  <w:shd w:val="clear" w:color="auto" w:fill="auto"/>
                  <w:vAlign w:val="center"/>
                </w:tcPr>
                <w:p w14:paraId="195ABAC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3</w:t>
                  </w:r>
                </w:p>
              </w:tc>
              <w:tc>
                <w:tcPr>
                  <w:tcW w:w="1153" w:type="dxa"/>
                  <w:vMerge w:val="continue"/>
                  <w:tcBorders>
                    <w:tl2br w:val="nil"/>
                    <w:tr2bl w:val="nil"/>
                  </w:tcBorders>
                  <w:shd w:val="clear" w:color="auto" w:fill="auto"/>
                  <w:vAlign w:val="center"/>
                </w:tcPr>
                <w:p w14:paraId="23E15F57">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7F5E409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24.25</w:t>
                  </w:r>
                </w:p>
              </w:tc>
              <w:tc>
                <w:tcPr>
                  <w:tcW w:w="1154" w:type="dxa"/>
                  <w:tcBorders>
                    <w:tl2br w:val="nil"/>
                    <w:tr2bl w:val="nil"/>
                  </w:tcBorders>
                  <w:shd w:val="clear" w:color="auto" w:fill="auto"/>
                  <w:vAlign w:val="center"/>
                </w:tcPr>
                <w:p w14:paraId="4FEA903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0.007</w:t>
                  </w:r>
                </w:p>
              </w:tc>
              <w:tc>
                <w:tcPr>
                  <w:tcW w:w="831" w:type="dxa"/>
                  <w:vMerge w:val="continue"/>
                  <w:tcBorders>
                    <w:tl2br w:val="nil"/>
                    <w:tr2bl w:val="nil"/>
                  </w:tcBorders>
                  <w:shd w:val="clear" w:color="auto" w:fill="auto"/>
                  <w:vAlign w:val="center"/>
                </w:tcPr>
                <w:p w14:paraId="4592C27D">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1" w:type="dxa"/>
                  <w:vMerge w:val="continue"/>
                  <w:tcBorders>
                    <w:tl2br w:val="nil"/>
                    <w:tr2bl w:val="nil"/>
                  </w:tcBorders>
                  <w:shd w:val="clear" w:color="auto" w:fill="auto"/>
                  <w:vAlign w:val="center"/>
                </w:tcPr>
                <w:p w14:paraId="28F46068">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05" w:type="dxa"/>
                  <w:tcBorders>
                    <w:tl2br w:val="nil"/>
                    <w:tr2bl w:val="nil"/>
                  </w:tcBorders>
                  <w:shd w:val="clear" w:color="auto" w:fill="auto"/>
                  <w:vAlign w:val="center"/>
                </w:tcPr>
                <w:p w14:paraId="2B2D85D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r>
            <w:tr w14:paraId="409B443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3" w:hRule="atLeast"/>
                <w:jc w:val="center"/>
              </w:trPr>
              <w:tc>
                <w:tcPr>
                  <w:tcW w:w="830" w:type="dxa"/>
                  <w:vMerge w:val="continue"/>
                  <w:tcBorders>
                    <w:tl2br w:val="nil"/>
                    <w:tr2bl w:val="nil"/>
                  </w:tcBorders>
                  <w:shd w:val="clear" w:color="auto" w:fill="auto"/>
                  <w:vAlign w:val="center"/>
                </w:tcPr>
                <w:p w14:paraId="40337609">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64C75D8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TN</w:t>
                  </w:r>
                </w:p>
              </w:tc>
              <w:tc>
                <w:tcPr>
                  <w:tcW w:w="830" w:type="dxa"/>
                  <w:vMerge w:val="continue"/>
                  <w:tcBorders>
                    <w:tl2br w:val="nil"/>
                    <w:tr2bl w:val="nil"/>
                  </w:tcBorders>
                  <w:shd w:val="clear" w:color="auto" w:fill="auto"/>
                  <w:vAlign w:val="center"/>
                </w:tcPr>
                <w:p w14:paraId="7119F482">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830" w:type="dxa"/>
                  <w:tcBorders>
                    <w:tl2br w:val="nil"/>
                    <w:tr2bl w:val="nil"/>
                  </w:tcBorders>
                  <w:shd w:val="clear" w:color="auto" w:fill="auto"/>
                  <w:vAlign w:val="center"/>
                </w:tcPr>
                <w:p w14:paraId="78F912F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35</w:t>
                  </w:r>
                </w:p>
              </w:tc>
              <w:tc>
                <w:tcPr>
                  <w:tcW w:w="1743" w:type="dxa"/>
                  <w:tcBorders>
                    <w:tl2br w:val="nil"/>
                    <w:tr2bl w:val="nil"/>
                  </w:tcBorders>
                  <w:shd w:val="clear" w:color="auto" w:fill="auto"/>
                  <w:noWrap/>
                  <w:vAlign w:val="center"/>
                </w:tcPr>
                <w:p w14:paraId="65E8DE3F">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0.01</w:t>
                  </w:r>
                </w:p>
              </w:tc>
              <w:tc>
                <w:tcPr>
                  <w:tcW w:w="1153" w:type="dxa"/>
                  <w:vMerge w:val="continue"/>
                  <w:tcBorders>
                    <w:tl2br w:val="nil"/>
                    <w:tr2bl w:val="nil"/>
                  </w:tcBorders>
                  <w:shd w:val="clear" w:color="auto" w:fill="auto"/>
                  <w:vAlign w:val="center"/>
                </w:tcPr>
                <w:p w14:paraId="06A97273">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153" w:type="dxa"/>
                  <w:tcBorders>
                    <w:tl2br w:val="nil"/>
                    <w:tr2bl w:val="nil"/>
                  </w:tcBorders>
                  <w:shd w:val="clear" w:color="auto" w:fill="auto"/>
                  <w:vAlign w:val="center"/>
                </w:tcPr>
                <w:p w14:paraId="14B5F25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8</w:t>
                  </w:r>
                </w:p>
              </w:tc>
              <w:tc>
                <w:tcPr>
                  <w:tcW w:w="1153" w:type="dxa"/>
                  <w:vMerge w:val="continue"/>
                  <w:tcBorders>
                    <w:tl2br w:val="nil"/>
                    <w:tr2bl w:val="nil"/>
                  </w:tcBorders>
                  <w:shd w:val="clear" w:color="auto" w:fill="auto"/>
                  <w:vAlign w:val="center"/>
                </w:tcPr>
                <w:p w14:paraId="0C5107F9">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5331F4C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32.2</w:t>
                  </w:r>
                </w:p>
              </w:tc>
              <w:tc>
                <w:tcPr>
                  <w:tcW w:w="1154" w:type="dxa"/>
                  <w:tcBorders>
                    <w:tl2br w:val="nil"/>
                    <w:tr2bl w:val="nil"/>
                  </w:tcBorders>
                  <w:shd w:val="clear" w:color="auto" w:fill="auto"/>
                  <w:vAlign w:val="center"/>
                </w:tcPr>
                <w:p w14:paraId="09C5654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0.0093</w:t>
                  </w:r>
                </w:p>
              </w:tc>
              <w:tc>
                <w:tcPr>
                  <w:tcW w:w="831" w:type="dxa"/>
                  <w:vMerge w:val="continue"/>
                  <w:tcBorders>
                    <w:tl2br w:val="nil"/>
                    <w:tr2bl w:val="nil"/>
                  </w:tcBorders>
                  <w:shd w:val="clear" w:color="auto" w:fill="auto"/>
                  <w:vAlign w:val="center"/>
                </w:tcPr>
                <w:p w14:paraId="145CA800">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1" w:type="dxa"/>
                  <w:vMerge w:val="continue"/>
                  <w:tcBorders>
                    <w:tl2br w:val="nil"/>
                    <w:tr2bl w:val="nil"/>
                  </w:tcBorders>
                  <w:shd w:val="clear" w:color="auto" w:fill="auto"/>
                  <w:vAlign w:val="center"/>
                </w:tcPr>
                <w:p w14:paraId="7F2FC19F">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05" w:type="dxa"/>
                  <w:tcBorders>
                    <w:tl2br w:val="nil"/>
                    <w:tr2bl w:val="nil"/>
                  </w:tcBorders>
                  <w:shd w:val="clear" w:color="auto" w:fill="auto"/>
                  <w:vAlign w:val="center"/>
                </w:tcPr>
                <w:p w14:paraId="4362513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r>
            <w:tr w14:paraId="3014B21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3" w:hRule="atLeast"/>
                <w:jc w:val="center"/>
              </w:trPr>
              <w:tc>
                <w:tcPr>
                  <w:tcW w:w="830" w:type="dxa"/>
                  <w:vMerge w:val="continue"/>
                  <w:tcBorders>
                    <w:tl2br w:val="nil"/>
                    <w:tr2bl w:val="nil"/>
                  </w:tcBorders>
                  <w:shd w:val="clear" w:color="auto" w:fill="auto"/>
                  <w:vAlign w:val="center"/>
                </w:tcPr>
                <w:p w14:paraId="1FB19900">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5025F81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TP</w:t>
                  </w:r>
                </w:p>
              </w:tc>
              <w:tc>
                <w:tcPr>
                  <w:tcW w:w="830" w:type="dxa"/>
                  <w:vMerge w:val="continue"/>
                  <w:tcBorders>
                    <w:tl2br w:val="nil"/>
                    <w:tr2bl w:val="nil"/>
                  </w:tcBorders>
                  <w:shd w:val="clear" w:color="auto" w:fill="auto"/>
                  <w:vAlign w:val="center"/>
                </w:tcPr>
                <w:p w14:paraId="19CB78A9">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830" w:type="dxa"/>
                  <w:tcBorders>
                    <w:tl2br w:val="nil"/>
                    <w:tr2bl w:val="nil"/>
                  </w:tcBorders>
                  <w:shd w:val="clear" w:color="auto" w:fill="auto"/>
                  <w:vAlign w:val="center"/>
                </w:tcPr>
                <w:p w14:paraId="60952D3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w:t>
                  </w:r>
                </w:p>
              </w:tc>
              <w:tc>
                <w:tcPr>
                  <w:tcW w:w="1743" w:type="dxa"/>
                  <w:tcBorders>
                    <w:tl2br w:val="nil"/>
                    <w:tr2bl w:val="nil"/>
                  </w:tcBorders>
                  <w:shd w:val="clear" w:color="auto" w:fill="auto"/>
                  <w:noWrap/>
                  <w:vAlign w:val="center"/>
                </w:tcPr>
                <w:p w14:paraId="18B428A0">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0.0006</w:t>
                  </w:r>
                </w:p>
              </w:tc>
              <w:tc>
                <w:tcPr>
                  <w:tcW w:w="1153" w:type="dxa"/>
                  <w:vMerge w:val="continue"/>
                  <w:tcBorders>
                    <w:tl2br w:val="nil"/>
                    <w:tr2bl w:val="nil"/>
                  </w:tcBorders>
                  <w:shd w:val="clear" w:color="auto" w:fill="auto"/>
                  <w:vAlign w:val="center"/>
                </w:tcPr>
                <w:p w14:paraId="1D51A798">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153" w:type="dxa"/>
                  <w:tcBorders>
                    <w:tl2br w:val="nil"/>
                    <w:tr2bl w:val="nil"/>
                  </w:tcBorders>
                  <w:shd w:val="clear" w:color="auto" w:fill="auto"/>
                  <w:vAlign w:val="center"/>
                </w:tcPr>
                <w:p w14:paraId="1C18C71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7</w:t>
                  </w:r>
                </w:p>
              </w:tc>
              <w:tc>
                <w:tcPr>
                  <w:tcW w:w="1153" w:type="dxa"/>
                  <w:vMerge w:val="continue"/>
                  <w:tcBorders>
                    <w:tl2br w:val="nil"/>
                    <w:tr2bl w:val="nil"/>
                  </w:tcBorders>
                  <w:shd w:val="clear" w:color="auto" w:fill="auto"/>
                  <w:vAlign w:val="center"/>
                </w:tcPr>
                <w:p w14:paraId="0DA4CACA">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6153304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1.86</w:t>
                  </w:r>
                </w:p>
              </w:tc>
              <w:tc>
                <w:tcPr>
                  <w:tcW w:w="1154" w:type="dxa"/>
                  <w:tcBorders>
                    <w:tl2br w:val="nil"/>
                    <w:tr2bl w:val="nil"/>
                  </w:tcBorders>
                  <w:shd w:val="clear" w:color="auto" w:fill="auto"/>
                  <w:vAlign w:val="center"/>
                </w:tcPr>
                <w:p w14:paraId="42977D7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0.00054</w:t>
                  </w:r>
                </w:p>
              </w:tc>
              <w:tc>
                <w:tcPr>
                  <w:tcW w:w="831" w:type="dxa"/>
                  <w:vMerge w:val="continue"/>
                  <w:tcBorders>
                    <w:tl2br w:val="nil"/>
                    <w:tr2bl w:val="nil"/>
                  </w:tcBorders>
                  <w:shd w:val="clear" w:color="auto" w:fill="auto"/>
                  <w:vAlign w:val="center"/>
                </w:tcPr>
                <w:p w14:paraId="2738E5EA">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1" w:type="dxa"/>
                  <w:vMerge w:val="continue"/>
                  <w:tcBorders>
                    <w:tl2br w:val="nil"/>
                    <w:tr2bl w:val="nil"/>
                  </w:tcBorders>
                  <w:shd w:val="clear" w:color="auto" w:fill="auto"/>
                  <w:vAlign w:val="center"/>
                </w:tcPr>
                <w:p w14:paraId="4B64F40C">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05" w:type="dxa"/>
                  <w:tcBorders>
                    <w:tl2br w:val="nil"/>
                    <w:tr2bl w:val="nil"/>
                  </w:tcBorders>
                  <w:shd w:val="clear" w:color="auto" w:fill="auto"/>
                  <w:vAlign w:val="center"/>
                </w:tcPr>
                <w:p w14:paraId="0F32A79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w:t>
                  </w:r>
                </w:p>
              </w:tc>
            </w:tr>
            <w:tr w14:paraId="091B108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830" w:type="dxa"/>
                  <w:vMerge w:val="restart"/>
                  <w:tcBorders>
                    <w:tl2br w:val="nil"/>
                    <w:tr2bl w:val="nil"/>
                  </w:tcBorders>
                  <w:shd w:val="clear" w:color="auto" w:fill="auto"/>
                  <w:vAlign w:val="center"/>
                </w:tcPr>
                <w:p w14:paraId="524D54E3">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洗车废水</w:t>
                  </w:r>
                </w:p>
              </w:tc>
              <w:tc>
                <w:tcPr>
                  <w:tcW w:w="830" w:type="dxa"/>
                  <w:tcBorders>
                    <w:tl2br w:val="nil"/>
                    <w:tr2bl w:val="nil"/>
                  </w:tcBorders>
                  <w:shd w:val="clear" w:color="auto" w:fill="auto"/>
                  <w:vAlign w:val="center"/>
                </w:tcPr>
                <w:p w14:paraId="2A4FC46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COD</w:t>
                  </w:r>
                  <w:r>
                    <w:rPr>
                      <w:rFonts w:hint="default"/>
                      <w:caps w:val="0"/>
                      <w:color w:val="auto"/>
                      <w:spacing w:val="0"/>
                      <w:position w:val="0"/>
                      <w:highlight w:val="none"/>
                      <w:vertAlign w:val="subscript"/>
                      <w:lang w:val="en-US" w:eastAsia="zh-CN"/>
                    </w:rPr>
                    <w:t>Cr</w:t>
                  </w:r>
                </w:p>
              </w:tc>
              <w:tc>
                <w:tcPr>
                  <w:tcW w:w="830" w:type="dxa"/>
                  <w:vMerge w:val="restart"/>
                  <w:tcBorders>
                    <w:tl2br w:val="nil"/>
                    <w:tr2bl w:val="nil"/>
                  </w:tcBorders>
                  <w:shd w:val="clear" w:color="auto" w:fill="auto"/>
                  <w:vAlign w:val="center"/>
                </w:tcPr>
                <w:p w14:paraId="23FF8077">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408</w:t>
                  </w:r>
                </w:p>
              </w:tc>
              <w:tc>
                <w:tcPr>
                  <w:tcW w:w="830" w:type="dxa"/>
                  <w:tcBorders>
                    <w:tl2br w:val="nil"/>
                    <w:tr2bl w:val="nil"/>
                  </w:tcBorders>
                  <w:shd w:val="clear" w:color="auto" w:fill="auto"/>
                  <w:vAlign w:val="center"/>
                </w:tcPr>
                <w:p w14:paraId="2373200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40</w:t>
                  </w:r>
                </w:p>
              </w:tc>
              <w:tc>
                <w:tcPr>
                  <w:tcW w:w="1743" w:type="dxa"/>
                  <w:tcBorders>
                    <w:tl2br w:val="nil"/>
                    <w:tr2bl w:val="nil"/>
                  </w:tcBorders>
                  <w:shd w:val="clear" w:color="auto" w:fill="auto"/>
                  <w:noWrap/>
                  <w:vAlign w:val="center"/>
                </w:tcPr>
                <w:p w14:paraId="666071A6">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default"/>
                      <w:caps w:val="0"/>
                      <w:color w:val="auto"/>
                      <w:spacing w:val="0"/>
                      <w:position w:val="0"/>
                      <w:highlight w:val="none"/>
                      <w:lang w:val="en-US" w:eastAsia="zh-CN"/>
                    </w:rPr>
                    <w:t>0.01632</w:t>
                  </w:r>
                </w:p>
              </w:tc>
              <w:tc>
                <w:tcPr>
                  <w:tcW w:w="1153" w:type="dxa"/>
                  <w:vMerge w:val="restart"/>
                  <w:tcBorders>
                    <w:tl2br w:val="nil"/>
                    <w:tr2bl w:val="nil"/>
                  </w:tcBorders>
                  <w:shd w:val="clear" w:color="auto" w:fill="auto"/>
                  <w:vAlign w:val="center"/>
                </w:tcPr>
                <w:p w14:paraId="440499D2">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氧化</w:t>
                  </w:r>
                  <w:r>
                    <w:rPr>
                      <w:rFonts w:hint="default"/>
                      <w:caps w:val="0"/>
                      <w:color w:val="auto"/>
                      <w:spacing w:val="0"/>
                      <w:position w:val="0"/>
                      <w:highlight w:val="none"/>
                      <w:lang w:val="en-US" w:eastAsia="zh-CN"/>
                    </w:rPr>
                    <w:t>+</w:t>
                  </w:r>
                  <w:r>
                    <w:rPr>
                      <w:rFonts w:hint="eastAsia"/>
                      <w:caps w:val="0"/>
                      <w:color w:val="auto"/>
                      <w:spacing w:val="0"/>
                      <w:position w:val="0"/>
                      <w:highlight w:val="none"/>
                      <w:lang w:val="en-US" w:eastAsia="zh-CN"/>
                    </w:rPr>
                    <w:t>絮凝沉淀</w:t>
                  </w:r>
                </w:p>
              </w:tc>
              <w:tc>
                <w:tcPr>
                  <w:tcW w:w="1153" w:type="dxa"/>
                  <w:tcBorders>
                    <w:tl2br w:val="nil"/>
                    <w:tr2bl w:val="nil"/>
                  </w:tcBorders>
                  <w:shd w:val="clear" w:color="auto" w:fill="auto"/>
                  <w:vAlign w:val="center"/>
                </w:tcPr>
                <w:p w14:paraId="512F486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35</w:t>
                  </w:r>
                </w:p>
              </w:tc>
              <w:tc>
                <w:tcPr>
                  <w:tcW w:w="1153" w:type="dxa"/>
                  <w:vMerge w:val="continue"/>
                  <w:tcBorders>
                    <w:tl2br w:val="nil"/>
                    <w:tr2bl w:val="nil"/>
                  </w:tcBorders>
                  <w:shd w:val="clear" w:color="auto" w:fill="auto"/>
                  <w:vAlign w:val="center"/>
                </w:tcPr>
                <w:p w14:paraId="5F3AC21B">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3DA3E44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26</w:t>
                  </w:r>
                </w:p>
              </w:tc>
              <w:tc>
                <w:tcPr>
                  <w:tcW w:w="1154" w:type="dxa"/>
                  <w:tcBorders>
                    <w:tl2br w:val="nil"/>
                    <w:tr2bl w:val="nil"/>
                  </w:tcBorders>
                  <w:shd w:val="clear" w:color="auto" w:fill="auto"/>
                  <w:vAlign w:val="center"/>
                </w:tcPr>
                <w:p w14:paraId="287769A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0.011</w:t>
                  </w:r>
                </w:p>
              </w:tc>
              <w:tc>
                <w:tcPr>
                  <w:tcW w:w="831" w:type="dxa"/>
                  <w:vMerge w:val="restart"/>
                  <w:tcBorders>
                    <w:tl2br w:val="nil"/>
                    <w:tr2bl w:val="nil"/>
                  </w:tcBorders>
                  <w:shd w:val="clear" w:color="auto" w:fill="auto"/>
                  <w:vAlign w:val="center"/>
                </w:tcPr>
                <w:p w14:paraId="4A324539">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不外排</w:t>
                  </w:r>
                </w:p>
              </w:tc>
              <w:tc>
                <w:tcPr>
                  <w:tcW w:w="831" w:type="dxa"/>
                  <w:vMerge w:val="restart"/>
                  <w:tcBorders>
                    <w:tl2br w:val="nil"/>
                    <w:tr2bl w:val="nil"/>
                  </w:tcBorders>
                  <w:shd w:val="clear" w:color="auto" w:fill="auto"/>
                  <w:vAlign w:val="center"/>
                </w:tcPr>
                <w:p w14:paraId="66B385F9">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回用于搅拌</w:t>
                  </w:r>
                </w:p>
              </w:tc>
              <w:tc>
                <w:tcPr>
                  <w:tcW w:w="1205" w:type="dxa"/>
                  <w:tcBorders>
                    <w:tl2br w:val="nil"/>
                    <w:tr2bl w:val="nil"/>
                  </w:tcBorders>
                  <w:shd w:val="clear" w:color="auto" w:fill="auto"/>
                  <w:vAlign w:val="center"/>
                </w:tcPr>
                <w:p w14:paraId="0F52520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50</w:t>
                  </w:r>
                </w:p>
              </w:tc>
            </w:tr>
            <w:tr w14:paraId="1A15564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7" w:hRule="atLeast"/>
                <w:jc w:val="center"/>
              </w:trPr>
              <w:tc>
                <w:tcPr>
                  <w:tcW w:w="830" w:type="dxa"/>
                  <w:vMerge w:val="continue"/>
                  <w:tcBorders>
                    <w:tl2br w:val="nil"/>
                    <w:tr2bl w:val="nil"/>
                  </w:tcBorders>
                  <w:shd w:val="clear" w:color="auto" w:fill="auto"/>
                  <w:vAlign w:val="center"/>
                </w:tcPr>
                <w:p w14:paraId="4144C336">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54BA36C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SS</w:t>
                  </w:r>
                </w:p>
              </w:tc>
              <w:tc>
                <w:tcPr>
                  <w:tcW w:w="830" w:type="dxa"/>
                  <w:vMerge w:val="continue"/>
                  <w:tcBorders>
                    <w:tl2br w:val="nil"/>
                    <w:tr2bl w:val="nil"/>
                  </w:tcBorders>
                  <w:shd w:val="clear" w:color="auto" w:fill="auto"/>
                  <w:vAlign w:val="center"/>
                </w:tcPr>
                <w:p w14:paraId="429A3EC5">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830" w:type="dxa"/>
                  <w:tcBorders>
                    <w:tl2br w:val="nil"/>
                    <w:tr2bl w:val="nil"/>
                  </w:tcBorders>
                  <w:shd w:val="clear" w:color="auto" w:fill="auto"/>
                  <w:vAlign w:val="center"/>
                </w:tcPr>
                <w:p w14:paraId="681F035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400</w:t>
                  </w:r>
                </w:p>
              </w:tc>
              <w:tc>
                <w:tcPr>
                  <w:tcW w:w="1743" w:type="dxa"/>
                  <w:tcBorders>
                    <w:tl2br w:val="nil"/>
                    <w:tr2bl w:val="nil"/>
                  </w:tcBorders>
                  <w:shd w:val="clear" w:color="auto" w:fill="auto"/>
                  <w:noWrap/>
                  <w:vAlign w:val="center"/>
                </w:tcPr>
                <w:p w14:paraId="458A7B30">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default"/>
                      <w:caps w:val="0"/>
                      <w:color w:val="auto"/>
                      <w:spacing w:val="0"/>
                      <w:position w:val="0"/>
                      <w:highlight w:val="none"/>
                      <w:lang w:val="en-US" w:eastAsia="zh-CN"/>
                    </w:rPr>
                    <w:t>0.1632</w:t>
                  </w:r>
                </w:p>
              </w:tc>
              <w:tc>
                <w:tcPr>
                  <w:tcW w:w="1153" w:type="dxa"/>
                  <w:vMerge w:val="continue"/>
                  <w:tcBorders>
                    <w:tl2br w:val="nil"/>
                    <w:tr2bl w:val="nil"/>
                  </w:tcBorders>
                  <w:shd w:val="clear" w:color="auto" w:fill="auto"/>
                  <w:vAlign w:val="center"/>
                </w:tcPr>
                <w:p w14:paraId="26017F18">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153" w:type="dxa"/>
                  <w:tcBorders>
                    <w:tl2br w:val="nil"/>
                    <w:tr2bl w:val="nil"/>
                  </w:tcBorders>
                  <w:shd w:val="clear" w:color="auto" w:fill="auto"/>
                  <w:vAlign w:val="center"/>
                </w:tcPr>
                <w:p w14:paraId="5B0664F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95</w:t>
                  </w:r>
                </w:p>
              </w:tc>
              <w:tc>
                <w:tcPr>
                  <w:tcW w:w="1153" w:type="dxa"/>
                  <w:vMerge w:val="continue"/>
                  <w:tcBorders>
                    <w:tl2br w:val="nil"/>
                    <w:tr2bl w:val="nil"/>
                  </w:tcBorders>
                  <w:shd w:val="clear" w:color="auto" w:fill="auto"/>
                  <w:vAlign w:val="center"/>
                </w:tcPr>
                <w:p w14:paraId="326860E0">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7A6F8C5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20</w:t>
                  </w:r>
                </w:p>
              </w:tc>
              <w:tc>
                <w:tcPr>
                  <w:tcW w:w="1154" w:type="dxa"/>
                  <w:tcBorders>
                    <w:tl2br w:val="nil"/>
                    <w:tr2bl w:val="nil"/>
                  </w:tcBorders>
                  <w:shd w:val="clear" w:color="auto" w:fill="auto"/>
                  <w:vAlign w:val="center"/>
                </w:tcPr>
                <w:p w14:paraId="4E341DF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0.0082</w:t>
                  </w:r>
                </w:p>
              </w:tc>
              <w:tc>
                <w:tcPr>
                  <w:tcW w:w="831" w:type="dxa"/>
                  <w:vMerge w:val="continue"/>
                  <w:tcBorders>
                    <w:tl2br w:val="nil"/>
                    <w:tr2bl w:val="nil"/>
                  </w:tcBorders>
                  <w:shd w:val="clear" w:color="auto" w:fill="auto"/>
                  <w:vAlign w:val="center"/>
                </w:tcPr>
                <w:p w14:paraId="1A2685DF">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1" w:type="dxa"/>
                  <w:vMerge w:val="continue"/>
                  <w:tcBorders>
                    <w:tl2br w:val="nil"/>
                    <w:tr2bl w:val="nil"/>
                  </w:tcBorders>
                  <w:shd w:val="clear" w:color="auto" w:fill="auto"/>
                  <w:vAlign w:val="center"/>
                </w:tcPr>
                <w:p w14:paraId="643B84E7">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05" w:type="dxa"/>
                  <w:tcBorders>
                    <w:tl2br w:val="nil"/>
                    <w:tr2bl w:val="nil"/>
                  </w:tcBorders>
                  <w:shd w:val="clear" w:color="auto" w:fill="auto"/>
                  <w:vAlign w:val="center"/>
                </w:tcPr>
                <w:p w14:paraId="56C30B0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100</w:t>
                  </w:r>
                </w:p>
              </w:tc>
            </w:tr>
            <w:tr w14:paraId="17A8EB6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3" w:hRule="atLeast"/>
                <w:jc w:val="center"/>
              </w:trPr>
              <w:tc>
                <w:tcPr>
                  <w:tcW w:w="830" w:type="dxa"/>
                  <w:vMerge w:val="continue"/>
                  <w:tcBorders>
                    <w:tl2br w:val="nil"/>
                    <w:tr2bl w:val="nil"/>
                  </w:tcBorders>
                  <w:shd w:val="clear" w:color="auto" w:fill="auto"/>
                  <w:vAlign w:val="center"/>
                </w:tcPr>
                <w:p w14:paraId="2449663D">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56988B78">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石油类</w:t>
                  </w:r>
                </w:p>
              </w:tc>
              <w:tc>
                <w:tcPr>
                  <w:tcW w:w="830" w:type="dxa"/>
                  <w:vMerge w:val="continue"/>
                  <w:tcBorders>
                    <w:tl2br w:val="nil"/>
                    <w:tr2bl w:val="nil"/>
                  </w:tcBorders>
                  <w:shd w:val="clear" w:color="auto" w:fill="auto"/>
                  <w:vAlign w:val="center"/>
                </w:tcPr>
                <w:p w14:paraId="510A6FCD">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830" w:type="dxa"/>
                  <w:tcBorders>
                    <w:tl2br w:val="nil"/>
                    <w:tr2bl w:val="nil"/>
                  </w:tcBorders>
                  <w:shd w:val="clear" w:color="auto" w:fill="auto"/>
                  <w:vAlign w:val="center"/>
                </w:tcPr>
                <w:p w14:paraId="1108C1E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w:t>
                  </w:r>
                </w:p>
              </w:tc>
              <w:tc>
                <w:tcPr>
                  <w:tcW w:w="1743" w:type="dxa"/>
                  <w:tcBorders>
                    <w:tl2br w:val="nil"/>
                    <w:tr2bl w:val="nil"/>
                  </w:tcBorders>
                  <w:shd w:val="clear" w:color="auto" w:fill="auto"/>
                  <w:noWrap/>
                  <w:vAlign w:val="center"/>
                </w:tcPr>
                <w:p w14:paraId="46365798">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default"/>
                      <w:caps w:val="0"/>
                      <w:color w:val="auto"/>
                      <w:spacing w:val="0"/>
                      <w:position w:val="0"/>
                      <w:highlight w:val="none"/>
                      <w:lang w:val="en-US" w:eastAsia="zh-CN"/>
                    </w:rPr>
                    <w:t>0.00041</w:t>
                  </w:r>
                </w:p>
              </w:tc>
              <w:tc>
                <w:tcPr>
                  <w:tcW w:w="1153" w:type="dxa"/>
                  <w:vMerge w:val="continue"/>
                  <w:tcBorders>
                    <w:tl2br w:val="nil"/>
                    <w:tr2bl w:val="nil"/>
                  </w:tcBorders>
                  <w:shd w:val="clear" w:color="auto" w:fill="auto"/>
                  <w:vAlign w:val="center"/>
                </w:tcPr>
                <w:p w14:paraId="50A1FBB2">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153" w:type="dxa"/>
                  <w:tcBorders>
                    <w:tl2br w:val="nil"/>
                    <w:tr2bl w:val="nil"/>
                  </w:tcBorders>
                  <w:shd w:val="clear" w:color="auto" w:fill="auto"/>
                  <w:vAlign w:val="center"/>
                </w:tcPr>
                <w:p w14:paraId="0EEECE0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40</w:t>
                  </w:r>
                </w:p>
              </w:tc>
              <w:tc>
                <w:tcPr>
                  <w:tcW w:w="1153" w:type="dxa"/>
                  <w:vMerge w:val="continue"/>
                  <w:tcBorders>
                    <w:tl2br w:val="nil"/>
                    <w:tr2bl w:val="nil"/>
                  </w:tcBorders>
                  <w:shd w:val="clear" w:color="auto" w:fill="auto"/>
                  <w:vAlign w:val="center"/>
                </w:tcPr>
                <w:p w14:paraId="6E862712">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5EECF12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0.6</w:t>
                  </w:r>
                </w:p>
              </w:tc>
              <w:tc>
                <w:tcPr>
                  <w:tcW w:w="1154" w:type="dxa"/>
                  <w:tcBorders>
                    <w:tl2br w:val="nil"/>
                    <w:tr2bl w:val="nil"/>
                  </w:tcBorders>
                  <w:shd w:val="clear" w:color="auto" w:fill="auto"/>
                  <w:vAlign w:val="center"/>
                </w:tcPr>
                <w:p w14:paraId="1CC8DC1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0.00025</w:t>
                  </w:r>
                </w:p>
              </w:tc>
              <w:tc>
                <w:tcPr>
                  <w:tcW w:w="831" w:type="dxa"/>
                  <w:vMerge w:val="continue"/>
                  <w:tcBorders>
                    <w:tl2br w:val="nil"/>
                    <w:tr2bl w:val="nil"/>
                  </w:tcBorders>
                  <w:shd w:val="clear" w:color="auto" w:fill="auto"/>
                  <w:vAlign w:val="center"/>
                </w:tcPr>
                <w:p w14:paraId="622CC434">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1" w:type="dxa"/>
                  <w:vMerge w:val="continue"/>
                  <w:tcBorders>
                    <w:tl2br w:val="nil"/>
                    <w:tr2bl w:val="nil"/>
                  </w:tcBorders>
                  <w:shd w:val="clear" w:color="auto" w:fill="auto"/>
                  <w:vAlign w:val="center"/>
                </w:tcPr>
                <w:p w14:paraId="1F210A26">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05" w:type="dxa"/>
                  <w:tcBorders>
                    <w:tl2br w:val="nil"/>
                    <w:tr2bl w:val="nil"/>
                  </w:tcBorders>
                  <w:shd w:val="clear" w:color="auto" w:fill="auto"/>
                  <w:vAlign w:val="center"/>
                </w:tcPr>
                <w:p w14:paraId="3E0FAD7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w:t>
                  </w:r>
                </w:p>
              </w:tc>
            </w:tr>
            <w:tr w14:paraId="2D525E4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3" w:hRule="atLeast"/>
                <w:jc w:val="center"/>
              </w:trPr>
              <w:tc>
                <w:tcPr>
                  <w:tcW w:w="830" w:type="dxa"/>
                  <w:vMerge w:val="continue"/>
                  <w:tcBorders>
                    <w:tl2br w:val="nil"/>
                    <w:tr2bl w:val="nil"/>
                  </w:tcBorders>
                  <w:shd w:val="clear" w:color="auto" w:fill="auto"/>
                  <w:vAlign w:val="center"/>
                </w:tcPr>
                <w:p w14:paraId="35950D95">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1D59BCBC">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总铍</w:t>
                  </w:r>
                </w:p>
              </w:tc>
              <w:tc>
                <w:tcPr>
                  <w:tcW w:w="830" w:type="dxa"/>
                  <w:vMerge w:val="continue"/>
                  <w:tcBorders>
                    <w:tl2br w:val="nil"/>
                    <w:tr2bl w:val="nil"/>
                  </w:tcBorders>
                  <w:shd w:val="clear" w:color="auto" w:fill="auto"/>
                  <w:vAlign w:val="center"/>
                </w:tcPr>
                <w:p w14:paraId="6843D127">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830" w:type="dxa"/>
                  <w:tcBorders>
                    <w:tl2br w:val="nil"/>
                    <w:tr2bl w:val="nil"/>
                  </w:tcBorders>
                  <w:shd w:val="clear" w:color="auto" w:fill="auto"/>
                  <w:vAlign w:val="center"/>
                </w:tcPr>
                <w:p w14:paraId="6CCDCA2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0.005</w:t>
                  </w:r>
                </w:p>
              </w:tc>
              <w:tc>
                <w:tcPr>
                  <w:tcW w:w="1743" w:type="dxa"/>
                  <w:tcBorders>
                    <w:tl2br w:val="nil"/>
                    <w:tr2bl w:val="nil"/>
                  </w:tcBorders>
                  <w:shd w:val="clear" w:color="auto" w:fill="auto"/>
                  <w:noWrap/>
                  <w:vAlign w:val="center"/>
                </w:tcPr>
                <w:p w14:paraId="25BBB970">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default"/>
                      <w:caps w:val="0"/>
                      <w:color w:val="auto"/>
                      <w:spacing w:val="0"/>
                      <w:position w:val="0"/>
                      <w:highlight w:val="none"/>
                      <w:lang w:val="en-US" w:eastAsia="zh-CN"/>
                    </w:rPr>
                    <w:t>0.0000021</w:t>
                  </w:r>
                </w:p>
              </w:tc>
              <w:tc>
                <w:tcPr>
                  <w:tcW w:w="1153" w:type="dxa"/>
                  <w:vMerge w:val="continue"/>
                  <w:tcBorders>
                    <w:tl2br w:val="nil"/>
                    <w:tr2bl w:val="nil"/>
                  </w:tcBorders>
                  <w:shd w:val="clear" w:color="auto" w:fill="auto"/>
                  <w:vAlign w:val="center"/>
                </w:tcPr>
                <w:p w14:paraId="41FAB3CD">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153" w:type="dxa"/>
                  <w:tcBorders>
                    <w:tl2br w:val="nil"/>
                    <w:tr2bl w:val="nil"/>
                  </w:tcBorders>
                  <w:shd w:val="clear" w:color="auto" w:fill="auto"/>
                  <w:vAlign w:val="center"/>
                </w:tcPr>
                <w:p w14:paraId="64B0242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80</w:t>
                  </w:r>
                </w:p>
              </w:tc>
              <w:tc>
                <w:tcPr>
                  <w:tcW w:w="1153" w:type="dxa"/>
                  <w:vMerge w:val="continue"/>
                  <w:tcBorders>
                    <w:tl2br w:val="nil"/>
                    <w:tr2bl w:val="nil"/>
                  </w:tcBorders>
                  <w:shd w:val="clear" w:color="auto" w:fill="auto"/>
                  <w:vAlign w:val="center"/>
                </w:tcPr>
                <w:p w14:paraId="16975A31">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328E678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0.001</w:t>
                  </w:r>
                </w:p>
              </w:tc>
              <w:tc>
                <w:tcPr>
                  <w:tcW w:w="1154" w:type="dxa"/>
                  <w:tcBorders>
                    <w:tl2br w:val="nil"/>
                    <w:tr2bl w:val="nil"/>
                  </w:tcBorders>
                  <w:shd w:val="clear" w:color="auto" w:fill="auto"/>
                  <w:vAlign w:val="center"/>
                </w:tcPr>
                <w:p w14:paraId="31BC95F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0.00000041</w:t>
                  </w:r>
                </w:p>
              </w:tc>
              <w:tc>
                <w:tcPr>
                  <w:tcW w:w="831" w:type="dxa"/>
                  <w:vMerge w:val="continue"/>
                  <w:tcBorders>
                    <w:tl2br w:val="nil"/>
                    <w:tr2bl w:val="nil"/>
                  </w:tcBorders>
                  <w:shd w:val="clear" w:color="auto" w:fill="auto"/>
                  <w:vAlign w:val="center"/>
                </w:tcPr>
                <w:p w14:paraId="1F843417">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1" w:type="dxa"/>
                  <w:vMerge w:val="continue"/>
                  <w:tcBorders>
                    <w:tl2br w:val="nil"/>
                    <w:tr2bl w:val="nil"/>
                  </w:tcBorders>
                  <w:shd w:val="clear" w:color="auto" w:fill="auto"/>
                  <w:vAlign w:val="center"/>
                </w:tcPr>
                <w:p w14:paraId="1A83848E">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05" w:type="dxa"/>
                  <w:tcBorders>
                    <w:tl2br w:val="nil"/>
                    <w:tr2bl w:val="nil"/>
                  </w:tcBorders>
                  <w:shd w:val="clear" w:color="auto" w:fill="auto"/>
                  <w:vAlign w:val="center"/>
                </w:tcPr>
                <w:p w14:paraId="6C1320F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0.005</w:t>
                  </w:r>
                </w:p>
              </w:tc>
            </w:tr>
            <w:tr w14:paraId="6CDF6DB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3" w:hRule="atLeast"/>
                <w:jc w:val="center"/>
              </w:trPr>
              <w:tc>
                <w:tcPr>
                  <w:tcW w:w="830" w:type="dxa"/>
                  <w:vMerge w:val="continue"/>
                  <w:tcBorders>
                    <w:tl2br w:val="nil"/>
                    <w:tr2bl w:val="nil"/>
                  </w:tcBorders>
                  <w:shd w:val="clear" w:color="auto" w:fill="auto"/>
                  <w:vAlign w:val="center"/>
                </w:tcPr>
                <w:p w14:paraId="4D399CF9">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502715E3">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总铊</w:t>
                  </w:r>
                </w:p>
              </w:tc>
              <w:tc>
                <w:tcPr>
                  <w:tcW w:w="830" w:type="dxa"/>
                  <w:vMerge w:val="continue"/>
                  <w:tcBorders>
                    <w:tl2br w:val="nil"/>
                    <w:tr2bl w:val="nil"/>
                  </w:tcBorders>
                  <w:shd w:val="clear" w:color="auto" w:fill="auto"/>
                  <w:vAlign w:val="center"/>
                </w:tcPr>
                <w:p w14:paraId="7CB71536">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830" w:type="dxa"/>
                  <w:tcBorders>
                    <w:tl2br w:val="nil"/>
                    <w:tr2bl w:val="nil"/>
                  </w:tcBorders>
                  <w:shd w:val="clear" w:color="auto" w:fill="auto"/>
                  <w:vAlign w:val="center"/>
                </w:tcPr>
                <w:p w14:paraId="09DD833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0.01</w:t>
                  </w:r>
                </w:p>
              </w:tc>
              <w:tc>
                <w:tcPr>
                  <w:tcW w:w="1743" w:type="dxa"/>
                  <w:tcBorders>
                    <w:tl2br w:val="nil"/>
                    <w:tr2bl w:val="nil"/>
                  </w:tcBorders>
                  <w:shd w:val="clear" w:color="auto" w:fill="auto"/>
                  <w:noWrap/>
                  <w:vAlign w:val="center"/>
                </w:tcPr>
                <w:p w14:paraId="393C3864">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default"/>
                      <w:caps w:val="0"/>
                      <w:color w:val="auto"/>
                      <w:spacing w:val="0"/>
                      <w:position w:val="0"/>
                      <w:highlight w:val="none"/>
                      <w:lang w:val="en-US" w:eastAsia="zh-CN"/>
                    </w:rPr>
                    <w:t>0.0000041</w:t>
                  </w:r>
                </w:p>
              </w:tc>
              <w:tc>
                <w:tcPr>
                  <w:tcW w:w="1153" w:type="dxa"/>
                  <w:vMerge w:val="continue"/>
                  <w:tcBorders>
                    <w:tl2br w:val="nil"/>
                    <w:tr2bl w:val="nil"/>
                  </w:tcBorders>
                  <w:shd w:val="clear" w:color="auto" w:fill="auto"/>
                  <w:vAlign w:val="center"/>
                </w:tcPr>
                <w:p w14:paraId="2897566D">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153" w:type="dxa"/>
                  <w:tcBorders>
                    <w:tl2br w:val="nil"/>
                    <w:tr2bl w:val="nil"/>
                  </w:tcBorders>
                  <w:shd w:val="clear" w:color="auto" w:fill="auto"/>
                  <w:vAlign w:val="center"/>
                </w:tcPr>
                <w:p w14:paraId="27FD4F5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80</w:t>
                  </w:r>
                </w:p>
              </w:tc>
              <w:tc>
                <w:tcPr>
                  <w:tcW w:w="1153" w:type="dxa"/>
                  <w:vMerge w:val="continue"/>
                  <w:tcBorders>
                    <w:tl2br w:val="nil"/>
                    <w:tr2bl w:val="nil"/>
                  </w:tcBorders>
                  <w:shd w:val="clear" w:color="auto" w:fill="auto"/>
                  <w:vAlign w:val="center"/>
                </w:tcPr>
                <w:p w14:paraId="746812D1">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1A901F4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0.002</w:t>
                  </w:r>
                </w:p>
              </w:tc>
              <w:tc>
                <w:tcPr>
                  <w:tcW w:w="1154" w:type="dxa"/>
                  <w:tcBorders>
                    <w:tl2br w:val="nil"/>
                    <w:tr2bl w:val="nil"/>
                  </w:tcBorders>
                  <w:shd w:val="clear" w:color="auto" w:fill="auto"/>
                  <w:vAlign w:val="center"/>
                </w:tcPr>
                <w:p w14:paraId="1EFD600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0.00000082</w:t>
                  </w:r>
                </w:p>
              </w:tc>
              <w:tc>
                <w:tcPr>
                  <w:tcW w:w="831" w:type="dxa"/>
                  <w:vMerge w:val="continue"/>
                  <w:tcBorders>
                    <w:tl2br w:val="nil"/>
                    <w:tr2bl w:val="nil"/>
                  </w:tcBorders>
                  <w:shd w:val="clear" w:color="auto" w:fill="auto"/>
                  <w:vAlign w:val="center"/>
                </w:tcPr>
                <w:p w14:paraId="575279B8">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1" w:type="dxa"/>
                  <w:vMerge w:val="continue"/>
                  <w:tcBorders>
                    <w:tl2br w:val="nil"/>
                    <w:tr2bl w:val="nil"/>
                  </w:tcBorders>
                  <w:shd w:val="clear" w:color="auto" w:fill="auto"/>
                  <w:vAlign w:val="center"/>
                </w:tcPr>
                <w:p w14:paraId="79B653B3">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05" w:type="dxa"/>
                  <w:tcBorders>
                    <w:tl2br w:val="nil"/>
                    <w:tr2bl w:val="nil"/>
                  </w:tcBorders>
                  <w:shd w:val="clear" w:color="auto" w:fill="auto"/>
                  <w:vAlign w:val="center"/>
                </w:tcPr>
                <w:p w14:paraId="4A35891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w:t>
                  </w:r>
                  <w:r>
                    <w:rPr>
                      <w:rFonts w:hint="eastAsia"/>
                      <w:caps w:val="0"/>
                      <w:color w:val="auto"/>
                      <w:spacing w:val="0"/>
                      <w:position w:val="0"/>
                      <w:highlight w:val="none"/>
                      <w:lang w:val="en-US" w:eastAsia="zh-CN"/>
                    </w:rPr>
                    <w:t>5</w:t>
                  </w:r>
                </w:p>
              </w:tc>
            </w:tr>
            <w:tr w14:paraId="42739BA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3" w:hRule="atLeast"/>
                <w:jc w:val="center"/>
              </w:trPr>
              <w:tc>
                <w:tcPr>
                  <w:tcW w:w="830" w:type="dxa"/>
                  <w:vMerge w:val="continue"/>
                  <w:tcBorders>
                    <w:tl2br w:val="nil"/>
                    <w:tr2bl w:val="nil"/>
                  </w:tcBorders>
                  <w:shd w:val="clear" w:color="auto" w:fill="auto"/>
                  <w:vAlign w:val="center"/>
                </w:tcPr>
                <w:p w14:paraId="39D41B5D">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4E921C26">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氟化物</w:t>
                  </w:r>
                </w:p>
              </w:tc>
              <w:tc>
                <w:tcPr>
                  <w:tcW w:w="830" w:type="dxa"/>
                  <w:vMerge w:val="continue"/>
                  <w:tcBorders>
                    <w:tl2br w:val="nil"/>
                    <w:tr2bl w:val="nil"/>
                  </w:tcBorders>
                  <w:shd w:val="clear" w:color="auto" w:fill="auto"/>
                  <w:vAlign w:val="center"/>
                </w:tcPr>
                <w:p w14:paraId="4B9FA36C">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830" w:type="dxa"/>
                  <w:tcBorders>
                    <w:tl2br w:val="nil"/>
                    <w:tr2bl w:val="nil"/>
                  </w:tcBorders>
                  <w:shd w:val="clear" w:color="auto" w:fill="auto"/>
                  <w:vAlign w:val="center"/>
                </w:tcPr>
                <w:p w14:paraId="01CCFFF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5</w:t>
                  </w:r>
                </w:p>
              </w:tc>
              <w:tc>
                <w:tcPr>
                  <w:tcW w:w="1743" w:type="dxa"/>
                  <w:tcBorders>
                    <w:tl2br w:val="nil"/>
                    <w:tr2bl w:val="nil"/>
                  </w:tcBorders>
                  <w:shd w:val="clear" w:color="auto" w:fill="auto"/>
                  <w:noWrap/>
                  <w:vAlign w:val="center"/>
                </w:tcPr>
                <w:p w14:paraId="3F851498">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default"/>
                      <w:caps w:val="0"/>
                      <w:color w:val="auto"/>
                      <w:spacing w:val="0"/>
                      <w:position w:val="0"/>
                      <w:highlight w:val="none"/>
                      <w:lang w:val="en-US" w:eastAsia="zh-CN"/>
                    </w:rPr>
                    <w:t>0.0021</w:t>
                  </w:r>
                </w:p>
              </w:tc>
              <w:tc>
                <w:tcPr>
                  <w:tcW w:w="1153" w:type="dxa"/>
                  <w:vMerge w:val="continue"/>
                  <w:tcBorders>
                    <w:tl2br w:val="nil"/>
                    <w:tr2bl w:val="nil"/>
                  </w:tcBorders>
                  <w:shd w:val="clear" w:color="auto" w:fill="auto"/>
                  <w:vAlign w:val="center"/>
                </w:tcPr>
                <w:p w14:paraId="290164C8">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153" w:type="dxa"/>
                  <w:tcBorders>
                    <w:tl2br w:val="nil"/>
                    <w:tr2bl w:val="nil"/>
                  </w:tcBorders>
                  <w:shd w:val="clear" w:color="auto" w:fill="auto"/>
                  <w:vAlign w:val="center"/>
                </w:tcPr>
                <w:p w14:paraId="36AD606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80</w:t>
                  </w:r>
                </w:p>
              </w:tc>
              <w:tc>
                <w:tcPr>
                  <w:tcW w:w="1153" w:type="dxa"/>
                  <w:vMerge w:val="continue"/>
                  <w:tcBorders>
                    <w:tl2br w:val="nil"/>
                    <w:tr2bl w:val="nil"/>
                  </w:tcBorders>
                  <w:shd w:val="clear" w:color="auto" w:fill="auto"/>
                  <w:vAlign w:val="center"/>
                </w:tcPr>
                <w:p w14:paraId="4AE6A6DE">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7207684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w:t>
                  </w:r>
                </w:p>
              </w:tc>
              <w:tc>
                <w:tcPr>
                  <w:tcW w:w="1154" w:type="dxa"/>
                  <w:tcBorders>
                    <w:tl2br w:val="nil"/>
                    <w:tr2bl w:val="nil"/>
                  </w:tcBorders>
                  <w:shd w:val="clear" w:color="auto" w:fill="auto"/>
                  <w:vAlign w:val="center"/>
                </w:tcPr>
                <w:p w14:paraId="4815105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0.00041</w:t>
                  </w:r>
                </w:p>
              </w:tc>
              <w:tc>
                <w:tcPr>
                  <w:tcW w:w="831" w:type="dxa"/>
                  <w:vMerge w:val="continue"/>
                  <w:tcBorders>
                    <w:tl2br w:val="nil"/>
                    <w:tr2bl w:val="nil"/>
                  </w:tcBorders>
                  <w:shd w:val="clear" w:color="auto" w:fill="auto"/>
                  <w:vAlign w:val="center"/>
                </w:tcPr>
                <w:p w14:paraId="571EA573">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1" w:type="dxa"/>
                  <w:vMerge w:val="continue"/>
                  <w:tcBorders>
                    <w:tl2br w:val="nil"/>
                    <w:tr2bl w:val="nil"/>
                  </w:tcBorders>
                  <w:shd w:val="clear" w:color="auto" w:fill="auto"/>
                  <w:vAlign w:val="center"/>
                </w:tcPr>
                <w:p w14:paraId="0B91E8FD">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05" w:type="dxa"/>
                  <w:tcBorders>
                    <w:tl2br w:val="nil"/>
                    <w:tr2bl w:val="nil"/>
                  </w:tcBorders>
                  <w:shd w:val="clear" w:color="auto" w:fill="auto"/>
                  <w:vAlign w:val="center"/>
                </w:tcPr>
                <w:p w14:paraId="470E0AD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6</w:t>
                  </w:r>
                </w:p>
              </w:tc>
            </w:tr>
            <w:tr w14:paraId="475AE3A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91" w:hRule="atLeast"/>
                <w:jc w:val="center"/>
              </w:trPr>
              <w:tc>
                <w:tcPr>
                  <w:tcW w:w="830" w:type="dxa"/>
                  <w:tcBorders>
                    <w:tl2br w:val="nil"/>
                    <w:tr2bl w:val="nil"/>
                  </w:tcBorders>
                  <w:shd w:val="clear" w:color="auto" w:fill="auto"/>
                  <w:vAlign w:val="center"/>
                </w:tcPr>
                <w:p w14:paraId="5786B6BD">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养护废水</w:t>
                  </w:r>
                </w:p>
              </w:tc>
              <w:tc>
                <w:tcPr>
                  <w:tcW w:w="830" w:type="dxa"/>
                  <w:tcBorders>
                    <w:tl2br w:val="nil"/>
                    <w:tr2bl w:val="nil"/>
                  </w:tcBorders>
                  <w:shd w:val="clear" w:color="auto" w:fill="auto"/>
                  <w:vAlign w:val="center"/>
                </w:tcPr>
                <w:p w14:paraId="78FF564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SS</w:t>
                  </w:r>
                </w:p>
              </w:tc>
              <w:tc>
                <w:tcPr>
                  <w:tcW w:w="830" w:type="dxa"/>
                  <w:tcBorders>
                    <w:tl2br w:val="nil"/>
                    <w:tr2bl w:val="nil"/>
                  </w:tcBorders>
                  <w:shd w:val="clear" w:color="auto" w:fill="auto"/>
                  <w:vAlign w:val="center"/>
                </w:tcPr>
                <w:p w14:paraId="19C92A30">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1600</w:t>
                  </w:r>
                </w:p>
              </w:tc>
              <w:tc>
                <w:tcPr>
                  <w:tcW w:w="830" w:type="dxa"/>
                  <w:tcBorders>
                    <w:tl2br w:val="nil"/>
                    <w:tr2bl w:val="nil"/>
                  </w:tcBorders>
                  <w:shd w:val="clear" w:color="auto" w:fill="auto"/>
                  <w:vAlign w:val="center"/>
                </w:tcPr>
                <w:p w14:paraId="4D24D9C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200</w:t>
                  </w:r>
                </w:p>
              </w:tc>
              <w:tc>
                <w:tcPr>
                  <w:tcW w:w="1743" w:type="dxa"/>
                  <w:tcBorders>
                    <w:tl2br w:val="nil"/>
                    <w:tr2bl w:val="nil"/>
                  </w:tcBorders>
                  <w:shd w:val="clear" w:color="auto" w:fill="auto"/>
                  <w:noWrap/>
                  <w:vAlign w:val="center"/>
                </w:tcPr>
                <w:p w14:paraId="6FEFFC57">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default"/>
                      <w:caps w:val="0"/>
                      <w:color w:val="auto"/>
                      <w:spacing w:val="0"/>
                      <w:position w:val="0"/>
                      <w:highlight w:val="none"/>
                      <w:lang w:val="en-US" w:eastAsia="zh-CN"/>
                    </w:rPr>
                    <w:t>0.</w:t>
                  </w:r>
                  <w:r>
                    <w:rPr>
                      <w:rFonts w:hint="eastAsia"/>
                      <w:caps w:val="0"/>
                      <w:color w:val="auto"/>
                      <w:spacing w:val="0"/>
                      <w:position w:val="0"/>
                      <w:highlight w:val="none"/>
                      <w:lang w:val="en-US" w:eastAsia="zh-CN"/>
                    </w:rPr>
                    <w:t>32</w:t>
                  </w:r>
                </w:p>
              </w:tc>
              <w:tc>
                <w:tcPr>
                  <w:tcW w:w="1153" w:type="dxa"/>
                  <w:vMerge w:val="continue"/>
                  <w:tcBorders>
                    <w:tl2br w:val="nil"/>
                    <w:tr2bl w:val="nil"/>
                  </w:tcBorders>
                  <w:shd w:val="clear" w:color="auto" w:fill="auto"/>
                  <w:vAlign w:val="center"/>
                </w:tcPr>
                <w:p w14:paraId="0F7FDA29">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153" w:type="dxa"/>
                  <w:tcBorders>
                    <w:tl2br w:val="nil"/>
                    <w:tr2bl w:val="nil"/>
                  </w:tcBorders>
                  <w:shd w:val="clear" w:color="auto" w:fill="auto"/>
                  <w:vAlign w:val="center"/>
                </w:tcPr>
                <w:p w14:paraId="2845F5A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95</w:t>
                  </w:r>
                </w:p>
              </w:tc>
              <w:tc>
                <w:tcPr>
                  <w:tcW w:w="1153" w:type="dxa"/>
                  <w:vMerge w:val="continue"/>
                  <w:tcBorders>
                    <w:tl2br w:val="nil"/>
                    <w:tr2bl w:val="nil"/>
                  </w:tcBorders>
                  <w:shd w:val="clear" w:color="auto" w:fill="auto"/>
                  <w:vAlign w:val="center"/>
                </w:tcPr>
                <w:p w14:paraId="79CF5AB5">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6B9603A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10</w:t>
                  </w:r>
                </w:p>
              </w:tc>
              <w:tc>
                <w:tcPr>
                  <w:tcW w:w="1154" w:type="dxa"/>
                  <w:tcBorders>
                    <w:tl2br w:val="nil"/>
                    <w:tr2bl w:val="nil"/>
                  </w:tcBorders>
                  <w:shd w:val="clear" w:color="auto" w:fill="auto"/>
                  <w:vAlign w:val="center"/>
                </w:tcPr>
                <w:p w14:paraId="5EF1DAF7">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default"/>
                      <w:caps w:val="0"/>
                      <w:color w:val="auto"/>
                      <w:spacing w:val="0"/>
                      <w:position w:val="0"/>
                      <w:highlight w:val="none"/>
                      <w:lang w:val="en-US" w:eastAsia="zh-CN"/>
                    </w:rPr>
                    <w:t>0.0</w:t>
                  </w:r>
                  <w:r>
                    <w:rPr>
                      <w:rFonts w:hint="eastAsia"/>
                      <w:caps w:val="0"/>
                      <w:color w:val="auto"/>
                      <w:spacing w:val="0"/>
                      <w:position w:val="0"/>
                      <w:highlight w:val="none"/>
                      <w:lang w:val="en-US" w:eastAsia="zh-CN"/>
                    </w:rPr>
                    <w:t>16</w:t>
                  </w:r>
                </w:p>
              </w:tc>
              <w:tc>
                <w:tcPr>
                  <w:tcW w:w="831" w:type="dxa"/>
                  <w:tcBorders>
                    <w:tl2br w:val="nil"/>
                    <w:tr2bl w:val="nil"/>
                  </w:tcBorders>
                  <w:shd w:val="clear" w:color="auto" w:fill="auto"/>
                  <w:vAlign w:val="center"/>
                </w:tcPr>
                <w:p w14:paraId="1BCF72E0">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不外排</w:t>
                  </w:r>
                </w:p>
              </w:tc>
              <w:tc>
                <w:tcPr>
                  <w:tcW w:w="831" w:type="dxa"/>
                  <w:tcBorders>
                    <w:tl2br w:val="nil"/>
                    <w:tr2bl w:val="nil"/>
                  </w:tcBorders>
                  <w:shd w:val="clear" w:color="auto" w:fill="auto"/>
                  <w:vAlign w:val="center"/>
                </w:tcPr>
                <w:p w14:paraId="7942B687">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回用于养护用水</w:t>
                  </w:r>
                </w:p>
              </w:tc>
              <w:tc>
                <w:tcPr>
                  <w:tcW w:w="1205" w:type="dxa"/>
                  <w:tcBorders>
                    <w:tl2br w:val="nil"/>
                    <w:tr2bl w:val="nil"/>
                  </w:tcBorders>
                  <w:shd w:val="clear" w:color="auto" w:fill="auto"/>
                  <w:vAlign w:val="center"/>
                </w:tcPr>
                <w:p w14:paraId="0667CB79">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100</w:t>
                  </w:r>
                </w:p>
              </w:tc>
            </w:tr>
            <w:tr w14:paraId="4ED7F4B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79" w:hRule="atLeast"/>
                <w:jc w:val="center"/>
              </w:trPr>
              <w:tc>
                <w:tcPr>
                  <w:tcW w:w="830" w:type="dxa"/>
                  <w:tcBorders>
                    <w:tl2br w:val="nil"/>
                    <w:tr2bl w:val="nil"/>
                  </w:tcBorders>
                  <w:shd w:val="clear" w:color="auto" w:fill="auto"/>
                  <w:vAlign w:val="center"/>
                </w:tcPr>
                <w:p w14:paraId="72D7CDB4">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设备清洗废水</w:t>
                  </w:r>
                </w:p>
              </w:tc>
              <w:tc>
                <w:tcPr>
                  <w:tcW w:w="830" w:type="dxa"/>
                  <w:tcBorders>
                    <w:tl2br w:val="nil"/>
                    <w:tr2bl w:val="nil"/>
                  </w:tcBorders>
                  <w:shd w:val="clear" w:color="auto" w:fill="auto"/>
                  <w:vAlign w:val="center"/>
                </w:tcPr>
                <w:p w14:paraId="5FC3C62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SS</w:t>
                  </w:r>
                </w:p>
              </w:tc>
              <w:tc>
                <w:tcPr>
                  <w:tcW w:w="830" w:type="dxa"/>
                  <w:tcBorders>
                    <w:tl2br w:val="nil"/>
                    <w:tr2bl w:val="nil"/>
                  </w:tcBorders>
                  <w:shd w:val="clear" w:color="auto" w:fill="auto"/>
                  <w:vAlign w:val="center"/>
                </w:tcPr>
                <w:p w14:paraId="6D9DB95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1200</w:t>
                  </w:r>
                </w:p>
              </w:tc>
              <w:tc>
                <w:tcPr>
                  <w:tcW w:w="830" w:type="dxa"/>
                  <w:tcBorders>
                    <w:tl2br w:val="nil"/>
                    <w:tr2bl w:val="nil"/>
                  </w:tcBorders>
                  <w:shd w:val="clear" w:color="auto" w:fill="auto"/>
                  <w:vAlign w:val="center"/>
                </w:tcPr>
                <w:p w14:paraId="694366B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200</w:t>
                  </w:r>
                </w:p>
              </w:tc>
              <w:tc>
                <w:tcPr>
                  <w:tcW w:w="1743" w:type="dxa"/>
                  <w:tcBorders>
                    <w:tl2br w:val="nil"/>
                    <w:tr2bl w:val="nil"/>
                  </w:tcBorders>
                  <w:shd w:val="clear" w:color="auto" w:fill="auto"/>
                  <w:noWrap/>
                  <w:vAlign w:val="center"/>
                </w:tcPr>
                <w:p w14:paraId="56B46A27">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0.24</w:t>
                  </w:r>
                </w:p>
              </w:tc>
              <w:tc>
                <w:tcPr>
                  <w:tcW w:w="1153" w:type="dxa"/>
                  <w:tcBorders>
                    <w:tl2br w:val="nil"/>
                    <w:tr2bl w:val="nil"/>
                  </w:tcBorders>
                  <w:shd w:val="clear" w:color="auto" w:fill="auto"/>
                  <w:vAlign w:val="center"/>
                </w:tcPr>
                <w:p w14:paraId="4ED2DDFA">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153" w:type="dxa"/>
                  <w:tcBorders>
                    <w:tl2br w:val="nil"/>
                    <w:tr2bl w:val="nil"/>
                  </w:tcBorders>
                  <w:shd w:val="clear" w:color="auto" w:fill="auto"/>
                  <w:vAlign w:val="center"/>
                </w:tcPr>
                <w:p w14:paraId="2389B76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95</w:t>
                  </w:r>
                </w:p>
              </w:tc>
              <w:tc>
                <w:tcPr>
                  <w:tcW w:w="1153" w:type="dxa"/>
                  <w:vMerge w:val="continue"/>
                  <w:tcBorders>
                    <w:tl2br w:val="nil"/>
                    <w:tr2bl w:val="nil"/>
                  </w:tcBorders>
                  <w:shd w:val="clear" w:color="auto" w:fill="auto"/>
                  <w:vAlign w:val="center"/>
                </w:tcPr>
                <w:p w14:paraId="2F8ADCEC">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51E2D82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10</w:t>
                  </w:r>
                </w:p>
              </w:tc>
              <w:tc>
                <w:tcPr>
                  <w:tcW w:w="1154" w:type="dxa"/>
                  <w:tcBorders>
                    <w:tl2br w:val="nil"/>
                    <w:tr2bl w:val="nil"/>
                  </w:tcBorders>
                  <w:shd w:val="clear" w:color="auto" w:fill="auto"/>
                  <w:vAlign w:val="center"/>
                </w:tcPr>
                <w:p w14:paraId="46BB0F5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0.012</w:t>
                  </w:r>
                </w:p>
              </w:tc>
              <w:tc>
                <w:tcPr>
                  <w:tcW w:w="831" w:type="dxa"/>
                  <w:tcBorders>
                    <w:tl2br w:val="nil"/>
                    <w:tr2bl w:val="nil"/>
                  </w:tcBorders>
                  <w:shd w:val="clear" w:color="auto" w:fill="auto"/>
                  <w:vAlign w:val="center"/>
                </w:tcPr>
                <w:p w14:paraId="688A38B8">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不外排</w:t>
                  </w:r>
                </w:p>
              </w:tc>
              <w:tc>
                <w:tcPr>
                  <w:tcW w:w="831" w:type="dxa"/>
                  <w:tcBorders>
                    <w:tl2br w:val="nil"/>
                    <w:tr2bl w:val="nil"/>
                  </w:tcBorders>
                  <w:shd w:val="clear" w:color="auto" w:fill="auto"/>
                  <w:vAlign w:val="center"/>
                </w:tcPr>
                <w:p w14:paraId="492F16C1">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回用于设备清洗用水</w:t>
                  </w:r>
                </w:p>
              </w:tc>
              <w:tc>
                <w:tcPr>
                  <w:tcW w:w="1205" w:type="dxa"/>
                  <w:tcBorders>
                    <w:tl2br w:val="nil"/>
                    <w:tr2bl w:val="nil"/>
                  </w:tcBorders>
                  <w:shd w:val="clear" w:color="auto" w:fill="auto"/>
                  <w:vAlign w:val="center"/>
                </w:tcPr>
                <w:p w14:paraId="5086A40A">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100</w:t>
                  </w:r>
                </w:p>
              </w:tc>
            </w:tr>
            <w:tr w14:paraId="34D64AF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830" w:type="dxa"/>
                  <w:vMerge w:val="restart"/>
                  <w:tcBorders>
                    <w:tl2br w:val="nil"/>
                    <w:tr2bl w:val="nil"/>
                  </w:tcBorders>
                  <w:shd w:val="clear" w:color="auto" w:fill="auto"/>
                  <w:vAlign w:val="center"/>
                </w:tcPr>
                <w:p w14:paraId="189B3011">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初期雨水</w:t>
                  </w:r>
                </w:p>
              </w:tc>
              <w:tc>
                <w:tcPr>
                  <w:tcW w:w="830" w:type="dxa"/>
                  <w:tcBorders>
                    <w:tl2br w:val="nil"/>
                    <w:tr2bl w:val="nil"/>
                  </w:tcBorders>
                  <w:shd w:val="clear" w:color="auto" w:fill="auto"/>
                  <w:vAlign w:val="center"/>
                </w:tcPr>
                <w:p w14:paraId="516FD8A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pH</w:t>
                  </w:r>
                </w:p>
              </w:tc>
              <w:tc>
                <w:tcPr>
                  <w:tcW w:w="830" w:type="dxa"/>
                  <w:vMerge w:val="restart"/>
                  <w:tcBorders>
                    <w:tl2br w:val="nil"/>
                    <w:tr2bl w:val="nil"/>
                  </w:tcBorders>
                  <w:shd w:val="clear" w:color="auto" w:fill="auto"/>
                  <w:vAlign w:val="center"/>
                </w:tcPr>
                <w:p w14:paraId="5E8C62B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54</w:t>
                  </w:r>
                  <w:r>
                    <w:rPr>
                      <w:rFonts w:hint="default"/>
                      <w:caps w:val="0"/>
                      <w:color w:val="auto"/>
                      <w:spacing w:val="0"/>
                      <w:position w:val="0"/>
                      <w:highlight w:val="none"/>
                      <w:lang w:val="en-US" w:eastAsia="zh-CN"/>
                    </w:rPr>
                    <w:t>00</w:t>
                  </w:r>
                </w:p>
              </w:tc>
              <w:tc>
                <w:tcPr>
                  <w:tcW w:w="830" w:type="dxa"/>
                  <w:tcBorders>
                    <w:tl2br w:val="nil"/>
                    <w:tr2bl w:val="nil"/>
                  </w:tcBorders>
                  <w:shd w:val="clear" w:color="auto" w:fill="auto"/>
                  <w:vAlign w:val="center"/>
                </w:tcPr>
                <w:p w14:paraId="116702E1">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6-9</w:t>
                  </w:r>
                </w:p>
              </w:tc>
              <w:tc>
                <w:tcPr>
                  <w:tcW w:w="1743" w:type="dxa"/>
                  <w:tcBorders>
                    <w:tl2br w:val="nil"/>
                    <w:tr2bl w:val="nil"/>
                  </w:tcBorders>
                  <w:shd w:val="clear" w:color="auto" w:fill="auto"/>
                  <w:noWrap/>
                  <w:vAlign w:val="center"/>
                </w:tcPr>
                <w:p w14:paraId="11DAF199">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w:t>
                  </w:r>
                </w:p>
              </w:tc>
              <w:tc>
                <w:tcPr>
                  <w:tcW w:w="1153" w:type="dxa"/>
                  <w:vMerge w:val="restart"/>
                  <w:tcBorders>
                    <w:tl2br w:val="nil"/>
                    <w:tr2bl w:val="nil"/>
                  </w:tcBorders>
                  <w:shd w:val="clear" w:color="auto" w:fill="auto"/>
                  <w:vAlign w:val="center"/>
                </w:tcPr>
                <w:p w14:paraId="7CB95E48">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氧化</w:t>
                  </w:r>
                  <w:r>
                    <w:rPr>
                      <w:rFonts w:hint="default"/>
                      <w:caps w:val="0"/>
                      <w:color w:val="auto"/>
                      <w:spacing w:val="0"/>
                      <w:position w:val="0"/>
                      <w:highlight w:val="none"/>
                      <w:lang w:val="en-US" w:eastAsia="zh-CN"/>
                    </w:rPr>
                    <w:t>+</w:t>
                  </w:r>
                  <w:r>
                    <w:rPr>
                      <w:rFonts w:hint="eastAsia"/>
                      <w:caps w:val="0"/>
                      <w:color w:val="auto"/>
                      <w:spacing w:val="0"/>
                      <w:position w:val="0"/>
                      <w:highlight w:val="none"/>
                      <w:lang w:val="en-US" w:eastAsia="zh-CN"/>
                    </w:rPr>
                    <w:t>絮凝沉淀</w:t>
                  </w:r>
                </w:p>
              </w:tc>
              <w:tc>
                <w:tcPr>
                  <w:tcW w:w="1153" w:type="dxa"/>
                  <w:tcBorders>
                    <w:tl2br w:val="nil"/>
                    <w:tr2bl w:val="nil"/>
                  </w:tcBorders>
                  <w:shd w:val="clear" w:color="auto" w:fill="auto"/>
                  <w:vAlign w:val="center"/>
                </w:tcPr>
                <w:p w14:paraId="2087380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w:t>
                  </w:r>
                </w:p>
              </w:tc>
              <w:tc>
                <w:tcPr>
                  <w:tcW w:w="1153" w:type="dxa"/>
                  <w:vMerge w:val="continue"/>
                  <w:tcBorders>
                    <w:tl2br w:val="nil"/>
                    <w:tr2bl w:val="nil"/>
                  </w:tcBorders>
                  <w:shd w:val="clear" w:color="auto" w:fill="auto"/>
                  <w:vAlign w:val="center"/>
                </w:tcPr>
                <w:p w14:paraId="1BD6868D">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7D1257FD">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6~9</w:t>
                  </w:r>
                </w:p>
              </w:tc>
              <w:tc>
                <w:tcPr>
                  <w:tcW w:w="1154" w:type="dxa"/>
                  <w:tcBorders>
                    <w:tl2br w:val="nil"/>
                    <w:tr2bl w:val="nil"/>
                  </w:tcBorders>
                  <w:shd w:val="clear" w:color="auto" w:fill="auto"/>
                  <w:vAlign w:val="center"/>
                </w:tcPr>
                <w:p w14:paraId="7AA4158B">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w:t>
                  </w:r>
                </w:p>
              </w:tc>
              <w:tc>
                <w:tcPr>
                  <w:tcW w:w="831" w:type="dxa"/>
                  <w:vMerge w:val="restart"/>
                  <w:tcBorders>
                    <w:tl2br w:val="nil"/>
                    <w:tr2bl w:val="nil"/>
                  </w:tcBorders>
                  <w:shd w:val="clear" w:color="auto" w:fill="auto"/>
                  <w:vAlign w:val="center"/>
                </w:tcPr>
                <w:p w14:paraId="606DDF2F">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不外排</w:t>
                  </w:r>
                </w:p>
              </w:tc>
              <w:tc>
                <w:tcPr>
                  <w:tcW w:w="831" w:type="dxa"/>
                  <w:vMerge w:val="restart"/>
                  <w:tcBorders>
                    <w:tl2br w:val="nil"/>
                    <w:tr2bl w:val="nil"/>
                  </w:tcBorders>
                  <w:shd w:val="clear" w:color="auto" w:fill="auto"/>
                  <w:vAlign w:val="center"/>
                </w:tcPr>
                <w:p w14:paraId="5877BA26">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rPr>
                    <w:t>回用于</w:t>
                  </w:r>
                  <w:r>
                    <w:rPr>
                      <w:rFonts w:hint="eastAsia"/>
                      <w:caps w:val="0"/>
                      <w:color w:val="auto"/>
                      <w:spacing w:val="0"/>
                      <w:position w:val="0"/>
                      <w:highlight w:val="none"/>
                      <w:lang w:val="en-US" w:eastAsia="zh-CN"/>
                    </w:rPr>
                    <w:t>搅拌</w:t>
                  </w:r>
                  <w:r>
                    <w:rPr>
                      <w:rFonts w:hint="eastAsia"/>
                      <w:caps w:val="0"/>
                      <w:color w:val="auto"/>
                      <w:spacing w:val="0"/>
                      <w:position w:val="0"/>
                      <w:highlight w:val="none"/>
                    </w:rPr>
                    <w:t>用水</w:t>
                  </w:r>
                  <w:r>
                    <w:rPr>
                      <w:rFonts w:hint="eastAsia"/>
                      <w:caps w:val="0"/>
                      <w:color w:val="auto"/>
                      <w:spacing w:val="0"/>
                      <w:position w:val="0"/>
                      <w:highlight w:val="none"/>
                      <w:lang w:val="en-US" w:eastAsia="zh-CN"/>
                    </w:rPr>
                    <w:t>和降尘用水</w:t>
                  </w:r>
                </w:p>
              </w:tc>
              <w:tc>
                <w:tcPr>
                  <w:tcW w:w="1205" w:type="dxa"/>
                  <w:tcBorders>
                    <w:tl2br w:val="nil"/>
                    <w:tr2bl w:val="nil"/>
                  </w:tcBorders>
                  <w:shd w:val="clear" w:color="auto" w:fill="auto"/>
                  <w:vAlign w:val="center"/>
                </w:tcPr>
                <w:p w14:paraId="12074B0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6~9</w:t>
                  </w:r>
                </w:p>
              </w:tc>
            </w:tr>
            <w:tr w14:paraId="0B87C9E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830" w:type="dxa"/>
                  <w:vMerge w:val="continue"/>
                  <w:tcBorders>
                    <w:tl2br w:val="nil"/>
                    <w:tr2bl w:val="nil"/>
                  </w:tcBorders>
                  <w:shd w:val="clear" w:color="auto" w:fill="auto"/>
                  <w:vAlign w:val="center"/>
                </w:tcPr>
                <w:p w14:paraId="0EA2112C">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p>
              </w:tc>
              <w:tc>
                <w:tcPr>
                  <w:tcW w:w="830" w:type="dxa"/>
                  <w:tcBorders>
                    <w:tl2br w:val="nil"/>
                    <w:tr2bl w:val="nil"/>
                  </w:tcBorders>
                  <w:shd w:val="clear" w:color="auto" w:fill="auto"/>
                  <w:vAlign w:val="center"/>
                </w:tcPr>
                <w:p w14:paraId="1BBE3F47">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COD</w:t>
                  </w:r>
                  <w:r>
                    <w:rPr>
                      <w:rFonts w:hint="default"/>
                      <w:caps w:val="0"/>
                      <w:color w:val="auto"/>
                      <w:spacing w:val="0"/>
                      <w:position w:val="0"/>
                      <w:highlight w:val="none"/>
                      <w:vertAlign w:val="subscript"/>
                      <w:lang w:val="en-US" w:eastAsia="zh-CN"/>
                    </w:rPr>
                    <w:t>Cr</w:t>
                  </w:r>
                </w:p>
              </w:tc>
              <w:tc>
                <w:tcPr>
                  <w:tcW w:w="830" w:type="dxa"/>
                  <w:vMerge w:val="continue"/>
                  <w:tcBorders>
                    <w:tl2br w:val="nil"/>
                    <w:tr2bl w:val="nil"/>
                  </w:tcBorders>
                  <w:shd w:val="clear" w:color="auto" w:fill="auto"/>
                  <w:vAlign w:val="center"/>
                </w:tcPr>
                <w:p w14:paraId="6B705D76">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kern w:val="2"/>
                      <w:position w:val="0"/>
                      <w:sz w:val="21"/>
                      <w:szCs w:val="21"/>
                      <w:highlight w:val="none"/>
                      <w:lang w:val="en-US" w:eastAsia="zh-CN" w:bidi="ar-SA"/>
                    </w:rPr>
                  </w:pPr>
                </w:p>
              </w:tc>
              <w:tc>
                <w:tcPr>
                  <w:tcW w:w="830" w:type="dxa"/>
                  <w:tcBorders>
                    <w:tl2br w:val="nil"/>
                    <w:tr2bl w:val="nil"/>
                  </w:tcBorders>
                  <w:shd w:val="clear" w:color="auto" w:fill="auto"/>
                  <w:vAlign w:val="center"/>
                </w:tcPr>
                <w:p w14:paraId="7A065877">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40</w:t>
                  </w:r>
                </w:p>
              </w:tc>
              <w:tc>
                <w:tcPr>
                  <w:tcW w:w="1743" w:type="dxa"/>
                  <w:tcBorders>
                    <w:tl2br w:val="nil"/>
                    <w:tr2bl w:val="nil"/>
                  </w:tcBorders>
                  <w:shd w:val="clear" w:color="auto" w:fill="auto"/>
                  <w:noWrap/>
                  <w:vAlign w:val="center"/>
                </w:tcPr>
                <w:p w14:paraId="4951887B">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0.096</w:t>
                  </w:r>
                </w:p>
              </w:tc>
              <w:tc>
                <w:tcPr>
                  <w:tcW w:w="1153" w:type="dxa"/>
                  <w:vMerge w:val="continue"/>
                  <w:tcBorders>
                    <w:tl2br w:val="nil"/>
                    <w:tr2bl w:val="nil"/>
                  </w:tcBorders>
                  <w:shd w:val="clear" w:color="auto" w:fill="auto"/>
                  <w:vAlign w:val="center"/>
                </w:tcPr>
                <w:p w14:paraId="36AD86ED">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kern w:val="2"/>
                      <w:position w:val="0"/>
                      <w:sz w:val="21"/>
                      <w:szCs w:val="21"/>
                      <w:highlight w:val="none"/>
                      <w:lang w:val="en-US" w:eastAsia="zh-CN" w:bidi="ar-SA"/>
                    </w:rPr>
                  </w:pPr>
                </w:p>
              </w:tc>
              <w:tc>
                <w:tcPr>
                  <w:tcW w:w="1153" w:type="dxa"/>
                  <w:tcBorders>
                    <w:tl2br w:val="nil"/>
                    <w:tr2bl w:val="nil"/>
                  </w:tcBorders>
                  <w:shd w:val="clear" w:color="auto" w:fill="auto"/>
                  <w:vAlign w:val="center"/>
                </w:tcPr>
                <w:p w14:paraId="15B23A7D">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35</w:t>
                  </w:r>
                </w:p>
              </w:tc>
              <w:tc>
                <w:tcPr>
                  <w:tcW w:w="1153" w:type="dxa"/>
                  <w:vMerge w:val="continue"/>
                  <w:tcBorders>
                    <w:tl2br w:val="nil"/>
                    <w:tr2bl w:val="nil"/>
                  </w:tcBorders>
                  <w:shd w:val="clear" w:color="auto" w:fill="auto"/>
                  <w:vAlign w:val="center"/>
                </w:tcPr>
                <w:p w14:paraId="09805280">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kern w:val="2"/>
                      <w:position w:val="0"/>
                      <w:sz w:val="21"/>
                      <w:szCs w:val="21"/>
                      <w:highlight w:val="none"/>
                      <w:lang w:val="en-US" w:eastAsia="zh-CN" w:bidi="ar-SA"/>
                    </w:rPr>
                  </w:pPr>
                </w:p>
              </w:tc>
              <w:tc>
                <w:tcPr>
                  <w:tcW w:w="830" w:type="dxa"/>
                  <w:tcBorders>
                    <w:tl2br w:val="nil"/>
                    <w:tr2bl w:val="nil"/>
                  </w:tcBorders>
                  <w:shd w:val="clear" w:color="auto" w:fill="auto"/>
                  <w:vAlign w:val="center"/>
                </w:tcPr>
                <w:p w14:paraId="1B8612E3">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26</w:t>
                  </w:r>
                </w:p>
              </w:tc>
              <w:tc>
                <w:tcPr>
                  <w:tcW w:w="1154" w:type="dxa"/>
                  <w:tcBorders>
                    <w:tl2br w:val="nil"/>
                    <w:tr2bl w:val="nil"/>
                  </w:tcBorders>
                  <w:shd w:val="clear" w:color="auto" w:fill="auto"/>
                  <w:vAlign w:val="center"/>
                </w:tcPr>
                <w:p w14:paraId="28ED3492">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0.0624</w:t>
                  </w:r>
                </w:p>
              </w:tc>
              <w:tc>
                <w:tcPr>
                  <w:tcW w:w="831" w:type="dxa"/>
                  <w:vMerge w:val="continue"/>
                  <w:tcBorders>
                    <w:tl2br w:val="nil"/>
                    <w:tr2bl w:val="nil"/>
                  </w:tcBorders>
                  <w:shd w:val="clear" w:color="auto" w:fill="auto"/>
                  <w:vAlign w:val="center"/>
                </w:tcPr>
                <w:p w14:paraId="2D7C2AC1">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kern w:val="2"/>
                      <w:position w:val="0"/>
                      <w:sz w:val="21"/>
                      <w:szCs w:val="21"/>
                      <w:highlight w:val="none"/>
                      <w:lang w:val="en-US" w:eastAsia="zh-CN" w:bidi="ar-SA"/>
                    </w:rPr>
                  </w:pPr>
                </w:p>
              </w:tc>
              <w:tc>
                <w:tcPr>
                  <w:tcW w:w="831" w:type="dxa"/>
                  <w:vMerge w:val="continue"/>
                  <w:tcBorders>
                    <w:tl2br w:val="nil"/>
                    <w:tr2bl w:val="nil"/>
                  </w:tcBorders>
                  <w:shd w:val="clear" w:color="auto" w:fill="auto"/>
                  <w:vAlign w:val="center"/>
                </w:tcPr>
                <w:p w14:paraId="14DE9AF0">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kern w:val="2"/>
                      <w:position w:val="0"/>
                      <w:sz w:val="21"/>
                      <w:szCs w:val="21"/>
                      <w:highlight w:val="none"/>
                      <w:lang w:val="en-US" w:eastAsia="zh-CN" w:bidi="ar-SA"/>
                    </w:rPr>
                  </w:pPr>
                </w:p>
              </w:tc>
              <w:tc>
                <w:tcPr>
                  <w:tcW w:w="1205" w:type="dxa"/>
                  <w:tcBorders>
                    <w:tl2br w:val="nil"/>
                    <w:tr2bl w:val="nil"/>
                  </w:tcBorders>
                  <w:shd w:val="clear" w:color="auto" w:fill="auto"/>
                  <w:vAlign w:val="center"/>
                </w:tcPr>
                <w:p w14:paraId="29C38ED4">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lang w:val="en-US" w:eastAsia="zh-CN"/>
                    </w:rPr>
                    <w:t>50</w:t>
                  </w:r>
                </w:p>
              </w:tc>
            </w:tr>
            <w:tr w14:paraId="7813F45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7" w:hRule="atLeast"/>
                <w:jc w:val="center"/>
              </w:trPr>
              <w:tc>
                <w:tcPr>
                  <w:tcW w:w="830" w:type="dxa"/>
                  <w:vMerge w:val="continue"/>
                  <w:tcBorders>
                    <w:tl2br w:val="nil"/>
                    <w:tr2bl w:val="nil"/>
                  </w:tcBorders>
                  <w:shd w:val="clear" w:color="auto" w:fill="auto"/>
                  <w:vAlign w:val="center"/>
                </w:tcPr>
                <w:p w14:paraId="0F161F66">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6F94960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SS</w:t>
                  </w:r>
                </w:p>
              </w:tc>
              <w:tc>
                <w:tcPr>
                  <w:tcW w:w="830" w:type="dxa"/>
                  <w:vMerge w:val="continue"/>
                  <w:tcBorders>
                    <w:tl2br w:val="nil"/>
                    <w:tr2bl w:val="nil"/>
                  </w:tcBorders>
                  <w:shd w:val="clear" w:color="auto" w:fill="auto"/>
                  <w:vAlign w:val="center"/>
                </w:tcPr>
                <w:p w14:paraId="0892F919">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830" w:type="dxa"/>
                  <w:tcBorders>
                    <w:tl2br w:val="nil"/>
                    <w:tr2bl w:val="nil"/>
                  </w:tcBorders>
                  <w:shd w:val="clear" w:color="auto" w:fill="auto"/>
                  <w:vAlign w:val="center"/>
                </w:tcPr>
                <w:p w14:paraId="4DC1569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400</w:t>
                  </w:r>
                </w:p>
              </w:tc>
              <w:tc>
                <w:tcPr>
                  <w:tcW w:w="1743" w:type="dxa"/>
                  <w:tcBorders>
                    <w:tl2br w:val="nil"/>
                    <w:tr2bl w:val="nil"/>
                  </w:tcBorders>
                  <w:shd w:val="clear" w:color="auto" w:fill="auto"/>
                  <w:noWrap/>
                  <w:vAlign w:val="center"/>
                </w:tcPr>
                <w:p w14:paraId="0D9BDFA0">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0.96</w:t>
                  </w:r>
                </w:p>
              </w:tc>
              <w:tc>
                <w:tcPr>
                  <w:tcW w:w="1153" w:type="dxa"/>
                  <w:vMerge w:val="continue"/>
                  <w:tcBorders>
                    <w:tl2br w:val="nil"/>
                    <w:tr2bl w:val="nil"/>
                  </w:tcBorders>
                  <w:shd w:val="clear" w:color="auto" w:fill="auto"/>
                  <w:vAlign w:val="center"/>
                </w:tcPr>
                <w:p w14:paraId="69030948">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153" w:type="dxa"/>
                  <w:tcBorders>
                    <w:tl2br w:val="nil"/>
                    <w:tr2bl w:val="nil"/>
                  </w:tcBorders>
                  <w:shd w:val="clear" w:color="auto" w:fill="auto"/>
                  <w:vAlign w:val="center"/>
                </w:tcPr>
                <w:p w14:paraId="370013E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95</w:t>
                  </w:r>
                </w:p>
              </w:tc>
              <w:tc>
                <w:tcPr>
                  <w:tcW w:w="1153" w:type="dxa"/>
                  <w:vMerge w:val="continue"/>
                  <w:tcBorders>
                    <w:tl2br w:val="nil"/>
                    <w:tr2bl w:val="nil"/>
                  </w:tcBorders>
                  <w:shd w:val="clear" w:color="auto" w:fill="auto"/>
                  <w:vAlign w:val="center"/>
                </w:tcPr>
                <w:p w14:paraId="27E15B04">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20C42A4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20</w:t>
                  </w:r>
                </w:p>
              </w:tc>
              <w:tc>
                <w:tcPr>
                  <w:tcW w:w="1154" w:type="dxa"/>
                  <w:tcBorders>
                    <w:tl2br w:val="nil"/>
                    <w:tr2bl w:val="nil"/>
                  </w:tcBorders>
                  <w:shd w:val="clear" w:color="auto" w:fill="auto"/>
                  <w:vAlign w:val="center"/>
                </w:tcPr>
                <w:p w14:paraId="1CA32CE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0.048</w:t>
                  </w:r>
                </w:p>
              </w:tc>
              <w:tc>
                <w:tcPr>
                  <w:tcW w:w="831" w:type="dxa"/>
                  <w:vMerge w:val="continue"/>
                  <w:tcBorders>
                    <w:tl2br w:val="nil"/>
                    <w:tr2bl w:val="nil"/>
                  </w:tcBorders>
                  <w:shd w:val="clear" w:color="auto" w:fill="auto"/>
                  <w:vAlign w:val="center"/>
                </w:tcPr>
                <w:p w14:paraId="37F62AF8">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1" w:type="dxa"/>
                  <w:vMerge w:val="continue"/>
                  <w:tcBorders>
                    <w:tl2br w:val="nil"/>
                    <w:tr2bl w:val="nil"/>
                  </w:tcBorders>
                  <w:shd w:val="clear" w:color="auto" w:fill="auto"/>
                  <w:vAlign w:val="center"/>
                </w:tcPr>
                <w:p w14:paraId="28BC0F79">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05" w:type="dxa"/>
                  <w:tcBorders>
                    <w:tl2br w:val="nil"/>
                    <w:tr2bl w:val="nil"/>
                  </w:tcBorders>
                  <w:shd w:val="clear" w:color="auto" w:fill="auto"/>
                  <w:noWrap/>
                  <w:vAlign w:val="center"/>
                </w:tcPr>
                <w:p w14:paraId="0B15778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100</w:t>
                  </w:r>
                </w:p>
              </w:tc>
            </w:tr>
            <w:tr w14:paraId="4BD2E09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9" w:hRule="atLeast"/>
                <w:jc w:val="center"/>
              </w:trPr>
              <w:tc>
                <w:tcPr>
                  <w:tcW w:w="830" w:type="dxa"/>
                  <w:vMerge w:val="continue"/>
                  <w:tcBorders>
                    <w:tl2br w:val="nil"/>
                    <w:tr2bl w:val="nil"/>
                  </w:tcBorders>
                  <w:shd w:val="clear" w:color="auto" w:fill="auto"/>
                  <w:vAlign w:val="center"/>
                </w:tcPr>
                <w:p w14:paraId="7ACD724C">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546C6B4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NH</w:t>
                  </w:r>
                  <w:r>
                    <w:rPr>
                      <w:rFonts w:hint="default"/>
                      <w:caps w:val="0"/>
                      <w:color w:val="auto"/>
                      <w:spacing w:val="0"/>
                      <w:position w:val="0"/>
                      <w:highlight w:val="none"/>
                      <w:vertAlign w:val="subscript"/>
                      <w:lang w:val="en-US" w:eastAsia="zh-CN"/>
                    </w:rPr>
                    <w:t>3</w:t>
                  </w:r>
                  <w:r>
                    <w:rPr>
                      <w:rFonts w:hint="default"/>
                      <w:caps w:val="0"/>
                      <w:color w:val="auto"/>
                      <w:spacing w:val="0"/>
                      <w:position w:val="0"/>
                      <w:highlight w:val="none"/>
                      <w:lang w:val="en-US" w:eastAsia="zh-CN"/>
                    </w:rPr>
                    <w:t>-N</w:t>
                  </w:r>
                </w:p>
              </w:tc>
              <w:tc>
                <w:tcPr>
                  <w:tcW w:w="830" w:type="dxa"/>
                  <w:vMerge w:val="continue"/>
                  <w:tcBorders>
                    <w:tl2br w:val="nil"/>
                    <w:tr2bl w:val="nil"/>
                  </w:tcBorders>
                  <w:shd w:val="clear" w:color="auto" w:fill="auto"/>
                  <w:vAlign w:val="center"/>
                </w:tcPr>
                <w:p w14:paraId="1B485C36">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830" w:type="dxa"/>
                  <w:tcBorders>
                    <w:tl2br w:val="nil"/>
                    <w:tr2bl w:val="nil"/>
                  </w:tcBorders>
                  <w:shd w:val="clear" w:color="auto" w:fill="auto"/>
                  <w:vAlign w:val="center"/>
                </w:tcPr>
                <w:p w14:paraId="41E1D0F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0.5</w:t>
                  </w:r>
                </w:p>
              </w:tc>
              <w:tc>
                <w:tcPr>
                  <w:tcW w:w="1743" w:type="dxa"/>
                  <w:tcBorders>
                    <w:tl2br w:val="nil"/>
                    <w:tr2bl w:val="nil"/>
                  </w:tcBorders>
                  <w:shd w:val="clear" w:color="auto" w:fill="auto"/>
                  <w:noWrap/>
                  <w:vAlign w:val="center"/>
                </w:tcPr>
                <w:p w14:paraId="23DF685D">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0.0012</w:t>
                  </w:r>
                </w:p>
              </w:tc>
              <w:tc>
                <w:tcPr>
                  <w:tcW w:w="1153" w:type="dxa"/>
                  <w:vMerge w:val="continue"/>
                  <w:tcBorders>
                    <w:tl2br w:val="nil"/>
                    <w:tr2bl w:val="nil"/>
                  </w:tcBorders>
                  <w:shd w:val="clear" w:color="auto" w:fill="auto"/>
                  <w:vAlign w:val="center"/>
                </w:tcPr>
                <w:p w14:paraId="6F649ABF">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153" w:type="dxa"/>
                  <w:tcBorders>
                    <w:tl2br w:val="nil"/>
                    <w:tr2bl w:val="nil"/>
                  </w:tcBorders>
                  <w:shd w:val="clear" w:color="auto" w:fill="auto"/>
                  <w:vAlign w:val="center"/>
                </w:tcPr>
                <w:p w14:paraId="6B8D4B1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16</w:t>
                  </w:r>
                </w:p>
              </w:tc>
              <w:tc>
                <w:tcPr>
                  <w:tcW w:w="1153" w:type="dxa"/>
                  <w:vMerge w:val="continue"/>
                  <w:tcBorders>
                    <w:tl2br w:val="nil"/>
                    <w:tr2bl w:val="nil"/>
                  </w:tcBorders>
                  <w:shd w:val="clear" w:color="auto" w:fill="auto"/>
                  <w:vAlign w:val="center"/>
                </w:tcPr>
                <w:p w14:paraId="5719D44E">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2787CB4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0.42</w:t>
                  </w:r>
                </w:p>
              </w:tc>
              <w:tc>
                <w:tcPr>
                  <w:tcW w:w="1154" w:type="dxa"/>
                  <w:tcBorders>
                    <w:tl2br w:val="nil"/>
                    <w:tr2bl w:val="nil"/>
                  </w:tcBorders>
                  <w:shd w:val="clear" w:color="auto" w:fill="auto"/>
                  <w:vAlign w:val="center"/>
                </w:tcPr>
                <w:p w14:paraId="7FBA2FA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0.001</w:t>
                  </w:r>
                </w:p>
              </w:tc>
              <w:tc>
                <w:tcPr>
                  <w:tcW w:w="831" w:type="dxa"/>
                  <w:vMerge w:val="continue"/>
                  <w:tcBorders>
                    <w:tl2br w:val="nil"/>
                    <w:tr2bl w:val="nil"/>
                  </w:tcBorders>
                  <w:shd w:val="clear" w:color="auto" w:fill="auto"/>
                  <w:vAlign w:val="center"/>
                </w:tcPr>
                <w:p w14:paraId="4C6FD4B9">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1" w:type="dxa"/>
                  <w:vMerge w:val="continue"/>
                  <w:tcBorders>
                    <w:tl2br w:val="nil"/>
                    <w:tr2bl w:val="nil"/>
                  </w:tcBorders>
                  <w:shd w:val="clear" w:color="auto" w:fill="auto"/>
                  <w:vAlign w:val="center"/>
                </w:tcPr>
                <w:p w14:paraId="46FFD32C">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05" w:type="dxa"/>
                  <w:tcBorders>
                    <w:tl2br w:val="nil"/>
                    <w:tr2bl w:val="nil"/>
                  </w:tcBorders>
                  <w:shd w:val="clear" w:color="auto" w:fill="auto"/>
                  <w:vAlign w:val="center"/>
                </w:tcPr>
                <w:p w14:paraId="59692B0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5</w:t>
                  </w:r>
                </w:p>
              </w:tc>
            </w:tr>
            <w:tr w14:paraId="7139311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3" w:hRule="atLeast"/>
                <w:jc w:val="center"/>
              </w:trPr>
              <w:tc>
                <w:tcPr>
                  <w:tcW w:w="830" w:type="dxa"/>
                  <w:vMerge w:val="continue"/>
                  <w:tcBorders>
                    <w:tl2br w:val="nil"/>
                    <w:tr2bl w:val="nil"/>
                  </w:tcBorders>
                  <w:shd w:val="clear" w:color="auto" w:fill="auto"/>
                  <w:vAlign w:val="center"/>
                </w:tcPr>
                <w:p w14:paraId="51F94E5F">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13DEF0E2">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总铍</w:t>
                  </w:r>
                </w:p>
              </w:tc>
              <w:tc>
                <w:tcPr>
                  <w:tcW w:w="830" w:type="dxa"/>
                  <w:vMerge w:val="continue"/>
                  <w:tcBorders>
                    <w:tl2br w:val="nil"/>
                    <w:tr2bl w:val="nil"/>
                  </w:tcBorders>
                  <w:shd w:val="clear" w:color="auto" w:fill="auto"/>
                  <w:vAlign w:val="center"/>
                </w:tcPr>
                <w:p w14:paraId="1DEA61C9">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830" w:type="dxa"/>
                  <w:tcBorders>
                    <w:tl2br w:val="nil"/>
                    <w:tr2bl w:val="nil"/>
                  </w:tcBorders>
                  <w:shd w:val="clear" w:color="auto" w:fill="auto"/>
                  <w:vAlign w:val="center"/>
                </w:tcPr>
                <w:p w14:paraId="5D73580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0.01</w:t>
                  </w:r>
                </w:p>
              </w:tc>
              <w:tc>
                <w:tcPr>
                  <w:tcW w:w="1743" w:type="dxa"/>
                  <w:tcBorders>
                    <w:tl2br w:val="nil"/>
                    <w:tr2bl w:val="nil"/>
                  </w:tcBorders>
                  <w:shd w:val="clear" w:color="auto" w:fill="auto"/>
                  <w:noWrap/>
                  <w:vAlign w:val="center"/>
                </w:tcPr>
                <w:p w14:paraId="6EE7DDD3">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0.000024</w:t>
                  </w:r>
                </w:p>
              </w:tc>
              <w:tc>
                <w:tcPr>
                  <w:tcW w:w="1153" w:type="dxa"/>
                  <w:vMerge w:val="continue"/>
                  <w:tcBorders>
                    <w:tl2br w:val="nil"/>
                    <w:tr2bl w:val="nil"/>
                  </w:tcBorders>
                  <w:shd w:val="clear" w:color="auto" w:fill="auto"/>
                  <w:vAlign w:val="center"/>
                </w:tcPr>
                <w:p w14:paraId="0E5A2BD5">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153" w:type="dxa"/>
                  <w:tcBorders>
                    <w:tl2br w:val="nil"/>
                    <w:tr2bl w:val="nil"/>
                  </w:tcBorders>
                  <w:shd w:val="clear" w:color="auto" w:fill="auto"/>
                  <w:vAlign w:val="center"/>
                </w:tcPr>
                <w:p w14:paraId="76BA568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80</w:t>
                  </w:r>
                </w:p>
              </w:tc>
              <w:tc>
                <w:tcPr>
                  <w:tcW w:w="1153" w:type="dxa"/>
                  <w:vMerge w:val="continue"/>
                  <w:tcBorders>
                    <w:tl2br w:val="nil"/>
                    <w:tr2bl w:val="nil"/>
                  </w:tcBorders>
                  <w:shd w:val="clear" w:color="auto" w:fill="auto"/>
                  <w:vAlign w:val="center"/>
                </w:tcPr>
                <w:p w14:paraId="08AA54DF">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5F7F921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0.002</w:t>
                  </w:r>
                </w:p>
              </w:tc>
              <w:tc>
                <w:tcPr>
                  <w:tcW w:w="1154" w:type="dxa"/>
                  <w:tcBorders>
                    <w:tl2br w:val="nil"/>
                    <w:tr2bl w:val="nil"/>
                  </w:tcBorders>
                  <w:shd w:val="clear" w:color="auto" w:fill="auto"/>
                  <w:vAlign w:val="center"/>
                </w:tcPr>
                <w:p w14:paraId="13EB05E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0.0000048</w:t>
                  </w:r>
                </w:p>
              </w:tc>
              <w:tc>
                <w:tcPr>
                  <w:tcW w:w="831" w:type="dxa"/>
                  <w:vMerge w:val="continue"/>
                  <w:tcBorders>
                    <w:tl2br w:val="nil"/>
                    <w:tr2bl w:val="nil"/>
                  </w:tcBorders>
                  <w:shd w:val="clear" w:color="auto" w:fill="auto"/>
                  <w:vAlign w:val="center"/>
                </w:tcPr>
                <w:p w14:paraId="11754462">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1" w:type="dxa"/>
                  <w:vMerge w:val="continue"/>
                  <w:tcBorders>
                    <w:tl2br w:val="nil"/>
                    <w:tr2bl w:val="nil"/>
                  </w:tcBorders>
                  <w:shd w:val="clear" w:color="auto" w:fill="auto"/>
                  <w:vAlign w:val="center"/>
                </w:tcPr>
                <w:p w14:paraId="429A2952">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05" w:type="dxa"/>
                  <w:tcBorders>
                    <w:tl2br w:val="nil"/>
                    <w:tr2bl w:val="nil"/>
                  </w:tcBorders>
                  <w:shd w:val="clear" w:color="auto" w:fill="auto"/>
                  <w:vAlign w:val="center"/>
                </w:tcPr>
                <w:p w14:paraId="6DC4F36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0.005</w:t>
                  </w:r>
                </w:p>
              </w:tc>
            </w:tr>
            <w:tr w14:paraId="19B85E8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3" w:hRule="atLeast"/>
                <w:jc w:val="center"/>
              </w:trPr>
              <w:tc>
                <w:tcPr>
                  <w:tcW w:w="830" w:type="dxa"/>
                  <w:vMerge w:val="continue"/>
                  <w:tcBorders>
                    <w:tl2br w:val="nil"/>
                    <w:tr2bl w:val="nil"/>
                  </w:tcBorders>
                  <w:shd w:val="clear" w:color="auto" w:fill="auto"/>
                  <w:vAlign w:val="center"/>
                </w:tcPr>
                <w:p w14:paraId="15DCD786">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6F4B1014">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总铊</w:t>
                  </w:r>
                </w:p>
              </w:tc>
              <w:tc>
                <w:tcPr>
                  <w:tcW w:w="830" w:type="dxa"/>
                  <w:vMerge w:val="continue"/>
                  <w:tcBorders>
                    <w:tl2br w:val="nil"/>
                    <w:tr2bl w:val="nil"/>
                  </w:tcBorders>
                  <w:shd w:val="clear" w:color="auto" w:fill="auto"/>
                  <w:vAlign w:val="center"/>
                </w:tcPr>
                <w:p w14:paraId="75862409">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830" w:type="dxa"/>
                  <w:tcBorders>
                    <w:tl2br w:val="nil"/>
                    <w:tr2bl w:val="nil"/>
                  </w:tcBorders>
                  <w:shd w:val="clear" w:color="auto" w:fill="auto"/>
                  <w:vAlign w:val="center"/>
                </w:tcPr>
                <w:p w14:paraId="3AE01D0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0.02</w:t>
                  </w:r>
                </w:p>
              </w:tc>
              <w:tc>
                <w:tcPr>
                  <w:tcW w:w="1743" w:type="dxa"/>
                  <w:tcBorders>
                    <w:tl2br w:val="nil"/>
                    <w:tr2bl w:val="nil"/>
                  </w:tcBorders>
                  <w:shd w:val="clear" w:color="auto" w:fill="auto"/>
                  <w:noWrap/>
                  <w:vAlign w:val="center"/>
                </w:tcPr>
                <w:p w14:paraId="1DF7DC69">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0.000048</w:t>
                  </w:r>
                </w:p>
              </w:tc>
              <w:tc>
                <w:tcPr>
                  <w:tcW w:w="1153" w:type="dxa"/>
                  <w:vMerge w:val="continue"/>
                  <w:tcBorders>
                    <w:tl2br w:val="nil"/>
                    <w:tr2bl w:val="nil"/>
                  </w:tcBorders>
                  <w:shd w:val="clear" w:color="auto" w:fill="auto"/>
                  <w:vAlign w:val="center"/>
                </w:tcPr>
                <w:p w14:paraId="067BD821">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153" w:type="dxa"/>
                  <w:tcBorders>
                    <w:tl2br w:val="nil"/>
                    <w:tr2bl w:val="nil"/>
                  </w:tcBorders>
                  <w:shd w:val="clear" w:color="auto" w:fill="auto"/>
                  <w:vAlign w:val="center"/>
                </w:tcPr>
                <w:p w14:paraId="000F1F9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80</w:t>
                  </w:r>
                </w:p>
              </w:tc>
              <w:tc>
                <w:tcPr>
                  <w:tcW w:w="1153" w:type="dxa"/>
                  <w:vMerge w:val="continue"/>
                  <w:tcBorders>
                    <w:tl2br w:val="nil"/>
                    <w:tr2bl w:val="nil"/>
                  </w:tcBorders>
                  <w:shd w:val="clear" w:color="auto" w:fill="auto"/>
                  <w:vAlign w:val="center"/>
                </w:tcPr>
                <w:p w14:paraId="32F98761">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1460C4E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0.004</w:t>
                  </w:r>
                </w:p>
              </w:tc>
              <w:tc>
                <w:tcPr>
                  <w:tcW w:w="1154" w:type="dxa"/>
                  <w:tcBorders>
                    <w:tl2br w:val="nil"/>
                    <w:tr2bl w:val="nil"/>
                  </w:tcBorders>
                  <w:shd w:val="clear" w:color="auto" w:fill="auto"/>
                  <w:vAlign w:val="center"/>
                </w:tcPr>
                <w:p w14:paraId="2244CF0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0.0000096</w:t>
                  </w:r>
                </w:p>
              </w:tc>
              <w:tc>
                <w:tcPr>
                  <w:tcW w:w="831" w:type="dxa"/>
                  <w:vMerge w:val="continue"/>
                  <w:tcBorders>
                    <w:tl2br w:val="nil"/>
                    <w:tr2bl w:val="nil"/>
                  </w:tcBorders>
                  <w:shd w:val="clear" w:color="auto" w:fill="auto"/>
                  <w:vAlign w:val="center"/>
                </w:tcPr>
                <w:p w14:paraId="254FC67D">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1" w:type="dxa"/>
                  <w:vMerge w:val="continue"/>
                  <w:tcBorders>
                    <w:tl2br w:val="nil"/>
                    <w:tr2bl w:val="nil"/>
                  </w:tcBorders>
                  <w:shd w:val="clear" w:color="auto" w:fill="auto"/>
                  <w:vAlign w:val="center"/>
                </w:tcPr>
                <w:p w14:paraId="5EDE6557">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05" w:type="dxa"/>
                  <w:tcBorders>
                    <w:tl2br w:val="nil"/>
                    <w:tr2bl w:val="nil"/>
                  </w:tcBorders>
                  <w:shd w:val="clear" w:color="auto" w:fill="auto"/>
                  <w:vAlign w:val="center"/>
                </w:tcPr>
                <w:p w14:paraId="2EE6EE9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w:t>
                  </w:r>
                  <w:r>
                    <w:rPr>
                      <w:rFonts w:hint="eastAsia"/>
                      <w:caps w:val="0"/>
                      <w:color w:val="auto"/>
                      <w:spacing w:val="0"/>
                      <w:position w:val="0"/>
                      <w:highlight w:val="none"/>
                      <w:lang w:val="en-US" w:eastAsia="zh-CN"/>
                    </w:rPr>
                    <w:t>5</w:t>
                  </w:r>
                </w:p>
              </w:tc>
            </w:tr>
            <w:tr w14:paraId="1460F4A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03" w:hRule="atLeast"/>
                <w:jc w:val="center"/>
              </w:trPr>
              <w:tc>
                <w:tcPr>
                  <w:tcW w:w="830" w:type="dxa"/>
                  <w:vMerge w:val="continue"/>
                  <w:tcBorders>
                    <w:tl2br w:val="nil"/>
                    <w:tr2bl w:val="nil"/>
                  </w:tcBorders>
                  <w:shd w:val="clear" w:color="auto" w:fill="auto"/>
                  <w:vAlign w:val="center"/>
                </w:tcPr>
                <w:p w14:paraId="5D3E6CCD">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4EA9F6E5">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氟化物</w:t>
                  </w:r>
                </w:p>
              </w:tc>
              <w:tc>
                <w:tcPr>
                  <w:tcW w:w="830" w:type="dxa"/>
                  <w:vMerge w:val="continue"/>
                  <w:tcBorders>
                    <w:tl2br w:val="nil"/>
                    <w:tr2bl w:val="nil"/>
                  </w:tcBorders>
                  <w:shd w:val="clear" w:color="auto" w:fill="auto"/>
                  <w:vAlign w:val="center"/>
                </w:tcPr>
                <w:p w14:paraId="537AA6BB">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830" w:type="dxa"/>
                  <w:tcBorders>
                    <w:tl2br w:val="nil"/>
                    <w:tr2bl w:val="nil"/>
                  </w:tcBorders>
                  <w:shd w:val="clear" w:color="auto" w:fill="auto"/>
                  <w:vAlign w:val="center"/>
                </w:tcPr>
                <w:p w14:paraId="791DF99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5</w:t>
                  </w:r>
                </w:p>
              </w:tc>
              <w:tc>
                <w:tcPr>
                  <w:tcW w:w="1743" w:type="dxa"/>
                  <w:tcBorders>
                    <w:tl2br w:val="nil"/>
                    <w:tr2bl w:val="nil"/>
                  </w:tcBorders>
                  <w:shd w:val="clear" w:color="auto" w:fill="auto"/>
                  <w:noWrap/>
                  <w:vAlign w:val="center"/>
                </w:tcPr>
                <w:p w14:paraId="3AE77DE9">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0.012</w:t>
                  </w:r>
                </w:p>
              </w:tc>
              <w:tc>
                <w:tcPr>
                  <w:tcW w:w="1153" w:type="dxa"/>
                  <w:vMerge w:val="continue"/>
                  <w:tcBorders>
                    <w:tl2br w:val="nil"/>
                    <w:tr2bl w:val="nil"/>
                  </w:tcBorders>
                  <w:shd w:val="clear" w:color="auto" w:fill="auto"/>
                  <w:vAlign w:val="center"/>
                </w:tcPr>
                <w:p w14:paraId="4358880F">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153" w:type="dxa"/>
                  <w:tcBorders>
                    <w:tl2br w:val="nil"/>
                    <w:tr2bl w:val="nil"/>
                  </w:tcBorders>
                  <w:shd w:val="clear" w:color="auto" w:fill="auto"/>
                  <w:vAlign w:val="center"/>
                </w:tcPr>
                <w:p w14:paraId="224FF9A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80</w:t>
                  </w:r>
                </w:p>
              </w:tc>
              <w:tc>
                <w:tcPr>
                  <w:tcW w:w="1153" w:type="dxa"/>
                  <w:vMerge w:val="continue"/>
                  <w:tcBorders>
                    <w:tl2br w:val="nil"/>
                    <w:tr2bl w:val="nil"/>
                  </w:tcBorders>
                  <w:shd w:val="clear" w:color="auto" w:fill="auto"/>
                  <w:vAlign w:val="center"/>
                </w:tcPr>
                <w:p w14:paraId="105A338F">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0" w:type="dxa"/>
                  <w:tcBorders>
                    <w:tl2br w:val="nil"/>
                    <w:tr2bl w:val="nil"/>
                  </w:tcBorders>
                  <w:shd w:val="clear" w:color="auto" w:fill="auto"/>
                  <w:vAlign w:val="center"/>
                </w:tcPr>
                <w:p w14:paraId="48D4CC2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w:t>
                  </w:r>
                </w:p>
              </w:tc>
              <w:tc>
                <w:tcPr>
                  <w:tcW w:w="1154" w:type="dxa"/>
                  <w:tcBorders>
                    <w:tl2br w:val="nil"/>
                    <w:tr2bl w:val="nil"/>
                  </w:tcBorders>
                  <w:shd w:val="clear" w:color="auto" w:fill="auto"/>
                  <w:vAlign w:val="center"/>
                </w:tcPr>
                <w:p w14:paraId="6A9C205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0.0024</w:t>
                  </w:r>
                </w:p>
              </w:tc>
              <w:tc>
                <w:tcPr>
                  <w:tcW w:w="831" w:type="dxa"/>
                  <w:vMerge w:val="continue"/>
                  <w:tcBorders>
                    <w:tl2br w:val="nil"/>
                    <w:tr2bl w:val="nil"/>
                  </w:tcBorders>
                  <w:shd w:val="clear" w:color="auto" w:fill="auto"/>
                  <w:vAlign w:val="center"/>
                </w:tcPr>
                <w:p w14:paraId="3DD32164">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831" w:type="dxa"/>
                  <w:vMerge w:val="continue"/>
                  <w:tcBorders>
                    <w:tl2br w:val="nil"/>
                    <w:tr2bl w:val="nil"/>
                  </w:tcBorders>
                  <w:shd w:val="clear" w:color="auto" w:fill="auto"/>
                  <w:vAlign w:val="center"/>
                </w:tcPr>
                <w:p w14:paraId="3C46481E">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05" w:type="dxa"/>
                  <w:tcBorders>
                    <w:tl2br w:val="nil"/>
                    <w:tr2bl w:val="nil"/>
                  </w:tcBorders>
                  <w:shd w:val="clear" w:color="auto" w:fill="auto"/>
                  <w:vAlign w:val="center"/>
                </w:tcPr>
                <w:p w14:paraId="473F045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6</w:t>
                  </w:r>
                </w:p>
              </w:tc>
            </w:tr>
          </w:tbl>
          <w:p w14:paraId="10F980EE">
            <w:pPr>
              <w:pStyle w:val="75"/>
              <w:keepNext w:val="0"/>
              <w:keepLines w:val="0"/>
              <w:widowControl w:val="0"/>
              <w:numPr>
                <w:ilvl w:val="0"/>
                <w:numId w:val="0"/>
              </w:numPr>
              <w:suppressLineNumbers w:val="0"/>
              <w:tabs>
                <w:tab w:val="left" w:pos="420"/>
              </w:tabs>
              <w:bidi w:val="0"/>
              <w:spacing w:before="0" w:beforeAutospacing="0" w:after="0" w:afterAutospacing="0" w:line="240" w:lineRule="auto"/>
              <w:ind w:left="0" w:right="0" w:rightChars="0"/>
              <w:jc w:val="center"/>
              <w:rPr>
                <w:rFonts w:hint="default"/>
                <w:caps w:val="0"/>
                <w:color w:val="auto"/>
                <w:spacing w:val="0"/>
                <w:position w:val="0"/>
                <w:highlight w:val="none"/>
              </w:rPr>
            </w:pPr>
          </w:p>
          <w:p w14:paraId="29F2D154">
            <w:pPr>
              <w:pStyle w:val="75"/>
              <w:keepNext w:val="0"/>
              <w:keepLines w:val="0"/>
              <w:widowControl w:val="0"/>
              <w:numPr>
                <w:ilvl w:val="0"/>
                <w:numId w:val="0"/>
              </w:numPr>
              <w:suppressLineNumbers w:val="0"/>
              <w:tabs>
                <w:tab w:val="left" w:pos="420"/>
              </w:tabs>
              <w:bidi w:val="0"/>
              <w:spacing w:before="0" w:beforeAutospacing="0" w:after="0" w:afterAutospacing="0" w:line="240" w:lineRule="auto"/>
              <w:ind w:left="0" w:right="0" w:rightChars="0"/>
              <w:jc w:val="center"/>
              <w:rPr>
                <w:rFonts w:hint="default"/>
                <w:caps w:val="0"/>
                <w:color w:val="auto"/>
                <w:spacing w:val="0"/>
                <w:position w:val="0"/>
                <w:highlight w:val="none"/>
              </w:rPr>
            </w:pPr>
          </w:p>
          <w:p w14:paraId="7497FC3B">
            <w:pPr>
              <w:pStyle w:val="72"/>
              <w:keepNext w:val="0"/>
              <w:keepLines w:val="0"/>
              <w:suppressLineNumbers w:val="0"/>
              <w:spacing w:beforeAutospacing="0" w:afterAutospacing="0"/>
              <w:ind w:left="0" w:right="0" w:firstLine="480"/>
              <w:rPr>
                <w:rFonts w:hint="default" w:ascii="Times New Roman" w:hAnsi="Times New Roman" w:cs="Times New Roman"/>
                <w:caps w:val="0"/>
                <w:color w:val="auto"/>
                <w:spacing w:val="0"/>
                <w:position w:val="0"/>
                <w:highlight w:val="none"/>
              </w:rPr>
            </w:pPr>
          </w:p>
        </w:tc>
      </w:tr>
    </w:tbl>
    <w:p w14:paraId="3427C2FF">
      <w:pPr>
        <w:pStyle w:val="74"/>
        <w:bidi w:val="0"/>
        <w:ind w:left="0" w:leftChars="0" w:firstLine="0" w:firstLineChars="0"/>
        <w:rPr>
          <w:rFonts w:hint="eastAsia"/>
          <w:caps w:val="0"/>
          <w:color w:val="auto"/>
          <w:spacing w:val="0"/>
          <w:position w:val="0"/>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3"/>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1"/>
        <w:gridCol w:w="8632"/>
      </w:tblGrid>
      <w:tr w14:paraId="34F19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2" w:hRule="atLeast"/>
          <w:jc w:val="center"/>
        </w:trPr>
        <w:tc>
          <w:tcPr>
            <w:tcW w:w="501" w:type="dxa"/>
            <w:noWrap w:val="0"/>
            <w:vAlign w:val="center"/>
          </w:tcPr>
          <w:p w14:paraId="50E69BAA">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运营期环境影响和保护措施</w:t>
            </w:r>
          </w:p>
        </w:tc>
        <w:tc>
          <w:tcPr>
            <w:tcW w:w="8632" w:type="dxa"/>
            <w:noWrap w:val="0"/>
            <w:vAlign w:val="top"/>
          </w:tcPr>
          <w:p w14:paraId="24ED947D">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2.2、污染源强核算过程</w:t>
            </w:r>
          </w:p>
          <w:p w14:paraId="44E7EE84">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本项目</w:t>
            </w:r>
            <w:r>
              <w:rPr>
                <w:rFonts w:hint="default" w:ascii="Times New Roman" w:hAnsi="Times New Roman" w:cs="Times New Roman"/>
                <w:caps w:val="0"/>
                <w:color w:val="auto"/>
                <w:spacing w:val="0"/>
                <w:position w:val="0"/>
                <w:highlight w:val="none"/>
                <w:lang w:val="en-US" w:eastAsia="zh-CN"/>
              </w:rPr>
              <w:t>位于</w:t>
            </w:r>
            <w:r>
              <w:rPr>
                <w:rFonts w:hint="eastAsia" w:cs="Times New Roman"/>
                <w:caps w:val="0"/>
                <w:color w:val="auto"/>
                <w:spacing w:val="0"/>
                <w:position w:val="0"/>
                <w:highlight w:val="none"/>
                <w:lang w:val="en-US" w:eastAsia="zh-CN"/>
              </w:rPr>
              <w:t>高安市建山镇</w:t>
            </w:r>
            <w:r>
              <w:rPr>
                <w:rFonts w:hint="default" w:ascii="Times New Roman" w:hAnsi="Times New Roman" w:cs="Times New Roman"/>
                <w:caps w:val="0"/>
                <w:color w:val="auto"/>
                <w:spacing w:val="0"/>
                <w:position w:val="0"/>
                <w:highlight w:val="none"/>
                <w:lang w:val="en-US" w:eastAsia="zh-CN"/>
              </w:rPr>
              <w:t>内，</w:t>
            </w:r>
            <w:r>
              <w:rPr>
                <w:rFonts w:hint="default" w:ascii="Times New Roman" w:hAnsi="Times New Roman" w:cs="Times New Roman"/>
                <w:caps w:val="0"/>
                <w:color w:val="auto"/>
                <w:spacing w:val="0"/>
                <w:position w:val="0"/>
                <w:highlight w:val="none"/>
              </w:rPr>
              <w:t>用水由</w:t>
            </w:r>
            <w:r>
              <w:rPr>
                <w:rFonts w:hint="eastAsia" w:cs="Times New Roman"/>
                <w:b w:val="0"/>
                <w:bCs w:val="0"/>
                <w:caps w:val="0"/>
                <w:color w:val="auto"/>
                <w:spacing w:val="0"/>
                <w:position w:val="0"/>
                <w:sz w:val="24"/>
                <w:szCs w:val="32"/>
                <w:highlight w:val="none"/>
                <w:lang w:val="en-US" w:eastAsia="zh-CN"/>
              </w:rPr>
              <w:t>市镇</w:t>
            </w:r>
            <w:r>
              <w:rPr>
                <w:rFonts w:hint="default" w:ascii="Times New Roman" w:hAnsi="Times New Roman" w:eastAsia="宋体" w:cs="Times New Roman"/>
                <w:b w:val="0"/>
                <w:bCs w:val="0"/>
                <w:caps w:val="0"/>
                <w:color w:val="auto"/>
                <w:spacing w:val="0"/>
                <w:position w:val="0"/>
                <w:sz w:val="24"/>
                <w:szCs w:val="32"/>
                <w:highlight w:val="none"/>
                <w:lang w:val="en-US" w:eastAsia="zh-CN"/>
              </w:rPr>
              <w:t>供水管网</w:t>
            </w:r>
            <w:r>
              <w:rPr>
                <w:rFonts w:hint="default" w:ascii="Times New Roman" w:hAnsi="Times New Roman" w:cs="Times New Roman"/>
                <w:caps w:val="0"/>
                <w:color w:val="auto"/>
                <w:spacing w:val="0"/>
                <w:position w:val="0"/>
                <w:highlight w:val="none"/>
              </w:rPr>
              <w:t>统一供给，用水包括生活用水</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lang w:val="en-US" w:eastAsia="zh-CN"/>
              </w:rPr>
              <w:t>搅拌用水、</w:t>
            </w:r>
            <w:r>
              <w:rPr>
                <w:rFonts w:hint="default" w:ascii="Times New Roman" w:hAnsi="Times New Roman" w:cs="Times New Roman"/>
                <w:caps w:val="0"/>
                <w:color w:val="auto"/>
                <w:spacing w:val="0"/>
                <w:position w:val="0"/>
                <w:highlight w:val="none"/>
              </w:rPr>
              <w:t>洗车</w:t>
            </w:r>
            <w:r>
              <w:rPr>
                <w:rFonts w:hint="default" w:ascii="Times New Roman" w:hAnsi="Times New Roman" w:cs="Times New Roman"/>
                <w:caps w:val="0"/>
                <w:color w:val="auto"/>
                <w:spacing w:val="0"/>
                <w:position w:val="0"/>
                <w:highlight w:val="none"/>
                <w:lang w:val="en-US" w:eastAsia="zh-CN"/>
              </w:rPr>
              <w:t>用</w:t>
            </w:r>
            <w:r>
              <w:rPr>
                <w:rFonts w:hint="default" w:ascii="Times New Roman" w:hAnsi="Times New Roman" w:cs="Times New Roman"/>
                <w:caps w:val="0"/>
                <w:color w:val="auto"/>
                <w:spacing w:val="0"/>
                <w:position w:val="0"/>
                <w:highlight w:val="none"/>
              </w:rPr>
              <w:t>水</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lang w:val="en-US" w:eastAsia="zh-CN"/>
              </w:rPr>
              <w:t>设备</w:t>
            </w:r>
            <w:r>
              <w:rPr>
                <w:rFonts w:hint="default" w:ascii="Times New Roman" w:hAnsi="Times New Roman" w:eastAsia="宋体" w:cs="Times New Roman"/>
                <w:caps w:val="0"/>
                <w:color w:val="auto"/>
                <w:spacing w:val="0"/>
                <w:position w:val="0"/>
                <w:highlight w:val="none"/>
                <w:lang w:val="en-US" w:eastAsia="zh-CN"/>
              </w:rPr>
              <w:t>清洗用水、</w:t>
            </w:r>
            <w:r>
              <w:rPr>
                <w:rFonts w:hint="default" w:ascii="Times New Roman" w:hAnsi="Times New Roman" w:cs="Times New Roman"/>
                <w:caps w:val="0"/>
                <w:color w:val="auto"/>
                <w:spacing w:val="0"/>
                <w:position w:val="0"/>
                <w:highlight w:val="none"/>
                <w:lang w:val="en-US" w:eastAsia="zh-CN"/>
              </w:rPr>
              <w:t>降尘</w:t>
            </w:r>
            <w:r>
              <w:rPr>
                <w:rFonts w:hint="default" w:ascii="Times New Roman" w:hAnsi="Times New Roman" w:eastAsia="宋体" w:cs="Times New Roman"/>
                <w:caps w:val="0"/>
                <w:color w:val="auto"/>
                <w:spacing w:val="0"/>
                <w:position w:val="0"/>
                <w:highlight w:val="none"/>
                <w:lang w:val="en-US" w:eastAsia="zh-CN"/>
              </w:rPr>
              <w:t>用水</w:t>
            </w:r>
            <w:r>
              <w:rPr>
                <w:rFonts w:hint="default" w:ascii="Times New Roman" w:hAnsi="Times New Roman" w:cs="Times New Roman"/>
                <w:caps w:val="0"/>
                <w:color w:val="auto"/>
                <w:spacing w:val="0"/>
                <w:position w:val="0"/>
                <w:highlight w:val="none"/>
                <w:lang w:val="en-US" w:eastAsia="zh-CN"/>
              </w:rPr>
              <w:t>和养护用水</w:t>
            </w:r>
            <w:r>
              <w:rPr>
                <w:rFonts w:hint="default" w:ascii="Times New Roman" w:hAnsi="Times New Roman" w:cs="Times New Roman"/>
                <w:caps w:val="0"/>
                <w:color w:val="auto"/>
                <w:spacing w:val="0"/>
                <w:position w:val="0"/>
                <w:highlight w:val="none"/>
              </w:rPr>
              <w:t>。</w:t>
            </w:r>
            <w:r>
              <w:rPr>
                <w:rFonts w:hint="default" w:ascii="Times New Roman" w:hAnsi="Times New Roman" w:eastAsia="宋体" w:cs="Times New Roman"/>
                <w:bCs/>
                <w:caps w:val="0"/>
                <w:color w:val="auto"/>
                <w:spacing w:val="0"/>
                <w:position w:val="0"/>
                <w:sz w:val="24"/>
                <w:highlight w:val="none"/>
                <w:lang w:val="en-US" w:eastAsia="zh-CN"/>
              </w:rPr>
              <w:t>地面采用吸尘车清扫，不产生地面清洗废水。</w:t>
            </w:r>
          </w:p>
          <w:p w14:paraId="5EA47617">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eastAsia="zh-CN"/>
              </w:rPr>
              <w:t>（</w:t>
            </w:r>
            <w:r>
              <w:rPr>
                <w:rFonts w:hint="eastAsia" w:cs="Times New Roman"/>
                <w:caps w:val="0"/>
                <w:color w:val="auto"/>
                <w:spacing w:val="0"/>
                <w:position w:val="0"/>
                <w:highlight w:val="none"/>
                <w:lang w:val="en-US" w:eastAsia="zh-CN"/>
              </w:rPr>
              <w:t>1</w:t>
            </w:r>
            <w:r>
              <w:rPr>
                <w:rFonts w:hint="eastAsia"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lang w:val="en-US" w:eastAsia="zh-CN"/>
              </w:rPr>
              <w:t>搅拌用水</w:t>
            </w:r>
          </w:p>
          <w:p w14:paraId="4E115CD2">
            <w:pPr>
              <w:keepNext w:val="0"/>
              <w:keepLines w:val="0"/>
              <w:widowControl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aps w:val="0"/>
                <w:color w:val="auto"/>
                <w:spacing w:val="0"/>
                <w:position w:val="0"/>
                <w:sz w:val="24"/>
                <w:szCs w:val="24"/>
                <w:highlight w:val="none"/>
              </w:rPr>
            </w:pPr>
            <w:r>
              <w:rPr>
                <w:rStyle w:val="89"/>
                <w:rFonts w:hint="default" w:ascii="Times New Roman" w:hAnsi="Times New Roman" w:eastAsia="宋体" w:cs="Times New Roman"/>
                <w:caps w:val="0"/>
                <w:color w:val="auto"/>
                <w:spacing w:val="0"/>
                <w:position w:val="0"/>
                <w:sz w:val="24"/>
                <w:szCs w:val="24"/>
                <w:highlight w:val="none"/>
                <w:lang w:val="en-US" w:eastAsia="zh-CN"/>
              </w:rPr>
              <w:t>根据业主提供资料，发泡砖搅拌时需添加一定的水量对混合物料进行适度的湿度调节</w:t>
            </w:r>
            <w:r>
              <w:rPr>
                <w:rStyle w:val="89"/>
                <w:rFonts w:hint="default" w:ascii="Times New Roman" w:hAnsi="Times New Roman" w:eastAsia="宋体" w:cs="Times New Roman"/>
                <w:caps w:val="0"/>
                <w:color w:val="auto"/>
                <w:spacing w:val="0"/>
                <w:position w:val="0"/>
                <w:sz w:val="24"/>
                <w:szCs w:val="24"/>
                <w:highlight w:val="none"/>
              </w:rPr>
              <w:t>。根据企业提供资料，</w:t>
            </w:r>
            <w:r>
              <w:rPr>
                <w:rStyle w:val="89"/>
                <w:rFonts w:hint="default" w:ascii="Times New Roman" w:hAnsi="Times New Roman" w:eastAsia="宋体" w:cs="Times New Roman"/>
                <w:caps w:val="0"/>
                <w:color w:val="auto"/>
                <w:spacing w:val="0"/>
                <w:position w:val="0"/>
                <w:sz w:val="24"/>
                <w:szCs w:val="24"/>
                <w:highlight w:val="none"/>
                <w:lang w:val="en-US" w:eastAsia="zh-CN"/>
              </w:rPr>
              <w:t>发泡砖添加水量</w:t>
            </w:r>
            <w:r>
              <w:rPr>
                <w:rStyle w:val="89"/>
                <w:rFonts w:hint="default" w:ascii="Times New Roman" w:hAnsi="Times New Roman" w:eastAsia="宋体" w:cs="Times New Roman"/>
                <w:caps w:val="0"/>
                <w:color w:val="auto"/>
                <w:spacing w:val="0"/>
                <w:position w:val="0"/>
                <w:sz w:val="24"/>
                <w:szCs w:val="24"/>
                <w:highlight w:val="none"/>
              </w:rPr>
              <w:t>为</w:t>
            </w:r>
            <w:r>
              <w:rPr>
                <w:rStyle w:val="89"/>
                <w:rFonts w:hint="default" w:ascii="Times New Roman" w:hAnsi="Times New Roman" w:eastAsia="宋体" w:cs="Times New Roman"/>
                <w:caps w:val="0"/>
                <w:color w:val="auto"/>
                <w:spacing w:val="0"/>
                <w:position w:val="0"/>
                <w:sz w:val="24"/>
                <w:szCs w:val="24"/>
                <w:highlight w:val="none"/>
                <w:lang w:val="en-US" w:eastAsia="zh-CN"/>
              </w:rPr>
              <w:t>产量的</w:t>
            </w:r>
            <w:r>
              <w:rPr>
                <w:rStyle w:val="89"/>
                <w:rFonts w:hint="eastAsia" w:cs="Times New Roman"/>
                <w:caps w:val="0"/>
                <w:color w:val="auto"/>
                <w:spacing w:val="0"/>
                <w:position w:val="0"/>
                <w:sz w:val="24"/>
                <w:szCs w:val="24"/>
                <w:highlight w:val="none"/>
                <w:lang w:val="en-US" w:eastAsia="zh-CN"/>
              </w:rPr>
              <w:t>2.5</w:t>
            </w:r>
            <w:r>
              <w:rPr>
                <w:rStyle w:val="89"/>
                <w:rFonts w:hint="default" w:ascii="Times New Roman" w:hAnsi="Times New Roman" w:eastAsia="宋体" w:cs="Times New Roman"/>
                <w:caps w:val="0"/>
                <w:color w:val="auto"/>
                <w:spacing w:val="0"/>
                <w:position w:val="0"/>
                <w:sz w:val="24"/>
                <w:szCs w:val="24"/>
                <w:highlight w:val="none"/>
                <w:lang w:val="en-US" w:eastAsia="zh-CN"/>
              </w:rPr>
              <w:t>%，本项目发泡砖的总产量为</w:t>
            </w:r>
            <w:r>
              <w:rPr>
                <w:rStyle w:val="89"/>
                <w:rFonts w:hint="eastAsia" w:cs="Times New Roman"/>
                <w:caps w:val="0"/>
                <w:color w:val="auto"/>
                <w:spacing w:val="0"/>
                <w:position w:val="0"/>
                <w:sz w:val="24"/>
                <w:szCs w:val="24"/>
                <w:highlight w:val="none"/>
                <w:lang w:val="en-US" w:eastAsia="zh-CN"/>
              </w:rPr>
              <w:t>20</w:t>
            </w:r>
            <w:r>
              <w:rPr>
                <w:rStyle w:val="89"/>
                <w:rFonts w:hint="default" w:ascii="Times New Roman" w:hAnsi="Times New Roman" w:eastAsia="宋体" w:cs="Times New Roman"/>
                <w:caps w:val="0"/>
                <w:color w:val="auto"/>
                <w:spacing w:val="0"/>
                <w:position w:val="0"/>
                <w:sz w:val="24"/>
                <w:szCs w:val="24"/>
                <w:highlight w:val="none"/>
                <w:lang w:val="en-US" w:eastAsia="zh-CN"/>
              </w:rPr>
              <w:t>万吨，则搅拌用水的总用量为</w:t>
            </w:r>
            <w:r>
              <w:rPr>
                <w:rFonts w:hint="eastAsia" w:cs="Times New Roman"/>
                <w:caps w:val="0"/>
                <w:color w:val="auto"/>
                <w:spacing w:val="0"/>
                <w:position w:val="0"/>
                <w:sz w:val="24"/>
                <w:szCs w:val="24"/>
                <w:highlight w:val="none"/>
                <w:lang w:val="en-US" w:eastAsia="zh-CN"/>
              </w:rPr>
              <w:t>5</w:t>
            </w:r>
            <w:r>
              <w:rPr>
                <w:rFonts w:hint="eastAsia" w:ascii="Times New Roman" w:hAnsi="Times New Roman" w:eastAsia="宋体" w:cs="Times New Roman"/>
                <w:caps w:val="0"/>
                <w:color w:val="auto"/>
                <w:spacing w:val="0"/>
                <w:position w:val="0"/>
                <w:sz w:val="24"/>
                <w:szCs w:val="24"/>
                <w:highlight w:val="none"/>
                <w:lang w:val="en-US" w:eastAsia="zh-CN"/>
              </w:rPr>
              <w:t>00</w:t>
            </w:r>
            <w:r>
              <w:rPr>
                <w:rFonts w:hint="default" w:ascii="Times New Roman" w:hAnsi="Times New Roman" w:eastAsia="宋体" w:cs="Times New Roman"/>
                <w:caps w:val="0"/>
                <w:color w:val="auto"/>
                <w:spacing w:val="0"/>
                <w:position w:val="0"/>
                <w:sz w:val="24"/>
                <w:szCs w:val="24"/>
                <w:highlight w:val="none"/>
                <w:lang w:val="en-US" w:eastAsia="zh-CN"/>
              </w:rPr>
              <w:t>0</w:t>
            </w:r>
            <w:r>
              <w:rPr>
                <w:rFonts w:hint="default" w:ascii="Times New Roman" w:hAnsi="Times New Roman" w:eastAsia="宋体" w:cs="Times New Roman"/>
                <w:caps w:val="0"/>
                <w:color w:val="auto"/>
                <w:spacing w:val="0"/>
                <w:position w:val="0"/>
                <w:sz w:val="24"/>
                <w:szCs w:val="24"/>
                <w:highlight w:val="none"/>
              </w:rPr>
              <w:t>m</w:t>
            </w:r>
            <w:r>
              <w:rPr>
                <w:rFonts w:hint="default" w:ascii="Times New Roman" w:hAnsi="Times New Roman" w:eastAsia="宋体" w:cs="Times New Roman"/>
                <w:caps w:val="0"/>
                <w:color w:val="auto"/>
                <w:spacing w:val="0"/>
                <w:position w:val="0"/>
                <w:sz w:val="24"/>
                <w:szCs w:val="24"/>
                <w:highlight w:val="none"/>
                <w:vertAlign w:val="superscript"/>
              </w:rPr>
              <w:t>3</w:t>
            </w:r>
            <w:r>
              <w:rPr>
                <w:rFonts w:hint="default" w:ascii="Times New Roman" w:hAnsi="Times New Roman" w:eastAsia="宋体" w:cs="Times New Roman"/>
                <w:caps w:val="0"/>
                <w:color w:val="auto"/>
                <w:spacing w:val="0"/>
                <w:position w:val="0"/>
                <w:sz w:val="24"/>
                <w:szCs w:val="24"/>
                <w:highlight w:val="none"/>
              </w:rPr>
              <w:t>/a</w:t>
            </w:r>
            <w:r>
              <w:rPr>
                <w:rFonts w:hint="default" w:ascii="Times New Roman" w:hAnsi="Times New Roman" w:eastAsia="宋体" w:cs="Times New Roman"/>
                <w:caps w:val="0"/>
                <w:color w:val="auto"/>
                <w:spacing w:val="0"/>
                <w:position w:val="0"/>
                <w:sz w:val="24"/>
                <w:szCs w:val="24"/>
                <w:highlight w:val="none"/>
                <w:lang w:eastAsia="zh-CN"/>
              </w:rPr>
              <w:t>（</w:t>
            </w:r>
            <w:r>
              <w:rPr>
                <w:rFonts w:hint="eastAsia" w:cs="Times New Roman"/>
                <w:caps w:val="0"/>
                <w:color w:val="auto"/>
                <w:spacing w:val="0"/>
                <w:position w:val="0"/>
                <w:sz w:val="24"/>
                <w:szCs w:val="24"/>
                <w:highlight w:val="none"/>
                <w:lang w:val="en-US" w:eastAsia="zh-CN"/>
              </w:rPr>
              <w:t>16.67</w:t>
            </w:r>
            <w:r>
              <w:rPr>
                <w:rFonts w:hint="default" w:ascii="Times New Roman" w:hAnsi="Times New Roman" w:eastAsia="宋体" w:cs="Times New Roman"/>
                <w:caps w:val="0"/>
                <w:color w:val="auto"/>
                <w:spacing w:val="0"/>
                <w:position w:val="0"/>
                <w:sz w:val="24"/>
                <w:szCs w:val="24"/>
                <w:highlight w:val="none"/>
              </w:rPr>
              <w:t>m</w:t>
            </w:r>
            <w:r>
              <w:rPr>
                <w:rFonts w:hint="default" w:ascii="Times New Roman" w:hAnsi="Times New Roman" w:eastAsia="宋体" w:cs="Times New Roman"/>
                <w:caps w:val="0"/>
                <w:color w:val="auto"/>
                <w:spacing w:val="0"/>
                <w:position w:val="0"/>
                <w:sz w:val="24"/>
                <w:szCs w:val="24"/>
                <w:highlight w:val="none"/>
                <w:vertAlign w:val="superscript"/>
              </w:rPr>
              <w:t>3</w:t>
            </w:r>
            <w:r>
              <w:rPr>
                <w:rFonts w:hint="default" w:ascii="Times New Roman" w:hAnsi="Times New Roman" w:eastAsia="宋体" w:cs="Times New Roman"/>
                <w:caps w:val="0"/>
                <w:color w:val="auto"/>
                <w:spacing w:val="0"/>
                <w:position w:val="0"/>
                <w:sz w:val="24"/>
                <w:szCs w:val="24"/>
                <w:highlight w:val="none"/>
              </w:rPr>
              <w:t>/</w:t>
            </w:r>
            <w:r>
              <w:rPr>
                <w:rFonts w:hint="default" w:ascii="Times New Roman" w:hAnsi="Times New Roman" w:eastAsia="宋体" w:cs="Times New Roman"/>
                <w:caps w:val="0"/>
                <w:color w:val="auto"/>
                <w:spacing w:val="0"/>
                <w:position w:val="0"/>
                <w:sz w:val="24"/>
                <w:szCs w:val="24"/>
                <w:highlight w:val="none"/>
                <w:lang w:val="en-US" w:eastAsia="zh-CN"/>
              </w:rPr>
              <w:t>d</w:t>
            </w:r>
            <w:r>
              <w:rPr>
                <w:rFonts w:hint="default" w:ascii="Times New Roman" w:hAnsi="Times New Roman" w:eastAsia="宋体" w:cs="Times New Roman"/>
                <w:caps w:val="0"/>
                <w:color w:val="auto"/>
                <w:spacing w:val="0"/>
                <w:position w:val="0"/>
                <w:sz w:val="24"/>
                <w:szCs w:val="24"/>
                <w:highlight w:val="none"/>
                <w:lang w:eastAsia="zh-CN"/>
              </w:rPr>
              <w:t>），</w:t>
            </w:r>
            <w:r>
              <w:rPr>
                <w:rFonts w:hint="default" w:ascii="Times New Roman" w:hAnsi="Times New Roman" w:eastAsia="宋体" w:cs="Times New Roman"/>
                <w:caps w:val="0"/>
                <w:color w:val="auto"/>
                <w:spacing w:val="0"/>
                <w:position w:val="0"/>
                <w:sz w:val="24"/>
                <w:szCs w:val="24"/>
                <w:highlight w:val="none"/>
              </w:rPr>
              <w:t>项目</w:t>
            </w:r>
            <w:r>
              <w:rPr>
                <w:rFonts w:hint="default" w:ascii="Times New Roman" w:hAnsi="Times New Roman" w:eastAsia="宋体" w:cs="Times New Roman"/>
                <w:caps w:val="0"/>
                <w:color w:val="auto"/>
                <w:spacing w:val="0"/>
                <w:position w:val="0"/>
                <w:sz w:val="24"/>
                <w:szCs w:val="24"/>
                <w:highlight w:val="none"/>
                <w:lang w:val="en-US" w:eastAsia="zh-CN"/>
              </w:rPr>
              <w:t>搅拌用</w:t>
            </w:r>
            <w:r>
              <w:rPr>
                <w:rFonts w:hint="default" w:ascii="Times New Roman" w:hAnsi="Times New Roman" w:eastAsia="宋体" w:cs="Times New Roman"/>
                <w:caps w:val="0"/>
                <w:color w:val="auto"/>
                <w:spacing w:val="0"/>
                <w:position w:val="0"/>
                <w:sz w:val="24"/>
                <w:szCs w:val="24"/>
                <w:highlight w:val="none"/>
              </w:rPr>
              <w:t>水全部</w:t>
            </w:r>
            <w:r>
              <w:rPr>
                <w:rFonts w:hint="default" w:ascii="Times New Roman" w:hAnsi="Times New Roman" w:eastAsia="宋体" w:cs="Times New Roman"/>
                <w:caps w:val="0"/>
                <w:color w:val="auto"/>
                <w:spacing w:val="0"/>
                <w:position w:val="0"/>
                <w:sz w:val="24"/>
                <w:szCs w:val="24"/>
                <w:highlight w:val="none"/>
                <w:lang w:val="en-US" w:eastAsia="zh-CN"/>
              </w:rPr>
              <w:t>损耗或进入产品</w:t>
            </w:r>
            <w:r>
              <w:rPr>
                <w:rFonts w:hint="default" w:ascii="Times New Roman" w:hAnsi="Times New Roman" w:eastAsia="宋体" w:cs="Times New Roman"/>
                <w:caps w:val="0"/>
                <w:color w:val="auto"/>
                <w:spacing w:val="0"/>
                <w:position w:val="0"/>
                <w:sz w:val="24"/>
                <w:szCs w:val="24"/>
                <w:highlight w:val="none"/>
              </w:rPr>
              <w:t>，不外排。</w:t>
            </w:r>
          </w:p>
          <w:p w14:paraId="1BB47FC0">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eastAsia" w:cs="Times New Roman"/>
                <w:caps w:val="0"/>
                <w:color w:val="auto"/>
                <w:spacing w:val="0"/>
                <w:position w:val="0"/>
                <w:highlight w:val="none"/>
                <w:lang w:eastAsia="zh-CN"/>
              </w:rPr>
              <w:t>（</w:t>
            </w:r>
            <w:r>
              <w:rPr>
                <w:rFonts w:hint="eastAsia" w:cs="Times New Roman"/>
                <w:caps w:val="0"/>
                <w:color w:val="auto"/>
                <w:spacing w:val="0"/>
                <w:position w:val="0"/>
                <w:highlight w:val="none"/>
                <w:lang w:val="en-US" w:eastAsia="zh-CN"/>
              </w:rPr>
              <w:t>2</w:t>
            </w:r>
            <w:r>
              <w:rPr>
                <w:rFonts w:hint="eastAsia"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rPr>
              <w:t>洗车</w:t>
            </w:r>
            <w:r>
              <w:rPr>
                <w:rFonts w:hint="default" w:ascii="Times New Roman" w:hAnsi="Times New Roman" w:cs="Times New Roman"/>
                <w:caps w:val="0"/>
                <w:color w:val="auto"/>
                <w:spacing w:val="0"/>
                <w:position w:val="0"/>
                <w:highlight w:val="none"/>
                <w:lang w:val="en-US" w:eastAsia="zh-CN"/>
              </w:rPr>
              <w:t>用</w:t>
            </w:r>
            <w:r>
              <w:rPr>
                <w:rFonts w:hint="default" w:ascii="Times New Roman" w:hAnsi="Times New Roman" w:cs="Times New Roman"/>
                <w:caps w:val="0"/>
                <w:color w:val="auto"/>
                <w:spacing w:val="0"/>
                <w:position w:val="0"/>
                <w:highlight w:val="none"/>
              </w:rPr>
              <w:t>水</w:t>
            </w:r>
          </w:p>
          <w:p w14:paraId="0BBBC750">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eastAsia" w:cs="Times New Roman"/>
                <w:caps w:val="0"/>
                <w:color w:val="auto"/>
                <w:spacing w:val="0"/>
                <w:position w:val="0"/>
                <w:highlight w:val="none"/>
                <w:lang w:val="en-US" w:eastAsia="zh-CN"/>
              </w:rPr>
              <w:t>依托</w:t>
            </w:r>
            <w:r>
              <w:rPr>
                <w:rFonts w:hint="default" w:ascii="Times New Roman" w:hAnsi="Times New Roman" w:cs="Times New Roman"/>
                <w:caps w:val="0"/>
                <w:color w:val="auto"/>
                <w:spacing w:val="0"/>
                <w:position w:val="0"/>
                <w:highlight w:val="none"/>
                <w:lang w:val="en-US" w:eastAsia="zh-CN"/>
              </w:rPr>
              <w:t>租赁厂区入口</w:t>
            </w:r>
            <w:r>
              <w:rPr>
                <w:rFonts w:hint="eastAsia"/>
                <w:caps w:val="0"/>
                <w:color w:val="auto"/>
                <w:spacing w:val="0"/>
                <w:position w:val="0"/>
                <w:highlight w:val="none"/>
                <w:lang w:val="en-US" w:eastAsia="zh-CN"/>
              </w:rPr>
              <w:t>现有</w:t>
            </w:r>
            <w:r>
              <w:rPr>
                <w:rFonts w:hint="default" w:ascii="Times New Roman" w:hAnsi="Times New Roman" w:cs="Times New Roman"/>
                <w:caps w:val="0"/>
                <w:color w:val="auto"/>
                <w:spacing w:val="0"/>
                <w:position w:val="0"/>
                <w:highlight w:val="none"/>
              </w:rPr>
              <w:t>车辆冲洗平台</w:t>
            </w:r>
            <w:r>
              <w:rPr>
                <w:rFonts w:hint="eastAsia" w:cs="Times New Roman"/>
                <w:caps w:val="0"/>
                <w:color w:val="auto"/>
                <w:spacing w:val="0"/>
                <w:position w:val="0"/>
                <w:highlight w:val="none"/>
                <w:lang w:val="en-US" w:eastAsia="zh-CN"/>
              </w:rPr>
              <w:t>对进厂车辆进行冲洗</w:t>
            </w:r>
            <w:r>
              <w:rPr>
                <w:rFonts w:hint="eastAsia"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rPr>
              <w:t>在原料仓库周边设置喷淋装置来减少无组织粉尘的对环境的影响。</w:t>
            </w:r>
          </w:p>
          <w:p w14:paraId="3936D5FE">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eastAsia="zh-CN"/>
              </w:rPr>
            </w:pPr>
            <w:r>
              <w:rPr>
                <w:rFonts w:hint="default" w:ascii="Times New Roman" w:hAnsi="Times New Roman" w:cs="Times New Roman"/>
                <w:caps w:val="0"/>
                <w:color w:val="auto"/>
                <w:spacing w:val="0"/>
                <w:position w:val="0"/>
                <w:highlight w:val="none"/>
                <w:lang w:eastAsia="zh-CN"/>
              </w:rPr>
              <w:t>根据建设单位提供的资料，项目采用自卸车进行</w:t>
            </w:r>
            <w:r>
              <w:rPr>
                <w:rFonts w:hint="default" w:ascii="Times New Roman" w:hAnsi="Times New Roman" w:cs="Times New Roman"/>
                <w:caps w:val="0"/>
                <w:color w:val="auto"/>
                <w:spacing w:val="0"/>
                <w:position w:val="0"/>
                <w:highlight w:val="none"/>
                <w:lang w:val="en-US" w:eastAsia="zh-CN"/>
              </w:rPr>
              <w:t>物料</w:t>
            </w:r>
            <w:r>
              <w:rPr>
                <w:rFonts w:hint="default" w:ascii="Times New Roman" w:hAnsi="Times New Roman" w:cs="Times New Roman"/>
                <w:caps w:val="0"/>
                <w:color w:val="auto"/>
                <w:spacing w:val="0"/>
                <w:position w:val="0"/>
                <w:highlight w:val="none"/>
                <w:lang w:eastAsia="zh-CN"/>
              </w:rPr>
              <w:t>装卸运输，平均</w:t>
            </w:r>
            <w:r>
              <w:rPr>
                <w:rFonts w:hint="default" w:ascii="Times New Roman" w:hAnsi="Times New Roman" w:cs="Times New Roman"/>
                <w:caps w:val="0"/>
                <w:color w:val="auto"/>
                <w:spacing w:val="0"/>
                <w:position w:val="0"/>
                <w:highlight w:val="none"/>
              </w:rPr>
              <w:t>单车一次运输量为</w:t>
            </w:r>
            <w:r>
              <w:rPr>
                <w:rFonts w:hint="default" w:ascii="Times New Roman" w:hAnsi="Times New Roman" w:cs="Times New Roman"/>
                <w:caps w:val="0"/>
                <w:color w:val="auto"/>
                <w:spacing w:val="0"/>
                <w:position w:val="0"/>
                <w:highlight w:val="none"/>
                <w:lang w:val="en-US" w:eastAsia="zh-CN"/>
              </w:rPr>
              <w:t>40</w:t>
            </w:r>
            <w:r>
              <w:rPr>
                <w:rFonts w:hint="default" w:ascii="Times New Roman" w:hAnsi="Times New Roman" w:cs="Times New Roman"/>
                <w:caps w:val="0"/>
                <w:color w:val="auto"/>
                <w:spacing w:val="0"/>
                <w:position w:val="0"/>
                <w:highlight w:val="none"/>
              </w:rPr>
              <w:t>t，</w:t>
            </w:r>
            <w:r>
              <w:rPr>
                <w:rFonts w:hint="eastAsia" w:cs="Times New Roman"/>
                <w:caps w:val="0"/>
                <w:color w:val="auto"/>
                <w:spacing w:val="0"/>
                <w:position w:val="0"/>
                <w:highlight w:val="none"/>
                <w:lang w:val="en-US" w:eastAsia="zh-CN"/>
              </w:rPr>
              <w:t>本项目原料和产品的总运输量为399070t/a，</w:t>
            </w:r>
            <w:r>
              <w:rPr>
                <w:rFonts w:hint="default" w:ascii="Times New Roman" w:hAnsi="Times New Roman" w:cs="Times New Roman"/>
                <w:caps w:val="0"/>
                <w:color w:val="auto"/>
                <w:spacing w:val="0"/>
                <w:position w:val="0"/>
                <w:highlight w:val="none"/>
                <w:lang w:eastAsia="zh-CN"/>
              </w:rPr>
              <w:t>则</w:t>
            </w:r>
            <w:r>
              <w:rPr>
                <w:rFonts w:hint="default" w:ascii="Times New Roman" w:hAnsi="Times New Roman" w:cs="Times New Roman"/>
                <w:caps w:val="0"/>
                <w:color w:val="auto"/>
                <w:spacing w:val="0"/>
                <w:position w:val="0"/>
                <w:highlight w:val="none"/>
              </w:rPr>
              <w:t>项目年出场车辆</w:t>
            </w:r>
            <w:r>
              <w:rPr>
                <w:rFonts w:hint="eastAsia" w:cs="Times New Roman"/>
                <w:caps w:val="0"/>
                <w:color w:val="auto"/>
                <w:spacing w:val="0"/>
                <w:position w:val="0"/>
                <w:highlight w:val="none"/>
                <w:lang w:val="en-US" w:eastAsia="zh-CN"/>
              </w:rPr>
              <w:t>9977</w:t>
            </w:r>
            <w:r>
              <w:rPr>
                <w:rFonts w:hint="default" w:ascii="Times New Roman" w:hAnsi="Times New Roman" w:cs="Times New Roman"/>
                <w:caps w:val="0"/>
                <w:color w:val="auto"/>
                <w:spacing w:val="0"/>
                <w:position w:val="0"/>
                <w:highlight w:val="none"/>
              </w:rPr>
              <w:t>辆·次，日平均出场车辆</w:t>
            </w:r>
            <w:r>
              <w:rPr>
                <w:rFonts w:hint="eastAsia" w:cs="Times New Roman"/>
                <w:caps w:val="0"/>
                <w:color w:val="auto"/>
                <w:spacing w:val="0"/>
                <w:position w:val="0"/>
                <w:highlight w:val="none"/>
                <w:lang w:val="en-US" w:eastAsia="zh-CN"/>
              </w:rPr>
              <w:t>34</w:t>
            </w:r>
            <w:r>
              <w:rPr>
                <w:rFonts w:hint="default" w:ascii="Times New Roman" w:hAnsi="Times New Roman" w:cs="Times New Roman"/>
                <w:caps w:val="0"/>
                <w:color w:val="auto"/>
                <w:spacing w:val="0"/>
                <w:position w:val="0"/>
                <w:highlight w:val="none"/>
              </w:rPr>
              <w:t>辆·次，每次均需冲洗。根据《建筑给水排水设计标准》（GB50015-2019），载重汽车循环用水冲洗用水定额为40-60L/辆·次，本项目取50L/辆·次，全</w:t>
            </w:r>
            <w:r>
              <w:rPr>
                <w:rFonts w:hint="default" w:ascii="Times New Roman" w:hAnsi="Times New Roman" w:cs="Times New Roman"/>
                <w:caps w:val="0"/>
                <w:color w:val="auto"/>
                <w:spacing w:val="0"/>
                <w:position w:val="0"/>
                <w:highlight w:val="none"/>
                <w:lang w:val="en-US" w:eastAsia="zh-CN"/>
              </w:rPr>
              <w:t>年</w:t>
            </w:r>
            <w:r>
              <w:rPr>
                <w:rFonts w:hint="default" w:ascii="Times New Roman" w:hAnsi="Times New Roman" w:cs="Times New Roman"/>
                <w:caps w:val="0"/>
                <w:color w:val="auto"/>
                <w:spacing w:val="0"/>
                <w:position w:val="0"/>
                <w:highlight w:val="none"/>
              </w:rPr>
              <w:t>车辆冲洗用水</w:t>
            </w:r>
            <w:r>
              <w:rPr>
                <w:rFonts w:hint="eastAsia" w:cs="Times New Roman"/>
                <w:caps w:val="0"/>
                <w:color w:val="auto"/>
                <w:spacing w:val="0"/>
                <w:position w:val="0"/>
                <w:highlight w:val="none"/>
                <w:lang w:val="en-US" w:eastAsia="zh-CN"/>
              </w:rPr>
              <w:t>510</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3</w:t>
            </w:r>
            <w:r>
              <w:rPr>
                <w:rFonts w:hint="default" w:ascii="Times New Roman" w:hAnsi="Times New Roman" w:cs="Times New Roman"/>
                <w:caps w:val="0"/>
                <w:color w:val="auto"/>
                <w:spacing w:val="0"/>
                <w:position w:val="0"/>
                <w:highlight w:val="none"/>
              </w:rPr>
              <w:t>/a</w:t>
            </w:r>
            <w:r>
              <w:rPr>
                <w:rFonts w:hint="default" w:ascii="Times New Roman" w:hAnsi="Times New Roman" w:cs="Times New Roman"/>
                <w:caps w:val="0"/>
                <w:color w:val="auto"/>
                <w:spacing w:val="0"/>
                <w:position w:val="0"/>
                <w:highlight w:val="none"/>
                <w:lang w:eastAsia="zh-CN"/>
              </w:rPr>
              <w:t>（</w:t>
            </w:r>
            <w:r>
              <w:rPr>
                <w:rFonts w:hint="eastAsia" w:cs="Times New Roman"/>
                <w:caps w:val="0"/>
                <w:color w:val="auto"/>
                <w:spacing w:val="0"/>
                <w:position w:val="0"/>
                <w:highlight w:val="none"/>
                <w:lang w:val="en-US" w:eastAsia="zh-CN"/>
              </w:rPr>
              <w:t>1.7</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3</w:t>
            </w: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d</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rPr>
              <w:t>。产污系数按0.8计，</w:t>
            </w:r>
            <w:r>
              <w:rPr>
                <w:rFonts w:hint="default" w:ascii="Times New Roman" w:hAnsi="Times New Roman" w:cs="Times New Roman"/>
                <w:caps w:val="0"/>
                <w:color w:val="auto"/>
                <w:spacing w:val="0"/>
                <w:position w:val="0"/>
                <w:highlight w:val="none"/>
                <w:lang w:val="en-US" w:eastAsia="zh-CN"/>
              </w:rPr>
              <w:t>洗车废水</w:t>
            </w:r>
            <w:r>
              <w:rPr>
                <w:rFonts w:hint="default" w:ascii="Times New Roman" w:hAnsi="Times New Roman" w:cs="Times New Roman"/>
                <w:caps w:val="0"/>
                <w:color w:val="auto"/>
                <w:spacing w:val="0"/>
                <w:position w:val="0"/>
                <w:highlight w:val="none"/>
              </w:rPr>
              <w:t>合计产生量</w:t>
            </w:r>
            <w:r>
              <w:rPr>
                <w:rFonts w:hint="eastAsia" w:cs="Times New Roman"/>
                <w:caps w:val="0"/>
                <w:color w:val="auto"/>
                <w:spacing w:val="0"/>
                <w:position w:val="0"/>
                <w:highlight w:val="none"/>
                <w:lang w:val="en-US" w:eastAsia="zh-CN"/>
              </w:rPr>
              <w:t>408</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3</w:t>
            </w:r>
            <w:r>
              <w:rPr>
                <w:rFonts w:hint="default" w:ascii="Times New Roman" w:hAnsi="Times New Roman" w:cs="Times New Roman"/>
                <w:caps w:val="0"/>
                <w:color w:val="auto"/>
                <w:spacing w:val="0"/>
                <w:position w:val="0"/>
                <w:highlight w:val="none"/>
              </w:rPr>
              <w:t>/a</w:t>
            </w:r>
            <w:r>
              <w:rPr>
                <w:rFonts w:hint="default" w:ascii="Times New Roman" w:hAnsi="Times New Roman" w:cs="Times New Roman"/>
                <w:caps w:val="0"/>
                <w:color w:val="auto"/>
                <w:spacing w:val="0"/>
                <w:position w:val="0"/>
                <w:highlight w:val="none"/>
                <w:lang w:eastAsia="zh-CN"/>
              </w:rPr>
              <w:t>（</w:t>
            </w:r>
            <w:r>
              <w:rPr>
                <w:rFonts w:hint="eastAsia" w:cs="Times New Roman"/>
                <w:caps w:val="0"/>
                <w:color w:val="auto"/>
                <w:spacing w:val="0"/>
                <w:position w:val="0"/>
                <w:highlight w:val="none"/>
                <w:lang w:val="en-US" w:eastAsia="zh-CN"/>
              </w:rPr>
              <w:t>1.36</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3</w:t>
            </w: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d</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rPr>
              <w:t>。</w:t>
            </w:r>
            <w:r>
              <w:rPr>
                <w:rFonts w:hint="default" w:ascii="Times New Roman" w:hAnsi="Times New Roman" w:eastAsia="宋体" w:cs="Times New Roman"/>
                <w:caps w:val="0"/>
                <w:color w:val="auto"/>
                <w:spacing w:val="0"/>
                <w:kern w:val="2"/>
                <w:position w:val="0"/>
                <w:sz w:val="24"/>
                <w:szCs w:val="24"/>
                <w:highlight w:val="none"/>
                <w:lang w:val="en-US" w:eastAsia="zh-CN" w:bidi="ar-SA"/>
              </w:rPr>
              <w:t>主要污染物为</w:t>
            </w:r>
            <w:r>
              <w:rPr>
                <w:rFonts w:hint="default" w:ascii="Times New Roman" w:hAnsi="Times New Roman" w:eastAsia="宋体" w:cs="Times New Roman"/>
                <w:b w:val="0"/>
                <w:bCs w:val="0"/>
                <w:caps w:val="0"/>
                <w:color w:val="auto"/>
                <w:spacing w:val="0"/>
                <w:position w:val="0"/>
                <w:sz w:val="24"/>
                <w:szCs w:val="32"/>
                <w:lang w:val="en-US" w:eastAsia="zh-CN"/>
              </w:rPr>
              <w:t>COD</w:t>
            </w:r>
            <w:r>
              <w:rPr>
                <w:rFonts w:hint="default" w:ascii="Times New Roman" w:hAnsi="Times New Roman" w:eastAsia="宋体" w:cs="Times New Roman"/>
                <w:b w:val="0"/>
                <w:bCs w:val="0"/>
                <w:caps w:val="0"/>
                <w:color w:val="auto"/>
                <w:spacing w:val="0"/>
                <w:position w:val="0"/>
                <w:sz w:val="24"/>
                <w:szCs w:val="32"/>
                <w:vertAlign w:val="subscript"/>
                <w:lang w:val="en-US" w:eastAsia="zh-CN"/>
              </w:rPr>
              <w:t>Cr</w:t>
            </w:r>
            <w:r>
              <w:rPr>
                <w:rFonts w:hint="eastAsia" w:ascii="Times New Roman" w:hAnsi="Times New Roman" w:eastAsia="宋体" w:cs="Times New Roman"/>
                <w:b w:val="0"/>
                <w:bCs w:val="0"/>
                <w:caps w:val="0"/>
                <w:color w:val="auto"/>
                <w:spacing w:val="0"/>
                <w:position w:val="0"/>
                <w:sz w:val="24"/>
                <w:szCs w:val="32"/>
                <w:vertAlign w:val="baseline"/>
                <w:lang w:val="en-US" w:eastAsia="zh-CN"/>
              </w:rPr>
              <w:t>、</w:t>
            </w:r>
            <w:r>
              <w:rPr>
                <w:rFonts w:hint="default" w:ascii="Times New Roman" w:hAnsi="Times New Roman" w:eastAsia="宋体" w:cs="Times New Roman"/>
                <w:caps w:val="0"/>
                <w:color w:val="auto"/>
                <w:spacing w:val="0"/>
                <w:kern w:val="2"/>
                <w:position w:val="0"/>
                <w:sz w:val="24"/>
                <w:szCs w:val="24"/>
                <w:highlight w:val="none"/>
                <w:lang w:val="en-US" w:eastAsia="zh-CN" w:bidi="ar-SA"/>
              </w:rPr>
              <w:t>SS、石油类、总铍、总铊、氟化物</w:t>
            </w:r>
            <w:r>
              <w:rPr>
                <w:rFonts w:hint="default" w:ascii="Times New Roman" w:hAnsi="Times New Roman" w:eastAsia="宋体" w:cs="Times New Roman"/>
                <w:caps w:val="0"/>
                <w:color w:val="auto"/>
                <w:spacing w:val="0"/>
                <w:position w:val="0"/>
                <w:highlight w:val="none"/>
                <w:lang w:eastAsia="zh-CN"/>
              </w:rPr>
              <w:t>，</w:t>
            </w:r>
            <w:r>
              <w:rPr>
                <w:rFonts w:hint="default" w:ascii="Times New Roman" w:hAnsi="Times New Roman" w:eastAsia="宋体" w:cs="Times New Roman"/>
                <w:b w:val="0"/>
                <w:bCs w:val="0"/>
                <w:caps w:val="0"/>
                <w:color w:val="auto"/>
                <w:spacing w:val="0"/>
                <w:position w:val="0"/>
                <w:sz w:val="24"/>
                <w:szCs w:val="32"/>
                <w:lang w:val="en-US" w:eastAsia="zh-CN"/>
              </w:rPr>
              <w:t>参考类似建设项目，</w:t>
            </w:r>
            <w:r>
              <w:rPr>
                <w:rFonts w:hint="eastAsia" w:cs="Times New Roman"/>
                <w:b w:val="0"/>
                <w:bCs w:val="0"/>
                <w:caps w:val="0"/>
                <w:color w:val="auto"/>
                <w:spacing w:val="0"/>
                <w:position w:val="0"/>
                <w:sz w:val="24"/>
                <w:szCs w:val="32"/>
                <w:lang w:val="en-US" w:eastAsia="zh-CN"/>
              </w:rPr>
              <w:t>洗车</w:t>
            </w:r>
            <w:r>
              <w:rPr>
                <w:rFonts w:hint="default" w:ascii="Times New Roman" w:hAnsi="Times New Roman" w:eastAsia="宋体" w:cs="Times New Roman"/>
                <w:b w:val="0"/>
                <w:bCs w:val="0"/>
                <w:caps w:val="0"/>
                <w:color w:val="auto"/>
                <w:spacing w:val="0"/>
                <w:position w:val="0"/>
                <w:sz w:val="24"/>
                <w:szCs w:val="32"/>
                <w:lang w:val="en-US" w:eastAsia="zh-CN"/>
              </w:rPr>
              <w:t>废水污染物浓度为COD</w:t>
            </w:r>
            <w:r>
              <w:rPr>
                <w:rFonts w:hint="default" w:ascii="Times New Roman" w:hAnsi="Times New Roman" w:eastAsia="宋体" w:cs="Times New Roman"/>
                <w:b w:val="0"/>
                <w:bCs w:val="0"/>
                <w:caps w:val="0"/>
                <w:color w:val="auto"/>
                <w:spacing w:val="0"/>
                <w:position w:val="0"/>
                <w:sz w:val="24"/>
                <w:szCs w:val="32"/>
                <w:vertAlign w:val="subscript"/>
                <w:lang w:val="en-US" w:eastAsia="zh-CN"/>
              </w:rPr>
              <w:t>Cr</w:t>
            </w:r>
            <w:r>
              <w:rPr>
                <w:rFonts w:hint="default" w:ascii="Times New Roman" w:hAnsi="Times New Roman" w:eastAsia="宋体" w:cs="Times New Roman"/>
                <w:b w:val="0"/>
                <w:bCs w:val="0"/>
                <w:caps w:val="0"/>
                <w:color w:val="auto"/>
                <w:spacing w:val="0"/>
                <w:position w:val="0"/>
                <w:sz w:val="24"/>
                <w:szCs w:val="32"/>
                <w:lang w:val="en-US" w:eastAsia="zh-CN"/>
              </w:rPr>
              <w:t>：40mg/L、SS：</w:t>
            </w:r>
            <w:r>
              <w:rPr>
                <w:rFonts w:hint="eastAsia" w:cs="Times New Roman"/>
                <w:b w:val="0"/>
                <w:bCs w:val="0"/>
                <w:caps w:val="0"/>
                <w:color w:val="auto"/>
                <w:spacing w:val="0"/>
                <w:position w:val="0"/>
                <w:sz w:val="24"/>
                <w:szCs w:val="32"/>
                <w:lang w:val="en-US" w:eastAsia="zh-CN"/>
              </w:rPr>
              <w:t>4</w:t>
            </w:r>
            <w:r>
              <w:rPr>
                <w:rFonts w:hint="default" w:ascii="Times New Roman" w:hAnsi="Times New Roman" w:eastAsia="宋体" w:cs="Times New Roman"/>
                <w:b w:val="0"/>
                <w:bCs w:val="0"/>
                <w:caps w:val="0"/>
                <w:color w:val="auto"/>
                <w:spacing w:val="0"/>
                <w:position w:val="0"/>
                <w:sz w:val="24"/>
                <w:szCs w:val="32"/>
                <w:lang w:val="en-US" w:eastAsia="zh-CN"/>
              </w:rPr>
              <w:t>00mg/L、石油类：1mg/L、总铍：0.005mg/L、总铊：0.01mg/L和氟化物：5mg/L。</w:t>
            </w:r>
            <w:r>
              <w:rPr>
                <w:rFonts w:hint="default" w:ascii="Times New Roman" w:hAnsi="Times New Roman" w:cs="Times New Roman"/>
                <w:caps w:val="0"/>
                <w:color w:val="auto"/>
                <w:spacing w:val="0"/>
                <w:position w:val="0"/>
                <w:highlight w:val="none"/>
                <w:lang w:eastAsia="zh-CN"/>
              </w:rPr>
              <w:t>洗车用水</w:t>
            </w:r>
            <w:r>
              <w:rPr>
                <w:rFonts w:hint="eastAsia" w:cs="Times New Roman"/>
                <w:caps w:val="0"/>
                <w:color w:val="auto"/>
                <w:spacing w:val="0"/>
                <w:position w:val="0"/>
                <w:highlight w:val="none"/>
                <w:lang w:val="en-US" w:eastAsia="zh-CN"/>
              </w:rPr>
              <w:t>通过</w:t>
            </w:r>
            <w:r>
              <w:rPr>
                <w:rFonts w:hint="eastAsia"/>
                <w:caps w:val="0"/>
                <w:color w:val="auto"/>
                <w:spacing w:val="0"/>
                <w:position w:val="0"/>
                <w:sz w:val="24"/>
                <w:szCs w:val="24"/>
              </w:rPr>
              <w:t>导流沟</w:t>
            </w:r>
            <w:r>
              <w:rPr>
                <w:rFonts w:hint="default" w:ascii="Times New Roman" w:hAnsi="Times New Roman" w:cs="Times New Roman"/>
                <w:caps w:val="0"/>
                <w:color w:val="auto"/>
                <w:spacing w:val="0"/>
                <w:position w:val="0"/>
                <w:highlight w:val="none"/>
                <w:lang w:eastAsia="zh-CN"/>
              </w:rPr>
              <w:t>收集至</w:t>
            </w:r>
            <w:r>
              <w:rPr>
                <w:rFonts w:hint="default" w:ascii="Times New Roman" w:hAnsi="Times New Roman" w:eastAsia="宋体" w:cs="Times New Roman"/>
                <w:caps w:val="0"/>
                <w:color w:val="auto"/>
                <w:spacing w:val="0"/>
                <w:position w:val="0"/>
                <w:sz w:val="21"/>
                <w:szCs w:val="21"/>
                <w:highlight w:val="none"/>
                <w:lang w:val="en-US" w:eastAsia="zh-CN"/>
              </w:rPr>
              <w:t>1#</w:t>
            </w:r>
            <w:r>
              <w:rPr>
                <w:rFonts w:hint="default" w:ascii="Times New Roman" w:hAnsi="Times New Roman" w:cs="Times New Roman"/>
                <w:caps w:val="0"/>
                <w:color w:val="auto"/>
                <w:spacing w:val="0"/>
                <w:position w:val="0"/>
                <w:highlight w:val="none"/>
              </w:rPr>
              <w:t>沉淀</w:t>
            </w:r>
            <w:r>
              <w:rPr>
                <w:rFonts w:hint="default" w:ascii="Times New Roman" w:hAnsi="Times New Roman" w:cs="Times New Roman"/>
                <w:caps w:val="0"/>
                <w:color w:val="auto"/>
                <w:spacing w:val="0"/>
                <w:position w:val="0"/>
                <w:highlight w:val="none"/>
                <w:lang w:val="en-US" w:eastAsia="zh-CN"/>
              </w:rPr>
              <w:t>池</w:t>
            </w:r>
            <w:r>
              <w:rPr>
                <w:rFonts w:hint="default" w:ascii="Times New Roman" w:hAnsi="Times New Roman" w:cs="Times New Roman"/>
                <w:caps w:val="0"/>
                <w:color w:val="auto"/>
                <w:spacing w:val="0"/>
                <w:position w:val="0"/>
                <w:highlight w:val="none"/>
                <w:lang w:eastAsia="zh-CN"/>
              </w:rPr>
              <w:t>，</w:t>
            </w:r>
            <w:r>
              <w:rPr>
                <w:rFonts w:hint="eastAsia" w:cs="Times New Roman"/>
                <w:caps w:val="0"/>
                <w:color w:val="auto"/>
                <w:spacing w:val="0"/>
                <w:position w:val="0"/>
                <w:highlight w:val="none"/>
                <w:lang w:val="en-US" w:eastAsia="zh-CN"/>
              </w:rPr>
              <w:t>经</w:t>
            </w:r>
            <w:r>
              <w:rPr>
                <w:rFonts w:hint="default" w:ascii="Times New Roman" w:hAnsi="Times New Roman"/>
                <w:caps w:val="0"/>
                <w:color w:val="auto"/>
                <w:spacing w:val="0"/>
                <w:position w:val="0"/>
                <w:szCs w:val="21"/>
                <w:highlight w:val="none"/>
                <w:lang w:val="en-US" w:eastAsia="zh-CN" w:bidi="ar"/>
              </w:rPr>
              <w:t>氧化+絮凝沉淀</w:t>
            </w:r>
            <w:r>
              <w:rPr>
                <w:rFonts w:hint="eastAsia" w:cs="Times New Roman"/>
                <w:caps w:val="0"/>
                <w:color w:val="auto"/>
                <w:spacing w:val="0"/>
                <w:position w:val="0"/>
                <w:highlight w:val="none"/>
                <w:lang w:val="en-US" w:eastAsia="zh-CN"/>
              </w:rPr>
              <w:t>处理</w:t>
            </w:r>
            <w:r>
              <w:rPr>
                <w:rFonts w:hint="default" w:ascii="Times New Roman" w:hAnsi="Times New Roman" w:cs="Times New Roman"/>
                <w:caps w:val="0"/>
                <w:color w:val="auto"/>
                <w:spacing w:val="0"/>
                <w:position w:val="0"/>
                <w:highlight w:val="none"/>
                <w:lang w:eastAsia="zh-CN"/>
              </w:rPr>
              <w:t>后达《城市污水再生利用工业用水水质》（GB/T19923-2024）中洗涤水标准</w:t>
            </w:r>
            <w:r>
              <w:rPr>
                <w:rFonts w:hint="eastAsia" w:ascii="Times New Roman" w:hAnsi="Times New Roman" w:cs="Times New Roman"/>
                <w:caps w:val="0"/>
                <w:color w:val="auto"/>
                <w:spacing w:val="0"/>
                <w:position w:val="0"/>
                <w:highlight w:val="none"/>
                <w:lang w:eastAsia="zh-CN"/>
              </w:rPr>
              <w:t>、</w:t>
            </w:r>
            <w:r>
              <w:rPr>
                <w:rFonts w:hint="eastAsia"/>
                <w:caps w:val="0"/>
                <w:color w:val="auto"/>
                <w:spacing w:val="0"/>
                <w:position w:val="0"/>
                <w:highlight w:val="none"/>
                <w:lang w:eastAsia="zh-CN"/>
              </w:rPr>
              <w:t>《无机化学工业污染物排放标准》（GB31573-2015）修改单</w:t>
            </w:r>
            <w:r>
              <w:rPr>
                <w:rFonts w:hint="eastAsia"/>
                <w:caps w:val="0"/>
                <w:color w:val="auto"/>
                <w:spacing w:val="0"/>
                <w:position w:val="0"/>
                <w:highlight w:val="none"/>
              </w:rPr>
              <w:t>和《工业废水铊污染物排放标准》（DB36/1149-2019）标准</w:t>
            </w:r>
            <w:r>
              <w:rPr>
                <w:rFonts w:hint="eastAsia"/>
                <w:caps w:val="0"/>
                <w:color w:val="auto"/>
                <w:spacing w:val="0"/>
                <w:position w:val="0"/>
                <w:highlight w:val="none"/>
                <w:lang w:val="en-US" w:eastAsia="zh-CN"/>
              </w:rPr>
              <w:t>后</w:t>
            </w:r>
            <w:r>
              <w:rPr>
                <w:rFonts w:hint="default" w:ascii="Times New Roman" w:hAnsi="Times New Roman" w:cs="Times New Roman"/>
                <w:caps w:val="0"/>
                <w:color w:val="auto"/>
                <w:spacing w:val="0"/>
                <w:position w:val="0"/>
                <w:highlight w:val="none"/>
                <w:lang w:eastAsia="zh-CN"/>
              </w:rPr>
              <w:t>，回用于</w:t>
            </w:r>
            <w:r>
              <w:rPr>
                <w:rFonts w:hint="eastAsia" w:cs="Times New Roman"/>
                <w:caps w:val="0"/>
                <w:color w:val="auto"/>
                <w:spacing w:val="0"/>
                <w:position w:val="0"/>
                <w:highlight w:val="none"/>
                <w:lang w:val="en-US" w:eastAsia="zh-CN"/>
              </w:rPr>
              <w:t>搅拌</w:t>
            </w:r>
            <w:r>
              <w:rPr>
                <w:rFonts w:hint="default" w:ascii="Times New Roman" w:hAnsi="Times New Roman" w:cs="Times New Roman"/>
                <w:caps w:val="0"/>
                <w:color w:val="auto"/>
                <w:spacing w:val="0"/>
                <w:position w:val="0"/>
                <w:highlight w:val="none"/>
                <w:lang w:eastAsia="zh-CN"/>
              </w:rPr>
              <w:t>环节，不外排。</w:t>
            </w:r>
          </w:p>
          <w:p w14:paraId="2A650FE4">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eastAsia="zh-CN"/>
              </w:rPr>
              <w:t>（</w:t>
            </w:r>
            <w:r>
              <w:rPr>
                <w:rFonts w:hint="eastAsia" w:cs="Times New Roman"/>
                <w:caps w:val="0"/>
                <w:color w:val="auto"/>
                <w:spacing w:val="0"/>
                <w:position w:val="0"/>
                <w:highlight w:val="none"/>
                <w:lang w:val="en-US" w:eastAsia="zh-CN"/>
              </w:rPr>
              <w:t>3</w:t>
            </w:r>
            <w:r>
              <w:rPr>
                <w:rFonts w:hint="eastAsia"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lang w:val="en-US" w:eastAsia="zh-CN"/>
              </w:rPr>
              <w:t>设备清洗用水</w:t>
            </w:r>
          </w:p>
          <w:p w14:paraId="34CB060B">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根据业主提供资料，</w:t>
            </w:r>
            <w:r>
              <w:rPr>
                <w:rFonts w:hint="default" w:ascii="Times New Roman" w:hAnsi="Times New Roman" w:eastAsia="宋体" w:cs="Times New Roman"/>
                <w:caps w:val="0"/>
                <w:color w:val="auto"/>
                <w:spacing w:val="0"/>
                <w:position w:val="0"/>
                <w:sz w:val="24"/>
                <w:highlight w:val="none"/>
              </w:rPr>
              <w:t>项目运营期搅拌机、</w:t>
            </w:r>
            <w:r>
              <w:rPr>
                <w:rFonts w:hint="default" w:ascii="Times New Roman" w:hAnsi="Times New Roman" w:eastAsia="宋体" w:cs="Times New Roman"/>
                <w:caps w:val="0"/>
                <w:color w:val="auto"/>
                <w:spacing w:val="0"/>
                <w:position w:val="0"/>
                <w:sz w:val="24"/>
                <w:highlight w:val="none"/>
                <w:lang w:val="en-US" w:eastAsia="zh-CN"/>
              </w:rPr>
              <w:t>静压机</w:t>
            </w:r>
            <w:r>
              <w:rPr>
                <w:rFonts w:hint="default" w:ascii="Times New Roman" w:hAnsi="Times New Roman" w:eastAsia="宋体" w:cs="Times New Roman"/>
                <w:caps w:val="0"/>
                <w:color w:val="auto"/>
                <w:spacing w:val="0"/>
                <w:position w:val="0"/>
                <w:sz w:val="24"/>
                <w:highlight w:val="none"/>
              </w:rPr>
              <w:t>等设备暂时停止生产后需要用水清洗，平均每天清洗一次，每次清洗用水量约为5</w:t>
            </w:r>
            <w:r>
              <w:rPr>
                <w:rFonts w:hint="default" w:ascii="Times New Roman" w:hAnsi="Times New Roman" w:eastAsia="宋体" w:cs="Times New Roman"/>
                <w:caps w:val="0"/>
                <w:color w:val="auto"/>
                <w:spacing w:val="0"/>
                <w:position w:val="0"/>
                <w:sz w:val="24"/>
                <w:szCs w:val="32"/>
                <w:highlight w:val="none"/>
                <w:lang w:val="en-US" w:eastAsia="zh-CN"/>
              </w:rPr>
              <w:t>m</w:t>
            </w:r>
            <w:r>
              <w:rPr>
                <w:rFonts w:hint="default" w:ascii="Times New Roman" w:hAnsi="Times New Roman" w:eastAsia="宋体" w:cs="Times New Roman"/>
                <w:caps w:val="0"/>
                <w:color w:val="auto"/>
                <w:spacing w:val="0"/>
                <w:position w:val="0"/>
                <w:sz w:val="24"/>
                <w:szCs w:val="32"/>
                <w:highlight w:val="none"/>
                <w:vertAlign w:val="superscript"/>
                <w:lang w:val="en-US" w:eastAsia="zh-CN"/>
              </w:rPr>
              <w:t>3</w:t>
            </w:r>
            <w:r>
              <w:rPr>
                <w:rFonts w:hint="default" w:ascii="Times New Roman" w:hAnsi="Times New Roman" w:eastAsia="宋体" w:cs="Times New Roman"/>
                <w:caps w:val="0"/>
                <w:color w:val="auto"/>
                <w:spacing w:val="0"/>
                <w:position w:val="0"/>
                <w:sz w:val="24"/>
                <w:highlight w:val="none"/>
              </w:rPr>
              <w:t>/d</w:t>
            </w:r>
            <w:r>
              <w:rPr>
                <w:rFonts w:hint="eastAsia" w:cs="Times New Roman"/>
                <w:caps w:val="0"/>
                <w:color w:val="auto"/>
                <w:spacing w:val="0"/>
                <w:position w:val="0"/>
                <w:highlight w:val="none"/>
                <w:lang w:val="en-US" w:eastAsia="zh-CN"/>
              </w:rPr>
              <w:t>，</w:t>
            </w:r>
            <w:r>
              <w:rPr>
                <w:rFonts w:hint="default" w:ascii="Times New Roman" w:hAnsi="Times New Roman" w:cs="Times New Roman"/>
                <w:caps w:val="0"/>
                <w:color w:val="auto"/>
                <w:spacing w:val="0"/>
                <w:position w:val="0"/>
                <w:highlight w:val="none"/>
                <w:lang w:val="en-US" w:eastAsia="zh-CN"/>
              </w:rPr>
              <w:t>1500</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3</w:t>
            </w:r>
            <w:r>
              <w:rPr>
                <w:rFonts w:hint="default" w:ascii="Times New Roman" w:hAnsi="Times New Roman" w:cs="Times New Roman"/>
                <w:caps w:val="0"/>
                <w:color w:val="auto"/>
                <w:spacing w:val="0"/>
                <w:position w:val="0"/>
                <w:highlight w:val="none"/>
              </w:rPr>
              <w:t>/a</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rPr>
              <w:t>产污系数按0.8计，</w:t>
            </w:r>
            <w:r>
              <w:rPr>
                <w:rFonts w:hint="default" w:ascii="Times New Roman" w:hAnsi="Times New Roman" w:cs="Times New Roman"/>
                <w:caps w:val="0"/>
                <w:color w:val="auto"/>
                <w:spacing w:val="0"/>
                <w:position w:val="0"/>
                <w:highlight w:val="none"/>
                <w:lang w:val="en-US" w:eastAsia="zh-CN"/>
              </w:rPr>
              <w:t>项目清洗废水量为1200</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3</w:t>
            </w:r>
            <w:r>
              <w:rPr>
                <w:rFonts w:hint="default" w:ascii="Times New Roman" w:hAnsi="Times New Roman" w:cs="Times New Roman"/>
                <w:caps w:val="0"/>
                <w:color w:val="auto"/>
                <w:spacing w:val="0"/>
                <w:position w:val="0"/>
                <w:highlight w:val="none"/>
              </w:rPr>
              <w:t>/a</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lang w:val="en-US" w:eastAsia="zh-CN"/>
              </w:rPr>
              <w:t>4</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3</w:t>
            </w: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d</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eastAsia="宋体" w:cs="Times New Roman"/>
                <w:caps w:val="0"/>
                <w:color w:val="auto"/>
                <w:spacing w:val="0"/>
                <w:kern w:val="2"/>
                <w:position w:val="0"/>
                <w:sz w:val="24"/>
                <w:szCs w:val="24"/>
                <w:highlight w:val="none"/>
                <w:lang w:val="en-US" w:eastAsia="zh-CN" w:bidi="ar-SA"/>
              </w:rPr>
              <w:t>主要污染物为SS</w:t>
            </w:r>
            <w:r>
              <w:rPr>
                <w:rFonts w:hint="eastAsia" w:cs="Times New Roman"/>
                <w:caps w:val="0"/>
                <w:color w:val="auto"/>
                <w:spacing w:val="0"/>
                <w:kern w:val="2"/>
                <w:position w:val="0"/>
                <w:sz w:val="24"/>
                <w:szCs w:val="24"/>
                <w:highlight w:val="none"/>
                <w:lang w:val="en-US" w:eastAsia="zh-CN" w:bidi="ar-SA"/>
              </w:rPr>
              <w:t>，</w:t>
            </w:r>
            <w:r>
              <w:rPr>
                <w:rFonts w:hint="default" w:ascii="Times New Roman" w:hAnsi="Times New Roman" w:eastAsia="宋体" w:cs="Times New Roman"/>
                <w:b w:val="0"/>
                <w:bCs w:val="0"/>
                <w:caps w:val="0"/>
                <w:color w:val="auto"/>
                <w:spacing w:val="0"/>
                <w:position w:val="0"/>
                <w:sz w:val="24"/>
                <w:szCs w:val="32"/>
                <w:lang w:val="en-US" w:eastAsia="zh-CN"/>
              </w:rPr>
              <w:t>参考类似建设项目，设备清洗废水污染物浓度为SS：</w:t>
            </w:r>
            <w:r>
              <w:rPr>
                <w:rFonts w:hint="eastAsia" w:cs="Times New Roman"/>
                <w:b w:val="0"/>
                <w:bCs w:val="0"/>
                <w:caps w:val="0"/>
                <w:color w:val="auto"/>
                <w:spacing w:val="0"/>
                <w:position w:val="0"/>
                <w:sz w:val="24"/>
                <w:szCs w:val="32"/>
                <w:lang w:val="en-US" w:eastAsia="zh-CN"/>
              </w:rPr>
              <w:t>2</w:t>
            </w:r>
            <w:r>
              <w:rPr>
                <w:rFonts w:hint="default" w:ascii="Times New Roman" w:hAnsi="Times New Roman" w:eastAsia="宋体" w:cs="Times New Roman"/>
                <w:b w:val="0"/>
                <w:bCs w:val="0"/>
                <w:caps w:val="0"/>
                <w:color w:val="auto"/>
                <w:spacing w:val="0"/>
                <w:position w:val="0"/>
                <w:sz w:val="24"/>
                <w:szCs w:val="32"/>
                <w:lang w:val="en-US" w:eastAsia="zh-CN"/>
              </w:rPr>
              <w:t>00mg/L。</w:t>
            </w:r>
            <w:r>
              <w:rPr>
                <w:rFonts w:hint="default" w:ascii="Times New Roman" w:hAnsi="Times New Roman" w:cs="Times New Roman"/>
                <w:caps w:val="0"/>
                <w:color w:val="auto"/>
                <w:spacing w:val="0"/>
                <w:position w:val="0"/>
                <w:highlight w:val="none"/>
                <w:lang w:val="en-US" w:eastAsia="zh-CN"/>
              </w:rPr>
              <w:t>设备清洗废水</w:t>
            </w:r>
            <w:r>
              <w:rPr>
                <w:rFonts w:hint="eastAsia" w:cs="Times New Roman"/>
                <w:bCs/>
                <w:caps w:val="0"/>
                <w:color w:val="auto"/>
                <w:spacing w:val="0"/>
                <w:kern w:val="2"/>
                <w:position w:val="0"/>
                <w:sz w:val="24"/>
                <w:szCs w:val="24"/>
                <w:highlight w:val="none"/>
                <w:lang w:val="en-US" w:eastAsia="zh-CN" w:bidi="ar-SA"/>
              </w:rPr>
              <w:t>通过</w:t>
            </w:r>
            <w:r>
              <w:rPr>
                <w:rFonts w:hint="eastAsia"/>
                <w:caps w:val="0"/>
                <w:color w:val="auto"/>
                <w:spacing w:val="0"/>
                <w:position w:val="0"/>
                <w:sz w:val="24"/>
                <w:szCs w:val="24"/>
              </w:rPr>
              <w:t>导流沟</w:t>
            </w:r>
            <w:r>
              <w:rPr>
                <w:rFonts w:hint="default" w:ascii="Times New Roman" w:hAnsi="Times New Roman" w:eastAsia="宋体" w:cs="Times New Roman"/>
                <w:caps w:val="0"/>
                <w:color w:val="auto"/>
                <w:spacing w:val="0"/>
                <w:position w:val="0"/>
                <w:sz w:val="24"/>
                <w:highlight w:val="none"/>
              </w:rPr>
              <w:t>收集进入</w:t>
            </w:r>
            <w:r>
              <w:rPr>
                <w:rFonts w:hint="eastAsia" w:ascii="Times New Roman" w:hAnsi="Times New Roman" w:eastAsia="宋体" w:cs="Times New Roman"/>
                <w:caps w:val="0"/>
                <w:color w:val="auto"/>
                <w:spacing w:val="0"/>
                <w:position w:val="0"/>
                <w:sz w:val="24"/>
                <w:highlight w:val="none"/>
                <w:lang w:val="en-US" w:eastAsia="zh-CN"/>
              </w:rPr>
              <w:t>2</w:t>
            </w:r>
            <w:r>
              <w:rPr>
                <w:rFonts w:hint="default" w:ascii="Times New Roman" w:hAnsi="Times New Roman" w:eastAsia="宋体" w:cs="Times New Roman"/>
                <w:caps w:val="0"/>
                <w:color w:val="auto"/>
                <w:spacing w:val="0"/>
                <w:position w:val="0"/>
                <w:sz w:val="24"/>
                <w:highlight w:val="none"/>
                <w:lang w:val="en-US" w:eastAsia="zh-CN"/>
              </w:rPr>
              <w:t>#</w:t>
            </w:r>
            <w:r>
              <w:rPr>
                <w:rFonts w:hint="default" w:ascii="Times New Roman" w:hAnsi="Times New Roman" w:eastAsia="宋体" w:cs="Times New Roman"/>
                <w:caps w:val="0"/>
                <w:color w:val="auto"/>
                <w:spacing w:val="0"/>
                <w:position w:val="0"/>
                <w:sz w:val="24"/>
                <w:highlight w:val="none"/>
              </w:rPr>
              <w:t>沉淀池</w:t>
            </w:r>
            <w:r>
              <w:rPr>
                <w:rFonts w:hint="eastAsia" w:ascii="Times New Roman" w:hAnsi="Times New Roman" w:eastAsia="宋体" w:cs="Times New Roman"/>
                <w:caps w:val="0"/>
                <w:color w:val="auto"/>
                <w:spacing w:val="0"/>
                <w:position w:val="0"/>
                <w:sz w:val="24"/>
                <w:highlight w:val="none"/>
                <w:lang w:eastAsia="zh-CN"/>
              </w:rPr>
              <w:t>，</w:t>
            </w:r>
            <w:r>
              <w:rPr>
                <w:rFonts w:hint="eastAsia" w:cs="Times New Roman"/>
                <w:caps w:val="0"/>
                <w:color w:val="auto"/>
                <w:spacing w:val="0"/>
                <w:position w:val="0"/>
                <w:highlight w:val="none"/>
                <w:lang w:val="en-US" w:eastAsia="zh-CN"/>
              </w:rPr>
              <w:t>经</w:t>
            </w:r>
            <w:r>
              <w:rPr>
                <w:rFonts w:hint="default" w:ascii="Times New Roman" w:hAnsi="Times New Roman"/>
                <w:caps w:val="0"/>
                <w:color w:val="auto"/>
                <w:spacing w:val="0"/>
                <w:position w:val="0"/>
                <w:szCs w:val="21"/>
                <w:highlight w:val="none"/>
                <w:lang w:val="en-US" w:eastAsia="zh-CN" w:bidi="ar"/>
              </w:rPr>
              <w:t>氧化+絮凝沉淀</w:t>
            </w:r>
            <w:r>
              <w:rPr>
                <w:rFonts w:hint="eastAsia" w:cs="Times New Roman"/>
                <w:caps w:val="0"/>
                <w:color w:val="auto"/>
                <w:spacing w:val="0"/>
                <w:position w:val="0"/>
                <w:highlight w:val="none"/>
                <w:lang w:val="en-US" w:eastAsia="zh-CN"/>
              </w:rPr>
              <w:t>处理</w:t>
            </w:r>
            <w:r>
              <w:rPr>
                <w:rFonts w:hint="default" w:ascii="Times New Roman" w:hAnsi="Times New Roman" w:cs="Times New Roman"/>
                <w:caps w:val="0"/>
                <w:color w:val="auto"/>
                <w:spacing w:val="0"/>
                <w:position w:val="0"/>
                <w:highlight w:val="none"/>
                <w:lang w:eastAsia="zh-CN"/>
              </w:rPr>
              <w:t>后达《城市污水再生利用工业用水水质》（GB/T19923-2024）中洗涤水标准</w:t>
            </w:r>
            <w:r>
              <w:rPr>
                <w:rFonts w:hint="eastAsia" w:ascii="Times New Roman" w:hAnsi="Times New Roman" w:cs="Times New Roman"/>
                <w:caps w:val="0"/>
                <w:color w:val="auto"/>
                <w:spacing w:val="0"/>
                <w:position w:val="0"/>
                <w:highlight w:val="none"/>
                <w:lang w:eastAsia="zh-CN"/>
              </w:rPr>
              <w:t>、</w:t>
            </w:r>
            <w:r>
              <w:rPr>
                <w:rFonts w:hint="eastAsia"/>
                <w:caps w:val="0"/>
                <w:color w:val="auto"/>
                <w:spacing w:val="0"/>
                <w:position w:val="0"/>
                <w:highlight w:val="none"/>
                <w:lang w:eastAsia="zh-CN"/>
              </w:rPr>
              <w:t>《无机化学工业污染物排放标准》（GB31573-2015）修改单</w:t>
            </w:r>
            <w:r>
              <w:rPr>
                <w:rFonts w:hint="eastAsia"/>
                <w:caps w:val="0"/>
                <w:color w:val="auto"/>
                <w:spacing w:val="0"/>
                <w:position w:val="0"/>
                <w:highlight w:val="none"/>
              </w:rPr>
              <w:t>和《工业废水铊污染物排放标准》（DB36/1149-2019）标准</w:t>
            </w:r>
            <w:r>
              <w:rPr>
                <w:rFonts w:hint="eastAsia"/>
                <w:caps w:val="0"/>
                <w:color w:val="auto"/>
                <w:spacing w:val="0"/>
                <w:position w:val="0"/>
                <w:highlight w:val="none"/>
                <w:lang w:val="en-US" w:eastAsia="zh-CN"/>
              </w:rPr>
              <w:t>后</w:t>
            </w:r>
            <w:r>
              <w:rPr>
                <w:rFonts w:hint="default" w:ascii="Times New Roman" w:hAnsi="Times New Roman" w:cs="Times New Roman"/>
                <w:caps w:val="0"/>
                <w:color w:val="auto"/>
                <w:spacing w:val="0"/>
                <w:position w:val="0"/>
                <w:highlight w:val="none"/>
                <w:lang w:eastAsia="zh-CN"/>
              </w:rPr>
              <w:t>，回用于</w:t>
            </w:r>
            <w:r>
              <w:rPr>
                <w:rFonts w:hint="default" w:ascii="Times New Roman" w:hAnsi="Times New Roman" w:cs="Times New Roman"/>
                <w:caps w:val="0"/>
                <w:color w:val="auto"/>
                <w:spacing w:val="0"/>
                <w:position w:val="0"/>
                <w:highlight w:val="none"/>
                <w:lang w:val="en-US" w:eastAsia="zh-CN"/>
              </w:rPr>
              <w:t>设备清洗用水</w:t>
            </w:r>
            <w:r>
              <w:rPr>
                <w:rFonts w:hint="default" w:ascii="Times New Roman" w:hAnsi="Times New Roman" w:eastAsia="宋体" w:cs="Times New Roman"/>
                <w:caps w:val="0"/>
                <w:color w:val="auto"/>
                <w:spacing w:val="0"/>
                <w:position w:val="0"/>
                <w:sz w:val="24"/>
                <w:highlight w:val="none"/>
              </w:rPr>
              <w:t>，</w:t>
            </w:r>
            <w:r>
              <w:rPr>
                <w:rFonts w:hint="default" w:ascii="Times New Roman" w:hAnsi="Times New Roman" w:cs="Times New Roman"/>
                <w:caps w:val="0"/>
                <w:color w:val="auto"/>
                <w:spacing w:val="0"/>
                <w:position w:val="0"/>
                <w:highlight w:val="none"/>
                <w:lang w:val="en-US" w:eastAsia="zh-CN"/>
              </w:rPr>
              <w:t>不外排。</w:t>
            </w:r>
          </w:p>
          <w:p w14:paraId="2226B993">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eastAsia="zh-CN"/>
              </w:rPr>
              <w:t>（</w:t>
            </w:r>
            <w:r>
              <w:rPr>
                <w:rFonts w:hint="eastAsia" w:cs="Times New Roman"/>
                <w:caps w:val="0"/>
                <w:color w:val="auto"/>
                <w:spacing w:val="0"/>
                <w:position w:val="0"/>
                <w:highlight w:val="none"/>
                <w:lang w:val="en-US" w:eastAsia="zh-CN"/>
              </w:rPr>
              <w:t>4</w:t>
            </w:r>
            <w:r>
              <w:rPr>
                <w:rFonts w:hint="eastAsia"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lang w:val="en-US" w:eastAsia="zh-CN"/>
              </w:rPr>
              <w:t>降尘</w:t>
            </w:r>
            <w:r>
              <w:rPr>
                <w:rFonts w:hint="default" w:ascii="Times New Roman" w:hAnsi="Times New Roman" w:eastAsia="宋体" w:cs="Times New Roman"/>
                <w:caps w:val="0"/>
                <w:color w:val="auto"/>
                <w:spacing w:val="0"/>
                <w:position w:val="0"/>
                <w:highlight w:val="none"/>
                <w:lang w:val="en-US" w:eastAsia="zh-CN"/>
              </w:rPr>
              <w:t>用水</w:t>
            </w:r>
          </w:p>
          <w:p w14:paraId="0B2AD8C4">
            <w:pPr>
              <w:keepNext w:val="0"/>
              <w:keepLines w:val="0"/>
              <w:widowControl w:val="0"/>
              <w:suppressLineNumbers w:val="0"/>
              <w:bidi w:val="0"/>
              <w:spacing w:before="0" w:beforeAutospacing="0" w:after="0" w:afterAutospacing="0" w:line="360" w:lineRule="auto"/>
              <w:ind w:left="0" w:right="0" w:firstLine="480" w:firstLineChars="200"/>
              <w:jc w:val="both"/>
              <w:rPr>
                <w:rFonts w:hint="default" w:ascii="Times New Roman" w:hAnsi="Times New Roman" w:cs="Times New Roman"/>
                <w:caps w:val="0"/>
                <w:color w:val="auto"/>
                <w:spacing w:val="0"/>
                <w:position w:val="0"/>
                <w:highlight w:val="none"/>
              </w:rPr>
            </w:pPr>
            <w:r>
              <w:rPr>
                <w:rFonts w:hint="default" w:ascii="Times New Roman" w:hAnsi="Times New Roman" w:eastAsia="宋体" w:cs="Times New Roman"/>
                <w:bCs/>
                <w:caps w:val="0"/>
                <w:color w:val="auto"/>
                <w:spacing w:val="0"/>
                <w:kern w:val="2"/>
                <w:position w:val="0"/>
                <w:sz w:val="24"/>
                <w:szCs w:val="24"/>
                <w:highlight w:val="none"/>
                <w:lang w:val="en-US" w:eastAsia="zh-CN" w:bidi="ar-SA"/>
              </w:rPr>
              <w:t>项目在原料仓库及周边、生产区域、厂内原料输送沿线设有喷淋装置，根据企业提供的资料，喷淋水量约3000m</w:t>
            </w:r>
            <w:r>
              <w:rPr>
                <w:rFonts w:hint="default" w:ascii="Times New Roman" w:hAnsi="Times New Roman" w:eastAsia="宋体" w:cs="Times New Roman"/>
                <w:bCs/>
                <w:caps w:val="0"/>
                <w:color w:val="auto"/>
                <w:spacing w:val="0"/>
                <w:kern w:val="2"/>
                <w:position w:val="0"/>
                <w:sz w:val="24"/>
                <w:szCs w:val="24"/>
                <w:highlight w:val="none"/>
                <w:vertAlign w:val="superscript"/>
                <w:lang w:val="en-US" w:eastAsia="zh-CN" w:bidi="ar-SA"/>
              </w:rPr>
              <w:t>3</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/a（10m</w:t>
            </w:r>
            <w:r>
              <w:rPr>
                <w:rFonts w:hint="default" w:ascii="Times New Roman" w:hAnsi="Times New Roman" w:eastAsia="宋体" w:cs="Times New Roman"/>
                <w:bCs/>
                <w:caps w:val="0"/>
                <w:color w:val="auto"/>
                <w:spacing w:val="0"/>
                <w:kern w:val="2"/>
                <w:position w:val="0"/>
                <w:sz w:val="24"/>
                <w:szCs w:val="24"/>
                <w:highlight w:val="none"/>
                <w:vertAlign w:val="superscript"/>
                <w:lang w:val="en-US" w:eastAsia="zh-CN" w:bidi="ar-SA"/>
              </w:rPr>
              <w:t>3</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/d），该部分水分全部损耗。</w:t>
            </w:r>
          </w:p>
          <w:p w14:paraId="23772D31">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eastAsia" w:cs="Times New Roman"/>
                <w:caps w:val="0"/>
                <w:color w:val="auto"/>
                <w:spacing w:val="0"/>
                <w:position w:val="0"/>
                <w:highlight w:val="none"/>
                <w:lang w:eastAsia="zh-CN"/>
              </w:rPr>
              <w:t>（</w:t>
            </w:r>
            <w:r>
              <w:rPr>
                <w:rFonts w:hint="eastAsia" w:cs="Times New Roman"/>
                <w:caps w:val="0"/>
                <w:color w:val="auto"/>
                <w:spacing w:val="0"/>
                <w:position w:val="0"/>
                <w:highlight w:val="none"/>
                <w:lang w:val="en-US" w:eastAsia="zh-CN"/>
              </w:rPr>
              <w:t>5</w:t>
            </w:r>
            <w:r>
              <w:rPr>
                <w:rFonts w:hint="eastAsia"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lang w:val="en-US" w:eastAsia="zh-CN"/>
              </w:rPr>
              <w:t>环保砖养护用水</w:t>
            </w:r>
          </w:p>
          <w:p w14:paraId="2C1C590E">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eastAsia="zh-CN"/>
              </w:rPr>
            </w:pPr>
            <w:r>
              <w:rPr>
                <w:rFonts w:hint="eastAsia" w:cs="Times New Roman"/>
                <w:caps w:val="0"/>
                <w:color w:val="auto"/>
                <w:spacing w:val="0"/>
                <w:position w:val="0"/>
                <w:highlight w:val="none"/>
                <w:lang w:val="en-US" w:eastAsia="zh-CN"/>
              </w:rPr>
              <w:t>本项目发泡</w:t>
            </w:r>
            <w:r>
              <w:rPr>
                <w:rFonts w:hint="default" w:ascii="Times New Roman" w:hAnsi="Times New Roman" w:cs="Times New Roman"/>
                <w:caps w:val="0"/>
                <w:color w:val="auto"/>
                <w:spacing w:val="0"/>
                <w:position w:val="0"/>
                <w:highlight w:val="none"/>
                <w:lang w:val="en-US" w:eastAsia="zh-CN"/>
              </w:rPr>
              <w:t>砖养护过程会</w:t>
            </w:r>
            <w:r>
              <w:rPr>
                <w:rFonts w:hint="eastAsia" w:cs="Times New Roman"/>
                <w:caps w:val="0"/>
                <w:color w:val="auto"/>
                <w:spacing w:val="0"/>
                <w:position w:val="0"/>
                <w:highlight w:val="none"/>
                <w:lang w:val="en-US" w:eastAsia="zh-CN"/>
              </w:rPr>
              <w:t>产生</w:t>
            </w:r>
            <w:r>
              <w:rPr>
                <w:rFonts w:hint="default" w:ascii="Times New Roman" w:hAnsi="Times New Roman" w:cs="Times New Roman"/>
                <w:caps w:val="0"/>
                <w:color w:val="auto"/>
                <w:spacing w:val="0"/>
                <w:position w:val="0"/>
                <w:highlight w:val="none"/>
                <w:lang w:val="en-US" w:eastAsia="zh-CN"/>
              </w:rPr>
              <w:t>养护用水，根据业主提供资料，养护用水量</w:t>
            </w:r>
            <w:r>
              <w:rPr>
                <w:rFonts w:hint="default" w:ascii="Times New Roman" w:hAnsi="Times New Roman" w:cs="Times New Roman"/>
                <w:caps w:val="0"/>
                <w:color w:val="auto"/>
                <w:spacing w:val="0"/>
                <w:position w:val="0"/>
                <w:highlight w:val="none"/>
              </w:rPr>
              <w:t>约</w:t>
            </w:r>
            <w:r>
              <w:rPr>
                <w:rFonts w:hint="default" w:ascii="Times New Roman" w:hAnsi="Times New Roman" w:cs="Times New Roman"/>
                <w:caps w:val="0"/>
                <w:color w:val="auto"/>
                <w:spacing w:val="0"/>
                <w:position w:val="0"/>
                <w:highlight w:val="none"/>
                <w:lang w:val="en-US" w:eastAsia="zh-CN"/>
              </w:rPr>
              <w:t>为</w:t>
            </w:r>
            <w:r>
              <w:rPr>
                <w:rFonts w:hint="default"/>
                <w:caps w:val="0"/>
                <w:color w:val="auto"/>
                <w:spacing w:val="0"/>
                <w:position w:val="0"/>
                <w:highlight w:val="none"/>
              </w:rPr>
              <w:t>产量的</w:t>
            </w:r>
            <w:r>
              <w:rPr>
                <w:rFonts w:hint="eastAsia" w:eastAsia="宋体" w:cs="Times New Roman"/>
                <w:caps w:val="0"/>
                <w:color w:val="auto"/>
                <w:spacing w:val="0"/>
                <w:position w:val="0"/>
                <w:highlight w:val="none"/>
                <w:lang w:val="en-US" w:eastAsia="zh-CN"/>
              </w:rPr>
              <w:t>1</w:t>
            </w:r>
            <w:r>
              <w:rPr>
                <w:rFonts w:hint="default" w:ascii="Times New Roman" w:hAnsi="Times New Roman" w:eastAsia="Times New Roman" w:cs="Times New Roman"/>
                <w:caps w:val="0"/>
                <w:color w:val="auto"/>
                <w:spacing w:val="0"/>
                <w:position w:val="0"/>
                <w:highlight w:val="none"/>
              </w:rPr>
              <w:t>%</w:t>
            </w:r>
            <w:r>
              <w:rPr>
                <w:rFonts w:hint="default"/>
                <w:caps w:val="0"/>
                <w:color w:val="auto"/>
                <w:spacing w:val="0"/>
                <w:position w:val="0"/>
                <w:highlight w:val="none"/>
              </w:rPr>
              <w:t>，</w:t>
            </w:r>
            <w:r>
              <w:rPr>
                <w:rFonts w:hint="eastAsia"/>
                <w:caps w:val="0"/>
                <w:color w:val="auto"/>
                <w:spacing w:val="0"/>
                <w:position w:val="0"/>
                <w:highlight w:val="none"/>
                <w:lang w:val="en-US" w:eastAsia="zh-CN"/>
              </w:rPr>
              <w:t>本项目</w:t>
            </w:r>
            <w:r>
              <w:rPr>
                <w:rFonts w:hint="eastAsia" w:cs="Times New Roman"/>
                <w:caps w:val="0"/>
                <w:color w:val="auto"/>
                <w:spacing w:val="0"/>
                <w:position w:val="0"/>
                <w:highlight w:val="none"/>
                <w:lang w:val="en-US" w:eastAsia="zh-CN"/>
              </w:rPr>
              <w:t>发泡</w:t>
            </w:r>
            <w:r>
              <w:rPr>
                <w:rFonts w:hint="default" w:ascii="Times New Roman" w:hAnsi="Times New Roman" w:cs="Times New Roman"/>
                <w:caps w:val="0"/>
                <w:color w:val="auto"/>
                <w:spacing w:val="0"/>
                <w:position w:val="0"/>
                <w:highlight w:val="none"/>
                <w:lang w:val="en-US" w:eastAsia="zh-CN"/>
              </w:rPr>
              <w:t>砖</w:t>
            </w:r>
            <w:r>
              <w:rPr>
                <w:rFonts w:hint="eastAsia" w:cs="Times New Roman"/>
                <w:caps w:val="0"/>
                <w:color w:val="auto"/>
                <w:spacing w:val="0"/>
                <w:position w:val="0"/>
                <w:highlight w:val="none"/>
                <w:lang w:val="en-US" w:eastAsia="zh-CN"/>
              </w:rPr>
              <w:t>的总产量为20万吨，则养护用水的总用量为2000</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3</w:t>
            </w:r>
            <w:r>
              <w:rPr>
                <w:rFonts w:hint="default" w:ascii="Times New Roman" w:hAnsi="Times New Roman" w:cs="Times New Roman"/>
                <w:caps w:val="0"/>
                <w:color w:val="auto"/>
                <w:spacing w:val="0"/>
                <w:position w:val="0"/>
                <w:highlight w:val="none"/>
              </w:rPr>
              <w:t>/a</w:t>
            </w:r>
            <w:r>
              <w:rPr>
                <w:rFonts w:hint="default" w:ascii="Times New Roman" w:hAnsi="Times New Roman" w:cs="Times New Roman"/>
                <w:caps w:val="0"/>
                <w:color w:val="auto"/>
                <w:spacing w:val="0"/>
                <w:position w:val="0"/>
                <w:highlight w:val="none"/>
                <w:lang w:eastAsia="zh-CN"/>
              </w:rPr>
              <w:t>（</w:t>
            </w:r>
            <w:r>
              <w:rPr>
                <w:rFonts w:hint="eastAsia" w:cs="Times New Roman"/>
                <w:caps w:val="0"/>
                <w:color w:val="auto"/>
                <w:spacing w:val="0"/>
                <w:position w:val="0"/>
                <w:highlight w:val="none"/>
                <w:lang w:val="en-US" w:eastAsia="zh-CN"/>
              </w:rPr>
              <w:t>6.67</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3</w:t>
            </w: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d</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rPr>
              <w:t>产污系数按0.8计，</w:t>
            </w:r>
            <w:r>
              <w:rPr>
                <w:rFonts w:hint="default" w:ascii="Times New Roman" w:hAnsi="Times New Roman" w:cs="Times New Roman"/>
                <w:caps w:val="0"/>
                <w:color w:val="auto"/>
                <w:spacing w:val="0"/>
                <w:position w:val="0"/>
                <w:highlight w:val="none"/>
                <w:lang w:val="en-US" w:eastAsia="zh-CN"/>
              </w:rPr>
              <w:t>项目养护废水量为</w:t>
            </w:r>
            <w:r>
              <w:rPr>
                <w:rFonts w:hint="eastAsia" w:cs="Times New Roman"/>
                <w:caps w:val="0"/>
                <w:color w:val="auto"/>
                <w:spacing w:val="0"/>
                <w:position w:val="0"/>
                <w:highlight w:val="none"/>
                <w:lang w:val="en-US" w:eastAsia="zh-CN"/>
              </w:rPr>
              <w:t>1600</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3</w:t>
            </w:r>
            <w:r>
              <w:rPr>
                <w:rFonts w:hint="default" w:ascii="Times New Roman" w:hAnsi="Times New Roman" w:cs="Times New Roman"/>
                <w:caps w:val="0"/>
                <w:color w:val="auto"/>
                <w:spacing w:val="0"/>
                <w:position w:val="0"/>
                <w:highlight w:val="none"/>
              </w:rPr>
              <w:t>/a</w:t>
            </w:r>
            <w:r>
              <w:rPr>
                <w:rFonts w:hint="default" w:ascii="Times New Roman" w:hAnsi="Times New Roman" w:cs="Times New Roman"/>
                <w:caps w:val="0"/>
                <w:color w:val="auto"/>
                <w:spacing w:val="0"/>
                <w:position w:val="0"/>
                <w:highlight w:val="none"/>
                <w:lang w:eastAsia="zh-CN"/>
              </w:rPr>
              <w:t>（</w:t>
            </w:r>
            <w:r>
              <w:rPr>
                <w:rFonts w:hint="eastAsia" w:cs="Times New Roman"/>
                <w:caps w:val="0"/>
                <w:color w:val="auto"/>
                <w:spacing w:val="0"/>
                <w:position w:val="0"/>
                <w:highlight w:val="none"/>
                <w:lang w:val="en-US" w:eastAsia="zh-CN"/>
              </w:rPr>
              <w:t>5.33</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3</w:t>
            </w: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d</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eastAsia="宋体" w:cs="Times New Roman"/>
                <w:caps w:val="0"/>
                <w:color w:val="auto"/>
                <w:spacing w:val="0"/>
                <w:kern w:val="2"/>
                <w:position w:val="0"/>
                <w:sz w:val="24"/>
                <w:szCs w:val="24"/>
                <w:highlight w:val="none"/>
                <w:lang w:val="en-US" w:eastAsia="zh-CN" w:bidi="ar-SA"/>
              </w:rPr>
              <w:t>主要污染物为SS</w:t>
            </w:r>
            <w:r>
              <w:rPr>
                <w:rFonts w:hint="eastAsia" w:cs="Times New Roman"/>
                <w:caps w:val="0"/>
                <w:color w:val="auto"/>
                <w:spacing w:val="0"/>
                <w:kern w:val="2"/>
                <w:position w:val="0"/>
                <w:sz w:val="24"/>
                <w:szCs w:val="24"/>
                <w:highlight w:val="none"/>
                <w:lang w:val="en-US" w:eastAsia="zh-CN" w:bidi="ar-SA"/>
              </w:rPr>
              <w:t>，</w:t>
            </w:r>
            <w:r>
              <w:rPr>
                <w:rFonts w:hint="default" w:ascii="Times New Roman" w:hAnsi="Times New Roman" w:eastAsia="宋体" w:cs="Times New Roman"/>
                <w:b w:val="0"/>
                <w:bCs w:val="0"/>
                <w:caps w:val="0"/>
                <w:color w:val="auto"/>
                <w:spacing w:val="0"/>
                <w:position w:val="0"/>
                <w:sz w:val="24"/>
                <w:szCs w:val="32"/>
                <w:lang w:val="en-US" w:eastAsia="zh-CN"/>
              </w:rPr>
              <w:t>参考类似建设项目，设备清洗废水污染物浓度为SS：</w:t>
            </w:r>
            <w:r>
              <w:rPr>
                <w:rFonts w:hint="eastAsia" w:cs="Times New Roman"/>
                <w:b w:val="0"/>
                <w:bCs w:val="0"/>
                <w:caps w:val="0"/>
                <w:color w:val="auto"/>
                <w:spacing w:val="0"/>
                <w:position w:val="0"/>
                <w:sz w:val="24"/>
                <w:szCs w:val="32"/>
                <w:lang w:val="en-US" w:eastAsia="zh-CN"/>
              </w:rPr>
              <w:t>2</w:t>
            </w:r>
            <w:r>
              <w:rPr>
                <w:rFonts w:hint="default" w:ascii="Times New Roman" w:hAnsi="Times New Roman" w:eastAsia="宋体" w:cs="Times New Roman"/>
                <w:b w:val="0"/>
                <w:bCs w:val="0"/>
                <w:caps w:val="0"/>
                <w:color w:val="auto"/>
                <w:spacing w:val="0"/>
                <w:position w:val="0"/>
                <w:sz w:val="24"/>
                <w:szCs w:val="32"/>
                <w:lang w:val="en-US" w:eastAsia="zh-CN"/>
              </w:rPr>
              <w:t>00mg/L。</w:t>
            </w:r>
            <w:r>
              <w:rPr>
                <w:rFonts w:hint="default" w:ascii="Times New Roman" w:hAnsi="Times New Roman" w:cs="Times New Roman"/>
                <w:caps w:val="0"/>
                <w:color w:val="auto"/>
                <w:spacing w:val="0"/>
                <w:position w:val="0"/>
                <w:highlight w:val="none"/>
                <w:lang w:eastAsia="zh-CN"/>
              </w:rPr>
              <w:t>养护区四周设置溢流堰和导流槽，养护废水通过导流槽进入</w:t>
            </w:r>
            <w:r>
              <w:rPr>
                <w:rFonts w:hint="eastAsia" w:cs="Times New Roman"/>
                <w:caps w:val="0"/>
                <w:color w:val="auto"/>
                <w:spacing w:val="0"/>
                <w:position w:val="0"/>
                <w:highlight w:val="none"/>
                <w:lang w:val="en-US" w:eastAsia="zh-CN"/>
              </w:rPr>
              <w:t>3#</w:t>
            </w:r>
            <w:r>
              <w:rPr>
                <w:rFonts w:hint="default" w:ascii="Times New Roman" w:hAnsi="Times New Roman" w:cs="Times New Roman"/>
                <w:caps w:val="0"/>
                <w:color w:val="auto"/>
                <w:spacing w:val="0"/>
                <w:position w:val="0"/>
                <w:highlight w:val="none"/>
                <w:lang w:val="en-US" w:eastAsia="zh-CN"/>
              </w:rPr>
              <w:t>沉淀池</w:t>
            </w:r>
            <w:r>
              <w:rPr>
                <w:rFonts w:hint="default" w:ascii="Times New Roman" w:hAnsi="Times New Roman" w:cs="Times New Roman"/>
                <w:caps w:val="0"/>
                <w:color w:val="auto"/>
                <w:spacing w:val="0"/>
                <w:position w:val="0"/>
                <w:highlight w:val="none"/>
                <w:lang w:eastAsia="zh-CN"/>
              </w:rPr>
              <w:t>，</w:t>
            </w:r>
            <w:r>
              <w:rPr>
                <w:rFonts w:hint="eastAsia" w:cs="Times New Roman"/>
                <w:caps w:val="0"/>
                <w:color w:val="auto"/>
                <w:spacing w:val="0"/>
                <w:position w:val="0"/>
                <w:highlight w:val="none"/>
                <w:lang w:val="en-US" w:eastAsia="zh-CN"/>
              </w:rPr>
              <w:t>经</w:t>
            </w:r>
            <w:r>
              <w:rPr>
                <w:rFonts w:hint="default" w:ascii="Times New Roman" w:hAnsi="Times New Roman"/>
                <w:caps w:val="0"/>
                <w:color w:val="auto"/>
                <w:spacing w:val="0"/>
                <w:position w:val="0"/>
                <w:szCs w:val="21"/>
                <w:highlight w:val="none"/>
                <w:lang w:val="en-US" w:eastAsia="zh-CN" w:bidi="ar"/>
              </w:rPr>
              <w:t>氧化+絮凝沉淀</w:t>
            </w:r>
            <w:r>
              <w:rPr>
                <w:rFonts w:hint="eastAsia" w:cs="Times New Roman"/>
                <w:caps w:val="0"/>
                <w:color w:val="auto"/>
                <w:spacing w:val="0"/>
                <w:position w:val="0"/>
                <w:highlight w:val="none"/>
                <w:lang w:val="en-US" w:eastAsia="zh-CN"/>
              </w:rPr>
              <w:t>处理</w:t>
            </w:r>
            <w:r>
              <w:rPr>
                <w:rFonts w:hint="default" w:ascii="Times New Roman" w:hAnsi="Times New Roman" w:cs="Times New Roman"/>
                <w:caps w:val="0"/>
                <w:color w:val="auto"/>
                <w:spacing w:val="0"/>
                <w:position w:val="0"/>
                <w:highlight w:val="none"/>
                <w:lang w:eastAsia="zh-CN"/>
              </w:rPr>
              <w:t>后达《城市污水再生利用工业用水水质》（GB/T19923-2024）中洗涤水标准</w:t>
            </w:r>
            <w:r>
              <w:rPr>
                <w:rFonts w:hint="eastAsia" w:ascii="Times New Roman" w:hAnsi="Times New Roman" w:cs="Times New Roman"/>
                <w:caps w:val="0"/>
                <w:color w:val="auto"/>
                <w:spacing w:val="0"/>
                <w:position w:val="0"/>
                <w:highlight w:val="none"/>
                <w:lang w:eastAsia="zh-CN"/>
              </w:rPr>
              <w:t>、</w:t>
            </w:r>
            <w:r>
              <w:rPr>
                <w:rFonts w:hint="eastAsia"/>
                <w:caps w:val="0"/>
                <w:color w:val="auto"/>
                <w:spacing w:val="0"/>
                <w:position w:val="0"/>
                <w:highlight w:val="none"/>
                <w:lang w:eastAsia="zh-CN"/>
              </w:rPr>
              <w:t>《无机化学工业污染物排放标准》（GB31573-2015）修改单</w:t>
            </w:r>
            <w:r>
              <w:rPr>
                <w:rFonts w:hint="eastAsia"/>
                <w:caps w:val="0"/>
                <w:color w:val="auto"/>
                <w:spacing w:val="0"/>
                <w:position w:val="0"/>
                <w:highlight w:val="none"/>
              </w:rPr>
              <w:t>和《工业废水铊污染物排放标准》（DB36/1149-2019）标准</w:t>
            </w:r>
            <w:r>
              <w:rPr>
                <w:rFonts w:hint="eastAsia"/>
                <w:caps w:val="0"/>
                <w:color w:val="auto"/>
                <w:spacing w:val="0"/>
                <w:position w:val="0"/>
                <w:highlight w:val="none"/>
                <w:lang w:val="en-US" w:eastAsia="zh-CN"/>
              </w:rPr>
              <w:t>后</w:t>
            </w:r>
            <w:r>
              <w:rPr>
                <w:rFonts w:hint="default" w:ascii="Times New Roman" w:hAnsi="Times New Roman" w:cs="Times New Roman"/>
                <w:caps w:val="0"/>
                <w:color w:val="auto"/>
                <w:spacing w:val="0"/>
                <w:position w:val="0"/>
                <w:highlight w:val="none"/>
                <w:lang w:eastAsia="zh-CN"/>
              </w:rPr>
              <w:t>，回用于</w:t>
            </w:r>
            <w:r>
              <w:rPr>
                <w:rFonts w:hint="default" w:ascii="Times New Roman" w:hAnsi="Times New Roman" w:cs="Times New Roman"/>
                <w:caps w:val="0"/>
                <w:color w:val="auto"/>
                <w:spacing w:val="0"/>
                <w:position w:val="0"/>
                <w:highlight w:val="none"/>
                <w:lang w:val="en-US" w:eastAsia="zh-CN"/>
              </w:rPr>
              <w:t>养护用水</w:t>
            </w:r>
            <w:r>
              <w:rPr>
                <w:rFonts w:hint="default" w:ascii="Times New Roman" w:hAnsi="Times New Roman" w:cs="Times New Roman"/>
                <w:caps w:val="0"/>
                <w:color w:val="auto"/>
                <w:spacing w:val="0"/>
                <w:position w:val="0"/>
                <w:highlight w:val="none"/>
                <w:lang w:eastAsia="zh-CN"/>
              </w:rPr>
              <w:t>，不外排。</w:t>
            </w:r>
          </w:p>
          <w:p w14:paraId="4B2DE443">
            <w:pPr>
              <w:keepNext w:val="0"/>
              <w:keepLines w:val="0"/>
              <w:widowControl w:val="0"/>
              <w:suppressLineNumbers w:val="0"/>
              <w:bidi w:val="0"/>
              <w:spacing w:before="0" w:beforeAutospacing="0" w:after="0" w:afterAutospacing="0" w:line="360" w:lineRule="auto"/>
              <w:ind w:left="0" w:right="0" w:firstLine="480" w:firstLineChars="200"/>
              <w:jc w:val="both"/>
              <w:rPr>
                <w:rFonts w:hint="default" w:ascii="Times New Roman" w:hAnsi="Times New Roman" w:eastAsia="宋体" w:cs="Times New Roman"/>
                <w:bCs/>
                <w:caps w:val="0"/>
                <w:color w:val="auto"/>
                <w:spacing w:val="0"/>
                <w:kern w:val="2"/>
                <w:position w:val="0"/>
                <w:sz w:val="24"/>
                <w:szCs w:val="24"/>
                <w:highlight w:val="none"/>
                <w:lang w:val="en-US" w:eastAsia="zh-CN" w:bidi="ar-SA"/>
              </w:rPr>
            </w:pPr>
            <w:r>
              <w:rPr>
                <w:rFonts w:hint="eastAsia" w:cs="Times New Roman"/>
                <w:caps w:val="0"/>
                <w:color w:val="auto"/>
                <w:spacing w:val="0"/>
                <w:position w:val="0"/>
                <w:highlight w:val="none"/>
                <w:lang w:eastAsia="zh-CN"/>
              </w:rPr>
              <w:t>（</w:t>
            </w:r>
            <w:r>
              <w:rPr>
                <w:rFonts w:hint="eastAsia" w:cs="Times New Roman"/>
                <w:caps w:val="0"/>
                <w:color w:val="auto"/>
                <w:spacing w:val="0"/>
                <w:position w:val="0"/>
                <w:highlight w:val="none"/>
                <w:lang w:val="en-US" w:eastAsia="zh-CN"/>
              </w:rPr>
              <w:t>6</w:t>
            </w:r>
            <w:r>
              <w:rPr>
                <w:rFonts w:hint="eastAsia" w:cs="Times New Roman"/>
                <w:caps w:val="0"/>
                <w:color w:val="auto"/>
                <w:spacing w:val="0"/>
                <w:position w:val="0"/>
                <w:highlight w:val="none"/>
                <w:lang w:eastAsia="zh-CN"/>
              </w:rPr>
              <w:t>）</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初期雨水</w:t>
            </w:r>
          </w:p>
          <w:p w14:paraId="0D1488DC">
            <w:pPr>
              <w:keepNext w:val="0"/>
              <w:keepLines w:val="0"/>
              <w:widowControl w:val="0"/>
              <w:suppressLineNumbers w:val="0"/>
              <w:bidi w:val="0"/>
              <w:spacing w:before="0" w:beforeAutospacing="0" w:after="0" w:afterAutospacing="0" w:line="360" w:lineRule="auto"/>
              <w:ind w:left="0" w:right="0" w:firstLine="480" w:firstLineChars="200"/>
              <w:jc w:val="both"/>
              <w:rPr>
                <w:rFonts w:hint="default" w:ascii="Times New Roman" w:hAnsi="Times New Roman" w:eastAsia="宋体" w:cs="Times New Roman"/>
                <w:caps w:val="0"/>
                <w:color w:val="auto"/>
                <w:spacing w:val="0"/>
                <w:position w:val="0"/>
                <w:sz w:val="24"/>
                <w:highlight w:val="none"/>
                <w:lang w:val="en-US" w:eastAsia="zh-CN"/>
              </w:rPr>
            </w:pPr>
            <w:r>
              <w:rPr>
                <w:rFonts w:hint="default" w:ascii="Times New Roman" w:hAnsi="Times New Roman" w:cs="Times New Roman"/>
                <w:caps w:val="0"/>
                <w:color w:val="auto"/>
                <w:spacing w:val="0"/>
                <w:position w:val="0"/>
                <w:sz w:val="24"/>
                <w:szCs w:val="24"/>
                <w:highlight w:val="none"/>
              </w:rPr>
              <w:t>项目厂区初期雨水收</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集面积约</w:t>
            </w:r>
            <w:r>
              <w:rPr>
                <w:rFonts w:hint="eastAsia" w:cs="Times New Roman"/>
                <w:bCs/>
                <w:caps w:val="0"/>
                <w:color w:val="auto"/>
                <w:spacing w:val="0"/>
                <w:kern w:val="2"/>
                <w:position w:val="0"/>
                <w:sz w:val="24"/>
                <w:szCs w:val="24"/>
                <w:highlight w:val="none"/>
                <w:lang w:val="en-US" w:eastAsia="zh-CN" w:bidi="ar-SA"/>
              </w:rPr>
              <w:t>22500</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m</w:t>
            </w:r>
            <w:r>
              <w:rPr>
                <w:rFonts w:hint="default" w:ascii="Times New Roman" w:hAnsi="Times New Roman" w:eastAsia="宋体" w:cs="Times New Roman"/>
                <w:bCs/>
                <w:caps w:val="0"/>
                <w:color w:val="auto"/>
                <w:spacing w:val="0"/>
                <w:kern w:val="2"/>
                <w:position w:val="0"/>
                <w:sz w:val="24"/>
                <w:szCs w:val="24"/>
                <w:highlight w:val="none"/>
                <w:vertAlign w:val="superscript"/>
                <w:lang w:val="en-US" w:eastAsia="zh-CN" w:bidi="ar-SA"/>
              </w:rPr>
              <w:t>2</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w:t>
            </w:r>
            <w:r>
              <w:rPr>
                <w:rFonts w:hint="default" w:ascii="Times New Roman" w:hAnsi="Times New Roman" w:eastAsia="宋体" w:cs="Times New Roman"/>
                <w:caps w:val="0"/>
                <w:color w:val="auto"/>
                <w:spacing w:val="0"/>
                <w:position w:val="0"/>
                <w:sz w:val="24"/>
                <w:highlight w:val="none"/>
              </w:rPr>
              <w:t>参考《石油化工给水排水系统设计规范》（SH/T3015-2019），本项目初期雨水产生量按15mm降雨量计算</w:t>
            </w:r>
            <w:r>
              <w:rPr>
                <w:rFonts w:hint="default" w:ascii="Times New Roman" w:hAnsi="Times New Roman" w:eastAsia="宋体" w:cs="Times New Roman"/>
                <w:caps w:val="0"/>
                <w:color w:val="auto"/>
                <w:spacing w:val="0"/>
                <w:position w:val="0"/>
                <w:sz w:val="24"/>
                <w:highlight w:val="none"/>
                <w:lang w:eastAsia="zh-CN"/>
              </w:rPr>
              <w:t>，</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最大初期收集水量</w:t>
            </w:r>
            <w:r>
              <w:rPr>
                <w:rFonts w:hint="eastAsia" w:cs="Times New Roman"/>
                <w:bCs/>
                <w:caps w:val="0"/>
                <w:color w:val="auto"/>
                <w:spacing w:val="0"/>
                <w:kern w:val="2"/>
                <w:position w:val="0"/>
                <w:sz w:val="24"/>
                <w:szCs w:val="24"/>
                <w:highlight w:val="none"/>
                <w:lang w:val="en-US" w:eastAsia="zh-CN" w:bidi="ar-SA"/>
              </w:rPr>
              <w:t>337.5</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m</w:t>
            </w:r>
            <w:r>
              <w:rPr>
                <w:rFonts w:hint="default" w:ascii="Times New Roman" w:hAnsi="Times New Roman" w:eastAsia="宋体" w:cs="Times New Roman"/>
                <w:bCs/>
                <w:caps w:val="0"/>
                <w:color w:val="auto"/>
                <w:spacing w:val="0"/>
                <w:kern w:val="2"/>
                <w:position w:val="0"/>
                <w:sz w:val="24"/>
                <w:szCs w:val="24"/>
                <w:highlight w:val="none"/>
                <w:vertAlign w:val="superscript"/>
                <w:lang w:val="en-US" w:eastAsia="zh-CN" w:bidi="ar-SA"/>
              </w:rPr>
              <w:t>3</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/次，全年按</w:t>
            </w:r>
            <w:r>
              <w:rPr>
                <w:rFonts w:hint="eastAsia" w:cs="Times New Roman"/>
                <w:bCs/>
                <w:caps w:val="0"/>
                <w:color w:val="auto"/>
                <w:spacing w:val="0"/>
                <w:kern w:val="2"/>
                <w:position w:val="0"/>
                <w:sz w:val="24"/>
                <w:szCs w:val="24"/>
                <w:highlight w:val="none"/>
                <w:lang w:val="en-US" w:eastAsia="zh-CN" w:bidi="ar-SA"/>
              </w:rPr>
              <w:t>2</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0次计算，初期雨水产生量</w:t>
            </w:r>
            <w:r>
              <w:rPr>
                <w:rFonts w:hint="eastAsia" w:cs="Times New Roman"/>
                <w:bCs/>
                <w:caps w:val="0"/>
                <w:color w:val="auto"/>
                <w:spacing w:val="0"/>
                <w:kern w:val="2"/>
                <w:position w:val="0"/>
                <w:sz w:val="24"/>
                <w:szCs w:val="24"/>
                <w:highlight w:val="none"/>
                <w:lang w:val="en-US" w:eastAsia="zh-CN" w:bidi="ar-SA"/>
              </w:rPr>
              <w:t>6750</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t/a（</w:t>
            </w:r>
            <w:r>
              <w:rPr>
                <w:rFonts w:hint="eastAsia" w:cs="Times New Roman"/>
                <w:bCs/>
                <w:caps w:val="0"/>
                <w:color w:val="auto"/>
                <w:spacing w:val="0"/>
                <w:kern w:val="2"/>
                <w:position w:val="0"/>
                <w:sz w:val="24"/>
                <w:szCs w:val="24"/>
                <w:highlight w:val="none"/>
                <w:lang w:val="en-US" w:eastAsia="zh-CN" w:bidi="ar-SA"/>
              </w:rPr>
              <w:t>22.5</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m</w:t>
            </w:r>
            <w:r>
              <w:rPr>
                <w:rFonts w:hint="default" w:ascii="Times New Roman" w:hAnsi="Times New Roman" w:eastAsia="宋体" w:cs="Times New Roman"/>
                <w:bCs/>
                <w:caps w:val="0"/>
                <w:color w:val="auto"/>
                <w:spacing w:val="0"/>
                <w:kern w:val="2"/>
                <w:position w:val="0"/>
                <w:sz w:val="24"/>
                <w:szCs w:val="24"/>
                <w:highlight w:val="none"/>
                <w:vertAlign w:val="superscript"/>
                <w:lang w:val="en-US" w:eastAsia="zh-CN" w:bidi="ar-SA"/>
              </w:rPr>
              <w:t>3</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/d），</w:t>
            </w:r>
            <w:r>
              <w:rPr>
                <w:rFonts w:hint="default" w:ascii="Times New Roman" w:hAnsi="Times New Roman" w:eastAsia="宋体" w:cs="Times New Roman"/>
                <w:caps w:val="0"/>
                <w:color w:val="auto"/>
                <w:spacing w:val="0"/>
                <w:position w:val="0"/>
                <w:highlight w:val="none"/>
                <w:lang w:val="en-US" w:eastAsia="zh-CN"/>
              </w:rPr>
              <w:t>其中20%损耗，则初期雨水回用量为</w:t>
            </w:r>
            <w:r>
              <w:rPr>
                <w:rFonts w:hint="eastAsia" w:cs="Times New Roman"/>
                <w:bCs/>
                <w:caps w:val="0"/>
                <w:color w:val="auto"/>
                <w:spacing w:val="0"/>
                <w:kern w:val="2"/>
                <w:position w:val="0"/>
                <w:sz w:val="24"/>
                <w:szCs w:val="24"/>
                <w:highlight w:val="none"/>
                <w:lang w:val="en-US" w:eastAsia="zh-CN" w:bidi="ar-SA"/>
              </w:rPr>
              <w:t>5400</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t/a（</w:t>
            </w:r>
            <w:r>
              <w:rPr>
                <w:rFonts w:hint="eastAsia" w:cs="Times New Roman"/>
                <w:bCs/>
                <w:caps w:val="0"/>
                <w:color w:val="auto"/>
                <w:spacing w:val="0"/>
                <w:kern w:val="2"/>
                <w:position w:val="0"/>
                <w:sz w:val="24"/>
                <w:szCs w:val="24"/>
                <w:highlight w:val="none"/>
                <w:lang w:val="en-US" w:eastAsia="zh-CN" w:bidi="ar-SA"/>
              </w:rPr>
              <w:t>18</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m</w:t>
            </w:r>
            <w:r>
              <w:rPr>
                <w:rFonts w:hint="default" w:ascii="Times New Roman" w:hAnsi="Times New Roman" w:eastAsia="宋体" w:cs="Times New Roman"/>
                <w:bCs/>
                <w:caps w:val="0"/>
                <w:color w:val="auto"/>
                <w:spacing w:val="0"/>
                <w:kern w:val="2"/>
                <w:position w:val="0"/>
                <w:sz w:val="24"/>
                <w:szCs w:val="24"/>
                <w:highlight w:val="none"/>
                <w:vertAlign w:val="superscript"/>
                <w:lang w:val="en-US" w:eastAsia="zh-CN" w:bidi="ar-SA"/>
              </w:rPr>
              <w:t>3</w:t>
            </w:r>
            <w:r>
              <w:rPr>
                <w:rFonts w:hint="default" w:ascii="Times New Roman" w:hAnsi="Times New Roman" w:eastAsia="宋体" w:cs="Times New Roman"/>
                <w:bCs/>
                <w:caps w:val="0"/>
                <w:color w:val="auto"/>
                <w:spacing w:val="0"/>
                <w:kern w:val="2"/>
                <w:position w:val="0"/>
                <w:sz w:val="24"/>
                <w:szCs w:val="24"/>
                <w:highlight w:val="none"/>
                <w:lang w:val="en-US" w:eastAsia="zh-CN" w:bidi="ar-SA"/>
              </w:rPr>
              <w:t>/d）</w:t>
            </w:r>
            <w:r>
              <w:rPr>
                <w:rFonts w:hint="default" w:ascii="Times New Roman" w:hAnsi="Times New Roman" w:cs="Times New Roman"/>
                <w:bCs/>
                <w:caps w:val="0"/>
                <w:color w:val="auto"/>
                <w:spacing w:val="0"/>
                <w:kern w:val="2"/>
                <w:position w:val="0"/>
                <w:sz w:val="24"/>
                <w:szCs w:val="24"/>
                <w:highlight w:val="none"/>
                <w:lang w:val="en-US" w:eastAsia="zh-CN" w:bidi="ar-SA"/>
              </w:rPr>
              <w:t>。</w:t>
            </w:r>
            <w:r>
              <w:rPr>
                <w:rFonts w:hint="default" w:ascii="Times New Roman" w:hAnsi="Times New Roman" w:eastAsia="宋体" w:cs="Times New Roman"/>
                <w:b w:val="0"/>
                <w:bCs w:val="0"/>
                <w:caps w:val="0"/>
                <w:color w:val="auto"/>
                <w:spacing w:val="0"/>
                <w:position w:val="0"/>
                <w:sz w:val="24"/>
                <w:szCs w:val="32"/>
                <w:lang w:val="en-US" w:eastAsia="zh-CN"/>
              </w:rPr>
              <w:t>参考类似建设项目，初期雨水的污染物浓度为COD</w:t>
            </w:r>
            <w:r>
              <w:rPr>
                <w:rFonts w:hint="default" w:ascii="Times New Roman" w:hAnsi="Times New Roman" w:eastAsia="宋体" w:cs="Times New Roman"/>
                <w:b w:val="0"/>
                <w:bCs w:val="0"/>
                <w:caps w:val="0"/>
                <w:color w:val="auto"/>
                <w:spacing w:val="0"/>
                <w:position w:val="0"/>
                <w:sz w:val="24"/>
                <w:szCs w:val="32"/>
                <w:vertAlign w:val="subscript"/>
                <w:lang w:val="en-US" w:eastAsia="zh-CN"/>
              </w:rPr>
              <w:t>Cr</w:t>
            </w:r>
            <w:r>
              <w:rPr>
                <w:rFonts w:hint="default" w:ascii="Times New Roman" w:hAnsi="Times New Roman" w:eastAsia="宋体" w:cs="Times New Roman"/>
                <w:b w:val="0"/>
                <w:bCs w:val="0"/>
                <w:caps w:val="0"/>
                <w:color w:val="auto"/>
                <w:spacing w:val="0"/>
                <w:position w:val="0"/>
                <w:sz w:val="24"/>
                <w:szCs w:val="32"/>
                <w:lang w:val="en-US" w:eastAsia="zh-CN"/>
              </w:rPr>
              <w:t>：40mg/L、SS：400mg/L、NH</w:t>
            </w:r>
            <w:r>
              <w:rPr>
                <w:rFonts w:hint="default" w:ascii="Times New Roman" w:hAnsi="Times New Roman" w:eastAsia="宋体" w:cs="Times New Roman"/>
                <w:b w:val="0"/>
                <w:bCs w:val="0"/>
                <w:caps w:val="0"/>
                <w:color w:val="auto"/>
                <w:spacing w:val="0"/>
                <w:position w:val="0"/>
                <w:sz w:val="24"/>
                <w:szCs w:val="32"/>
                <w:vertAlign w:val="subscript"/>
                <w:lang w:val="en-US" w:eastAsia="zh-CN"/>
              </w:rPr>
              <w:t>3</w:t>
            </w:r>
            <w:r>
              <w:rPr>
                <w:rFonts w:hint="default" w:ascii="Times New Roman" w:hAnsi="Times New Roman" w:eastAsia="宋体" w:cs="Times New Roman"/>
                <w:b w:val="0"/>
                <w:bCs w:val="0"/>
                <w:caps w:val="0"/>
                <w:color w:val="auto"/>
                <w:spacing w:val="0"/>
                <w:position w:val="0"/>
                <w:sz w:val="24"/>
                <w:szCs w:val="32"/>
                <w:lang w:val="en-US" w:eastAsia="zh-CN"/>
              </w:rPr>
              <w:t>-N：0.5mg/L、总铍：0.01mg/L、总铊：0.0</w:t>
            </w:r>
            <w:r>
              <w:rPr>
                <w:rFonts w:hint="eastAsia" w:ascii="Times New Roman" w:hAnsi="Times New Roman" w:eastAsia="宋体" w:cs="Times New Roman"/>
                <w:b w:val="0"/>
                <w:bCs w:val="0"/>
                <w:caps w:val="0"/>
                <w:color w:val="auto"/>
                <w:spacing w:val="0"/>
                <w:position w:val="0"/>
                <w:sz w:val="24"/>
                <w:szCs w:val="32"/>
                <w:lang w:val="en-US" w:eastAsia="zh-CN"/>
              </w:rPr>
              <w:t>2</w:t>
            </w:r>
            <w:r>
              <w:rPr>
                <w:rFonts w:hint="default" w:ascii="Times New Roman" w:hAnsi="Times New Roman" w:eastAsia="宋体" w:cs="Times New Roman"/>
                <w:b w:val="0"/>
                <w:bCs w:val="0"/>
                <w:caps w:val="0"/>
                <w:color w:val="auto"/>
                <w:spacing w:val="0"/>
                <w:position w:val="0"/>
                <w:sz w:val="24"/>
                <w:szCs w:val="32"/>
                <w:lang w:val="en-US" w:eastAsia="zh-CN"/>
              </w:rPr>
              <w:t>mg/L和氟化物：5mg/L。</w:t>
            </w:r>
            <w:r>
              <w:rPr>
                <w:rFonts w:hint="default" w:ascii="Times New Roman" w:hAnsi="Times New Roman" w:eastAsia="宋体" w:cs="Times New Roman"/>
                <w:b w:val="0"/>
                <w:bCs w:val="0"/>
                <w:caps w:val="0"/>
                <w:color w:val="auto"/>
                <w:spacing w:val="0"/>
                <w:position w:val="0"/>
                <w:sz w:val="24"/>
                <w:szCs w:val="24"/>
                <w:highlight w:val="none"/>
                <w:lang w:val="en-US" w:eastAsia="zh-CN"/>
              </w:rPr>
              <w:t>根据宜春市生态环境保护委员会办公室出具了《碳酸锂生产行业生态环境监管标准（试行）》（宜环委办字〔2023〕2号）文，</w:t>
            </w:r>
            <w:r>
              <w:rPr>
                <w:rFonts w:hint="default" w:ascii="Times New Roman" w:hAnsi="Times New Roman" w:eastAsia="宋体" w:cs="Times New Roman"/>
                <w:caps w:val="0"/>
                <w:color w:val="auto"/>
                <w:spacing w:val="0"/>
                <w:position w:val="0"/>
                <w:sz w:val="24"/>
                <w:szCs w:val="24"/>
                <w:highlight w:val="none"/>
              </w:rPr>
              <w:t>初期雨水收集池按照厂区面积不低于每公顷300立方</w:t>
            </w:r>
            <w:r>
              <w:rPr>
                <w:rFonts w:hint="default" w:ascii="Times New Roman" w:hAnsi="Times New Roman" w:eastAsia="宋体" w:cs="Times New Roman"/>
                <w:caps w:val="0"/>
                <w:color w:val="auto"/>
                <w:spacing w:val="0"/>
                <w:position w:val="0"/>
                <w:sz w:val="24"/>
                <w:szCs w:val="24"/>
                <w:highlight w:val="none"/>
                <w:lang w:val="en-US" w:eastAsia="zh-CN"/>
              </w:rPr>
              <w:t>米的标准建设，本项目占地面积</w:t>
            </w:r>
            <w:r>
              <w:rPr>
                <w:rFonts w:hint="eastAsia" w:cs="Times New Roman"/>
                <w:caps w:val="0"/>
                <w:color w:val="auto"/>
                <w:spacing w:val="0"/>
                <w:position w:val="0"/>
                <w:sz w:val="24"/>
                <w:szCs w:val="24"/>
                <w:highlight w:val="none"/>
                <w:lang w:val="en-US" w:eastAsia="zh-CN"/>
              </w:rPr>
              <w:t>2.25</w:t>
            </w:r>
            <w:r>
              <w:rPr>
                <w:rFonts w:hint="default" w:ascii="Times New Roman" w:hAnsi="Times New Roman" w:eastAsia="宋体" w:cs="Times New Roman"/>
                <w:caps w:val="0"/>
                <w:color w:val="auto"/>
                <w:spacing w:val="0"/>
                <w:position w:val="0"/>
                <w:sz w:val="24"/>
                <w:szCs w:val="24"/>
                <w:highlight w:val="none"/>
                <w:lang w:val="en-US" w:eastAsia="zh-CN"/>
              </w:rPr>
              <w:t>公顷，在满足一次收集量的情况下，需要建设不低于</w:t>
            </w:r>
            <w:r>
              <w:rPr>
                <w:rFonts w:hint="eastAsia" w:cs="Times New Roman"/>
                <w:caps w:val="0"/>
                <w:color w:val="auto"/>
                <w:spacing w:val="0"/>
                <w:position w:val="0"/>
                <w:sz w:val="24"/>
                <w:szCs w:val="24"/>
                <w:highlight w:val="none"/>
                <w:lang w:val="en-US" w:eastAsia="zh-CN"/>
              </w:rPr>
              <w:t>675</w:t>
            </w:r>
            <w:r>
              <w:rPr>
                <w:rFonts w:hint="default" w:ascii="Times New Roman" w:hAnsi="Times New Roman" w:eastAsia="宋体" w:cs="Times New Roman"/>
                <w:caps w:val="0"/>
                <w:color w:val="auto"/>
                <w:spacing w:val="0"/>
                <w:position w:val="0"/>
                <w:sz w:val="24"/>
                <w:szCs w:val="24"/>
                <w:highlight w:val="none"/>
                <w:lang w:val="en-US" w:eastAsia="zh-CN"/>
              </w:rPr>
              <w:t>m</w:t>
            </w:r>
            <w:r>
              <w:rPr>
                <w:rFonts w:hint="default" w:ascii="Times New Roman" w:hAnsi="Times New Roman" w:eastAsia="宋体" w:cs="Times New Roman"/>
                <w:caps w:val="0"/>
                <w:color w:val="auto"/>
                <w:spacing w:val="0"/>
                <w:position w:val="0"/>
                <w:sz w:val="24"/>
                <w:szCs w:val="24"/>
                <w:highlight w:val="none"/>
                <w:vertAlign w:val="superscript"/>
                <w:lang w:val="en-US" w:eastAsia="zh-CN"/>
              </w:rPr>
              <w:t>3</w:t>
            </w:r>
            <w:r>
              <w:rPr>
                <w:rFonts w:hint="default" w:ascii="Times New Roman" w:hAnsi="Times New Roman" w:eastAsia="宋体" w:cs="Times New Roman"/>
                <w:caps w:val="0"/>
                <w:color w:val="auto"/>
                <w:spacing w:val="0"/>
                <w:position w:val="0"/>
                <w:sz w:val="24"/>
                <w:szCs w:val="24"/>
                <w:highlight w:val="none"/>
                <w:lang w:val="en-US" w:eastAsia="zh-CN"/>
              </w:rPr>
              <w:t>的初期雨水池，本次拟在</w:t>
            </w:r>
            <w:r>
              <w:rPr>
                <w:rFonts w:hint="default" w:ascii="Times New Roman" w:hAnsi="Times New Roman" w:eastAsia="宋体" w:cs="Times New Roman"/>
                <w:caps w:val="0"/>
                <w:color w:val="auto"/>
                <w:spacing w:val="0"/>
                <w:position w:val="0"/>
                <w:sz w:val="24"/>
                <w:szCs w:val="24"/>
                <w:highlight w:val="none"/>
              </w:rPr>
              <w:t>厂区</w:t>
            </w:r>
            <w:r>
              <w:rPr>
                <w:rFonts w:hint="eastAsia" w:cs="Times New Roman"/>
                <w:caps w:val="0"/>
                <w:color w:val="auto"/>
                <w:spacing w:val="0"/>
                <w:position w:val="0"/>
                <w:sz w:val="24"/>
                <w:szCs w:val="24"/>
                <w:highlight w:val="none"/>
                <w:lang w:val="en-US" w:eastAsia="zh-CN"/>
              </w:rPr>
              <w:t>西南侧</w:t>
            </w:r>
            <w:r>
              <w:rPr>
                <w:rFonts w:hint="default" w:ascii="Times New Roman" w:hAnsi="Times New Roman" w:eastAsia="宋体" w:cs="Times New Roman"/>
                <w:caps w:val="0"/>
                <w:color w:val="auto"/>
                <w:spacing w:val="0"/>
                <w:position w:val="0"/>
                <w:sz w:val="24"/>
                <w:szCs w:val="24"/>
                <w:highlight w:val="none"/>
                <w:lang w:val="en-US" w:eastAsia="zh-CN"/>
              </w:rPr>
              <w:t>设置</w:t>
            </w:r>
            <w:r>
              <w:rPr>
                <w:rFonts w:hint="default" w:ascii="Times New Roman" w:hAnsi="Times New Roman" w:eastAsia="宋体" w:cs="Times New Roman"/>
                <w:caps w:val="0"/>
                <w:color w:val="auto"/>
                <w:spacing w:val="0"/>
                <w:position w:val="0"/>
                <w:sz w:val="24"/>
                <w:szCs w:val="24"/>
                <w:highlight w:val="none"/>
              </w:rPr>
              <w:t>1座有效容积为</w:t>
            </w:r>
            <w:r>
              <w:rPr>
                <w:rFonts w:hint="eastAsia" w:cs="Times New Roman"/>
                <w:caps w:val="0"/>
                <w:color w:val="auto"/>
                <w:spacing w:val="0"/>
                <w:position w:val="0"/>
                <w:sz w:val="24"/>
                <w:szCs w:val="24"/>
                <w:highlight w:val="none"/>
                <w:lang w:val="en-US" w:eastAsia="zh-CN"/>
              </w:rPr>
              <w:t>70</w:t>
            </w:r>
            <w:r>
              <w:rPr>
                <w:rFonts w:hint="default" w:ascii="Times New Roman" w:hAnsi="Times New Roman" w:eastAsia="宋体" w:cs="Times New Roman"/>
                <w:caps w:val="0"/>
                <w:color w:val="auto"/>
                <w:spacing w:val="0"/>
                <w:position w:val="0"/>
                <w:sz w:val="24"/>
                <w:szCs w:val="24"/>
                <w:highlight w:val="none"/>
                <w:lang w:val="en-US" w:eastAsia="zh-CN"/>
              </w:rPr>
              <w:t>0</w:t>
            </w:r>
            <w:r>
              <w:rPr>
                <w:rFonts w:hint="default" w:ascii="Times New Roman" w:hAnsi="Times New Roman" w:eastAsia="宋体" w:cs="Times New Roman"/>
                <w:caps w:val="0"/>
                <w:color w:val="auto"/>
                <w:spacing w:val="0"/>
                <w:position w:val="0"/>
                <w:sz w:val="24"/>
                <w:szCs w:val="24"/>
                <w:highlight w:val="none"/>
              </w:rPr>
              <w:t>m</w:t>
            </w:r>
            <w:r>
              <w:rPr>
                <w:rFonts w:hint="default" w:ascii="Times New Roman" w:hAnsi="Times New Roman" w:eastAsia="宋体" w:cs="Times New Roman"/>
                <w:caps w:val="0"/>
                <w:color w:val="auto"/>
                <w:spacing w:val="0"/>
                <w:position w:val="0"/>
                <w:sz w:val="24"/>
                <w:szCs w:val="24"/>
                <w:highlight w:val="none"/>
                <w:vertAlign w:val="superscript"/>
              </w:rPr>
              <w:t>3</w:t>
            </w:r>
            <w:r>
              <w:rPr>
                <w:rFonts w:hint="default" w:ascii="Times New Roman" w:hAnsi="Times New Roman" w:eastAsia="宋体" w:cs="Times New Roman"/>
                <w:caps w:val="0"/>
                <w:color w:val="auto"/>
                <w:spacing w:val="0"/>
                <w:position w:val="0"/>
                <w:sz w:val="24"/>
                <w:szCs w:val="24"/>
                <w:highlight w:val="none"/>
              </w:rPr>
              <w:t>的初期雨水池，能满足</w:t>
            </w:r>
            <w:r>
              <w:rPr>
                <w:rFonts w:hint="default" w:ascii="Times New Roman" w:hAnsi="Times New Roman" w:eastAsia="宋体" w:cs="Times New Roman"/>
                <w:caps w:val="0"/>
                <w:color w:val="auto"/>
                <w:spacing w:val="0"/>
                <w:position w:val="0"/>
                <w:sz w:val="24"/>
                <w:szCs w:val="24"/>
                <w:highlight w:val="none"/>
                <w:lang w:val="en-US" w:eastAsia="zh-CN"/>
              </w:rPr>
              <w:t>要求</w:t>
            </w:r>
            <w:r>
              <w:rPr>
                <w:rFonts w:hint="default" w:ascii="Times New Roman" w:hAnsi="Times New Roman" w:eastAsia="宋体" w:cs="Times New Roman"/>
                <w:caps w:val="0"/>
                <w:color w:val="auto"/>
                <w:spacing w:val="0"/>
                <w:position w:val="0"/>
                <w:sz w:val="24"/>
                <w:szCs w:val="24"/>
                <w:highlight w:val="none"/>
              </w:rPr>
              <w:t>。</w:t>
            </w:r>
            <w:r>
              <w:rPr>
                <w:rFonts w:hint="eastAsia" w:cs="Times New Roman"/>
                <w:caps w:val="0"/>
                <w:color w:val="auto"/>
                <w:spacing w:val="0"/>
                <w:position w:val="0"/>
                <w:sz w:val="24"/>
                <w:highlight w:val="none"/>
                <w:lang w:val="en-US" w:eastAsia="zh-CN"/>
              </w:rPr>
              <w:t>项目初期雨水</w:t>
            </w:r>
            <w:r>
              <w:rPr>
                <w:rFonts w:hint="default" w:ascii="Times New Roman" w:hAnsi="Times New Roman" w:cs="Times New Roman"/>
                <w:caps w:val="0"/>
                <w:color w:val="auto"/>
                <w:spacing w:val="0"/>
                <w:position w:val="0"/>
                <w:highlight w:val="none"/>
                <w:lang w:val="en-US" w:eastAsia="zh-CN"/>
              </w:rPr>
              <w:t>经</w:t>
            </w:r>
            <w:r>
              <w:rPr>
                <w:rFonts w:hint="eastAsia" w:cs="Times New Roman"/>
                <w:caps w:val="0"/>
                <w:color w:val="auto"/>
                <w:spacing w:val="0"/>
                <w:position w:val="0"/>
                <w:highlight w:val="none"/>
                <w:lang w:val="en-US" w:eastAsia="zh-CN"/>
              </w:rPr>
              <w:t>氧化+絮凝沉淀</w:t>
            </w:r>
            <w:r>
              <w:rPr>
                <w:rFonts w:hint="default" w:ascii="Times New Roman" w:hAnsi="Times New Roman" w:cs="Times New Roman"/>
                <w:caps w:val="0"/>
                <w:color w:val="auto"/>
                <w:spacing w:val="0"/>
                <w:position w:val="0"/>
                <w:highlight w:val="none"/>
                <w:lang w:val="en-US" w:eastAsia="zh-CN"/>
              </w:rPr>
              <w:t>处理后达到《城市污水再生利用工业用水水质》（GB/T19923-2024）、</w:t>
            </w:r>
            <w:r>
              <w:rPr>
                <w:rFonts w:hint="eastAsia" w:cs="Times New Roman"/>
                <w:caps w:val="0"/>
                <w:color w:val="auto"/>
                <w:spacing w:val="0"/>
                <w:position w:val="0"/>
                <w:highlight w:val="none"/>
                <w:lang w:val="en-US" w:eastAsia="zh-CN"/>
              </w:rPr>
              <w:t>《无机化学工业污染物排放标准》（GB31573-2015）修改单</w:t>
            </w:r>
            <w:r>
              <w:rPr>
                <w:rFonts w:hint="default" w:ascii="Times New Roman" w:hAnsi="Times New Roman" w:cs="Times New Roman"/>
                <w:caps w:val="0"/>
                <w:color w:val="auto"/>
                <w:spacing w:val="0"/>
                <w:position w:val="0"/>
                <w:highlight w:val="none"/>
                <w:lang w:val="en-US" w:eastAsia="zh-CN"/>
              </w:rPr>
              <w:t>《工业废水铊污染物排放标准》（DB36/1149-2019）标准中的较严值后，回用于</w:t>
            </w:r>
            <w:r>
              <w:rPr>
                <w:rFonts w:hint="eastAsia" w:cs="Times New Roman"/>
                <w:caps w:val="0"/>
                <w:color w:val="auto"/>
                <w:spacing w:val="0"/>
                <w:position w:val="0"/>
                <w:highlight w:val="none"/>
                <w:lang w:val="en-US" w:eastAsia="zh-CN"/>
              </w:rPr>
              <w:t>搅拌</w:t>
            </w:r>
            <w:r>
              <w:rPr>
                <w:rFonts w:hint="default" w:ascii="Times New Roman" w:hAnsi="Times New Roman" w:cs="Times New Roman"/>
                <w:caps w:val="0"/>
                <w:color w:val="auto"/>
                <w:spacing w:val="0"/>
                <w:position w:val="0"/>
                <w:highlight w:val="none"/>
                <w:lang w:val="en-US" w:eastAsia="zh-CN"/>
              </w:rPr>
              <w:t>用水</w:t>
            </w:r>
            <w:r>
              <w:rPr>
                <w:rFonts w:hint="eastAsia" w:cs="Times New Roman"/>
                <w:caps w:val="0"/>
                <w:color w:val="auto"/>
                <w:spacing w:val="0"/>
                <w:position w:val="0"/>
                <w:highlight w:val="none"/>
                <w:lang w:val="en-US" w:eastAsia="zh-CN"/>
              </w:rPr>
              <w:t>和降尘用水</w:t>
            </w:r>
            <w:r>
              <w:rPr>
                <w:rFonts w:hint="default" w:ascii="Times New Roman" w:hAnsi="Times New Roman" w:cs="Times New Roman"/>
                <w:caps w:val="0"/>
                <w:color w:val="auto"/>
                <w:spacing w:val="0"/>
                <w:position w:val="0"/>
                <w:highlight w:val="none"/>
                <w:lang w:val="en-US" w:eastAsia="zh-CN"/>
              </w:rPr>
              <w:t>。</w:t>
            </w:r>
            <w:r>
              <w:rPr>
                <w:rFonts w:hint="eastAsia" w:cs="Times New Roman"/>
                <w:caps w:val="0"/>
                <w:color w:val="auto"/>
                <w:spacing w:val="0"/>
                <w:position w:val="0"/>
                <w:highlight w:val="none"/>
                <w:lang w:val="en-US" w:eastAsia="zh-CN"/>
              </w:rPr>
              <w:t>处理后的初期雨水储存于</w:t>
            </w:r>
            <w:r>
              <w:rPr>
                <w:rFonts w:hint="default" w:ascii="Times New Roman" w:hAnsi="Times New Roman" w:eastAsia="宋体" w:cs="Times New Roman"/>
                <w:caps w:val="0"/>
                <w:color w:val="auto"/>
                <w:spacing w:val="0"/>
                <w:position w:val="0"/>
                <w:sz w:val="21"/>
                <w:szCs w:val="21"/>
                <w:highlight w:val="none"/>
                <w:lang w:val="en-US" w:eastAsia="zh-CN"/>
              </w:rPr>
              <w:t>1#</w:t>
            </w:r>
            <w:r>
              <w:rPr>
                <w:rFonts w:hint="default" w:ascii="Times New Roman" w:hAnsi="Times New Roman" w:cs="Times New Roman"/>
                <w:caps w:val="0"/>
                <w:color w:val="auto"/>
                <w:spacing w:val="0"/>
                <w:position w:val="0"/>
                <w:highlight w:val="none"/>
              </w:rPr>
              <w:t>沉淀</w:t>
            </w:r>
            <w:r>
              <w:rPr>
                <w:rFonts w:hint="default" w:ascii="Times New Roman" w:hAnsi="Times New Roman" w:cs="Times New Roman"/>
                <w:caps w:val="0"/>
                <w:color w:val="auto"/>
                <w:spacing w:val="0"/>
                <w:position w:val="0"/>
                <w:highlight w:val="none"/>
                <w:lang w:val="en-US" w:eastAsia="zh-CN"/>
              </w:rPr>
              <w:t>池</w:t>
            </w:r>
            <w:r>
              <w:rPr>
                <w:rFonts w:hint="eastAsia" w:cs="Times New Roman"/>
                <w:caps w:val="0"/>
                <w:color w:val="auto"/>
                <w:spacing w:val="0"/>
                <w:position w:val="0"/>
                <w:highlight w:val="none"/>
                <w:lang w:val="en-US" w:eastAsia="zh-CN"/>
              </w:rPr>
              <w:t>。</w:t>
            </w:r>
          </w:p>
          <w:p w14:paraId="4F5DB549">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eastAsia" w:cs="Times New Roman"/>
                <w:caps w:val="0"/>
                <w:color w:val="auto"/>
                <w:spacing w:val="0"/>
                <w:position w:val="0"/>
                <w:highlight w:val="none"/>
                <w:lang w:eastAsia="zh-CN"/>
              </w:rPr>
              <w:t>（</w:t>
            </w:r>
            <w:r>
              <w:rPr>
                <w:rFonts w:hint="eastAsia" w:cs="Times New Roman"/>
                <w:caps w:val="0"/>
                <w:color w:val="auto"/>
                <w:spacing w:val="0"/>
                <w:position w:val="0"/>
                <w:highlight w:val="none"/>
                <w:lang w:val="en-US" w:eastAsia="zh-CN"/>
              </w:rPr>
              <w:t>7</w:t>
            </w:r>
            <w:r>
              <w:rPr>
                <w:rFonts w:hint="eastAsia"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rPr>
              <w:t>生活用水</w:t>
            </w:r>
          </w:p>
          <w:p w14:paraId="4F1B448A">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eastAsia="宋体" w:cs="Times New Roman"/>
                <w:caps w:val="0"/>
                <w:color w:val="auto"/>
                <w:spacing w:val="0"/>
                <w:position w:val="0"/>
                <w:sz w:val="24"/>
                <w:highlight w:val="none"/>
              </w:rPr>
              <w:t>本项目员工定额为</w:t>
            </w:r>
            <w:r>
              <w:rPr>
                <w:rFonts w:hint="default" w:ascii="Times New Roman" w:hAnsi="Times New Roman" w:eastAsia="宋体" w:cs="Times New Roman"/>
                <w:caps w:val="0"/>
                <w:color w:val="auto"/>
                <w:spacing w:val="0"/>
                <w:position w:val="0"/>
                <w:sz w:val="24"/>
                <w:highlight w:val="none"/>
                <w:lang w:val="en-US" w:eastAsia="zh-CN"/>
              </w:rPr>
              <w:t>20</w:t>
            </w:r>
            <w:r>
              <w:rPr>
                <w:rFonts w:hint="default" w:ascii="Times New Roman" w:hAnsi="Times New Roman" w:eastAsia="宋体" w:cs="Times New Roman"/>
                <w:caps w:val="0"/>
                <w:color w:val="auto"/>
                <w:spacing w:val="0"/>
                <w:position w:val="0"/>
                <w:sz w:val="24"/>
                <w:highlight w:val="none"/>
              </w:rPr>
              <w:t>人，</w:t>
            </w:r>
            <w:r>
              <w:rPr>
                <w:rFonts w:hint="default" w:ascii="Times New Roman" w:hAnsi="Times New Roman" w:eastAsia="宋体" w:cs="Times New Roman"/>
                <w:caps w:val="0"/>
                <w:color w:val="auto"/>
                <w:spacing w:val="0"/>
                <w:kern w:val="2"/>
                <w:position w:val="0"/>
                <w:sz w:val="24"/>
                <w:szCs w:val="24"/>
                <w:highlight w:val="none"/>
                <w:lang w:val="en-US" w:eastAsia="zh-CN" w:bidi="ar-SA"/>
              </w:rPr>
              <w:t>根据建设单位提供的资料，项目员工人数共计20人，不在厂内食宿，根据《生活及服务业用水定额 第1部分：公共机构》（DB36/T1827.1-2023）</w:t>
            </w:r>
            <w:r>
              <w:rPr>
                <w:rFonts w:hint="default" w:ascii="Times New Roman" w:hAnsi="Times New Roman" w:eastAsia="宋体" w:cs="Times New Roman"/>
                <w:caps w:val="0"/>
                <w:color w:val="auto"/>
                <w:spacing w:val="0"/>
                <w:position w:val="0"/>
                <w:sz w:val="24"/>
                <w:highlight w:val="none"/>
                <w:lang w:eastAsia="zh-CN"/>
              </w:rPr>
              <w:t>，</w:t>
            </w:r>
            <w:r>
              <w:rPr>
                <w:rFonts w:hint="default" w:ascii="Times New Roman" w:hAnsi="Times New Roman" w:eastAsia="宋体" w:cs="Times New Roman"/>
                <w:caps w:val="0"/>
                <w:color w:val="auto"/>
                <w:spacing w:val="0"/>
                <w:position w:val="0"/>
                <w:sz w:val="24"/>
                <w:highlight w:val="none"/>
              </w:rPr>
              <w:t>员工生活用水量按照</w:t>
            </w:r>
            <w:r>
              <w:rPr>
                <w:rFonts w:hint="default" w:ascii="Times New Roman" w:hAnsi="Times New Roman" w:eastAsia="宋体" w:cs="Times New Roman"/>
                <w:caps w:val="0"/>
                <w:color w:val="auto"/>
                <w:spacing w:val="0"/>
                <w:position w:val="0"/>
                <w:sz w:val="24"/>
                <w:highlight w:val="none"/>
                <w:lang w:val="en-US" w:eastAsia="zh-CN"/>
              </w:rPr>
              <w:t>18m</w:t>
            </w:r>
            <w:r>
              <w:rPr>
                <w:rFonts w:hint="default" w:ascii="Times New Roman" w:hAnsi="Times New Roman" w:eastAsia="宋体" w:cs="Times New Roman"/>
                <w:caps w:val="0"/>
                <w:color w:val="auto"/>
                <w:spacing w:val="0"/>
                <w:position w:val="0"/>
                <w:sz w:val="24"/>
                <w:highlight w:val="none"/>
                <w:vertAlign w:val="superscript"/>
                <w:lang w:val="en-US" w:eastAsia="zh-CN"/>
              </w:rPr>
              <w:t>3</w:t>
            </w:r>
            <w:r>
              <w:rPr>
                <w:rFonts w:hint="default" w:ascii="Times New Roman" w:hAnsi="Times New Roman" w:eastAsia="宋体" w:cs="Times New Roman"/>
                <w:caps w:val="0"/>
                <w:color w:val="auto"/>
                <w:spacing w:val="0"/>
                <w:position w:val="0"/>
                <w:sz w:val="24"/>
                <w:highlight w:val="none"/>
              </w:rPr>
              <w:t>/（人•</w:t>
            </w:r>
            <w:r>
              <w:rPr>
                <w:rFonts w:hint="default" w:ascii="Times New Roman" w:hAnsi="Times New Roman" w:eastAsia="宋体" w:cs="Times New Roman"/>
                <w:caps w:val="0"/>
                <w:color w:val="auto"/>
                <w:spacing w:val="0"/>
                <w:position w:val="0"/>
                <w:sz w:val="24"/>
                <w:highlight w:val="none"/>
                <w:lang w:val="en-US" w:eastAsia="zh-CN"/>
              </w:rPr>
              <w:t>a</w:t>
            </w:r>
            <w:r>
              <w:rPr>
                <w:rFonts w:hint="default" w:ascii="Times New Roman" w:hAnsi="Times New Roman" w:eastAsia="宋体" w:cs="Times New Roman"/>
                <w:caps w:val="0"/>
                <w:color w:val="auto"/>
                <w:spacing w:val="0"/>
                <w:position w:val="0"/>
                <w:sz w:val="24"/>
                <w:highlight w:val="none"/>
              </w:rPr>
              <w:t>）计，则员工生活用水量为</w:t>
            </w:r>
            <w:r>
              <w:rPr>
                <w:rFonts w:hint="default" w:ascii="Times New Roman" w:hAnsi="Times New Roman" w:eastAsia="宋体" w:cs="Times New Roman"/>
                <w:caps w:val="0"/>
                <w:color w:val="auto"/>
                <w:spacing w:val="0"/>
                <w:position w:val="0"/>
                <w:sz w:val="24"/>
                <w:highlight w:val="none"/>
                <w:lang w:val="en-US" w:eastAsia="zh-CN"/>
              </w:rPr>
              <w:t>1.2</w:t>
            </w:r>
            <w:r>
              <w:rPr>
                <w:rFonts w:hint="default" w:ascii="Times New Roman" w:hAnsi="Times New Roman" w:eastAsia="宋体" w:cs="Times New Roman"/>
                <w:caps w:val="0"/>
                <w:color w:val="auto"/>
                <w:spacing w:val="0"/>
                <w:position w:val="0"/>
                <w:sz w:val="24"/>
                <w:highlight w:val="none"/>
              </w:rPr>
              <w:t>m</w:t>
            </w:r>
            <w:r>
              <w:rPr>
                <w:rFonts w:hint="default" w:ascii="Times New Roman" w:hAnsi="Times New Roman" w:eastAsia="宋体" w:cs="Times New Roman"/>
                <w:caps w:val="0"/>
                <w:color w:val="auto"/>
                <w:spacing w:val="0"/>
                <w:position w:val="0"/>
                <w:sz w:val="24"/>
                <w:highlight w:val="none"/>
                <w:vertAlign w:val="superscript"/>
              </w:rPr>
              <w:t>3</w:t>
            </w:r>
            <w:r>
              <w:rPr>
                <w:rFonts w:hint="default" w:ascii="Times New Roman" w:hAnsi="Times New Roman" w:eastAsia="宋体" w:cs="Times New Roman"/>
                <w:caps w:val="0"/>
                <w:color w:val="auto"/>
                <w:spacing w:val="0"/>
                <w:position w:val="0"/>
                <w:sz w:val="24"/>
                <w:highlight w:val="none"/>
              </w:rPr>
              <w:t>/d，</w:t>
            </w:r>
            <w:r>
              <w:rPr>
                <w:rFonts w:hint="default" w:ascii="Times New Roman" w:hAnsi="Times New Roman" w:eastAsia="宋体" w:cs="Times New Roman"/>
                <w:caps w:val="0"/>
                <w:color w:val="auto"/>
                <w:spacing w:val="0"/>
                <w:position w:val="0"/>
                <w:sz w:val="24"/>
                <w:highlight w:val="none"/>
                <w:lang w:val="en-US" w:eastAsia="zh-CN"/>
              </w:rPr>
              <w:t>360</w:t>
            </w:r>
            <w:r>
              <w:rPr>
                <w:rFonts w:hint="default" w:ascii="Times New Roman" w:hAnsi="Times New Roman" w:eastAsia="宋体" w:cs="Times New Roman"/>
                <w:caps w:val="0"/>
                <w:color w:val="auto"/>
                <w:spacing w:val="0"/>
                <w:position w:val="0"/>
                <w:sz w:val="24"/>
                <w:highlight w:val="none"/>
              </w:rPr>
              <w:t>m</w:t>
            </w:r>
            <w:r>
              <w:rPr>
                <w:rFonts w:hint="default" w:ascii="Times New Roman" w:hAnsi="Times New Roman" w:eastAsia="宋体" w:cs="Times New Roman"/>
                <w:caps w:val="0"/>
                <w:color w:val="auto"/>
                <w:spacing w:val="0"/>
                <w:position w:val="0"/>
                <w:sz w:val="24"/>
                <w:highlight w:val="none"/>
                <w:vertAlign w:val="superscript"/>
              </w:rPr>
              <w:t>3</w:t>
            </w:r>
            <w:r>
              <w:rPr>
                <w:rFonts w:hint="default" w:ascii="Times New Roman" w:hAnsi="Times New Roman" w:eastAsia="宋体" w:cs="Times New Roman"/>
                <w:caps w:val="0"/>
                <w:color w:val="auto"/>
                <w:spacing w:val="0"/>
                <w:position w:val="0"/>
                <w:sz w:val="24"/>
                <w:highlight w:val="none"/>
              </w:rPr>
              <w:t>/a，产污系数以80%计，生活污水量</w:t>
            </w:r>
            <w:r>
              <w:rPr>
                <w:rFonts w:hint="default" w:ascii="Times New Roman" w:hAnsi="Times New Roman" w:eastAsia="宋体" w:cs="Times New Roman"/>
                <w:caps w:val="0"/>
                <w:color w:val="auto"/>
                <w:spacing w:val="0"/>
                <w:position w:val="0"/>
                <w:sz w:val="24"/>
                <w:highlight w:val="none"/>
                <w:lang w:val="en-US" w:eastAsia="zh-CN"/>
              </w:rPr>
              <w:t>0.96</w:t>
            </w:r>
            <w:r>
              <w:rPr>
                <w:rFonts w:hint="default" w:ascii="Times New Roman" w:hAnsi="Times New Roman" w:eastAsia="宋体" w:cs="Times New Roman"/>
                <w:caps w:val="0"/>
                <w:color w:val="auto"/>
                <w:spacing w:val="0"/>
                <w:position w:val="0"/>
                <w:sz w:val="24"/>
                <w:highlight w:val="none"/>
              </w:rPr>
              <w:t>m</w:t>
            </w:r>
            <w:r>
              <w:rPr>
                <w:rFonts w:hint="default" w:ascii="Times New Roman" w:hAnsi="Times New Roman" w:eastAsia="宋体" w:cs="Times New Roman"/>
                <w:caps w:val="0"/>
                <w:color w:val="auto"/>
                <w:spacing w:val="0"/>
                <w:position w:val="0"/>
                <w:sz w:val="24"/>
                <w:highlight w:val="none"/>
                <w:vertAlign w:val="superscript"/>
              </w:rPr>
              <w:t>3</w:t>
            </w:r>
            <w:r>
              <w:rPr>
                <w:rFonts w:hint="default" w:ascii="Times New Roman" w:hAnsi="Times New Roman" w:eastAsia="宋体" w:cs="Times New Roman"/>
                <w:caps w:val="0"/>
                <w:color w:val="auto"/>
                <w:spacing w:val="0"/>
                <w:position w:val="0"/>
                <w:sz w:val="24"/>
                <w:highlight w:val="none"/>
              </w:rPr>
              <w:t>/d，</w:t>
            </w:r>
            <w:r>
              <w:rPr>
                <w:rFonts w:hint="default" w:ascii="Times New Roman" w:hAnsi="Times New Roman" w:eastAsia="宋体" w:cs="Times New Roman"/>
                <w:caps w:val="0"/>
                <w:color w:val="auto"/>
                <w:spacing w:val="0"/>
                <w:position w:val="0"/>
                <w:sz w:val="24"/>
                <w:highlight w:val="none"/>
                <w:lang w:val="en-US" w:eastAsia="zh-CN"/>
              </w:rPr>
              <w:t>288</w:t>
            </w:r>
            <w:r>
              <w:rPr>
                <w:rFonts w:hint="default" w:ascii="Times New Roman" w:hAnsi="Times New Roman" w:eastAsia="宋体" w:cs="Times New Roman"/>
                <w:caps w:val="0"/>
                <w:color w:val="auto"/>
                <w:spacing w:val="0"/>
                <w:position w:val="0"/>
                <w:sz w:val="24"/>
                <w:highlight w:val="none"/>
              </w:rPr>
              <w:t>m</w:t>
            </w:r>
            <w:r>
              <w:rPr>
                <w:rFonts w:hint="default" w:ascii="Times New Roman" w:hAnsi="Times New Roman" w:eastAsia="宋体" w:cs="Times New Roman"/>
                <w:caps w:val="0"/>
                <w:color w:val="auto"/>
                <w:spacing w:val="0"/>
                <w:position w:val="0"/>
                <w:sz w:val="24"/>
                <w:highlight w:val="none"/>
                <w:vertAlign w:val="superscript"/>
              </w:rPr>
              <w:t>3</w:t>
            </w:r>
            <w:r>
              <w:rPr>
                <w:rFonts w:hint="default" w:ascii="Times New Roman" w:hAnsi="Times New Roman" w:eastAsia="宋体" w:cs="Times New Roman"/>
                <w:caps w:val="0"/>
                <w:color w:val="auto"/>
                <w:spacing w:val="0"/>
                <w:position w:val="0"/>
                <w:sz w:val="24"/>
                <w:highlight w:val="none"/>
              </w:rPr>
              <w:t>/a。</w:t>
            </w:r>
            <w:r>
              <w:rPr>
                <w:rFonts w:hint="eastAsia" w:ascii="Times New Roman" w:hAnsi="Times New Roman" w:eastAsia="宋体" w:cs="Times New Roman"/>
                <w:caps w:val="0"/>
                <w:color w:val="auto"/>
                <w:spacing w:val="0"/>
                <w:position w:val="0"/>
                <w:sz w:val="24"/>
                <w:highlight w:val="none"/>
              </w:rPr>
              <w:t>项目产生的生活污水主要污染物</w:t>
            </w:r>
            <w:r>
              <w:rPr>
                <w:rFonts w:hint="default" w:ascii="Times New Roman" w:hAnsi="Times New Roman" w:eastAsia="宋体" w:cs="Times New Roman"/>
                <w:caps w:val="0"/>
                <w:color w:val="auto"/>
                <w:spacing w:val="0"/>
                <w:position w:val="0"/>
                <w:sz w:val="24"/>
                <w:highlight w:val="none"/>
              </w:rPr>
              <w:t>为COD</w:t>
            </w:r>
            <w:r>
              <w:rPr>
                <w:rFonts w:hint="default" w:ascii="Times New Roman" w:hAnsi="Times New Roman" w:eastAsia="宋体" w:cs="Times New Roman"/>
                <w:caps w:val="0"/>
                <w:color w:val="auto"/>
                <w:spacing w:val="0"/>
                <w:position w:val="0"/>
                <w:sz w:val="24"/>
                <w:highlight w:val="none"/>
                <w:vertAlign w:val="subscript"/>
              </w:rPr>
              <w:t>Cr</w:t>
            </w:r>
            <w:r>
              <w:rPr>
                <w:rFonts w:hint="default" w:ascii="Times New Roman" w:hAnsi="Times New Roman" w:eastAsia="宋体" w:cs="Times New Roman"/>
                <w:caps w:val="0"/>
                <w:color w:val="auto"/>
                <w:spacing w:val="0"/>
                <w:position w:val="0"/>
                <w:sz w:val="24"/>
                <w:highlight w:val="none"/>
              </w:rPr>
              <w:t>、BOD</w:t>
            </w:r>
            <w:r>
              <w:rPr>
                <w:rFonts w:hint="default" w:ascii="Times New Roman" w:hAnsi="Times New Roman" w:eastAsia="宋体" w:cs="Times New Roman"/>
                <w:caps w:val="0"/>
                <w:color w:val="auto"/>
                <w:spacing w:val="0"/>
                <w:position w:val="0"/>
                <w:sz w:val="24"/>
                <w:highlight w:val="none"/>
                <w:vertAlign w:val="subscript"/>
              </w:rPr>
              <w:t>5</w:t>
            </w:r>
            <w:r>
              <w:rPr>
                <w:rFonts w:hint="default" w:ascii="Times New Roman" w:hAnsi="Times New Roman" w:eastAsia="宋体" w:cs="Times New Roman"/>
                <w:caps w:val="0"/>
                <w:color w:val="auto"/>
                <w:spacing w:val="0"/>
                <w:position w:val="0"/>
                <w:sz w:val="24"/>
                <w:highlight w:val="none"/>
              </w:rPr>
              <w:t>、NH</w:t>
            </w:r>
            <w:r>
              <w:rPr>
                <w:rFonts w:hint="default" w:ascii="Times New Roman" w:hAnsi="Times New Roman" w:eastAsia="宋体" w:cs="Times New Roman"/>
                <w:caps w:val="0"/>
                <w:color w:val="auto"/>
                <w:spacing w:val="0"/>
                <w:position w:val="0"/>
                <w:sz w:val="24"/>
                <w:highlight w:val="none"/>
                <w:vertAlign w:val="subscript"/>
              </w:rPr>
              <w:t>3</w:t>
            </w:r>
            <w:r>
              <w:rPr>
                <w:rFonts w:hint="default" w:ascii="Times New Roman" w:hAnsi="Times New Roman" w:eastAsia="宋体" w:cs="Times New Roman"/>
                <w:caps w:val="0"/>
                <w:color w:val="auto"/>
                <w:spacing w:val="0"/>
                <w:position w:val="0"/>
                <w:sz w:val="24"/>
                <w:highlight w:val="none"/>
              </w:rPr>
              <w:t>-N、SS</w:t>
            </w:r>
            <w:r>
              <w:rPr>
                <w:rFonts w:hint="eastAsia" w:ascii="Times New Roman" w:hAnsi="Times New Roman" w:eastAsia="宋体" w:cs="Times New Roman"/>
                <w:caps w:val="0"/>
                <w:color w:val="auto"/>
                <w:spacing w:val="0"/>
                <w:position w:val="0"/>
                <w:sz w:val="24"/>
                <w:highlight w:val="none"/>
                <w:lang w:val="en-US" w:eastAsia="zh-CN"/>
              </w:rPr>
              <w:t>、总磷、总氮</w:t>
            </w:r>
            <w:r>
              <w:rPr>
                <w:rFonts w:hint="default" w:ascii="Times New Roman" w:hAnsi="Times New Roman" w:eastAsia="宋体" w:cs="Times New Roman"/>
                <w:caps w:val="0"/>
                <w:color w:val="auto"/>
                <w:spacing w:val="0"/>
                <w:position w:val="0"/>
                <w:sz w:val="24"/>
                <w:highlight w:val="none"/>
              </w:rPr>
              <w:t>，水质通过类比分析确定，其水质情况大体为COD</w:t>
            </w:r>
            <w:r>
              <w:rPr>
                <w:rFonts w:hint="default" w:ascii="Times New Roman" w:hAnsi="Times New Roman" w:eastAsia="宋体" w:cs="Times New Roman"/>
                <w:caps w:val="0"/>
                <w:color w:val="auto"/>
                <w:spacing w:val="0"/>
                <w:position w:val="0"/>
                <w:sz w:val="24"/>
                <w:highlight w:val="none"/>
                <w:vertAlign w:val="subscript"/>
              </w:rPr>
              <w:t>Cr</w:t>
            </w:r>
            <w:r>
              <w:rPr>
                <w:rFonts w:hint="default" w:ascii="Times New Roman" w:hAnsi="Times New Roman" w:eastAsia="宋体" w:cs="Times New Roman"/>
                <w:caps w:val="0"/>
                <w:color w:val="auto"/>
                <w:spacing w:val="0"/>
                <w:position w:val="0"/>
                <w:sz w:val="24"/>
                <w:highlight w:val="none"/>
              </w:rPr>
              <w:t>：250mg/L、BOD</w:t>
            </w:r>
            <w:r>
              <w:rPr>
                <w:rFonts w:hint="default" w:ascii="Times New Roman" w:hAnsi="Times New Roman" w:eastAsia="宋体" w:cs="Times New Roman"/>
                <w:caps w:val="0"/>
                <w:color w:val="auto"/>
                <w:spacing w:val="0"/>
                <w:position w:val="0"/>
                <w:sz w:val="24"/>
                <w:highlight w:val="none"/>
                <w:vertAlign w:val="subscript"/>
              </w:rPr>
              <w:t>5</w:t>
            </w:r>
            <w:r>
              <w:rPr>
                <w:rFonts w:hint="eastAsia" w:ascii="Times New Roman" w:hAnsi="Times New Roman" w:eastAsia="宋体" w:cs="Times New Roman"/>
                <w:caps w:val="0"/>
                <w:color w:val="auto"/>
                <w:spacing w:val="0"/>
                <w:position w:val="0"/>
                <w:sz w:val="24"/>
                <w:highlight w:val="none"/>
                <w:vertAlign w:val="subscript"/>
                <w:lang w:eastAsia="zh-CN"/>
              </w:rPr>
              <w:t>:</w:t>
            </w:r>
            <w:r>
              <w:rPr>
                <w:rFonts w:hint="eastAsia" w:ascii="Times New Roman" w:hAnsi="Times New Roman" w:eastAsia="宋体" w:cs="Times New Roman"/>
                <w:caps w:val="0"/>
                <w:color w:val="auto"/>
                <w:spacing w:val="0"/>
                <w:position w:val="0"/>
                <w:sz w:val="24"/>
                <w:highlight w:val="none"/>
              </w:rPr>
              <w:t>100</w:t>
            </w:r>
            <w:r>
              <w:rPr>
                <w:rFonts w:hint="default" w:ascii="Times New Roman" w:hAnsi="Times New Roman" w:eastAsia="宋体" w:cs="Times New Roman"/>
                <w:caps w:val="0"/>
                <w:color w:val="auto"/>
                <w:spacing w:val="0"/>
                <w:position w:val="0"/>
                <w:sz w:val="24"/>
                <w:highlight w:val="none"/>
              </w:rPr>
              <w:t>mg/L、SS：</w:t>
            </w:r>
            <w:r>
              <w:rPr>
                <w:rFonts w:hint="eastAsia" w:ascii="Times New Roman" w:hAnsi="Times New Roman" w:eastAsia="宋体" w:cs="Times New Roman"/>
                <w:caps w:val="0"/>
                <w:color w:val="auto"/>
                <w:spacing w:val="0"/>
                <w:position w:val="0"/>
                <w:sz w:val="24"/>
                <w:highlight w:val="none"/>
              </w:rPr>
              <w:t>15</w:t>
            </w:r>
            <w:r>
              <w:rPr>
                <w:rFonts w:hint="default" w:ascii="Times New Roman" w:hAnsi="Times New Roman" w:eastAsia="宋体" w:cs="Times New Roman"/>
                <w:caps w:val="0"/>
                <w:color w:val="auto"/>
                <w:spacing w:val="0"/>
                <w:position w:val="0"/>
                <w:sz w:val="24"/>
                <w:highlight w:val="none"/>
              </w:rPr>
              <w:t>0mg/L、NH</w:t>
            </w:r>
            <w:r>
              <w:rPr>
                <w:rFonts w:hint="default" w:ascii="Times New Roman" w:hAnsi="Times New Roman" w:eastAsia="宋体" w:cs="Times New Roman"/>
                <w:caps w:val="0"/>
                <w:color w:val="auto"/>
                <w:spacing w:val="0"/>
                <w:position w:val="0"/>
                <w:sz w:val="24"/>
                <w:highlight w:val="none"/>
                <w:vertAlign w:val="subscript"/>
              </w:rPr>
              <w:t>3</w:t>
            </w:r>
            <w:r>
              <w:rPr>
                <w:rFonts w:hint="default" w:ascii="Times New Roman" w:hAnsi="Times New Roman" w:eastAsia="宋体" w:cs="Times New Roman"/>
                <w:caps w:val="0"/>
                <w:color w:val="auto"/>
                <w:spacing w:val="0"/>
                <w:position w:val="0"/>
                <w:sz w:val="24"/>
                <w:highlight w:val="none"/>
              </w:rPr>
              <w:t>-N：</w:t>
            </w:r>
            <w:r>
              <w:rPr>
                <w:rFonts w:hint="eastAsia" w:ascii="Times New Roman" w:hAnsi="Times New Roman" w:eastAsia="宋体" w:cs="Times New Roman"/>
                <w:caps w:val="0"/>
                <w:color w:val="auto"/>
                <w:spacing w:val="0"/>
                <w:position w:val="0"/>
                <w:sz w:val="24"/>
                <w:highlight w:val="none"/>
              </w:rPr>
              <w:t>25</w:t>
            </w:r>
            <w:r>
              <w:rPr>
                <w:rFonts w:hint="default" w:ascii="Times New Roman" w:hAnsi="Times New Roman" w:eastAsia="宋体" w:cs="Times New Roman"/>
                <w:caps w:val="0"/>
                <w:color w:val="auto"/>
                <w:spacing w:val="0"/>
                <w:position w:val="0"/>
                <w:sz w:val="24"/>
                <w:highlight w:val="none"/>
              </w:rPr>
              <w:t>mg/L</w:t>
            </w:r>
            <w:r>
              <w:rPr>
                <w:rFonts w:hint="eastAsia" w:ascii="Times New Roman" w:hAnsi="Times New Roman" w:eastAsia="宋体" w:cs="Times New Roman"/>
                <w:caps w:val="0"/>
                <w:color w:val="auto"/>
                <w:spacing w:val="0"/>
                <w:position w:val="0"/>
                <w:sz w:val="24"/>
                <w:highlight w:val="none"/>
                <w:lang w:eastAsia="zh-CN"/>
              </w:rPr>
              <w:t>、</w:t>
            </w:r>
            <w:r>
              <w:rPr>
                <w:rFonts w:hint="eastAsia" w:ascii="Times New Roman" w:hAnsi="Times New Roman" w:eastAsia="宋体" w:cs="Times New Roman"/>
                <w:b w:val="0"/>
                <w:bCs w:val="0"/>
                <w:caps w:val="0"/>
                <w:smallCaps w:val="0"/>
                <w:color w:val="auto"/>
                <w:spacing w:val="0"/>
                <w:position w:val="0"/>
                <w:sz w:val="24"/>
                <w:szCs w:val="24"/>
                <w:highlight w:val="none"/>
                <w:lang w:val="en-US" w:eastAsia="zh-CN" w:bidi="en-US"/>
              </w:rPr>
              <w:t>总磷2mg/L、总氮35mg/L</w:t>
            </w:r>
            <w:r>
              <w:rPr>
                <w:rFonts w:hint="default" w:ascii="Times New Roman" w:hAnsi="Times New Roman" w:eastAsia="宋体" w:cs="Times New Roman"/>
                <w:caps w:val="0"/>
                <w:color w:val="auto"/>
                <w:spacing w:val="0"/>
                <w:position w:val="0"/>
                <w:sz w:val="24"/>
                <w:highlight w:val="none"/>
              </w:rPr>
              <w:t>。</w:t>
            </w:r>
            <w:r>
              <w:rPr>
                <w:rFonts w:hint="default" w:ascii="Times New Roman" w:hAnsi="Times New Roman" w:eastAsia="宋体" w:cs="Times New Roman"/>
                <w:caps w:val="0"/>
                <w:color w:val="auto"/>
                <w:spacing w:val="0"/>
                <w:position w:val="0"/>
                <w:sz w:val="24"/>
                <w:highlight w:val="none"/>
                <w:lang w:val="en-US" w:eastAsia="zh-CN"/>
              </w:rPr>
              <w:t>生活污水经</w:t>
            </w:r>
            <w:r>
              <w:rPr>
                <w:rFonts w:hint="eastAsia" w:ascii="Times New Roman" w:hAnsi="Times New Roman" w:eastAsia="宋体" w:cs="Times New Roman"/>
                <w:caps w:val="0"/>
                <w:color w:val="auto"/>
                <w:spacing w:val="0"/>
                <w:position w:val="0"/>
                <w:sz w:val="24"/>
                <w:highlight w:val="none"/>
                <w:lang w:val="en-US" w:eastAsia="zh-CN"/>
              </w:rPr>
              <w:t>化粪池</w:t>
            </w:r>
            <w:r>
              <w:rPr>
                <w:rFonts w:hint="default" w:ascii="Times New Roman" w:hAnsi="Times New Roman" w:eastAsia="宋体" w:cs="Times New Roman"/>
                <w:caps w:val="0"/>
                <w:color w:val="auto"/>
                <w:spacing w:val="0"/>
                <w:position w:val="0"/>
                <w:sz w:val="24"/>
                <w:highlight w:val="none"/>
                <w:lang w:val="en-US" w:eastAsia="zh-CN"/>
              </w:rPr>
              <w:t>处理后达到《农田灌溉水质标准》（GB5084-2021）表1中旱作标准后用于林地灌溉，</w:t>
            </w:r>
            <w:r>
              <w:rPr>
                <w:rFonts w:hint="default"/>
                <w:caps w:val="0"/>
                <w:color w:val="auto"/>
                <w:spacing w:val="0"/>
                <w:position w:val="0"/>
                <w:highlight w:val="none"/>
              </w:rPr>
              <w:t>不外排。</w:t>
            </w:r>
          </w:p>
          <w:p w14:paraId="17AC67FB">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aps w:val="0"/>
                <w:color w:val="auto"/>
                <w:spacing w:val="0"/>
                <w:position w:val="0"/>
                <w:sz w:val="24"/>
                <w:szCs w:val="32"/>
                <w:highlight w:val="none"/>
                <w:lang w:val="en-US" w:eastAsia="zh-CN"/>
              </w:rPr>
            </w:pPr>
            <w:r>
              <w:rPr>
                <w:rFonts w:hint="eastAsia" w:cs="Times New Roman"/>
                <w:caps w:val="0"/>
                <w:color w:val="auto"/>
                <w:spacing w:val="0"/>
                <w:position w:val="0"/>
                <w:highlight w:val="none"/>
                <w:lang w:eastAsia="zh-CN"/>
              </w:rPr>
              <w:t>（</w:t>
            </w:r>
            <w:r>
              <w:rPr>
                <w:rFonts w:hint="eastAsia" w:cs="Times New Roman"/>
                <w:caps w:val="0"/>
                <w:color w:val="auto"/>
                <w:spacing w:val="0"/>
                <w:position w:val="0"/>
                <w:highlight w:val="none"/>
                <w:lang w:val="en-US" w:eastAsia="zh-CN"/>
              </w:rPr>
              <w:t>8</w:t>
            </w:r>
            <w:r>
              <w:rPr>
                <w:rFonts w:hint="eastAsia" w:cs="Times New Roman"/>
                <w:caps w:val="0"/>
                <w:color w:val="auto"/>
                <w:spacing w:val="0"/>
                <w:position w:val="0"/>
                <w:highlight w:val="none"/>
                <w:lang w:eastAsia="zh-CN"/>
              </w:rPr>
              <w:t>）</w:t>
            </w:r>
            <w:r>
              <w:rPr>
                <w:rFonts w:hint="eastAsia" w:cs="Times New Roman"/>
                <w:caps w:val="0"/>
                <w:color w:val="auto"/>
                <w:spacing w:val="0"/>
                <w:position w:val="0"/>
                <w:highlight w:val="none"/>
                <w:lang w:val="en-US" w:eastAsia="zh-CN"/>
              </w:rPr>
              <w:t>锂渣</w:t>
            </w:r>
            <w:r>
              <w:rPr>
                <w:rFonts w:hint="default"/>
                <w:caps w:val="0"/>
                <w:color w:val="auto"/>
                <w:spacing w:val="0"/>
                <w:position w:val="0"/>
                <w:highlight w:val="none"/>
                <w:lang w:val="en-US" w:eastAsia="zh-CN"/>
              </w:rPr>
              <w:t>仓库渗滤液：本项目锂渣在</w:t>
            </w:r>
            <w:r>
              <w:rPr>
                <w:rFonts w:hint="eastAsia"/>
                <w:caps w:val="0"/>
                <w:color w:val="auto"/>
                <w:spacing w:val="0"/>
                <w:position w:val="0"/>
                <w:highlight w:val="none"/>
              </w:rPr>
              <w:t>锂渣</w:t>
            </w:r>
            <w:r>
              <w:rPr>
                <w:rFonts w:hint="default"/>
                <w:caps w:val="0"/>
                <w:color w:val="auto"/>
                <w:spacing w:val="0"/>
                <w:position w:val="0"/>
                <w:highlight w:val="none"/>
                <w:lang w:val="en-US" w:eastAsia="zh-CN"/>
              </w:rPr>
              <w:t>仓库堆放自然晾干时会产生渗滤液，根据建设提供资料，在</w:t>
            </w:r>
            <w:r>
              <w:rPr>
                <w:rFonts w:hint="eastAsia"/>
                <w:caps w:val="0"/>
                <w:color w:val="auto"/>
                <w:spacing w:val="0"/>
                <w:position w:val="0"/>
                <w:highlight w:val="none"/>
              </w:rPr>
              <w:t>锂渣</w:t>
            </w:r>
            <w:r>
              <w:rPr>
                <w:rFonts w:hint="default"/>
                <w:caps w:val="0"/>
                <w:color w:val="auto"/>
                <w:spacing w:val="0"/>
                <w:position w:val="0"/>
                <w:highlight w:val="none"/>
                <w:lang w:val="en-US" w:eastAsia="zh-CN"/>
              </w:rPr>
              <w:t>仓库自然晾干</w:t>
            </w:r>
            <w:r>
              <w:rPr>
                <w:rFonts w:hint="eastAsia"/>
                <w:caps w:val="0"/>
                <w:color w:val="auto"/>
                <w:spacing w:val="0"/>
                <w:position w:val="0"/>
                <w:highlight w:val="none"/>
                <w:lang w:val="en-US" w:eastAsia="zh-CN"/>
              </w:rPr>
              <w:t>，</w:t>
            </w:r>
            <w:r>
              <w:rPr>
                <w:rFonts w:hint="eastAsia"/>
                <w:caps w:val="0"/>
                <w:color w:val="auto"/>
                <w:spacing w:val="0"/>
                <w:position w:val="0"/>
                <w:highlight w:val="none"/>
              </w:rPr>
              <w:t>锂渣</w:t>
            </w:r>
            <w:r>
              <w:rPr>
                <w:rFonts w:hint="default"/>
                <w:caps w:val="0"/>
                <w:color w:val="auto"/>
                <w:spacing w:val="0"/>
                <w:position w:val="0"/>
                <w:highlight w:val="none"/>
                <w:lang w:val="en-US" w:eastAsia="zh-CN"/>
              </w:rPr>
              <w:t>仓库</w:t>
            </w:r>
            <w:r>
              <w:rPr>
                <w:rFonts w:hint="eastAsia"/>
                <w:caps w:val="0"/>
                <w:color w:val="auto"/>
                <w:spacing w:val="0"/>
                <w:position w:val="0"/>
                <w:highlight w:val="none"/>
                <w:lang w:val="en-US" w:eastAsia="zh-CN"/>
              </w:rPr>
              <w:t>四周</w:t>
            </w:r>
            <w:r>
              <w:rPr>
                <w:rFonts w:hint="default" w:ascii="Times New Roman" w:hAnsi="Times New Roman" w:cs="Times New Roman"/>
                <w:caps w:val="0"/>
                <w:color w:val="auto"/>
                <w:spacing w:val="0"/>
                <w:position w:val="0"/>
                <w:highlight w:val="none"/>
                <w:lang w:eastAsia="zh-CN"/>
              </w:rPr>
              <w:t>设置溢流堰和导流槽</w:t>
            </w:r>
            <w:r>
              <w:rPr>
                <w:rFonts w:hint="eastAsia" w:cs="Times New Roman"/>
                <w:caps w:val="0"/>
                <w:color w:val="auto"/>
                <w:spacing w:val="0"/>
                <w:position w:val="0"/>
                <w:highlight w:val="none"/>
                <w:lang w:eastAsia="zh-CN"/>
              </w:rPr>
              <w:t>。</w:t>
            </w:r>
            <w:r>
              <w:rPr>
                <w:rFonts w:hint="default"/>
                <w:caps w:val="0"/>
                <w:color w:val="auto"/>
                <w:spacing w:val="0"/>
                <w:position w:val="0"/>
                <w:highlight w:val="none"/>
                <w:lang w:val="en-US" w:eastAsia="zh-CN"/>
              </w:rPr>
              <w:t>锂渣含水率由</w:t>
            </w:r>
            <w:r>
              <w:rPr>
                <w:rFonts w:hint="eastAsia"/>
                <w:caps w:val="0"/>
                <w:color w:val="auto"/>
                <w:spacing w:val="0"/>
                <w:position w:val="0"/>
                <w:highlight w:val="none"/>
                <w:lang w:val="en-US" w:eastAsia="zh-CN"/>
              </w:rPr>
              <w:t>20</w:t>
            </w:r>
            <w:r>
              <w:rPr>
                <w:rFonts w:hint="default"/>
                <w:caps w:val="0"/>
                <w:color w:val="auto"/>
                <w:spacing w:val="0"/>
                <w:position w:val="0"/>
                <w:highlight w:val="none"/>
                <w:lang w:val="en-US" w:eastAsia="zh-CN"/>
              </w:rPr>
              <w:t>%降至</w:t>
            </w:r>
            <w:r>
              <w:rPr>
                <w:rFonts w:hint="eastAsia"/>
                <w:caps w:val="0"/>
                <w:color w:val="auto"/>
                <w:spacing w:val="0"/>
                <w:position w:val="0"/>
                <w:highlight w:val="none"/>
                <w:lang w:val="en-US" w:eastAsia="zh-CN"/>
              </w:rPr>
              <w:t>18</w:t>
            </w:r>
            <w:r>
              <w:rPr>
                <w:rFonts w:hint="default"/>
                <w:caps w:val="0"/>
                <w:color w:val="auto"/>
                <w:spacing w:val="0"/>
                <w:position w:val="0"/>
                <w:highlight w:val="none"/>
                <w:lang w:val="en-US" w:eastAsia="zh-CN"/>
              </w:rPr>
              <w:t>%；本项目锂渣用量为</w:t>
            </w:r>
            <w:r>
              <w:rPr>
                <w:rFonts w:hint="eastAsia"/>
                <w:caps w:val="0"/>
                <w:color w:val="auto"/>
                <w:spacing w:val="0"/>
                <w:position w:val="0"/>
                <w:highlight w:val="none"/>
                <w:lang w:val="en-US" w:eastAsia="zh-CN"/>
              </w:rPr>
              <w:t>14</w:t>
            </w:r>
            <w:r>
              <w:rPr>
                <w:rFonts w:hint="default"/>
                <w:caps w:val="0"/>
                <w:color w:val="auto"/>
                <w:spacing w:val="0"/>
                <w:position w:val="0"/>
                <w:highlight w:val="none"/>
                <w:lang w:val="en-US" w:eastAsia="zh-CN"/>
              </w:rPr>
              <w:t>万t/a，则渗滤液产生量为</w:t>
            </w:r>
            <w:r>
              <w:rPr>
                <w:rFonts w:hint="eastAsia"/>
                <w:caps w:val="0"/>
                <w:color w:val="auto"/>
                <w:spacing w:val="0"/>
                <w:position w:val="0"/>
                <w:highlight w:val="none"/>
                <w:lang w:val="en-US" w:eastAsia="zh-CN"/>
              </w:rPr>
              <w:t>28</w:t>
            </w:r>
            <w:r>
              <w:rPr>
                <w:rFonts w:hint="default"/>
                <w:caps w:val="0"/>
                <w:color w:val="auto"/>
                <w:spacing w:val="0"/>
                <w:position w:val="0"/>
                <w:highlight w:val="none"/>
                <w:lang w:val="en-US" w:eastAsia="zh-CN"/>
              </w:rPr>
              <w:t>00t/a，其中</w:t>
            </w:r>
            <w:r>
              <w:rPr>
                <w:rFonts w:hint="eastAsia"/>
                <w:caps w:val="0"/>
                <w:color w:val="auto"/>
                <w:spacing w:val="0"/>
                <w:position w:val="0"/>
                <w:highlight w:val="none"/>
                <w:lang w:val="en-US" w:eastAsia="zh-CN"/>
              </w:rPr>
              <w:t>4</w:t>
            </w:r>
            <w:r>
              <w:rPr>
                <w:rFonts w:hint="default"/>
                <w:caps w:val="0"/>
                <w:color w:val="auto"/>
                <w:spacing w:val="0"/>
                <w:position w:val="0"/>
                <w:highlight w:val="none"/>
                <w:lang w:val="en-US" w:eastAsia="zh-CN"/>
              </w:rPr>
              <w:t>0%损耗，</w:t>
            </w:r>
            <w:r>
              <w:rPr>
                <w:rFonts w:hint="eastAsia"/>
                <w:caps w:val="0"/>
                <w:color w:val="auto"/>
                <w:spacing w:val="0"/>
                <w:position w:val="0"/>
                <w:highlight w:val="none"/>
                <w:lang w:val="en-US" w:eastAsia="zh-CN"/>
              </w:rPr>
              <w:t>6</w:t>
            </w:r>
            <w:r>
              <w:rPr>
                <w:rFonts w:hint="default"/>
                <w:caps w:val="0"/>
                <w:color w:val="auto"/>
                <w:spacing w:val="0"/>
                <w:position w:val="0"/>
                <w:highlight w:val="none"/>
                <w:lang w:val="en-US" w:eastAsia="zh-CN"/>
              </w:rPr>
              <w:t>0%由导流槽收集至渗滤液池后</w:t>
            </w:r>
            <w:r>
              <w:rPr>
                <w:rFonts w:hint="eastAsia"/>
                <w:caps w:val="0"/>
                <w:color w:val="auto"/>
                <w:spacing w:val="0"/>
                <w:position w:val="0"/>
                <w:highlight w:val="none"/>
                <w:lang w:val="en-US" w:eastAsia="zh-CN"/>
              </w:rPr>
              <w:t>，</w:t>
            </w:r>
            <w:r>
              <w:rPr>
                <w:rFonts w:hint="default"/>
                <w:caps w:val="0"/>
                <w:color w:val="auto"/>
                <w:spacing w:val="0"/>
                <w:position w:val="0"/>
                <w:highlight w:val="none"/>
                <w:lang w:val="en-US" w:eastAsia="zh-CN"/>
              </w:rPr>
              <w:t>回用于</w:t>
            </w:r>
            <w:r>
              <w:rPr>
                <w:rFonts w:hint="eastAsia"/>
                <w:caps w:val="0"/>
                <w:color w:val="auto"/>
                <w:spacing w:val="0"/>
                <w:position w:val="0"/>
                <w:highlight w:val="none"/>
                <w:lang w:val="en-US" w:eastAsia="zh-CN"/>
              </w:rPr>
              <w:t>发泡砖</w:t>
            </w:r>
            <w:r>
              <w:rPr>
                <w:rFonts w:hint="default"/>
                <w:caps w:val="0"/>
                <w:color w:val="auto"/>
                <w:spacing w:val="0"/>
                <w:position w:val="0"/>
                <w:highlight w:val="none"/>
              </w:rPr>
              <w:t>生产</w:t>
            </w:r>
            <w:r>
              <w:rPr>
                <w:rFonts w:hint="eastAsia"/>
                <w:caps w:val="0"/>
                <w:color w:val="auto"/>
                <w:spacing w:val="0"/>
                <w:position w:val="0"/>
                <w:highlight w:val="none"/>
                <w:lang w:val="en-US" w:eastAsia="zh-CN"/>
              </w:rPr>
              <w:t>搅拌工序</w:t>
            </w:r>
            <w:r>
              <w:rPr>
                <w:rFonts w:hint="default"/>
                <w:caps w:val="0"/>
                <w:color w:val="auto"/>
                <w:spacing w:val="0"/>
                <w:position w:val="0"/>
                <w:highlight w:val="none"/>
                <w:lang w:val="en-US" w:eastAsia="zh-CN"/>
              </w:rPr>
              <w:t>，则渗滤液产生量为</w:t>
            </w:r>
            <w:r>
              <w:rPr>
                <w:rFonts w:hint="eastAsia"/>
                <w:caps w:val="0"/>
                <w:color w:val="auto"/>
                <w:spacing w:val="0"/>
                <w:position w:val="0"/>
                <w:highlight w:val="none"/>
                <w:lang w:val="en-US" w:eastAsia="zh-CN"/>
              </w:rPr>
              <w:t>1680</w:t>
            </w:r>
            <w:r>
              <w:rPr>
                <w:rFonts w:hint="default"/>
                <w:caps w:val="0"/>
                <w:color w:val="auto"/>
                <w:spacing w:val="0"/>
                <w:position w:val="0"/>
                <w:highlight w:val="none"/>
                <w:lang w:val="en-US" w:eastAsia="zh-CN"/>
              </w:rPr>
              <w:t>t/a</w:t>
            </w:r>
            <w:r>
              <w:rPr>
                <w:rFonts w:hint="eastAsia"/>
                <w:caps w:val="0"/>
                <w:color w:val="auto"/>
                <w:spacing w:val="0"/>
                <w:position w:val="0"/>
                <w:highlight w:val="none"/>
                <w:lang w:val="en-US" w:eastAsia="zh-CN"/>
              </w:rPr>
              <w:t>（5.6t/d）</w:t>
            </w:r>
            <w:r>
              <w:rPr>
                <w:rFonts w:hint="default"/>
                <w:caps w:val="0"/>
                <w:color w:val="auto"/>
                <w:spacing w:val="0"/>
                <w:position w:val="0"/>
                <w:highlight w:val="none"/>
              </w:rPr>
              <w:t>。经渗滤液池（</w:t>
            </w:r>
            <w:r>
              <w:rPr>
                <w:rFonts w:hint="eastAsia"/>
                <w:caps w:val="0"/>
                <w:color w:val="auto"/>
                <w:spacing w:val="0"/>
                <w:position w:val="0"/>
                <w:highlight w:val="none"/>
                <w:lang w:val="en-US" w:eastAsia="zh-CN"/>
              </w:rPr>
              <w:t>15</w:t>
            </w:r>
            <w:r>
              <w:rPr>
                <w:rFonts w:hint="default"/>
                <w:caps w:val="0"/>
                <w:color w:val="auto"/>
                <w:spacing w:val="0"/>
                <w:position w:val="0"/>
                <w:highlight w:val="none"/>
              </w:rPr>
              <w:t>m</w:t>
            </w:r>
            <w:r>
              <w:rPr>
                <w:rFonts w:hint="eastAsia"/>
                <w:caps w:val="0"/>
                <w:color w:val="auto"/>
                <w:spacing w:val="0"/>
                <w:position w:val="0"/>
                <w:highlight w:val="none"/>
                <w:vertAlign w:val="superscript"/>
                <w:lang w:val="en-US" w:eastAsia="zh-CN"/>
              </w:rPr>
              <w:t>3</w:t>
            </w:r>
            <w:r>
              <w:rPr>
                <w:rFonts w:hint="default"/>
                <w:caps w:val="0"/>
                <w:color w:val="auto"/>
                <w:spacing w:val="0"/>
                <w:position w:val="0"/>
                <w:highlight w:val="none"/>
              </w:rPr>
              <w:t>）沉淀后回用于搅拌工序。</w:t>
            </w:r>
          </w:p>
          <w:p w14:paraId="11A945F8">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项目排水实行雨污分流制。</w:t>
            </w:r>
            <w:r>
              <w:rPr>
                <w:rFonts w:hint="default"/>
                <w:caps w:val="0"/>
                <w:color w:val="auto"/>
                <w:spacing w:val="0"/>
                <w:position w:val="0"/>
                <w:highlight w:val="none"/>
              </w:rPr>
              <w:t>项目</w:t>
            </w:r>
            <w:r>
              <w:rPr>
                <w:rFonts w:hint="eastAsia"/>
                <w:caps w:val="0"/>
                <w:color w:val="auto"/>
                <w:spacing w:val="0"/>
                <w:position w:val="0"/>
                <w:highlight w:val="none"/>
                <w:lang w:val="en-US" w:eastAsia="zh-CN"/>
              </w:rPr>
              <w:t>洗车废水经氧化+絮凝沉淀（1#沉淀池30m</w:t>
            </w:r>
            <w:r>
              <w:rPr>
                <w:rFonts w:hint="eastAsia"/>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）处理后循环回用于搅拌工序；设备清洗废水经沉淀（2#沉淀池10m</w:t>
            </w:r>
            <w:r>
              <w:rPr>
                <w:rFonts w:hint="eastAsia"/>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）处理后回用于设备清洗用水；养护废水经沉淀（3#沉淀池10m</w:t>
            </w:r>
            <w:r>
              <w:rPr>
                <w:rFonts w:hint="eastAsia"/>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）处理后回用于养护用水；渗滤液由导流槽收集至渗滤液池后回用于搅拌工序；</w:t>
            </w:r>
            <w:r>
              <w:rPr>
                <w:rFonts w:hint="default"/>
                <w:caps w:val="0"/>
                <w:color w:val="auto"/>
                <w:spacing w:val="0"/>
                <w:position w:val="0"/>
                <w:highlight w:val="none"/>
              </w:rPr>
              <w:t>无</w:t>
            </w:r>
            <w:r>
              <w:rPr>
                <w:rFonts w:hint="eastAsia"/>
                <w:caps w:val="0"/>
                <w:color w:val="auto"/>
                <w:spacing w:val="0"/>
                <w:position w:val="0"/>
                <w:highlight w:val="none"/>
                <w:lang w:val="en-US" w:eastAsia="zh-CN"/>
              </w:rPr>
              <w:t>生产废水</w:t>
            </w:r>
            <w:r>
              <w:rPr>
                <w:rFonts w:hint="default"/>
                <w:caps w:val="0"/>
                <w:color w:val="auto"/>
                <w:spacing w:val="0"/>
                <w:position w:val="0"/>
                <w:highlight w:val="none"/>
              </w:rPr>
              <w:t>外排</w:t>
            </w:r>
            <w:r>
              <w:rPr>
                <w:rFonts w:hint="eastAsia"/>
                <w:caps w:val="0"/>
                <w:color w:val="auto"/>
                <w:spacing w:val="0"/>
                <w:position w:val="0"/>
                <w:highlight w:val="none"/>
                <w:lang w:eastAsia="zh-CN"/>
              </w:rPr>
              <w:t>。</w:t>
            </w:r>
            <w:r>
              <w:rPr>
                <w:rFonts w:hint="default" w:ascii="Times New Roman" w:hAnsi="Times New Roman" w:eastAsia="宋体" w:cs="Times New Roman"/>
                <w:caps w:val="0"/>
                <w:color w:val="auto"/>
                <w:spacing w:val="0"/>
                <w:position w:val="0"/>
                <w:sz w:val="24"/>
                <w:highlight w:val="none"/>
                <w:lang w:val="en-US" w:eastAsia="zh-CN"/>
              </w:rPr>
              <w:t>生活污水经</w:t>
            </w:r>
            <w:r>
              <w:rPr>
                <w:rFonts w:hint="eastAsia" w:ascii="Times New Roman" w:hAnsi="Times New Roman" w:eastAsia="宋体" w:cs="Times New Roman"/>
                <w:caps w:val="0"/>
                <w:color w:val="auto"/>
                <w:spacing w:val="0"/>
                <w:position w:val="0"/>
                <w:sz w:val="24"/>
                <w:highlight w:val="none"/>
                <w:lang w:val="en-US" w:eastAsia="zh-CN"/>
              </w:rPr>
              <w:t>化粪池</w:t>
            </w:r>
            <w:r>
              <w:rPr>
                <w:rFonts w:hint="default" w:ascii="Times New Roman" w:hAnsi="Times New Roman" w:eastAsia="宋体" w:cs="Times New Roman"/>
                <w:caps w:val="0"/>
                <w:color w:val="auto"/>
                <w:spacing w:val="0"/>
                <w:position w:val="0"/>
                <w:sz w:val="24"/>
                <w:highlight w:val="none"/>
                <w:lang w:val="en-US" w:eastAsia="zh-CN"/>
              </w:rPr>
              <w:t>处理后达到《农田灌溉水质标准》（GB5084-2021）表1中旱作标准后用于林地灌溉，不外排</w:t>
            </w:r>
            <w:r>
              <w:rPr>
                <w:rFonts w:hint="eastAsia" w:ascii="Times New Roman" w:hAnsi="Times New Roman" w:eastAsia="宋体" w:cs="Times New Roman"/>
                <w:caps w:val="0"/>
                <w:color w:val="auto"/>
                <w:spacing w:val="0"/>
                <w:position w:val="0"/>
                <w:sz w:val="24"/>
                <w:highlight w:val="none"/>
                <w:lang w:val="en-US" w:eastAsia="zh-CN"/>
              </w:rPr>
              <w:t>。</w:t>
            </w:r>
            <w:r>
              <w:rPr>
                <w:rFonts w:hint="eastAsia" w:cs="Times New Roman"/>
                <w:caps w:val="0"/>
                <w:color w:val="auto"/>
                <w:spacing w:val="0"/>
                <w:position w:val="0"/>
                <w:sz w:val="24"/>
                <w:highlight w:val="none"/>
                <w:lang w:val="en-US" w:eastAsia="zh-CN"/>
              </w:rPr>
              <w:t>项目初期雨水</w:t>
            </w:r>
            <w:r>
              <w:rPr>
                <w:rFonts w:hint="default" w:ascii="Times New Roman" w:hAnsi="Times New Roman" w:cs="Times New Roman"/>
                <w:caps w:val="0"/>
                <w:color w:val="auto"/>
                <w:spacing w:val="0"/>
                <w:position w:val="0"/>
                <w:highlight w:val="none"/>
                <w:lang w:val="en-US" w:eastAsia="zh-CN"/>
              </w:rPr>
              <w:t>经</w:t>
            </w:r>
            <w:r>
              <w:rPr>
                <w:rFonts w:hint="eastAsia" w:cs="Times New Roman"/>
                <w:caps w:val="0"/>
                <w:color w:val="auto"/>
                <w:spacing w:val="0"/>
                <w:position w:val="0"/>
                <w:highlight w:val="none"/>
                <w:lang w:val="en-US" w:eastAsia="zh-CN"/>
              </w:rPr>
              <w:t>氧化+絮凝沉淀</w:t>
            </w:r>
            <w:r>
              <w:rPr>
                <w:rFonts w:hint="default" w:ascii="Times New Roman" w:hAnsi="Times New Roman" w:cs="Times New Roman"/>
                <w:caps w:val="0"/>
                <w:color w:val="auto"/>
                <w:spacing w:val="0"/>
                <w:position w:val="0"/>
                <w:highlight w:val="none"/>
                <w:lang w:val="en-US" w:eastAsia="zh-CN"/>
              </w:rPr>
              <w:t>处理后</w:t>
            </w:r>
            <w:r>
              <w:rPr>
                <w:rFonts w:hint="eastAsia" w:eastAsia="宋体"/>
                <w:caps w:val="0"/>
                <w:color w:val="auto"/>
                <w:spacing w:val="0"/>
                <w:position w:val="0"/>
                <w:sz w:val="24"/>
                <w:szCs w:val="24"/>
                <w:highlight w:val="none"/>
              </w:rPr>
              <w:t>回用于</w:t>
            </w:r>
            <w:r>
              <w:rPr>
                <w:rFonts w:hint="eastAsia" w:eastAsia="宋体"/>
                <w:caps w:val="0"/>
                <w:color w:val="auto"/>
                <w:spacing w:val="0"/>
                <w:position w:val="0"/>
                <w:sz w:val="24"/>
                <w:szCs w:val="24"/>
                <w:highlight w:val="none"/>
                <w:lang w:val="en-US" w:eastAsia="zh-CN"/>
              </w:rPr>
              <w:t>搅拌</w:t>
            </w:r>
            <w:r>
              <w:rPr>
                <w:rFonts w:hint="eastAsia" w:eastAsia="宋体"/>
                <w:caps w:val="0"/>
                <w:color w:val="auto"/>
                <w:spacing w:val="0"/>
                <w:position w:val="0"/>
                <w:sz w:val="24"/>
                <w:szCs w:val="24"/>
                <w:highlight w:val="none"/>
              </w:rPr>
              <w:t>用水</w:t>
            </w:r>
            <w:r>
              <w:rPr>
                <w:rFonts w:hint="eastAsia" w:eastAsia="宋体"/>
                <w:caps w:val="0"/>
                <w:color w:val="auto"/>
                <w:spacing w:val="0"/>
                <w:position w:val="0"/>
                <w:sz w:val="24"/>
                <w:szCs w:val="24"/>
                <w:highlight w:val="none"/>
                <w:lang w:val="en-US" w:eastAsia="zh-CN"/>
              </w:rPr>
              <w:t>和降尘用水</w:t>
            </w:r>
            <w:r>
              <w:rPr>
                <w:rFonts w:hint="eastAsia" w:cs="Times New Roman"/>
                <w:caps w:val="0"/>
                <w:color w:val="auto"/>
                <w:spacing w:val="0"/>
                <w:position w:val="0"/>
                <w:highlight w:val="none"/>
                <w:lang w:val="en-US" w:eastAsia="zh-CN"/>
              </w:rPr>
              <w:t>。</w:t>
            </w:r>
            <w:r>
              <w:rPr>
                <w:rFonts w:hint="default" w:ascii="Times New Roman" w:hAnsi="Times New Roman" w:cs="Times New Roman"/>
                <w:caps w:val="0"/>
                <w:color w:val="auto"/>
                <w:spacing w:val="0"/>
                <w:position w:val="0"/>
                <w:highlight w:val="none"/>
              </w:rPr>
              <w:t>后期</w:t>
            </w:r>
            <w:r>
              <w:rPr>
                <w:rFonts w:hint="default"/>
                <w:caps w:val="0"/>
                <w:color w:val="auto"/>
                <w:spacing w:val="0"/>
                <w:position w:val="0"/>
                <w:highlight w:val="none"/>
              </w:rPr>
              <w:t>雨水通过现有</w:t>
            </w:r>
            <w:r>
              <w:rPr>
                <w:rFonts w:hint="eastAsia"/>
                <w:caps w:val="0"/>
                <w:color w:val="auto"/>
                <w:spacing w:val="0"/>
                <w:position w:val="0"/>
                <w:highlight w:val="none"/>
                <w:lang w:val="en-US" w:eastAsia="zh-CN"/>
              </w:rPr>
              <w:t>排水沟</w:t>
            </w:r>
            <w:r>
              <w:rPr>
                <w:rFonts w:hint="default"/>
                <w:caps w:val="0"/>
                <w:color w:val="auto"/>
                <w:spacing w:val="0"/>
                <w:position w:val="0"/>
                <w:highlight w:val="none"/>
              </w:rPr>
              <w:t>外排至</w:t>
            </w:r>
            <w:r>
              <w:rPr>
                <w:rFonts w:hint="eastAsia"/>
                <w:caps w:val="0"/>
                <w:color w:val="auto"/>
                <w:spacing w:val="0"/>
                <w:position w:val="0"/>
                <w:highlight w:val="none"/>
                <w:lang w:val="en-US" w:eastAsia="zh-CN"/>
              </w:rPr>
              <w:t>无名小河最后汇入肖</w:t>
            </w:r>
            <w:r>
              <w:rPr>
                <w:rFonts w:hint="default"/>
                <w:caps w:val="0"/>
                <w:color w:val="auto"/>
                <w:spacing w:val="0"/>
                <w:position w:val="0"/>
                <w:highlight w:val="none"/>
              </w:rPr>
              <w:t>江。</w:t>
            </w:r>
            <w:r>
              <w:rPr>
                <w:rFonts w:hint="default" w:ascii="Times New Roman" w:hAnsi="Times New Roman" w:cs="Times New Roman"/>
                <w:caps w:val="0"/>
                <w:color w:val="auto"/>
                <w:spacing w:val="0"/>
                <w:position w:val="0"/>
                <w:highlight w:val="none"/>
              </w:rPr>
              <w:t>项目雨水</w:t>
            </w:r>
            <w:r>
              <w:rPr>
                <w:rFonts w:hint="default" w:ascii="Times New Roman" w:hAnsi="Times New Roman" w:cs="Times New Roman"/>
                <w:caps w:val="0"/>
                <w:color w:val="auto"/>
                <w:spacing w:val="0"/>
                <w:position w:val="0"/>
                <w:sz w:val="24"/>
                <w:szCs w:val="24"/>
                <w:highlight w:val="none"/>
                <w:lang w:val="en-US" w:eastAsia="zh-CN"/>
              </w:rPr>
              <w:t>排放时自动监测铊、氟化物含量，</w:t>
            </w:r>
            <w:r>
              <w:rPr>
                <w:rFonts w:hint="default" w:ascii="Times New Roman" w:hAnsi="Times New Roman" w:cs="Times New Roman"/>
                <w:caps w:val="0"/>
                <w:color w:val="auto"/>
                <w:spacing w:val="0"/>
                <w:position w:val="0"/>
                <w:highlight w:val="none"/>
              </w:rPr>
              <w:t>铊预警限值浓度为</w:t>
            </w:r>
            <w:r>
              <w:rPr>
                <w:rFonts w:hint="default" w:ascii="Times New Roman" w:hAnsi="Times New Roman" w:cs="Times New Roman"/>
                <w:caps w:val="0"/>
                <w:color w:val="auto"/>
                <w:spacing w:val="0"/>
                <w:position w:val="0"/>
                <w:highlight w:val="none"/>
                <w:lang w:val="en-US" w:eastAsia="zh-CN"/>
              </w:rPr>
              <w:t>5</w:t>
            </w:r>
            <w:r>
              <w:rPr>
                <w:rFonts w:hint="default" w:ascii="Times New Roman" w:hAnsi="Times New Roman" w:cs="Times New Roman"/>
                <w:caps w:val="0"/>
                <w:color w:val="auto"/>
                <w:spacing w:val="0"/>
                <w:position w:val="0"/>
                <w:highlight w:val="none"/>
              </w:rPr>
              <w:t>μg/L（</w:t>
            </w:r>
            <w:r>
              <w:rPr>
                <w:rFonts w:hint="default" w:ascii="Times New Roman" w:hAnsi="Times New Roman" w:cs="Times New Roman"/>
                <w:caps w:val="0"/>
                <w:color w:val="auto"/>
                <w:spacing w:val="0"/>
                <w:position w:val="0"/>
                <w:highlight w:val="none"/>
                <w:lang w:val="en-US" w:eastAsia="zh-CN"/>
              </w:rPr>
              <w:t>参照《工业废水铊污染物排放标准》（DB36/1149-2019）标准限值</w:t>
            </w:r>
            <w:r>
              <w:rPr>
                <w:rFonts w:hint="default" w:ascii="Times New Roman" w:hAnsi="Times New Roman" w:cs="Times New Roman"/>
                <w:caps w:val="0"/>
                <w:color w:val="auto"/>
                <w:spacing w:val="0"/>
                <w:position w:val="0"/>
                <w:highlight w:val="none"/>
              </w:rPr>
              <w:t>），氟化物预警限值浓度为2mg/L（参照</w:t>
            </w:r>
            <w:r>
              <w:rPr>
                <w:rFonts w:hint="eastAsia" w:cs="Times New Roman"/>
                <w:caps w:val="0"/>
                <w:color w:val="auto"/>
                <w:spacing w:val="0"/>
                <w:position w:val="0"/>
                <w:highlight w:val="none"/>
                <w:lang w:eastAsia="zh-CN"/>
              </w:rPr>
              <w:t>《无机化学工业污染物排放标准》（GB31573-2015）修改单</w:t>
            </w:r>
            <w:r>
              <w:rPr>
                <w:rFonts w:hint="default" w:ascii="Times New Roman" w:hAnsi="Times New Roman" w:cs="Times New Roman"/>
                <w:caps w:val="0"/>
                <w:color w:val="auto"/>
                <w:spacing w:val="0"/>
                <w:position w:val="0"/>
                <w:highlight w:val="none"/>
              </w:rPr>
              <w:t>的水污染物排放限值）</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sz w:val="24"/>
                <w:szCs w:val="24"/>
                <w:highlight w:val="none"/>
                <w:lang w:val="en-US" w:eastAsia="zh-CN"/>
              </w:rPr>
              <w:t>超过预</w:t>
            </w:r>
            <w:r>
              <w:rPr>
                <w:rFonts w:hint="default" w:ascii="Times New Roman" w:hAnsi="Times New Roman" w:cs="Times New Roman"/>
                <w:caps w:val="0"/>
                <w:color w:val="auto"/>
                <w:spacing w:val="0"/>
                <w:position w:val="0"/>
                <w:highlight w:val="none"/>
              </w:rPr>
              <w:t>警限值浓度</w:t>
            </w:r>
            <w:r>
              <w:rPr>
                <w:rFonts w:hint="default" w:ascii="Times New Roman" w:hAnsi="Times New Roman" w:cs="Times New Roman"/>
                <w:caps w:val="0"/>
                <w:color w:val="auto"/>
                <w:spacing w:val="0"/>
                <w:position w:val="0"/>
                <w:highlight w:val="none"/>
                <w:lang w:val="en-US" w:eastAsia="zh-CN"/>
              </w:rPr>
              <w:t>后立即停止排放。</w:t>
            </w:r>
          </w:p>
          <w:p w14:paraId="419E2FB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2.3、废水治理设施技术可行性分析</w:t>
            </w:r>
          </w:p>
          <w:p w14:paraId="3169B2A6">
            <w:pPr>
              <w:pStyle w:val="74"/>
              <w:keepNext w:val="0"/>
              <w:keepLines w:val="0"/>
              <w:suppressLineNumbers w:val="0"/>
              <w:bidi w:val="0"/>
              <w:spacing w:before="0" w:beforeAutospacing="0" w:after="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1</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生活污水</w:t>
            </w:r>
          </w:p>
          <w:p w14:paraId="7D3DB715">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项目</w:t>
            </w:r>
            <w:r>
              <w:rPr>
                <w:rFonts w:hint="eastAsia"/>
                <w:caps w:val="0"/>
                <w:color w:val="auto"/>
                <w:spacing w:val="0"/>
                <w:position w:val="0"/>
                <w:highlight w:val="none"/>
                <w:lang w:val="en-US" w:eastAsia="zh-CN"/>
              </w:rPr>
              <w:t>外排</w:t>
            </w:r>
            <w:r>
              <w:rPr>
                <w:rFonts w:hint="default"/>
                <w:caps w:val="0"/>
                <w:color w:val="auto"/>
                <w:spacing w:val="0"/>
                <w:position w:val="0"/>
                <w:highlight w:val="none"/>
              </w:rPr>
              <w:t>废水来自员工活动产生的生活污水，主要污染因子为COD</w:t>
            </w:r>
            <w:r>
              <w:rPr>
                <w:rFonts w:hint="default"/>
                <w:caps w:val="0"/>
                <w:color w:val="auto"/>
                <w:spacing w:val="0"/>
                <w:position w:val="0"/>
                <w:highlight w:val="none"/>
                <w:vertAlign w:val="subscript"/>
              </w:rPr>
              <w:t>Cr</w:t>
            </w:r>
            <w:r>
              <w:rPr>
                <w:rFonts w:hint="default"/>
                <w:caps w:val="0"/>
                <w:color w:val="auto"/>
                <w:spacing w:val="0"/>
                <w:position w:val="0"/>
                <w:highlight w:val="none"/>
              </w:rPr>
              <w:t>、BOD</w:t>
            </w:r>
            <w:r>
              <w:rPr>
                <w:rFonts w:hint="default"/>
                <w:caps w:val="0"/>
                <w:color w:val="auto"/>
                <w:spacing w:val="0"/>
                <w:position w:val="0"/>
                <w:highlight w:val="none"/>
                <w:vertAlign w:val="subscript"/>
              </w:rPr>
              <w:t>5</w:t>
            </w:r>
            <w:r>
              <w:rPr>
                <w:rFonts w:hint="default"/>
                <w:caps w:val="0"/>
                <w:color w:val="auto"/>
                <w:spacing w:val="0"/>
                <w:position w:val="0"/>
                <w:highlight w:val="none"/>
              </w:rPr>
              <w:t>、SS、NH</w:t>
            </w:r>
            <w:r>
              <w:rPr>
                <w:rFonts w:hint="default"/>
                <w:caps w:val="0"/>
                <w:color w:val="auto"/>
                <w:spacing w:val="0"/>
                <w:position w:val="0"/>
                <w:highlight w:val="none"/>
                <w:vertAlign w:val="subscript"/>
              </w:rPr>
              <w:t>3</w:t>
            </w:r>
            <w:r>
              <w:rPr>
                <w:rFonts w:hint="default"/>
                <w:caps w:val="0"/>
                <w:color w:val="auto"/>
                <w:spacing w:val="0"/>
                <w:position w:val="0"/>
                <w:highlight w:val="none"/>
              </w:rPr>
              <w:t>-N、</w:t>
            </w:r>
            <w:r>
              <w:rPr>
                <w:rFonts w:hint="eastAsia"/>
                <w:caps w:val="0"/>
                <w:color w:val="auto"/>
                <w:spacing w:val="0"/>
                <w:position w:val="0"/>
                <w:highlight w:val="none"/>
                <w:lang w:val="en-US" w:eastAsia="zh-CN"/>
              </w:rPr>
              <w:t>TN、</w:t>
            </w:r>
            <w:r>
              <w:rPr>
                <w:rFonts w:hint="default"/>
                <w:caps w:val="0"/>
                <w:color w:val="auto"/>
                <w:spacing w:val="0"/>
                <w:position w:val="0"/>
                <w:highlight w:val="none"/>
              </w:rPr>
              <w:t>TP。根据“《排污许可证申请与核发技术规范总则》（HJ942-2018）中4.5.3.1”，废水污染治理工艺分为一级处理（过滤、沉淀、气浮、其他），二级处理（A/O、A</w:t>
            </w:r>
            <w:r>
              <w:rPr>
                <w:rFonts w:hint="default"/>
                <w:caps w:val="0"/>
                <w:color w:val="auto"/>
                <w:spacing w:val="0"/>
                <w:position w:val="0"/>
                <w:highlight w:val="none"/>
                <w:vertAlign w:val="superscript"/>
              </w:rPr>
              <w:t>2</w:t>
            </w:r>
            <w:r>
              <w:rPr>
                <w:rFonts w:hint="default"/>
                <w:caps w:val="0"/>
                <w:color w:val="auto"/>
                <w:spacing w:val="0"/>
                <w:position w:val="0"/>
                <w:highlight w:val="none"/>
              </w:rPr>
              <w:t>/O、SBR、活性污泥法、生物接触氧化、其他）、深度处理（超滤/纳滤、反渗透、吸附过滤、蒸发结晶、其他）、其他。</w:t>
            </w:r>
          </w:p>
          <w:p w14:paraId="004B42AA">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生活污水处理工艺为化粪池，属于可行技术。化粪池是一种利用沉淀和厌氧发酵的原理，去除生活污水中悬浮性有机物的处理设施，属于初级的过渡性生活处理构筑物，可有效处理粪便等，属于可行性技术。</w:t>
            </w:r>
          </w:p>
          <w:p w14:paraId="5F39CFC3">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kern w:val="2"/>
                <w:position w:val="0"/>
                <w:sz w:val="24"/>
                <w:szCs w:val="24"/>
                <w:highlight w:val="none"/>
                <w:lang w:val="en-US" w:eastAsia="zh-CN" w:bidi="ar-SA"/>
              </w:rPr>
            </w:pPr>
            <w:r>
              <w:rPr>
                <w:rFonts w:hint="default" w:ascii="Times New Roman" w:hAnsi="Times New Roman" w:eastAsia="宋体" w:cs="Times New Roman"/>
                <w:caps w:val="0"/>
                <w:color w:val="auto"/>
                <w:spacing w:val="0"/>
                <w:kern w:val="2"/>
                <w:position w:val="0"/>
                <w:sz w:val="24"/>
                <w:szCs w:val="24"/>
                <w:highlight w:val="none"/>
                <w:lang w:val="en-US" w:eastAsia="zh-CN" w:bidi="ar-SA"/>
              </w:rPr>
              <w:t>根据上</w:t>
            </w:r>
            <w:r>
              <w:rPr>
                <w:rFonts w:hint="eastAsia" w:cs="Times New Roman"/>
                <w:caps w:val="0"/>
                <w:color w:val="auto"/>
                <w:spacing w:val="0"/>
                <w:kern w:val="2"/>
                <w:position w:val="0"/>
                <w:sz w:val="24"/>
                <w:szCs w:val="24"/>
                <w:highlight w:val="none"/>
                <w:lang w:val="en-US" w:eastAsia="zh-CN" w:bidi="ar-SA"/>
              </w:rPr>
              <w:t>表</w:t>
            </w:r>
            <w:r>
              <w:rPr>
                <w:rFonts w:hint="default" w:ascii="Times New Roman" w:hAnsi="Times New Roman" w:eastAsia="宋体" w:cs="Times New Roman"/>
                <w:caps w:val="0"/>
                <w:color w:val="auto"/>
                <w:spacing w:val="0"/>
                <w:kern w:val="2"/>
                <w:position w:val="0"/>
                <w:sz w:val="24"/>
                <w:szCs w:val="24"/>
                <w:highlight w:val="none"/>
                <w:lang w:val="en-US" w:eastAsia="zh-CN" w:bidi="ar-SA"/>
              </w:rPr>
              <w:t>计算，项目生活污水经化粪池处理能够达《农田灌溉水质标准》（GB5084-2021）中旱地作物标准。</w:t>
            </w:r>
          </w:p>
          <w:p w14:paraId="0F5A2661">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kern w:val="2"/>
                <w:position w:val="0"/>
                <w:sz w:val="24"/>
                <w:szCs w:val="24"/>
                <w:highlight w:val="none"/>
                <w:lang w:val="en-US" w:eastAsia="zh-CN" w:bidi="ar-SA"/>
              </w:rPr>
            </w:pPr>
            <w:r>
              <w:rPr>
                <w:rFonts w:hint="default" w:ascii="Times New Roman" w:hAnsi="Times New Roman" w:eastAsia="宋体" w:cs="Times New Roman"/>
                <w:caps w:val="0"/>
                <w:color w:val="auto"/>
                <w:spacing w:val="0"/>
                <w:kern w:val="2"/>
                <w:position w:val="0"/>
                <w:sz w:val="24"/>
                <w:szCs w:val="24"/>
                <w:highlight w:val="none"/>
                <w:lang w:val="en-US" w:eastAsia="zh-CN" w:bidi="ar-SA"/>
              </w:rPr>
              <w:t>（2）水量消纳可行性分析</w:t>
            </w:r>
          </w:p>
          <w:p w14:paraId="552E81CC">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kern w:val="2"/>
                <w:position w:val="0"/>
                <w:sz w:val="24"/>
                <w:szCs w:val="24"/>
                <w:highlight w:val="none"/>
                <w:lang w:val="en-US" w:eastAsia="zh-CN" w:bidi="ar-SA"/>
              </w:rPr>
            </w:pPr>
            <w:r>
              <w:rPr>
                <w:rFonts w:hint="default" w:ascii="Times New Roman" w:hAnsi="Times New Roman" w:eastAsia="宋体" w:cs="Times New Roman"/>
                <w:caps w:val="0"/>
                <w:color w:val="auto"/>
                <w:spacing w:val="0"/>
                <w:kern w:val="2"/>
                <w:position w:val="0"/>
                <w:sz w:val="24"/>
                <w:szCs w:val="24"/>
                <w:highlight w:val="none"/>
                <w:lang w:val="en-US" w:eastAsia="zh-CN" w:bidi="ar-SA"/>
              </w:rPr>
              <w:t>参照《江西省农业用水定额》（DB36/T619-2024）表7林业用水定额表，苗木用水定额为75m</w:t>
            </w:r>
            <w:r>
              <w:rPr>
                <w:rFonts w:hint="eastAsia" w:cs="Times New Roman"/>
                <w:caps w:val="0"/>
                <w:color w:val="auto"/>
                <w:spacing w:val="0"/>
                <w:kern w:val="2"/>
                <w:position w:val="0"/>
                <w:sz w:val="24"/>
                <w:szCs w:val="24"/>
                <w:highlight w:val="none"/>
                <w:vertAlign w:val="superscript"/>
                <w:lang w:val="en-US" w:eastAsia="zh-CN" w:bidi="ar-SA"/>
              </w:rPr>
              <w:t>3</w:t>
            </w:r>
            <w:r>
              <w:rPr>
                <w:rFonts w:hint="default" w:ascii="Times New Roman" w:hAnsi="Times New Roman" w:eastAsia="宋体" w:cs="Times New Roman"/>
                <w:caps w:val="0"/>
                <w:color w:val="auto"/>
                <w:spacing w:val="0"/>
                <w:kern w:val="2"/>
                <w:position w:val="0"/>
                <w:sz w:val="24"/>
                <w:szCs w:val="24"/>
                <w:highlight w:val="none"/>
                <w:lang w:val="en-US" w:eastAsia="zh-CN" w:bidi="ar-SA"/>
              </w:rPr>
              <w:t>/亩·年，本项目生活污水灌溉量为</w:t>
            </w:r>
            <w:r>
              <w:rPr>
                <w:rFonts w:hint="eastAsia" w:cs="Times New Roman"/>
                <w:caps w:val="0"/>
                <w:color w:val="auto"/>
                <w:spacing w:val="0"/>
                <w:kern w:val="2"/>
                <w:position w:val="0"/>
                <w:sz w:val="24"/>
                <w:szCs w:val="24"/>
                <w:highlight w:val="none"/>
                <w:lang w:val="en-US" w:eastAsia="zh-CN" w:bidi="ar-SA"/>
              </w:rPr>
              <w:t>288</w:t>
            </w:r>
            <w:r>
              <w:rPr>
                <w:rFonts w:hint="default" w:ascii="Times New Roman" w:hAnsi="Times New Roman" w:eastAsia="宋体" w:cs="Times New Roman"/>
                <w:caps w:val="0"/>
                <w:color w:val="auto"/>
                <w:spacing w:val="0"/>
                <w:kern w:val="2"/>
                <w:position w:val="0"/>
                <w:sz w:val="24"/>
                <w:szCs w:val="24"/>
                <w:highlight w:val="none"/>
                <w:lang w:val="en-US" w:eastAsia="zh-CN" w:bidi="ar-SA"/>
              </w:rPr>
              <w:t>m</w:t>
            </w:r>
            <w:r>
              <w:rPr>
                <w:rFonts w:hint="eastAsia" w:cs="Times New Roman"/>
                <w:caps w:val="0"/>
                <w:color w:val="auto"/>
                <w:spacing w:val="0"/>
                <w:kern w:val="2"/>
                <w:position w:val="0"/>
                <w:sz w:val="24"/>
                <w:szCs w:val="24"/>
                <w:highlight w:val="none"/>
                <w:vertAlign w:val="superscript"/>
                <w:lang w:val="en-US" w:eastAsia="zh-CN" w:bidi="ar-SA"/>
              </w:rPr>
              <w:t>3</w:t>
            </w:r>
            <w:r>
              <w:rPr>
                <w:rFonts w:hint="default" w:ascii="Times New Roman" w:hAnsi="Times New Roman" w:eastAsia="宋体" w:cs="Times New Roman"/>
                <w:caps w:val="0"/>
                <w:color w:val="auto"/>
                <w:spacing w:val="0"/>
                <w:kern w:val="2"/>
                <w:position w:val="0"/>
                <w:sz w:val="24"/>
                <w:szCs w:val="24"/>
                <w:highlight w:val="none"/>
                <w:lang w:val="en-US" w:eastAsia="zh-CN" w:bidi="ar-SA"/>
              </w:rPr>
              <w:t>/a，林地灌溉面积为</w:t>
            </w:r>
            <w:r>
              <w:rPr>
                <w:rFonts w:hint="eastAsia" w:cs="Times New Roman"/>
                <w:caps w:val="0"/>
                <w:color w:val="auto"/>
                <w:spacing w:val="0"/>
                <w:kern w:val="2"/>
                <w:position w:val="0"/>
                <w:sz w:val="24"/>
                <w:szCs w:val="24"/>
                <w:highlight w:val="none"/>
                <w:lang w:val="en-US" w:eastAsia="zh-CN" w:bidi="ar-SA"/>
              </w:rPr>
              <w:t>288/</w:t>
            </w:r>
            <w:r>
              <w:rPr>
                <w:rFonts w:hint="default" w:ascii="Times New Roman" w:hAnsi="Times New Roman" w:eastAsia="宋体" w:cs="Times New Roman"/>
                <w:caps w:val="0"/>
                <w:color w:val="auto"/>
                <w:spacing w:val="0"/>
                <w:kern w:val="2"/>
                <w:position w:val="0"/>
                <w:sz w:val="24"/>
                <w:szCs w:val="24"/>
                <w:highlight w:val="none"/>
                <w:lang w:val="en-US" w:eastAsia="zh-CN" w:bidi="ar-SA"/>
              </w:rPr>
              <w:t>75=</w:t>
            </w:r>
            <w:r>
              <w:rPr>
                <w:rFonts w:hint="eastAsia" w:cs="Times New Roman"/>
                <w:caps w:val="0"/>
                <w:color w:val="auto"/>
                <w:spacing w:val="0"/>
                <w:kern w:val="2"/>
                <w:position w:val="0"/>
                <w:sz w:val="24"/>
                <w:szCs w:val="24"/>
                <w:highlight w:val="none"/>
                <w:lang w:val="en-US" w:eastAsia="zh-CN" w:bidi="ar-SA"/>
              </w:rPr>
              <w:t>3.84</w:t>
            </w:r>
            <w:r>
              <w:rPr>
                <w:rFonts w:hint="default" w:ascii="Times New Roman" w:hAnsi="Times New Roman" w:eastAsia="宋体" w:cs="Times New Roman"/>
                <w:caps w:val="0"/>
                <w:color w:val="auto"/>
                <w:spacing w:val="0"/>
                <w:kern w:val="2"/>
                <w:position w:val="0"/>
                <w:sz w:val="24"/>
                <w:szCs w:val="24"/>
                <w:highlight w:val="none"/>
                <w:lang w:val="en-US" w:eastAsia="zh-CN" w:bidi="ar-SA"/>
              </w:rPr>
              <w:t>亩，项目周边拥有充足的林地，林地面积约为</w:t>
            </w:r>
            <w:r>
              <w:rPr>
                <w:rFonts w:hint="eastAsia" w:cs="Times New Roman"/>
                <w:caps w:val="0"/>
                <w:color w:val="auto"/>
                <w:spacing w:val="0"/>
                <w:kern w:val="2"/>
                <w:position w:val="0"/>
                <w:sz w:val="24"/>
                <w:szCs w:val="24"/>
                <w:highlight w:val="none"/>
                <w:lang w:val="en-US" w:eastAsia="zh-CN" w:bidi="ar-SA"/>
              </w:rPr>
              <w:t>1500</w:t>
            </w:r>
            <w:r>
              <w:rPr>
                <w:rFonts w:hint="default" w:ascii="Times New Roman" w:hAnsi="Times New Roman" w:eastAsia="宋体" w:cs="Times New Roman"/>
                <w:caps w:val="0"/>
                <w:color w:val="auto"/>
                <w:spacing w:val="0"/>
                <w:kern w:val="2"/>
                <w:position w:val="0"/>
                <w:sz w:val="24"/>
                <w:szCs w:val="24"/>
                <w:highlight w:val="none"/>
                <w:lang w:val="en-US" w:eastAsia="zh-CN" w:bidi="ar-SA"/>
              </w:rPr>
              <w:t>亩，生活污水农灌输送采用罐车，因此周边林地面积能满足生活污水的消纳。</w:t>
            </w:r>
          </w:p>
          <w:p w14:paraId="7329B153">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spacing w:val="0"/>
                <w:kern w:val="2"/>
                <w:position w:val="0"/>
                <w:sz w:val="24"/>
                <w:szCs w:val="24"/>
                <w:highlight w:val="none"/>
                <w:lang w:val="en-US" w:eastAsia="zh-CN" w:bidi="ar-SA"/>
              </w:rPr>
            </w:pPr>
            <w:r>
              <w:rPr>
                <w:rFonts w:hint="default" w:ascii="Times New Roman" w:hAnsi="Times New Roman" w:eastAsia="宋体" w:cs="Times New Roman"/>
                <w:caps w:val="0"/>
                <w:color w:val="auto"/>
                <w:spacing w:val="0"/>
                <w:kern w:val="2"/>
                <w:position w:val="0"/>
                <w:sz w:val="24"/>
                <w:szCs w:val="24"/>
                <w:highlight w:val="none"/>
                <w:lang w:val="en-US" w:eastAsia="zh-CN" w:bidi="ar-SA"/>
              </w:rPr>
              <w:t>（3）雨季非灌溉时期贮存可行性</w:t>
            </w:r>
          </w:p>
          <w:p w14:paraId="3BA7066E">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ascii="Times New Roman" w:hAnsi="Times New Roman" w:eastAsia="宋体" w:cs="Times New Roman"/>
                <w:caps w:val="0"/>
                <w:color w:val="auto"/>
                <w:spacing w:val="0"/>
                <w:kern w:val="2"/>
                <w:position w:val="0"/>
                <w:sz w:val="24"/>
                <w:szCs w:val="24"/>
                <w:highlight w:val="none"/>
                <w:lang w:val="en-US" w:eastAsia="zh-CN" w:bidi="ar-SA"/>
              </w:rPr>
              <w:t>本项目生活污水经化粪池处理后可达《农田灌溉水质标准》（GB5084-2021）早作标准后用于周边林地灌溉，考虑到雨季无法灌溉林地的情况，需建设一个贮存池，专门用于贮存雨天无法外排的废水。结合</w:t>
            </w:r>
            <w:r>
              <w:rPr>
                <w:rFonts w:hint="eastAsia" w:cs="Times New Roman"/>
                <w:caps w:val="0"/>
                <w:color w:val="auto"/>
                <w:spacing w:val="0"/>
                <w:kern w:val="2"/>
                <w:position w:val="0"/>
                <w:sz w:val="24"/>
                <w:szCs w:val="24"/>
                <w:highlight w:val="none"/>
                <w:lang w:val="en-US" w:eastAsia="zh-CN" w:bidi="ar-SA"/>
              </w:rPr>
              <w:t>宜春市高安市的</w:t>
            </w:r>
            <w:r>
              <w:rPr>
                <w:rFonts w:hint="default" w:ascii="Times New Roman" w:hAnsi="Times New Roman" w:eastAsia="宋体" w:cs="Times New Roman"/>
                <w:caps w:val="0"/>
                <w:color w:val="auto"/>
                <w:spacing w:val="0"/>
                <w:kern w:val="2"/>
                <w:position w:val="0"/>
                <w:sz w:val="24"/>
                <w:szCs w:val="24"/>
                <w:highlight w:val="none"/>
                <w:lang w:val="en-US" w:eastAsia="zh-CN" w:bidi="ar-SA"/>
              </w:rPr>
              <w:t>最大降雨周期。一般按照60天计算，项目建设在厂区</w:t>
            </w:r>
            <w:r>
              <w:rPr>
                <w:rFonts w:hint="eastAsia" w:cs="Times New Roman"/>
                <w:caps w:val="0"/>
                <w:color w:val="auto"/>
                <w:spacing w:val="0"/>
                <w:kern w:val="2"/>
                <w:position w:val="0"/>
                <w:sz w:val="24"/>
                <w:szCs w:val="24"/>
                <w:highlight w:val="none"/>
                <w:lang w:val="en-US" w:eastAsia="zh-CN" w:bidi="ar-SA"/>
              </w:rPr>
              <w:t>东北侧</w:t>
            </w:r>
            <w:r>
              <w:rPr>
                <w:rFonts w:hint="default" w:ascii="Times New Roman" w:hAnsi="Times New Roman" w:eastAsia="宋体" w:cs="Times New Roman"/>
                <w:caps w:val="0"/>
                <w:color w:val="auto"/>
                <w:spacing w:val="0"/>
                <w:kern w:val="2"/>
                <w:position w:val="0"/>
                <w:sz w:val="24"/>
                <w:szCs w:val="24"/>
                <w:highlight w:val="none"/>
                <w:lang w:val="en-US" w:eastAsia="zh-CN" w:bidi="ar-SA"/>
              </w:rPr>
              <w:t>建设一个容积为</w:t>
            </w:r>
            <w:r>
              <w:rPr>
                <w:rFonts w:hint="eastAsia" w:cs="Times New Roman"/>
                <w:caps w:val="0"/>
                <w:color w:val="auto"/>
                <w:spacing w:val="0"/>
                <w:kern w:val="2"/>
                <w:position w:val="0"/>
                <w:sz w:val="24"/>
                <w:szCs w:val="24"/>
                <w:highlight w:val="none"/>
                <w:lang w:val="en-US" w:eastAsia="zh-CN" w:bidi="ar-SA"/>
              </w:rPr>
              <w:t>6</w:t>
            </w:r>
            <w:r>
              <w:rPr>
                <w:rFonts w:hint="default" w:ascii="Times New Roman" w:hAnsi="Times New Roman" w:eastAsia="宋体" w:cs="Times New Roman"/>
                <w:caps w:val="0"/>
                <w:color w:val="auto"/>
                <w:spacing w:val="0"/>
                <w:kern w:val="2"/>
                <w:position w:val="0"/>
                <w:sz w:val="24"/>
                <w:szCs w:val="24"/>
                <w:highlight w:val="none"/>
                <w:lang w:val="en-US" w:eastAsia="zh-CN" w:bidi="ar-SA"/>
              </w:rPr>
              <w:t>0</w:t>
            </w:r>
            <w:r>
              <w:rPr>
                <w:rFonts w:hint="eastAsia" w:cs="Times New Roman"/>
                <w:caps w:val="0"/>
                <w:color w:val="auto"/>
                <w:spacing w:val="0"/>
                <w:kern w:val="2"/>
                <w:position w:val="0"/>
                <w:sz w:val="24"/>
                <w:szCs w:val="24"/>
                <w:highlight w:val="none"/>
                <w:lang w:val="en-US" w:eastAsia="zh-CN" w:bidi="ar-SA"/>
              </w:rPr>
              <w:t>m</w:t>
            </w:r>
            <w:r>
              <w:rPr>
                <w:rFonts w:hint="eastAsia" w:cs="Times New Roman"/>
                <w:caps w:val="0"/>
                <w:color w:val="auto"/>
                <w:spacing w:val="0"/>
                <w:kern w:val="2"/>
                <w:position w:val="0"/>
                <w:sz w:val="24"/>
                <w:szCs w:val="24"/>
                <w:highlight w:val="none"/>
                <w:vertAlign w:val="superscript"/>
                <w:lang w:val="en-US" w:eastAsia="zh-CN" w:bidi="ar-SA"/>
              </w:rPr>
              <w:t>3</w:t>
            </w:r>
            <w:r>
              <w:rPr>
                <w:rFonts w:hint="default" w:ascii="Times New Roman" w:hAnsi="Times New Roman" w:eastAsia="宋体" w:cs="Times New Roman"/>
                <w:caps w:val="0"/>
                <w:color w:val="auto"/>
                <w:spacing w:val="0"/>
                <w:kern w:val="2"/>
                <w:position w:val="0"/>
                <w:sz w:val="24"/>
                <w:szCs w:val="24"/>
                <w:highlight w:val="none"/>
                <w:lang w:val="en-US" w:eastAsia="zh-CN" w:bidi="ar-SA"/>
              </w:rPr>
              <w:t>的废水暂存池，约可储存62天的废水，综上分析，项目废水暂存池容积量能够确保处理达标的污水在雨季时的暂时储存，满足规范要求。经采取上述措施后，项目</w:t>
            </w:r>
            <w:r>
              <w:rPr>
                <w:rFonts w:hint="eastAsia" w:cs="Times New Roman"/>
                <w:caps w:val="0"/>
                <w:color w:val="auto"/>
                <w:spacing w:val="0"/>
                <w:kern w:val="2"/>
                <w:position w:val="0"/>
                <w:sz w:val="24"/>
                <w:szCs w:val="24"/>
                <w:highlight w:val="none"/>
                <w:lang w:val="en-US" w:eastAsia="zh-CN" w:bidi="ar-SA"/>
              </w:rPr>
              <w:t>生活污水</w:t>
            </w:r>
            <w:r>
              <w:rPr>
                <w:rFonts w:hint="default" w:ascii="Times New Roman" w:hAnsi="Times New Roman" w:eastAsia="宋体" w:cs="Times New Roman"/>
                <w:caps w:val="0"/>
                <w:color w:val="auto"/>
                <w:spacing w:val="0"/>
                <w:kern w:val="2"/>
                <w:position w:val="0"/>
                <w:sz w:val="24"/>
                <w:szCs w:val="24"/>
                <w:highlight w:val="none"/>
                <w:lang w:val="en-US" w:eastAsia="zh-CN" w:bidi="ar-SA"/>
              </w:rPr>
              <w:t>用于周边林地浇灌，对区域地表水环境影响不大，具有较大的可行性。</w:t>
            </w:r>
          </w:p>
          <w:p w14:paraId="69E45726">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（4）洗车废水、设备清洗废水和养护废水</w:t>
            </w:r>
          </w:p>
          <w:p w14:paraId="0DBB88B0">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eastAsia="zh-CN"/>
              </w:rPr>
            </w:pPr>
            <w:r>
              <w:rPr>
                <w:rFonts w:hint="eastAsia"/>
                <w:caps w:val="0"/>
                <w:color w:val="auto"/>
                <w:spacing w:val="0"/>
                <w:position w:val="0"/>
                <w:highlight w:val="none"/>
                <w:lang w:val="en-US" w:eastAsia="zh-CN"/>
              </w:rPr>
              <w:t>本项目洗车废水进1#沉淀池处理后回用于搅拌用水；设备清洗废水经沉淀（2#沉淀池10m</w:t>
            </w:r>
            <w:r>
              <w:rPr>
                <w:rFonts w:hint="eastAsia"/>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）处理后回用于设备清洗用水；养护废水经沉淀（3#沉淀池10m</w:t>
            </w:r>
            <w:r>
              <w:rPr>
                <w:rFonts w:hint="eastAsia"/>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）处理后回用于养护用水；</w:t>
            </w:r>
            <w:r>
              <w:rPr>
                <w:rFonts w:hint="eastAsia" w:ascii="Times New Roman" w:eastAsia="宋体"/>
                <w:caps w:val="0"/>
                <w:color w:val="auto"/>
                <w:spacing w:val="0"/>
                <w:position w:val="0"/>
                <w:highlight w:val="none"/>
                <w:lang w:val="en-US" w:eastAsia="zh-CN"/>
              </w:rPr>
              <w:t>采用</w:t>
            </w:r>
            <w:r>
              <w:rPr>
                <w:rFonts w:hint="eastAsia"/>
                <w:caps w:val="0"/>
                <w:color w:val="auto"/>
                <w:spacing w:val="0"/>
                <w:position w:val="0"/>
                <w:highlight w:val="none"/>
                <w:lang w:val="en-US" w:eastAsia="zh-CN"/>
              </w:rPr>
              <w:t>氧化+</w:t>
            </w:r>
            <w:r>
              <w:rPr>
                <w:rFonts w:hint="eastAsia" w:ascii="Times New Roman" w:eastAsia="宋体"/>
                <w:caps w:val="0"/>
                <w:color w:val="auto"/>
                <w:spacing w:val="0"/>
                <w:position w:val="0"/>
                <w:highlight w:val="none"/>
                <w:lang w:val="en-US" w:eastAsia="zh-CN"/>
              </w:rPr>
              <w:t>絮凝</w:t>
            </w:r>
            <w:r>
              <w:rPr>
                <w:rFonts w:hint="eastAsia" w:eastAsia="宋体"/>
                <w:caps w:val="0"/>
                <w:color w:val="auto"/>
                <w:spacing w:val="0"/>
                <w:position w:val="0"/>
                <w:highlight w:val="none"/>
                <w:lang w:eastAsia="zh-CN"/>
              </w:rPr>
              <w:t>沉淀处理后</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基础因子达到</w:t>
            </w:r>
            <w:r>
              <w:rPr>
                <w:rFonts w:hint="eastAsia" w:eastAsia="宋体"/>
                <w:caps w:val="0"/>
                <w:color w:val="auto"/>
                <w:spacing w:val="0"/>
                <w:position w:val="0"/>
                <w:highlight w:val="none"/>
                <w:lang w:eastAsia="zh-CN"/>
              </w:rPr>
              <w:t>《城市污水再生利用工业用水水质》（GB/T19923-2024）中洗涤水标准</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特征因子满足</w:t>
            </w:r>
            <w:r>
              <w:rPr>
                <w:rFonts w:hint="eastAsia"/>
                <w:caps w:val="0"/>
                <w:color w:val="auto"/>
                <w:spacing w:val="0"/>
                <w:position w:val="0"/>
                <w:highlight w:val="none"/>
                <w:lang w:eastAsia="zh-CN"/>
              </w:rPr>
              <w:t>《无机化学工业污染物排放标准》（GB31573-2015）修改单</w:t>
            </w:r>
            <w:r>
              <w:rPr>
                <w:rFonts w:hint="eastAsia"/>
                <w:caps w:val="0"/>
                <w:color w:val="auto"/>
                <w:spacing w:val="0"/>
                <w:position w:val="0"/>
                <w:highlight w:val="none"/>
              </w:rPr>
              <w:t>和《工业废水铊污染物排放标准》（DB36/1149-2019）</w:t>
            </w:r>
            <w:r>
              <w:rPr>
                <w:rFonts w:hint="default"/>
                <w:caps w:val="0"/>
                <w:color w:val="auto"/>
                <w:spacing w:val="0"/>
                <w:position w:val="0"/>
                <w:highlight w:val="none"/>
                <w:lang w:eastAsia="zh-CN"/>
              </w:rPr>
              <w:t>标准中的较严值后</w:t>
            </w:r>
            <w:r>
              <w:rPr>
                <w:rFonts w:hint="eastAsia"/>
                <w:caps w:val="0"/>
                <w:color w:val="auto"/>
                <w:spacing w:val="0"/>
                <w:position w:val="0"/>
                <w:highlight w:val="none"/>
                <w:lang w:eastAsia="zh-CN"/>
              </w:rPr>
              <w:t>回用。</w:t>
            </w:r>
          </w:p>
          <w:p w14:paraId="380B336F">
            <w:pPr>
              <w:pStyle w:val="74"/>
              <w:keepNext w:val="0"/>
              <w:keepLines w:val="0"/>
              <w:suppressLineNumbers w:val="0"/>
              <w:bidi w:val="0"/>
              <w:spacing w:before="0" w:beforeAutospacing="0" w:after="0" w:afterAutospacing="0"/>
              <w:ind w:left="0" w:right="0"/>
              <w:rPr>
                <w:rFonts w:hint="eastAsia" w:ascii="Times New Roman"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本项目设置一容积为30m</w:t>
            </w:r>
            <w:r>
              <w:rPr>
                <w:rFonts w:hint="eastAsia"/>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的1#沉淀池一个，位于洗车平台东侧，通过管道和导流槽收集，本项目洗车废水</w:t>
            </w:r>
            <w:r>
              <w:rPr>
                <w:rFonts w:hint="eastAsia" w:ascii="Times New Roman" w:eastAsia="宋体"/>
                <w:caps w:val="0"/>
                <w:color w:val="auto"/>
                <w:spacing w:val="0"/>
                <w:position w:val="0"/>
                <w:highlight w:val="none"/>
                <w:lang w:val="en-US" w:eastAsia="zh-CN"/>
              </w:rPr>
              <w:t>收集量为</w:t>
            </w:r>
            <w:r>
              <w:rPr>
                <w:rFonts w:hint="eastAsia"/>
                <w:caps w:val="0"/>
                <w:color w:val="auto"/>
                <w:spacing w:val="0"/>
                <w:position w:val="0"/>
                <w:highlight w:val="none"/>
                <w:lang w:val="en-US" w:eastAsia="zh-CN"/>
              </w:rPr>
              <w:t>1.36t/d，初期雨水日储存量为18t/d，因此沉淀池容积可行</w:t>
            </w:r>
            <w:r>
              <w:rPr>
                <w:rFonts w:hint="eastAsia" w:ascii="Times New Roman" w:eastAsia="宋体"/>
                <w:caps w:val="0"/>
                <w:color w:val="auto"/>
                <w:spacing w:val="0"/>
                <w:position w:val="0"/>
                <w:highlight w:val="none"/>
                <w:lang w:val="en-US" w:eastAsia="zh-CN"/>
              </w:rPr>
              <w:t>。</w:t>
            </w:r>
            <w:r>
              <w:rPr>
                <w:rFonts w:hint="eastAsia"/>
                <w:caps w:val="0"/>
                <w:color w:val="auto"/>
                <w:spacing w:val="0"/>
                <w:position w:val="0"/>
                <w:highlight w:val="none"/>
                <w:lang w:val="en-US" w:eastAsia="zh-CN"/>
              </w:rPr>
              <w:t>本项目设置一容积为10m</w:t>
            </w:r>
            <w:r>
              <w:rPr>
                <w:rFonts w:hint="eastAsia"/>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的2#沉淀池1个，位于生产区南侧，通过管道和导流槽收集，本项目设备清洗废水</w:t>
            </w:r>
            <w:r>
              <w:rPr>
                <w:rFonts w:hint="eastAsia" w:ascii="Times New Roman" w:eastAsia="宋体"/>
                <w:caps w:val="0"/>
                <w:color w:val="auto"/>
                <w:spacing w:val="0"/>
                <w:position w:val="0"/>
                <w:highlight w:val="none"/>
                <w:lang w:val="en-US" w:eastAsia="zh-CN"/>
              </w:rPr>
              <w:t>收集量为</w:t>
            </w:r>
            <w:r>
              <w:rPr>
                <w:rFonts w:hint="eastAsia"/>
                <w:caps w:val="0"/>
                <w:color w:val="auto"/>
                <w:spacing w:val="0"/>
                <w:position w:val="0"/>
                <w:highlight w:val="none"/>
                <w:lang w:val="en-US" w:eastAsia="zh-CN"/>
              </w:rPr>
              <w:t>4t/d，因此沉淀池容积可行</w:t>
            </w:r>
            <w:r>
              <w:rPr>
                <w:rFonts w:hint="eastAsia" w:ascii="Times New Roman" w:eastAsia="宋体"/>
                <w:caps w:val="0"/>
                <w:color w:val="auto"/>
                <w:spacing w:val="0"/>
                <w:position w:val="0"/>
                <w:highlight w:val="none"/>
                <w:lang w:val="en-US" w:eastAsia="zh-CN"/>
              </w:rPr>
              <w:t>。</w:t>
            </w:r>
            <w:r>
              <w:rPr>
                <w:rFonts w:hint="eastAsia"/>
                <w:caps w:val="0"/>
                <w:color w:val="auto"/>
                <w:spacing w:val="0"/>
                <w:position w:val="0"/>
                <w:highlight w:val="none"/>
                <w:lang w:val="en-US" w:eastAsia="zh-CN"/>
              </w:rPr>
              <w:t>本项目设置一容积为10m</w:t>
            </w:r>
            <w:r>
              <w:rPr>
                <w:rFonts w:hint="eastAsia"/>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的3#沉淀池1个，位于养护区南侧，通过管道和导流槽收集，本项目养护废水</w:t>
            </w:r>
            <w:r>
              <w:rPr>
                <w:rFonts w:hint="eastAsia" w:ascii="Times New Roman" w:eastAsia="宋体"/>
                <w:caps w:val="0"/>
                <w:color w:val="auto"/>
                <w:spacing w:val="0"/>
                <w:position w:val="0"/>
                <w:highlight w:val="none"/>
                <w:lang w:val="en-US" w:eastAsia="zh-CN"/>
              </w:rPr>
              <w:t>收集量为</w:t>
            </w:r>
            <w:r>
              <w:rPr>
                <w:rFonts w:hint="eastAsia"/>
                <w:caps w:val="0"/>
                <w:color w:val="auto"/>
                <w:spacing w:val="0"/>
                <w:position w:val="0"/>
                <w:highlight w:val="none"/>
                <w:lang w:val="en-US" w:eastAsia="zh-CN"/>
              </w:rPr>
              <w:t>5.33t/d，因此沉淀池容积可行</w:t>
            </w:r>
            <w:r>
              <w:rPr>
                <w:rFonts w:hint="eastAsia" w:ascii="Times New Roman" w:eastAsia="宋体"/>
                <w:caps w:val="0"/>
                <w:color w:val="auto"/>
                <w:spacing w:val="0"/>
                <w:position w:val="0"/>
                <w:highlight w:val="none"/>
                <w:lang w:val="en-US" w:eastAsia="zh-CN"/>
              </w:rPr>
              <w:t>。</w:t>
            </w:r>
          </w:p>
          <w:p w14:paraId="20C76BDB">
            <w:pPr>
              <w:pStyle w:val="120"/>
              <w:keepNext w:val="0"/>
              <w:keepLines w:val="0"/>
              <w:suppressLineNumbers w:val="0"/>
              <w:spacing w:before="0" w:beforeAutospacing="0" w:after="0" w:afterAutospacing="0"/>
              <w:ind w:left="0" w:right="0"/>
              <w:rPr>
                <w:rFonts w:hint="default"/>
                <w:caps w:val="0"/>
                <w:color w:val="auto"/>
                <w:spacing w:val="0"/>
                <w:position w:val="0"/>
                <w:szCs w:val="22"/>
                <w:highlight w:val="none"/>
              </w:rPr>
            </w:pPr>
            <w:r>
              <w:rPr>
                <w:rFonts w:hint="eastAsia"/>
                <w:caps w:val="0"/>
                <w:color w:val="auto"/>
                <w:spacing w:val="0"/>
                <w:position w:val="0"/>
                <w:highlight w:val="none"/>
                <w:lang w:val="en-US" w:eastAsia="zh-CN"/>
              </w:rPr>
              <w:t>洗车废水、设备清洗废水和养护废水中</w:t>
            </w:r>
            <w:r>
              <w:rPr>
                <w:rFonts w:hint="default"/>
                <w:caps w:val="0"/>
                <w:color w:val="auto"/>
                <w:spacing w:val="0"/>
                <w:position w:val="0"/>
                <w:szCs w:val="22"/>
                <w:highlight w:val="none"/>
              </w:rPr>
              <w:t>可能会含有部分一价铊，其毒性大，且不易降解，通过投加氧化剂（双氧水）将一价铊氧化为三价铊，降低毒性。</w:t>
            </w:r>
            <w:r>
              <w:rPr>
                <w:rFonts w:hint="eastAsia"/>
                <w:caps w:val="0"/>
                <w:color w:val="auto"/>
                <w:spacing w:val="0"/>
                <w:position w:val="0"/>
                <w:szCs w:val="22"/>
                <w:highlight w:val="none"/>
                <w:lang w:val="en-US" w:eastAsia="zh-CN"/>
              </w:rPr>
              <w:t>再次</w:t>
            </w:r>
            <w:r>
              <w:rPr>
                <w:rFonts w:hint="default"/>
                <w:caps w:val="0"/>
                <w:color w:val="auto"/>
                <w:spacing w:val="0"/>
                <w:position w:val="0"/>
                <w:szCs w:val="22"/>
                <w:highlight w:val="none"/>
              </w:rPr>
              <w:t>投加</w:t>
            </w:r>
            <w:bookmarkStart w:id="75" w:name="OLE_LINK41"/>
            <w:r>
              <w:rPr>
                <w:rFonts w:hint="default"/>
                <w:caps w:val="0"/>
                <w:color w:val="auto"/>
                <w:spacing w:val="0"/>
                <w:position w:val="0"/>
                <w:szCs w:val="22"/>
                <w:highlight w:val="none"/>
              </w:rPr>
              <w:t>高分子</w:t>
            </w:r>
            <w:bookmarkEnd w:id="75"/>
            <w:r>
              <w:rPr>
                <w:rFonts w:hint="default"/>
                <w:caps w:val="0"/>
                <w:color w:val="auto"/>
                <w:spacing w:val="0"/>
                <w:position w:val="0"/>
                <w:szCs w:val="22"/>
                <w:highlight w:val="none"/>
              </w:rPr>
              <w:t>络合剂，利用络合作用与三价铊络合为难溶于水的沉淀物，便于后续沉淀去除铊。经络合的铊沉淀物颗粒较小，沉淀效果不佳，</w:t>
            </w:r>
            <w:r>
              <w:rPr>
                <w:rFonts w:hint="eastAsia"/>
                <w:caps w:val="0"/>
                <w:color w:val="auto"/>
                <w:spacing w:val="0"/>
                <w:position w:val="0"/>
                <w:szCs w:val="22"/>
                <w:highlight w:val="none"/>
                <w:lang w:val="en-US" w:eastAsia="zh-CN"/>
              </w:rPr>
              <w:t>再</w:t>
            </w:r>
            <w:r>
              <w:rPr>
                <w:rFonts w:hint="default"/>
                <w:caps w:val="0"/>
                <w:color w:val="auto"/>
                <w:spacing w:val="0"/>
                <w:position w:val="0"/>
                <w:szCs w:val="22"/>
                <w:highlight w:val="none"/>
              </w:rPr>
              <w:t>投加少量PAM、PAC、石灰，利用PAM、PAC絮状物吸附并提高沉淀效果，利用石灰与氟化物反应生产氟化钙，去除氟化物。最终沉淀进行泥水分离。经沉淀后的上清液铊离子基本达标。确保出水完全合格后回用。</w:t>
            </w:r>
          </w:p>
          <w:p w14:paraId="1D817A37">
            <w:pPr>
              <w:keepNext w:val="0"/>
              <w:keepLines w:val="0"/>
              <w:suppressLineNumbers w:val="0"/>
              <w:spacing w:before="0" w:beforeAutospacing="0" w:after="0" w:afterAutospacing="0" w:line="360" w:lineRule="auto"/>
              <w:ind w:left="12" w:right="42" w:firstLine="480"/>
              <w:rPr>
                <w:rFonts w:hint="default"/>
                <w:caps w:val="0"/>
                <w:color w:val="auto"/>
                <w:spacing w:val="0"/>
                <w:position w:val="0"/>
                <w:sz w:val="24"/>
                <w:szCs w:val="22"/>
                <w:highlight w:val="none"/>
              </w:rPr>
            </w:pPr>
            <w:r>
              <w:rPr>
                <w:rFonts w:hint="default"/>
                <w:caps w:val="0"/>
                <w:color w:val="auto"/>
                <w:spacing w:val="0"/>
                <w:position w:val="0"/>
                <w:sz w:val="24"/>
                <w:szCs w:val="22"/>
                <w:highlight w:val="none"/>
              </w:rPr>
              <w:t>除铊、铍、氟方程式如下：</w:t>
            </w:r>
          </w:p>
          <w:p w14:paraId="0B3A58AA">
            <w:pPr>
              <w:keepNext w:val="0"/>
              <w:keepLines w:val="0"/>
              <w:suppressLineNumbers w:val="0"/>
              <w:spacing w:before="0" w:beforeAutospacing="0" w:after="0" w:afterAutospacing="0" w:line="360" w:lineRule="auto"/>
              <w:ind w:left="0" w:right="0" w:firstLine="500"/>
              <w:jc w:val="center"/>
              <w:rPr>
                <w:rFonts w:hint="default"/>
                <w:caps w:val="0"/>
                <w:color w:val="auto"/>
                <w:spacing w:val="0"/>
                <w:position w:val="0"/>
                <w:sz w:val="24"/>
                <w:szCs w:val="32"/>
                <w:highlight w:val="none"/>
              </w:rPr>
            </w:pPr>
            <w:r>
              <w:rPr>
                <w:rFonts w:hint="default"/>
                <w:caps w:val="0"/>
                <w:color w:val="auto"/>
                <w:spacing w:val="0"/>
                <w:position w:val="0"/>
                <w:sz w:val="24"/>
                <w:szCs w:val="32"/>
                <w:highlight w:val="none"/>
              </w:rPr>
              <w:t>4Tl++2H</w:t>
            </w:r>
            <w:r>
              <w:rPr>
                <w:rFonts w:hint="default"/>
                <w:caps w:val="0"/>
                <w:color w:val="auto"/>
                <w:spacing w:val="0"/>
                <w:position w:val="0"/>
                <w:sz w:val="24"/>
                <w:szCs w:val="32"/>
                <w:highlight w:val="none"/>
                <w:vertAlign w:val="subscript"/>
              </w:rPr>
              <w:t>2</w:t>
            </w:r>
            <w:r>
              <w:rPr>
                <w:rFonts w:hint="default"/>
                <w:caps w:val="0"/>
                <w:color w:val="auto"/>
                <w:spacing w:val="0"/>
                <w:position w:val="0"/>
                <w:sz w:val="24"/>
                <w:szCs w:val="32"/>
                <w:highlight w:val="none"/>
              </w:rPr>
              <w:t>O</w:t>
            </w:r>
            <w:r>
              <w:rPr>
                <w:rFonts w:hint="default"/>
                <w:caps w:val="0"/>
                <w:color w:val="auto"/>
                <w:spacing w:val="0"/>
                <w:position w:val="0"/>
                <w:sz w:val="24"/>
                <w:szCs w:val="32"/>
                <w:highlight w:val="none"/>
                <w:vertAlign w:val="subscript"/>
              </w:rPr>
              <w:t>2</w:t>
            </w:r>
            <w:r>
              <w:rPr>
                <w:rFonts w:hint="default"/>
                <w:caps w:val="0"/>
                <w:color w:val="auto"/>
                <w:spacing w:val="0"/>
                <w:position w:val="0"/>
                <w:sz w:val="24"/>
                <w:szCs w:val="32"/>
                <w:highlight w:val="none"/>
              </w:rPr>
              <w:t>→4TI</w:t>
            </w:r>
            <w:r>
              <w:rPr>
                <w:rFonts w:hint="default"/>
                <w:caps w:val="0"/>
                <w:color w:val="auto"/>
                <w:spacing w:val="0"/>
                <w:position w:val="0"/>
                <w:sz w:val="24"/>
                <w:szCs w:val="32"/>
                <w:highlight w:val="none"/>
                <w:vertAlign w:val="superscript"/>
              </w:rPr>
              <w:t>3+</w:t>
            </w:r>
            <w:r>
              <w:rPr>
                <w:rFonts w:hint="default"/>
                <w:caps w:val="0"/>
                <w:color w:val="auto"/>
                <w:spacing w:val="0"/>
                <w:position w:val="0"/>
                <w:sz w:val="24"/>
                <w:szCs w:val="32"/>
                <w:highlight w:val="none"/>
              </w:rPr>
              <w:t>+2H</w:t>
            </w:r>
            <w:r>
              <w:rPr>
                <w:rFonts w:hint="default"/>
                <w:caps w:val="0"/>
                <w:color w:val="auto"/>
                <w:spacing w:val="0"/>
                <w:position w:val="0"/>
                <w:sz w:val="24"/>
                <w:szCs w:val="32"/>
                <w:highlight w:val="none"/>
                <w:vertAlign w:val="subscript"/>
              </w:rPr>
              <w:t>2</w:t>
            </w:r>
            <w:r>
              <w:rPr>
                <w:rFonts w:hint="default"/>
                <w:caps w:val="0"/>
                <w:color w:val="auto"/>
                <w:spacing w:val="0"/>
                <w:position w:val="0"/>
                <w:sz w:val="24"/>
                <w:szCs w:val="32"/>
                <w:highlight w:val="none"/>
              </w:rPr>
              <w:t>O+O</w:t>
            </w:r>
            <w:r>
              <w:rPr>
                <w:rFonts w:hint="default"/>
                <w:caps w:val="0"/>
                <w:color w:val="auto"/>
                <w:spacing w:val="0"/>
                <w:position w:val="0"/>
                <w:sz w:val="24"/>
                <w:szCs w:val="32"/>
                <w:highlight w:val="none"/>
                <w:vertAlign w:val="subscript"/>
              </w:rPr>
              <w:t>2</w:t>
            </w:r>
            <w:r>
              <w:rPr>
                <w:rFonts w:hint="default"/>
                <w:caps w:val="0"/>
                <w:color w:val="auto"/>
                <w:spacing w:val="0"/>
                <w:position w:val="0"/>
                <w:sz w:val="24"/>
                <w:szCs w:val="32"/>
                <w:highlight w:val="none"/>
              </w:rPr>
              <w:t>↑</w:t>
            </w:r>
          </w:p>
          <w:p w14:paraId="58682C93">
            <w:pPr>
              <w:keepNext w:val="0"/>
              <w:keepLines w:val="0"/>
              <w:suppressLineNumbers w:val="0"/>
              <w:spacing w:before="0" w:beforeAutospacing="0" w:after="0" w:afterAutospacing="0" w:line="360" w:lineRule="auto"/>
              <w:ind w:left="0" w:right="0"/>
              <w:jc w:val="center"/>
              <w:rPr>
                <w:rFonts w:hint="default"/>
                <w:caps w:val="0"/>
                <w:color w:val="auto"/>
                <w:spacing w:val="0"/>
                <w:position w:val="0"/>
                <w:sz w:val="24"/>
                <w:szCs w:val="32"/>
                <w:highlight w:val="none"/>
              </w:rPr>
            </w:pPr>
            <w:r>
              <w:rPr>
                <w:rFonts w:hint="default"/>
                <w:caps w:val="0"/>
                <w:color w:val="auto"/>
                <w:spacing w:val="0"/>
                <w:position w:val="0"/>
                <w:sz w:val="24"/>
                <w:szCs w:val="32"/>
                <w:highlight w:val="none"/>
              </w:rPr>
              <w:t>Tl</w:t>
            </w:r>
            <w:r>
              <w:rPr>
                <w:rFonts w:hint="default"/>
                <w:caps w:val="0"/>
                <w:color w:val="auto"/>
                <w:spacing w:val="0"/>
                <w:position w:val="0"/>
                <w:sz w:val="24"/>
                <w:szCs w:val="32"/>
                <w:highlight w:val="none"/>
                <w:vertAlign w:val="superscript"/>
              </w:rPr>
              <w:t>3+</w:t>
            </w:r>
            <w:r>
              <w:rPr>
                <w:rFonts w:hint="default"/>
                <w:caps w:val="0"/>
                <w:color w:val="auto"/>
                <w:spacing w:val="0"/>
                <w:position w:val="0"/>
                <w:sz w:val="24"/>
                <w:szCs w:val="32"/>
                <w:highlight w:val="none"/>
              </w:rPr>
              <w:t>+3OH-→Tl(OH)</w:t>
            </w:r>
            <w:r>
              <w:rPr>
                <w:rFonts w:hint="default"/>
                <w:caps w:val="0"/>
                <w:color w:val="auto"/>
                <w:spacing w:val="0"/>
                <w:position w:val="0"/>
                <w:sz w:val="24"/>
                <w:szCs w:val="32"/>
                <w:highlight w:val="none"/>
                <w:vertAlign w:val="subscript"/>
              </w:rPr>
              <w:t>3</w:t>
            </w:r>
            <w:r>
              <w:rPr>
                <w:rFonts w:hint="default"/>
                <w:caps w:val="0"/>
                <w:color w:val="auto"/>
                <w:spacing w:val="0"/>
                <w:position w:val="0"/>
                <w:sz w:val="24"/>
                <w:szCs w:val="32"/>
                <w:highlight w:val="none"/>
              </w:rPr>
              <w:t>↓</w:t>
            </w:r>
          </w:p>
          <w:p w14:paraId="2F82F3CC">
            <w:pPr>
              <w:keepNext w:val="0"/>
              <w:keepLines w:val="0"/>
              <w:suppressLineNumbers w:val="0"/>
              <w:spacing w:before="0" w:beforeAutospacing="0" w:after="0" w:afterAutospacing="0" w:line="360" w:lineRule="auto"/>
              <w:ind w:left="0" w:right="0"/>
              <w:jc w:val="center"/>
              <w:rPr>
                <w:rFonts w:hint="default"/>
                <w:caps w:val="0"/>
                <w:color w:val="auto"/>
                <w:spacing w:val="0"/>
                <w:position w:val="0"/>
                <w:sz w:val="24"/>
                <w:szCs w:val="32"/>
                <w:highlight w:val="none"/>
              </w:rPr>
            </w:pPr>
            <w:r>
              <w:rPr>
                <w:rFonts w:hint="default"/>
                <w:caps w:val="0"/>
                <w:color w:val="auto"/>
                <w:spacing w:val="0"/>
                <w:position w:val="0"/>
                <w:sz w:val="24"/>
                <w:szCs w:val="32"/>
                <w:highlight w:val="none"/>
              </w:rPr>
              <w:t>Rx-+XTl</w:t>
            </w:r>
            <w:r>
              <w:rPr>
                <w:rFonts w:hint="default"/>
                <w:caps w:val="0"/>
                <w:color w:val="auto"/>
                <w:spacing w:val="0"/>
                <w:position w:val="0"/>
                <w:sz w:val="24"/>
                <w:szCs w:val="32"/>
                <w:highlight w:val="none"/>
                <w:vertAlign w:val="superscript"/>
              </w:rPr>
              <w:t>3+</w:t>
            </w:r>
            <w:r>
              <w:rPr>
                <w:rFonts w:hint="default"/>
                <w:caps w:val="0"/>
                <w:color w:val="auto"/>
                <w:spacing w:val="0"/>
                <w:position w:val="0"/>
                <w:sz w:val="24"/>
                <w:szCs w:val="32"/>
                <w:highlight w:val="none"/>
              </w:rPr>
              <w:t>→TlxR↓(R代表重金属捕捉剂的络合阴离子基团)</w:t>
            </w:r>
          </w:p>
          <w:p w14:paraId="4DCF9E45">
            <w:pPr>
              <w:keepNext w:val="0"/>
              <w:keepLines w:val="0"/>
              <w:suppressLineNumbers w:val="0"/>
              <w:spacing w:before="0" w:beforeAutospacing="0" w:after="0" w:afterAutospacing="0" w:line="360" w:lineRule="auto"/>
              <w:ind w:left="0" w:right="0"/>
              <w:jc w:val="center"/>
              <w:rPr>
                <w:rFonts w:hint="default"/>
                <w:caps w:val="0"/>
                <w:color w:val="auto"/>
                <w:spacing w:val="0"/>
                <w:position w:val="0"/>
                <w:sz w:val="24"/>
                <w:szCs w:val="32"/>
                <w:highlight w:val="none"/>
              </w:rPr>
            </w:pPr>
            <w:r>
              <w:rPr>
                <w:rFonts w:hint="default"/>
                <w:caps w:val="0"/>
                <w:color w:val="auto"/>
                <w:spacing w:val="0"/>
                <w:position w:val="0"/>
                <w:sz w:val="24"/>
                <w:szCs w:val="32"/>
                <w:highlight w:val="none"/>
              </w:rPr>
              <w:t>Be</w:t>
            </w:r>
            <w:r>
              <w:rPr>
                <w:rFonts w:hint="default"/>
                <w:caps w:val="0"/>
                <w:color w:val="auto"/>
                <w:spacing w:val="0"/>
                <w:position w:val="0"/>
                <w:sz w:val="24"/>
                <w:szCs w:val="32"/>
                <w:highlight w:val="none"/>
                <w:vertAlign w:val="superscript"/>
              </w:rPr>
              <w:t>2+</w:t>
            </w:r>
            <w:r>
              <w:rPr>
                <w:rFonts w:hint="default"/>
                <w:caps w:val="0"/>
                <w:color w:val="auto"/>
                <w:spacing w:val="0"/>
                <w:position w:val="0"/>
                <w:sz w:val="24"/>
                <w:szCs w:val="32"/>
                <w:highlight w:val="none"/>
              </w:rPr>
              <w:t>+2OH</w:t>
            </w:r>
            <w:r>
              <w:rPr>
                <w:rFonts w:hint="default"/>
                <w:caps w:val="0"/>
                <w:color w:val="auto"/>
                <w:spacing w:val="0"/>
                <w:position w:val="0"/>
                <w:sz w:val="24"/>
                <w:szCs w:val="32"/>
                <w:highlight w:val="none"/>
                <w:vertAlign w:val="superscript"/>
              </w:rPr>
              <w:t>-</w:t>
            </w:r>
            <w:r>
              <w:rPr>
                <w:rFonts w:hint="default"/>
                <w:caps w:val="0"/>
                <w:color w:val="auto"/>
                <w:spacing w:val="0"/>
                <w:position w:val="0"/>
                <w:sz w:val="24"/>
                <w:szCs w:val="32"/>
                <w:highlight w:val="none"/>
              </w:rPr>
              <w:t>→Be(OH)</w:t>
            </w:r>
            <w:r>
              <w:rPr>
                <w:rFonts w:hint="default"/>
                <w:caps w:val="0"/>
                <w:color w:val="auto"/>
                <w:spacing w:val="0"/>
                <w:position w:val="0"/>
                <w:sz w:val="24"/>
                <w:szCs w:val="32"/>
                <w:highlight w:val="none"/>
                <w:vertAlign w:val="subscript"/>
              </w:rPr>
              <w:t>2</w:t>
            </w:r>
            <w:r>
              <w:rPr>
                <w:rFonts w:hint="default"/>
                <w:caps w:val="0"/>
                <w:color w:val="auto"/>
                <w:spacing w:val="0"/>
                <w:position w:val="0"/>
                <w:sz w:val="24"/>
                <w:szCs w:val="32"/>
                <w:highlight w:val="none"/>
              </w:rPr>
              <w:t>↓</w:t>
            </w:r>
          </w:p>
          <w:p w14:paraId="30F789A5">
            <w:pPr>
              <w:keepNext w:val="0"/>
              <w:keepLines w:val="0"/>
              <w:suppressLineNumbers w:val="0"/>
              <w:adjustRightInd w:val="0"/>
              <w:spacing w:before="0" w:beforeAutospacing="0" w:after="0" w:afterAutospacing="0" w:line="360" w:lineRule="auto"/>
              <w:ind w:left="0" w:right="0"/>
              <w:jc w:val="center"/>
              <w:rPr>
                <w:rFonts w:hint="default"/>
                <w:caps w:val="0"/>
                <w:color w:val="auto"/>
                <w:spacing w:val="0"/>
                <w:position w:val="0"/>
                <w:sz w:val="24"/>
                <w:szCs w:val="32"/>
                <w:highlight w:val="none"/>
              </w:rPr>
            </w:pPr>
            <w:r>
              <w:rPr>
                <w:rFonts w:hint="default"/>
                <w:caps w:val="0"/>
                <w:color w:val="auto"/>
                <w:spacing w:val="0"/>
                <w:position w:val="0"/>
                <w:sz w:val="24"/>
                <w:szCs w:val="32"/>
                <w:highlight w:val="none"/>
              </w:rPr>
              <w:t>Al</w:t>
            </w:r>
            <w:r>
              <w:rPr>
                <w:rFonts w:hint="default"/>
                <w:caps w:val="0"/>
                <w:color w:val="auto"/>
                <w:spacing w:val="0"/>
                <w:position w:val="0"/>
                <w:sz w:val="24"/>
                <w:szCs w:val="32"/>
                <w:highlight w:val="none"/>
                <w:vertAlign w:val="superscript"/>
              </w:rPr>
              <w:t>3+</w:t>
            </w:r>
            <w:r>
              <w:rPr>
                <w:rFonts w:hint="default"/>
                <w:caps w:val="0"/>
                <w:color w:val="auto"/>
                <w:spacing w:val="0"/>
                <w:position w:val="0"/>
                <w:sz w:val="24"/>
                <w:szCs w:val="32"/>
                <w:highlight w:val="none"/>
              </w:rPr>
              <w:t>+3F-=Al(F)</w:t>
            </w:r>
            <w:r>
              <w:rPr>
                <w:rFonts w:hint="default"/>
                <w:caps w:val="0"/>
                <w:color w:val="auto"/>
                <w:spacing w:val="0"/>
                <w:position w:val="0"/>
                <w:sz w:val="24"/>
                <w:szCs w:val="32"/>
                <w:highlight w:val="none"/>
                <w:vertAlign w:val="subscript"/>
              </w:rPr>
              <w:t>3</w:t>
            </w:r>
            <w:r>
              <w:rPr>
                <w:rFonts w:hint="default"/>
                <w:caps w:val="0"/>
                <w:color w:val="auto"/>
                <w:spacing w:val="0"/>
                <w:position w:val="0"/>
                <w:sz w:val="24"/>
                <w:szCs w:val="32"/>
                <w:highlight w:val="none"/>
              </w:rPr>
              <w:t>↓</w:t>
            </w:r>
          </w:p>
          <w:p w14:paraId="23684AD9">
            <w:pPr>
              <w:keepNext w:val="0"/>
              <w:keepLines w:val="0"/>
              <w:suppressLineNumbers w:val="0"/>
              <w:adjustRightInd w:val="0"/>
              <w:spacing w:before="0" w:beforeAutospacing="0" w:after="0" w:afterAutospacing="0" w:line="360" w:lineRule="auto"/>
              <w:ind w:left="0" w:right="0"/>
              <w:jc w:val="center"/>
              <w:rPr>
                <w:rFonts w:hint="default"/>
                <w:caps w:val="0"/>
                <w:color w:val="auto"/>
                <w:spacing w:val="0"/>
                <w:position w:val="0"/>
                <w:sz w:val="24"/>
                <w:szCs w:val="32"/>
                <w:highlight w:val="none"/>
              </w:rPr>
            </w:pPr>
            <w:r>
              <w:rPr>
                <w:rFonts w:hint="default"/>
                <w:caps w:val="0"/>
                <w:color w:val="auto"/>
                <w:spacing w:val="0"/>
                <w:position w:val="0"/>
                <w:sz w:val="24"/>
                <w:szCs w:val="32"/>
                <w:highlight w:val="none"/>
              </w:rPr>
              <w:t>Ca</w:t>
            </w:r>
            <w:r>
              <w:rPr>
                <w:rFonts w:hint="default"/>
                <w:caps w:val="0"/>
                <w:color w:val="auto"/>
                <w:spacing w:val="0"/>
                <w:position w:val="0"/>
                <w:sz w:val="24"/>
                <w:szCs w:val="18"/>
                <w:highlight w:val="none"/>
                <w:vertAlign w:val="superscript"/>
              </w:rPr>
              <w:t>2+</w:t>
            </w:r>
            <w:r>
              <w:rPr>
                <w:rFonts w:hint="default"/>
                <w:caps w:val="0"/>
                <w:color w:val="auto"/>
                <w:spacing w:val="0"/>
                <w:position w:val="0"/>
                <w:sz w:val="24"/>
                <w:szCs w:val="32"/>
                <w:highlight w:val="none"/>
              </w:rPr>
              <w:t>+F-→CaF</w:t>
            </w:r>
            <w:r>
              <w:rPr>
                <w:rFonts w:hint="default"/>
                <w:caps w:val="0"/>
                <w:color w:val="auto"/>
                <w:spacing w:val="0"/>
                <w:position w:val="0"/>
                <w:sz w:val="24"/>
                <w:szCs w:val="18"/>
                <w:highlight w:val="none"/>
                <w:vertAlign w:val="subscript"/>
              </w:rPr>
              <w:t>2</w:t>
            </w:r>
            <w:r>
              <w:rPr>
                <w:rFonts w:hint="default"/>
                <w:caps w:val="0"/>
                <w:color w:val="auto"/>
                <w:spacing w:val="0"/>
                <w:position w:val="0"/>
                <w:sz w:val="24"/>
                <w:szCs w:val="32"/>
                <w:highlight w:val="none"/>
              </w:rPr>
              <w:t>↓</w:t>
            </w:r>
          </w:p>
          <w:p w14:paraId="730C1A61">
            <w:pPr>
              <w:keepNext w:val="0"/>
              <w:keepLines w:val="0"/>
              <w:suppressLineNumbers w:val="0"/>
              <w:spacing w:before="0" w:beforeAutospacing="0" w:after="0" w:afterAutospacing="0" w:line="360" w:lineRule="auto"/>
              <w:ind w:left="12" w:right="42" w:firstLine="480"/>
              <w:rPr>
                <w:rFonts w:hint="default"/>
                <w:caps w:val="0"/>
                <w:color w:val="auto"/>
                <w:spacing w:val="0"/>
                <w:position w:val="0"/>
                <w:sz w:val="24"/>
                <w:szCs w:val="22"/>
                <w:highlight w:val="none"/>
              </w:rPr>
            </w:pPr>
            <w:r>
              <w:rPr>
                <w:rFonts w:hint="default"/>
                <w:caps w:val="0"/>
                <w:color w:val="auto"/>
                <w:spacing w:val="0"/>
                <w:position w:val="0"/>
                <w:sz w:val="24"/>
                <w:szCs w:val="22"/>
                <w:highlight w:val="none"/>
              </w:rPr>
              <w:t>本工艺流程具有以下3特点：</w:t>
            </w:r>
          </w:p>
          <w:p w14:paraId="325CFA3E">
            <w:pPr>
              <w:keepNext w:val="0"/>
              <w:keepLines w:val="0"/>
              <w:suppressLineNumbers w:val="0"/>
              <w:spacing w:before="0" w:beforeAutospacing="0" w:after="0" w:afterAutospacing="0" w:line="360" w:lineRule="auto"/>
              <w:ind w:left="12" w:right="42" w:firstLine="480"/>
              <w:rPr>
                <w:rFonts w:hint="default"/>
                <w:caps w:val="0"/>
                <w:color w:val="auto"/>
                <w:spacing w:val="0"/>
                <w:position w:val="0"/>
                <w:sz w:val="24"/>
                <w:szCs w:val="22"/>
                <w:highlight w:val="none"/>
              </w:rPr>
            </w:pPr>
            <w:r>
              <w:rPr>
                <w:rFonts w:hint="default" w:ascii="Cambria Math" w:hAnsi="Cambria Math" w:cs="Cambria Math"/>
                <w:caps w:val="0"/>
                <w:color w:val="auto"/>
                <w:spacing w:val="0"/>
                <w:position w:val="0"/>
                <w:sz w:val="24"/>
                <w:szCs w:val="22"/>
                <w:highlight w:val="none"/>
              </w:rPr>
              <w:t>①</w:t>
            </w:r>
            <w:r>
              <w:rPr>
                <w:rFonts w:hint="default"/>
                <w:caps w:val="0"/>
                <w:color w:val="auto"/>
                <w:spacing w:val="0"/>
                <w:position w:val="0"/>
                <w:sz w:val="24"/>
                <w:szCs w:val="22"/>
                <w:highlight w:val="none"/>
              </w:rPr>
              <w:t>本工艺采用预处理+综合沉淀处理，现利用氧化剂将一价铊氧化为三价铊，降低毒性，同时提高沉淀效果。</w:t>
            </w:r>
          </w:p>
          <w:p w14:paraId="232A3F5A">
            <w:pPr>
              <w:pStyle w:val="74"/>
              <w:keepNext w:val="0"/>
              <w:keepLines w:val="0"/>
              <w:suppressLineNumbers w:val="0"/>
              <w:bidi w:val="0"/>
              <w:spacing w:before="0" w:beforeAutospacing="0" w:after="0" w:afterAutospacing="0"/>
              <w:ind w:left="0" w:right="0"/>
              <w:rPr>
                <w:rFonts w:hint="default"/>
                <w:caps w:val="0"/>
                <w:color w:val="auto"/>
                <w:spacing w:val="0"/>
                <w:position w:val="0"/>
                <w:sz w:val="24"/>
                <w:szCs w:val="22"/>
                <w:highlight w:val="none"/>
              </w:rPr>
            </w:pPr>
            <w:r>
              <w:rPr>
                <w:rFonts w:hint="default" w:ascii="Cambria Math" w:hAnsi="Cambria Math" w:cs="Cambria Math"/>
                <w:caps w:val="0"/>
                <w:color w:val="auto"/>
                <w:spacing w:val="0"/>
                <w:position w:val="0"/>
                <w:sz w:val="24"/>
                <w:szCs w:val="22"/>
                <w:highlight w:val="none"/>
              </w:rPr>
              <w:t>②</w:t>
            </w:r>
            <w:r>
              <w:rPr>
                <w:rFonts w:hint="default"/>
                <w:caps w:val="0"/>
                <w:color w:val="auto"/>
                <w:spacing w:val="0"/>
                <w:position w:val="0"/>
                <w:sz w:val="24"/>
                <w:szCs w:val="22"/>
                <w:highlight w:val="none"/>
              </w:rPr>
              <w:t>利用络合药物提高三价铊的共沉率，确保出水达标。</w:t>
            </w:r>
          </w:p>
          <w:p w14:paraId="26E8BF01">
            <w:pPr>
              <w:pStyle w:val="74"/>
              <w:keepNext w:val="0"/>
              <w:keepLines w:val="0"/>
              <w:suppressLineNumbers w:val="0"/>
              <w:bidi w:val="0"/>
              <w:spacing w:before="0" w:beforeAutospacing="0" w:after="0" w:afterAutospacing="0"/>
              <w:ind w:left="0" w:right="0"/>
              <w:rPr>
                <w:rFonts w:hint="default"/>
                <w:caps w:val="0"/>
                <w:color w:val="auto"/>
                <w:spacing w:val="0"/>
                <w:position w:val="0"/>
                <w:sz w:val="24"/>
                <w:szCs w:val="22"/>
                <w:highlight w:val="none"/>
                <w:lang w:val="en-US" w:eastAsia="zh-CN"/>
              </w:rPr>
            </w:pPr>
            <w:r>
              <w:rPr>
                <w:rFonts w:hint="default" w:ascii="Times New Roman" w:hAnsi="Times New Roman" w:eastAsia="宋体" w:cs="Times New Roman"/>
                <w:caps w:val="0"/>
                <w:color w:val="auto"/>
                <w:spacing w:val="0"/>
                <w:kern w:val="2"/>
                <w:position w:val="0"/>
                <w:sz w:val="24"/>
                <w:szCs w:val="24"/>
                <w:highlight w:val="none"/>
                <w:lang w:val="en-US" w:eastAsia="zh-CN" w:bidi="ar-SA"/>
              </w:rPr>
              <w:t>根据上述计算，</w:t>
            </w:r>
            <w:r>
              <w:rPr>
                <w:rFonts w:hint="eastAsia" w:cs="Times New Roman"/>
                <w:caps w:val="0"/>
                <w:color w:val="auto"/>
                <w:spacing w:val="0"/>
                <w:kern w:val="2"/>
                <w:position w:val="0"/>
                <w:sz w:val="24"/>
                <w:szCs w:val="24"/>
                <w:highlight w:val="none"/>
                <w:lang w:val="en-US" w:eastAsia="zh-CN" w:bidi="ar-SA"/>
              </w:rPr>
              <w:t>洗车</w:t>
            </w:r>
            <w:r>
              <w:rPr>
                <w:rFonts w:hint="default" w:ascii="Times New Roman" w:hAnsi="Times New Roman" w:eastAsia="宋体" w:cs="Times New Roman"/>
                <w:caps w:val="0"/>
                <w:color w:val="auto"/>
                <w:spacing w:val="0"/>
                <w:kern w:val="2"/>
                <w:position w:val="0"/>
                <w:sz w:val="24"/>
                <w:szCs w:val="24"/>
                <w:highlight w:val="none"/>
                <w:lang w:val="en-US" w:eastAsia="zh-CN" w:bidi="ar-SA"/>
              </w:rPr>
              <w:t>回用水</w:t>
            </w:r>
            <w:r>
              <w:rPr>
                <w:rFonts w:hint="eastAsia" w:cs="Times New Roman"/>
                <w:caps w:val="0"/>
                <w:color w:val="auto"/>
                <w:spacing w:val="0"/>
                <w:kern w:val="2"/>
                <w:position w:val="0"/>
                <w:sz w:val="24"/>
                <w:szCs w:val="24"/>
                <w:highlight w:val="none"/>
                <w:lang w:val="en-US" w:eastAsia="zh-CN" w:bidi="ar-SA"/>
              </w:rPr>
              <w:t>、</w:t>
            </w:r>
            <w:r>
              <w:rPr>
                <w:rFonts w:hint="default" w:ascii="Times New Roman" w:hAnsi="Times New Roman" w:eastAsia="宋体" w:cs="Times New Roman"/>
                <w:caps w:val="0"/>
                <w:color w:val="auto"/>
                <w:spacing w:val="0"/>
                <w:kern w:val="2"/>
                <w:position w:val="0"/>
                <w:sz w:val="24"/>
                <w:szCs w:val="24"/>
                <w:highlight w:val="none"/>
                <w:lang w:val="en-US" w:eastAsia="zh-CN" w:bidi="ar-SA"/>
              </w:rPr>
              <w:t>设备清洗回用水</w:t>
            </w:r>
            <w:r>
              <w:rPr>
                <w:rFonts w:hint="eastAsia" w:cs="Times New Roman"/>
                <w:caps w:val="0"/>
                <w:color w:val="auto"/>
                <w:spacing w:val="0"/>
                <w:kern w:val="2"/>
                <w:position w:val="0"/>
                <w:sz w:val="24"/>
                <w:szCs w:val="24"/>
                <w:highlight w:val="none"/>
                <w:lang w:val="en-US" w:eastAsia="zh-CN" w:bidi="ar-SA"/>
              </w:rPr>
              <w:t>和养护回用水</w:t>
            </w:r>
            <w:r>
              <w:rPr>
                <w:rFonts w:hint="default" w:ascii="Times New Roman" w:hAnsi="Times New Roman" w:eastAsia="宋体" w:cs="Times New Roman"/>
                <w:caps w:val="0"/>
                <w:color w:val="auto"/>
                <w:spacing w:val="0"/>
                <w:kern w:val="2"/>
                <w:position w:val="0"/>
                <w:sz w:val="24"/>
                <w:szCs w:val="24"/>
                <w:highlight w:val="none"/>
                <w:lang w:val="en-US" w:eastAsia="zh-CN" w:bidi="ar-SA"/>
              </w:rPr>
              <w:t>可满足</w:t>
            </w:r>
            <w:r>
              <w:rPr>
                <w:rFonts w:hint="default" w:ascii="Times New Roman" w:hAnsi="Times New Roman" w:eastAsia="宋体" w:cs="Times New Roman"/>
                <w:caps w:val="0"/>
                <w:color w:val="auto"/>
                <w:spacing w:val="0"/>
                <w:position w:val="0"/>
                <w:sz w:val="24"/>
                <w:highlight w:val="none"/>
              </w:rPr>
              <w:t>《城市污水再生利用工业用水水质》（GB/T19923-2024）、</w:t>
            </w:r>
            <w:r>
              <w:rPr>
                <w:rFonts w:hint="eastAsia"/>
                <w:caps w:val="0"/>
                <w:color w:val="auto"/>
                <w:spacing w:val="0"/>
                <w:position w:val="0"/>
                <w:highlight w:val="none"/>
                <w:lang w:eastAsia="zh-CN"/>
              </w:rPr>
              <w:t>《无机化学工业污染物排放标准》（GB31573-2015）修改单</w:t>
            </w:r>
            <w:r>
              <w:rPr>
                <w:rFonts w:hint="eastAsia"/>
                <w:caps w:val="0"/>
                <w:color w:val="auto"/>
                <w:spacing w:val="0"/>
                <w:position w:val="0"/>
                <w:highlight w:val="none"/>
              </w:rPr>
              <w:t>和《工业废水铊污染物排放标准》（DB36/1149-2019）标准</w:t>
            </w:r>
            <w:r>
              <w:rPr>
                <w:rFonts w:hint="default" w:ascii="Times New Roman" w:hAnsi="Times New Roman" w:eastAsia="宋体" w:cs="Times New Roman"/>
                <w:caps w:val="0"/>
                <w:color w:val="auto"/>
                <w:spacing w:val="0"/>
                <w:position w:val="0"/>
                <w:sz w:val="24"/>
                <w:highlight w:val="none"/>
                <w:lang w:eastAsia="zh-CN"/>
              </w:rPr>
              <w:t>。</w:t>
            </w:r>
            <w:r>
              <w:rPr>
                <w:rFonts w:hint="default" w:ascii="Times New Roman" w:hAnsi="Times New Roman" w:eastAsia="宋体" w:cs="Times New Roman"/>
                <w:caps w:val="0"/>
                <w:color w:val="auto"/>
                <w:spacing w:val="0"/>
                <w:kern w:val="2"/>
                <w:position w:val="0"/>
                <w:sz w:val="24"/>
                <w:szCs w:val="24"/>
                <w:highlight w:val="none"/>
                <w:lang w:val="en-US" w:eastAsia="zh-CN" w:bidi="ar-SA"/>
              </w:rPr>
              <w:t>因此，</w:t>
            </w:r>
            <w:r>
              <w:rPr>
                <w:rFonts w:hint="eastAsia"/>
                <w:caps w:val="0"/>
                <w:color w:val="auto"/>
                <w:spacing w:val="0"/>
                <w:position w:val="0"/>
                <w:highlight w:val="none"/>
                <w:lang w:val="en-US" w:eastAsia="zh-CN"/>
              </w:rPr>
              <w:t>洗车废水、设备清洗废水和养护废水</w:t>
            </w:r>
            <w:r>
              <w:rPr>
                <w:rFonts w:hint="default" w:ascii="Times New Roman" w:hAnsi="Times New Roman" w:eastAsia="宋体" w:cs="Times New Roman"/>
                <w:caps w:val="0"/>
                <w:color w:val="auto"/>
                <w:spacing w:val="0"/>
                <w:kern w:val="2"/>
                <w:position w:val="0"/>
                <w:sz w:val="24"/>
                <w:szCs w:val="24"/>
                <w:highlight w:val="none"/>
                <w:lang w:val="en-US" w:eastAsia="zh-CN" w:bidi="ar-SA"/>
              </w:rPr>
              <w:t>经沉淀</w:t>
            </w:r>
            <w:r>
              <w:rPr>
                <w:rFonts w:hint="eastAsia" w:cs="Times New Roman"/>
                <w:caps w:val="0"/>
                <w:color w:val="auto"/>
                <w:spacing w:val="0"/>
                <w:kern w:val="2"/>
                <w:position w:val="0"/>
                <w:sz w:val="24"/>
                <w:szCs w:val="24"/>
                <w:highlight w:val="none"/>
                <w:lang w:val="en-US" w:eastAsia="zh-CN" w:bidi="ar-SA"/>
              </w:rPr>
              <w:t>池处理</w:t>
            </w:r>
            <w:r>
              <w:rPr>
                <w:rFonts w:hint="default" w:ascii="Times New Roman" w:hAnsi="Times New Roman" w:eastAsia="宋体" w:cs="Times New Roman"/>
                <w:caps w:val="0"/>
                <w:color w:val="auto"/>
                <w:spacing w:val="0"/>
                <w:kern w:val="2"/>
                <w:position w:val="0"/>
                <w:sz w:val="24"/>
                <w:szCs w:val="24"/>
                <w:highlight w:val="none"/>
                <w:lang w:val="en-US" w:eastAsia="zh-CN" w:bidi="ar-SA"/>
              </w:rPr>
              <w:t>后回用是可行的。</w:t>
            </w:r>
          </w:p>
          <w:p w14:paraId="2E3C624B">
            <w:pPr>
              <w:pStyle w:val="74"/>
              <w:keepNext w:val="0"/>
              <w:keepLines w:val="0"/>
              <w:suppressLineNumbers w:val="0"/>
              <w:bidi w:val="0"/>
              <w:spacing w:before="0" w:beforeAutospacing="0" w:after="0" w:afterAutospacing="0"/>
              <w:ind w:left="0" w:right="0"/>
              <w:rPr>
                <w:rFonts w:hint="eastAsia" w:ascii="Times New Roman" w:hAnsi="Times New Roman" w:cs="Times New Roman"/>
                <w:caps w:val="0"/>
                <w:color w:val="auto"/>
                <w:spacing w:val="0"/>
                <w:kern w:val="2"/>
                <w:position w:val="0"/>
                <w:sz w:val="24"/>
                <w:szCs w:val="24"/>
                <w:highlight w:val="none"/>
                <w:lang w:val="en-US" w:eastAsia="zh-CN" w:bidi="ar-SA"/>
              </w:rPr>
            </w:pPr>
            <w:r>
              <w:rPr>
                <w:rFonts w:hint="eastAsia"/>
                <w:caps w:val="0"/>
                <w:color w:val="auto"/>
                <w:spacing w:val="0"/>
                <w:position w:val="0"/>
                <w:highlight w:val="none"/>
                <w:lang w:val="en-US" w:eastAsia="zh-CN"/>
              </w:rPr>
              <w:t>（5）</w:t>
            </w:r>
            <w:r>
              <w:rPr>
                <w:rFonts w:hint="eastAsia" w:cs="Times New Roman"/>
                <w:caps w:val="0"/>
                <w:color w:val="auto"/>
                <w:spacing w:val="0"/>
                <w:kern w:val="2"/>
                <w:position w:val="0"/>
                <w:sz w:val="24"/>
                <w:szCs w:val="24"/>
                <w:highlight w:val="none"/>
                <w:lang w:val="en-US" w:eastAsia="zh-CN" w:bidi="ar-SA"/>
              </w:rPr>
              <w:t>初期</w:t>
            </w:r>
            <w:r>
              <w:rPr>
                <w:rFonts w:hint="eastAsia" w:ascii="Times New Roman" w:hAnsi="Times New Roman" w:cs="Times New Roman"/>
                <w:caps w:val="0"/>
                <w:color w:val="auto"/>
                <w:spacing w:val="0"/>
                <w:kern w:val="2"/>
                <w:position w:val="0"/>
                <w:sz w:val="24"/>
                <w:szCs w:val="24"/>
                <w:highlight w:val="none"/>
                <w:lang w:val="en-US" w:eastAsia="zh-CN" w:bidi="ar-SA"/>
              </w:rPr>
              <w:t>雨水</w:t>
            </w:r>
          </w:p>
          <w:p w14:paraId="13B09A94">
            <w:pPr>
              <w:pStyle w:val="74"/>
              <w:keepNext w:val="0"/>
              <w:keepLines w:val="0"/>
              <w:suppressLineNumbers w:val="0"/>
              <w:bidi w:val="0"/>
              <w:spacing w:before="0" w:beforeAutospacing="0" w:after="0" w:afterAutospacing="0"/>
              <w:ind w:left="0" w:right="0"/>
              <w:rPr>
                <w:rFonts w:hint="eastAsia" w:ascii="Times New Roman" w:eastAsia="宋体"/>
                <w:caps w:val="0"/>
                <w:color w:val="auto"/>
                <w:spacing w:val="0"/>
                <w:position w:val="0"/>
                <w:highlight w:val="none"/>
                <w:lang w:val="en-US" w:eastAsia="zh-CN"/>
              </w:rPr>
            </w:pPr>
            <w:r>
              <w:rPr>
                <w:rFonts w:hint="default"/>
                <w:caps w:val="0"/>
                <w:color w:val="auto"/>
                <w:spacing w:val="0"/>
                <w:position w:val="0"/>
                <w:sz w:val="24"/>
                <w:szCs w:val="24"/>
                <w:highlight w:val="none"/>
              </w:rPr>
              <w:t>项目厂区初期雨水收</w:t>
            </w:r>
            <w:r>
              <w:rPr>
                <w:rFonts w:hint="eastAsia" w:ascii="Times New Roman" w:hAnsi="Times New Roman" w:eastAsia="宋体" w:cs="Times New Roman"/>
                <w:bCs/>
                <w:caps w:val="0"/>
                <w:color w:val="auto"/>
                <w:spacing w:val="0"/>
                <w:kern w:val="2"/>
                <w:position w:val="0"/>
                <w:sz w:val="24"/>
                <w:szCs w:val="24"/>
                <w:highlight w:val="none"/>
                <w:lang w:val="en-US" w:eastAsia="zh-CN" w:bidi="ar-SA"/>
              </w:rPr>
              <w:t>集面积约</w:t>
            </w:r>
            <w:r>
              <w:rPr>
                <w:rFonts w:hint="eastAsia" w:cs="Times New Roman"/>
                <w:bCs/>
                <w:caps w:val="0"/>
                <w:color w:val="auto"/>
                <w:spacing w:val="0"/>
                <w:kern w:val="2"/>
                <w:position w:val="0"/>
                <w:sz w:val="24"/>
                <w:szCs w:val="24"/>
                <w:highlight w:val="none"/>
                <w:lang w:val="en-US" w:eastAsia="zh-CN" w:bidi="ar-SA"/>
              </w:rPr>
              <w:t>22500</w:t>
            </w:r>
            <w:r>
              <w:rPr>
                <w:rFonts w:hint="eastAsia" w:ascii="Times New Roman" w:hAnsi="Times New Roman" w:eastAsia="宋体" w:cs="Times New Roman"/>
                <w:bCs/>
                <w:caps w:val="0"/>
                <w:color w:val="auto"/>
                <w:spacing w:val="0"/>
                <w:kern w:val="2"/>
                <w:position w:val="0"/>
                <w:sz w:val="24"/>
                <w:szCs w:val="24"/>
                <w:highlight w:val="none"/>
                <w:lang w:val="en-US" w:eastAsia="zh-CN" w:bidi="ar-SA"/>
              </w:rPr>
              <w:t>m</w:t>
            </w:r>
            <w:r>
              <w:rPr>
                <w:rFonts w:hint="eastAsia" w:ascii="Times New Roman" w:hAnsi="Times New Roman" w:eastAsia="宋体" w:cs="Times New Roman"/>
                <w:bCs/>
                <w:caps w:val="0"/>
                <w:color w:val="auto"/>
                <w:spacing w:val="0"/>
                <w:kern w:val="2"/>
                <w:position w:val="0"/>
                <w:sz w:val="24"/>
                <w:szCs w:val="24"/>
                <w:highlight w:val="none"/>
                <w:vertAlign w:val="superscript"/>
                <w:lang w:val="en-US" w:eastAsia="zh-CN" w:bidi="ar-SA"/>
              </w:rPr>
              <w:t>2</w:t>
            </w:r>
            <w:r>
              <w:rPr>
                <w:rFonts w:hint="eastAsia" w:ascii="Times New Roman" w:hAnsi="Times New Roman" w:eastAsia="宋体" w:cs="Times New Roman"/>
                <w:bCs/>
                <w:caps w:val="0"/>
                <w:color w:val="auto"/>
                <w:spacing w:val="0"/>
                <w:kern w:val="2"/>
                <w:position w:val="0"/>
                <w:sz w:val="24"/>
                <w:szCs w:val="24"/>
                <w:highlight w:val="none"/>
                <w:lang w:val="en-US" w:eastAsia="zh-CN" w:bidi="ar-SA"/>
              </w:rPr>
              <w:t>，</w:t>
            </w:r>
            <w:r>
              <w:rPr>
                <w:rFonts w:hint="default" w:ascii="Times New Roman" w:hAnsi="Times New Roman" w:eastAsia="宋体" w:cs="Times New Roman"/>
                <w:caps w:val="0"/>
                <w:color w:val="auto"/>
                <w:spacing w:val="0"/>
                <w:position w:val="0"/>
                <w:sz w:val="24"/>
                <w:highlight w:val="none"/>
              </w:rPr>
              <w:t>建设单位需对初期雨水进行收集和处理，以减少对周围地表水的不利影响</w:t>
            </w:r>
            <w:r>
              <w:rPr>
                <w:rFonts w:hint="eastAsia" w:cs="Times New Roman"/>
                <w:caps w:val="0"/>
                <w:color w:val="auto"/>
                <w:spacing w:val="0"/>
                <w:position w:val="0"/>
                <w:sz w:val="24"/>
                <w:highlight w:val="none"/>
                <w:lang w:eastAsia="zh-CN"/>
              </w:rPr>
              <w:t>，</w:t>
            </w:r>
            <w:r>
              <w:rPr>
                <w:rFonts w:hint="eastAsia"/>
                <w:caps w:val="0"/>
                <w:color w:val="auto"/>
                <w:spacing w:val="0"/>
                <w:position w:val="0"/>
                <w:highlight w:val="none"/>
                <w:lang w:val="en-US" w:eastAsia="zh-CN"/>
              </w:rPr>
              <w:t>经氧化+絮凝沉淀处理后，基础因子满足</w:t>
            </w:r>
            <w:r>
              <w:rPr>
                <w:rFonts w:hint="eastAsia" w:eastAsia="宋体"/>
                <w:caps w:val="0"/>
                <w:color w:val="auto"/>
                <w:spacing w:val="0"/>
                <w:position w:val="0"/>
                <w:highlight w:val="none"/>
                <w:lang w:eastAsia="zh-CN"/>
              </w:rPr>
              <w:t>《城市污水再生利用工业用水水质》（GB/T19923-2024）中洗涤水标准</w:t>
            </w:r>
            <w:r>
              <w:rPr>
                <w:rFonts w:hint="eastAsia" w:ascii="Times New Roman" w:hAnsi="Times New Roman" w:eastAsia="宋体" w:cs="Times New Roman"/>
                <w:caps w:val="0"/>
                <w:color w:val="auto"/>
                <w:spacing w:val="0"/>
                <w:position w:val="0"/>
                <w:sz w:val="24"/>
                <w:highlight w:val="none"/>
                <w:lang w:val="en-US" w:eastAsia="zh-CN"/>
              </w:rPr>
              <w:t>中较严值，</w:t>
            </w:r>
            <w:r>
              <w:rPr>
                <w:rFonts w:hint="eastAsia"/>
                <w:caps w:val="0"/>
                <w:color w:val="auto"/>
                <w:spacing w:val="0"/>
                <w:position w:val="0"/>
                <w:highlight w:val="none"/>
                <w:lang w:val="en-US" w:eastAsia="zh-CN"/>
              </w:rPr>
              <w:t>特征因子满足</w:t>
            </w:r>
            <w:r>
              <w:rPr>
                <w:rFonts w:hint="eastAsia"/>
                <w:caps w:val="0"/>
                <w:color w:val="auto"/>
                <w:spacing w:val="0"/>
                <w:position w:val="0"/>
                <w:highlight w:val="none"/>
                <w:lang w:eastAsia="zh-CN"/>
              </w:rPr>
              <w:t>《无机化学工业污染物排放标准》（GB31573-2015）修改单</w:t>
            </w:r>
            <w:r>
              <w:rPr>
                <w:rFonts w:hint="eastAsia"/>
                <w:caps w:val="0"/>
                <w:color w:val="auto"/>
                <w:spacing w:val="0"/>
                <w:position w:val="0"/>
                <w:highlight w:val="none"/>
              </w:rPr>
              <w:t>和《工业废水铊污染物排放标准》（DB36/1149-2019）</w:t>
            </w:r>
            <w:r>
              <w:rPr>
                <w:rFonts w:hint="default"/>
                <w:caps w:val="0"/>
                <w:color w:val="auto"/>
                <w:spacing w:val="0"/>
                <w:position w:val="0"/>
                <w:highlight w:val="none"/>
                <w:lang w:eastAsia="zh-CN"/>
              </w:rPr>
              <w:t>标准中的较严值后经厂区内管网</w:t>
            </w:r>
            <w:r>
              <w:rPr>
                <w:rFonts w:hint="eastAsia" w:eastAsia="宋体"/>
                <w:caps w:val="0"/>
                <w:color w:val="auto"/>
                <w:spacing w:val="0"/>
                <w:position w:val="0"/>
                <w:sz w:val="24"/>
                <w:szCs w:val="24"/>
                <w:highlight w:val="none"/>
              </w:rPr>
              <w:t>回用于</w:t>
            </w:r>
            <w:r>
              <w:rPr>
                <w:rFonts w:hint="eastAsia" w:eastAsia="宋体"/>
                <w:caps w:val="0"/>
                <w:color w:val="auto"/>
                <w:spacing w:val="0"/>
                <w:position w:val="0"/>
                <w:sz w:val="24"/>
                <w:szCs w:val="24"/>
                <w:highlight w:val="none"/>
                <w:lang w:val="en-US" w:eastAsia="zh-CN"/>
              </w:rPr>
              <w:t>搅拌</w:t>
            </w:r>
            <w:r>
              <w:rPr>
                <w:rFonts w:hint="eastAsia" w:eastAsia="宋体"/>
                <w:caps w:val="0"/>
                <w:color w:val="auto"/>
                <w:spacing w:val="0"/>
                <w:position w:val="0"/>
                <w:sz w:val="24"/>
                <w:szCs w:val="24"/>
                <w:highlight w:val="none"/>
              </w:rPr>
              <w:t>用水</w:t>
            </w:r>
            <w:r>
              <w:rPr>
                <w:rFonts w:hint="eastAsia" w:eastAsia="宋体"/>
                <w:caps w:val="0"/>
                <w:color w:val="auto"/>
                <w:spacing w:val="0"/>
                <w:position w:val="0"/>
                <w:sz w:val="24"/>
                <w:szCs w:val="24"/>
                <w:highlight w:val="none"/>
                <w:lang w:val="en-US" w:eastAsia="zh-CN"/>
              </w:rPr>
              <w:t>和降尘用水</w:t>
            </w:r>
            <w:r>
              <w:rPr>
                <w:rFonts w:hint="eastAsia"/>
                <w:caps w:val="0"/>
                <w:color w:val="auto"/>
                <w:spacing w:val="0"/>
                <w:position w:val="0"/>
                <w:highlight w:val="none"/>
                <w:lang w:eastAsia="zh-CN"/>
              </w:rPr>
              <w:t>。</w:t>
            </w:r>
            <w:r>
              <w:rPr>
                <w:rFonts w:hint="eastAsia" w:ascii="Times New Roman" w:hAnsi="Times New Roman" w:eastAsia="宋体" w:cs="Times New Roman"/>
                <w:bCs/>
                <w:caps w:val="0"/>
                <w:color w:val="auto"/>
                <w:spacing w:val="0"/>
                <w:kern w:val="2"/>
                <w:position w:val="0"/>
                <w:sz w:val="24"/>
                <w:szCs w:val="24"/>
                <w:highlight w:val="none"/>
                <w:lang w:val="en-US" w:eastAsia="zh-CN" w:bidi="ar-SA"/>
              </w:rPr>
              <w:t>本项目</w:t>
            </w:r>
            <w:r>
              <w:rPr>
                <w:rFonts w:hint="default"/>
                <w:caps w:val="0"/>
                <w:color w:val="auto"/>
                <w:spacing w:val="0"/>
                <w:position w:val="0"/>
                <w:highlight w:val="none"/>
              </w:rPr>
              <w:t>新建</w:t>
            </w:r>
            <w:r>
              <w:rPr>
                <w:rFonts w:hint="eastAsia"/>
                <w:caps w:val="0"/>
                <w:color w:val="auto"/>
                <w:spacing w:val="0"/>
                <w:position w:val="0"/>
                <w:highlight w:val="none"/>
                <w:lang w:val="en-US" w:eastAsia="zh-CN"/>
              </w:rPr>
              <w:t>初期雨水池一座，容积为700m</w:t>
            </w:r>
            <w:r>
              <w:rPr>
                <w:rFonts w:hint="eastAsia"/>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，位于租赁厂区西南侧，</w:t>
            </w:r>
            <w:r>
              <w:rPr>
                <w:rFonts w:hint="eastAsia" w:ascii="Times New Roman" w:hAnsi="Times New Roman" w:eastAsia="宋体" w:cs="Times New Roman"/>
                <w:caps w:val="0"/>
                <w:color w:val="auto"/>
                <w:spacing w:val="0"/>
                <w:position w:val="0"/>
                <w:sz w:val="24"/>
                <w:highlight w:val="none"/>
                <w:lang w:val="en-US" w:eastAsia="zh-CN"/>
              </w:rPr>
              <w:t>本项目初期雨水的收集量为</w:t>
            </w:r>
            <w:r>
              <w:rPr>
                <w:rFonts w:hint="eastAsia" w:eastAsia="宋体"/>
                <w:caps w:val="0"/>
                <w:color w:val="auto"/>
                <w:spacing w:val="0"/>
                <w:position w:val="0"/>
                <w:sz w:val="24"/>
                <w:szCs w:val="24"/>
                <w:highlight w:val="none"/>
              </w:rPr>
              <w:t>337.5</w:t>
            </w:r>
            <w:r>
              <w:rPr>
                <w:rFonts w:hint="eastAsia" w:ascii="Times New Roman" w:hAnsi="Times New Roman" w:eastAsia="宋体" w:cs="Times New Roman"/>
                <w:bCs/>
                <w:caps w:val="0"/>
                <w:color w:val="auto"/>
                <w:spacing w:val="0"/>
                <w:kern w:val="2"/>
                <w:position w:val="0"/>
                <w:sz w:val="24"/>
                <w:szCs w:val="24"/>
                <w:highlight w:val="none"/>
                <w:lang w:val="en-US" w:eastAsia="zh-CN" w:bidi="ar-SA"/>
              </w:rPr>
              <w:t>m</w:t>
            </w:r>
            <w:r>
              <w:rPr>
                <w:rFonts w:hint="eastAsia" w:ascii="Times New Roman" w:hAnsi="Times New Roman" w:eastAsia="宋体" w:cs="Times New Roman"/>
                <w:bCs/>
                <w:caps w:val="0"/>
                <w:color w:val="auto"/>
                <w:spacing w:val="0"/>
                <w:kern w:val="2"/>
                <w:position w:val="0"/>
                <w:sz w:val="24"/>
                <w:szCs w:val="24"/>
                <w:highlight w:val="none"/>
                <w:vertAlign w:val="superscript"/>
                <w:lang w:val="en-US" w:eastAsia="zh-CN" w:bidi="ar-SA"/>
              </w:rPr>
              <w:t>3</w:t>
            </w:r>
            <w:r>
              <w:rPr>
                <w:rFonts w:hint="eastAsia" w:ascii="Times New Roman" w:hAnsi="Times New Roman" w:eastAsia="宋体" w:cs="Times New Roman"/>
                <w:bCs/>
                <w:caps w:val="0"/>
                <w:color w:val="auto"/>
                <w:spacing w:val="0"/>
                <w:kern w:val="2"/>
                <w:position w:val="0"/>
                <w:sz w:val="24"/>
                <w:szCs w:val="24"/>
                <w:highlight w:val="none"/>
                <w:lang w:val="en-US" w:eastAsia="zh-CN" w:bidi="ar-SA"/>
              </w:rPr>
              <w:t>/</w:t>
            </w:r>
            <w:r>
              <w:rPr>
                <w:rFonts w:hint="eastAsia" w:cs="Times New Roman"/>
                <w:bCs/>
                <w:caps w:val="0"/>
                <w:color w:val="auto"/>
                <w:spacing w:val="0"/>
                <w:kern w:val="2"/>
                <w:position w:val="0"/>
                <w:sz w:val="24"/>
                <w:szCs w:val="24"/>
                <w:highlight w:val="none"/>
                <w:lang w:val="en-US" w:eastAsia="zh-CN" w:bidi="ar-SA"/>
              </w:rPr>
              <w:t>次，</w:t>
            </w:r>
            <w:r>
              <w:rPr>
                <w:rFonts w:hint="eastAsia"/>
                <w:caps w:val="0"/>
                <w:color w:val="auto"/>
                <w:spacing w:val="0"/>
                <w:position w:val="0"/>
                <w:highlight w:val="none"/>
                <w:lang w:val="en-US" w:eastAsia="zh-CN"/>
              </w:rPr>
              <w:t>因此初期雨水池容积可行</w:t>
            </w:r>
            <w:r>
              <w:rPr>
                <w:rFonts w:hint="eastAsia" w:ascii="Times New Roman" w:eastAsia="宋体"/>
                <w:caps w:val="0"/>
                <w:color w:val="auto"/>
                <w:spacing w:val="0"/>
                <w:position w:val="0"/>
                <w:highlight w:val="none"/>
                <w:lang w:val="en-US" w:eastAsia="zh-CN"/>
              </w:rPr>
              <w:t>。</w:t>
            </w:r>
          </w:p>
          <w:p w14:paraId="68E94903">
            <w:pPr>
              <w:pStyle w:val="74"/>
              <w:keepNext w:val="0"/>
              <w:keepLines w:val="0"/>
              <w:suppressLineNumbers w:val="0"/>
              <w:bidi w:val="0"/>
              <w:spacing w:before="0" w:beforeAutospacing="0" w:after="0" w:afterAutospacing="0"/>
              <w:ind w:left="0" w:right="0"/>
              <w:rPr>
                <w:rFonts w:hint="default" w:ascii="Times New Roman" w:eastAsia="宋体"/>
                <w:caps w:val="0"/>
                <w:color w:val="auto"/>
                <w:spacing w:val="0"/>
                <w:position w:val="0"/>
                <w:highlight w:val="none"/>
                <w:lang w:val="en-US" w:eastAsia="zh-CN"/>
              </w:rPr>
            </w:pPr>
            <w:r>
              <w:rPr>
                <w:rFonts w:hint="default"/>
                <w:caps w:val="0"/>
                <w:color w:val="auto"/>
                <w:spacing w:val="0"/>
                <w:position w:val="0"/>
                <w:highlight w:val="none"/>
              </w:rPr>
              <w:t>初期雨水</w:t>
            </w:r>
            <w:r>
              <w:rPr>
                <w:rFonts w:hint="eastAsia"/>
                <w:caps w:val="0"/>
                <w:color w:val="auto"/>
                <w:spacing w:val="0"/>
                <w:position w:val="0"/>
                <w:highlight w:val="none"/>
                <w:lang w:val="en-US" w:eastAsia="zh-CN"/>
              </w:rPr>
              <w:t>处理与</w:t>
            </w:r>
            <w:r>
              <w:rPr>
                <w:rFonts w:hint="eastAsia" w:ascii="Times New Roman" w:eastAsia="宋体"/>
                <w:caps w:val="0"/>
                <w:color w:val="auto"/>
                <w:spacing w:val="0"/>
                <w:position w:val="0"/>
                <w:highlight w:val="none"/>
                <w:lang w:val="en-US" w:eastAsia="zh-CN"/>
              </w:rPr>
              <w:t>洗车废水、设备清洗废水和养护废水处理方式一样，</w:t>
            </w:r>
            <w:r>
              <w:rPr>
                <w:rFonts w:hint="default" w:ascii="Times New Roman" w:hAnsi="Times New Roman" w:eastAsia="宋体" w:cs="Times New Roman"/>
                <w:caps w:val="0"/>
                <w:color w:val="auto"/>
                <w:spacing w:val="0"/>
                <w:kern w:val="2"/>
                <w:position w:val="0"/>
                <w:sz w:val="24"/>
                <w:szCs w:val="24"/>
                <w:highlight w:val="none"/>
                <w:lang w:val="en-US" w:eastAsia="zh-CN" w:bidi="ar-SA"/>
              </w:rPr>
              <w:t>根据上述计算，</w:t>
            </w:r>
            <w:r>
              <w:rPr>
                <w:rFonts w:hint="eastAsia" w:ascii="Times New Roman" w:hAnsi="Times New Roman" w:eastAsia="宋体" w:cs="Times New Roman"/>
                <w:caps w:val="0"/>
                <w:color w:val="auto"/>
                <w:spacing w:val="0"/>
                <w:kern w:val="2"/>
                <w:position w:val="0"/>
                <w:sz w:val="24"/>
                <w:szCs w:val="24"/>
                <w:highlight w:val="none"/>
                <w:lang w:val="en-US" w:eastAsia="zh-CN" w:bidi="ar-SA"/>
              </w:rPr>
              <w:t>初期雨水回用水可满足</w:t>
            </w:r>
            <w:r>
              <w:rPr>
                <w:rFonts w:hint="eastAsia"/>
                <w:caps w:val="0"/>
                <w:color w:val="auto"/>
                <w:spacing w:val="0"/>
                <w:position w:val="0"/>
                <w:highlight w:val="none"/>
                <w:lang w:val="en-US" w:eastAsia="zh-CN"/>
              </w:rPr>
              <w:t>《城市污水再生利用工业用水水质》（GB/T19923-2024）、《无机化学工业污染物排放标准》（GB31573-2015）修改单和《工业废水铊污染物排放标准》（DB36/1149-2019）标准，</w:t>
            </w:r>
            <w:r>
              <w:rPr>
                <w:rFonts w:hint="default" w:ascii="Times New Roman" w:hAnsi="Times New Roman" w:eastAsia="宋体" w:cs="Times New Roman"/>
                <w:caps w:val="0"/>
                <w:color w:val="auto"/>
                <w:spacing w:val="0"/>
                <w:kern w:val="2"/>
                <w:position w:val="0"/>
                <w:sz w:val="24"/>
                <w:szCs w:val="24"/>
                <w:highlight w:val="none"/>
                <w:lang w:val="en-US" w:eastAsia="zh-CN" w:bidi="ar-SA"/>
              </w:rPr>
              <w:t>因此，</w:t>
            </w:r>
            <w:r>
              <w:rPr>
                <w:rFonts w:hint="eastAsia"/>
                <w:caps w:val="0"/>
                <w:color w:val="auto"/>
                <w:spacing w:val="0"/>
                <w:position w:val="0"/>
                <w:highlight w:val="none"/>
                <w:lang w:val="en-US" w:eastAsia="zh-CN"/>
              </w:rPr>
              <w:t>初期雨水</w:t>
            </w:r>
            <w:r>
              <w:rPr>
                <w:rFonts w:hint="default" w:ascii="Times New Roman" w:hAnsi="Times New Roman" w:eastAsia="宋体" w:cs="Times New Roman"/>
                <w:caps w:val="0"/>
                <w:color w:val="auto"/>
                <w:spacing w:val="0"/>
                <w:kern w:val="2"/>
                <w:position w:val="0"/>
                <w:sz w:val="24"/>
                <w:szCs w:val="24"/>
                <w:highlight w:val="none"/>
                <w:lang w:val="en-US" w:eastAsia="zh-CN" w:bidi="ar-SA"/>
              </w:rPr>
              <w:t>经沉</w:t>
            </w:r>
            <w:r>
              <w:rPr>
                <w:rFonts w:hint="eastAsia"/>
                <w:caps w:val="0"/>
                <w:color w:val="auto"/>
                <w:spacing w:val="0"/>
                <w:position w:val="0"/>
                <w:highlight w:val="none"/>
                <w:lang w:val="en-US" w:eastAsia="zh-CN"/>
              </w:rPr>
              <w:t>氧化+絮凝沉淀处理后</w:t>
            </w:r>
            <w:r>
              <w:rPr>
                <w:rFonts w:hint="default" w:ascii="Times New Roman" w:hAnsi="Times New Roman" w:eastAsia="宋体" w:cs="Times New Roman"/>
                <w:caps w:val="0"/>
                <w:color w:val="auto"/>
                <w:spacing w:val="0"/>
                <w:kern w:val="2"/>
                <w:position w:val="0"/>
                <w:sz w:val="24"/>
                <w:szCs w:val="24"/>
                <w:highlight w:val="none"/>
                <w:lang w:val="en-US" w:eastAsia="zh-CN" w:bidi="ar-SA"/>
              </w:rPr>
              <w:t>回用是可行的。</w:t>
            </w:r>
          </w:p>
          <w:p w14:paraId="432843DE">
            <w:pPr>
              <w:pStyle w:val="74"/>
              <w:keepNext w:val="0"/>
              <w:keepLines w:val="0"/>
              <w:suppressLineNumbers w:val="0"/>
              <w:bidi w:val="0"/>
              <w:spacing w:before="0" w:beforeAutospacing="0" w:after="0" w:afterAutospacing="0"/>
              <w:ind w:left="0" w:right="0"/>
              <w:rPr>
                <w:rFonts w:hint="default" w:ascii="Times New Roman" w:hAnsi="Times New Roman" w:eastAsia="宋体" w:cs="Times New Roman"/>
                <w:bCs/>
                <w:caps w:val="0"/>
                <w:color w:val="auto"/>
                <w:spacing w:val="0"/>
                <w:kern w:val="2"/>
                <w:position w:val="0"/>
                <w:sz w:val="24"/>
                <w:szCs w:val="24"/>
                <w:highlight w:val="none"/>
                <w:lang w:val="en-US" w:eastAsia="zh-CN" w:bidi="ar-SA"/>
              </w:rPr>
            </w:pPr>
            <w:r>
              <w:rPr>
                <w:rFonts w:hint="eastAsia"/>
                <w:caps w:val="0"/>
                <w:color w:val="auto"/>
                <w:spacing w:val="0"/>
                <w:position w:val="0"/>
                <w:highlight w:val="none"/>
              </w:rPr>
              <w:t>后期雨水</w:t>
            </w:r>
            <w:r>
              <w:rPr>
                <w:rFonts w:hint="default"/>
                <w:caps w:val="0"/>
                <w:color w:val="auto"/>
                <w:spacing w:val="0"/>
                <w:position w:val="0"/>
                <w:highlight w:val="none"/>
              </w:rPr>
              <w:t>通过现有</w:t>
            </w:r>
            <w:r>
              <w:rPr>
                <w:rFonts w:hint="eastAsia"/>
                <w:caps w:val="0"/>
                <w:color w:val="auto"/>
                <w:spacing w:val="0"/>
                <w:position w:val="0"/>
                <w:highlight w:val="none"/>
                <w:lang w:val="en-US" w:eastAsia="zh-CN"/>
              </w:rPr>
              <w:t>排水沟</w:t>
            </w:r>
            <w:r>
              <w:rPr>
                <w:rFonts w:hint="default"/>
                <w:caps w:val="0"/>
                <w:color w:val="auto"/>
                <w:spacing w:val="0"/>
                <w:position w:val="0"/>
                <w:highlight w:val="none"/>
              </w:rPr>
              <w:t>外排至</w:t>
            </w:r>
            <w:r>
              <w:rPr>
                <w:rFonts w:hint="eastAsia"/>
                <w:caps w:val="0"/>
                <w:color w:val="auto"/>
                <w:spacing w:val="0"/>
                <w:position w:val="0"/>
                <w:highlight w:val="none"/>
                <w:lang w:val="en-US" w:eastAsia="zh-CN"/>
              </w:rPr>
              <w:t>无名小河最后汇入肖</w:t>
            </w:r>
            <w:r>
              <w:rPr>
                <w:rFonts w:hint="default"/>
                <w:caps w:val="0"/>
                <w:color w:val="auto"/>
                <w:spacing w:val="0"/>
                <w:position w:val="0"/>
                <w:highlight w:val="none"/>
              </w:rPr>
              <w:t>江</w:t>
            </w:r>
            <w:r>
              <w:rPr>
                <w:rFonts w:hint="eastAsia"/>
                <w:caps w:val="0"/>
                <w:color w:val="auto"/>
                <w:spacing w:val="0"/>
                <w:position w:val="0"/>
                <w:highlight w:val="none"/>
                <w:lang w:eastAsia="zh-CN"/>
              </w:rPr>
              <w:t>，</w:t>
            </w:r>
            <w:r>
              <w:rPr>
                <w:rFonts w:hint="eastAsia"/>
                <w:caps w:val="0"/>
                <w:color w:val="auto"/>
                <w:spacing w:val="0"/>
                <w:position w:val="0"/>
                <w:sz w:val="24"/>
                <w:szCs w:val="24"/>
                <w:highlight w:val="none"/>
                <w:lang w:val="en-US" w:eastAsia="zh-CN"/>
              </w:rPr>
              <w:t>排放时自动监测铊、氟化物含量，</w:t>
            </w:r>
            <w:r>
              <w:rPr>
                <w:rFonts w:hint="eastAsia"/>
                <w:caps w:val="0"/>
                <w:color w:val="auto"/>
                <w:spacing w:val="0"/>
                <w:position w:val="0"/>
                <w:highlight w:val="none"/>
              </w:rPr>
              <w:t>铊预警限值浓度为</w:t>
            </w:r>
            <w:r>
              <w:rPr>
                <w:rFonts w:hint="eastAsia"/>
                <w:caps w:val="0"/>
                <w:color w:val="auto"/>
                <w:spacing w:val="0"/>
                <w:position w:val="0"/>
                <w:highlight w:val="none"/>
                <w:lang w:val="en-US" w:eastAsia="zh-CN"/>
              </w:rPr>
              <w:t>5</w:t>
            </w:r>
            <w:r>
              <w:rPr>
                <w:rFonts w:hint="default" w:ascii="Times New Roman" w:hAnsi="Times New Roman" w:cs="Times New Roman"/>
                <w:caps w:val="0"/>
                <w:color w:val="auto"/>
                <w:spacing w:val="0"/>
                <w:position w:val="0"/>
                <w:highlight w:val="none"/>
              </w:rPr>
              <w:t>μ</w:t>
            </w:r>
            <w:r>
              <w:rPr>
                <w:rFonts w:hint="eastAsia"/>
                <w:caps w:val="0"/>
                <w:color w:val="auto"/>
                <w:spacing w:val="0"/>
                <w:position w:val="0"/>
                <w:highlight w:val="none"/>
              </w:rPr>
              <w:t>g/L（参照</w:t>
            </w:r>
            <w:r>
              <w:rPr>
                <w:rFonts w:hint="eastAsia"/>
                <w:caps w:val="0"/>
                <w:color w:val="auto"/>
                <w:spacing w:val="0"/>
                <w:position w:val="0"/>
                <w:highlight w:val="none"/>
                <w:lang w:val="en-US" w:eastAsia="zh-CN"/>
              </w:rPr>
              <w:t>《工业废水铊污染物排放标准》（DB36/1149-2019）标准</w:t>
            </w:r>
            <w:r>
              <w:rPr>
                <w:rFonts w:hint="eastAsia"/>
                <w:caps w:val="0"/>
                <w:color w:val="auto"/>
                <w:spacing w:val="0"/>
                <w:position w:val="0"/>
                <w:highlight w:val="none"/>
              </w:rPr>
              <w:t>限值），氟化物预警限值浓度为2mg/L（参照</w:t>
            </w:r>
            <w:r>
              <w:rPr>
                <w:rFonts w:hint="eastAsia"/>
                <w:caps w:val="0"/>
                <w:color w:val="auto"/>
                <w:spacing w:val="0"/>
                <w:position w:val="0"/>
                <w:highlight w:val="none"/>
                <w:lang w:eastAsia="zh-CN"/>
              </w:rPr>
              <w:t>《无机化学工业污染物排放标准》（GB31573-2015）修改单</w:t>
            </w:r>
            <w:r>
              <w:rPr>
                <w:rFonts w:hint="eastAsia"/>
                <w:caps w:val="0"/>
                <w:color w:val="auto"/>
                <w:spacing w:val="0"/>
                <w:position w:val="0"/>
                <w:highlight w:val="none"/>
              </w:rPr>
              <w:t>的水污染物排放限值）</w:t>
            </w:r>
            <w:r>
              <w:rPr>
                <w:rFonts w:hint="eastAsia"/>
                <w:caps w:val="0"/>
                <w:color w:val="auto"/>
                <w:spacing w:val="0"/>
                <w:position w:val="0"/>
                <w:highlight w:val="none"/>
                <w:lang w:eastAsia="zh-CN"/>
              </w:rPr>
              <w:t>，</w:t>
            </w:r>
            <w:r>
              <w:rPr>
                <w:rFonts w:hint="eastAsia"/>
                <w:caps w:val="0"/>
                <w:color w:val="auto"/>
                <w:spacing w:val="0"/>
                <w:position w:val="0"/>
                <w:sz w:val="24"/>
                <w:szCs w:val="24"/>
                <w:highlight w:val="none"/>
                <w:lang w:val="en-US" w:eastAsia="zh-CN"/>
              </w:rPr>
              <w:t>超过预</w:t>
            </w:r>
            <w:r>
              <w:rPr>
                <w:rFonts w:hint="eastAsia"/>
                <w:caps w:val="0"/>
                <w:color w:val="auto"/>
                <w:spacing w:val="0"/>
                <w:position w:val="0"/>
                <w:highlight w:val="none"/>
              </w:rPr>
              <w:t>警限值浓度</w:t>
            </w:r>
            <w:r>
              <w:rPr>
                <w:rFonts w:hint="eastAsia"/>
                <w:caps w:val="0"/>
                <w:color w:val="auto"/>
                <w:spacing w:val="0"/>
                <w:position w:val="0"/>
                <w:highlight w:val="none"/>
                <w:lang w:val="en-US" w:eastAsia="zh-CN"/>
              </w:rPr>
              <w:t>后立即停止排放</w:t>
            </w:r>
            <w:r>
              <w:rPr>
                <w:rFonts w:hint="eastAsia"/>
                <w:caps w:val="0"/>
                <w:color w:val="auto"/>
                <w:spacing w:val="0"/>
                <w:position w:val="0"/>
                <w:sz w:val="24"/>
                <w:szCs w:val="24"/>
                <w:highlight w:val="none"/>
                <w:lang w:val="en-US" w:eastAsia="zh-CN"/>
              </w:rPr>
              <w:t>；本项目无废水外排，</w:t>
            </w:r>
            <w:r>
              <w:rPr>
                <w:rFonts w:hint="default"/>
                <w:caps w:val="0"/>
                <w:color w:val="auto"/>
                <w:spacing w:val="0"/>
                <w:position w:val="0"/>
                <w:highlight w:val="none"/>
              </w:rPr>
              <w:t>故不会对项目附近水</w:t>
            </w:r>
            <w:r>
              <w:rPr>
                <w:rFonts w:hint="eastAsia"/>
                <w:caps w:val="0"/>
                <w:color w:val="auto"/>
                <w:spacing w:val="0"/>
                <w:position w:val="0"/>
                <w:highlight w:val="none"/>
                <w:lang w:val="en-US" w:eastAsia="zh-CN"/>
              </w:rPr>
              <w:t>体</w:t>
            </w:r>
            <w:r>
              <w:rPr>
                <w:rFonts w:hint="default"/>
                <w:caps w:val="0"/>
                <w:color w:val="auto"/>
                <w:spacing w:val="0"/>
                <w:position w:val="0"/>
                <w:highlight w:val="none"/>
              </w:rPr>
              <w:t>带来不利影响。</w:t>
            </w:r>
          </w:p>
          <w:p w14:paraId="6642CBC0">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2.</w:t>
            </w:r>
            <w:r>
              <w:rPr>
                <w:rFonts w:hint="eastAsia"/>
                <w:b/>
                <w:bCs w:val="0"/>
                <w:caps w:val="0"/>
                <w:color w:val="auto"/>
                <w:spacing w:val="0"/>
                <w:position w:val="0"/>
                <w:highlight w:val="none"/>
                <w:lang w:val="en-US" w:eastAsia="zh-CN"/>
              </w:rPr>
              <w:t>4</w:t>
            </w:r>
            <w:r>
              <w:rPr>
                <w:rFonts w:hint="default"/>
                <w:b/>
                <w:bCs w:val="0"/>
                <w:caps w:val="0"/>
                <w:color w:val="auto"/>
                <w:spacing w:val="0"/>
                <w:position w:val="0"/>
                <w:highlight w:val="none"/>
              </w:rPr>
              <w:t>、</w:t>
            </w:r>
            <w:r>
              <w:rPr>
                <w:rFonts w:hint="eastAsia"/>
                <w:b/>
                <w:bCs w:val="0"/>
                <w:caps w:val="0"/>
                <w:color w:val="auto"/>
                <w:spacing w:val="0"/>
                <w:position w:val="0"/>
                <w:highlight w:val="none"/>
              </w:rPr>
              <w:t>废水自行</w:t>
            </w:r>
            <w:r>
              <w:rPr>
                <w:rFonts w:hint="default"/>
                <w:b/>
                <w:bCs w:val="0"/>
                <w:caps w:val="0"/>
                <w:color w:val="auto"/>
                <w:spacing w:val="0"/>
                <w:position w:val="0"/>
                <w:highlight w:val="none"/>
              </w:rPr>
              <w:t>监测计划</w:t>
            </w:r>
          </w:p>
          <w:p w14:paraId="6F6567D9">
            <w:pPr>
              <w:keepNext w:val="0"/>
              <w:keepLines w:val="0"/>
              <w:suppressLineNumbers w:val="0"/>
              <w:snapToGrid w:val="0"/>
              <w:spacing w:before="0" w:beforeAutospacing="0" w:after="0" w:afterAutospacing="0" w:line="360" w:lineRule="auto"/>
              <w:ind w:left="0" w:right="0" w:firstLine="480" w:firstLineChars="200"/>
              <w:rPr>
                <w:rFonts w:hint="default" w:ascii="Times New Roman" w:hAnsi="Times New Roman" w:eastAsia="宋体" w:cs="Times New Roman"/>
                <w:bCs/>
                <w:caps w:val="0"/>
                <w:color w:val="auto"/>
                <w:spacing w:val="0"/>
                <w:position w:val="0"/>
                <w:sz w:val="24"/>
                <w:szCs w:val="24"/>
                <w:highlight w:val="none"/>
              </w:rPr>
            </w:pPr>
            <w:r>
              <w:rPr>
                <w:rFonts w:hint="default" w:ascii="Times New Roman" w:hAnsi="Times New Roman" w:eastAsia="宋体" w:cs="Times New Roman"/>
                <w:bCs/>
                <w:caps w:val="0"/>
                <w:color w:val="auto"/>
                <w:spacing w:val="0"/>
                <w:position w:val="0"/>
                <w:sz w:val="24"/>
                <w:szCs w:val="24"/>
                <w:highlight w:val="none"/>
              </w:rPr>
              <w:t>本项目生活污水</w:t>
            </w:r>
            <w:r>
              <w:rPr>
                <w:rFonts w:hint="default" w:ascii="Times New Roman" w:hAnsi="Times New Roman" w:eastAsia="宋体" w:cs="Times New Roman"/>
                <w:caps w:val="0"/>
                <w:color w:val="auto"/>
                <w:spacing w:val="0"/>
                <w:position w:val="0"/>
                <w:sz w:val="24"/>
                <w:highlight w:val="none"/>
                <w:lang w:val="en-US" w:eastAsia="zh-CN"/>
              </w:rPr>
              <w:t>经</w:t>
            </w:r>
            <w:r>
              <w:rPr>
                <w:rFonts w:hint="eastAsia" w:ascii="Times New Roman" w:hAnsi="Times New Roman" w:eastAsia="宋体" w:cs="Times New Roman"/>
                <w:caps w:val="0"/>
                <w:color w:val="auto"/>
                <w:spacing w:val="0"/>
                <w:position w:val="0"/>
                <w:sz w:val="24"/>
                <w:highlight w:val="none"/>
                <w:lang w:val="en-US" w:eastAsia="zh-CN"/>
              </w:rPr>
              <w:t>化粪池</w:t>
            </w:r>
            <w:r>
              <w:rPr>
                <w:rFonts w:hint="default" w:ascii="Times New Roman" w:hAnsi="Times New Roman" w:eastAsia="宋体" w:cs="Times New Roman"/>
                <w:caps w:val="0"/>
                <w:color w:val="auto"/>
                <w:spacing w:val="0"/>
                <w:position w:val="0"/>
                <w:sz w:val="24"/>
                <w:highlight w:val="none"/>
                <w:lang w:val="en-US" w:eastAsia="zh-CN"/>
              </w:rPr>
              <w:t>处理后达到《农田灌溉水质标准》（GB5084-2021）表1中旱作标准后用于林地灌溉，</w:t>
            </w:r>
            <w:r>
              <w:rPr>
                <w:rFonts w:hint="default" w:ascii="Times New Roman" w:hAnsi="Times New Roman" w:eastAsia="宋体" w:cs="Times New Roman"/>
                <w:bCs/>
                <w:caps w:val="0"/>
                <w:color w:val="auto"/>
                <w:spacing w:val="0"/>
                <w:position w:val="0"/>
                <w:sz w:val="24"/>
                <w:szCs w:val="24"/>
                <w:highlight w:val="none"/>
              </w:rPr>
              <w:t>不外排至地表水体，无需</w:t>
            </w:r>
            <w:r>
              <w:rPr>
                <w:rFonts w:hint="default" w:ascii="Times New Roman" w:hAnsi="Times New Roman" w:eastAsia="宋体" w:cs="Times New Roman"/>
                <w:bCs/>
                <w:caps w:val="0"/>
                <w:color w:val="auto"/>
                <w:spacing w:val="0"/>
                <w:position w:val="0"/>
                <w:sz w:val="24"/>
                <w:szCs w:val="24"/>
                <w:highlight w:val="none"/>
                <w:lang w:val="en-US" w:eastAsia="zh-CN"/>
              </w:rPr>
              <w:t>生活污水</w:t>
            </w:r>
            <w:r>
              <w:rPr>
                <w:rFonts w:hint="default" w:ascii="Times New Roman" w:hAnsi="Times New Roman" w:eastAsia="宋体" w:cs="Times New Roman"/>
                <w:bCs/>
                <w:caps w:val="0"/>
                <w:color w:val="auto"/>
                <w:spacing w:val="0"/>
                <w:position w:val="0"/>
                <w:sz w:val="24"/>
                <w:szCs w:val="24"/>
                <w:highlight w:val="none"/>
              </w:rPr>
              <w:t>监测。主要加强环境管理，确保</w:t>
            </w:r>
            <w:r>
              <w:rPr>
                <w:rFonts w:hint="default" w:ascii="Times New Roman" w:hAnsi="Times New Roman" w:eastAsia="宋体" w:cs="Times New Roman"/>
                <w:bCs/>
                <w:caps w:val="0"/>
                <w:color w:val="auto"/>
                <w:spacing w:val="0"/>
                <w:position w:val="0"/>
                <w:sz w:val="24"/>
                <w:szCs w:val="24"/>
                <w:highlight w:val="none"/>
                <w:lang w:val="en-US" w:eastAsia="zh-CN"/>
              </w:rPr>
              <w:t>污水</w:t>
            </w:r>
            <w:r>
              <w:rPr>
                <w:rFonts w:hint="default" w:ascii="Times New Roman" w:hAnsi="Times New Roman" w:eastAsia="宋体" w:cs="Times New Roman"/>
                <w:bCs/>
                <w:caps w:val="0"/>
                <w:color w:val="auto"/>
                <w:spacing w:val="0"/>
                <w:position w:val="0"/>
                <w:sz w:val="24"/>
                <w:szCs w:val="24"/>
                <w:highlight w:val="none"/>
              </w:rPr>
              <w:t>不外排。</w:t>
            </w:r>
          </w:p>
          <w:p w14:paraId="48613474">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textAlignment w:val="auto"/>
              <w:rPr>
                <w:rFonts w:hint="default" w:ascii="Times New Roman" w:hAnsi="Times New Roman" w:eastAsia="宋体" w:cs="Times New Roman"/>
                <w:caps w:val="0"/>
                <w:color w:val="auto"/>
                <w:spacing w:val="0"/>
                <w:position w:val="0"/>
                <w:sz w:val="24"/>
                <w:szCs w:val="24"/>
                <w:highlight w:val="none"/>
                <w:lang w:val="zh-CN"/>
              </w:rPr>
            </w:pPr>
            <w:r>
              <w:rPr>
                <w:rFonts w:hint="default" w:ascii="Times New Roman" w:hAnsi="Times New Roman" w:eastAsia="宋体" w:cs="Times New Roman"/>
                <w:caps w:val="0"/>
                <w:color w:val="auto"/>
                <w:spacing w:val="0"/>
                <w:position w:val="0"/>
                <w:sz w:val="24"/>
                <w:szCs w:val="24"/>
                <w:highlight w:val="none"/>
                <w:lang w:val="zh-CN"/>
              </w:rPr>
              <w:t>本次环境监测计划参考《排污单位自行监测技术指南总则》(HJ819-2017)及</w:t>
            </w:r>
            <w:r>
              <w:rPr>
                <w:rFonts w:hint="default" w:ascii="Times New Roman" w:hAnsi="Times New Roman" w:eastAsia="宋体" w:cs="Times New Roman"/>
                <w:caps w:val="0"/>
                <w:color w:val="auto"/>
                <w:spacing w:val="0"/>
                <w:position w:val="0"/>
                <w:sz w:val="24"/>
                <w:szCs w:val="24"/>
                <w:highlight w:val="none"/>
                <w:lang w:val="en-US" w:eastAsia="zh-CN"/>
              </w:rPr>
              <w:t>参照</w:t>
            </w:r>
            <w:r>
              <w:rPr>
                <w:rFonts w:hint="default" w:ascii="Times New Roman" w:hAnsi="Times New Roman" w:eastAsia="宋体" w:cs="Times New Roman"/>
                <w:caps w:val="0"/>
                <w:color w:val="auto"/>
                <w:spacing w:val="0"/>
                <w:position w:val="0"/>
                <w:sz w:val="24"/>
                <w:szCs w:val="24"/>
                <w:highlight w:val="none"/>
                <w:lang w:val="zh-CN"/>
              </w:rPr>
              <w:t>《排污单位自行监测技术指南无机化学工业》(HJ1138-2020)等相关技术规范制定环境监测计划，</w:t>
            </w:r>
            <w:r>
              <w:rPr>
                <w:rFonts w:hint="default" w:ascii="Times New Roman" w:hAnsi="Times New Roman" w:eastAsia="宋体" w:cs="Times New Roman"/>
                <w:caps w:val="0"/>
                <w:color w:val="auto"/>
                <w:spacing w:val="0"/>
                <w:position w:val="0"/>
                <w:sz w:val="24"/>
                <w:szCs w:val="24"/>
                <w:highlight w:val="none"/>
                <w:lang w:val="en-US" w:eastAsia="zh-CN"/>
              </w:rPr>
              <w:t>参照</w:t>
            </w:r>
            <w:r>
              <w:rPr>
                <w:rFonts w:hint="default" w:ascii="Times New Roman" w:hAnsi="Times New Roman" w:eastAsia="宋体" w:cs="Times New Roman"/>
                <w:caps w:val="0"/>
                <w:color w:val="auto"/>
                <w:spacing w:val="0"/>
                <w:position w:val="0"/>
                <w:sz w:val="24"/>
                <w:szCs w:val="24"/>
                <w:highlight w:val="none"/>
                <w:lang w:val="zh-CN"/>
              </w:rPr>
              <w:t>《宜春市生态环境保护委员会办公室关于印发〈宜春市涉锂电主要行业生态环境监管标准（试行）〉的通知》（宜环委办字〔2023〕2号）</w:t>
            </w:r>
            <w:r>
              <w:rPr>
                <w:rFonts w:hint="default" w:ascii="Times New Roman" w:hAnsi="Times New Roman" w:eastAsia="宋体" w:cs="Times New Roman"/>
                <w:caps w:val="0"/>
                <w:color w:val="auto"/>
                <w:spacing w:val="0"/>
                <w:position w:val="0"/>
                <w:sz w:val="24"/>
                <w:szCs w:val="24"/>
                <w:highlight w:val="none"/>
                <w:lang w:val="en-US" w:eastAsia="zh-CN"/>
              </w:rPr>
              <w:t>各项要求，</w:t>
            </w:r>
            <w:r>
              <w:rPr>
                <w:rFonts w:hint="default" w:ascii="Times New Roman" w:hAnsi="Times New Roman" w:eastAsia="宋体" w:cs="Times New Roman"/>
                <w:caps w:val="0"/>
                <w:color w:val="auto"/>
                <w:spacing w:val="0"/>
                <w:position w:val="0"/>
                <w:sz w:val="24"/>
                <w:szCs w:val="24"/>
                <w:highlight w:val="none"/>
                <w:lang w:val="zh-CN"/>
              </w:rPr>
              <w:t>本项目环境监控计划详见下表。</w:t>
            </w:r>
          </w:p>
          <w:p w14:paraId="64E7AF80">
            <w:pPr>
              <w:keepNext w:val="0"/>
              <w:keepLines w:val="0"/>
              <w:numPr>
                <w:ilvl w:val="0"/>
                <w:numId w:val="7"/>
              </w:numPr>
              <w:suppressLineNumbers w:val="0"/>
              <w:tabs>
                <w:tab w:val="clear" w:pos="420"/>
              </w:tabs>
              <w:spacing w:before="0" w:beforeAutospacing="0" w:after="0" w:afterAutospacing="0"/>
              <w:ind w:left="425" w:leftChars="0" w:right="0" w:hanging="425" w:firstLineChars="0"/>
              <w:jc w:val="center"/>
              <w:rPr>
                <w:rFonts w:hint="default" w:ascii="Times New Roman" w:hAnsi="Times New Roman" w:eastAsia="宋体" w:cs="Times New Roman"/>
                <w:b/>
                <w:caps w:val="0"/>
                <w:color w:val="auto"/>
                <w:spacing w:val="0"/>
                <w:position w:val="0"/>
                <w:sz w:val="24"/>
                <w:szCs w:val="24"/>
                <w:highlight w:val="none"/>
              </w:rPr>
            </w:pPr>
            <w:r>
              <w:rPr>
                <w:rFonts w:hint="default" w:ascii="Times New Roman" w:hAnsi="Times New Roman" w:eastAsia="宋体" w:cs="Times New Roman"/>
                <w:b/>
                <w:caps w:val="0"/>
                <w:color w:val="auto"/>
                <w:spacing w:val="0"/>
                <w:position w:val="0"/>
                <w:sz w:val="24"/>
                <w:szCs w:val="24"/>
                <w:highlight w:val="none"/>
                <w:lang w:val="en-US" w:eastAsia="zh-CN"/>
              </w:rPr>
              <w:t>废水</w:t>
            </w:r>
            <w:r>
              <w:rPr>
                <w:rFonts w:hint="default" w:ascii="Times New Roman" w:hAnsi="Times New Roman" w:eastAsia="宋体" w:cs="Times New Roman"/>
                <w:b/>
                <w:caps w:val="0"/>
                <w:color w:val="auto"/>
                <w:spacing w:val="0"/>
                <w:position w:val="0"/>
                <w:sz w:val="24"/>
                <w:szCs w:val="24"/>
                <w:highlight w:val="none"/>
              </w:rPr>
              <w:t>污染源</w:t>
            </w:r>
            <w:r>
              <w:rPr>
                <w:rFonts w:hint="default" w:ascii="Times New Roman" w:hAnsi="Times New Roman" w:eastAsia="宋体" w:cs="Times New Roman"/>
                <w:b/>
                <w:caps w:val="0"/>
                <w:color w:val="auto"/>
                <w:spacing w:val="0"/>
                <w:position w:val="0"/>
                <w:sz w:val="24"/>
                <w:szCs w:val="24"/>
                <w:highlight w:val="none"/>
                <w:lang w:eastAsia="zh-CN"/>
              </w:rPr>
              <w:t>、</w:t>
            </w:r>
            <w:r>
              <w:rPr>
                <w:rFonts w:hint="default" w:ascii="Times New Roman" w:hAnsi="Times New Roman" w:eastAsia="宋体" w:cs="Times New Roman"/>
                <w:b/>
                <w:caps w:val="0"/>
                <w:color w:val="auto"/>
                <w:spacing w:val="0"/>
                <w:position w:val="0"/>
                <w:sz w:val="24"/>
                <w:szCs w:val="24"/>
                <w:highlight w:val="none"/>
                <w:lang w:val="en-US" w:eastAsia="zh-CN"/>
              </w:rPr>
              <w:t>回用水和雨水</w:t>
            </w:r>
            <w:r>
              <w:rPr>
                <w:rFonts w:hint="default" w:ascii="Times New Roman" w:hAnsi="Times New Roman" w:eastAsia="宋体" w:cs="Times New Roman"/>
                <w:b/>
                <w:caps w:val="0"/>
                <w:color w:val="auto"/>
                <w:spacing w:val="0"/>
                <w:position w:val="0"/>
                <w:sz w:val="24"/>
                <w:szCs w:val="24"/>
                <w:highlight w:val="none"/>
              </w:rPr>
              <w:t>监测计划</w:t>
            </w:r>
          </w:p>
          <w:tbl>
            <w:tblPr>
              <w:tblStyle w:val="93"/>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109"/>
              <w:gridCol w:w="1183"/>
              <w:gridCol w:w="1291"/>
              <w:gridCol w:w="1845"/>
              <w:gridCol w:w="1801"/>
              <w:gridCol w:w="1182"/>
            </w:tblGrid>
            <w:tr w14:paraId="64F98CE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659" w:type="pct"/>
                  <w:tcBorders>
                    <w:tl2br w:val="nil"/>
                    <w:tr2bl w:val="nil"/>
                  </w:tcBorders>
                  <w:noWrap w:val="0"/>
                  <w:vAlign w:val="center"/>
                </w:tcPr>
                <w:p w14:paraId="31F38E52">
                  <w:pPr>
                    <w:keepNext w:val="0"/>
                    <w:keepLines w:val="0"/>
                    <w:pageBreakBefore w:val="0"/>
                    <w:widowControl w:val="0"/>
                    <w:kinsoku/>
                    <w:wordWrap/>
                    <w:overflowPunct/>
                    <w:topLinePunct w:val="0"/>
                    <w:autoSpaceDE/>
                    <w:autoSpaceDN/>
                    <w:bidi w:val="0"/>
                    <w:adjustRightInd/>
                    <w:snapToGrid/>
                    <w:spacing w:line="360" w:lineRule="exact"/>
                    <w:ind w:left="0" w:right="0" w:firstLine="0" w:firstLineChars="0"/>
                    <w:jc w:val="center"/>
                    <w:textAlignment w:val="auto"/>
                    <w:rPr>
                      <w:rFonts w:hint="default" w:ascii="Times New Roman" w:hAnsi="Times New Roman" w:eastAsia="宋体" w:cs="Times New Roman"/>
                      <w:b/>
                      <w:bCs/>
                      <w:caps w:val="0"/>
                      <w:color w:val="auto"/>
                      <w:spacing w:val="0"/>
                      <w:position w:val="0"/>
                      <w:sz w:val="21"/>
                      <w:szCs w:val="21"/>
                      <w:highlight w:val="none"/>
                    </w:rPr>
                  </w:pPr>
                  <w:r>
                    <w:rPr>
                      <w:rFonts w:hint="default" w:ascii="Times New Roman" w:hAnsi="Times New Roman" w:eastAsia="宋体" w:cs="Times New Roman"/>
                      <w:b/>
                      <w:bCs/>
                      <w:caps w:val="0"/>
                      <w:color w:val="auto"/>
                      <w:spacing w:val="0"/>
                      <w:position w:val="0"/>
                      <w:sz w:val="21"/>
                      <w:szCs w:val="21"/>
                      <w:highlight w:val="none"/>
                    </w:rPr>
                    <w:t>污染源类别</w:t>
                  </w:r>
                </w:p>
              </w:tc>
              <w:tc>
                <w:tcPr>
                  <w:tcW w:w="703" w:type="pct"/>
                  <w:tcBorders>
                    <w:tl2br w:val="nil"/>
                    <w:tr2bl w:val="nil"/>
                  </w:tcBorders>
                  <w:noWrap w:val="0"/>
                  <w:vAlign w:val="center"/>
                </w:tcPr>
                <w:p w14:paraId="443A29DC">
                  <w:pPr>
                    <w:keepNext w:val="0"/>
                    <w:keepLines w:val="0"/>
                    <w:pageBreakBefore w:val="0"/>
                    <w:widowControl w:val="0"/>
                    <w:kinsoku/>
                    <w:wordWrap/>
                    <w:overflowPunct/>
                    <w:topLinePunct w:val="0"/>
                    <w:autoSpaceDE/>
                    <w:autoSpaceDN/>
                    <w:bidi w:val="0"/>
                    <w:adjustRightInd/>
                    <w:snapToGrid/>
                    <w:spacing w:line="360" w:lineRule="exact"/>
                    <w:ind w:left="0" w:right="0" w:firstLine="0" w:firstLineChars="0"/>
                    <w:jc w:val="center"/>
                    <w:textAlignment w:val="auto"/>
                    <w:rPr>
                      <w:rFonts w:hint="default" w:ascii="Times New Roman" w:hAnsi="Times New Roman" w:eastAsia="宋体" w:cs="Times New Roman"/>
                      <w:b/>
                      <w:bCs/>
                      <w:caps w:val="0"/>
                      <w:color w:val="auto"/>
                      <w:spacing w:val="0"/>
                      <w:position w:val="0"/>
                      <w:sz w:val="21"/>
                      <w:szCs w:val="21"/>
                      <w:highlight w:val="none"/>
                    </w:rPr>
                  </w:pPr>
                  <w:r>
                    <w:rPr>
                      <w:rFonts w:hint="default" w:ascii="Times New Roman" w:hAnsi="Times New Roman" w:eastAsia="宋体" w:cs="Times New Roman"/>
                      <w:b/>
                      <w:bCs/>
                      <w:caps w:val="0"/>
                      <w:color w:val="auto"/>
                      <w:spacing w:val="0"/>
                      <w:position w:val="0"/>
                      <w:sz w:val="21"/>
                      <w:szCs w:val="21"/>
                      <w:highlight w:val="none"/>
                    </w:rPr>
                    <w:t>污染源</w:t>
                  </w:r>
                </w:p>
              </w:tc>
              <w:tc>
                <w:tcPr>
                  <w:tcW w:w="767" w:type="pct"/>
                  <w:tcBorders>
                    <w:tl2br w:val="nil"/>
                    <w:tr2bl w:val="nil"/>
                  </w:tcBorders>
                  <w:noWrap w:val="0"/>
                  <w:vAlign w:val="center"/>
                </w:tcPr>
                <w:p w14:paraId="6EE9EAF0">
                  <w:pPr>
                    <w:keepNext w:val="0"/>
                    <w:keepLines w:val="0"/>
                    <w:pageBreakBefore w:val="0"/>
                    <w:widowControl w:val="0"/>
                    <w:kinsoku/>
                    <w:wordWrap/>
                    <w:overflowPunct/>
                    <w:topLinePunct w:val="0"/>
                    <w:autoSpaceDE/>
                    <w:autoSpaceDN/>
                    <w:bidi w:val="0"/>
                    <w:adjustRightInd/>
                    <w:snapToGrid/>
                    <w:spacing w:line="360" w:lineRule="exact"/>
                    <w:ind w:left="0" w:right="0" w:firstLine="0" w:firstLineChars="0"/>
                    <w:jc w:val="center"/>
                    <w:textAlignment w:val="auto"/>
                    <w:rPr>
                      <w:rFonts w:hint="default" w:ascii="Times New Roman" w:hAnsi="Times New Roman" w:eastAsia="宋体" w:cs="Times New Roman"/>
                      <w:b/>
                      <w:bCs/>
                      <w:caps w:val="0"/>
                      <w:color w:val="auto"/>
                      <w:spacing w:val="0"/>
                      <w:position w:val="0"/>
                      <w:sz w:val="21"/>
                      <w:szCs w:val="21"/>
                      <w:highlight w:val="none"/>
                    </w:rPr>
                  </w:pPr>
                  <w:r>
                    <w:rPr>
                      <w:rFonts w:hint="default" w:ascii="Times New Roman" w:hAnsi="Times New Roman" w:eastAsia="宋体" w:cs="Times New Roman"/>
                      <w:b/>
                      <w:bCs/>
                      <w:caps w:val="0"/>
                      <w:color w:val="auto"/>
                      <w:spacing w:val="0"/>
                      <w:position w:val="0"/>
                      <w:sz w:val="21"/>
                      <w:szCs w:val="21"/>
                      <w:highlight w:val="none"/>
                    </w:rPr>
                    <w:t>监测位置</w:t>
                  </w:r>
                </w:p>
              </w:tc>
              <w:tc>
                <w:tcPr>
                  <w:tcW w:w="1096" w:type="pct"/>
                  <w:tcBorders>
                    <w:tl2br w:val="nil"/>
                    <w:tr2bl w:val="nil"/>
                  </w:tcBorders>
                  <w:noWrap w:val="0"/>
                  <w:vAlign w:val="center"/>
                </w:tcPr>
                <w:p w14:paraId="48578F49">
                  <w:pPr>
                    <w:keepNext w:val="0"/>
                    <w:keepLines w:val="0"/>
                    <w:pageBreakBefore w:val="0"/>
                    <w:widowControl w:val="0"/>
                    <w:kinsoku/>
                    <w:wordWrap/>
                    <w:overflowPunct/>
                    <w:topLinePunct w:val="0"/>
                    <w:autoSpaceDE/>
                    <w:autoSpaceDN/>
                    <w:bidi w:val="0"/>
                    <w:adjustRightInd/>
                    <w:snapToGrid/>
                    <w:spacing w:line="360" w:lineRule="exact"/>
                    <w:ind w:left="0" w:right="0" w:firstLine="0" w:firstLineChars="0"/>
                    <w:jc w:val="center"/>
                    <w:textAlignment w:val="auto"/>
                    <w:rPr>
                      <w:rFonts w:hint="default" w:ascii="Times New Roman" w:hAnsi="Times New Roman" w:eastAsia="宋体" w:cs="Times New Roman"/>
                      <w:b/>
                      <w:bCs/>
                      <w:caps w:val="0"/>
                      <w:color w:val="auto"/>
                      <w:spacing w:val="0"/>
                      <w:position w:val="0"/>
                      <w:sz w:val="21"/>
                      <w:szCs w:val="21"/>
                      <w:highlight w:val="none"/>
                    </w:rPr>
                  </w:pPr>
                  <w:r>
                    <w:rPr>
                      <w:rFonts w:hint="default" w:ascii="Times New Roman" w:hAnsi="Times New Roman" w:eastAsia="宋体" w:cs="Times New Roman"/>
                      <w:b/>
                      <w:bCs/>
                      <w:caps w:val="0"/>
                      <w:color w:val="auto"/>
                      <w:spacing w:val="0"/>
                      <w:position w:val="0"/>
                      <w:sz w:val="21"/>
                      <w:szCs w:val="21"/>
                      <w:highlight w:val="none"/>
                    </w:rPr>
                    <w:t>监测项目</w:t>
                  </w:r>
                </w:p>
              </w:tc>
              <w:tc>
                <w:tcPr>
                  <w:tcW w:w="1070" w:type="pct"/>
                  <w:tcBorders>
                    <w:tl2br w:val="nil"/>
                    <w:tr2bl w:val="nil"/>
                  </w:tcBorders>
                  <w:noWrap w:val="0"/>
                  <w:vAlign w:val="center"/>
                </w:tcPr>
                <w:p w14:paraId="340FB56A">
                  <w:pPr>
                    <w:keepNext w:val="0"/>
                    <w:keepLines w:val="0"/>
                    <w:pageBreakBefore w:val="0"/>
                    <w:widowControl w:val="0"/>
                    <w:kinsoku/>
                    <w:wordWrap/>
                    <w:overflowPunct/>
                    <w:topLinePunct w:val="0"/>
                    <w:autoSpaceDE/>
                    <w:autoSpaceDN/>
                    <w:bidi w:val="0"/>
                    <w:adjustRightInd/>
                    <w:snapToGrid/>
                    <w:spacing w:line="360" w:lineRule="exact"/>
                    <w:ind w:left="0" w:right="0" w:firstLine="0" w:firstLineChars="0"/>
                    <w:jc w:val="center"/>
                    <w:textAlignment w:val="auto"/>
                    <w:rPr>
                      <w:rFonts w:hint="default" w:ascii="Times New Roman" w:hAnsi="Times New Roman" w:eastAsia="宋体" w:cs="Times New Roman"/>
                      <w:b/>
                      <w:bCs/>
                      <w:caps w:val="0"/>
                      <w:color w:val="auto"/>
                      <w:spacing w:val="0"/>
                      <w:position w:val="0"/>
                      <w:sz w:val="21"/>
                      <w:szCs w:val="21"/>
                      <w:highlight w:val="none"/>
                    </w:rPr>
                  </w:pPr>
                  <w:r>
                    <w:rPr>
                      <w:rFonts w:hint="default" w:ascii="Times New Roman" w:hAnsi="Times New Roman" w:eastAsia="宋体" w:cs="Times New Roman"/>
                      <w:b/>
                      <w:bCs/>
                      <w:caps w:val="0"/>
                      <w:color w:val="auto"/>
                      <w:spacing w:val="0"/>
                      <w:position w:val="0"/>
                      <w:sz w:val="21"/>
                      <w:szCs w:val="21"/>
                      <w:highlight w:val="none"/>
                    </w:rPr>
                    <w:t>监测周期</w:t>
                  </w:r>
                </w:p>
              </w:tc>
              <w:tc>
                <w:tcPr>
                  <w:tcW w:w="702" w:type="pct"/>
                  <w:tcBorders>
                    <w:tl2br w:val="nil"/>
                    <w:tr2bl w:val="nil"/>
                  </w:tcBorders>
                  <w:noWrap w:val="0"/>
                  <w:vAlign w:val="center"/>
                </w:tcPr>
                <w:p w14:paraId="62BF1A79">
                  <w:pPr>
                    <w:keepNext w:val="0"/>
                    <w:keepLines w:val="0"/>
                    <w:pageBreakBefore w:val="0"/>
                    <w:widowControl/>
                    <w:suppressLineNumbers w:val="0"/>
                    <w:kinsoku/>
                    <w:wordWrap/>
                    <w:overflowPunct/>
                    <w:topLinePunct w:val="0"/>
                    <w:autoSpaceDE/>
                    <w:autoSpaceDN/>
                    <w:bidi w:val="0"/>
                    <w:adjustRightInd/>
                    <w:snapToGrid/>
                    <w:spacing w:before="44" w:beforeLines="15" w:after="44" w:afterLines="15" w:line="240" w:lineRule="auto"/>
                    <w:ind w:firstLine="0" w:firstLineChars="0"/>
                    <w:jc w:val="center"/>
                    <w:textAlignment w:val="center"/>
                    <w:rPr>
                      <w:rFonts w:hint="default" w:ascii="Times New Roman" w:hAnsi="Times New Roman" w:eastAsia="宋体" w:cs="Times New Roman"/>
                      <w:b/>
                      <w:bCs/>
                      <w:i w:val="0"/>
                      <w:caps w:val="0"/>
                      <w:color w:val="auto"/>
                      <w:spacing w:val="0"/>
                      <w:kern w:val="2"/>
                      <w:position w:val="0"/>
                      <w:sz w:val="21"/>
                      <w:szCs w:val="21"/>
                      <w:highlight w:val="none"/>
                      <w:u w:val="none"/>
                      <w:lang w:val="en-US" w:eastAsia="zh-CN" w:bidi="ar-SA"/>
                    </w:rPr>
                  </w:pPr>
                  <w:r>
                    <w:rPr>
                      <w:rFonts w:hint="default" w:ascii="Times New Roman" w:hAnsi="Times New Roman" w:eastAsia="宋体" w:cs="Times New Roman"/>
                      <w:b/>
                      <w:bCs/>
                      <w:i w:val="0"/>
                      <w:caps w:val="0"/>
                      <w:color w:val="auto"/>
                      <w:spacing w:val="0"/>
                      <w:kern w:val="0"/>
                      <w:position w:val="0"/>
                      <w:sz w:val="21"/>
                      <w:szCs w:val="21"/>
                      <w:highlight w:val="none"/>
                      <w:u w:val="none"/>
                      <w:lang w:val="en-US" w:eastAsia="zh-CN" w:bidi="ar"/>
                    </w:rPr>
                    <w:t>监测单位</w:t>
                  </w:r>
                </w:p>
              </w:tc>
            </w:tr>
            <w:tr w14:paraId="23F89AD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659" w:type="pct"/>
                  <w:vMerge w:val="restart"/>
                  <w:tcBorders>
                    <w:tl2br w:val="nil"/>
                    <w:tr2bl w:val="nil"/>
                  </w:tcBorders>
                  <w:noWrap w:val="0"/>
                  <w:vAlign w:val="center"/>
                </w:tcPr>
                <w:p w14:paraId="1E2477DB">
                  <w:pPr>
                    <w:keepNext w:val="0"/>
                    <w:keepLines w:val="0"/>
                    <w:pageBreakBefore w:val="0"/>
                    <w:widowControl w:val="0"/>
                    <w:kinsoku/>
                    <w:wordWrap/>
                    <w:overflowPunct/>
                    <w:topLinePunct w:val="0"/>
                    <w:autoSpaceDE/>
                    <w:autoSpaceDN/>
                    <w:bidi w:val="0"/>
                    <w:adjustRightInd/>
                    <w:snapToGrid/>
                    <w:spacing w:line="360" w:lineRule="exact"/>
                    <w:ind w:left="0" w:right="0" w:firstLine="0" w:firstLineChars="0"/>
                    <w:jc w:val="center"/>
                    <w:textAlignment w:val="auto"/>
                    <w:rPr>
                      <w:rFonts w:hint="default" w:ascii="Times New Roman" w:hAnsi="Times New Roman" w:eastAsia="宋体" w:cs="Times New Roman"/>
                      <w:caps w:val="0"/>
                      <w:color w:val="auto"/>
                      <w:spacing w:val="0"/>
                      <w:position w:val="0"/>
                      <w:sz w:val="21"/>
                      <w:szCs w:val="21"/>
                      <w:highlight w:val="none"/>
                    </w:rPr>
                  </w:pPr>
                  <w:r>
                    <w:rPr>
                      <w:rFonts w:hint="default" w:ascii="Times New Roman" w:hAnsi="Times New Roman" w:eastAsia="宋体" w:cs="Times New Roman"/>
                      <w:caps w:val="0"/>
                      <w:color w:val="auto"/>
                      <w:spacing w:val="0"/>
                      <w:position w:val="0"/>
                      <w:sz w:val="21"/>
                      <w:szCs w:val="21"/>
                      <w:highlight w:val="none"/>
                    </w:rPr>
                    <w:t>雨水</w:t>
                  </w:r>
                </w:p>
              </w:tc>
              <w:tc>
                <w:tcPr>
                  <w:tcW w:w="703" w:type="pct"/>
                  <w:vMerge w:val="restart"/>
                  <w:tcBorders>
                    <w:tl2br w:val="nil"/>
                    <w:tr2bl w:val="nil"/>
                  </w:tcBorders>
                  <w:noWrap w:val="0"/>
                  <w:vAlign w:val="center"/>
                </w:tcPr>
                <w:p w14:paraId="6BBF036E">
                  <w:pPr>
                    <w:keepNext w:val="0"/>
                    <w:keepLines w:val="0"/>
                    <w:pageBreakBefore w:val="0"/>
                    <w:widowControl w:val="0"/>
                    <w:kinsoku/>
                    <w:wordWrap/>
                    <w:overflowPunct/>
                    <w:topLinePunct w:val="0"/>
                    <w:autoSpaceDE/>
                    <w:autoSpaceDN/>
                    <w:bidi w:val="0"/>
                    <w:adjustRightInd/>
                    <w:snapToGrid/>
                    <w:spacing w:line="360" w:lineRule="exact"/>
                    <w:ind w:left="0" w:right="0" w:firstLine="0" w:firstLineChars="0"/>
                    <w:jc w:val="center"/>
                    <w:textAlignment w:val="auto"/>
                    <w:rPr>
                      <w:rFonts w:hint="default" w:ascii="Times New Roman" w:hAnsi="Times New Roman" w:eastAsia="宋体" w:cs="Times New Roman"/>
                      <w:caps w:val="0"/>
                      <w:color w:val="auto"/>
                      <w:spacing w:val="0"/>
                      <w:position w:val="0"/>
                      <w:sz w:val="21"/>
                      <w:szCs w:val="21"/>
                      <w:highlight w:val="none"/>
                    </w:rPr>
                  </w:pPr>
                  <w:r>
                    <w:rPr>
                      <w:rFonts w:hint="default" w:ascii="Times New Roman" w:hAnsi="Times New Roman" w:eastAsia="宋体" w:cs="Times New Roman"/>
                      <w:caps w:val="0"/>
                      <w:color w:val="auto"/>
                      <w:spacing w:val="0"/>
                      <w:position w:val="0"/>
                      <w:sz w:val="21"/>
                      <w:szCs w:val="21"/>
                      <w:highlight w:val="none"/>
                      <w:lang w:val="en-US" w:eastAsia="zh-CN"/>
                    </w:rPr>
                    <w:t>后期</w:t>
                  </w:r>
                  <w:r>
                    <w:rPr>
                      <w:rFonts w:hint="default" w:ascii="Times New Roman" w:hAnsi="Times New Roman" w:eastAsia="宋体" w:cs="Times New Roman"/>
                      <w:caps w:val="0"/>
                      <w:color w:val="auto"/>
                      <w:spacing w:val="0"/>
                      <w:position w:val="0"/>
                      <w:sz w:val="21"/>
                      <w:szCs w:val="21"/>
                      <w:highlight w:val="none"/>
                    </w:rPr>
                    <w:t>雨水</w:t>
                  </w:r>
                </w:p>
              </w:tc>
              <w:tc>
                <w:tcPr>
                  <w:tcW w:w="767" w:type="pct"/>
                  <w:vMerge w:val="restart"/>
                  <w:tcBorders>
                    <w:tl2br w:val="nil"/>
                    <w:tr2bl w:val="nil"/>
                  </w:tcBorders>
                  <w:noWrap w:val="0"/>
                  <w:vAlign w:val="center"/>
                </w:tcPr>
                <w:p w14:paraId="51340F1F">
                  <w:pPr>
                    <w:keepNext w:val="0"/>
                    <w:keepLines w:val="0"/>
                    <w:pageBreakBefore w:val="0"/>
                    <w:widowControl w:val="0"/>
                    <w:kinsoku/>
                    <w:wordWrap/>
                    <w:overflowPunct/>
                    <w:topLinePunct w:val="0"/>
                    <w:autoSpaceDE/>
                    <w:autoSpaceDN/>
                    <w:bidi w:val="0"/>
                    <w:adjustRightInd/>
                    <w:snapToGrid/>
                    <w:spacing w:line="360" w:lineRule="exact"/>
                    <w:ind w:left="0" w:right="0" w:firstLine="0" w:firstLineChars="0"/>
                    <w:jc w:val="center"/>
                    <w:textAlignment w:val="auto"/>
                    <w:rPr>
                      <w:rFonts w:hint="default" w:ascii="Times New Roman" w:hAnsi="Times New Roman" w:eastAsia="宋体" w:cs="Times New Roman"/>
                      <w:caps w:val="0"/>
                      <w:color w:val="auto"/>
                      <w:spacing w:val="0"/>
                      <w:position w:val="0"/>
                      <w:sz w:val="21"/>
                      <w:szCs w:val="21"/>
                      <w:highlight w:val="none"/>
                    </w:rPr>
                  </w:pPr>
                  <w:r>
                    <w:rPr>
                      <w:rFonts w:hint="default" w:ascii="Times New Roman" w:hAnsi="Times New Roman" w:eastAsia="宋体" w:cs="Times New Roman"/>
                      <w:caps w:val="0"/>
                      <w:color w:val="auto"/>
                      <w:spacing w:val="0"/>
                      <w:position w:val="0"/>
                      <w:sz w:val="21"/>
                      <w:szCs w:val="21"/>
                      <w:highlight w:val="none"/>
                    </w:rPr>
                    <w:t>雨水排放口</w:t>
                  </w:r>
                </w:p>
              </w:tc>
              <w:tc>
                <w:tcPr>
                  <w:tcW w:w="1096" w:type="pct"/>
                  <w:tcBorders>
                    <w:tl2br w:val="nil"/>
                    <w:tr2bl w:val="nil"/>
                  </w:tcBorders>
                  <w:noWrap w:val="0"/>
                  <w:vAlign w:val="center"/>
                </w:tcPr>
                <w:p w14:paraId="5A4E2C02">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aps w:val="0"/>
                      <w:color w:val="auto"/>
                      <w:spacing w:val="0"/>
                      <w:position w:val="0"/>
                      <w:sz w:val="21"/>
                      <w:szCs w:val="21"/>
                      <w:highlight w:val="none"/>
                    </w:rPr>
                  </w:pPr>
                  <w:r>
                    <w:rPr>
                      <w:rFonts w:hint="default" w:ascii="Times New Roman" w:hAnsi="Times New Roman" w:eastAsia="宋体" w:cs="Times New Roman"/>
                      <w:caps w:val="0"/>
                      <w:color w:val="auto"/>
                      <w:spacing w:val="0"/>
                      <w:position w:val="0"/>
                      <w:sz w:val="21"/>
                      <w:szCs w:val="21"/>
                      <w:highlight w:val="none"/>
                      <w:lang w:eastAsia="zh-CN"/>
                    </w:rPr>
                    <w:t>氟化物</w:t>
                  </w:r>
                  <w:r>
                    <w:rPr>
                      <w:rFonts w:hint="default" w:ascii="Times New Roman" w:hAnsi="Times New Roman" w:eastAsia="宋体" w:cs="Times New Roman"/>
                      <w:caps w:val="0"/>
                      <w:color w:val="auto"/>
                      <w:spacing w:val="0"/>
                      <w:position w:val="0"/>
                      <w:sz w:val="21"/>
                      <w:szCs w:val="21"/>
                      <w:highlight w:val="none"/>
                    </w:rPr>
                    <w:t>、</w:t>
                  </w:r>
                  <w:r>
                    <w:rPr>
                      <w:rFonts w:hint="default" w:ascii="Times New Roman" w:hAnsi="Times New Roman" w:eastAsia="宋体" w:cs="Times New Roman"/>
                      <w:caps w:val="0"/>
                      <w:color w:val="auto"/>
                      <w:spacing w:val="0"/>
                      <w:position w:val="0"/>
                      <w:sz w:val="21"/>
                      <w:szCs w:val="21"/>
                      <w:highlight w:val="none"/>
                      <w:lang w:eastAsia="zh-CN"/>
                    </w:rPr>
                    <w:t>铊</w:t>
                  </w:r>
                </w:p>
              </w:tc>
              <w:tc>
                <w:tcPr>
                  <w:tcW w:w="1070" w:type="pct"/>
                  <w:tcBorders>
                    <w:tl2br w:val="nil"/>
                    <w:tr2bl w:val="nil"/>
                  </w:tcBorders>
                  <w:noWrap w:val="0"/>
                  <w:vAlign w:val="center"/>
                </w:tcPr>
                <w:p w14:paraId="662A95DD">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aps w:val="0"/>
                      <w:color w:val="auto"/>
                      <w:spacing w:val="0"/>
                      <w:position w:val="0"/>
                      <w:sz w:val="21"/>
                      <w:szCs w:val="21"/>
                      <w:highlight w:val="none"/>
                      <w:lang w:val="en-US" w:eastAsia="zh-CN"/>
                    </w:rPr>
                  </w:pPr>
                  <w:r>
                    <w:rPr>
                      <w:rFonts w:hint="default" w:ascii="Times New Roman" w:hAnsi="Times New Roman" w:eastAsia="宋体" w:cs="Times New Roman"/>
                      <w:i w:val="0"/>
                      <w:caps w:val="0"/>
                      <w:color w:val="auto"/>
                      <w:spacing w:val="0"/>
                      <w:position w:val="0"/>
                      <w:sz w:val="21"/>
                      <w:szCs w:val="21"/>
                      <w:highlight w:val="none"/>
                      <w:u w:val="none"/>
                      <w:lang w:val="en-US" w:eastAsia="zh-CN"/>
                    </w:rPr>
                    <w:t>自动监测</w:t>
                  </w:r>
                </w:p>
              </w:tc>
              <w:tc>
                <w:tcPr>
                  <w:tcW w:w="702" w:type="pct"/>
                  <w:vMerge w:val="restart"/>
                  <w:tcBorders>
                    <w:tl2br w:val="nil"/>
                    <w:tr2bl w:val="nil"/>
                  </w:tcBorders>
                  <w:noWrap w:val="0"/>
                  <w:vAlign w:val="center"/>
                </w:tcPr>
                <w:p w14:paraId="4A0EBA64">
                  <w:pPr>
                    <w:spacing w:line="240" w:lineRule="auto"/>
                    <w:ind w:firstLine="0" w:firstLineChars="0"/>
                    <w:jc w:val="center"/>
                    <w:rPr>
                      <w:rFonts w:hint="default" w:ascii="Times New Roman" w:hAnsi="Times New Roman" w:eastAsia="宋体" w:cs="Times New Roman"/>
                      <w:caps w:val="0"/>
                      <w:smallCaps w:val="0"/>
                      <w:color w:val="auto"/>
                      <w:spacing w:val="0"/>
                      <w:position w:val="0"/>
                      <w:sz w:val="21"/>
                      <w:highlight w:val="none"/>
                    </w:rPr>
                  </w:pPr>
                  <w:r>
                    <w:rPr>
                      <w:rFonts w:hint="default" w:ascii="Times New Roman" w:hAnsi="Times New Roman" w:eastAsia="宋体" w:cs="Times New Roman"/>
                      <w:i w:val="0"/>
                      <w:caps w:val="0"/>
                      <w:color w:val="auto"/>
                      <w:spacing w:val="0"/>
                      <w:kern w:val="0"/>
                      <w:position w:val="0"/>
                      <w:sz w:val="21"/>
                      <w:szCs w:val="21"/>
                      <w:highlight w:val="none"/>
                      <w:u w:val="none"/>
                      <w:lang w:val="en-US" w:eastAsia="zh-CN" w:bidi="ar"/>
                    </w:rPr>
                    <w:t>企业自行监测或委托监测单位监测</w:t>
                  </w:r>
                </w:p>
              </w:tc>
            </w:tr>
            <w:tr w14:paraId="2A673CB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659" w:type="pct"/>
                  <w:vMerge w:val="continue"/>
                  <w:tcBorders>
                    <w:tl2br w:val="nil"/>
                    <w:tr2bl w:val="nil"/>
                  </w:tcBorders>
                  <w:noWrap w:val="0"/>
                  <w:vAlign w:val="center"/>
                </w:tcPr>
                <w:p w14:paraId="547A78A9">
                  <w:pPr>
                    <w:keepNext w:val="0"/>
                    <w:keepLines w:val="0"/>
                    <w:pageBreakBefore w:val="0"/>
                    <w:widowControl w:val="0"/>
                    <w:kinsoku/>
                    <w:wordWrap/>
                    <w:overflowPunct/>
                    <w:topLinePunct w:val="0"/>
                    <w:autoSpaceDE/>
                    <w:autoSpaceDN/>
                    <w:bidi w:val="0"/>
                    <w:adjustRightInd/>
                    <w:snapToGrid/>
                    <w:spacing w:line="360" w:lineRule="exact"/>
                    <w:ind w:left="0" w:right="0" w:firstLine="0" w:firstLineChars="0"/>
                    <w:jc w:val="center"/>
                    <w:textAlignment w:val="auto"/>
                    <w:rPr>
                      <w:rFonts w:hint="default" w:ascii="Times New Roman" w:hAnsi="Times New Roman" w:eastAsia="宋体" w:cs="Times New Roman"/>
                      <w:caps w:val="0"/>
                      <w:color w:val="auto"/>
                      <w:spacing w:val="0"/>
                      <w:position w:val="0"/>
                      <w:sz w:val="21"/>
                      <w:szCs w:val="21"/>
                      <w:highlight w:val="none"/>
                    </w:rPr>
                  </w:pPr>
                </w:p>
              </w:tc>
              <w:tc>
                <w:tcPr>
                  <w:tcW w:w="703" w:type="pct"/>
                  <w:vMerge w:val="continue"/>
                  <w:tcBorders>
                    <w:tl2br w:val="nil"/>
                    <w:tr2bl w:val="nil"/>
                  </w:tcBorders>
                  <w:noWrap w:val="0"/>
                  <w:vAlign w:val="center"/>
                </w:tcPr>
                <w:p w14:paraId="00F46F25">
                  <w:pPr>
                    <w:keepNext w:val="0"/>
                    <w:keepLines w:val="0"/>
                    <w:pageBreakBefore w:val="0"/>
                    <w:widowControl w:val="0"/>
                    <w:kinsoku/>
                    <w:wordWrap/>
                    <w:overflowPunct/>
                    <w:topLinePunct w:val="0"/>
                    <w:autoSpaceDE/>
                    <w:autoSpaceDN/>
                    <w:bidi w:val="0"/>
                    <w:adjustRightInd/>
                    <w:snapToGrid/>
                    <w:spacing w:line="360" w:lineRule="exact"/>
                    <w:ind w:left="0" w:right="0" w:firstLine="0" w:firstLineChars="0"/>
                    <w:jc w:val="center"/>
                    <w:textAlignment w:val="auto"/>
                    <w:rPr>
                      <w:rFonts w:hint="default" w:ascii="Times New Roman" w:hAnsi="Times New Roman" w:eastAsia="宋体" w:cs="Times New Roman"/>
                      <w:caps w:val="0"/>
                      <w:color w:val="auto"/>
                      <w:spacing w:val="0"/>
                      <w:position w:val="0"/>
                      <w:sz w:val="21"/>
                      <w:szCs w:val="21"/>
                      <w:highlight w:val="none"/>
                    </w:rPr>
                  </w:pPr>
                </w:p>
              </w:tc>
              <w:tc>
                <w:tcPr>
                  <w:tcW w:w="767" w:type="pct"/>
                  <w:vMerge w:val="continue"/>
                  <w:tcBorders>
                    <w:tl2br w:val="nil"/>
                    <w:tr2bl w:val="nil"/>
                  </w:tcBorders>
                  <w:noWrap w:val="0"/>
                  <w:vAlign w:val="center"/>
                </w:tcPr>
                <w:p w14:paraId="56287494">
                  <w:pPr>
                    <w:keepNext w:val="0"/>
                    <w:keepLines w:val="0"/>
                    <w:pageBreakBefore w:val="0"/>
                    <w:widowControl w:val="0"/>
                    <w:kinsoku/>
                    <w:wordWrap/>
                    <w:overflowPunct/>
                    <w:topLinePunct w:val="0"/>
                    <w:autoSpaceDE/>
                    <w:autoSpaceDN/>
                    <w:bidi w:val="0"/>
                    <w:adjustRightInd/>
                    <w:snapToGrid/>
                    <w:spacing w:line="360" w:lineRule="exact"/>
                    <w:ind w:left="0" w:right="0" w:firstLine="0" w:firstLineChars="0"/>
                    <w:jc w:val="center"/>
                    <w:textAlignment w:val="auto"/>
                    <w:rPr>
                      <w:rFonts w:hint="default" w:ascii="Times New Roman" w:hAnsi="Times New Roman" w:eastAsia="宋体" w:cs="Times New Roman"/>
                      <w:caps w:val="0"/>
                      <w:color w:val="auto"/>
                      <w:spacing w:val="0"/>
                      <w:position w:val="0"/>
                      <w:sz w:val="21"/>
                      <w:szCs w:val="21"/>
                      <w:highlight w:val="none"/>
                    </w:rPr>
                  </w:pPr>
                </w:p>
              </w:tc>
              <w:tc>
                <w:tcPr>
                  <w:tcW w:w="1096" w:type="pct"/>
                  <w:tcBorders>
                    <w:tl2br w:val="nil"/>
                    <w:tr2bl w:val="nil"/>
                  </w:tcBorders>
                  <w:noWrap w:val="0"/>
                  <w:vAlign w:val="center"/>
                </w:tcPr>
                <w:p w14:paraId="4AF5D5E1">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aps w:val="0"/>
                      <w:color w:val="auto"/>
                      <w:spacing w:val="0"/>
                      <w:position w:val="0"/>
                      <w:sz w:val="21"/>
                      <w:szCs w:val="21"/>
                      <w:highlight w:val="none"/>
                    </w:rPr>
                  </w:pPr>
                  <w:r>
                    <w:rPr>
                      <w:rFonts w:hint="default" w:ascii="Times New Roman" w:hAnsi="Times New Roman" w:eastAsia="宋体" w:cs="Times New Roman"/>
                      <w:caps w:val="0"/>
                      <w:color w:val="auto"/>
                      <w:spacing w:val="0"/>
                      <w:position w:val="0"/>
                      <w:sz w:val="21"/>
                      <w:szCs w:val="21"/>
                      <w:highlight w:val="none"/>
                    </w:rPr>
                    <w:t>pH、COD</w:t>
                  </w:r>
                  <w:r>
                    <w:rPr>
                      <w:rFonts w:hint="default" w:ascii="Times New Roman" w:hAnsi="Times New Roman" w:eastAsia="宋体" w:cs="Times New Roman"/>
                      <w:caps w:val="0"/>
                      <w:color w:val="auto"/>
                      <w:spacing w:val="0"/>
                      <w:position w:val="0"/>
                      <w:sz w:val="21"/>
                      <w:szCs w:val="21"/>
                      <w:highlight w:val="none"/>
                      <w:vertAlign w:val="subscript"/>
                    </w:rPr>
                    <w:t>Cr</w:t>
                  </w:r>
                  <w:r>
                    <w:rPr>
                      <w:rFonts w:hint="default" w:ascii="Times New Roman" w:hAnsi="Times New Roman" w:eastAsia="宋体" w:cs="Times New Roman"/>
                      <w:caps w:val="0"/>
                      <w:color w:val="auto"/>
                      <w:spacing w:val="0"/>
                      <w:position w:val="0"/>
                      <w:sz w:val="21"/>
                      <w:szCs w:val="21"/>
                      <w:highlight w:val="none"/>
                    </w:rPr>
                    <w:t>、</w:t>
                  </w:r>
                  <w:r>
                    <w:rPr>
                      <w:rFonts w:hint="default" w:ascii="Times New Roman" w:hAnsi="Times New Roman" w:eastAsia="宋体" w:cs="Times New Roman"/>
                      <w:caps w:val="0"/>
                      <w:color w:val="auto"/>
                      <w:spacing w:val="0"/>
                      <w:position w:val="0"/>
                      <w:sz w:val="21"/>
                      <w:szCs w:val="21"/>
                      <w:highlight w:val="none"/>
                      <w:lang w:val="en-US" w:eastAsia="zh-CN"/>
                    </w:rPr>
                    <w:t>氨氮</w:t>
                  </w:r>
                </w:p>
              </w:tc>
              <w:tc>
                <w:tcPr>
                  <w:tcW w:w="1070" w:type="pct"/>
                  <w:tcBorders>
                    <w:tl2br w:val="nil"/>
                    <w:tr2bl w:val="nil"/>
                  </w:tcBorders>
                  <w:noWrap w:val="0"/>
                  <w:vAlign w:val="center"/>
                </w:tcPr>
                <w:p w14:paraId="3B7D162C">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aps w:val="0"/>
                      <w:color w:val="auto"/>
                      <w:spacing w:val="0"/>
                      <w:position w:val="0"/>
                      <w:sz w:val="21"/>
                      <w:szCs w:val="21"/>
                      <w:highlight w:val="none"/>
                      <w:lang w:val="en-US" w:eastAsia="zh-CN"/>
                    </w:rPr>
                  </w:pPr>
                  <w:r>
                    <w:rPr>
                      <w:rFonts w:hint="default" w:ascii="Times New Roman" w:hAnsi="Times New Roman" w:eastAsia="宋体" w:cs="Times New Roman"/>
                      <w:caps w:val="0"/>
                      <w:color w:val="auto"/>
                      <w:spacing w:val="0"/>
                      <w:position w:val="0"/>
                      <w:sz w:val="21"/>
                      <w:szCs w:val="21"/>
                      <w:highlight w:val="none"/>
                    </w:rPr>
                    <w:t>1次/月</w:t>
                  </w:r>
                  <w:r>
                    <w:rPr>
                      <w:rFonts w:hint="default" w:ascii="Times New Roman" w:hAnsi="Times New Roman" w:eastAsia="宋体" w:cs="Times New Roman"/>
                      <w:caps w:val="0"/>
                      <w:color w:val="auto"/>
                      <w:spacing w:val="0"/>
                      <w:position w:val="0"/>
                      <w:sz w:val="21"/>
                      <w:szCs w:val="21"/>
                      <w:highlight w:val="none"/>
                      <w:lang w:eastAsia="zh-CN"/>
                    </w:rPr>
                    <w:t>（有流动水排放时，无异常情况可放宽至每季度一次）</w:t>
                  </w:r>
                </w:p>
              </w:tc>
              <w:tc>
                <w:tcPr>
                  <w:tcW w:w="702" w:type="pct"/>
                  <w:vMerge w:val="continue"/>
                  <w:tcBorders>
                    <w:tl2br w:val="nil"/>
                    <w:tr2bl w:val="nil"/>
                  </w:tcBorders>
                  <w:noWrap w:val="0"/>
                  <w:vAlign w:val="center"/>
                </w:tcPr>
                <w:p w14:paraId="425F432E">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aps w:val="0"/>
                      <w:color w:val="auto"/>
                      <w:spacing w:val="0"/>
                      <w:position w:val="0"/>
                      <w:sz w:val="21"/>
                      <w:szCs w:val="21"/>
                      <w:highlight w:val="none"/>
                    </w:rPr>
                  </w:pPr>
                </w:p>
              </w:tc>
            </w:tr>
            <w:tr w14:paraId="63830A0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659" w:type="pct"/>
                  <w:vMerge w:val="continue"/>
                  <w:tcBorders>
                    <w:tl2br w:val="nil"/>
                    <w:tr2bl w:val="nil"/>
                  </w:tcBorders>
                  <w:noWrap w:val="0"/>
                  <w:vAlign w:val="center"/>
                </w:tcPr>
                <w:p w14:paraId="46F13BD1">
                  <w:pPr>
                    <w:keepNext w:val="0"/>
                    <w:keepLines w:val="0"/>
                    <w:pageBreakBefore w:val="0"/>
                    <w:widowControl w:val="0"/>
                    <w:kinsoku/>
                    <w:wordWrap/>
                    <w:overflowPunct/>
                    <w:topLinePunct w:val="0"/>
                    <w:autoSpaceDE/>
                    <w:autoSpaceDN/>
                    <w:bidi w:val="0"/>
                    <w:adjustRightInd/>
                    <w:snapToGrid/>
                    <w:spacing w:line="360" w:lineRule="exact"/>
                    <w:ind w:left="0" w:right="0" w:firstLine="0" w:firstLineChars="0"/>
                    <w:jc w:val="center"/>
                    <w:textAlignment w:val="auto"/>
                    <w:rPr>
                      <w:rFonts w:hint="default" w:ascii="Times New Roman" w:hAnsi="Times New Roman" w:eastAsia="宋体" w:cs="Times New Roman"/>
                      <w:caps w:val="0"/>
                      <w:color w:val="auto"/>
                      <w:spacing w:val="0"/>
                      <w:position w:val="0"/>
                      <w:sz w:val="21"/>
                      <w:szCs w:val="21"/>
                      <w:highlight w:val="none"/>
                    </w:rPr>
                  </w:pPr>
                </w:p>
              </w:tc>
              <w:tc>
                <w:tcPr>
                  <w:tcW w:w="703" w:type="pct"/>
                  <w:tcBorders>
                    <w:tl2br w:val="nil"/>
                    <w:tr2bl w:val="nil"/>
                  </w:tcBorders>
                  <w:noWrap w:val="0"/>
                  <w:vAlign w:val="center"/>
                </w:tcPr>
                <w:p w14:paraId="72D31760">
                  <w:pPr>
                    <w:keepNext w:val="0"/>
                    <w:keepLines w:val="0"/>
                    <w:pageBreakBefore w:val="0"/>
                    <w:widowControl w:val="0"/>
                    <w:kinsoku/>
                    <w:wordWrap/>
                    <w:overflowPunct/>
                    <w:topLinePunct w:val="0"/>
                    <w:autoSpaceDE/>
                    <w:autoSpaceDN/>
                    <w:bidi w:val="0"/>
                    <w:adjustRightInd/>
                    <w:snapToGrid/>
                    <w:spacing w:line="360" w:lineRule="exact"/>
                    <w:ind w:left="0" w:right="0" w:firstLine="0" w:firstLineChars="0"/>
                    <w:jc w:val="center"/>
                    <w:textAlignment w:val="auto"/>
                    <w:rPr>
                      <w:rFonts w:hint="default" w:ascii="Times New Roman" w:hAnsi="Times New Roman" w:eastAsia="宋体" w:cs="Times New Roman"/>
                      <w:caps w:val="0"/>
                      <w:color w:val="auto"/>
                      <w:spacing w:val="0"/>
                      <w:position w:val="0"/>
                      <w:sz w:val="21"/>
                      <w:szCs w:val="21"/>
                      <w:highlight w:val="none"/>
                      <w:lang w:val="en-US" w:eastAsia="zh-CN"/>
                    </w:rPr>
                  </w:pPr>
                  <w:r>
                    <w:rPr>
                      <w:rFonts w:hint="default" w:ascii="Times New Roman" w:hAnsi="Times New Roman" w:eastAsia="宋体" w:cs="Times New Roman"/>
                      <w:caps w:val="0"/>
                      <w:color w:val="auto"/>
                      <w:spacing w:val="0"/>
                      <w:position w:val="0"/>
                      <w:sz w:val="21"/>
                      <w:szCs w:val="21"/>
                      <w:highlight w:val="none"/>
                      <w:lang w:val="en-US" w:eastAsia="zh-CN"/>
                    </w:rPr>
                    <w:t>初期雨水</w:t>
                  </w:r>
                </w:p>
              </w:tc>
              <w:tc>
                <w:tcPr>
                  <w:tcW w:w="767" w:type="pct"/>
                  <w:tcBorders>
                    <w:tl2br w:val="nil"/>
                    <w:tr2bl w:val="nil"/>
                  </w:tcBorders>
                  <w:noWrap w:val="0"/>
                  <w:vAlign w:val="center"/>
                </w:tcPr>
                <w:p w14:paraId="0477E326">
                  <w:pPr>
                    <w:keepNext w:val="0"/>
                    <w:keepLines w:val="0"/>
                    <w:pageBreakBefore w:val="0"/>
                    <w:widowControl w:val="0"/>
                    <w:kinsoku/>
                    <w:wordWrap/>
                    <w:overflowPunct/>
                    <w:topLinePunct w:val="0"/>
                    <w:autoSpaceDE/>
                    <w:autoSpaceDN/>
                    <w:bidi w:val="0"/>
                    <w:adjustRightInd/>
                    <w:snapToGrid/>
                    <w:spacing w:line="360" w:lineRule="exact"/>
                    <w:ind w:left="0" w:right="0" w:firstLine="0" w:firstLineChars="0"/>
                    <w:jc w:val="center"/>
                    <w:textAlignment w:val="auto"/>
                    <w:rPr>
                      <w:rFonts w:hint="default" w:ascii="Times New Roman" w:hAnsi="Times New Roman" w:eastAsia="宋体" w:cs="Times New Roman"/>
                      <w:caps w:val="0"/>
                      <w:color w:val="auto"/>
                      <w:spacing w:val="0"/>
                      <w:position w:val="0"/>
                      <w:sz w:val="21"/>
                      <w:szCs w:val="21"/>
                      <w:highlight w:val="none"/>
                      <w:lang w:val="en-US" w:eastAsia="zh-CN"/>
                    </w:rPr>
                  </w:pPr>
                  <w:r>
                    <w:rPr>
                      <w:rFonts w:hint="default" w:ascii="Times New Roman" w:hAnsi="Times New Roman" w:eastAsia="宋体" w:cs="Times New Roman"/>
                      <w:caps w:val="0"/>
                      <w:color w:val="auto"/>
                      <w:spacing w:val="0"/>
                      <w:position w:val="0"/>
                      <w:sz w:val="21"/>
                      <w:szCs w:val="21"/>
                      <w:highlight w:val="none"/>
                      <w:lang w:val="en-US" w:eastAsia="zh-CN"/>
                    </w:rPr>
                    <w:t>初期雨水收集池</w:t>
                  </w:r>
                </w:p>
              </w:tc>
              <w:tc>
                <w:tcPr>
                  <w:tcW w:w="1096" w:type="pct"/>
                  <w:tcBorders>
                    <w:tl2br w:val="nil"/>
                    <w:tr2bl w:val="nil"/>
                  </w:tcBorders>
                  <w:noWrap w:val="0"/>
                  <w:vAlign w:val="center"/>
                </w:tcPr>
                <w:p w14:paraId="372EDF0F">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aps w:val="0"/>
                      <w:color w:val="auto"/>
                      <w:spacing w:val="0"/>
                      <w:position w:val="0"/>
                      <w:sz w:val="21"/>
                      <w:szCs w:val="21"/>
                      <w:highlight w:val="none"/>
                      <w:lang w:val="en-US"/>
                    </w:rPr>
                  </w:pPr>
                  <w:r>
                    <w:rPr>
                      <w:rFonts w:hint="default" w:ascii="Times New Roman" w:hAnsi="Times New Roman" w:eastAsia="宋体" w:cs="Times New Roman"/>
                      <w:caps w:val="0"/>
                      <w:smallCaps w:val="0"/>
                      <w:color w:val="auto"/>
                      <w:spacing w:val="0"/>
                      <w:position w:val="0"/>
                      <w:sz w:val="21"/>
                      <w:highlight w:val="none"/>
                    </w:rPr>
                    <w:t>pH、COD</w:t>
                  </w:r>
                  <w:r>
                    <w:rPr>
                      <w:rFonts w:hint="default" w:ascii="Times New Roman" w:hAnsi="Times New Roman" w:eastAsia="宋体" w:cs="Times New Roman"/>
                      <w:caps w:val="0"/>
                      <w:smallCaps w:val="0"/>
                      <w:color w:val="auto"/>
                      <w:spacing w:val="0"/>
                      <w:position w:val="0"/>
                      <w:sz w:val="21"/>
                      <w:highlight w:val="none"/>
                      <w:vertAlign w:val="subscript"/>
                    </w:rPr>
                    <w:t>cr</w:t>
                  </w:r>
                  <w:r>
                    <w:rPr>
                      <w:rFonts w:hint="default" w:ascii="Times New Roman" w:hAnsi="Times New Roman" w:eastAsia="宋体" w:cs="Times New Roman"/>
                      <w:caps w:val="0"/>
                      <w:smallCaps w:val="0"/>
                      <w:color w:val="auto"/>
                      <w:spacing w:val="0"/>
                      <w:position w:val="0"/>
                      <w:sz w:val="21"/>
                      <w:highlight w:val="none"/>
                    </w:rPr>
                    <w:t>、</w:t>
                  </w:r>
                  <w:r>
                    <w:rPr>
                      <w:rFonts w:hint="default" w:ascii="Times New Roman" w:hAnsi="Times New Roman" w:eastAsia="宋体" w:cs="Times New Roman"/>
                      <w:caps w:val="0"/>
                      <w:smallCaps w:val="0"/>
                      <w:color w:val="auto"/>
                      <w:spacing w:val="0"/>
                      <w:kern w:val="0"/>
                      <w:position w:val="0"/>
                      <w:sz w:val="21"/>
                      <w:szCs w:val="21"/>
                      <w:highlight w:val="none"/>
                      <w:lang w:val="en-US" w:eastAsia="zh-CN" w:bidi="ar"/>
                    </w:rPr>
                    <w:t>BOD</w:t>
                  </w:r>
                  <w:r>
                    <w:rPr>
                      <w:rFonts w:hint="default" w:ascii="Times New Roman" w:hAnsi="Times New Roman" w:eastAsia="宋体" w:cs="Times New Roman"/>
                      <w:caps w:val="0"/>
                      <w:smallCaps w:val="0"/>
                      <w:color w:val="auto"/>
                      <w:spacing w:val="0"/>
                      <w:kern w:val="0"/>
                      <w:position w:val="0"/>
                      <w:sz w:val="21"/>
                      <w:szCs w:val="21"/>
                      <w:highlight w:val="none"/>
                      <w:vertAlign w:val="subscript"/>
                      <w:lang w:val="en-US" w:eastAsia="zh-CN" w:bidi="ar"/>
                    </w:rPr>
                    <w:t>5</w:t>
                  </w:r>
                  <w:r>
                    <w:rPr>
                      <w:rFonts w:hint="default" w:ascii="Times New Roman" w:hAnsi="Times New Roman" w:eastAsia="宋体" w:cs="Times New Roman"/>
                      <w:caps w:val="0"/>
                      <w:smallCaps w:val="0"/>
                      <w:color w:val="auto"/>
                      <w:spacing w:val="0"/>
                      <w:position w:val="0"/>
                      <w:sz w:val="21"/>
                      <w:highlight w:val="none"/>
                    </w:rPr>
                    <w:t>、NH</w:t>
                  </w:r>
                  <w:r>
                    <w:rPr>
                      <w:rFonts w:hint="default" w:ascii="Times New Roman" w:hAnsi="Times New Roman" w:eastAsia="宋体" w:cs="Times New Roman"/>
                      <w:caps w:val="0"/>
                      <w:smallCaps w:val="0"/>
                      <w:color w:val="auto"/>
                      <w:spacing w:val="0"/>
                      <w:position w:val="0"/>
                      <w:sz w:val="21"/>
                      <w:highlight w:val="none"/>
                      <w:vertAlign w:val="subscript"/>
                    </w:rPr>
                    <w:t>3</w:t>
                  </w:r>
                  <w:r>
                    <w:rPr>
                      <w:rFonts w:hint="default" w:ascii="Times New Roman" w:hAnsi="Times New Roman" w:eastAsia="宋体" w:cs="Times New Roman"/>
                      <w:caps w:val="0"/>
                      <w:smallCaps w:val="0"/>
                      <w:color w:val="auto"/>
                      <w:spacing w:val="0"/>
                      <w:position w:val="0"/>
                      <w:sz w:val="21"/>
                      <w:highlight w:val="none"/>
                    </w:rPr>
                    <w:t>-N</w:t>
                  </w:r>
                  <w:r>
                    <w:rPr>
                      <w:rFonts w:hint="default" w:ascii="Times New Roman" w:hAnsi="Times New Roman" w:eastAsia="宋体" w:cs="Times New Roman"/>
                      <w:caps w:val="0"/>
                      <w:smallCaps w:val="0"/>
                      <w:color w:val="auto"/>
                      <w:spacing w:val="0"/>
                      <w:position w:val="0"/>
                      <w:sz w:val="21"/>
                      <w:highlight w:val="none"/>
                      <w:lang w:eastAsia="zh-CN"/>
                    </w:rPr>
                    <w:t>、</w:t>
                  </w:r>
                  <w:r>
                    <w:rPr>
                      <w:rFonts w:hint="default" w:ascii="Times New Roman" w:hAnsi="Times New Roman" w:eastAsia="宋体" w:cs="Times New Roman"/>
                      <w:caps w:val="0"/>
                      <w:smallCaps w:val="0"/>
                      <w:color w:val="auto"/>
                      <w:spacing w:val="0"/>
                      <w:position w:val="0"/>
                      <w:sz w:val="21"/>
                      <w:highlight w:val="none"/>
                      <w:lang w:val="en-US" w:eastAsia="zh-CN"/>
                    </w:rPr>
                    <w:t>SS、</w:t>
                  </w:r>
                  <w:r>
                    <w:rPr>
                      <w:rFonts w:hint="default" w:ascii="Times New Roman" w:hAnsi="Times New Roman" w:eastAsia="宋体" w:cs="Times New Roman"/>
                      <w:caps w:val="0"/>
                      <w:smallCaps w:val="0"/>
                      <w:color w:val="auto"/>
                      <w:spacing w:val="0"/>
                      <w:position w:val="0"/>
                      <w:sz w:val="21"/>
                      <w:highlight w:val="none"/>
                    </w:rPr>
                    <w:t>氟化物</w:t>
                  </w:r>
                  <w:r>
                    <w:rPr>
                      <w:rFonts w:hint="default" w:ascii="Times New Roman" w:hAnsi="Times New Roman" w:eastAsia="宋体" w:cs="Times New Roman"/>
                      <w:caps w:val="0"/>
                      <w:smallCaps w:val="0"/>
                      <w:color w:val="auto"/>
                      <w:spacing w:val="0"/>
                      <w:position w:val="0"/>
                      <w:sz w:val="21"/>
                      <w:highlight w:val="none"/>
                      <w:lang w:eastAsia="zh-CN"/>
                    </w:rPr>
                    <w:t>、</w:t>
                  </w:r>
                  <w:r>
                    <w:rPr>
                      <w:rFonts w:hint="default" w:ascii="Times New Roman" w:hAnsi="Times New Roman" w:eastAsia="宋体" w:cs="Times New Roman"/>
                      <w:caps w:val="0"/>
                      <w:smallCaps w:val="0"/>
                      <w:color w:val="auto"/>
                      <w:spacing w:val="0"/>
                      <w:position w:val="0"/>
                      <w:sz w:val="21"/>
                      <w:highlight w:val="none"/>
                      <w:lang w:val="en-US" w:eastAsia="zh-CN"/>
                    </w:rPr>
                    <w:t>铊、铍</w:t>
                  </w:r>
                </w:p>
              </w:tc>
              <w:tc>
                <w:tcPr>
                  <w:tcW w:w="1070" w:type="pct"/>
                  <w:tcBorders>
                    <w:tl2br w:val="nil"/>
                    <w:tr2bl w:val="nil"/>
                  </w:tcBorders>
                  <w:noWrap w:val="0"/>
                  <w:vAlign w:val="center"/>
                </w:tcPr>
                <w:p w14:paraId="556A0558">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aps w:val="0"/>
                      <w:color w:val="auto"/>
                      <w:spacing w:val="0"/>
                      <w:position w:val="0"/>
                      <w:sz w:val="21"/>
                      <w:szCs w:val="21"/>
                      <w:highlight w:val="none"/>
                    </w:rPr>
                  </w:pPr>
                  <w:r>
                    <w:rPr>
                      <w:rFonts w:hint="default" w:ascii="Times New Roman" w:hAnsi="Times New Roman" w:eastAsia="宋体" w:cs="Times New Roman"/>
                      <w:caps w:val="0"/>
                      <w:color w:val="auto"/>
                      <w:spacing w:val="0"/>
                      <w:position w:val="0"/>
                      <w:sz w:val="21"/>
                      <w:szCs w:val="21"/>
                      <w:highlight w:val="none"/>
                    </w:rPr>
                    <w:t>1次/月</w:t>
                  </w:r>
                </w:p>
              </w:tc>
              <w:tc>
                <w:tcPr>
                  <w:tcW w:w="702" w:type="pct"/>
                  <w:vMerge w:val="continue"/>
                  <w:tcBorders>
                    <w:tl2br w:val="nil"/>
                    <w:tr2bl w:val="nil"/>
                  </w:tcBorders>
                  <w:noWrap w:val="0"/>
                  <w:vAlign w:val="center"/>
                </w:tcPr>
                <w:p w14:paraId="5AFDF527">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aps w:val="0"/>
                      <w:color w:val="auto"/>
                      <w:spacing w:val="0"/>
                      <w:position w:val="0"/>
                      <w:sz w:val="21"/>
                      <w:szCs w:val="21"/>
                      <w:highlight w:val="none"/>
                    </w:rPr>
                  </w:pPr>
                </w:p>
              </w:tc>
            </w:tr>
            <w:tr w14:paraId="292241F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659" w:type="pct"/>
                  <w:tcBorders>
                    <w:tl2br w:val="nil"/>
                    <w:tr2bl w:val="nil"/>
                  </w:tcBorders>
                  <w:noWrap w:val="0"/>
                  <w:vAlign w:val="center"/>
                </w:tcPr>
                <w:p w14:paraId="6A576FC7">
                  <w:pPr>
                    <w:keepNext w:val="0"/>
                    <w:keepLines w:val="0"/>
                    <w:pageBreakBefore w:val="0"/>
                    <w:widowControl w:val="0"/>
                    <w:kinsoku/>
                    <w:wordWrap/>
                    <w:overflowPunct/>
                    <w:topLinePunct w:val="0"/>
                    <w:autoSpaceDE/>
                    <w:autoSpaceDN/>
                    <w:bidi w:val="0"/>
                    <w:adjustRightInd/>
                    <w:snapToGrid/>
                    <w:spacing w:line="360" w:lineRule="exact"/>
                    <w:ind w:left="0" w:right="0" w:firstLine="0" w:firstLineChars="0"/>
                    <w:jc w:val="center"/>
                    <w:textAlignment w:val="auto"/>
                    <w:rPr>
                      <w:rFonts w:hint="default" w:ascii="Times New Roman" w:hAnsi="Times New Roman" w:eastAsia="宋体" w:cs="Times New Roman"/>
                      <w:caps w:val="0"/>
                      <w:color w:val="auto"/>
                      <w:spacing w:val="0"/>
                      <w:position w:val="0"/>
                      <w:sz w:val="21"/>
                      <w:szCs w:val="21"/>
                      <w:highlight w:val="none"/>
                      <w:lang w:val="en-US" w:eastAsia="zh-CN"/>
                    </w:rPr>
                  </w:pPr>
                  <w:r>
                    <w:rPr>
                      <w:rFonts w:hint="default" w:ascii="Times New Roman" w:hAnsi="Times New Roman" w:eastAsia="宋体" w:cs="Times New Roman"/>
                      <w:caps w:val="0"/>
                      <w:color w:val="auto"/>
                      <w:spacing w:val="0"/>
                      <w:position w:val="0"/>
                      <w:sz w:val="21"/>
                      <w:szCs w:val="21"/>
                      <w:highlight w:val="none"/>
                      <w:lang w:val="en-US" w:eastAsia="zh-CN"/>
                    </w:rPr>
                    <w:t>车辆冲洗</w:t>
                  </w:r>
                </w:p>
              </w:tc>
              <w:tc>
                <w:tcPr>
                  <w:tcW w:w="703" w:type="pct"/>
                  <w:tcBorders>
                    <w:tl2br w:val="nil"/>
                    <w:tr2bl w:val="nil"/>
                  </w:tcBorders>
                  <w:noWrap w:val="0"/>
                  <w:vAlign w:val="center"/>
                </w:tcPr>
                <w:p w14:paraId="096B5507">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宋体" w:cs="Times New Roman"/>
                      <w:caps w:val="0"/>
                      <w:color w:val="auto"/>
                      <w:spacing w:val="0"/>
                      <w:position w:val="0"/>
                      <w:sz w:val="21"/>
                      <w:szCs w:val="21"/>
                      <w:highlight w:val="none"/>
                      <w:lang w:val="en-US" w:eastAsia="zh-CN"/>
                    </w:rPr>
                  </w:pPr>
                  <w:r>
                    <w:rPr>
                      <w:rFonts w:hint="default" w:ascii="Times New Roman" w:hAnsi="Times New Roman" w:eastAsia="宋体" w:cs="Times New Roman"/>
                      <w:caps w:val="0"/>
                      <w:color w:val="auto"/>
                      <w:spacing w:val="0"/>
                      <w:position w:val="0"/>
                      <w:sz w:val="21"/>
                      <w:szCs w:val="21"/>
                      <w:highlight w:val="none"/>
                      <w:lang w:val="en-US" w:eastAsia="zh-CN"/>
                    </w:rPr>
                    <w:t>车辆冲洗循环水</w:t>
                  </w:r>
                </w:p>
              </w:tc>
              <w:tc>
                <w:tcPr>
                  <w:tcW w:w="767" w:type="pct"/>
                  <w:tcBorders>
                    <w:tl2br w:val="nil"/>
                    <w:tr2bl w:val="nil"/>
                  </w:tcBorders>
                  <w:noWrap w:val="0"/>
                  <w:vAlign w:val="center"/>
                </w:tcPr>
                <w:p w14:paraId="1151A8E3">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宋体" w:cs="Times New Roman"/>
                      <w:caps w:val="0"/>
                      <w:color w:val="auto"/>
                      <w:spacing w:val="0"/>
                      <w:position w:val="0"/>
                      <w:sz w:val="21"/>
                      <w:szCs w:val="21"/>
                      <w:highlight w:val="none"/>
                      <w:lang w:val="en-US" w:eastAsia="zh-CN"/>
                    </w:rPr>
                  </w:pPr>
                  <w:r>
                    <w:rPr>
                      <w:rFonts w:hint="eastAsia" w:cs="Times New Roman"/>
                      <w:caps w:val="0"/>
                      <w:color w:val="auto"/>
                      <w:spacing w:val="0"/>
                      <w:position w:val="0"/>
                      <w:sz w:val="21"/>
                      <w:szCs w:val="21"/>
                      <w:highlight w:val="none"/>
                      <w:lang w:val="en-US" w:eastAsia="zh-CN"/>
                    </w:rPr>
                    <w:t>1#</w:t>
                  </w:r>
                  <w:r>
                    <w:rPr>
                      <w:rFonts w:hint="default" w:ascii="Times New Roman" w:hAnsi="Times New Roman" w:eastAsia="宋体" w:cs="Times New Roman"/>
                      <w:caps w:val="0"/>
                      <w:color w:val="auto"/>
                      <w:spacing w:val="0"/>
                      <w:position w:val="0"/>
                      <w:sz w:val="21"/>
                      <w:szCs w:val="21"/>
                      <w:highlight w:val="none"/>
                      <w:lang w:val="en-US" w:eastAsia="zh-CN"/>
                    </w:rPr>
                    <w:t>沉淀池</w:t>
                  </w:r>
                </w:p>
              </w:tc>
              <w:tc>
                <w:tcPr>
                  <w:tcW w:w="1096" w:type="pct"/>
                  <w:tcBorders>
                    <w:tl2br w:val="nil"/>
                    <w:tr2bl w:val="nil"/>
                  </w:tcBorders>
                  <w:noWrap w:val="0"/>
                  <w:vAlign w:val="center"/>
                </w:tcPr>
                <w:p w14:paraId="5E4E7BC4">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aps w:val="0"/>
                      <w:color w:val="auto"/>
                      <w:spacing w:val="0"/>
                      <w:position w:val="0"/>
                      <w:sz w:val="21"/>
                      <w:szCs w:val="21"/>
                      <w:highlight w:val="none"/>
                    </w:rPr>
                  </w:pPr>
                  <w:r>
                    <w:rPr>
                      <w:rFonts w:hint="default" w:ascii="Times New Roman" w:hAnsi="Times New Roman" w:eastAsia="宋体" w:cs="Times New Roman"/>
                      <w:caps w:val="0"/>
                      <w:smallCaps w:val="0"/>
                      <w:color w:val="auto"/>
                      <w:spacing w:val="0"/>
                      <w:position w:val="0"/>
                      <w:sz w:val="21"/>
                      <w:highlight w:val="none"/>
                    </w:rPr>
                    <w:t>pH、COD</w:t>
                  </w:r>
                  <w:r>
                    <w:rPr>
                      <w:rFonts w:hint="default" w:ascii="Times New Roman" w:hAnsi="Times New Roman" w:eastAsia="宋体" w:cs="Times New Roman"/>
                      <w:caps w:val="0"/>
                      <w:smallCaps w:val="0"/>
                      <w:color w:val="auto"/>
                      <w:spacing w:val="0"/>
                      <w:position w:val="0"/>
                      <w:sz w:val="21"/>
                      <w:highlight w:val="none"/>
                      <w:vertAlign w:val="subscript"/>
                    </w:rPr>
                    <w:t>cr</w:t>
                  </w:r>
                  <w:r>
                    <w:rPr>
                      <w:rFonts w:hint="default" w:ascii="Times New Roman" w:hAnsi="Times New Roman" w:eastAsia="宋体" w:cs="Times New Roman"/>
                      <w:caps w:val="0"/>
                      <w:smallCaps w:val="0"/>
                      <w:color w:val="auto"/>
                      <w:spacing w:val="0"/>
                      <w:position w:val="0"/>
                      <w:sz w:val="21"/>
                      <w:highlight w:val="none"/>
                    </w:rPr>
                    <w:t>、</w:t>
                  </w:r>
                  <w:r>
                    <w:rPr>
                      <w:rFonts w:hint="default" w:ascii="Times New Roman" w:hAnsi="Times New Roman" w:eastAsia="宋体" w:cs="Times New Roman"/>
                      <w:caps w:val="0"/>
                      <w:smallCaps w:val="0"/>
                      <w:color w:val="auto"/>
                      <w:spacing w:val="0"/>
                      <w:kern w:val="0"/>
                      <w:position w:val="0"/>
                      <w:sz w:val="21"/>
                      <w:szCs w:val="21"/>
                      <w:highlight w:val="none"/>
                      <w:lang w:val="en-US" w:eastAsia="zh-CN" w:bidi="ar"/>
                    </w:rPr>
                    <w:t>BOD</w:t>
                  </w:r>
                  <w:r>
                    <w:rPr>
                      <w:rFonts w:hint="default" w:ascii="Times New Roman" w:hAnsi="Times New Roman" w:eastAsia="宋体" w:cs="Times New Roman"/>
                      <w:caps w:val="0"/>
                      <w:smallCaps w:val="0"/>
                      <w:color w:val="auto"/>
                      <w:spacing w:val="0"/>
                      <w:kern w:val="0"/>
                      <w:position w:val="0"/>
                      <w:sz w:val="21"/>
                      <w:szCs w:val="21"/>
                      <w:highlight w:val="none"/>
                      <w:vertAlign w:val="subscript"/>
                      <w:lang w:val="en-US" w:eastAsia="zh-CN" w:bidi="ar"/>
                    </w:rPr>
                    <w:t>5</w:t>
                  </w:r>
                  <w:r>
                    <w:rPr>
                      <w:rFonts w:hint="default" w:ascii="Times New Roman" w:hAnsi="Times New Roman" w:eastAsia="宋体" w:cs="Times New Roman"/>
                      <w:caps w:val="0"/>
                      <w:smallCaps w:val="0"/>
                      <w:color w:val="auto"/>
                      <w:spacing w:val="0"/>
                      <w:position w:val="0"/>
                      <w:sz w:val="21"/>
                      <w:highlight w:val="none"/>
                    </w:rPr>
                    <w:t>、NH</w:t>
                  </w:r>
                  <w:r>
                    <w:rPr>
                      <w:rFonts w:hint="default" w:ascii="Times New Roman" w:hAnsi="Times New Roman" w:eastAsia="宋体" w:cs="Times New Roman"/>
                      <w:caps w:val="0"/>
                      <w:smallCaps w:val="0"/>
                      <w:color w:val="auto"/>
                      <w:spacing w:val="0"/>
                      <w:position w:val="0"/>
                      <w:sz w:val="21"/>
                      <w:highlight w:val="none"/>
                      <w:vertAlign w:val="subscript"/>
                    </w:rPr>
                    <w:t>3</w:t>
                  </w:r>
                  <w:r>
                    <w:rPr>
                      <w:rFonts w:hint="default" w:ascii="Times New Roman" w:hAnsi="Times New Roman" w:eastAsia="宋体" w:cs="Times New Roman"/>
                      <w:caps w:val="0"/>
                      <w:smallCaps w:val="0"/>
                      <w:color w:val="auto"/>
                      <w:spacing w:val="0"/>
                      <w:position w:val="0"/>
                      <w:sz w:val="21"/>
                      <w:highlight w:val="none"/>
                    </w:rPr>
                    <w:t>-N</w:t>
                  </w:r>
                  <w:r>
                    <w:rPr>
                      <w:rFonts w:hint="default" w:ascii="Times New Roman" w:hAnsi="Times New Roman" w:eastAsia="宋体" w:cs="Times New Roman"/>
                      <w:caps w:val="0"/>
                      <w:smallCaps w:val="0"/>
                      <w:color w:val="auto"/>
                      <w:spacing w:val="0"/>
                      <w:position w:val="0"/>
                      <w:sz w:val="21"/>
                      <w:highlight w:val="none"/>
                      <w:lang w:eastAsia="zh-CN"/>
                    </w:rPr>
                    <w:t>、</w:t>
                  </w:r>
                  <w:r>
                    <w:rPr>
                      <w:rFonts w:hint="default" w:ascii="Times New Roman" w:hAnsi="Times New Roman" w:eastAsia="宋体" w:cs="Times New Roman"/>
                      <w:caps w:val="0"/>
                      <w:smallCaps w:val="0"/>
                      <w:color w:val="auto"/>
                      <w:spacing w:val="0"/>
                      <w:position w:val="0"/>
                      <w:sz w:val="21"/>
                      <w:highlight w:val="none"/>
                      <w:lang w:val="en-US" w:eastAsia="zh-CN"/>
                    </w:rPr>
                    <w:t>SS、</w:t>
                  </w:r>
                  <w:r>
                    <w:rPr>
                      <w:rFonts w:hint="default" w:ascii="Times New Roman" w:hAnsi="Times New Roman" w:eastAsia="宋体" w:cs="Times New Roman"/>
                      <w:caps w:val="0"/>
                      <w:smallCaps w:val="0"/>
                      <w:color w:val="auto"/>
                      <w:spacing w:val="0"/>
                      <w:position w:val="0"/>
                      <w:sz w:val="21"/>
                      <w:highlight w:val="none"/>
                    </w:rPr>
                    <w:t>氟化物</w:t>
                  </w:r>
                  <w:r>
                    <w:rPr>
                      <w:rFonts w:hint="default" w:ascii="Times New Roman" w:hAnsi="Times New Roman" w:eastAsia="宋体" w:cs="Times New Roman"/>
                      <w:caps w:val="0"/>
                      <w:smallCaps w:val="0"/>
                      <w:color w:val="auto"/>
                      <w:spacing w:val="0"/>
                      <w:position w:val="0"/>
                      <w:sz w:val="21"/>
                      <w:highlight w:val="none"/>
                      <w:lang w:eastAsia="zh-CN"/>
                    </w:rPr>
                    <w:t>、</w:t>
                  </w:r>
                  <w:r>
                    <w:rPr>
                      <w:rFonts w:hint="default" w:ascii="Times New Roman" w:hAnsi="Times New Roman" w:eastAsia="宋体" w:cs="Times New Roman"/>
                      <w:caps w:val="0"/>
                      <w:smallCaps w:val="0"/>
                      <w:color w:val="auto"/>
                      <w:spacing w:val="0"/>
                      <w:position w:val="0"/>
                      <w:sz w:val="21"/>
                      <w:highlight w:val="none"/>
                      <w:lang w:val="en-US" w:eastAsia="zh-CN"/>
                    </w:rPr>
                    <w:t>铊、铍、石油类</w:t>
                  </w:r>
                </w:p>
              </w:tc>
              <w:tc>
                <w:tcPr>
                  <w:tcW w:w="1070" w:type="pct"/>
                  <w:tcBorders>
                    <w:tl2br w:val="nil"/>
                    <w:tr2bl w:val="nil"/>
                  </w:tcBorders>
                  <w:noWrap w:val="0"/>
                  <w:vAlign w:val="center"/>
                </w:tcPr>
                <w:p w14:paraId="5184FF76">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aps w:val="0"/>
                      <w:color w:val="auto"/>
                      <w:spacing w:val="0"/>
                      <w:position w:val="0"/>
                      <w:sz w:val="21"/>
                      <w:szCs w:val="21"/>
                      <w:highlight w:val="none"/>
                    </w:rPr>
                  </w:pPr>
                  <w:r>
                    <w:rPr>
                      <w:rFonts w:hint="default" w:ascii="Times New Roman" w:hAnsi="Times New Roman" w:eastAsia="宋体" w:cs="Times New Roman"/>
                      <w:caps w:val="0"/>
                      <w:color w:val="auto"/>
                      <w:spacing w:val="0"/>
                      <w:position w:val="0"/>
                      <w:sz w:val="21"/>
                      <w:szCs w:val="21"/>
                      <w:highlight w:val="none"/>
                    </w:rPr>
                    <w:t>1次/月</w:t>
                  </w:r>
                </w:p>
              </w:tc>
              <w:tc>
                <w:tcPr>
                  <w:tcW w:w="702" w:type="pct"/>
                  <w:vMerge w:val="continue"/>
                  <w:tcBorders>
                    <w:tl2br w:val="nil"/>
                    <w:tr2bl w:val="nil"/>
                  </w:tcBorders>
                  <w:noWrap w:val="0"/>
                  <w:vAlign w:val="center"/>
                </w:tcPr>
                <w:p w14:paraId="24D890C6">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aps w:val="0"/>
                      <w:color w:val="auto"/>
                      <w:spacing w:val="0"/>
                      <w:position w:val="0"/>
                      <w:sz w:val="21"/>
                      <w:szCs w:val="21"/>
                      <w:highlight w:val="none"/>
                    </w:rPr>
                  </w:pPr>
                </w:p>
              </w:tc>
            </w:tr>
            <w:tr w14:paraId="6A3A6F6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659" w:type="pct"/>
                  <w:tcBorders>
                    <w:tl2br w:val="nil"/>
                    <w:tr2bl w:val="nil"/>
                  </w:tcBorders>
                  <w:noWrap w:val="0"/>
                  <w:vAlign w:val="center"/>
                </w:tcPr>
                <w:p w14:paraId="30A5BEE1">
                  <w:pPr>
                    <w:keepNext w:val="0"/>
                    <w:keepLines w:val="0"/>
                    <w:pageBreakBefore w:val="0"/>
                    <w:widowControl w:val="0"/>
                    <w:kinsoku/>
                    <w:wordWrap/>
                    <w:overflowPunct/>
                    <w:topLinePunct w:val="0"/>
                    <w:autoSpaceDE/>
                    <w:autoSpaceDN/>
                    <w:bidi w:val="0"/>
                    <w:adjustRightInd/>
                    <w:snapToGrid/>
                    <w:spacing w:line="360" w:lineRule="exact"/>
                    <w:ind w:left="0" w:right="0" w:firstLine="0" w:firstLineChars="0"/>
                    <w:jc w:val="center"/>
                    <w:textAlignment w:val="auto"/>
                    <w:rPr>
                      <w:rFonts w:hint="default" w:ascii="Times New Roman" w:hAnsi="Times New Roman" w:eastAsia="宋体" w:cs="Times New Roman"/>
                      <w:caps w:val="0"/>
                      <w:color w:val="auto"/>
                      <w:spacing w:val="0"/>
                      <w:position w:val="0"/>
                      <w:sz w:val="21"/>
                      <w:szCs w:val="21"/>
                      <w:highlight w:val="none"/>
                      <w:lang w:val="en-US" w:eastAsia="zh-CN"/>
                    </w:rPr>
                  </w:pPr>
                  <w:r>
                    <w:rPr>
                      <w:rFonts w:hint="eastAsia" w:cs="Times New Roman"/>
                      <w:caps w:val="0"/>
                      <w:color w:val="auto"/>
                      <w:spacing w:val="0"/>
                      <w:position w:val="0"/>
                      <w:sz w:val="21"/>
                      <w:szCs w:val="21"/>
                      <w:highlight w:val="none"/>
                      <w:lang w:val="en-US" w:eastAsia="zh-CN"/>
                    </w:rPr>
                    <w:t>养护</w:t>
                  </w:r>
                </w:p>
              </w:tc>
              <w:tc>
                <w:tcPr>
                  <w:tcW w:w="703" w:type="pct"/>
                  <w:tcBorders>
                    <w:tl2br w:val="nil"/>
                    <w:tr2bl w:val="nil"/>
                  </w:tcBorders>
                  <w:noWrap w:val="0"/>
                  <w:vAlign w:val="center"/>
                </w:tcPr>
                <w:p w14:paraId="170DF4F2">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宋体" w:cs="Times New Roman"/>
                      <w:caps w:val="0"/>
                      <w:color w:val="auto"/>
                      <w:spacing w:val="0"/>
                      <w:position w:val="0"/>
                      <w:sz w:val="21"/>
                      <w:szCs w:val="21"/>
                      <w:highlight w:val="none"/>
                      <w:lang w:val="en-US" w:eastAsia="zh-CN"/>
                    </w:rPr>
                  </w:pPr>
                  <w:r>
                    <w:rPr>
                      <w:rFonts w:hint="eastAsia" w:cs="Times New Roman"/>
                      <w:caps w:val="0"/>
                      <w:color w:val="auto"/>
                      <w:spacing w:val="0"/>
                      <w:position w:val="0"/>
                      <w:sz w:val="21"/>
                      <w:szCs w:val="21"/>
                      <w:highlight w:val="none"/>
                      <w:lang w:val="en-US" w:eastAsia="zh-CN"/>
                    </w:rPr>
                    <w:t>养护用水</w:t>
                  </w:r>
                </w:p>
              </w:tc>
              <w:tc>
                <w:tcPr>
                  <w:tcW w:w="767" w:type="pct"/>
                  <w:tcBorders>
                    <w:tl2br w:val="nil"/>
                    <w:tr2bl w:val="nil"/>
                  </w:tcBorders>
                  <w:noWrap w:val="0"/>
                  <w:vAlign w:val="center"/>
                </w:tcPr>
                <w:p w14:paraId="7238DD02">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宋体" w:cs="Times New Roman"/>
                      <w:caps w:val="0"/>
                      <w:color w:val="auto"/>
                      <w:spacing w:val="0"/>
                      <w:position w:val="0"/>
                      <w:sz w:val="21"/>
                      <w:szCs w:val="21"/>
                      <w:highlight w:val="none"/>
                      <w:lang w:val="en-US" w:eastAsia="zh-CN"/>
                    </w:rPr>
                  </w:pPr>
                  <w:r>
                    <w:rPr>
                      <w:rFonts w:hint="eastAsia" w:cs="Times New Roman"/>
                      <w:caps w:val="0"/>
                      <w:color w:val="auto"/>
                      <w:spacing w:val="0"/>
                      <w:position w:val="0"/>
                      <w:sz w:val="21"/>
                      <w:szCs w:val="21"/>
                      <w:highlight w:val="none"/>
                      <w:lang w:val="en-US" w:eastAsia="zh-CN"/>
                    </w:rPr>
                    <w:t>2#</w:t>
                  </w:r>
                  <w:r>
                    <w:rPr>
                      <w:rFonts w:hint="default" w:ascii="Times New Roman" w:hAnsi="Times New Roman" w:eastAsia="宋体" w:cs="Times New Roman"/>
                      <w:caps w:val="0"/>
                      <w:color w:val="auto"/>
                      <w:spacing w:val="0"/>
                      <w:position w:val="0"/>
                      <w:sz w:val="21"/>
                      <w:szCs w:val="21"/>
                      <w:highlight w:val="none"/>
                      <w:lang w:val="en-US" w:eastAsia="zh-CN"/>
                    </w:rPr>
                    <w:t>沉淀池</w:t>
                  </w:r>
                </w:p>
              </w:tc>
              <w:tc>
                <w:tcPr>
                  <w:tcW w:w="1096" w:type="pct"/>
                  <w:tcBorders>
                    <w:tl2br w:val="nil"/>
                    <w:tr2bl w:val="nil"/>
                  </w:tcBorders>
                  <w:noWrap w:val="0"/>
                  <w:vAlign w:val="center"/>
                </w:tcPr>
                <w:p w14:paraId="58E3E90B">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aps w:val="0"/>
                      <w:smallCaps w:val="0"/>
                      <w:color w:val="auto"/>
                      <w:spacing w:val="0"/>
                      <w:position w:val="0"/>
                      <w:sz w:val="21"/>
                      <w:highlight w:val="none"/>
                    </w:rPr>
                  </w:pPr>
                  <w:r>
                    <w:rPr>
                      <w:rFonts w:hint="default" w:ascii="Times New Roman" w:hAnsi="Times New Roman" w:eastAsia="宋体" w:cs="Times New Roman"/>
                      <w:caps w:val="0"/>
                      <w:smallCaps w:val="0"/>
                      <w:color w:val="auto"/>
                      <w:spacing w:val="0"/>
                      <w:position w:val="0"/>
                      <w:sz w:val="21"/>
                      <w:highlight w:val="none"/>
                      <w:lang w:val="en-US" w:eastAsia="zh-CN"/>
                    </w:rPr>
                    <w:t>SS</w:t>
                  </w:r>
                </w:p>
              </w:tc>
              <w:tc>
                <w:tcPr>
                  <w:tcW w:w="1070" w:type="pct"/>
                  <w:tcBorders>
                    <w:tl2br w:val="nil"/>
                    <w:tr2bl w:val="nil"/>
                  </w:tcBorders>
                  <w:noWrap w:val="0"/>
                  <w:vAlign w:val="center"/>
                </w:tcPr>
                <w:p w14:paraId="03E9C2B2">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aps w:val="0"/>
                      <w:color w:val="auto"/>
                      <w:spacing w:val="0"/>
                      <w:position w:val="0"/>
                      <w:sz w:val="21"/>
                      <w:szCs w:val="21"/>
                      <w:highlight w:val="none"/>
                    </w:rPr>
                  </w:pPr>
                  <w:r>
                    <w:rPr>
                      <w:rFonts w:hint="default" w:ascii="Times New Roman" w:hAnsi="Times New Roman" w:eastAsia="宋体" w:cs="Times New Roman"/>
                      <w:caps w:val="0"/>
                      <w:color w:val="auto"/>
                      <w:spacing w:val="0"/>
                      <w:position w:val="0"/>
                      <w:sz w:val="21"/>
                      <w:szCs w:val="21"/>
                      <w:highlight w:val="none"/>
                    </w:rPr>
                    <w:t>1次/月</w:t>
                  </w:r>
                </w:p>
              </w:tc>
              <w:tc>
                <w:tcPr>
                  <w:tcW w:w="702" w:type="pct"/>
                  <w:vMerge w:val="continue"/>
                  <w:tcBorders>
                    <w:tl2br w:val="nil"/>
                    <w:tr2bl w:val="nil"/>
                  </w:tcBorders>
                  <w:noWrap w:val="0"/>
                  <w:vAlign w:val="center"/>
                </w:tcPr>
                <w:p w14:paraId="31748FCA">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aps w:val="0"/>
                      <w:color w:val="auto"/>
                      <w:spacing w:val="0"/>
                      <w:position w:val="0"/>
                      <w:sz w:val="21"/>
                      <w:szCs w:val="21"/>
                      <w:highlight w:val="none"/>
                    </w:rPr>
                  </w:pPr>
                </w:p>
              </w:tc>
            </w:tr>
            <w:tr w14:paraId="53A4D72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659" w:type="pct"/>
                  <w:tcBorders>
                    <w:tl2br w:val="nil"/>
                    <w:tr2bl w:val="nil"/>
                  </w:tcBorders>
                  <w:noWrap w:val="0"/>
                  <w:vAlign w:val="center"/>
                </w:tcPr>
                <w:p w14:paraId="61250EA7">
                  <w:pPr>
                    <w:keepNext w:val="0"/>
                    <w:keepLines w:val="0"/>
                    <w:pageBreakBefore w:val="0"/>
                    <w:widowControl w:val="0"/>
                    <w:kinsoku/>
                    <w:wordWrap/>
                    <w:overflowPunct/>
                    <w:topLinePunct w:val="0"/>
                    <w:autoSpaceDE/>
                    <w:autoSpaceDN/>
                    <w:bidi w:val="0"/>
                    <w:adjustRightInd/>
                    <w:snapToGrid/>
                    <w:spacing w:line="360" w:lineRule="exact"/>
                    <w:ind w:left="0" w:right="0" w:firstLine="0" w:firstLineChars="0"/>
                    <w:jc w:val="center"/>
                    <w:textAlignment w:val="auto"/>
                    <w:rPr>
                      <w:rFonts w:hint="default" w:ascii="Times New Roman" w:hAnsi="Times New Roman" w:eastAsia="宋体" w:cs="Times New Roman"/>
                      <w:caps w:val="0"/>
                      <w:color w:val="auto"/>
                      <w:spacing w:val="0"/>
                      <w:position w:val="0"/>
                      <w:sz w:val="21"/>
                      <w:szCs w:val="21"/>
                      <w:highlight w:val="none"/>
                      <w:lang w:val="en-US" w:eastAsia="zh-CN"/>
                    </w:rPr>
                  </w:pPr>
                  <w:r>
                    <w:rPr>
                      <w:rFonts w:hint="eastAsia" w:cs="Times New Roman"/>
                      <w:caps w:val="0"/>
                      <w:color w:val="auto"/>
                      <w:spacing w:val="0"/>
                      <w:position w:val="0"/>
                      <w:sz w:val="21"/>
                      <w:szCs w:val="21"/>
                      <w:highlight w:val="none"/>
                      <w:lang w:val="en-US" w:eastAsia="zh-CN"/>
                    </w:rPr>
                    <w:t>设备清洗</w:t>
                  </w:r>
                </w:p>
              </w:tc>
              <w:tc>
                <w:tcPr>
                  <w:tcW w:w="703" w:type="pct"/>
                  <w:tcBorders>
                    <w:tl2br w:val="nil"/>
                    <w:tr2bl w:val="nil"/>
                  </w:tcBorders>
                  <w:noWrap w:val="0"/>
                  <w:vAlign w:val="center"/>
                </w:tcPr>
                <w:p w14:paraId="5E6FAE03">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宋体" w:cs="Times New Roman"/>
                      <w:caps w:val="0"/>
                      <w:color w:val="auto"/>
                      <w:spacing w:val="0"/>
                      <w:position w:val="0"/>
                      <w:sz w:val="21"/>
                      <w:szCs w:val="21"/>
                      <w:highlight w:val="none"/>
                      <w:lang w:val="en-US" w:eastAsia="zh-CN"/>
                    </w:rPr>
                  </w:pPr>
                  <w:r>
                    <w:rPr>
                      <w:rFonts w:hint="eastAsia" w:cs="Times New Roman"/>
                      <w:caps w:val="0"/>
                      <w:color w:val="auto"/>
                      <w:spacing w:val="0"/>
                      <w:position w:val="0"/>
                      <w:sz w:val="21"/>
                      <w:szCs w:val="21"/>
                      <w:highlight w:val="none"/>
                      <w:lang w:val="en-US" w:eastAsia="zh-CN"/>
                    </w:rPr>
                    <w:t>设备清洗用水</w:t>
                  </w:r>
                </w:p>
              </w:tc>
              <w:tc>
                <w:tcPr>
                  <w:tcW w:w="767" w:type="pct"/>
                  <w:tcBorders>
                    <w:tl2br w:val="nil"/>
                    <w:tr2bl w:val="nil"/>
                  </w:tcBorders>
                  <w:noWrap w:val="0"/>
                  <w:vAlign w:val="center"/>
                </w:tcPr>
                <w:p w14:paraId="07F48618">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rPr>
                      <w:rFonts w:hint="default" w:ascii="Times New Roman" w:hAnsi="Times New Roman" w:eastAsia="宋体" w:cs="Times New Roman"/>
                      <w:caps w:val="0"/>
                      <w:color w:val="auto"/>
                      <w:spacing w:val="0"/>
                      <w:position w:val="0"/>
                      <w:sz w:val="21"/>
                      <w:szCs w:val="21"/>
                      <w:highlight w:val="none"/>
                      <w:lang w:val="en-US" w:eastAsia="zh-CN"/>
                    </w:rPr>
                  </w:pPr>
                  <w:r>
                    <w:rPr>
                      <w:rFonts w:hint="eastAsia" w:cs="Times New Roman"/>
                      <w:caps w:val="0"/>
                      <w:color w:val="auto"/>
                      <w:spacing w:val="0"/>
                      <w:position w:val="0"/>
                      <w:sz w:val="21"/>
                      <w:szCs w:val="21"/>
                      <w:highlight w:val="none"/>
                      <w:lang w:val="en-US" w:eastAsia="zh-CN"/>
                    </w:rPr>
                    <w:t>3#</w:t>
                  </w:r>
                  <w:r>
                    <w:rPr>
                      <w:rFonts w:hint="default" w:ascii="Times New Roman" w:hAnsi="Times New Roman" w:eastAsia="宋体" w:cs="Times New Roman"/>
                      <w:caps w:val="0"/>
                      <w:color w:val="auto"/>
                      <w:spacing w:val="0"/>
                      <w:position w:val="0"/>
                      <w:sz w:val="21"/>
                      <w:szCs w:val="21"/>
                      <w:highlight w:val="none"/>
                      <w:lang w:val="en-US" w:eastAsia="zh-CN"/>
                    </w:rPr>
                    <w:t>沉淀池</w:t>
                  </w:r>
                </w:p>
              </w:tc>
              <w:tc>
                <w:tcPr>
                  <w:tcW w:w="1096" w:type="pct"/>
                  <w:tcBorders>
                    <w:tl2br w:val="nil"/>
                    <w:tr2bl w:val="nil"/>
                  </w:tcBorders>
                  <w:noWrap w:val="0"/>
                  <w:vAlign w:val="center"/>
                </w:tcPr>
                <w:p w14:paraId="7E89BBB5">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aps w:val="0"/>
                      <w:smallCaps w:val="0"/>
                      <w:color w:val="auto"/>
                      <w:spacing w:val="0"/>
                      <w:position w:val="0"/>
                      <w:sz w:val="21"/>
                      <w:highlight w:val="none"/>
                    </w:rPr>
                  </w:pPr>
                  <w:r>
                    <w:rPr>
                      <w:rFonts w:hint="default" w:ascii="Times New Roman" w:hAnsi="Times New Roman" w:eastAsia="宋体" w:cs="Times New Roman"/>
                      <w:caps w:val="0"/>
                      <w:smallCaps w:val="0"/>
                      <w:color w:val="auto"/>
                      <w:spacing w:val="0"/>
                      <w:position w:val="0"/>
                      <w:sz w:val="21"/>
                      <w:highlight w:val="none"/>
                      <w:lang w:val="en-US" w:eastAsia="zh-CN"/>
                    </w:rPr>
                    <w:t>SS</w:t>
                  </w:r>
                </w:p>
              </w:tc>
              <w:tc>
                <w:tcPr>
                  <w:tcW w:w="1070" w:type="pct"/>
                  <w:tcBorders>
                    <w:tl2br w:val="nil"/>
                    <w:tr2bl w:val="nil"/>
                  </w:tcBorders>
                  <w:noWrap w:val="0"/>
                  <w:vAlign w:val="center"/>
                </w:tcPr>
                <w:p w14:paraId="50D39B5A">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aps w:val="0"/>
                      <w:color w:val="auto"/>
                      <w:spacing w:val="0"/>
                      <w:position w:val="0"/>
                      <w:sz w:val="21"/>
                      <w:szCs w:val="21"/>
                      <w:highlight w:val="none"/>
                    </w:rPr>
                  </w:pPr>
                  <w:r>
                    <w:rPr>
                      <w:rFonts w:hint="default" w:ascii="Times New Roman" w:hAnsi="Times New Roman" w:eastAsia="宋体" w:cs="Times New Roman"/>
                      <w:caps w:val="0"/>
                      <w:color w:val="auto"/>
                      <w:spacing w:val="0"/>
                      <w:position w:val="0"/>
                      <w:sz w:val="21"/>
                      <w:szCs w:val="21"/>
                      <w:highlight w:val="none"/>
                    </w:rPr>
                    <w:t>1次/月</w:t>
                  </w:r>
                </w:p>
              </w:tc>
              <w:tc>
                <w:tcPr>
                  <w:tcW w:w="702" w:type="pct"/>
                  <w:vMerge w:val="continue"/>
                  <w:tcBorders>
                    <w:tl2br w:val="nil"/>
                    <w:tr2bl w:val="nil"/>
                  </w:tcBorders>
                  <w:noWrap w:val="0"/>
                  <w:vAlign w:val="center"/>
                </w:tcPr>
                <w:p w14:paraId="55A1D8FD">
                  <w:pPr>
                    <w:pStyle w:val="112"/>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ascii="Times New Roman" w:hAnsi="Times New Roman" w:eastAsia="宋体" w:cs="Times New Roman"/>
                      <w:caps w:val="0"/>
                      <w:color w:val="auto"/>
                      <w:spacing w:val="0"/>
                      <w:position w:val="0"/>
                      <w:sz w:val="21"/>
                      <w:szCs w:val="21"/>
                      <w:highlight w:val="none"/>
                    </w:rPr>
                  </w:pPr>
                </w:p>
              </w:tc>
            </w:tr>
          </w:tbl>
          <w:p w14:paraId="30784A88">
            <w:pPr>
              <w:keepNext w:val="0"/>
              <w:keepLines w:val="0"/>
              <w:suppressLineNumbers w:val="0"/>
              <w:spacing w:before="0" w:beforeAutospacing="0" w:after="0" w:afterAutospacing="0"/>
              <w:ind w:left="0" w:right="0" w:firstLine="480"/>
              <w:rPr>
                <w:rFonts w:hint="default"/>
                <w:caps w:val="0"/>
                <w:color w:val="auto"/>
                <w:spacing w:val="0"/>
                <w:position w:val="0"/>
                <w:highlight w:val="none"/>
              </w:rPr>
            </w:pPr>
          </w:p>
        </w:tc>
      </w:tr>
    </w:tbl>
    <w:p w14:paraId="1CA6DA60">
      <w:pPr>
        <w:pStyle w:val="74"/>
        <w:bidi w:val="0"/>
        <w:ind w:left="0" w:leftChars="0" w:firstLine="0" w:firstLineChars="0"/>
        <w:rPr>
          <w:rFonts w:hint="eastAsia"/>
          <w:caps w:val="0"/>
          <w:color w:val="auto"/>
          <w:spacing w:val="0"/>
          <w:position w:val="0"/>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
        <w:gridCol w:w="13763"/>
      </w:tblGrid>
      <w:tr w14:paraId="6BB31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 w:type="dxa"/>
            <w:noWrap w:val="0"/>
            <w:vAlign w:val="center"/>
          </w:tcPr>
          <w:p w14:paraId="40126F9F">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运营期环境影响和保护措施</w:t>
            </w:r>
          </w:p>
        </w:tc>
        <w:tc>
          <w:tcPr>
            <w:tcW w:w="13763" w:type="dxa"/>
            <w:noWrap w:val="0"/>
            <w:vAlign w:val="top"/>
          </w:tcPr>
          <w:p w14:paraId="35EEB12A">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lang w:val="en-US" w:eastAsia="zh-CN"/>
              </w:rPr>
              <w:t>3</w:t>
            </w:r>
            <w:r>
              <w:rPr>
                <w:rFonts w:hint="eastAsia"/>
                <w:b/>
                <w:bCs w:val="0"/>
                <w:caps w:val="0"/>
                <w:color w:val="auto"/>
                <w:spacing w:val="0"/>
                <w:position w:val="0"/>
                <w:highlight w:val="none"/>
                <w:lang w:val="en-US" w:eastAsia="zh-CN"/>
              </w:rPr>
              <w:t>、噪声</w:t>
            </w:r>
          </w:p>
          <w:p w14:paraId="3368AF1F">
            <w:pPr>
              <w:pStyle w:val="74"/>
              <w:keepNext w:val="0"/>
              <w:keepLines w:val="0"/>
              <w:suppressLineNumbers w:val="0"/>
              <w:bidi w:val="0"/>
              <w:spacing w:before="0" w:beforeAutospacing="0" w:after="0" w:afterAutospacing="0"/>
              <w:ind w:left="0" w:right="0"/>
              <w:rPr>
                <w:rFonts w:hint="eastAsia"/>
                <w:b/>
                <w:bCs w:val="0"/>
                <w:caps w:val="0"/>
                <w:color w:val="auto"/>
                <w:spacing w:val="0"/>
                <w:position w:val="0"/>
                <w:highlight w:val="none"/>
                <w:lang w:val="en-US" w:eastAsia="zh-CN"/>
              </w:rPr>
            </w:pPr>
            <w:r>
              <w:rPr>
                <w:rFonts w:hint="default"/>
                <w:b/>
                <w:bCs w:val="0"/>
                <w:caps w:val="0"/>
                <w:color w:val="auto"/>
                <w:spacing w:val="0"/>
                <w:position w:val="0"/>
                <w:highlight w:val="none"/>
                <w:lang w:val="en-US" w:eastAsia="zh-CN"/>
              </w:rPr>
              <w:t>3.1</w:t>
            </w:r>
            <w:r>
              <w:rPr>
                <w:rFonts w:hint="eastAsia"/>
                <w:b/>
                <w:bCs w:val="0"/>
                <w:caps w:val="0"/>
                <w:color w:val="auto"/>
                <w:spacing w:val="0"/>
                <w:position w:val="0"/>
                <w:highlight w:val="none"/>
                <w:lang w:val="en-US" w:eastAsia="zh-CN"/>
              </w:rPr>
              <w:t>、噪声源强</w:t>
            </w:r>
          </w:p>
          <w:p w14:paraId="41BAB353">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rPr>
              <w:t>本项目噪声主要来自</w:t>
            </w:r>
            <w:r>
              <w:rPr>
                <w:rFonts w:hint="eastAsia" w:ascii="Times New Roman" w:eastAsia="宋体"/>
                <w:caps w:val="0"/>
                <w:color w:val="auto"/>
                <w:spacing w:val="0"/>
                <w:position w:val="0"/>
                <w:highlight w:val="none"/>
                <w:lang w:val="en-US" w:eastAsia="zh-CN"/>
              </w:rPr>
              <w:t>搅拌机</w:t>
            </w:r>
            <w:r>
              <w:rPr>
                <w:rFonts w:hint="default"/>
                <w:caps w:val="0"/>
                <w:color w:val="auto"/>
                <w:spacing w:val="0"/>
                <w:position w:val="0"/>
                <w:highlight w:val="none"/>
              </w:rPr>
              <w:t>等设备产生的机械噪声</w:t>
            </w:r>
            <w:r>
              <w:rPr>
                <w:rFonts w:hint="eastAsia"/>
                <w:caps w:val="0"/>
                <w:color w:val="auto"/>
                <w:spacing w:val="0"/>
                <w:position w:val="0"/>
                <w:highlight w:val="none"/>
                <w:lang w:eastAsia="zh-CN"/>
              </w:rPr>
              <w:t>，</w:t>
            </w:r>
            <w:r>
              <w:rPr>
                <w:rFonts w:hint="default"/>
                <w:caps w:val="0"/>
                <w:color w:val="auto"/>
                <w:spacing w:val="0"/>
                <w:position w:val="0"/>
                <w:highlight w:val="none"/>
              </w:rPr>
              <w:t xml:space="preserve"> 噪声值 为</w:t>
            </w:r>
            <w:r>
              <w:rPr>
                <w:rFonts w:hint="eastAsia" w:eastAsia="宋体" w:cs="Times New Roman"/>
                <w:caps w:val="0"/>
                <w:color w:val="auto"/>
                <w:spacing w:val="0"/>
                <w:position w:val="0"/>
                <w:highlight w:val="none"/>
                <w:lang w:val="en-US" w:eastAsia="zh-CN"/>
              </w:rPr>
              <w:t>65-85</w:t>
            </w:r>
            <w:r>
              <w:rPr>
                <w:rFonts w:hint="default" w:ascii="Times New Roman" w:hAnsi="Times New Roman" w:eastAsia="Times New Roman" w:cs="Times New Roman"/>
                <w:caps w:val="0"/>
                <w:color w:val="auto"/>
                <w:spacing w:val="0"/>
                <w:position w:val="0"/>
                <w:highlight w:val="none"/>
              </w:rPr>
              <w:t>dB(A)</w:t>
            </w:r>
            <w:r>
              <w:rPr>
                <w:rFonts w:hint="default"/>
                <w:caps w:val="0"/>
                <w:color w:val="auto"/>
                <w:spacing w:val="0"/>
                <w:position w:val="0"/>
                <w:highlight w:val="none"/>
              </w:rPr>
              <w:t>，具体见</w:t>
            </w:r>
            <w:r>
              <w:rPr>
                <w:rFonts w:hint="eastAsia"/>
                <w:caps w:val="0"/>
                <w:color w:val="auto"/>
                <w:spacing w:val="0"/>
                <w:position w:val="0"/>
                <w:highlight w:val="none"/>
                <w:lang w:val="en-US" w:eastAsia="zh-CN"/>
              </w:rPr>
              <w:t>下表</w:t>
            </w:r>
            <w:r>
              <w:rPr>
                <w:rFonts w:hint="default"/>
                <w:caps w:val="0"/>
                <w:color w:val="auto"/>
                <w:spacing w:val="0"/>
                <w:position w:val="0"/>
                <w:highlight w:val="none"/>
              </w:rPr>
              <w:t>。</w:t>
            </w:r>
          </w:p>
          <w:p w14:paraId="60423FB4">
            <w:pPr>
              <w:pStyle w:val="75"/>
              <w:keepNext w:val="0"/>
              <w:keepLines w:val="0"/>
              <w:numPr>
                <w:ilvl w:val="0"/>
                <w:numId w:val="7"/>
              </w:numPr>
              <w:suppressLineNumbers w:val="0"/>
              <w:bidi w:val="0"/>
              <w:spacing w:before="0" w:beforeAutospacing="0" w:after="0" w:afterAutospacing="0"/>
              <w:ind w:left="425" w:leftChars="0" w:right="0" w:hanging="425" w:firstLineChars="0"/>
              <w:rPr>
                <w:rFonts w:hint="default"/>
                <w:caps w:val="0"/>
                <w:color w:val="auto"/>
                <w:spacing w:val="0"/>
                <w:position w:val="0"/>
                <w:highlight w:val="none"/>
              </w:rPr>
            </w:pPr>
            <w:r>
              <w:rPr>
                <w:rFonts w:hint="default"/>
                <w:caps w:val="0"/>
                <w:color w:val="auto"/>
                <w:spacing w:val="0"/>
                <w:position w:val="0"/>
                <w:highlight w:val="none"/>
              </w:rPr>
              <w:t>工业企业噪声源强调查清单（室内声源）</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1"/>
              <w:gridCol w:w="687"/>
              <w:gridCol w:w="408"/>
              <w:gridCol w:w="539"/>
              <w:gridCol w:w="688"/>
              <w:gridCol w:w="510"/>
              <w:gridCol w:w="465"/>
              <w:gridCol w:w="600"/>
              <w:gridCol w:w="630"/>
              <w:gridCol w:w="480"/>
              <w:gridCol w:w="525"/>
              <w:gridCol w:w="480"/>
              <w:gridCol w:w="495"/>
              <w:gridCol w:w="600"/>
              <w:gridCol w:w="675"/>
              <w:gridCol w:w="615"/>
              <w:gridCol w:w="585"/>
              <w:gridCol w:w="360"/>
              <w:gridCol w:w="780"/>
              <w:gridCol w:w="645"/>
              <w:gridCol w:w="600"/>
              <w:gridCol w:w="615"/>
              <w:gridCol w:w="615"/>
              <w:gridCol w:w="509"/>
            </w:tblGrid>
            <w:tr w14:paraId="7071F0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vMerge w:val="restart"/>
                  <w:noWrap w:val="0"/>
                  <w:vAlign w:val="center"/>
                </w:tcPr>
                <w:p w14:paraId="2764CB1C">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建筑物名称</w:t>
                  </w:r>
                </w:p>
              </w:tc>
              <w:tc>
                <w:tcPr>
                  <w:tcW w:w="687" w:type="dxa"/>
                  <w:vMerge w:val="restart"/>
                  <w:noWrap w:val="0"/>
                  <w:vAlign w:val="center"/>
                </w:tcPr>
                <w:p w14:paraId="4A58089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声源名称</w:t>
                  </w:r>
                </w:p>
              </w:tc>
              <w:tc>
                <w:tcPr>
                  <w:tcW w:w="408" w:type="dxa"/>
                  <w:vMerge w:val="restart"/>
                  <w:noWrap w:val="0"/>
                  <w:vAlign w:val="center"/>
                </w:tcPr>
                <w:p w14:paraId="3579563E">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数量</w:t>
                  </w:r>
                </w:p>
              </w:tc>
              <w:tc>
                <w:tcPr>
                  <w:tcW w:w="1227" w:type="dxa"/>
                  <w:gridSpan w:val="2"/>
                  <w:noWrap w:val="0"/>
                  <w:vAlign w:val="center"/>
                </w:tcPr>
                <w:p w14:paraId="45FEEC52">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声源源强</w:t>
                  </w:r>
                </w:p>
              </w:tc>
              <w:tc>
                <w:tcPr>
                  <w:tcW w:w="510" w:type="dxa"/>
                  <w:vMerge w:val="restart"/>
                  <w:noWrap w:val="0"/>
                  <w:vAlign w:val="center"/>
                </w:tcPr>
                <w:p w14:paraId="3DE549F9">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声源控制措施</w:t>
                  </w:r>
                </w:p>
              </w:tc>
              <w:tc>
                <w:tcPr>
                  <w:tcW w:w="1695" w:type="dxa"/>
                  <w:gridSpan w:val="3"/>
                  <w:noWrap w:val="0"/>
                  <w:vAlign w:val="center"/>
                </w:tcPr>
                <w:p w14:paraId="6529C60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空间相对位置/m</w:t>
                  </w:r>
                </w:p>
              </w:tc>
              <w:tc>
                <w:tcPr>
                  <w:tcW w:w="1980" w:type="dxa"/>
                  <w:gridSpan w:val="4"/>
                  <w:noWrap w:val="0"/>
                  <w:vAlign w:val="center"/>
                </w:tcPr>
                <w:p w14:paraId="0F1E08E2">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距室内边界距离/m</w:t>
                  </w:r>
                </w:p>
              </w:tc>
              <w:tc>
                <w:tcPr>
                  <w:tcW w:w="2475" w:type="dxa"/>
                  <w:gridSpan w:val="4"/>
                  <w:noWrap w:val="0"/>
                  <w:vAlign w:val="center"/>
                </w:tcPr>
                <w:p w14:paraId="30346965">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室内边界声级/dB（A）</w:t>
                  </w:r>
                </w:p>
              </w:tc>
              <w:tc>
                <w:tcPr>
                  <w:tcW w:w="360" w:type="dxa"/>
                  <w:vMerge w:val="restart"/>
                  <w:noWrap w:val="0"/>
                  <w:vAlign w:val="center"/>
                </w:tcPr>
                <w:p w14:paraId="65605922">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运行时段</w:t>
                  </w:r>
                </w:p>
                <w:p w14:paraId="7FBE9CC8">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h/d</w:t>
                  </w:r>
                </w:p>
              </w:tc>
              <w:tc>
                <w:tcPr>
                  <w:tcW w:w="780" w:type="dxa"/>
                  <w:vMerge w:val="restart"/>
                  <w:noWrap w:val="0"/>
                  <w:vAlign w:val="center"/>
                </w:tcPr>
                <w:p w14:paraId="5EF1E1D5">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建筑物插入损失dB(A)</w:t>
                  </w:r>
                </w:p>
              </w:tc>
              <w:tc>
                <w:tcPr>
                  <w:tcW w:w="2475" w:type="dxa"/>
                  <w:gridSpan w:val="4"/>
                  <w:noWrap w:val="0"/>
                  <w:vAlign w:val="center"/>
                </w:tcPr>
                <w:p w14:paraId="1281DAA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建筑物外噪声</w:t>
                  </w:r>
                </w:p>
              </w:tc>
              <w:tc>
                <w:tcPr>
                  <w:tcW w:w="509" w:type="dxa"/>
                  <w:vMerge w:val="restart"/>
                  <w:noWrap w:val="0"/>
                  <w:vAlign w:val="center"/>
                </w:tcPr>
                <w:p w14:paraId="717D3A5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b/>
                      <w:bCs/>
                      <w:caps w:val="0"/>
                      <w:color w:val="auto"/>
                      <w:spacing w:val="0"/>
                      <w:position w:val="0"/>
                      <w:highlight w:val="none"/>
                    </w:rPr>
                    <w:t>建筑物外距离m</w:t>
                  </w:r>
                </w:p>
              </w:tc>
            </w:tr>
            <w:tr w14:paraId="2B1960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vMerge w:val="continue"/>
                  <w:noWrap w:val="0"/>
                  <w:vAlign w:val="center"/>
                </w:tcPr>
                <w:p w14:paraId="5C4C9077">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687" w:type="dxa"/>
                  <w:vMerge w:val="continue"/>
                  <w:noWrap w:val="0"/>
                  <w:vAlign w:val="center"/>
                </w:tcPr>
                <w:p w14:paraId="3FD45D85">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408" w:type="dxa"/>
                  <w:vMerge w:val="continue"/>
                  <w:noWrap w:val="0"/>
                  <w:vAlign w:val="center"/>
                </w:tcPr>
                <w:p w14:paraId="7112DE1E">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539" w:type="dxa"/>
                  <w:vMerge w:val="restart"/>
                  <w:noWrap w:val="0"/>
                  <w:vAlign w:val="center"/>
                </w:tcPr>
                <w:p w14:paraId="1EA1C645">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声功率级/dB（A）</w:t>
                  </w:r>
                </w:p>
              </w:tc>
              <w:tc>
                <w:tcPr>
                  <w:tcW w:w="688" w:type="dxa"/>
                  <w:vMerge w:val="restart"/>
                  <w:noWrap w:val="0"/>
                  <w:vAlign w:val="center"/>
                </w:tcPr>
                <w:p w14:paraId="2DB76337">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叠加后声功率级/dB（A）</w:t>
                  </w:r>
                </w:p>
              </w:tc>
              <w:tc>
                <w:tcPr>
                  <w:tcW w:w="510" w:type="dxa"/>
                  <w:vMerge w:val="continue"/>
                  <w:noWrap w:val="0"/>
                  <w:vAlign w:val="center"/>
                </w:tcPr>
                <w:p w14:paraId="36CC0AD4">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465" w:type="dxa"/>
                  <w:vMerge w:val="restart"/>
                  <w:noWrap w:val="0"/>
                  <w:vAlign w:val="center"/>
                </w:tcPr>
                <w:p w14:paraId="2A82D509">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X</w:t>
                  </w:r>
                </w:p>
              </w:tc>
              <w:tc>
                <w:tcPr>
                  <w:tcW w:w="600" w:type="dxa"/>
                  <w:vMerge w:val="restart"/>
                  <w:noWrap w:val="0"/>
                  <w:vAlign w:val="center"/>
                </w:tcPr>
                <w:p w14:paraId="455F1BE0">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Y</w:t>
                  </w:r>
                </w:p>
              </w:tc>
              <w:tc>
                <w:tcPr>
                  <w:tcW w:w="630" w:type="dxa"/>
                  <w:vMerge w:val="restart"/>
                  <w:noWrap w:val="0"/>
                  <w:vAlign w:val="center"/>
                </w:tcPr>
                <w:p w14:paraId="3451BF09">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Z</w:t>
                  </w:r>
                </w:p>
              </w:tc>
              <w:tc>
                <w:tcPr>
                  <w:tcW w:w="480" w:type="dxa"/>
                  <w:vMerge w:val="restart"/>
                  <w:noWrap w:val="0"/>
                  <w:vAlign w:val="center"/>
                </w:tcPr>
                <w:p w14:paraId="3378348A">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东</w:t>
                  </w:r>
                </w:p>
              </w:tc>
              <w:tc>
                <w:tcPr>
                  <w:tcW w:w="525" w:type="dxa"/>
                  <w:vMerge w:val="restart"/>
                  <w:noWrap w:val="0"/>
                  <w:vAlign w:val="center"/>
                </w:tcPr>
                <w:p w14:paraId="1CCCDBE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南</w:t>
                  </w:r>
                </w:p>
              </w:tc>
              <w:tc>
                <w:tcPr>
                  <w:tcW w:w="480" w:type="dxa"/>
                  <w:vMerge w:val="restart"/>
                  <w:noWrap w:val="0"/>
                  <w:vAlign w:val="center"/>
                </w:tcPr>
                <w:p w14:paraId="4B163A65">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西</w:t>
                  </w:r>
                </w:p>
              </w:tc>
              <w:tc>
                <w:tcPr>
                  <w:tcW w:w="495" w:type="dxa"/>
                  <w:vMerge w:val="restart"/>
                  <w:noWrap w:val="0"/>
                  <w:vAlign w:val="center"/>
                </w:tcPr>
                <w:p w14:paraId="466A0C23">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北</w:t>
                  </w:r>
                </w:p>
              </w:tc>
              <w:tc>
                <w:tcPr>
                  <w:tcW w:w="600" w:type="dxa"/>
                  <w:vMerge w:val="restart"/>
                  <w:noWrap w:val="0"/>
                  <w:vAlign w:val="center"/>
                </w:tcPr>
                <w:p w14:paraId="008F4A04">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东</w:t>
                  </w:r>
                </w:p>
              </w:tc>
              <w:tc>
                <w:tcPr>
                  <w:tcW w:w="675" w:type="dxa"/>
                  <w:vMerge w:val="restart"/>
                  <w:noWrap w:val="0"/>
                  <w:vAlign w:val="center"/>
                </w:tcPr>
                <w:p w14:paraId="25622A0E">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南</w:t>
                  </w:r>
                </w:p>
              </w:tc>
              <w:tc>
                <w:tcPr>
                  <w:tcW w:w="615" w:type="dxa"/>
                  <w:vMerge w:val="restart"/>
                  <w:noWrap w:val="0"/>
                  <w:vAlign w:val="center"/>
                </w:tcPr>
                <w:p w14:paraId="3016C7BE">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西</w:t>
                  </w:r>
                </w:p>
              </w:tc>
              <w:tc>
                <w:tcPr>
                  <w:tcW w:w="585" w:type="dxa"/>
                  <w:vMerge w:val="restart"/>
                  <w:noWrap w:val="0"/>
                  <w:vAlign w:val="center"/>
                </w:tcPr>
                <w:p w14:paraId="34900174">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北</w:t>
                  </w:r>
                </w:p>
              </w:tc>
              <w:tc>
                <w:tcPr>
                  <w:tcW w:w="360" w:type="dxa"/>
                  <w:vMerge w:val="continue"/>
                  <w:noWrap w:val="0"/>
                  <w:vAlign w:val="center"/>
                </w:tcPr>
                <w:p w14:paraId="6F9AEB62">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780" w:type="dxa"/>
                  <w:vMerge w:val="continue"/>
                  <w:noWrap w:val="0"/>
                  <w:vAlign w:val="center"/>
                </w:tcPr>
                <w:p w14:paraId="36910B29">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2475" w:type="dxa"/>
                  <w:gridSpan w:val="4"/>
                  <w:noWrap w:val="0"/>
                  <w:vAlign w:val="center"/>
                </w:tcPr>
                <w:p w14:paraId="4F132AD9">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声压级dB(A)</w:t>
                  </w:r>
                </w:p>
              </w:tc>
              <w:tc>
                <w:tcPr>
                  <w:tcW w:w="509" w:type="dxa"/>
                  <w:vMerge w:val="continue"/>
                  <w:noWrap w:val="0"/>
                  <w:vAlign w:val="center"/>
                </w:tcPr>
                <w:p w14:paraId="3B64DF15">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2249E6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vMerge w:val="continue"/>
                  <w:noWrap w:val="0"/>
                  <w:vAlign w:val="center"/>
                </w:tcPr>
                <w:p w14:paraId="3688E9AC">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687" w:type="dxa"/>
                  <w:vMerge w:val="continue"/>
                  <w:noWrap w:val="0"/>
                  <w:vAlign w:val="center"/>
                </w:tcPr>
                <w:p w14:paraId="1A666FC3">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408" w:type="dxa"/>
                  <w:vMerge w:val="continue"/>
                  <w:noWrap w:val="0"/>
                  <w:vAlign w:val="center"/>
                </w:tcPr>
                <w:p w14:paraId="45E68700">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539" w:type="dxa"/>
                  <w:vMerge w:val="continue"/>
                  <w:noWrap w:val="0"/>
                  <w:vAlign w:val="center"/>
                </w:tcPr>
                <w:p w14:paraId="2D9D3DAF">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688" w:type="dxa"/>
                  <w:vMerge w:val="continue"/>
                  <w:noWrap w:val="0"/>
                  <w:vAlign w:val="center"/>
                </w:tcPr>
                <w:p w14:paraId="5605298D">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510" w:type="dxa"/>
                  <w:vMerge w:val="continue"/>
                  <w:noWrap w:val="0"/>
                  <w:vAlign w:val="center"/>
                </w:tcPr>
                <w:p w14:paraId="51088A06">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465" w:type="dxa"/>
                  <w:vMerge w:val="continue"/>
                  <w:noWrap w:val="0"/>
                  <w:vAlign w:val="center"/>
                </w:tcPr>
                <w:p w14:paraId="4E52E014">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600" w:type="dxa"/>
                  <w:vMerge w:val="continue"/>
                  <w:noWrap w:val="0"/>
                  <w:vAlign w:val="center"/>
                </w:tcPr>
                <w:p w14:paraId="36744A83">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630" w:type="dxa"/>
                  <w:vMerge w:val="continue"/>
                  <w:noWrap w:val="0"/>
                  <w:vAlign w:val="center"/>
                </w:tcPr>
                <w:p w14:paraId="5ABC478D">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480" w:type="dxa"/>
                  <w:vMerge w:val="continue"/>
                  <w:noWrap w:val="0"/>
                  <w:vAlign w:val="center"/>
                </w:tcPr>
                <w:p w14:paraId="4335B911">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525" w:type="dxa"/>
                  <w:vMerge w:val="continue"/>
                  <w:noWrap w:val="0"/>
                  <w:vAlign w:val="center"/>
                </w:tcPr>
                <w:p w14:paraId="72DA8069">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480" w:type="dxa"/>
                  <w:vMerge w:val="continue"/>
                  <w:noWrap w:val="0"/>
                  <w:vAlign w:val="center"/>
                </w:tcPr>
                <w:p w14:paraId="152B703A">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495" w:type="dxa"/>
                  <w:vMerge w:val="continue"/>
                  <w:noWrap w:val="0"/>
                  <w:vAlign w:val="center"/>
                </w:tcPr>
                <w:p w14:paraId="5C338791">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600" w:type="dxa"/>
                  <w:vMerge w:val="continue"/>
                  <w:noWrap w:val="0"/>
                  <w:vAlign w:val="center"/>
                </w:tcPr>
                <w:p w14:paraId="66DD20FA">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675" w:type="dxa"/>
                  <w:vMerge w:val="continue"/>
                  <w:noWrap w:val="0"/>
                  <w:vAlign w:val="center"/>
                </w:tcPr>
                <w:p w14:paraId="0A857A87">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615" w:type="dxa"/>
                  <w:vMerge w:val="continue"/>
                  <w:noWrap w:val="0"/>
                  <w:vAlign w:val="center"/>
                </w:tcPr>
                <w:p w14:paraId="5EC7B335">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585" w:type="dxa"/>
                  <w:vMerge w:val="continue"/>
                  <w:noWrap w:val="0"/>
                  <w:vAlign w:val="center"/>
                </w:tcPr>
                <w:p w14:paraId="2A640D4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360" w:type="dxa"/>
                  <w:vMerge w:val="continue"/>
                  <w:noWrap w:val="0"/>
                  <w:vAlign w:val="center"/>
                </w:tcPr>
                <w:p w14:paraId="503B0877">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780" w:type="dxa"/>
                  <w:vMerge w:val="continue"/>
                  <w:noWrap w:val="0"/>
                  <w:vAlign w:val="center"/>
                </w:tcPr>
                <w:p w14:paraId="0C9F0834">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p>
              </w:tc>
              <w:tc>
                <w:tcPr>
                  <w:tcW w:w="645" w:type="dxa"/>
                  <w:noWrap w:val="0"/>
                  <w:vAlign w:val="center"/>
                </w:tcPr>
                <w:p w14:paraId="23F4EC29">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东</w:t>
                  </w:r>
                </w:p>
              </w:tc>
              <w:tc>
                <w:tcPr>
                  <w:tcW w:w="600" w:type="dxa"/>
                  <w:noWrap w:val="0"/>
                  <w:vAlign w:val="center"/>
                </w:tcPr>
                <w:p w14:paraId="38EF06B4">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南</w:t>
                  </w:r>
                </w:p>
              </w:tc>
              <w:tc>
                <w:tcPr>
                  <w:tcW w:w="615" w:type="dxa"/>
                  <w:noWrap w:val="0"/>
                  <w:vAlign w:val="center"/>
                </w:tcPr>
                <w:p w14:paraId="110CCB5D">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西</w:t>
                  </w:r>
                </w:p>
              </w:tc>
              <w:tc>
                <w:tcPr>
                  <w:tcW w:w="615" w:type="dxa"/>
                  <w:noWrap w:val="0"/>
                  <w:vAlign w:val="center"/>
                </w:tcPr>
                <w:p w14:paraId="5AAE420F">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北</w:t>
                  </w:r>
                </w:p>
              </w:tc>
              <w:tc>
                <w:tcPr>
                  <w:tcW w:w="509" w:type="dxa"/>
                  <w:vMerge w:val="continue"/>
                  <w:noWrap w:val="0"/>
                  <w:vAlign w:val="center"/>
                </w:tcPr>
                <w:p w14:paraId="09AA7D61">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3B4ACC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441" w:type="dxa"/>
                  <w:vMerge w:val="restart"/>
                  <w:noWrap w:val="0"/>
                  <w:vAlign w:val="center"/>
                </w:tcPr>
                <w:p w14:paraId="197277C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生产车间</w:t>
                  </w:r>
                </w:p>
              </w:tc>
              <w:tc>
                <w:tcPr>
                  <w:tcW w:w="687" w:type="dxa"/>
                  <w:noWrap w:val="0"/>
                  <w:vAlign w:val="center"/>
                </w:tcPr>
                <w:p w14:paraId="55AA5F52">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搅拌机</w:t>
                  </w:r>
                </w:p>
              </w:tc>
              <w:tc>
                <w:tcPr>
                  <w:tcW w:w="408" w:type="dxa"/>
                  <w:noWrap w:val="0"/>
                  <w:vAlign w:val="center"/>
                </w:tcPr>
                <w:p w14:paraId="4C01F148">
                  <w:pPr>
                    <w:pStyle w:val="28"/>
                    <w:keepNext w:val="0"/>
                    <w:keepLines w:val="0"/>
                    <w:suppressLineNumbers w:val="0"/>
                    <w:bidi w:val="0"/>
                    <w:spacing w:beforeAutospacing="0" w:afterAutospacing="0"/>
                    <w:ind w:left="0" w:right="0"/>
                    <w:rPr>
                      <w:rFonts w:hint="eastAsia"/>
                      <w:caps w:val="0"/>
                      <w:color w:val="auto"/>
                      <w:spacing w:val="0"/>
                      <w:position w:val="0"/>
                      <w:highlight w:val="none"/>
                      <w:lang w:eastAsia="zh-CN"/>
                    </w:rPr>
                  </w:pPr>
                  <w:r>
                    <w:rPr>
                      <w:rFonts w:hint="eastAsia"/>
                      <w:caps w:val="0"/>
                      <w:color w:val="auto"/>
                      <w:spacing w:val="0"/>
                      <w:position w:val="0"/>
                      <w:highlight w:val="none"/>
                      <w:lang w:val="en-US" w:eastAsia="zh-CN"/>
                    </w:rPr>
                    <w:t>1</w:t>
                  </w:r>
                </w:p>
              </w:tc>
              <w:tc>
                <w:tcPr>
                  <w:tcW w:w="539" w:type="dxa"/>
                  <w:noWrap w:val="0"/>
                  <w:vAlign w:val="center"/>
                </w:tcPr>
                <w:p w14:paraId="30229C24">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80</w:t>
                  </w:r>
                </w:p>
              </w:tc>
              <w:tc>
                <w:tcPr>
                  <w:tcW w:w="688" w:type="dxa"/>
                  <w:noWrap w:val="0"/>
                  <w:vAlign w:val="center"/>
                </w:tcPr>
                <w:p w14:paraId="4699A342">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80</w:t>
                  </w:r>
                </w:p>
              </w:tc>
              <w:tc>
                <w:tcPr>
                  <w:tcW w:w="510" w:type="dxa"/>
                  <w:vMerge w:val="restart"/>
                  <w:noWrap w:val="0"/>
                  <w:vAlign w:val="center"/>
                </w:tcPr>
                <w:p w14:paraId="35AEC7B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选用低噪声设备、厂房隔声、安装减震垫</w:t>
                  </w:r>
                </w:p>
              </w:tc>
              <w:tc>
                <w:tcPr>
                  <w:tcW w:w="465" w:type="dxa"/>
                  <w:noWrap w:val="0"/>
                  <w:vAlign w:val="center"/>
                </w:tcPr>
                <w:p w14:paraId="68A92C87">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-22.69</w:t>
                  </w:r>
                </w:p>
              </w:tc>
              <w:tc>
                <w:tcPr>
                  <w:tcW w:w="600" w:type="dxa"/>
                  <w:noWrap w:val="0"/>
                  <w:vAlign w:val="center"/>
                </w:tcPr>
                <w:p w14:paraId="22DA6100">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-48.92</w:t>
                  </w:r>
                </w:p>
              </w:tc>
              <w:tc>
                <w:tcPr>
                  <w:tcW w:w="630" w:type="dxa"/>
                  <w:noWrap w:val="0"/>
                  <w:vAlign w:val="center"/>
                </w:tcPr>
                <w:p w14:paraId="2B9AC5E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1</w:t>
                  </w:r>
                </w:p>
              </w:tc>
              <w:tc>
                <w:tcPr>
                  <w:tcW w:w="480" w:type="dxa"/>
                  <w:noWrap w:val="0"/>
                  <w:vAlign w:val="center"/>
                </w:tcPr>
                <w:p w14:paraId="33783673">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18</w:t>
                  </w:r>
                </w:p>
              </w:tc>
              <w:tc>
                <w:tcPr>
                  <w:tcW w:w="525" w:type="dxa"/>
                  <w:noWrap w:val="0"/>
                  <w:vAlign w:val="center"/>
                </w:tcPr>
                <w:p w14:paraId="733836B8">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7</w:t>
                  </w:r>
                </w:p>
              </w:tc>
              <w:tc>
                <w:tcPr>
                  <w:tcW w:w="480" w:type="dxa"/>
                  <w:noWrap w:val="0"/>
                  <w:vAlign w:val="center"/>
                </w:tcPr>
                <w:p w14:paraId="4E8AFE8C">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30</w:t>
                  </w:r>
                </w:p>
              </w:tc>
              <w:tc>
                <w:tcPr>
                  <w:tcW w:w="495" w:type="dxa"/>
                  <w:noWrap w:val="0"/>
                  <w:vAlign w:val="center"/>
                </w:tcPr>
                <w:p w14:paraId="44AE572C">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34.5</w:t>
                  </w:r>
                </w:p>
              </w:tc>
              <w:tc>
                <w:tcPr>
                  <w:tcW w:w="600" w:type="dxa"/>
                  <w:noWrap w:val="0"/>
                  <w:vAlign w:val="center"/>
                </w:tcPr>
                <w:p w14:paraId="49AC910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69.9</w:t>
                  </w:r>
                </w:p>
              </w:tc>
              <w:tc>
                <w:tcPr>
                  <w:tcW w:w="675" w:type="dxa"/>
                  <w:noWrap w:val="0"/>
                  <w:vAlign w:val="center"/>
                </w:tcPr>
                <w:p w14:paraId="178C25E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58.1</w:t>
                  </w:r>
                </w:p>
              </w:tc>
              <w:tc>
                <w:tcPr>
                  <w:tcW w:w="615" w:type="dxa"/>
                  <w:noWrap w:val="0"/>
                  <w:vAlign w:val="center"/>
                </w:tcPr>
                <w:p w14:paraId="43B19BB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65.5</w:t>
                  </w:r>
                </w:p>
              </w:tc>
              <w:tc>
                <w:tcPr>
                  <w:tcW w:w="585" w:type="dxa"/>
                  <w:noWrap w:val="0"/>
                  <w:vAlign w:val="center"/>
                </w:tcPr>
                <w:p w14:paraId="6382F56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44.2</w:t>
                  </w:r>
                </w:p>
              </w:tc>
              <w:tc>
                <w:tcPr>
                  <w:tcW w:w="360" w:type="dxa"/>
                  <w:vMerge w:val="restart"/>
                  <w:noWrap w:val="0"/>
                  <w:vAlign w:val="center"/>
                </w:tcPr>
                <w:p w14:paraId="6E16D5A1">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16</w:t>
                  </w:r>
                </w:p>
              </w:tc>
              <w:tc>
                <w:tcPr>
                  <w:tcW w:w="780" w:type="dxa"/>
                  <w:noWrap w:val="0"/>
                  <w:vAlign w:val="center"/>
                </w:tcPr>
                <w:p w14:paraId="75ECCEF2">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25</w:t>
                  </w:r>
                </w:p>
              </w:tc>
              <w:tc>
                <w:tcPr>
                  <w:tcW w:w="645" w:type="dxa"/>
                  <w:noWrap w:val="0"/>
                  <w:vAlign w:val="center"/>
                </w:tcPr>
                <w:p w14:paraId="5357B8C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44.9</w:t>
                  </w:r>
                </w:p>
              </w:tc>
              <w:tc>
                <w:tcPr>
                  <w:tcW w:w="600" w:type="dxa"/>
                  <w:noWrap w:val="0"/>
                  <w:vAlign w:val="center"/>
                </w:tcPr>
                <w:p w14:paraId="4472F91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33.1</w:t>
                  </w:r>
                </w:p>
              </w:tc>
              <w:tc>
                <w:tcPr>
                  <w:tcW w:w="615" w:type="dxa"/>
                  <w:noWrap w:val="0"/>
                  <w:vAlign w:val="center"/>
                </w:tcPr>
                <w:p w14:paraId="2724F2D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40.5</w:t>
                  </w:r>
                </w:p>
              </w:tc>
              <w:tc>
                <w:tcPr>
                  <w:tcW w:w="615" w:type="dxa"/>
                  <w:noWrap w:val="0"/>
                  <w:vAlign w:val="center"/>
                </w:tcPr>
                <w:p w14:paraId="368B785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19.2</w:t>
                  </w:r>
                </w:p>
              </w:tc>
              <w:tc>
                <w:tcPr>
                  <w:tcW w:w="509" w:type="dxa"/>
                  <w:noWrap w:val="0"/>
                  <w:vAlign w:val="center"/>
                </w:tcPr>
                <w:p w14:paraId="3870F44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1</w:t>
                  </w:r>
                </w:p>
              </w:tc>
            </w:tr>
            <w:tr w14:paraId="23D949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vMerge w:val="continue"/>
                  <w:noWrap w:val="0"/>
                  <w:vAlign w:val="center"/>
                </w:tcPr>
                <w:p w14:paraId="338D74B9">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687" w:type="dxa"/>
                  <w:noWrap w:val="0"/>
                  <w:vAlign w:val="center"/>
                </w:tcPr>
                <w:p w14:paraId="2248B70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输送机</w:t>
                  </w:r>
                </w:p>
              </w:tc>
              <w:tc>
                <w:tcPr>
                  <w:tcW w:w="408" w:type="dxa"/>
                  <w:noWrap w:val="0"/>
                  <w:vAlign w:val="center"/>
                </w:tcPr>
                <w:p w14:paraId="5CA06E97">
                  <w:pPr>
                    <w:pStyle w:val="28"/>
                    <w:keepNext w:val="0"/>
                    <w:keepLines w:val="0"/>
                    <w:suppressLineNumbers w:val="0"/>
                    <w:bidi w:val="0"/>
                    <w:spacing w:beforeAutospacing="0" w:afterAutospacing="0"/>
                    <w:ind w:left="0" w:right="0"/>
                    <w:rPr>
                      <w:rFonts w:hint="eastAsia"/>
                      <w:caps w:val="0"/>
                      <w:color w:val="auto"/>
                      <w:spacing w:val="0"/>
                      <w:position w:val="0"/>
                      <w:highlight w:val="none"/>
                      <w:lang w:eastAsia="zh-CN"/>
                    </w:rPr>
                  </w:pPr>
                  <w:r>
                    <w:rPr>
                      <w:rFonts w:hint="eastAsia"/>
                      <w:caps w:val="0"/>
                      <w:color w:val="auto"/>
                      <w:spacing w:val="0"/>
                      <w:position w:val="0"/>
                      <w:highlight w:val="none"/>
                      <w:lang w:val="en-US" w:eastAsia="zh-CN"/>
                    </w:rPr>
                    <w:t>2</w:t>
                  </w:r>
                </w:p>
              </w:tc>
              <w:tc>
                <w:tcPr>
                  <w:tcW w:w="539" w:type="dxa"/>
                  <w:noWrap w:val="0"/>
                  <w:vAlign w:val="center"/>
                </w:tcPr>
                <w:p w14:paraId="25A3B2DB">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70</w:t>
                  </w:r>
                </w:p>
              </w:tc>
              <w:tc>
                <w:tcPr>
                  <w:tcW w:w="688" w:type="dxa"/>
                  <w:noWrap w:val="0"/>
                  <w:vAlign w:val="center"/>
                </w:tcPr>
                <w:p w14:paraId="39195A12">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73</w:t>
                  </w:r>
                </w:p>
              </w:tc>
              <w:tc>
                <w:tcPr>
                  <w:tcW w:w="510" w:type="dxa"/>
                  <w:vMerge w:val="continue"/>
                  <w:noWrap w:val="0"/>
                  <w:vAlign w:val="center"/>
                </w:tcPr>
                <w:p w14:paraId="005228E5">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465" w:type="dxa"/>
                  <w:noWrap w:val="0"/>
                  <w:vAlign w:val="center"/>
                </w:tcPr>
                <w:p w14:paraId="7D38481C">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-13.49</w:t>
                  </w:r>
                </w:p>
              </w:tc>
              <w:tc>
                <w:tcPr>
                  <w:tcW w:w="600" w:type="dxa"/>
                  <w:noWrap w:val="0"/>
                  <w:vAlign w:val="center"/>
                </w:tcPr>
                <w:p w14:paraId="42F308DB">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-47.69</w:t>
                  </w:r>
                </w:p>
              </w:tc>
              <w:tc>
                <w:tcPr>
                  <w:tcW w:w="630" w:type="dxa"/>
                  <w:noWrap w:val="0"/>
                  <w:vAlign w:val="center"/>
                </w:tcPr>
                <w:p w14:paraId="08597EF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1</w:t>
                  </w:r>
                </w:p>
              </w:tc>
              <w:tc>
                <w:tcPr>
                  <w:tcW w:w="480" w:type="dxa"/>
                  <w:noWrap w:val="0"/>
                  <w:vAlign w:val="center"/>
                </w:tcPr>
                <w:p w14:paraId="75AA83C8">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30</w:t>
                  </w:r>
                </w:p>
              </w:tc>
              <w:tc>
                <w:tcPr>
                  <w:tcW w:w="525" w:type="dxa"/>
                  <w:noWrap w:val="0"/>
                  <w:vAlign w:val="center"/>
                </w:tcPr>
                <w:p w14:paraId="05856B7A">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21.5</w:t>
                  </w:r>
                </w:p>
              </w:tc>
              <w:tc>
                <w:tcPr>
                  <w:tcW w:w="480" w:type="dxa"/>
                  <w:noWrap w:val="0"/>
                  <w:vAlign w:val="center"/>
                </w:tcPr>
                <w:p w14:paraId="5726C82C">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18</w:t>
                  </w:r>
                </w:p>
              </w:tc>
              <w:tc>
                <w:tcPr>
                  <w:tcW w:w="495" w:type="dxa"/>
                  <w:noWrap w:val="0"/>
                  <w:vAlign w:val="center"/>
                </w:tcPr>
                <w:p w14:paraId="24E9A0C1">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20</w:t>
                  </w:r>
                </w:p>
              </w:tc>
              <w:tc>
                <w:tcPr>
                  <w:tcW w:w="600" w:type="dxa"/>
                  <w:noWrap w:val="0"/>
                  <w:vAlign w:val="center"/>
                </w:tcPr>
                <w:p w14:paraId="3F0B1FE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62.4</w:t>
                  </w:r>
                </w:p>
              </w:tc>
              <w:tc>
                <w:tcPr>
                  <w:tcW w:w="675" w:type="dxa"/>
                  <w:noWrap w:val="0"/>
                  <w:vAlign w:val="center"/>
                </w:tcPr>
                <w:p w14:paraId="3263A62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45.3</w:t>
                  </w:r>
                </w:p>
              </w:tc>
              <w:tc>
                <w:tcPr>
                  <w:tcW w:w="615" w:type="dxa"/>
                  <w:noWrap w:val="0"/>
                  <w:vAlign w:val="center"/>
                </w:tcPr>
                <w:p w14:paraId="18A047B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66.9</w:t>
                  </w:r>
                </w:p>
              </w:tc>
              <w:tc>
                <w:tcPr>
                  <w:tcW w:w="585" w:type="dxa"/>
                  <w:noWrap w:val="0"/>
                  <w:vAlign w:val="center"/>
                </w:tcPr>
                <w:p w14:paraId="0532D59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46</w:t>
                  </w:r>
                </w:p>
              </w:tc>
              <w:tc>
                <w:tcPr>
                  <w:tcW w:w="360" w:type="dxa"/>
                  <w:vMerge w:val="continue"/>
                  <w:noWrap w:val="0"/>
                  <w:vAlign w:val="center"/>
                </w:tcPr>
                <w:p w14:paraId="062D0F85">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780" w:type="dxa"/>
                  <w:shd w:val="clear" w:color="auto" w:fill="auto"/>
                  <w:noWrap w:val="0"/>
                  <w:vAlign w:val="center"/>
                </w:tcPr>
                <w:p w14:paraId="5F9A1D38">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25</w:t>
                  </w:r>
                </w:p>
              </w:tc>
              <w:tc>
                <w:tcPr>
                  <w:tcW w:w="645" w:type="dxa"/>
                  <w:noWrap w:val="0"/>
                  <w:vAlign w:val="center"/>
                </w:tcPr>
                <w:p w14:paraId="74896AF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37.4</w:t>
                  </w:r>
                </w:p>
              </w:tc>
              <w:tc>
                <w:tcPr>
                  <w:tcW w:w="600" w:type="dxa"/>
                  <w:noWrap w:val="0"/>
                  <w:vAlign w:val="center"/>
                </w:tcPr>
                <w:p w14:paraId="338AFBC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20.3</w:t>
                  </w:r>
                </w:p>
              </w:tc>
              <w:tc>
                <w:tcPr>
                  <w:tcW w:w="615" w:type="dxa"/>
                  <w:noWrap w:val="0"/>
                  <w:vAlign w:val="center"/>
                </w:tcPr>
                <w:p w14:paraId="717D1D4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41.9</w:t>
                  </w:r>
                </w:p>
              </w:tc>
              <w:tc>
                <w:tcPr>
                  <w:tcW w:w="615" w:type="dxa"/>
                  <w:noWrap w:val="0"/>
                  <w:vAlign w:val="center"/>
                </w:tcPr>
                <w:p w14:paraId="5478751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21</w:t>
                  </w:r>
                </w:p>
              </w:tc>
              <w:tc>
                <w:tcPr>
                  <w:tcW w:w="509" w:type="dxa"/>
                  <w:noWrap w:val="0"/>
                  <w:vAlign w:val="center"/>
                </w:tcPr>
                <w:p w14:paraId="29B9A7A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1</w:t>
                  </w:r>
                </w:p>
              </w:tc>
            </w:tr>
            <w:tr w14:paraId="3CA8BA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vMerge w:val="continue"/>
                  <w:noWrap w:val="0"/>
                  <w:vAlign w:val="center"/>
                </w:tcPr>
                <w:p w14:paraId="219DD63A">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687" w:type="dxa"/>
                  <w:noWrap w:val="0"/>
                  <w:vAlign w:val="center"/>
                </w:tcPr>
                <w:p w14:paraId="21F2B27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静压压机</w:t>
                  </w:r>
                </w:p>
              </w:tc>
              <w:tc>
                <w:tcPr>
                  <w:tcW w:w="408" w:type="dxa"/>
                  <w:noWrap w:val="0"/>
                  <w:vAlign w:val="center"/>
                </w:tcPr>
                <w:p w14:paraId="60F34588">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eastAsia="zh-CN"/>
                    </w:rPr>
                  </w:pPr>
                  <w:r>
                    <w:rPr>
                      <w:rFonts w:hint="eastAsia"/>
                      <w:caps w:val="0"/>
                      <w:color w:val="auto"/>
                      <w:spacing w:val="0"/>
                      <w:position w:val="0"/>
                      <w:highlight w:val="none"/>
                      <w:lang w:val="en-US" w:eastAsia="zh-CN"/>
                    </w:rPr>
                    <w:t>2</w:t>
                  </w:r>
                </w:p>
              </w:tc>
              <w:tc>
                <w:tcPr>
                  <w:tcW w:w="539" w:type="dxa"/>
                  <w:noWrap w:val="0"/>
                  <w:vAlign w:val="center"/>
                </w:tcPr>
                <w:p w14:paraId="0959788F">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85</w:t>
                  </w:r>
                </w:p>
              </w:tc>
              <w:tc>
                <w:tcPr>
                  <w:tcW w:w="688" w:type="dxa"/>
                  <w:noWrap w:val="0"/>
                  <w:vAlign w:val="center"/>
                </w:tcPr>
                <w:p w14:paraId="3B82E553">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88</w:t>
                  </w:r>
                </w:p>
              </w:tc>
              <w:tc>
                <w:tcPr>
                  <w:tcW w:w="510" w:type="dxa"/>
                  <w:vMerge w:val="continue"/>
                  <w:noWrap w:val="0"/>
                  <w:vAlign w:val="center"/>
                </w:tcPr>
                <w:p w14:paraId="26D0139D">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465" w:type="dxa"/>
                  <w:noWrap w:val="0"/>
                  <w:vAlign w:val="center"/>
                </w:tcPr>
                <w:p w14:paraId="25BA5B3A">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-25.05</w:t>
                  </w:r>
                </w:p>
              </w:tc>
              <w:tc>
                <w:tcPr>
                  <w:tcW w:w="600" w:type="dxa"/>
                  <w:noWrap w:val="0"/>
                  <w:vAlign w:val="center"/>
                </w:tcPr>
                <w:p w14:paraId="3891802A">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-61.24</w:t>
                  </w:r>
                </w:p>
              </w:tc>
              <w:tc>
                <w:tcPr>
                  <w:tcW w:w="630" w:type="dxa"/>
                  <w:noWrap w:val="0"/>
                  <w:vAlign w:val="center"/>
                </w:tcPr>
                <w:p w14:paraId="4AADB0B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1</w:t>
                  </w:r>
                </w:p>
              </w:tc>
              <w:tc>
                <w:tcPr>
                  <w:tcW w:w="480" w:type="dxa"/>
                  <w:noWrap w:val="0"/>
                  <w:vAlign w:val="center"/>
                </w:tcPr>
                <w:p w14:paraId="134A3414">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30</w:t>
                  </w:r>
                </w:p>
              </w:tc>
              <w:tc>
                <w:tcPr>
                  <w:tcW w:w="525" w:type="dxa"/>
                  <w:noWrap w:val="0"/>
                  <w:vAlign w:val="center"/>
                </w:tcPr>
                <w:p w14:paraId="25E8510D">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28.9</w:t>
                  </w:r>
                </w:p>
              </w:tc>
              <w:tc>
                <w:tcPr>
                  <w:tcW w:w="480" w:type="dxa"/>
                  <w:noWrap w:val="0"/>
                  <w:vAlign w:val="center"/>
                </w:tcPr>
                <w:p w14:paraId="3FCC9427">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18</w:t>
                  </w:r>
                </w:p>
              </w:tc>
              <w:tc>
                <w:tcPr>
                  <w:tcW w:w="495" w:type="dxa"/>
                  <w:noWrap w:val="0"/>
                  <w:vAlign w:val="center"/>
                </w:tcPr>
                <w:p w14:paraId="691F9269">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12.6</w:t>
                  </w:r>
                </w:p>
              </w:tc>
              <w:tc>
                <w:tcPr>
                  <w:tcW w:w="600" w:type="dxa"/>
                  <w:noWrap w:val="0"/>
                  <w:vAlign w:val="center"/>
                </w:tcPr>
                <w:p w14:paraId="667F7D9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70.5</w:t>
                  </w:r>
                </w:p>
              </w:tc>
              <w:tc>
                <w:tcPr>
                  <w:tcW w:w="675" w:type="dxa"/>
                  <w:noWrap w:val="0"/>
                  <w:vAlign w:val="center"/>
                </w:tcPr>
                <w:p w14:paraId="7784667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50.8</w:t>
                  </w:r>
                </w:p>
              </w:tc>
              <w:tc>
                <w:tcPr>
                  <w:tcW w:w="615" w:type="dxa"/>
                  <w:noWrap w:val="0"/>
                  <w:vAlign w:val="center"/>
                </w:tcPr>
                <w:p w14:paraId="71E80E6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74.9</w:t>
                  </w:r>
                </w:p>
              </w:tc>
              <w:tc>
                <w:tcPr>
                  <w:tcW w:w="585" w:type="dxa"/>
                  <w:noWrap w:val="0"/>
                  <w:vAlign w:val="center"/>
                </w:tcPr>
                <w:p w14:paraId="1BF50E3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58</w:t>
                  </w:r>
                </w:p>
              </w:tc>
              <w:tc>
                <w:tcPr>
                  <w:tcW w:w="360" w:type="dxa"/>
                  <w:vMerge w:val="continue"/>
                  <w:noWrap w:val="0"/>
                  <w:vAlign w:val="center"/>
                </w:tcPr>
                <w:p w14:paraId="721ECEE7">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780" w:type="dxa"/>
                  <w:shd w:val="clear" w:color="auto" w:fill="auto"/>
                  <w:noWrap w:val="0"/>
                  <w:vAlign w:val="center"/>
                </w:tcPr>
                <w:p w14:paraId="0F7D8EF5">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25</w:t>
                  </w:r>
                </w:p>
              </w:tc>
              <w:tc>
                <w:tcPr>
                  <w:tcW w:w="645" w:type="dxa"/>
                  <w:noWrap w:val="0"/>
                  <w:vAlign w:val="center"/>
                </w:tcPr>
                <w:p w14:paraId="057ED5A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45.5</w:t>
                  </w:r>
                </w:p>
              </w:tc>
              <w:tc>
                <w:tcPr>
                  <w:tcW w:w="600" w:type="dxa"/>
                  <w:noWrap w:val="0"/>
                  <w:vAlign w:val="center"/>
                </w:tcPr>
                <w:p w14:paraId="1A88B89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25.8</w:t>
                  </w:r>
                </w:p>
              </w:tc>
              <w:tc>
                <w:tcPr>
                  <w:tcW w:w="615" w:type="dxa"/>
                  <w:noWrap w:val="0"/>
                  <w:vAlign w:val="center"/>
                </w:tcPr>
                <w:p w14:paraId="4367D79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49.9</w:t>
                  </w:r>
                </w:p>
              </w:tc>
              <w:tc>
                <w:tcPr>
                  <w:tcW w:w="615" w:type="dxa"/>
                  <w:noWrap w:val="0"/>
                  <w:vAlign w:val="center"/>
                </w:tcPr>
                <w:p w14:paraId="73E11DA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33</w:t>
                  </w:r>
                </w:p>
              </w:tc>
              <w:tc>
                <w:tcPr>
                  <w:tcW w:w="509" w:type="dxa"/>
                  <w:noWrap w:val="0"/>
                  <w:vAlign w:val="center"/>
                </w:tcPr>
                <w:p w14:paraId="5B69441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1</w:t>
                  </w:r>
                </w:p>
              </w:tc>
            </w:tr>
            <w:tr w14:paraId="6FB6BC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vMerge w:val="continue"/>
                  <w:noWrap w:val="0"/>
                  <w:vAlign w:val="center"/>
                </w:tcPr>
                <w:p w14:paraId="29ACEDE9">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687" w:type="dxa"/>
                  <w:noWrap w:val="0"/>
                  <w:vAlign w:val="center"/>
                </w:tcPr>
                <w:p w14:paraId="6F09BD6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码坯机</w:t>
                  </w:r>
                </w:p>
              </w:tc>
              <w:tc>
                <w:tcPr>
                  <w:tcW w:w="408" w:type="dxa"/>
                  <w:noWrap w:val="0"/>
                  <w:vAlign w:val="center"/>
                </w:tcPr>
                <w:p w14:paraId="6A918DB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1</w:t>
                  </w:r>
                </w:p>
              </w:tc>
              <w:tc>
                <w:tcPr>
                  <w:tcW w:w="539" w:type="dxa"/>
                  <w:noWrap w:val="0"/>
                  <w:vAlign w:val="center"/>
                </w:tcPr>
                <w:p w14:paraId="04FB921D">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65</w:t>
                  </w:r>
                </w:p>
              </w:tc>
              <w:tc>
                <w:tcPr>
                  <w:tcW w:w="688" w:type="dxa"/>
                  <w:noWrap w:val="0"/>
                  <w:vAlign w:val="center"/>
                </w:tcPr>
                <w:p w14:paraId="5AC7BBD3">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65</w:t>
                  </w:r>
                </w:p>
              </w:tc>
              <w:tc>
                <w:tcPr>
                  <w:tcW w:w="510" w:type="dxa"/>
                  <w:vMerge w:val="continue"/>
                  <w:noWrap w:val="0"/>
                  <w:vAlign w:val="center"/>
                </w:tcPr>
                <w:p w14:paraId="22823744">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465" w:type="dxa"/>
                  <w:noWrap w:val="0"/>
                  <w:vAlign w:val="center"/>
                </w:tcPr>
                <w:p w14:paraId="3CE31DDA">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-8.3</w:t>
                  </w:r>
                </w:p>
              </w:tc>
              <w:tc>
                <w:tcPr>
                  <w:tcW w:w="600" w:type="dxa"/>
                  <w:noWrap w:val="0"/>
                  <w:vAlign w:val="center"/>
                </w:tcPr>
                <w:p w14:paraId="7749651D">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-57.31</w:t>
                  </w:r>
                </w:p>
              </w:tc>
              <w:tc>
                <w:tcPr>
                  <w:tcW w:w="630" w:type="dxa"/>
                  <w:noWrap w:val="0"/>
                  <w:vAlign w:val="center"/>
                </w:tcPr>
                <w:p w14:paraId="71CB710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1</w:t>
                  </w:r>
                </w:p>
              </w:tc>
              <w:tc>
                <w:tcPr>
                  <w:tcW w:w="480" w:type="dxa"/>
                  <w:noWrap w:val="0"/>
                  <w:vAlign w:val="center"/>
                </w:tcPr>
                <w:p w14:paraId="4FF3913D">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18</w:t>
                  </w:r>
                </w:p>
              </w:tc>
              <w:tc>
                <w:tcPr>
                  <w:tcW w:w="525" w:type="dxa"/>
                  <w:noWrap w:val="0"/>
                  <w:vAlign w:val="center"/>
                </w:tcPr>
                <w:p w14:paraId="218816BB">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6.5</w:t>
                  </w:r>
                </w:p>
              </w:tc>
              <w:tc>
                <w:tcPr>
                  <w:tcW w:w="480" w:type="dxa"/>
                  <w:noWrap w:val="0"/>
                  <w:vAlign w:val="center"/>
                </w:tcPr>
                <w:p w14:paraId="75DE9293">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30</w:t>
                  </w:r>
                </w:p>
              </w:tc>
              <w:tc>
                <w:tcPr>
                  <w:tcW w:w="495" w:type="dxa"/>
                  <w:noWrap w:val="0"/>
                  <w:vAlign w:val="center"/>
                </w:tcPr>
                <w:p w14:paraId="5B4D3A7B">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35</w:t>
                  </w:r>
                </w:p>
              </w:tc>
              <w:tc>
                <w:tcPr>
                  <w:tcW w:w="600" w:type="dxa"/>
                  <w:noWrap w:val="0"/>
                  <w:vAlign w:val="center"/>
                </w:tcPr>
                <w:p w14:paraId="2518A9D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74.9</w:t>
                  </w:r>
                </w:p>
              </w:tc>
              <w:tc>
                <w:tcPr>
                  <w:tcW w:w="675" w:type="dxa"/>
                  <w:noWrap w:val="0"/>
                  <w:vAlign w:val="center"/>
                </w:tcPr>
                <w:p w14:paraId="18EA37B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63.7</w:t>
                  </w:r>
                </w:p>
              </w:tc>
              <w:tc>
                <w:tcPr>
                  <w:tcW w:w="615" w:type="dxa"/>
                  <w:noWrap w:val="0"/>
                  <w:vAlign w:val="center"/>
                </w:tcPr>
                <w:p w14:paraId="6D6923E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70.5</w:t>
                  </w:r>
                </w:p>
              </w:tc>
              <w:tc>
                <w:tcPr>
                  <w:tcW w:w="585" w:type="dxa"/>
                  <w:noWrap w:val="0"/>
                  <w:vAlign w:val="center"/>
                </w:tcPr>
                <w:p w14:paraId="0EC9A5C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49.1</w:t>
                  </w:r>
                </w:p>
              </w:tc>
              <w:tc>
                <w:tcPr>
                  <w:tcW w:w="360" w:type="dxa"/>
                  <w:vMerge w:val="continue"/>
                  <w:noWrap w:val="0"/>
                  <w:vAlign w:val="center"/>
                </w:tcPr>
                <w:p w14:paraId="142EA68B">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780" w:type="dxa"/>
                  <w:shd w:val="clear" w:color="auto" w:fill="auto"/>
                  <w:noWrap w:val="0"/>
                  <w:vAlign w:val="center"/>
                </w:tcPr>
                <w:p w14:paraId="4C3B8EAA">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25</w:t>
                  </w:r>
                </w:p>
              </w:tc>
              <w:tc>
                <w:tcPr>
                  <w:tcW w:w="645" w:type="dxa"/>
                  <w:noWrap w:val="0"/>
                  <w:vAlign w:val="center"/>
                </w:tcPr>
                <w:p w14:paraId="12493A8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49.9</w:t>
                  </w:r>
                </w:p>
              </w:tc>
              <w:tc>
                <w:tcPr>
                  <w:tcW w:w="600" w:type="dxa"/>
                  <w:noWrap w:val="0"/>
                  <w:vAlign w:val="center"/>
                </w:tcPr>
                <w:p w14:paraId="6A2AA62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38.7</w:t>
                  </w:r>
                </w:p>
              </w:tc>
              <w:tc>
                <w:tcPr>
                  <w:tcW w:w="615" w:type="dxa"/>
                  <w:noWrap w:val="0"/>
                  <w:vAlign w:val="center"/>
                </w:tcPr>
                <w:p w14:paraId="6541DEE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45.5</w:t>
                  </w:r>
                </w:p>
              </w:tc>
              <w:tc>
                <w:tcPr>
                  <w:tcW w:w="615" w:type="dxa"/>
                  <w:noWrap w:val="0"/>
                  <w:vAlign w:val="center"/>
                </w:tcPr>
                <w:p w14:paraId="2054645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24.1</w:t>
                  </w:r>
                </w:p>
              </w:tc>
              <w:tc>
                <w:tcPr>
                  <w:tcW w:w="509" w:type="dxa"/>
                  <w:noWrap w:val="0"/>
                  <w:vAlign w:val="center"/>
                </w:tcPr>
                <w:p w14:paraId="0C7E8E6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1</w:t>
                  </w:r>
                </w:p>
              </w:tc>
            </w:tr>
            <w:tr w14:paraId="2A04BB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441" w:type="dxa"/>
                  <w:vMerge w:val="continue"/>
                  <w:noWrap w:val="0"/>
                  <w:vAlign w:val="center"/>
                </w:tcPr>
                <w:p w14:paraId="3613EE33">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687" w:type="dxa"/>
                  <w:noWrap w:val="0"/>
                  <w:vAlign w:val="center"/>
                </w:tcPr>
                <w:p w14:paraId="52D4AF7F">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配料机</w:t>
                  </w:r>
                </w:p>
              </w:tc>
              <w:tc>
                <w:tcPr>
                  <w:tcW w:w="408" w:type="dxa"/>
                  <w:noWrap w:val="0"/>
                  <w:vAlign w:val="center"/>
                </w:tcPr>
                <w:p w14:paraId="6F965688">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eastAsia="zh-CN"/>
                    </w:rPr>
                  </w:pPr>
                  <w:r>
                    <w:rPr>
                      <w:rFonts w:hint="eastAsia"/>
                      <w:caps w:val="0"/>
                      <w:color w:val="auto"/>
                      <w:spacing w:val="0"/>
                      <w:position w:val="0"/>
                      <w:highlight w:val="none"/>
                      <w:lang w:val="en-US" w:eastAsia="zh-CN"/>
                    </w:rPr>
                    <w:t>2</w:t>
                  </w:r>
                </w:p>
              </w:tc>
              <w:tc>
                <w:tcPr>
                  <w:tcW w:w="539" w:type="dxa"/>
                  <w:noWrap w:val="0"/>
                  <w:vAlign w:val="center"/>
                </w:tcPr>
                <w:p w14:paraId="20778B4A">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eastAsia="zh-CN"/>
                    </w:rPr>
                  </w:pPr>
                  <w:r>
                    <w:rPr>
                      <w:rFonts w:hint="default"/>
                      <w:caps w:val="0"/>
                      <w:color w:val="auto"/>
                      <w:spacing w:val="0"/>
                      <w:position w:val="0"/>
                      <w:highlight w:val="none"/>
                    </w:rPr>
                    <w:t>8</w:t>
                  </w:r>
                  <w:r>
                    <w:rPr>
                      <w:rFonts w:hint="eastAsia"/>
                      <w:caps w:val="0"/>
                      <w:color w:val="auto"/>
                      <w:spacing w:val="0"/>
                      <w:position w:val="0"/>
                      <w:highlight w:val="none"/>
                      <w:lang w:val="en-US" w:eastAsia="zh-CN"/>
                    </w:rPr>
                    <w:t>0</w:t>
                  </w:r>
                </w:p>
              </w:tc>
              <w:tc>
                <w:tcPr>
                  <w:tcW w:w="688" w:type="dxa"/>
                  <w:noWrap w:val="0"/>
                  <w:vAlign w:val="center"/>
                </w:tcPr>
                <w:p w14:paraId="2809728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83</w:t>
                  </w:r>
                </w:p>
              </w:tc>
              <w:tc>
                <w:tcPr>
                  <w:tcW w:w="510" w:type="dxa"/>
                  <w:vMerge w:val="continue"/>
                  <w:noWrap w:val="0"/>
                  <w:vAlign w:val="center"/>
                </w:tcPr>
                <w:p w14:paraId="58B8B8F6">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465" w:type="dxa"/>
                  <w:noWrap w:val="0"/>
                  <w:vAlign w:val="center"/>
                </w:tcPr>
                <w:p w14:paraId="40BEE37B">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-42.92</w:t>
                  </w:r>
                </w:p>
              </w:tc>
              <w:tc>
                <w:tcPr>
                  <w:tcW w:w="600" w:type="dxa"/>
                  <w:noWrap w:val="0"/>
                  <w:vAlign w:val="center"/>
                </w:tcPr>
                <w:p w14:paraId="3AED1B67">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-55.26</w:t>
                  </w:r>
                </w:p>
              </w:tc>
              <w:tc>
                <w:tcPr>
                  <w:tcW w:w="630" w:type="dxa"/>
                  <w:noWrap w:val="0"/>
                  <w:vAlign w:val="center"/>
                </w:tcPr>
                <w:p w14:paraId="3C6CF8B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1</w:t>
                  </w:r>
                </w:p>
              </w:tc>
              <w:tc>
                <w:tcPr>
                  <w:tcW w:w="480" w:type="dxa"/>
                  <w:noWrap w:val="0"/>
                  <w:vAlign w:val="center"/>
                </w:tcPr>
                <w:p w14:paraId="6CB317BB">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30</w:t>
                  </w:r>
                </w:p>
              </w:tc>
              <w:tc>
                <w:tcPr>
                  <w:tcW w:w="525" w:type="dxa"/>
                  <w:noWrap w:val="0"/>
                  <w:vAlign w:val="center"/>
                </w:tcPr>
                <w:p w14:paraId="4323FFB0">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10</w:t>
                  </w:r>
                </w:p>
              </w:tc>
              <w:tc>
                <w:tcPr>
                  <w:tcW w:w="480" w:type="dxa"/>
                  <w:noWrap w:val="0"/>
                  <w:vAlign w:val="center"/>
                </w:tcPr>
                <w:p w14:paraId="7A36F365">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18</w:t>
                  </w:r>
                </w:p>
              </w:tc>
              <w:tc>
                <w:tcPr>
                  <w:tcW w:w="495" w:type="dxa"/>
                  <w:noWrap w:val="0"/>
                  <w:vAlign w:val="center"/>
                </w:tcPr>
                <w:p w14:paraId="38FE9113">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31.5</w:t>
                  </w:r>
                </w:p>
              </w:tc>
              <w:tc>
                <w:tcPr>
                  <w:tcW w:w="600" w:type="dxa"/>
                  <w:noWrap w:val="0"/>
                  <w:vAlign w:val="center"/>
                </w:tcPr>
                <w:p w14:paraId="71AFACA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70.5</w:t>
                  </w:r>
                </w:p>
              </w:tc>
              <w:tc>
                <w:tcPr>
                  <w:tcW w:w="675" w:type="dxa"/>
                  <w:noWrap w:val="0"/>
                  <w:vAlign w:val="center"/>
                </w:tcPr>
                <w:p w14:paraId="528BB65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60</w:t>
                  </w:r>
                </w:p>
              </w:tc>
              <w:tc>
                <w:tcPr>
                  <w:tcW w:w="615" w:type="dxa"/>
                  <w:noWrap w:val="0"/>
                  <w:vAlign w:val="center"/>
                </w:tcPr>
                <w:p w14:paraId="73A2666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74.9</w:t>
                  </w:r>
                </w:p>
              </w:tc>
              <w:tc>
                <w:tcPr>
                  <w:tcW w:w="585" w:type="dxa"/>
                  <w:noWrap w:val="0"/>
                  <w:vAlign w:val="center"/>
                </w:tcPr>
                <w:p w14:paraId="6CB0F00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50</w:t>
                  </w:r>
                </w:p>
              </w:tc>
              <w:tc>
                <w:tcPr>
                  <w:tcW w:w="360" w:type="dxa"/>
                  <w:vMerge w:val="continue"/>
                  <w:noWrap w:val="0"/>
                  <w:vAlign w:val="center"/>
                </w:tcPr>
                <w:p w14:paraId="5006B49D">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780" w:type="dxa"/>
                  <w:shd w:val="clear" w:color="auto" w:fill="auto"/>
                  <w:noWrap w:val="0"/>
                  <w:vAlign w:val="center"/>
                </w:tcPr>
                <w:p w14:paraId="6C3148AA">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25</w:t>
                  </w:r>
                </w:p>
              </w:tc>
              <w:tc>
                <w:tcPr>
                  <w:tcW w:w="645" w:type="dxa"/>
                  <w:noWrap w:val="0"/>
                  <w:vAlign w:val="center"/>
                </w:tcPr>
                <w:p w14:paraId="75BCE10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45.5</w:t>
                  </w:r>
                </w:p>
              </w:tc>
              <w:tc>
                <w:tcPr>
                  <w:tcW w:w="600" w:type="dxa"/>
                  <w:noWrap w:val="0"/>
                  <w:vAlign w:val="center"/>
                </w:tcPr>
                <w:p w14:paraId="2272D86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35</w:t>
                  </w:r>
                </w:p>
              </w:tc>
              <w:tc>
                <w:tcPr>
                  <w:tcW w:w="615" w:type="dxa"/>
                  <w:noWrap w:val="0"/>
                  <w:vAlign w:val="center"/>
                </w:tcPr>
                <w:p w14:paraId="2434FB8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49.9</w:t>
                  </w:r>
                </w:p>
              </w:tc>
              <w:tc>
                <w:tcPr>
                  <w:tcW w:w="615" w:type="dxa"/>
                  <w:noWrap w:val="0"/>
                  <w:vAlign w:val="center"/>
                </w:tcPr>
                <w:p w14:paraId="3932B31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25</w:t>
                  </w:r>
                </w:p>
              </w:tc>
              <w:tc>
                <w:tcPr>
                  <w:tcW w:w="509" w:type="dxa"/>
                  <w:noWrap w:val="0"/>
                  <w:vAlign w:val="center"/>
                </w:tcPr>
                <w:p w14:paraId="03CA0BD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1</w:t>
                  </w:r>
                </w:p>
              </w:tc>
            </w:tr>
          </w:tbl>
          <w:p w14:paraId="3F77FAD9">
            <w:pPr>
              <w:pStyle w:val="75"/>
              <w:keepNext w:val="0"/>
              <w:keepLines w:val="0"/>
              <w:numPr>
                <w:ilvl w:val="0"/>
                <w:numId w:val="7"/>
              </w:numPr>
              <w:suppressLineNumbers w:val="0"/>
              <w:bidi w:val="0"/>
              <w:spacing w:before="0" w:beforeAutospacing="0" w:after="0" w:afterAutospacing="0"/>
              <w:ind w:left="425" w:leftChars="0" w:right="0" w:hanging="425" w:firstLineChars="0"/>
              <w:rPr>
                <w:rFonts w:hint="default"/>
                <w:caps w:val="0"/>
                <w:color w:val="auto"/>
                <w:spacing w:val="0"/>
                <w:position w:val="0"/>
                <w:highlight w:val="none"/>
              </w:rPr>
            </w:pPr>
            <w:r>
              <w:rPr>
                <w:rFonts w:hint="default"/>
                <w:caps w:val="0"/>
                <w:color w:val="auto"/>
                <w:spacing w:val="0"/>
                <w:position w:val="0"/>
                <w:highlight w:val="none"/>
              </w:rPr>
              <w:t>工业企业噪声源强调查清单（室外声源）</w:t>
            </w:r>
            <w:bookmarkStart w:id="76" w:name="PT_5"/>
            <w:bookmarkEnd w:id="76"/>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78"/>
              <w:gridCol w:w="1988"/>
              <w:gridCol w:w="1340"/>
              <w:gridCol w:w="1764"/>
              <w:gridCol w:w="1492"/>
              <w:gridCol w:w="781"/>
              <w:gridCol w:w="2024"/>
              <w:gridCol w:w="1839"/>
              <w:gridCol w:w="1541"/>
            </w:tblGrid>
            <w:tr w14:paraId="38C775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vMerge w:val="restart"/>
                  <w:noWrap w:val="0"/>
                  <w:vAlign w:val="center"/>
                </w:tcPr>
                <w:p w14:paraId="2D6D7A81">
                  <w:pPr>
                    <w:pStyle w:val="81"/>
                    <w:keepNext w:val="0"/>
                    <w:keepLines w:val="0"/>
                    <w:suppressLineNumbers w:val="0"/>
                    <w:spacing w:before="0" w:beforeAutospacing="0" w:after="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序号</w:t>
                  </w:r>
                </w:p>
              </w:tc>
              <w:tc>
                <w:tcPr>
                  <w:tcW w:w="1988" w:type="dxa"/>
                  <w:vMerge w:val="restart"/>
                  <w:noWrap w:val="0"/>
                  <w:vAlign w:val="center"/>
                </w:tcPr>
                <w:p w14:paraId="4F1B1D60">
                  <w:pPr>
                    <w:pStyle w:val="81"/>
                    <w:keepNext w:val="0"/>
                    <w:keepLines w:val="0"/>
                    <w:suppressLineNumbers w:val="0"/>
                    <w:spacing w:before="0" w:beforeAutospacing="0" w:after="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声源名称</w:t>
                  </w:r>
                </w:p>
              </w:tc>
              <w:tc>
                <w:tcPr>
                  <w:tcW w:w="1340" w:type="dxa"/>
                  <w:vMerge w:val="restart"/>
                  <w:noWrap w:val="0"/>
                  <w:vAlign w:val="center"/>
                </w:tcPr>
                <w:p w14:paraId="3C7383DA">
                  <w:pPr>
                    <w:pStyle w:val="81"/>
                    <w:keepNext w:val="0"/>
                    <w:keepLines w:val="0"/>
                    <w:suppressLineNumbers w:val="0"/>
                    <w:spacing w:before="0" w:beforeAutospacing="0" w:after="0" w:afterAutospacing="0"/>
                    <w:ind w:left="0" w:right="0"/>
                    <w:rPr>
                      <w:rFonts w:hint="eastAsia"/>
                      <w:b/>
                      <w:bCs/>
                      <w:caps w:val="0"/>
                      <w:color w:val="auto"/>
                      <w:spacing w:val="0"/>
                      <w:position w:val="0"/>
                      <w:highlight w:val="none"/>
                    </w:rPr>
                  </w:pPr>
                  <w:r>
                    <w:rPr>
                      <w:rFonts w:hint="eastAsia"/>
                      <w:b/>
                      <w:bCs/>
                      <w:caps w:val="0"/>
                      <w:color w:val="auto"/>
                      <w:spacing w:val="0"/>
                      <w:position w:val="0"/>
                      <w:highlight w:val="none"/>
                    </w:rPr>
                    <w:t>数量</w:t>
                  </w:r>
                </w:p>
              </w:tc>
              <w:tc>
                <w:tcPr>
                  <w:tcW w:w="4037" w:type="dxa"/>
                  <w:gridSpan w:val="3"/>
                  <w:noWrap w:val="0"/>
                  <w:vAlign w:val="center"/>
                </w:tcPr>
                <w:p w14:paraId="2B4B7F9D">
                  <w:pPr>
                    <w:pStyle w:val="81"/>
                    <w:keepNext w:val="0"/>
                    <w:keepLines w:val="0"/>
                    <w:suppressLineNumbers w:val="0"/>
                    <w:spacing w:before="0" w:beforeAutospacing="0" w:after="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空间相对位置/m</w:t>
                  </w:r>
                </w:p>
              </w:tc>
              <w:tc>
                <w:tcPr>
                  <w:tcW w:w="2024" w:type="dxa"/>
                  <w:noWrap w:val="0"/>
                  <w:vAlign w:val="center"/>
                </w:tcPr>
                <w:p w14:paraId="1957D744">
                  <w:pPr>
                    <w:pStyle w:val="81"/>
                    <w:keepNext w:val="0"/>
                    <w:keepLines w:val="0"/>
                    <w:suppressLineNumbers w:val="0"/>
                    <w:spacing w:before="0" w:beforeAutospacing="0" w:after="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声源源强</w:t>
                  </w:r>
                </w:p>
              </w:tc>
              <w:tc>
                <w:tcPr>
                  <w:tcW w:w="1839" w:type="dxa"/>
                  <w:vMerge w:val="restart"/>
                  <w:noWrap w:val="0"/>
                  <w:vAlign w:val="center"/>
                </w:tcPr>
                <w:p w14:paraId="6819618A">
                  <w:pPr>
                    <w:pStyle w:val="81"/>
                    <w:keepNext w:val="0"/>
                    <w:keepLines w:val="0"/>
                    <w:suppressLineNumbers w:val="0"/>
                    <w:spacing w:before="0" w:beforeAutospacing="0" w:after="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声源控制措施</w:t>
                  </w:r>
                </w:p>
              </w:tc>
              <w:tc>
                <w:tcPr>
                  <w:tcW w:w="1541" w:type="dxa"/>
                  <w:vMerge w:val="restart"/>
                  <w:noWrap w:val="0"/>
                  <w:vAlign w:val="center"/>
                </w:tcPr>
                <w:p w14:paraId="4A9ADB9B">
                  <w:pPr>
                    <w:pStyle w:val="81"/>
                    <w:keepNext w:val="0"/>
                    <w:keepLines w:val="0"/>
                    <w:suppressLineNumbers w:val="0"/>
                    <w:spacing w:before="0" w:beforeAutospacing="0" w:after="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运行时段h/a</w:t>
                  </w:r>
                </w:p>
              </w:tc>
            </w:tr>
            <w:tr w14:paraId="3A676E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vMerge w:val="continue"/>
                  <w:noWrap w:val="0"/>
                  <w:vAlign w:val="center"/>
                </w:tcPr>
                <w:p w14:paraId="6ED2430F">
                  <w:pPr>
                    <w:pStyle w:val="81"/>
                    <w:keepNext w:val="0"/>
                    <w:keepLines w:val="0"/>
                    <w:suppressLineNumbers w:val="0"/>
                    <w:spacing w:before="0" w:beforeAutospacing="0" w:after="0" w:afterAutospacing="0"/>
                    <w:ind w:left="0" w:right="0"/>
                    <w:rPr>
                      <w:rFonts w:hint="default"/>
                      <w:caps w:val="0"/>
                      <w:color w:val="auto"/>
                      <w:spacing w:val="0"/>
                      <w:position w:val="0"/>
                      <w:highlight w:val="none"/>
                    </w:rPr>
                  </w:pPr>
                </w:p>
              </w:tc>
              <w:tc>
                <w:tcPr>
                  <w:tcW w:w="1988" w:type="dxa"/>
                  <w:vMerge w:val="continue"/>
                  <w:noWrap w:val="0"/>
                  <w:vAlign w:val="center"/>
                </w:tcPr>
                <w:p w14:paraId="5D81936C">
                  <w:pPr>
                    <w:pStyle w:val="81"/>
                    <w:keepNext w:val="0"/>
                    <w:keepLines w:val="0"/>
                    <w:suppressLineNumbers w:val="0"/>
                    <w:spacing w:before="0" w:beforeAutospacing="0" w:after="0" w:afterAutospacing="0"/>
                    <w:ind w:left="0" w:right="0"/>
                    <w:rPr>
                      <w:rFonts w:hint="default"/>
                      <w:caps w:val="0"/>
                      <w:color w:val="auto"/>
                      <w:spacing w:val="0"/>
                      <w:position w:val="0"/>
                      <w:highlight w:val="none"/>
                    </w:rPr>
                  </w:pPr>
                </w:p>
              </w:tc>
              <w:tc>
                <w:tcPr>
                  <w:tcW w:w="1340" w:type="dxa"/>
                  <w:vMerge w:val="continue"/>
                  <w:noWrap w:val="0"/>
                  <w:vAlign w:val="center"/>
                </w:tcPr>
                <w:p w14:paraId="770605DD">
                  <w:pPr>
                    <w:pStyle w:val="81"/>
                    <w:keepNext w:val="0"/>
                    <w:keepLines w:val="0"/>
                    <w:suppressLineNumbers w:val="0"/>
                    <w:spacing w:before="0" w:beforeAutospacing="0" w:after="0" w:afterAutospacing="0"/>
                    <w:ind w:left="0" w:right="0"/>
                    <w:rPr>
                      <w:rFonts w:hint="default"/>
                      <w:b/>
                      <w:bCs/>
                      <w:caps w:val="0"/>
                      <w:color w:val="auto"/>
                      <w:spacing w:val="0"/>
                      <w:position w:val="0"/>
                      <w:highlight w:val="none"/>
                    </w:rPr>
                  </w:pPr>
                </w:p>
              </w:tc>
              <w:tc>
                <w:tcPr>
                  <w:tcW w:w="1764" w:type="dxa"/>
                  <w:noWrap w:val="0"/>
                  <w:vAlign w:val="center"/>
                </w:tcPr>
                <w:p w14:paraId="0B8A94C9">
                  <w:pPr>
                    <w:pStyle w:val="81"/>
                    <w:keepNext w:val="0"/>
                    <w:keepLines w:val="0"/>
                    <w:suppressLineNumbers w:val="0"/>
                    <w:spacing w:before="0" w:beforeAutospacing="0" w:after="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X</w:t>
                  </w:r>
                </w:p>
              </w:tc>
              <w:tc>
                <w:tcPr>
                  <w:tcW w:w="1492" w:type="dxa"/>
                  <w:noWrap w:val="0"/>
                  <w:vAlign w:val="center"/>
                </w:tcPr>
                <w:p w14:paraId="53C59387">
                  <w:pPr>
                    <w:pStyle w:val="81"/>
                    <w:keepNext w:val="0"/>
                    <w:keepLines w:val="0"/>
                    <w:suppressLineNumbers w:val="0"/>
                    <w:spacing w:before="0" w:beforeAutospacing="0" w:after="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Y</w:t>
                  </w:r>
                </w:p>
              </w:tc>
              <w:tc>
                <w:tcPr>
                  <w:tcW w:w="781" w:type="dxa"/>
                  <w:noWrap w:val="0"/>
                  <w:vAlign w:val="center"/>
                </w:tcPr>
                <w:p w14:paraId="26255268">
                  <w:pPr>
                    <w:pStyle w:val="81"/>
                    <w:keepNext w:val="0"/>
                    <w:keepLines w:val="0"/>
                    <w:suppressLineNumbers w:val="0"/>
                    <w:spacing w:before="0" w:beforeAutospacing="0" w:after="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Z</w:t>
                  </w:r>
                </w:p>
              </w:tc>
              <w:tc>
                <w:tcPr>
                  <w:tcW w:w="2024" w:type="dxa"/>
                  <w:noWrap w:val="0"/>
                  <w:vAlign w:val="center"/>
                </w:tcPr>
                <w:p w14:paraId="6E4F03CA">
                  <w:pPr>
                    <w:pStyle w:val="81"/>
                    <w:keepNext w:val="0"/>
                    <w:keepLines w:val="0"/>
                    <w:suppressLineNumbers w:val="0"/>
                    <w:spacing w:before="0" w:beforeAutospacing="0" w:after="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声功率级/dB(A)</w:t>
                  </w:r>
                </w:p>
              </w:tc>
              <w:tc>
                <w:tcPr>
                  <w:tcW w:w="1839" w:type="dxa"/>
                  <w:vMerge w:val="continue"/>
                  <w:noWrap w:val="0"/>
                  <w:vAlign w:val="center"/>
                </w:tcPr>
                <w:p w14:paraId="260C1A78">
                  <w:pPr>
                    <w:pStyle w:val="81"/>
                    <w:keepNext w:val="0"/>
                    <w:keepLines w:val="0"/>
                    <w:suppressLineNumbers w:val="0"/>
                    <w:spacing w:before="0" w:beforeAutospacing="0" w:after="0" w:afterAutospacing="0"/>
                    <w:ind w:left="0" w:right="0"/>
                    <w:rPr>
                      <w:rFonts w:hint="default"/>
                      <w:caps w:val="0"/>
                      <w:color w:val="auto"/>
                      <w:spacing w:val="0"/>
                      <w:position w:val="0"/>
                      <w:highlight w:val="none"/>
                    </w:rPr>
                  </w:pPr>
                </w:p>
              </w:tc>
              <w:tc>
                <w:tcPr>
                  <w:tcW w:w="1541" w:type="dxa"/>
                  <w:vMerge w:val="continue"/>
                  <w:noWrap w:val="0"/>
                  <w:vAlign w:val="center"/>
                </w:tcPr>
                <w:p w14:paraId="1F05A51E">
                  <w:pPr>
                    <w:pStyle w:val="81"/>
                    <w:keepNext w:val="0"/>
                    <w:keepLines w:val="0"/>
                    <w:suppressLineNumbers w:val="0"/>
                    <w:spacing w:before="0" w:beforeAutospacing="0" w:after="0" w:afterAutospacing="0"/>
                    <w:ind w:left="0" w:right="0"/>
                    <w:rPr>
                      <w:rFonts w:hint="default"/>
                      <w:caps w:val="0"/>
                      <w:color w:val="auto"/>
                      <w:spacing w:val="0"/>
                      <w:position w:val="0"/>
                      <w:highlight w:val="none"/>
                    </w:rPr>
                  </w:pPr>
                </w:p>
              </w:tc>
            </w:tr>
            <w:tr w14:paraId="75A747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noWrap w:val="0"/>
                  <w:vAlign w:val="center"/>
                </w:tcPr>
                <w:p w14:paraId="0E86290A">
                  <w:pPr>
                    <w:pStyle w:val="81"/>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w:t>
                  </w:r>
                </w:p>
              </w:tc>
              <w:tc>
                <w:tcPr>
                  <w:tcW w:w="1988" w:type="dxa"/>
                  <w:noWrap w:val="0"/>
                  <w:vAlign w:val="center"/>
                </w:tcPr>
                <w:p w14:paraId="7C5D9008">
                  <w:pPr>
                    <w:pStyle w:val="81"/>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废气处理风机</w:t>
                  </w:r>
                </w:p>
              </w:tc>
              <w:tc>
                <w:tcPr>
                  <w:tcW w:w="1340" w:type="dxa"/>
                  <w:noWrap w:val="0"/>
                  <w:vAlign w:val="center"/>
                </w:tcPr>
                <w:p w14:paraId="6133E394">
                  <w:pPr>
                    <w:pStyle w:val="81"/>
                    <w:keepNext w:val="0"/>
                    <w:keepLines w:val="0"/>
                    <w:suppressLineNumbers w:val="0"/>
                    <w:spacing w:before="0" w:beforeAutospacing="0" w:after="0" w:afterAutospacing="0"/>
                    <w:ind w:left="0" w:right="0"/>
                    <w:rPr>
                      <w:rFonts w:hint="eastAsia" w:eastAsia="宋体"/>
                      <w:caps w:val="0"/>
                      <w:color w:val="auto"/>
                      <w:spacing w:val="0"/>
                      <w:position w:val="0"/>
                      <w:highlight w:val="none"/>
                      <w:lang w:eastAsia="zh-CN"/>
                    </w:rPr>
                  </w:pPr>
                  <w:r>
                    <w:rPr>
                      <w:rFonts w:hint="eastAsia"/>
                      <w:caps w:val="0"/>
                      <w:color w:val="auto"/>
                      <w:spacing w:val="0"/>
                      <w:position w:val="0"/>
                      <w:highlight w:val="none"/>
                      <w:lang w:val="en-US" w:eastAsia="zh-CN"/>
                    </w:rPr>
                    <w:t>1</w:t>
                  </w:r>
                </w:p>
              </w:tc>
              <w:tc>
                <w:tcPr>
                  <w:tcW w:w="1764" w:type="dxa"/>
                  <w:noWrap w:val="0"/>
                  <w:vAlign w:val="center"/>
                </w:tcPr>
                <w:p w14:paraId="54BB47A6">
                  <w:pPr>
                    <w:pStyle w:val="8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-32.72</w:t>
                  </w:r>
                </w:p>
              </w:tc>
              <w:tc>
                <w:tcPr>
                  <w:tcW w:w="1492" w:type="dxa"/>
                  <w:noWrap w:val="0"/>
                  <w:vAlign w:val="center"/>
                </w:tcPr>
                <w:p w14:paraId="06DF4EB1">
                  <w:pPr>
                    <w:pStyle w:val="8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-34.11</w:t>
                  </w:r>
                </w:p>
              </w:tc>
              <w:tc>
                <w:tcPr>
                  <w:tcW w:w="781" w:type="dxa"/>
                  <w:noWrap w:val="0"/>
                  <w:vAlign w:val="center"/>
                </w:tcPr>
                <w:p w14:paraId="5D286269">
                  <w:pPr>
                    <w:pStyle w:val="81"/>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w:t>
                  </w:r>
                </w:p>
              </w:tc>
              <w:tc>
                <w:tcPr>
                  <w:tcW w:w="2024" w:type="dxa"/>
                  <w:noWrap w:val="0"/>
                  <w:vAlign w:val="center"/>
                </w:tcPr>
                <w:p w14:paraId="0E0BA3FC">
                  <w:pPr>
                    <w:pStyle w:val="81"/>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8</w:t>
                  </w:r>
                  <w:r>
                    <w:rPr>
                      <w:rFonts w:hint="default"/>
                      <w:caps w:val="0"/>
                      <w:color w:val="auto"/>
                      <w:spacing w:val="0"/>
                      <w:position w:val="0"/>
                      <w:highlight w:val="none"/>
                    </w:rPr>
                    <w:t>5</w:t>
                  </w:r>
                </w:p>
              </w:tc>
              <w:tc>
                <w:tcPr>
                  <w:tcW w:w="1839" w:type="dxa"/>
                  <w:noWrap w:val="0"/>
                  <w:vAlign w:val="center"/>
                </w:tcPr>
                <w:p w14:paraId="7D83B7F0">
                  <w:pPr>
                    <w:pStyle w:val="81"/>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隔声减震</w:t>
                  </w:r>
                </w:p>
              </w:tc>
              <w:tc>
                <w:tcPr>
                  <w:tcW w:w="1541" w:type="dxa"/>
                  <w:noWrap w:val="0"/>
                  <w:vAlign w:val="center"/>
                </w:tcPr>
                <w:p w14:paraId="19748A5E">
                  <w:pPr>
                    <w:pStyle w:val="81"/>
                    <w:keepNext w:val="0"/>
                    <w:keepLines w:val="0"/>
                    <w:suppressLineNumbers w:val="0"/>
                    <w:spacing w:before="0" w:beforeAutospacing="0" w:after="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4800</w:t>
                  </w:r>
                </w:p>
              </w:tc>
            </w:tr>
            <w:tr w14:paraId="7A9223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778" w:type="dxa"/>
                  <w:noWrap w:val="0"/>
                  <w:vAlign w:val="center"/>
                </w:tcPr>
                <w:p w14:paraId="7D4EFDF2">
                  <w:pPr>
                    <w:pStyle w:val="81"/>
                    <w:keepNext w:val="0"/>
                    <w:keepLines w:val="0"/>
                    <w:suppressLineNumbers w:val="0"/>
                    <w:spacing w:before="0" w:beforeAutospacing="0" w:after="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2</w:t>
                  </w:r>
                </w:p>
              </w:tc>
              <w:tc>
                <w:tcPr>
                  <w:tcW w:w="1988" w:type="dxa"/>
                  <w:noWrap w:val="0"/>
                  <w:vAlign w:val="center"/>
                </w:tcPr>
                <w:p w14:paraId="26D5661E">
                  <w:pPr>
                    <w:pStyle w:val="81"/>
                    <w:keepNext w:val="0"/>
                    <w:keepLines w:val="0"/>
                    <w:suppressLineNumbers w:val="0"/>
                    <w:spacing w:before="0" w:beforeAutospacing="0" w:after="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空压机</w:t>
                  </w:r>
                </w:p>
              </w:tc>
              <w:tc>
                <w:tcPr>
                  <w:tcW w:w="1340" w:type="dxa"/>
                  <w:noWrap w:val="0"/>
                  <w:vAlign w:val="center"/>
                </w:tcPr>
                <w:p w14:paraId="76590EBC">
                  <w:pPr>
                    <w:pStyle w:val="81"/>
                    <w:keepNext w:val="0"/>
                    <w:keepLines w:val="0"/>
                    <w:suppressLineNumbers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w:t>
                  </w:r>
                </w:p>
              </w:tc>
              <w:tc>
                <w:tcPr>
                  <w:tcW w:w="1764" w:type="dxa"/>
                  <w:noWrap w:val="0"/>
                  <w:vAlign w:val="center"/>
                </w:tcPr>
                <w:p w14:paraId="26E4382C">
                  <w:pPr>
                    <w:pStyle w:val="8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-27.2</w:t>
                  </w:r>
                </w:p>
              </w:tc>
              <w:tc>
                <w:tcPr>
                  <w:tcW w:w="1492" w:type="dxa"/>
                  <w:noWrap w:val="0"/>
                  <w:vAlign w:val="center"/>
                </w:tcPr>
                <w:p w14:paraId="4F63E2D8">
                  <w:pPr>
                    <w:pStyle w:val="8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0.23</w:t>
                  </w:r>
                </w:p>
              </w:tc>
              <w:tc>
                <w:tcPr>
                  <w:tcW w:w="781" w:type="dxa"/>
                  <w:noWrap w:val="0"/>
                  <w:vAlign w:val="center"/>
                </w:tcPr>
                <w:p w14:paraId="5B2171D2">
                  <w:pPr>
                    <w:pStyle w:val="81"/>
                    <w:keepNext w:val="0"/>
                    <w:keepLines w:val="0"/>
                    <w:suppressLineNumbers w:val="0"/>
                    <w:spacing w:before="0" w:beforeAutospacing="0" w:after="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1</w:t>
                  </w:r>
                </w:p>
              </w:tc>
              <w:tc>
                <w:tcPr>
                  <w:tcW w:w="2024" w:type="dxa"/>
                  <w:shd w:val="clear" w:color="auto" w:fill="auto"/>
                  <w:noWrap w:val="0"/>
                  <w:vAlign w:val="center"/>
                </w:tcPr>
                <w:p w14:paraId="02E76FF6">
                  <w:pPr>
                    <w:pStyle w:val="81"/>
                    <w:keepNext w:val="0"/>
                    <w:keepLines w:val="0"/>
                    <w:suppressLineNumbers w:val="0"/>
                    <w:spacing w:before="0" w:beforeAutospacing="0" w:after="0" w:afterAutospacing="0"/>
                    <w:ind w:left="0" w:leftChars="0" w:right="0" w:rightChars="0" w:firstLine="0" w:firstLineChars="0"/>
                    <w:rPr>
                      <w:rFonts w:hint="eastAsia" w:ascii="Times New Roman" w:hAnsi="Times New Roman" w:eastAsia="宋体" w:cstheme="minorBidi"/>
                      <w:caps w:val="0"/>
                      <w:snapToGrid w:val="0"/>
                      <w:color w:val="auto"/>
                      <w:spacing w:val="0"/>
                      <w:kern w:val="0"/>
                      <w:position w:val="0"/>
                      <w:sz w:val="21"/>
                      <w:szCs w:val="21"/>
                      <w:highlight w:val="none"/>
                      <w:lang w:val="en-US" w:eastAsia="zh-CN" w:bidi="ar-SA"/>
                    </w:rPr>
                  </w:pPr>
                  <w:r>
                    <w:rPr>
                      <w:rFonts w:hint="eastAsia"/>
                      <w:caps w:val="0"/>
                      <w:color w:val="auto"/>
                      <w:spacing w:val="0"/>
                      <w:position w:val="0"/>
                      <w:highlight w:val="none"/>
                      <w:lang w:val="en-US" w:eastAsia="zh-CN"/>
                    </w:rPr>
                    <w:t>8</w:t>
                  </w:r>
                  <w:r>
                    <w:rPr>
                      <w:rFonts w:hint="default"/>
                      <w:caps w:val="0"/>
                      <w:color w:val="auto"/>
                      <w:spacing w:val="0"/>
                      <w:position w:val="0"/>
                      <w:highlight w:val="none"/>
                    </w:rPr>
                    <w:t>5</w:t>
                  </w:r>
                </w:p>
              </w:tc>
              <w:tc>
                <w:tcPr>
                  <w:tcW w:w="1839" w:type="dxa"/>
                  <w:shd w:val="clear" w:color="auto" w:fill="auto"/>
                  <w:noWrap w:val="0"/>
                  <w:vAlign w:val="center"/>
                </w:tcPr>
                <w:p w14:paraId="2AC8A88B">
                  <w:pPr>
                    <w:pStyle w:val="8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heme="minorBidi"/>
                      <w:caps w:val="0"/>
                      <w:snapToGrid w:val="0"/>
                      <w:color w:val="auto"/>
                      <w:spacing w:val="0"/>
                      <w:kern w:val="0"/>
                      <w:position w:val="0"/>
                      <w:sz w:val="21"/>
                      <w:szCs w:val="21"/>
                      <w:highlight w:val="none"/>
                      <w:lang w:val="en-US" w:eastAsia="zh-CN" w:bidi="ar-SA"/>
                    </w:rPr>
                  </w:pPr>
                  <w:r>
                    <w:rPr>
                      <w:rFonts w:hint="default"/>
                      <w:caps w:val="0"/>
                      <w:color w:val="auto"/>
                      <w:spacing w:val="0"/>
                      <w:position w:val="0"/>
                      <w:highlight w:val="none"/>
                    </w:rPr>
                    <w:t>隔声减震</w:t>
                  </w:r>
                </w:p>
              </w:tc>
              <w:tc>
                <w:tcPr>
                  <w:tcW w:w="1541" w:type="dxa"/>
                  <w:shd w:val="clear" w:color="auto" w:fill="auto"/>
                  <w:noWrap w:val="0"/>
                  <w:vAlign w:val="center"/>
                </w:tcPr>
                <w:p w14:paraId="6FF7DF5C">
                  <w:pPr>
                    <w:pStyle w:val="8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heme="minorBidi"/>
                      <w:caps w:val="0"/>
                      <w:snapToGrid w:val="0"/>
                      <w:color w:val="auto"/>
                      <w:spacing w:val="0"/>
                      <w:kern w:val="0"/>
                      <w:position w:val="0"/>
                      <w:sz w:val="21"/>
                      <w:szCs w:val="21"/>
                      <w:highlight w:val="none"/>
                      <w:lang w:val="en-US" w:eastAsia="zh-CN" w:bidi="ar-SA"/>
                    </w:rPr>
                  </w:pPr>
                  <w:r>
                    <w:rPr>
                      <w:rFonts w:hint="eastAsia" w:cstheme="minorBidi"/>
                      <w:caps w:val="0"/>
                      <w:snapToGrid w:val="0"/>
                      <w:color w:val="auto"/>
                      <w:spacing w:val="0"/>
                      <w:kern w:val="0"/>
                      <w:position w:val="0"/>
                      <w:sz w:val="21"/>
                      <w:szCs w:val="21"/>
                      <w:highlight w:val="none"/>
                      <w:lang w:val="en-US" w:eastAsia="zh-CN" w:bidi="ar-SA"/>
                    </w:rPr>
                    <w:t>4800</w:t>
                  </w:r>
                </w:p>
              </w:tc>
            </w:tr>
            <w:tr w14:paraId="4FDE81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noWrap w:val="0"/>
                  <w:vAlign w:val="center"/>
                </w:tcPr>
                <w:p w14:paraId="7416C720">
                  <w:pPr>
                    <w:pStyle w:val="81"/>
                    <w:keepNext w:val="0"/>
                    <w:keepLines w:val="0"/>
                    <w:suppressLineNumbers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w:t>
                  </w:r>
                </w:p>
              </w:tc>
              <w:tc>
                <w:tcPr>
                  <w:tcW w:w="1988" w:type="dxa"/>
                  <w:noWrap w:val="0"/>
                  <w:vAlign w:val="center"/>
                </w:tcPr>
                <w:p w14:paraId="00D11ABF">
                  <w:pPr>
                    <w:pStyle w:val="81"/>
                    <w:keepNext w:val="0"/>
                    <w:keepLines w:val="0"/>
                    <w:suppressLineNumbers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水泵</w:t>
                  </w:r>
                </w:p>
              </w:tc>
              <w:tc>
                <w:tcPr>
                  <w:tcW w:w="1340" w:type="dxa"/>
                  <w:noWrap w:val="0"/>
                  <w:vAlign w:val="center"/>
                </w:tcPr>
                <w:p w14:paraId="440A9D63">
                  <w:pPr>
                    <w:pStyle w:val="81"/>
                    <w:keepNext w:val="0"/>
                    <w:keepLines w:val="0"/>
                    <w:suppressLineNumbers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w:t>
                  </w:r>
                </w:p>
              </w:tc>
              <w:tc>
                <w:tcPr>
                  <w:tcW w:w="1764" w:type="dxa"/>
                  <w:noWrap w:val="0"/>
                  <w:vAlign w:val="center"/>
                </w:tcPr>
                <w:p w14:paraId="1AF5A5BD">
                  <w:pPr>
                    <w:pStyle w:val="8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-28.5</w:t>
                  </w:r>
                </w:p>
              </w:tc>
              <w:tc>
                <w:tcPr>
                  <w:tcW w:w="1492" w:type="dxa"/>
                  <w:noWrap w:val="0"/>
                  <w:vAlign w:val="center"/>
                </w:tcPr>
                <w:p w14:paraId="561151DA">
                  <w:pPr>
                    <w:pStyle w:val="81"/>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0.35</w:t>
                  </w:r>
                </w:p>
              </w:tc>
              <w:tc>
                <w:tcPr>
                  <w:tcW w:w="781" w:type="dxa"/>
                  <w:noWrap w:val="0"/>
                  <w:vAlign w:val="center"/>
                </w:tcPr>
                <w:p w14:paraId="666FB895">
                  <w:pPr>
                    <w:pStyle w:val="81"/>
                    <w:keepNext w:val="0"/>
                    <w:keepLines w:val="0"/>
                    <w:suppressLineNumbers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w:t>
                  </w:r>
                </w:p>
              </w:tc>
              <w:tc>
                <w:tcPr>
                  <w:tcW w:w="2024" w:type="dxa"/>
                  <w:shd w:val="clear" w:color="auto" w:fill="auto"/>
                  <w:noWrap w:val="0"/>
                  <w:vAlign w:val="center"/>
                </w:tcPr>
                <w:p w14:paraId="2447F0BA">
                  <w:pPr>
                    <w:pStyle w:val="81"/>
                    <w:keepNext w:val="0"/>
                    <w:keepLines w:val="0"/>
                    <w:suppressLineNumbers w:val="0"/>
                    <w:spacing w:before="0" w:beforeAutospacing="0" w:after="0" w:afterAutospacing="0"/>
                    <w:ind w:left="0" w:leftChars="0" w:right="0" w:rightChars="0" w:firstLine="0" w:firstLineChars="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85</w:t>
                  </w:r>
                </w:p>
              </w:tc>
              <w:tc>
                <w:tcPr>
                  <w:tcW w:w="1839" w:type="dxa"/>
                  <w:shd w:val="clear" w:color="auto" w:fill="auto"/>
                  <w:noWrap w:val="0"/>
                  <w:vAlign w:val="center"/>
                </w:tcPr>
                <w:p w14:paraId="3AB9290E">
                  <w:pPr>
                    <w:pStyle w:val="81"/>
                    <w:keepNext w:val="0"/>
                    <w:keepLines w:val="0"/>
                    <w:suppressLineNumbers w:val="0"/>
                    <w:spacing w:before="0" w:beforeAutospacing="0" w:after="0" w:afterAutospacing="0"/>
                    <w:ind w:left="0" w:leftChars="0" w:right="0" w:rightChars="0" w:firstLine="0" w:firstLineChars="0"/>
                    <w:rPr>
                      <w:rFonts w:hint="default"/>
                      <w:caps w:val="0"/>
                      <w:color w:val="auto"/>
                      <w:spacing w:val="0"/>
                      <w:position w:val="0"/>
                      <w:highlight w:val="none"/>
                    </w:rPr>
                  </w:pPr>
                  <w:r>
                    <w:rPr>
                      <w:rFonts w:hint="default"/>
                      <w:caps w:val="0"/>
                      <w:color w:val="auto"/>
                      <w:spacing w:val="0"/>
                      <w:position w:val="0"/>
                      <w:highlight w:val="none"/>
                    </w:rPr>
                    <w:t>隔声减震</w:t>
                  </w:r>
                </w:p>
              </w:tc>
              <w:tc>
                <w:tcPr>
                  <w:tcW w:w="1541" w:type="dxa"/>
                  <w:shd w:val="clear" w:color="auto" w:fill="auto"/>
                  <w:noWrap w:val="0"/>
                  <w:vAlign w:val="center"/>
                </w:tcPr>
                <w:p w14:paraId="348826C0">
                  <w:pPr>
                    <w:pStyle w:val="81"/>
                    <w:keepNext w:val="0"/>
                    <w:keepLines w:val="0"/>
                    <w:suppressLineNumbers w:val="0"/>
                    <w:spacing w:before="0" w:beforeAutospacing="0" w:after="0" w:afterAutospacing="0"/>
                    <w:ind w:left="0" w:leftChars="0" w:right="0" w:rightChars="0" w:firstLine="0" w:firstLineChars="0"/>
                    <w:rPr>
                      <w:rFonts w:hint="eastAsia" w:cstheme="minorBidi"/>
                      <w:caps w:val="0"/>
                      <w:snapToGrid w:val="0"/>
                      <w:color w:val="auto"/>
                      <w:spacing w:val="0"/>
                      <w:kern w:val="0"/>
                      <w:position w:val="0"/>
                      <w:sz w:val="21"/>
                      <w:szCs w:val="21"/>
                      <w:highlight w:val="none"/>
                      <w:lang w:val="en-US" w:eastAsia="zh-CN" w:bidi="ar-SA"/>
                    </w:rPr>
                  </w:pPr>
                  <w:r>
                    <w:rPr>
                      <w:rFonts w:hint="eastAsia" w:cstheme="minorBidi"/>
                      <w:caps w:val="0"/>
                      <w:snapToGrid w:val="0"/>
                      <w:color w:val="auto"/>
                      <w:spacing w:val="0"/>
                      <w:kern w:val="0"/>
                      <w:position w:val="0"/>
                      <w:sz w:val="21"/>
                      <w:szCs w:val="21"/>
                      <w:highlight w:val="none"/>
                      <w:lang w:val="en-US" w:eastAsia="zh-CN" w:bidi="ar-SA"/>
                    </w:rPr>
                    <w:t>4800</w:t>
                  </w:r>
                </w:p>
              </w:tc>
            </w:tr>
          </w:tbl>
          <w:p w14:paraId="72283138">
            <w:pPr>
              <w:pStyle w:val="86"/>
              <w:keepNext w:val="0"/>
              <w:keepLines w:val="0"/>
              <w:suppressLineNumbers w:val="0"/>
              <w:spacing w:before="0" w:beforeAutospacing="0" w:after="0" w:afterAutospacing="0"/>
              <w:ind w:left="0" w:right="0" w:firstLine="420"/>
              <w:rPr>
                <w:rFonts w:hint="eastAsia" w:cs="Times New Roman"/>
                <w:caps w:val="0"/>
                <w:color w:val="auto"/>
                <w:spacing w:val="0"/>
                <w:position w:val="0"/>
                <w:sz w:val="21"/>
                <w:szCs w:val="21"/>
                <w:highlight w:val="none"/>
              </w:rPr>
            </w:pPr>
            <w:r>
              <w:rPr>
                <w:rFonts w:hint="eastAsia" w:cs="Times New Roman"/>
                <w:caps w:val="0"/>
                <w:color w:val="auto"/>
                <w:spacing w:val="0"/>
                <w:position w:val="0"/>
                <w:sz w:val="21"/>
                <w:szCs w:val="21"/>
                <w:highlight w:val="none"/>
              </w:rPr>
              <w:t>注：此坐标以生产厂房中心为坐标原点，取正东方向为X轴正方向，正北方向为Y轴正方向建立直角坐标系。</w:t>
            </w:r>
          </w:p>
          <w:p w14:paraId="58A599DC">
            <w:pPr>
              <w:pStyle w:val="86"/>
              <w:keepNext w:val="0"/>
              <w:keepLines w:val="0"/>
              <w:suppressLineNumbers w:val="0"/>
              <w:spacing w:before="0" w:beforeAutospacing="0" w:after="0" w:afterAutospacing="0"/>
              <w:ind w:left="0" w:right="0" w:firstLine="420"/>
              <w:rPr>
                <w:rFonts w:hint="default" w:cs="Times New Roman"/>
                <w:caps w:val="0"/>
                <w:color w:val="auto"/>
                <w:spacing w:val="0"/>
                <w:position w:val="0"/>
                <w:sz w:val="21"/>
                <w:szCs w:val="21"/>
                <w:highlight w:val="none"/>
              </w:rPr>
            </w:pPr>
          </w:p>
          <w:p w14:paraId="29F8D15B">
            <w:pPr>
              <w:pStyle w:val="86"/>
              <w:keepNext w:val="0"/>
              <w:keepLines w:val="0"/>
              <w:suppressLineNumbers w:val="0"/>
              <w:spacing w:before="0" w:beforeAutospacing="0" w:after="0" w:afterAutospacing="0"/>
              <w:ind w:left="0" w:right="0" w:firstLine="420"/>
              <w:rPr>
                <w:rFonts w:hint="default" w:cs="Times New Roman"/>
                <w:caps w:val="0"/>
                <w:color w:val="auto"/>
                <w:spacing w:val="0"/>
                <w:position w:val="0"/>
                <w:sz w:val="21"/>
                <w:szCs w:val="21"/>
                <w:highlight w:val="none"/>
              </w:rPr>
            </w:pPr>
          </w:p>
          <w:p w14:paraId="3614C0A0">
            <w:pPr>
              <w:pStyle w:val="86"/>
              <w:keepNext w:val="0"/>
              <w:keepLines w:val="0"/>
              <w:suppressLineNumbers w:val="0"/>
              <w:spacing w:before="0" w:beforeAutospacing="0" w:after="0" w:afterAutospacing="0"/>
              <w:ind w:left="0" w:right="0" w:firstLine="420"/>
              <w:rPr>
                <w:rFonts w:hint="default" w:cs="Times New Roman"/>
                <w:caps w:val="0"/>
                <w:color w:val="auto"/>
                <w:spacing w:val="0"/>
                <w:position w:val="0"/>
                <w:sz w:val="21"/>
                <w:szCs w:val="21"/>
                <w:highlight w:val="none"/>
              </w:rPr>
            </w:pPr>
          </w:p>
          <w:p w14:paraId="2656DB18">
            <w:pPr>
              <w:pStyle w:val="86"/>
              <w:keepNext w:val="0"/>
              <w:keepLines w:val="0"/>
              <w:suppressLineNumbers w:val="0"/>
              <w:spacing w:before="0" w:beforeAutospacing="0" w:after="0" w:afterAutospacing="0"/>
              <w:ind w:left="0" w:right="0" w:firstLine="420"/>
              <w:rPr>
                <w:rFonts w:hint="eastAsia" w:cs="Times New Roman"/>
                <w:caps w:val="0"/>
                <w:color w:val="auto"/>
                <w:spacing w:val="0"/>
                <w:position w:val="0"/>
                <w:sz w:val="21"/>
                <w:szCs w:val="21"/>
                <w:highlight w:val="none"/>
              </w:rPr>
            </w:pPr>
          </w:p>
        </w:tc>
      </w:tr>
    </w:tbl>
    <w:p w14:paraId="7E7E3DAB">
      <w:pPr>
        <w:pStyle w:val="74"/>
        <w:bidi w:val="0"/>
        <w:ind w:left="0" w:leftChars="0" w:firstLine="0" w:firstLineChars="0"/>
        <w:rPr>
          <w:rFonts w:hint="eastAsia"/>
          <w:caps w:val="0"/>
          <w:color w:val="auto"/>
          <w:spacing w:val="0"/>
          <w:position w:val="0"/>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3"/>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9"/>
        <w:gridCol w:w="8584"/>
      </w:tblGrid>
      <w:tr w14:paraId="45238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4" w:hRule="atLeast"/>
          <w:jc w:val="center"/>
        </w:trPr>
        <w:tc>
          <w:tcPr>
            <w:tcW w:w="549" w:type="dxa"/>
            <w:noWrap w:val="0"/>
            <w:vAlign w:val="center"/>
          </w:tcPr>
          <w:p w14:paraId="19C26294">
            <w:pPr>
              <w:pStyle w:val="75"/>
              <w:keepNext w:val="0"/>
              <w:keepLines w:val="0"/>
              <w:suppressLineNumbers w:val="0"/>
              <w:bidi w:val="0"/>
              <w:spacing w:before="0" w:beforeAutospacing="0" w:after="0" w:afterAutospacing="0"/>
              <w:ind w:left="0" w:right="0"/>
              <w:rPr>
                <w:rFonts w:hint="default" w:ascii="Times New Roman" w:hAnsi="Times New Roman"/>
                <w:caps w:val="0"/>
                <w:snapToGrid w:val="0"/>
                <w:color w:val="auto"/>
                <w:spacing w:val="0"/>
                <w:position w:val="0"/>
                <w:szCs w:val="30"/>
                <w:highlight w:val="none"/>
              </w:rPr>
            </w:pPr>
            <w:r>
              <w:rPr>
                <w:rFonts w:hint="default"/>
                <w:caps w:val="0"/>
                <w:color w:val="auto"/>
                <w:spacing w:val="0"/>
                <w:position w:val="0"/>
                <w:highlight w:val="none"/>
              </w:rPr>
              <w:t>运营期环境影响和保护措施</w:t>
            </w:r>
          </w:p>
        </w:tc>
        <w:tc>
          <w:tcPr>
            <w:tcW w:w="8584" w:type="dxa"/>
            <w:noWrap w:val="0"/>
            <w:vAlign w:val="top"/>
          </w:tcPr>
          <w:p w14:paraId="758C3046">
            <w:pPr>
              <w:pStyle w:val="74"/>
              <w:keepNext w:val="0"/>
              <w:keepLines w:val="0"/>
              <w:suppressLineNumbers w:val="0"/>
              <w:bidi w:val="0"/>
              <w:spacing w:before="0" w:beforeAutospacing="0" w:after="0" w:afterAutospacing="0"/>
              <w:ind w:left="0" w:right="0"/>
              <w:rPr>
                <w:rFonts w:hint="eastAsia"/>
                <w:b/>
                <w:bCs w:val="0"/>
                <w:caps w:val="0"/>
                <w:color w:val="auto"/>
                <w:spacing w:val="0"/>
                <w:position w:val="0"/>
                <w:highlight w:val="none"/>
              </w:rPr>
            </w:pPr>
            <w:r>
              <w:rPr>
                <w:rFonts w:hint="default"/>
                <w:b/>
                <w:bCs w:val="0"/>
                <w:caps w:val="0"/>
                <w:color w:val="auto"/>
                <w:spacing w:val="0"/>
                <w:position w:val="0"/>
                <w:highlight w:val="none"/>
              </w:rPr>
              <w:t>3.2、</w:t>
            </w:r>
            <w:r>
              <w:rPr>
                <w:rFonts w:hint="eastAsia"/>
                <w:b/>
                <w:bCs w:val="0"/>
                <w:caps w:val="0"/>
                <w:color w:val="auto"/>
                <w:spacing w:val="0"/>
                <w:position w:val="0"/>
                <w:highlight w:val="none"/>
              </w:rPr>
              <w:t>物料运输、卸料噪声</w:t>
            </w:r>
          </w:p>
          <w:p w14:paraId="4B427157">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项目运营过程中尚有运输车辆等非稳态噪声源。非稳态噪声源源强在65~85dB(A)之间，运输车辆噪声为不连续、间断性噪声，噪声源声级较小。</w:t>
            </w:r>
          </w:p>
          <w:p w14:paraId="3ACBDAFD">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为避免车辆运输噪声影响，通过改善场区内路面结构、减缓道路坡度、加强管理，合理安排运输车次，避免道路拥挤，在敏感路段设置限速和禁鸣路牌；项目原料和产品的运输通过加强对汽车驾驶员的管理，汽车临近沿途村镇路段时要减速行驶、禁止鸣高音喇叭，将运输时间控制在6:00~22:00时范围，夜间不得运输。项目运输应严格按照既定的运输路线。通过采取上述措施后，可将车辆对运输道路沿线农户的影响控制在最小程度，减少扰民现象。</w:t>
            </w:r>
          </w:p>
          <w:p w14:paraId="7949DC7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物料卸料过程的噪声亦属非稳态噪声，通过降低卸料高度，加强管理后再经生产厂房隔声后，对周围声环境影响轻微。</w:t>
            </w:r>
          </w:p>
          <w:p w14:paraId="2F9EE5C6">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3.3、预测分析</w:t>
            </w:r>
          </w:p>
          <w:p w14:paraId="089E6C0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根据项目建设内容及《环境影响评价技术导则-声环境》（HJ2.4-2021）的要求，项目环评采用的模型为《环境影响评价技术导则-声环境》（HJ2.4.2021）附录A（规范性附录）户外声传播的衰减和附录B（规范性附录）中“B.1工业噪声预测计算模型”。</w:t>
            </w:r>
          </w:p>
          <w:p w14:paraId="54DDE1A5">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（1）对室外噪声源主要考虑噪声的几何发散衰减及环境因素衰减：</w:t>
            </w:r>
          </w:p>
          <w:p w14:paraId="7ECC7D79">
            <w:pPr>
              <w:pStyle w:val="74"/>
              <w:keepNext w:val="0"/>
              <w:keepLines w:val="0"/>
              <w:suppressLineNumbers w:val="0"/>
              <w:bidi w:val="0"/>
              <w:spacing w:before="0" w:beforeAutospacing="0" w:after="0" w:afterAutospacing="0"/>
              <w:ind w:left="0" w:leftChars="0" w:right="0" w:firstLine="0" w:firstLineChars="0"/>
              <w:jc w:val="center"/>
              <w:rPr>
                <w:rFonts w:hint="default"/>
                <w:caps w:val="0"/>
                <w:color w:val="auto"/>
                <w:spacing w:val="0"/>
                <w:position w:val="0"/>
                <w:highlight w:val="none"/>
              </w:rPr>
            </w:pPr>
            <w:r>
              <w:rPr>
                <w:rFonts w:hint="default"/>
                <w:caps w:val="0"/>
                <w:color w:val="auto"/>
                <w:spacing w:val="0"/>
                <w:position w:val="0"/>
                <w:highlight w:val="none"/>
              </w:rPr>
              <w:t>L</w:t>
            </w:r>
            <w:r>
              <w:rPr>
                <w:rFonts w:hint="default"/>
                <w:caps w:val="0"/>
                <w:color w:val="auto"/>
                <w:spacing w:val="0"/>
                <w:position w:val="0"/>
                <w:highlight w:val="none"/>
                <w:vertAlign w:val="subscript"/>
              </w:rPr>
              <w:t>2</w:t>
            </w:r>
            <w:r>
              <w:rPr>
                <w:rFonts w:hint="default"/>
                <w:caps w:val="0"/>
                <w:color w:val="auto"/>
                <w:spacing w:val="0"/>
                <w:position w:val="0"/>
                <w:highlight w:val="none"/>
              </w:rPr>
              <w:t>=L</w:t>
            </w:r>
            <w:r>
              <w:rPr>
                <w:rFonts w:hint="default"/>
                <w:caps w:val="0"/>
                <w:color w:val="auto"/>
                <w:spacing w:val="0"/>
                <w:position w:val="0"/>
                <w:highlight w:val="none"/>
                <w:vertAlign w:val="subscript"/>
              </w:rPr>
              <w:t>1</w:t>
            </w:r>
            <w:r>
              <w:rPr>
                <w:rFonts w:hint="default"/>
                <w:caps w:val="0"/>
                <w:color w:val="auto"/>
                <w:spacing w:val="0"/>
                <w:position w:val="0"/>
                <w:highlight w:val="none"/>
              </w:rPr>
              <w:t>-20lg(r</w:t>
            </w:r>
            <w:r>
              <w:rPr>
                <w:rFonts w:hint="default"/>
                <w:caps w:val="0"/>
                <w:color w:val="auto"/>
                <w:spacing w:val="0"/>
                <w:position w:val="0"/>
                <w:highlight w:val="none"/>
                <w:vertAlign w:val="subscript"/>
              </w:rPr>
              <w:t>2</w:t>
            </w:r>
            <w:r>
              <w:rPr>
                <w:rFonts w:hint="default"/>
                <w:caps w:val="0"/>
                <w:color w:val="auto"/>
                <w:spacing w:val="0"/>
                <w:position w:val="0"/>
                <w:highlight w:val="none"/>
              </w:rPr>
              <w:t>/r</w:t>
            </w:r>
            <w:r>
              <w:rPr>
                <w:rFonts w:hint="default"/>
                <w:caps w:val="0"/>
                <w:color w:val="auto"/>
                <w:spacing w:val="0"/>
                <w:position w:val="0"/>
                <w:highlight w:val="none"/>
                <w:vertAlign w:val="subscript"/>
              </w:rPr>
              <w:t>1</w:t>
            </w:r>
            <w:r>
              <w:rPr>
                <w:rFonts w:hint="default"/>
                <w:caps w:val="0"/>
                <w:color w:val="auto"/>
                <w:spacing w:val="0"/>
                <w:position w:val="0"/>
                <w:highlight w:val="none"/>
              </w:rPr>
              <w:t>)-ΔL   (1)</w:t>
            </w:r>
          </w:p>
          <w:p w14:paraId="261829AF">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式中：L</w:t>
            </w:r>
            <w:r>
              <w:rPr>
                <w:rFonts w:hint="default"/>
                <w:caps w:val="0"/>
                <w:color w:val="auto"/>
                <w:spacing w:val="0"/>
                <w:position w:val="0"/>
                <w:highlight w:val="none"/>
                <w:vertAlign w:val="subscript"/>
              </w:rPr>
              <w:t>2</w:t>
            </w:r>
            <w:r>
              <w:rPr>
                <w:rFonts w:hint="default"/>
                <w:caps w:val="0"/>
                <w:color w:val="auto"/>
                <w:spacing w:val="0"/>
                <w:position w:val="0"/>
                <w:highlight w:val="none"/>
              </w:rPr>
              <w:t>——点声源在预测点产生的声压级，dB(A)；</w:t>
            </w:r>
          </w:p>
          <w:p w14:paraId="0AAC3FA8">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L</w:t>
            </w:r>
            <w:r>
              <w:rPr>
                <w:rFonts w:hint="default"/>
                <w:caps w:val="0"/>
                <w:color w:val="auto"/>
                <w:spacing w:val="0"/>
                <w:position w:val="0"/>
                <w:highlight w:val="none"/>
                <w:vertAlign w:val="subscript"/>
              </w:rPr>
              <w:t>1</w:t>
            </w:r>
            <w:r>
              <w:rPr>
                <w:rFonts w:hint="default"/>
                <w:caps w:val="0"/>
                <w:color w:val="auto"/>
                <w:spacing w:val="0"/>
                <w:position w:val="0"/>
                <w:highlight w:val="none"/>
              </w:rPr>
              <w:t>——点声源在参考点产生的声压级，dB(A)；</w:t>
            </w:r>
          </w:p>
          <w:p w14:paraId="1D6F5F3F">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r</w:t>
            </w:r>
            <w:r>
              <w:rPr>
                <w:rFonts w:hint="default"/>
                <w:caps w:val="0"/>
                <w:color w:val="auto"/>
                <w:spacing w:val="0"/>
                <w:position w:val="0"/>
                <w:highlight w:val="none"/>
                <w:vertAlign w:val="subscript"/>
              </w:rPr>
              <w:t>2</w:t>
            </w:r>
            <w:r>
              <w:rPr>
                <w:rFonts w:hint="default"/>
                <w:caps w:val="0"/>
                <w:color w:val="auto"/>
                <w:spacing w:val="0"/>
                <w:position w:val="0"/>
                <w:highlight w:val="none"/>
              </w:rPr>
              <w:t>——预测点距声源的距离，m；</w:t>
            </w:r>
          </w:p>
          <w:p w14:paraId="2909511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r</w:t>
            </w:r>
            <w:r>
              <w:rPr>
                <w:rFonts w:hint="default"/>
                <w:caps w:val="0"/>
                <w:color w:val="auto"/>
                <w:spacing w:val="0"/>
                <w:position w:val="0"/>
                <w:highlight w:val="none"/>
                <w:vertAlign w:val="subscript"/>
              </w:rPr>
              <w:t>1</w:t>
            </w:r>
            <w:r>
              <w:rPr>
                <w:rFonts w:hint="default"/>
                <w:caps w:val="0"/>
                <w:color w:val="auto"/>
                <w:spacing w:val="0"/>
                <w:position w:val="0"/>
                <w:highlight w:val="none"/>
              </w:rPr>
              <w:t>——参考点距声源的距离，m；</w:t>
            </w:r>
          </w:p>
          <w:p w14:paraId="2206FA51">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ΔL——各种因素引起的衰减量（包括声屏障、空气吸收等引起的衰减量），dB(A)。</w:t>
            </w:r>
          </w:p>
          <w:p w14:paraId="08A23F29">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（2）对室内噪声源采用室内声源噪声模式并换算成等效的室外声源：</w:t>
            </w:r>
          </w:p>
          <w:p w14:paraId="48F5995B">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声源位于室内，室内声源可采用等效室外声源声功率级法进行计算。设靠近开口处（或窗户）室内、室外某倍频带的声压级分别为L</w:t>
            </w:r>
            <w:r>
              <w:rPr>
                <w:rFonts w:hint="default"/>
                <w:caps w:val="0"/>
                <w:color w:val="auto"/>
                <w:spacing w:val="0"/>
                <w:position w:val="0"/>
                <w:highlight w:val="none"/>
                <w:vertAlign w:val="subscript"/>
              </w:rPr>
              <w:t>p1</w:t>
            </w:r>
            <w:r>
              <w:rPr>
                <w:rFonts w:hint="default"/>
                <w:caps w:val="0"/>
                <w:color w:val="auto"/>
                <w:spacing w:val="0"/>
                <w:position w:val="0"/>
                <w:highlight w:val="none"/>
              </w:rPr>
              <w:t>和L</w:t>
            </w:r>
            <w:r>
              <w:rPr>
                <w:rFonts w:hint="default"/>
                <w:caps w:val="0"/>
                <w:color w:val="auto"/>
                <w:spacing w:val="0"/>
                <w:position w:val="0"/>
                <w:highlight w:val="none"/>
                <w:vertAlign w:val="subscript"/>
              </w:rPr>
              <w:t>p2</w:t>
            </w:r>
            <w:r>
              <w:rPr>
                <w:rFonts w:hint="default"/>
                <w:caps w:val="0"/>
                <w:color w:val="auto"/>
                <w:spacing w:val="0"/>
                <w:position w:val="0"/>
                <w:highlight w:val="none"/>
              </w:rPr>
              <w:t>。若声源所在室内声场为近似扩散声场，则室内的倍频带声压级可按下式近似求出：</w:t>
            </w:r>
          </w:p>
          <w:p w14:paraId="49CE0C53">
            <w:pPr>
              <w:pStyle w:val="74"/>
              <w:keepNext w:val="0"/>
              <w:keepLines w:val="0"/>
              <w:suppressLineNumbers w:val="0"/>
              <w:bidi w:val="0"/>
              <w:spacing w:before="0" w:beforeAutospacing="0" w:after="0" w:afterAutospacing="0"/>
              <w:ind w:left="0" w:leftChars="0" w:right="0" w:firstLine="0" w:firstLineChars="0"/>
              <w:jc w:val="center"/>
              <w:rPr>
                <w:rFonts w:hint="default"/>
                <w:caps w:val="0"/>
                <w:color w:val="auto"/>
                <w:spacing w:val="0"/>
                <w:position w:val="0"/>
                <w:highlight w:val="none"/>
              </w:rPr>
            </w:pPr>
            <w:r>
              <w:rPr>
                <w:rFonts w:hint="default"/>
                <w:caps w:val="0"/>
                <w:color w:val="auto"/>
                <w:spacing w:val="0"/>
                <w:position w:val="0"/>
                <w:highlight w:val="none"/>
              </w:rPr>
              <w:t>L</w:t>
            </w:r>
            <w:r>
              <w:rPr>
                <w:rFonts w:hint="default"/>
                <w:caps w:val="0"/>
                <w:color w:val="auto"/>
                <w:spacing w:val="0"/>
                <w:position w:val="0"/>
                <w:highlight w:val="none"/>
                <w:vertAlign w:val="subscript"/>
              </w:rPr>
              <w:t>p2</w:t>
            </w:r>
            <w:r>
              <w:rPr>
                <w:rFonts w:hint="default"/>
                <w:caps w:val="0"/>
                <w:color w:val="auto"/>
                <w:spacing w:val="0"/>
                <w:position w:val="0"/>
                <w:highlight w:val="none"/>
              </w:rPr>
              <w:t>=L</w:t>
            </w:r>
            <w:r>
              <w:rPr>
                <w:rFonts w:hint="default"/>
                <w:caps w:val="0"/>
                <w:color w:val="auto"/>
                <w:spacing w:val="0"/>
                <w:position w:val="0"/>
                <w:highlight w:val="none"/>
                <w:vertAlign w:val="subscript"/>
              </w:rPr>
              <w:t>p1</w:t>
            </w:r>
            <w:r>
              <w:rPr>
                <w:rFonts w:hint="default"/>
                <w:caps w:val="0"/>
                <w:color w:val="auto"/>
                <w:spacing w:val="0"/>
                <w:position w:val="0"/>
                <w:highlight w:val="none"/>
              </w:rPr>
              <w:t>-(TL+6）（2)</w:t>
            </w:r>
          </w:p>
          <w:p w14:paraId="058D1E2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式中：L</w:t>
            </w:r>
            <w:r>
              <w:rPr>
                <w:rFonts w:hint="default"/>
                <w:caps w:val="0"/>
                <w:color w:val="auto"/>
                <w:spacing w:val="0"/>
                <w:position w:val="0"/>
                <w:highlight w:val="none"/>
                <w:vertAlign w:val="subscript"/>
              </w:rPr>
              <w:t>p1</w:t>
            </w:r>
            <w:r>
              <w:rPr>
                <w:rFonts w:hint="default"/>
                <w:caps w:val="0"/>
                <w:color w:val="auto"/>
                <w:spacing w:val="0"/>
                <w:position w:val="0"/>
                <w:highlight w:val="none"/>
              </w:rPr>
              <w:t>——靠近开口处（或窗户）室内某倍频带的声压级或A声级，dB；</w:t>
            </w:r>
          </w:p>
          <w:p w14:paraId="1A3691D0">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L</w:t>
            </w:r>
            <w:r>
              <w:rPr>
                <w:rFonts w:hint="default"/>
                <w:caps w:val="0"/>
                <w:color w:val="auto"/>
                <w:spacing w:val="0"/>
                <w:position w:val="0"/>
                <w:highlight w:val="none"/>
                <w:vertAlign w:val="subscript"/>
              </w:rPr>
              <w:t>p2</w:t>
            </w:r>
            <w:r>
              <w:rPr>
                <w:rFonts w:hint="default"/>
                <w:caps w:val="0"/>
                <w:color w:val="auto"/>
                <w:spacing w:val="0"/>
                <w:position w:val="0"/>
                <w:highlight w:val="none"/>
              </w:rPr>
              <w:t>——靠近开口处（或窗户）室外某倍频带的声压级或A声级，dB；</w:t>
            </w:r>
          </w:p>
          <w:p w14:paraId="43104D8A">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TL——隔墙（或窗户）倍频带或A声级的隔声量，dB。</w:t>
            </w:r>
          </w:p>
          <w:p w14:paraId="678A6A13">
            <w:pPr>
              <w:pStyle w:val="74"/>
              <w:keepNext w:val="0"/>
              <w:keepLines w:val="0"/>
              <w:suppressLineNumbers w:val="0"/>
              <w:bidi w:val="0"/>
              <w:spacing w:before="0" w:beforeAutospacing="0" w:after="0" w:afterAutospacing="0"/>
              <w:ind w:left="0" w:right="0"/>
              <w:jc w:val="center"/>
              <w:rPr>
                <w:rFonts w:hint="default"/>
                <w:caps w:val="0"/>
                <w:color w:val="auto"/>
                <w:spacing w:val="0"/>
                <w:position w:val="0"/>
                <w:highlight w:val="none"/>
              </w:rPr>
            </w:pPr>
            <w:r>
              <w:rPr>
                <w:rFonts w:hint="default"/>
                <w:caps w:val="0"/>
                <w:color w:val="auto"/>
                <w:spacing w:val="0"/>
                <w:position w:val="0"/>
                <w:highlight w:val="none"/>
              </w:rPr>
              <w:fldChar w:fldCharType="begin"/>
            </w:r>
            <w:r>
              <w:rPr>
                <w:rFonts w:hint="default"/>
                <w:caps w:val="0"/>
                <w:color w:val="auto"/>
                <w:spacing w:val="0"/>
                <w:position w:val="0"/>
                <w:highlight w:val="none"/>
              </w:rPr>
              <w:instrText xml:space="preserve"> INCLUDEPICTURE "F:\\86134\\AppData\\Local\\Temp\\ksohtml4412\\wps8.jpg" \* MERGEFORMAT </w:instrText>
            </w:r>
            <w:r>
              <w:rPr>
                <w:rFonts w:hint="default"/>
                <w:caps w:val="0"/>
                <w:color w:val="auto"/>
                <w:spacing w:val="0"/>
                <w:position w:val="0"/>
                <w:highlight w:val="none"/>
              </w:rPr>
              <w:fldChar w:fldCharType="separate"/>
            </w:r>
            <w:r>
              <w:rPr>
                <w:rFonts w:hint="default"/>
                <w:caps w:val="0"/>
                <w:color w:val="auto"/>
                <w:spacing w:val="0"/>
                <w:position w:val="0"/>
                <w:highlight w:val="none"/>
              </w:rPr>
              <w:drawing>
                <wp:inline distT="0" distB="0" distL="114300" distR="114300">
                  <wp:extent cx="1947545" cy="932815"/>
                  <wp:effectExtent l="0" t="0" r="14605" b="635"/>
                  <wp:docPr id="7" name="图片 9" descr="wp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9" descr="wps8"/>
                          <pic:cNvPicPr>
                            <a:picLocks noChangeAspect="1"/>
                          </pic:cNvPicPr>
                        </pic:nvPicPr>
                        <pic:blipFill>
                          <a:blip r:embed="rId17"/>
                          <a:stretch>
                            <a:fillRect/>
                          </a:stretch>
                        </pic:blipFill>
                        <pic:spPr>
                          <a:xfrm>
                            <a:off x="0" y="0"/>
                            <a:ext cx="1947545" cy="932815"/>
                          </a:xfrm>
                          <a:prstGeom prst="rect">
                            <a:avLst/>
                          </a:prstGeom>
                          <a:noFill/>
                          <a:ln>
                            <a:noFill/>
                          </a:ln>
                        </pic:spPr>
                      </pic:pic>
                    </a:graphicData>
                  </a:graphic>
                </wp:inline>
              </w:drawing>
            </w:r>
            <w:r>
              <w:rPr>
                <w:rFonts w:hint="default"/>
                <w:caps w:val="0"/>
                <w:color w:val="auto"/>
                <w:spacing w:val="0"/>
                <w:position w:val="0"/>
                <w:highlight w:val="none"/>
              </w:rPr>
              <w:fldChar w:fldCharType="end"/>
            </w:r>
          </w:p>
          <w:p w14:paraId="2EAD7027">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室内声源等效室外声源</w:t>
            </w:r>
          </w:p>
          <w:p w14:paraId="32FDE38F">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也可按下式计算某一室内声源靠近围护结构处产生的倍频带声压级：</w:t>
            </w:r>
          </w:p>
          <w:p w14:paraId="11E8DD21">
            <w:pPr>
              <w:pStyle w:val="74"/>
              <w:keepNext w:val="0"/>
              <w:keepLines w:val="0"/>
              <w:suppressLineNumbers w:val="0"/>
              <w:bidi w:val="0"/>
              <w:spacing w:before="0" w:beforeAutospacing="0" w:after="0" w:afterAutospacing="0"/>
              <w:ind w:left="0" w:right="0"/>
              <w:jc w:val="center"/>
              <w:rPr>
                <w:rFonts w:hint="default"/>
                <w:caps w:val="0"/>
                <w:color w:val="auto"/>
                <w:spacing w:val="0"/>
                <w:position w:val="0"/>
                <w:highlight w:val="none"/>
              </w:rPr>
            </w:pPr>
            <w:r>
              <w:rPr>
                <w:rFonts w:hint="default"/>
                <w:caps w:val="0"/>
                <w:color w:val="auto"/>
                <w:spacing w:val="0"/>
                <w:position w:val="0"/>
                <w:highlight w:val="none"/>
              </w:rPr>
              <w:fldChar w:fldCharType="begin"/>
            </w:r>
            <w:r>
              <w:rPr>
                <w:rFonts w:hint="default"/>
                <w:caps w:val="0"/>
                <w:color w:val="auto"/>
                <w:spacing w:val="0"/>
                <w:position w:val="0"/>
                <w:highlight w:val="none"/>
              </w:rPr>
              <w:instrText xml:space="preserve"> INCLUDEPICTURE "F:\\86134\\AppData\\Local\\Temp\\ksohtml4412\\wps9.jpg" \* MERGEFORMAT </w:instrText>
            </w:r>
            <w:r>
              <w:rPr>
                <w:rFonts w:hint="default"/>
                <w:caps w:val="0"/>
                <w:color w:val="auto"/>
                <w:spacing w:val="0"/>
                <w:position w:val="0"/>
                <w:highlight w:val="none"/>
              </w:rPr>
              <w:fldChar w:fldCharType="separate"/>
            </w:r>
            <w:r>
              <w:rPr>
                <w:rFonts w:hint="default"/>
                <w:caps w:val="0"/>
                <w:color w:val="auto"/>
                <w:spacing w:val="0"/>
                <w:position w:val="0"/>
                <w:highlight w:val="none"/>
              </w:rPr>
              <w:drawing>
                <wp:inline distT="0" distB="0" distL="114300" distR="114300">
                  <wp:extent cx="2238375" cy="504825"/>
                  <wp:effectExtent l="0" t="0" r="9525" b="9525"/>
                  <wp:docPr id="8" name="图片 10" descr="wp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 descr="wps9"/>
                          <pic:cNvPicPr>
                            <a:picLocks noChangeAspect="1"/>
                          </pic:cNvPicPr>
                        </pic:nvPicPr>
                        <pic:blipFill>
                          <a:blip r:embed="rId18"/>
                          <a:stretch>
                            <a:fillRect/>
                          </a:stretch>
                        </pic:blipFill>
                        <pic:spPr>
                          <a:xfrm>
                            <a:off x="0" y="0"/>
                            <a:ext cx="2238375" cy="504825"/>
                          </a:xfrm>
                          <a:prstGeom prst="rect">
                            <a:avLst/>
                          </a:prstGeom>
                          <a:noFill/>
                          <a:ln>
                            <a:noFill/>
                          </a:ln>
                        </pic:spPr>
                      </pic:pic>
                    </a:graphicData>
                  </a:graphic>
                </wp:inline>
              </w:drawing>
            </w:r>
            <w:r>
              <w:rPr>
                <w:rFonts w:hint="default"/>
                <w:caps w:val="0"/>
                <w:color w:val="auto"/>
                <w:spacing w:val="0"/>
                <w:position w:val="0"/>
                <w:highlight w:val="none"/>
              </w:rPr>
              <w:fldChar w:fldCharType="end"/>
            </w:r>
            <w:r>
              <w:rPr>
                <w:rFonts w:hint="default"/>
                <w:caps w:val="0"/>
                <w:color w:val="auto"/>
                <w:spacing w:val="0"/>
                <w:position w:val="0"/>
                <w:highlight w:val="none"/>
              </w:rPr>
              <w:t>（3)</w:t>
            </w:r>
          </w:p>
          <w:p w14:paraId="23D04F30">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式中：L</w:t>
            </w:r>
            <w:r>
              <w:rPr>
                <w:rFonts w:hint="default"/>
                <w:caps w:val="0"/>
                <w:color w:val="auto"/>
                <w:spacing w:val="0"/>
                <w:position w:val="0"/>
                <w:highlight w:val="none"/>
                <w:vertAlign w:val="subscript"/>
              </w:rPr>
              <w:t>p1</w:t>
            </w:r>
            <w:r>
              <w:rPr>
                <w:rFonts w:hint="default"/>
                <w:caps w:val="0"/>
                <w:color w:val="auto"/>
                <w:spacing w:val="0"/>
                <w:position w:val="0"/>
                <w:highlight w:val="none"/>
              </w:rPr>
              <w:t>——靠近开口处（或窗户）室内某倍频带的声压级或A声级，dB；</w:t>
            </w:r>
          </w:p>
          <w:p w14:paraId="21FA394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L</w:t>
            </w:r>
            <w:r>
              <w:rPr>
                <w:rFonts w:hint="default"/>
                <w:caps w:val="0"/>
                <w:color w:val="auto"/>
                <w:spacing w:val="0"/>
                <w:position w:val="0"/>
                <w:highlight w:val="none"/>
                <w:vertAlign w:val="subscript"/>
              </w:rPr>
              <w:t>w</w:t>
            </w:r>
            <w:r>
              <w:rPr>
                <w:rFonts w:hint="default"/>
                <w:caps w:val="0"/>
                <w:color w:val="auto"/>
                <w:spacing w:val="0"/>
                <w:position w:val="0"/>
                <w:highlight w:val="none"/>
              </w:rPr>
              <w:t>——点声源声功率级（A计权或倍频带），dB；</w:t>
            </w:r>
          </w:p>
          <w:p w14:paraId="0B61CEE3">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Q——指向性因数；通常对无指向性声源，当声源放在房间中心时，Q=1；当放在一面墙的中心时，Q=2；当放在两面墙夹角处时，Q=4；当放在三面墙夹角处时，Q=8；</w:t>
            </w:r>
          </w:p>
          <w:p w14:paraId="7C2E5DCB">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R——房间常数；R=Sα/(1-α，S为房间内表面面积，m</w:t>
            </w:r>
            <w:r>
              <w:rPr>
                <w:rFonts w:hint="default"/>
                <w:caps w:val="0"/>
                <w:color w:val="auto"/>
                <w:spacing w:val="0"/>
                <w:position w:val="0"/>
                <w:highlight w:val="none"/>
                <w:vertAlign w:val="superscript"/>
              </w:rPr>
              <w:t>2</w:t>
            </w:r>
            <w:r>
              <w:rPr>
                <w:rFonts w:hint="default"/>
                <w:caps w:val="0"/>
                <w:color w:val="auto"/>
                <w:spacing w:val="0"/>
                <w:position w:val="0"/>
                <w:highlight w:val="none"/>
              </w:rPr>
              <w:t>；α为平均吸声系数；r—声源到靠近围护结构某点处的距离，m。</w:t>
            </w:r>
          </w:p>
          <w:p w14:paraId="7B29D82A">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然后按下式计算出所有室内声源在围护结构处产生的i倍频带叠加声压级：</w:t>
            </w:r>
          </w:p>
          <w:p w14:paraId="518F3AC2">
            <w:pPr>
              <w:pStyle w:val="74"/>
              <w:keepNext w:val="0"/>
              <w:keepLines w:val="0"/>
              <w:suppressLineNumbers w:val="0"/>
              <w:bidi w:val="0"/>
              <w:spacing w:before="0" w:beforeAutospacing="0" w:after="0" w:afterAutospacing="0"/>
              <w:ind w:left="0" w:right="0"/>
              <w:jc w:val="center"/>
              <w:rPr>
                <w:rFonts w:hint="default"/>
                <w:caps w:val="0"/>
                <w:color w:val="auto"/>
                <w:spacing w:val="0"/>
                <w:position w:val="0"/>
                <w:highlight w:val="none"/>
              </w:rPr>
            </w:pPr>
            <w:r>
              <w:rPr>
                <w:rFonts w:hint="default"/>
                <w:caps w:val="0"/>
                <w:color w:val="auto"/>
                <w:spacing w:val="0"/>
                <w:position w:val="0"/>
                <w:highlight w:val="none"/>
              </w:rPr>
              <w:fldChar w:fldCharType="begin"/>
            </w:r>
            <w:r>
              <w:rPr>
                <w:rFonts w:hint="default"/>
                <w:caps w:val="0"/>
                <w:color w:val="auto"/>
                <w:spacing w:val="0"/>
                <w:position w:val="0"/>
                <w:highlight w:val="none"/>
              </w:rPr>
              <w:instrText xml:space="preserve"> INCLUDEPICTURE "F:\\86134\\AppData\\Local\\Temp\\ksohtml4412\\wps10.jpg" \* MERGEFORMAT </w:instrText>
            </w:r>
            <w:r>
              <w:rPr>
                <w:rFonts w:hint="default"/>
                <w:caps w:val="0"/>
                <w:color w:val="auto"/>
                <w:spacing w:val="0"/>
                <w:position w:val="0"/>
                <w:highlight w:val="none"/>
              </w:rPr>
              <w:fldChar w:fldCharType="separate"/>
            </w:r>
            <w:r>
              <w:rPr>
                <w:rFonts w:hint="default"/>
                <w:caps w:val="0"/>
                <w:color w:val="auto"/>
                <w:spacing w:val="0"/>
                <w:position w:val="0"/>
                <w:highlight w:val="none"/>
              </w:rPr>
              <w:drawing>
                <wp:inline distT="0" distB="0" distL="114300" distR="114300">
                  <wp:extent cx="2115185" cy="619760"/>
                  <wp:effectExtent l="0" t="0" r="3175" b="5080"/>
                  <wp:docPr id="9" name="图片 11" descr="wp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1" descr="wps10"/>
                          <pic:cNvPicPr>
                            <a:picLocks noChangeAspect="1"/>
                          </pic:cNvPicPr>
                        </pic:nvPicPr>
                        <pic:blipFill>
                          <a:blip r:embed="rId19"/>
                          <a:stretch>
                            <a:fillRect/>
                          </a:stretch>
                        </pic:blipFill>
                        <pic:spPr>
                          <a:xfrm>
                            <a:off x="0" y="0"/>
                            <a:ext cx="2115185" cy="619760"/>
                          </a:xfrm>
                          <a:prstGeom prst="rect">
                            <a:avLst/>
                          </a:prstGeom>
                          <a:noFill/>
                          <a:ln>
                            <a:noFill/>
                          </a:ln>
                        </pic:spPr>
                      </pic:pic>
                    </a:graphicData>
                  </a:graphic>
                </wp:inline>
              </w:drawing>
            </w:r>
            <w:r>
              <w:rPr>
                <w:rFonts w:hint="default"/>
                <w:caps w:val="0"/>
                <w:color w:val="auto"/>
                <w:spacing w:val="0"/>
                <w:position w:val="0"/>
                <w:highlight w:val="none"/>
              </w:rPr>
              <w:fldChar w:fldCharType="end"/>
            </w:r>
            <w:r>
              <w:rPr>
                <w:rFonts w:hint="default"/>
                <w:caps w:val="0"/>
                <w:color w:val="auto"/>
                <w:spacing w:val="0"/>
                <w:position w:val="0"/>
                <w:highlight w:val="none"/>
              </w:rPr>
              <w:t>（4)</w:t>
            </w:r>
          </w:p>
          <w:p w14:paraId="2365768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式中：</w:t>
            </w:r>
          </w:p>
          <w:p w14:paraId="073AC03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L</w:t>
            </w:r>
            <w:r>
              <w:rPr>
                <w:rFonts w:hint="default"/>
                <w:caps w:val="0"/>
                <w:color w:val="auto"/>
                <w:spacing w:val="0"/>
                <w:position w:val="0"/>
                <w:highlight w:val="none"/>
                <w:vertAlign w:val="subscript"/>
              </w:rPr>
              <w:t>pli</w:t>
            </w:r>
            <w:r>
              <w:rPr>
                <w:rFonts w:hint="default"/>
                <w:caps w:val="0"/>
                <w:color w:val="auto"/>
                <w:spacing w:val="0"/>
                <w:position w:val="0"/>
                <w:highlight w:val="none"/>
              </w:rPr>
              <w:t>(T)—靠近围护结构处室内N个声源i倍频带的叠加声压级，dB；</w:t>
            </w:r>
          </w:p>
          <w:p w14:paraId="44B42A4F">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L</w:t>
            </w:r>
            <w:r>
              <w:rPr>
                <w:rFonts w:hint="default"/>
                <w:caps w:val="0"/>
                <w:color w:val="auto"/>
                <w:spacing w:val="0"/>
                <w:position w:val="0"/>
                <w:highlight w:val="none"/>
                <w:vertAlign w:val="subscript"/>
              </w:rPr>
              <w:t>plij</w:t>
            </w:r>
            <w:r>
              <w:rPr>
                <w:rFonts w:hint="default"/>
                <w:caps w:val="0"/>
                <w:color w:val="auto"/>
                <w:spacing w:val="0"/>
                <w:position w:val="0"/>
                <w:highlight w:val="none"/>
              </w:rPr>
              <w:t>—室内j声源i倍频带的声压级，dB；</w:t>
            </w:r>
          </w:p>
          <w:p w14:paraId="3B31605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N—室内声源总数。</w:t>
            </w:r>
          </w:p>
          <w:p w14:paraId="7623F959">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在室内近似为扩散声场时，按下式计算出靠近室外围护结构处的声压级：</w:t>
            </w:r>
          </w:p>
          <w:p w14:paraId="4FDB4892">
            <w:pPr>
              <w:pStyle w:val="74"/>
              <w:keepNext w:val="0"/>
              <w:keepLines w:val="0"/>
              <w:suppressLineNumbers w:val="0"/>
              <w:bidi w:val="0"/>
              <w:spacing w:before="0" w:beforeAutospacing="0" w:after="0" w:afterAutospacing="0"/>
              <w:ind w:left="0" w:right="0"/>
              <w:jc w:val="center"/>
              <w:rPr>
                <w:rFonts w:hint="default"/>
                <w:caps w:val="0"/>
                <w:color w:val="auto"/>
                <w:spacing w:val="0"/>
                <w:position w:val="0"/>
                <w:highlight w:val="none"/>
              </w:rPr>
            </w:pPr>
            <w:r>
              <w:rPr>
                <w:rFonts w:hint="default"/>
                <w:caps w:val="0"/>
                <w:color w:val="auto"/>
                <w:spacing w:val="0"/>
                <w:position w:val="0"/>
                <w:highlight w:val="none"/>
              </w:rPr>
              <w:t>L</w:t>
            </w:r>
            <w:r>
              <w:rPr>
                <w:rFonts w:hint="default"/>
                <w:caps w:val="0"/>
                <w:color w:val="auto"/>
                <w:spacing w:val="0"/>
                <w:position w:val="0"/>
                <w:highlight w:val="none"/>
                <w:vertAlign w:val="subscript"/>
              </w:rPr>
              <w:t>p2i</w:t>
            </w:r>
            <w:r>
              <w:rPr>
                <w:rFonts w:hint="default"/>
                <w:caps w:val="0"/>
                <w:color w:val="auto"/>
                <w:spacing w:val="0"/>
                <w:position w:val="0"/>
                <w:highlight w:val="none"/>
              </w:rPr>
              <w:t>(T)=L</w:t>
            </w:r>
            <w:r>
              <w:rPr>
                <w:rFonts w:hint="default"/>
                <w:caps w:val="0"/>
                <w:color w:val="auto"/>
                <w:spacing w:val="0"/>
                <w:position w:val="0"/>
                <w:highlight w:val="none"/>
                <w:vertAlign w:val="subscript"/>
              </w:rPr>
              <w:t>pli</w:t>
            </w:r>
            <w:r>
              <w:rPr>
                <w:rFonts w:hint="default"/>
                <w:caps w:val="0"/>
                <w:color w:val="auto"/>
                <w:spacing w:val="0"/>
                <w:position w:val="0"/>
                <w:highlight w:val="none"/>
              </w:rPr>
              <w:t>(T)-(T+6）（5)</w:t>
            </w:r>
          </w:p>
          <w:p w14:paraId="50FCE461">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式中：</w:t>
            </w:r>
          </w:p>
          <w:p w14:paraId="2CC68036">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L</w:t>
            </w:r>
            <w:r>
              <w:rPr>
                <w:rFonts w:hint="default"/>
                <w:caps w:val="0"/>
                <w:color w:val="auto"/>
                <w:spacing w:val="0"/>
                <w:position w:val="0"/>
                <w:highlight w:val="none"/>
                <w:vertAlign w:val="subscript"/>
              </w:rPr>
              <w:t>P2i</w:t>
            </w:r>
            <w:r>
              <w:rPr>
                <w:rFonts w:hint="default"/>
                <w:caps w:val="0"/>
                <w:color w:val="auto"/>
                <w:spacing w:val="0"/>
                <w:position w:val="0"/>
                <w:highlight w:val="none"/>
              </w:rPr>
              <w:t>(T)—靠近围护结构处室外N个声源i倍频带的叠加声压级，dB；</w:t>
            </w:r>
          </w:p>
          <w:p w14:paraId="57E3164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TL</w:t>
            </w:r>
            <w:r>
              <w:rPr>
                <w:rFonts w:hint="default"/>
                <w:caps w:val="0"/>
                <w:color w:val="auto"/>
                <w:spacing w:val="0"/>
                <w:position w:val="0"/>
                <w:highlight w:val="none"/>
                <w:vertAlign w:val="subscript"/>
              </w:rPr>
              <w:t>i</w:t>
            </w:r>
            <w:r>
              <w:rPr>
                <w:rFonts w:hint="default"/>
                <w:caps w:val="0"/>
                <w:color w:val="auto"/>
                <w:spacing w:val="0"/>
                <w:position w:val="0"/>
                <w:highlight w:val="none"/>
              </w:rPr>
              <w:t>—围护结构i倍频带的隔声量，dB。</w:t>
            </w:r>
          </w:p>
          <w:p w14:paraId="1474780E">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然后按下式将室外声源的声压级和透过面积换算成等效的室外声源，计算出中心位置位于透声面积（S）处的等效声源的倍频带声功率级。</w:t>
            </w:r>
          </w:p>
          <w:p w14:paraId="7A3245E4">
            <w:pPr>
              <w:pStyle w:val="74"/>
              <w:keepNext w:val="0"/>
              <w:keepLines w:val="0"/>
              <w:suppressLineNumbers w:val="0"/>
              <w:bidi w:val="0"/>
              <w:spacing w:before="0" w:beforeAutospacing="0" w:after="0" w:afterAutospacing="0"/>
              <w:ind w:left="0" w:right="0"/>
              <w:jc w:val="center"/>
              <w:rPr>
                <w:rFonts w:hint="default"/>
                <w:caps w:val="0"/>
                <w:color w:val="auto"/>
                <w:spacing w:val="0"/>
                <w:position w:val="0"/>
                <w:highlight w:val="none"/>
              </w:rPr>
            </w:pPr>
            <w:r>
              <w:rPr>
                <w:rFonts w:hint="default"/>
                <w:caps w:val="0"/>
                <w:color w:val="auto"/>
                <w:spacing w:val="0"/>
                <w:position w:val="0"/>
                <w:highlight w:val="none"/>
              </w:rPr>
              <w:t>L</w:t>
            </w:r>
            <w:r>
              <w:rPr>
                <w:rFonts w:hint="default"/>
                <w:caps w:val="0"/>
                <w:color w:val="auto"/>
                <w:spacing w:val="0"/>
                <w:position w:val="0"/>
                <w:highlight w:val="none"/>
                <w:vertAlign w:val="subscript"/>
              </w:rPr>
              <w:t>w</w:t>
            </w:r>
            <w:r>
              <w:rPr>
                <w:rFonts w:hint="default"/>
                <w:caps w:val="0"/>
                <w:color w:val="auto"/>
                <w:spacing w:val="0"/>
                <w:position w:val="0"/>
                <w:highlight w:val="none"/>
              </w:rPr>
              <w:t>=L</w:t>
            </w:r>
            <w:r>
              <w:rPr>
                <w:rFonts w:hint="default"/>
                <w:caps w:val="0"/>
                <w:color w:val="auto"/>
                <w:spacing w:val="0"/>
                <w:position w:val="0"/>
                <w:highlight w:val="none"/>
                <w:vertAlign w:val="subscript"/>
              </w:rPr>
              <w:t>p2</w:t>
            </w:r>
            <w:r>
              <w:rPr>
                <w:rFonts w:hint="default"/>
                <w:caps w:val="0"/>
                <w:color w:val="auto"/>
                <w:spacing w:val="0"/>
                <w:position w:val="0"/>
                <w:highlight w:val="none"/>
              </w:rPr>
              <w:t>(T)+10lgS   (6)</w:t>
            </w:r>
          </w:p>
          <w:p w14:paraId="3472214B">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式中：L</w:t>
            </w:r>
            <w:r>
              <w:rPr>
                <w:rFonts w:hint="default"/>
                <w:caps w:val="0"/>
                <w:color w:val="auto"/>
                <w:spacing w:val="0"/>
                <w:position w:val="0"/>
                <w:highlight w:val="none"/>
                <w:vertAlign w:val="subscript"/>
              </w:rPr>
              <w:t>w</w:t>
            </w:r>
            <w:r>
              <w:rPr>
                <w:rFonts w:hint="default"/>
                <w:caps w:val="0"/>
                <w:color w:val="auto"/>
                <w:spacing w:val="0"/>
                <w:position w:val="0"/>
                <w:highlight w:val="none"/>
              </w:rPr>
              <w:t>——中心位置位于透声面积（S）处的等效声源的倍频带声功率级，dB；</w:t>
            </w:r>
          </w:p>
          <w:p w14:paraId="5A6CA919">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L</w:t>
            </w:r>
            <w:r>
              <w:rPr>
                <w:rFonts w:hint="default"/>
                <w:caps w:val="0"/>
                <w:color w:val="auto"/>
                <w:spacing w:val="0"/>
                <w:position w:val="0"/>
                <w:highlight w:val="none"/>
                <w:vertAlign w:val="subscript"/>
              </w:rPr>
              <w:t>p2</w:t>
            </w:r>
            <w:r>
              <w:rPr>
                <w:rFonts w:hint="default"/>
                <w:caps w:val="0"/>
                <w:color w:val="auto"/>
                <w:spacing w:val="0"/>
                <w:position w:val="0"/>
                <w:highlight w:val="none"/>
              </w:rPr>
              <w:t>(T)——靠近围护结构处室外声源的声压级，dB；S——透声面积，m</w:t>
            </w:r>
            <w:r>
              <w:rPr>
                <w:rFonts w:hint="default"/>
                <w:caps w:val="0"/>
                <w:color w:val="auto"/>
                <w:spacing w:val="0"/>
                <w:position w:val="0"/>
                <w:highlight w:val="none"/>
                <w:vertAlign w:val="superscript"/>
              </w:rPr>
              <w:t>2</w:t>
            </w:r>
            <w:r>
              <w:rPr>
                <w:rFonts w:hint="default"/>
                <w:caps w:val="0"/>
                <w:color w:val="auto"/>
                <w:spacing w:val="0"/>
                <w:position w:val="0"/>
                <w:highlight w:val="none"/>
              </w:rPr>
              <w:t>。</w:t>
            </w:r>
          </w:p>
          <w:p w14:paraId="482653E0">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然后按室外声源预测方法计算预测点处的A声级。</w:t>
            </w:r>
          </w:p>
          <w:p w14:paraId="666D9208">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（3）靠近声源处的预测点噪声预测模式</w:t>
            </w:r>
          </w:p>
          <w:p w14:paraId="559CA5E8">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如预测点在靠近声源处，但不能满足点声源条件时，需按线声源或面声源模式计算。</w:t>
            </w:r>
          </w:p>
          <w:p w14:paraId="4EA44B1E">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（4）工业企业噪声计算（噪声贡献值计算）</w:t>
            </w:r>
          </w:p>
          <w:p w14:paraId="2285DAE9">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设第i个室外声源在预测点产生的A声级为L</w:t>
            </w:r>
            <w:r>
              <w:rPr>
                <w:rFonts w:hint="default"/>
                <w:caps w:val="0"/>
                <w:color w:val="auto"/>
                <w:spacing w:val="0"/>
                <w:position w:val="0"/>
                <w:highlight w:val="none"/>
                <w:vertAlign w:val="subscript"/>
              </w:rPr>
              <w:t>Ai</w:t>
            </w:r>
            <w:r>
              <w:rPr>
                <w:rFonts w:hint="default"/>
                <w:caps w:val="0"/>
                <w:color w:val="auto"/>
                <w:spacing w:val="0"/>
                <w:position w:val="0"/>
                <w:highlight w:val="none"/>
              </w:rPr>
              <w:t>，在T时间内该声源工作时间为</w:t>
            </w:r>
            <w:r>
              <w:rPr>
                <w:rFonts w:hint="eastAsia"/>
                <w:caps w:val="0"/>
                <w:color w:val="auto"/>
                <w:spacing w:val="0"/>
                <w:position w:val="0"/>
                <w:highlight w:val="none"/>
                <w:lang w:val="en-US" w:eastAsia="zh-CN"/>
              </w:rPr>
              <w:t>t</w:t>
            </w:r>
            <w:r>
              <w:rPr>
                <w:rFonts w:hint="default"/>
                <w:caps w:val="0"/>
                <w:color w:val="auto"/>
                <w:spacing w:val="0"/>
                <w:position w:val="0"/>
                <w:highlight w:val="none"/>
                <w:vertAlign w:val="subscript"/>
              </w:rPr>
              <w:t>i</w:t>
            </w:r>
            <w:r>
              <w:rPr>
                <w:rFonts w:hint="default"/>
                <w:caps w:val="0"/>
                <w:color w:val="auto"/>
                <w:spacing w:val="0"/>
                <w:position w:val="0"/>
                <w:highlight w:val="none"/>
              </w:rPr>
              <w:t>；第j个等效室外声源在预测点产生的A声级为L</w:t>
            </w:r>
            <w:r>
              <w:rPr>
                <w:rFonts w:hint="default"/>
                <w:caps w:val="0"/>
                <w:color w:val="auto"/>
                <w:spacing w:val="0"/>
                <w:position w:val="0"/>
                <w:highlight w:val="none"/>
                <w:vertAlign w:val="subscript"/>
              </w:rPr>
              <w:t>Aj</w:t>
            </w:r>
            <w:r>
              <w:rPr>
                <w:rFonts w:hint="default"/>
                <w:caps w:val="0"/>
                <w:color w:val="auto"/>
                <w:spacing w:val="0"/>
                <w:position w:val="0"/>
                <w:highlight w:val="none"/>
              </w:rPr>
              <w:t>，在T时间内该声源工作时间为t</w:t>
            </w:r>
            <w:r>
              <w:rPr>
                <w:rFonts w:hint="default"/>
                <w:caps w:val="0"/>
                <w:color w:val="auto"/>
                <w:spacing w:val="0"/>
                <w:position w:val="0"/>
                <w:highlight w:val="none"/>
                <w:vertAlign w:val="subscript"/>
              </w:rPr>
              <w:t>j</w:t>
            </w:r>
            <w:r>
              <w:rPr>
                <w:rFonts w:hint="default"/>
                <w:caps w:val="0"/>
                <w:color w:val="auto"/>
                <w:spacing w:val="0"/>
                <w:position w:val="0"/>
                <w:highlight w:val="none"/>
              </w:rPr>
              <w:t>，则拟建工程声源对预测点产生的贡献值（Leqg）为：</w:t>
            </w:r>
          </w:p>
          <w:p w14:paraId="0128D5D8">
            <w:pPr>
              <w:pStyle w:val="74"/>
              <w:keepNext w:val="0"/>
              <w:keepLines w:val="0"/>
              <w:suppressLineNumbers w:val="0"/>
              <w:bidi w:val="0"/>
              <w:spacing w:before="0" w:beforeAutospacing="0" w:after="0" w:afterAutospacing="0"/>
              <w:ind w:left="0" w:leftChars="0" w:right="0" w:firstLine="0" w:firstLineChars="0"/>
              <w:jc w:val="center"/>
              <w:rPr>
                <w:rFonts w:hint="default"/>
                <w:caps w:val="0"/>
                <w:color w:val="auto"/>
                <w:spacing w:val="0"/>
                <w:position w:val="0"/>
                <w:highlight w:val="none"/>
              </w:rPr>
            </w:pPr>
            <w:r>
              <w:rPr>
                <w:rFonts w:hint="default"/>
                <w:caps w:val="0"/>
                <w:color w:val="auto"/>
                <w:spacing w:val="0"/>
                <w:position w:val="0"/>
                <w:highlight w:val="none"/>
              </w:rPr>
              <w:fldChar w:fldCharType="begin"/>
            </w:r>
            <w:r>
              <w:rPr>
                <w:rFonts w:hint="default"/>
                <w:caps w:val="0"/>
                <w:color w:val="auto"/>
                <w:spacing w:val="0"/>
                <w:position w:val="0"/>
                <w:highlight w:val="none"/>
              </w:rPr>
              <w:instrText xml:space="preserve"> INCLUDEPICTURE "F:\\86134\\AppData\\Local\\Temp\\ksohtml4412\\wps11.jpg" \* MERGEFORMAT </w:instrText>
            </w:r>
            <w:r>
              <w:rPr>
                <w:rFonts w:hint="default"/>
                <w:caps w:val="0"/>
                <w:color w:val="auto"/>
                <w:spacing w:val="0"/>
                <w:position w:val="0"/>
                <w:highlight w:val="none"/>
              </w:rPr>
              <w:fldChar w:fldCharType="separate"/>
            </w:r>
            <w:r>
              <w:rPr>
                <w:rFonts w:hint="default"/>
                <w:caps w:val="0"/>
                <w:color w:val="auto"/>
                <w:spacing w:val="0"/>
                <w:position w:val="0"/>
                <w:highlight w:val="none"/>
              </w:rPr>
              <w:drawing>
                <wp:inline distT="0" distB="0" distL="114300" distR="114300">
                  <wp:extent cx="2866390" cy="515620"/>
                  <wp:effectExtent l="0" t="0" r="10160" b="17780"/>
                  <wp:docPr id="10" name="图片 12" descr="wps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2" descr="wps11"/>
                          <pic:cNvPicPr>
                            <a:picLocks noChangeAspect="1"/>
                          </pic:cNvPicPr>
                        </pic:nvPicPr>
                        <pic:blipFill>
                          <a:blip r:embed="rId20"/>
                          <a:stretch>
                            <a:fillRect/>
                          </a:stretch>
                        </pic:blipFill>
                        <pic:spPr>
                          <a:xfrm>
                            <a:off x="0" y="0"/>
                            <a:ext cx="2866390" cy="515620"/>
                          </a:xfrm>
                          <a:prstGeom prst="rect">
                            <a:avLst/>
                          </a:prstGeom>
                          <a:noFill/>
                          <a:ln>
                            <a:noFill/>
                          </a:ln>
                        </pic:spPr>
                      </pic:pic>
                    </a:graphicData>
                  </a:graphic>
                </wp:inline>
              </w:drawing>
            </w:r>
            <w:r>
              <w:rPr>
                <w:rFonts w:hint="default"/>
                <w:caps w:val="0"/>
                <w:color w:val="auto"/>
                <w:spacing w:val="0"/>
                <w:position w:val="0"/>
                <w:highlight w:val="none"/>
              </w:rPr>
              <w:fldChar w:fldCharType="end"/>
            </w:r>
            <w:r>
              <w:rPr>
                <w:rFonts w:hint="default"/>
                <w:caps w:val="0"/>
                <w:color w:val="auto"/>
                <w:spacing w:val="0"/>
                <w:position w:val="0"/>
                <w:highlight w:val="none"/>
              </w:rPr>
              <w:t>（7)</w:t>
            </w:r>
          </w:p>
          <w:p w14:paraId="00ED6307">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式中：</w:t>
            </w:r>
          </w:p>
          <w:p w14:paraId="10EFAAD3">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L</w:t>
            </w:r>
            <w:r>
              <w:rPr>
                <w:rFonts w:hint="default"/>
                <w:caps w:val="0"/>
                <w:color w:val="auto"/>
                <w:spacing w:val="0"/>
                <w:position w:val="0"/>
                <w:highlight w:val="none"/>
                <w:vertAlign w:val="subscript"/>
              </w:rPr>
              <w:t>eqg</w:t>
            </w:r>
            <w:r>
              <w:rPr>
                <w:rFonts w:hint="default"/>
                <w:caps w:val="0"/>
                <w:color w:val="auto"/>
                <w:spacing w:val="0"/>
                <w:position w:val="0"/>
                <w:highlight w:val="none"/>
              </w:rPr>
              <w:t>——建设项目声源在预测点产生的噪声贡献值，dB；</w:t>
            </w:r>
          </w:p>
          <w:p w14:paraId="55A43661">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T——用于计算等效声级的时间，s；</w:t>
            </w:r>
          </w:p>
          <w:p w14:paraId="17CEF5A1">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N——室外声源个数；</w:t>
            </w:r>
          </w:p>
          <w:p w14:paraId="1774B95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t</w:t>
            </w:r>
            <w:r>
              <w:rPr>
                <w:rFonts w:hint="default"/>
                <w:caps w:val="0"/>
                <w:color w:val="auto"/>
                <w:spacing w:val="0"/>
                <w:position w:val="0"/>
                <w:highlight w:val="none"/>
                <w:vertAlign w:val="subscript"/>
              </w:rPr>
              <w:t>i</w:t>
            </w:r>
            <w:r>
              <w:rPr>
                <w:rFonts w:hint="default"/>
                <w:caps w:val="0"/>
                <w:color w:val="auto"/>
                <w:spacing w:val="0"/>
                <w:position w:val="0"/>
                <w:highlight w:val="none"/>
              </w:rPr>
              <w:t>——在T时间内i声源工作时间，s；</w:t>
            </w:r>
          </w:p>
          <w:p w14:paraId="10C7C7C5">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M——等效室外声源个数；</w:t>
            </w:r>
          </w:p>
          <w:p w14:paraId="3375F164">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t</w:t>
            </w:r>
            <w:r>
              <w:rPr>
                <w:rFonts w:hint="default"/>
                <w:caps w:val="0"/>
                <w:color w:val="auto"/>
                <w:spacing w:val="0"/>
                <w:position w:val="0"/>
                <w:highlight w:val="none"/>
                <w:vertAlign w:val="subscript"/>
              </w:rPr>
              <w:t>j</w:t>
            </w:r>
            <w:r>
              <w:rPr>
                <w:rFonts w:hint="default"/>
                <w:caps w:val="0"/>
                <w:color w:val="auto"/>
                <w:spacing w:val="0"/>
                <w:position w:val="0"/>
                <w:highlight w:val="none"/>
              </w:rPr>
              <w:t>——在T时间内j声源工作时间，s。</w:t>
            </w:r>
          </w:p>
          <w:p w14:paraId="0BF87A06">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（5）预测点的预测等效声级（Leq）计算公式：</w:t>
            </w:r>
          </w:p>
          <w:p w14:paraId="66025F38">
            <w:pPr>
              <w:pStyle w:val="74"/>
              <w:keepNext w:val="0"/>
              <w:keepLines w:val="0"/>
              <w:suppressLineNumbers w:val="0"/>
              <w:bidi w:val="0"/>
              <w:spacing w:before="0" w:beforeAutospacing="0" w:after="0" w:afterAutospacing="0"/>
              <w:ind w:left="0" w:leftChars="0" w:right="0" w:firstLine="0" w:firstLineChars="0"/>
              <w:jc w:val="center"/>
              <w:rPr>
                <w:rFonts w:hint="default"/>
                <w:caps w:val="0"/>
                <w:color w:val="auto"/>
                <w:spacing w:val="0"/>
                <w:position w:val="0"/>
                <w:highlight w:val="none"/>
              </w:rPr>
            </w:pPr>
            <w:r>
              <w:rPr>
                <w:rFonts w:hint="default"/>
                <w:caps w:val="0"/>
                <w:color w:val="auto"/>
                <w:spacing w:val="0"/>
                <w:position w:val="0"/>
                <w:highlight w:val="none"/>
              </w:rPr>
              <w:fldChar w:fldCharType="begin"/>
            </w:r>
            <w:r>
              <w:rPr>
                <w:rFonts w:hint="default"/>
                <w:caps w:val="0"/>
                <w:color w:val="auto"/>
                <w:spacing w:val="0"/>
                <w:position w:val="0"/>
                <w:highlight w:val="none"/>
              </w:rPr>
              <w:instrText xml:space="preserve"> INCLUDEPICTURE "F:\\86134\\AppData\\Local\\Temp\\ksohtml4412\\wps12.jpg" \* MERGEFORMAT </w:instrText>
            </w:r>
            <w:r>
              <w:rPr>
                <w:rFonts w:hint="default"/>
                <w:caps w:val="0"/>
                <w:color w:val="auto"/>
                <w:spacing w:val="0"/>
                <w:position w:val="0"/>
                <w:highlight w:val="none"/>
              </w:rPr>
              <w:fldChar w:fldCharType="separate"/>
            </w:r>
            <w:r>
              <w:rPr>
                <w:rFonts w:hint="default"/>
                <w:caps w:val="0"/>
                <w:color w:val="auto"/>
                <w:spacing w:val="0"/>
                <w:position w:val="0"/>
                <w:highlight w:val="none"/>
              </w:rPr>
              <w:drawing>
                <wp:inline distT="0" distB="0" distL="114300" distR="114300">
                  <wp:extent cx="1857375" cy="370205"/>
                  <wp:effectExtent l="0" t="0" r="1905" b="10795"/>
                  <wp:docPr id="6" name="图片 13" descr="wps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3" descr="wps12"/>
                          <pic:cNvPicPr>
                            <a:picLocks noChangeAspect="1"/>
                          </pic:cNvPicPr>
                        </pic:nvPicPr>
                        <pic:blipFill>
                          <a:blip r:embed="rId21"/>
                          <a:stretch>
                            <a:fillRect/>
                          </a:stretch>
                        </pic:blipFill>
                        <pic:spPr>
                          <a:xfrm>
                            <a:off x="0" y="0"/>
                            <a:ext cx="1857375" cy="370205"/>
                          </a:xfrm>
                          <a:prstGeom prst="rect">
                            <a:avLst/>
                          </a:prstGeom>
                          <a:noFill/>
                          <a:ln>
                            <a:noFill/>
                          </a:ln>
                        </pic:spPr>
                      </pic:pic>
                    </a:graphicData>
                  </a:graphic>
                </wp:inline>
              </w:drawing>
            </w:r>
            <w:r>
              <w:rPr>
                <w:rFonts w:hint="default"/>
                <w:caps w:val="0"/>
                <w:color w:val="auto"/>
                <w:spacing w:val="0"/>
                <w:position w:val="0"/>
                <w:highlight w:val="none"/>
              </w:rPr>
              <w:fldChar w:fldCharType="end"/>
            </w:r>
            <w:r>
              <w:rPr>
                <w:rFonts w:hint="default"/>
                <w:caps w:val="0"/>
                <w:color w:val="auto"/>
                <w:spacing w:val="0"/>
                <w:position w:val="0"/>
                <w:highlight w:val="none"/>
              </w:rPr>
              <w:t>（8)</w:t>
            </w:r>
          </w:p>
          <w:p w14:paraId="6CB7E4CB">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式中：</w:t>
            </w:r>
          </w:p>
          <w:p w14:paraId="460045B0">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L</w:t>
            </w:r>
            <w:r>
              <w:rPr>
                <w:rFonts w:hint="default"/>
                <w:caps w:val="0"/>
                <w:color w:val="auto"/>
                <w:spacing w:val="0"/>
                <w:position w:val="0"/>
                <w:highlight w:val="none"/>
                <w:vertAlign w:val="subscript"/>
              </w:rPr>
              <w:t>eq</w:t>
            </w:r>
            <w:r>
              <w:rPr>
                <w:rFonts w:hint="default"/>
                <w:caps w:val="0"/>
                <w:color w:val="auto"/>
                <w:spacing w:val="0"/>
                <w:position w:val="0"/>
                <w:highlight w:val="none"/>
              </w:rPr>
              <w:t>——预测点的噪声预测值，dB；</w:t>
            </w:r>
          </w:p>
          <w:p w14:paraId="73107A4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L</w:t>
            </w:r>
            <w:r>
              <w:rPr>
                <w:rFonts w:hint="default"/>
                <w:caps w:val="0"/>
                <w:color w:val="auto"/>
                <w:spacing w:val="0"/>
                <w:position w:val="0"/>
                <w:highlight w:val="none"/>
                <w:vertAlign w:val="subscript"/>
              </w:rPr>
              <w:t>eqg</w:t>
            </w:r>
            <w:r>
              <w:rPr>
                <w:rFonts w:hint="default"/>
                <w:caps w:val="0"/>
                <w:color w:val="auto"/>
                <w:spacing w:val="0"/>
                <w:position w:val="0"/>
                <w:highlight w:val="none"/>
              </w:rPr>
              <w:t>——建设项目声源在预测点产生的噪声贡献值，dB；</w:t>
            </w:r>
          </w:p>
          <w:p w14:paraId="28805CEB">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L</w:t>
            </w:r>
            <w:r>
              <w:rPr>
                <w:rFonts w:hint="default"/>
                <w:caps w:val="0"/>
                <w:color w:val="auto"/>
                <w:spacing w:val="0"/>
                <w:position w:val="0"/>
                <w:highlight w:val="none"/>
                <w:vertAlign w:val="subscript"/>
              </w:rPr>
              <w:t>eqb</w:t>
            </w:r>
            <w:r>
              <w:rPr>
                <w:rFonts w:hint="default"/>
                <w:caps w:val="0"/>
                <w:color w:val="auto"/>
                <w:spacing w:val="0"/>
                <w:position w:val="0"/>
                <w:highlight w:val="none"/>
              </w:rPr>
              <w:t>——预测点的背景噪声值，dB。</w:t>
            </w:r>
          </w:p>
          <w:p w14:paraId="4C2DE3BA">
            <w:pPr>
              <w:pStyle w:val="75"/>
              <w:keepNext w:val="0"/>
              <w:keepLines w:val="0"/>
              <w:numPr>
                <w:ilvl w:val="0"/>
                <w:numId w:val="7"/>
              </w:numPr>
              <w:suppressLineNumbers w:val="0"/>
              <w:bidi w:val="0"/>
              <w:spacing w:before="0" w:beforeAutospacing="0" w:after="0" w:afterAutospacing="0"/>
              <w:ind w:left="425" w:leftChars="0" w:right="0" w:hanging="425" w:firstLineChars="0"/>
              <w:rPr>
                <w:rFonts w:hint="default"/>
                <w:caps w:val="0"/>
                <w:color w:val="auto"/>
                <w:spacing w:val="0"/>
                <w:position w:val="0"/>
                <w:highlight w:val="none"/>
              </w:rPr>
            </w:pPr>
            <w:r>
              <w:rPr>
                <w:rFonts w:hint="default"/>
                <w:caps w:val="0"/>
                <w:color w:val="auto"/>
                <w:spacing w:val="0"/>
                <w:position w:val="0"/>
                <w:highlight w:val="none"/>
              </w:rPr>
              <w:t>厂界噪声预测结果</w:t>
            </w:r>
          </w:p>
          <w:tbl>
            <w:tblPr>
              <w:tblStyle w:val="23"/>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046"/>
              <w:gridCol w:w="1046"/>
              <w:gridCol w:w="1046"/>
              <w:gridCol w:w="1046"/>
              <w:gridCol w:w="1046"/>
              <w:gridCol w:w="1046"/>
              <w:gridCol w:w="1046"/>
              <w:gridCol w:w="1046"/>
            </w:tblGrid>
            <w:tr w14:paraId="326530F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18" w:hRule="atLeast"/>
                <w:jc w:val="center"/>
              </w:trPr>
              <w:tc>
                <w:tcPr>
                  <w:tcW w:w="1046" w:type="dxa"/>
                  <w:vMerge w:val="restart"/>
                  <w:tcBorders>
                    <w:tl2br w:val="nil"/>
                    <w:tr2bl w:val="nil"/>
                  </w:tcBorders>
                  <w:shd w:val="clear" w:color="auto" w:fill="auto"/>
                  <w:vAlign w:val="center"/>
                </w:tcPr>
                <w:p w14:paraId="00804199">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预测方位</w:t>
                  </w:r>
                </w:p>
              </w:tc>
              <w:tc>
                <w:tcPr>
                  <w:tcW w:w="3138" w:type="dxa"/>
                  <w:gridSpan w:val="3"/>
                  <w:tcBorders>
                    <w:tl2br w:val="nil"/>
                    <w:tr2bl w:val="nil"/>
                  </w:tcBorders>
                  <w:shd w:val="clear" w:color="auto" w:fill="auto"/>
                  <w:vAlign w:val="center"/>
                </w:tcPr>
                <w:p w14:paraId="36D37A05">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最大值点空间相对位置</w:t>
                  </w:r>
                  <w:r>
                    <w:rPr>
                      <w:rFonts w:hint="default"/>
                      <w:caps w:val="0"/>
                      <w:color w:val="auto"/>
                      <w:spacing w:val="0"/>
                      <w:position w:val="0"/>
                      <w:highlight w:val="none"/>
                      <w:lang w:val="en-US" w:eastAsia="zh-CN"/>
                    </w:rPr>
                    <w:t>/m</w:t>
                  </w:r>
                </w:p>
              </w:tc>
              <w:tc>
                <w:tcPr>
                  <w:tcW w:w="1046" w:type="dxa"/>
                  <w:vMerge w:val="restart"/>
                  <w:tcBorders>
                    <w:tl2br w:val="nil"/>
                    <w:tr2bl w:val="nil"/>
                  </w:tcBorders>
                  <w:shd w:val="clear" w:color="auto" w:fill="auto"/>
                  <w:vAlign w:val="center"/>
                </w:tcPr>
                <w:p w14:paraId="7DD56EEF">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时段</w:t>
                  </w:r>
                </w:p>
              </w:tc>
              <w:tc>
                <w:tcPr>
                  <w:tcW w:w="1046" w:type="dxa"/>
                  <w:tcBorders>
                    <w:tl2br w:val="nil"/>
                    <w:tr2bl w:val="nil"/>
                  </w:tcBorders>
                  <w:shd w:val="clear" w:color="auto" w:fill="auto"/>
                  <w:vAlign w:val="center"/>
                </w:tcPr>
                <w:p w14:paraId="14D4082A">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贡献值</w:t>
                  </w:r>
                </w:p>
              </w:tc>
              <w:tc>
                <w:tcPr>
                  <w:tcW w:w="1046" w:type="dxa"/>
                  <w:vMerge w:val="restart"/>
                  <w:tcBorders>
                    <w:tl2br w:val="nil"/>
                    <w:tr2bl w:val="nil"/>
                  </w:tcBorders>
                  <w:shd w:val="clear" w:color="auto" w:fill="auto"/>
                  <w:vAlign w:val="center"/>
                </w:tcPr>
                <w:p w14:paraId="251BDF75">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标准限值（</w:t>
                  </w:r>
                  <w:r>
                    <w:rPr>
                      <w:rFonts w:hint="default"/>
                      <w:caps w:val="0"/>
                      <w:color w:val="auto"/>
                      <w:spacing w:val="0"/>
                      <w:position w:val="0"/>
                      <w:highlight w:val="none"/>
                      <w:lang w:val="en-US" w:eastAsia="zh-CN"/>
                    </w:rPr>
                    <w:t>dB(A)</w:t>
                  </w:r>
                  <w:r>
                    <w:rPr>
                      <w:rFonts w:hint="eastAsia"/>
                      <w:caps w:val="0"/>
                      <w:color w:val="auto"/>
                      <w:spacing w:val="0"/>
                      <w:position w:val="0"/>
                      <w:highlight w:val="none"/>
                      <w:lang w:val="en-US" w:eastAsia="zh-CN"/>
                    </w:rPr>
                    <w:t>）</w:t>
                  </w:r>
                </w:p>
              </w:tc>
              <w:tc>
                <w:tcPr>
                  <w:tcW w:w="1046" w:type="dxa"/>
                  <w:vMerge w:val="restart"/>
                  <w:tcBorders>
                    <w:tl2br w:val="nil"/>
                    <w:tr2bl w:val="nil"/>
                  </w:tcBorders>
                  <w:shd w:val="clear" w:color="auto" w:fill="auto"/>
                  <w:vAlign w:val="center"/>
                </w:tcPr>
                <w:p w14:paraId="4B1B7C8E">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达标情况</w:t>
                  </w:r>
                </w:p>
              </w:tc>
            </w:tr>
            <w:tr w14:paraId="5C59FA4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06" w:hRule="atLeast"/>
                <w:jc w:val="center"/>
              </w:trPr>
              <w:tc>
                <w:tcPr>
                  <w:tcW w:w="1046" w:type="dxa"/>
                  <w:vMerge w:val="continue"/>
                  <w:tcBorders>
                    <w:tl2br w:val="nil"/>
                    <w:tr2bl w:val="nil"/>
                  </w:tcBorders>
                  <w:shd w:val="clear" w:color="auto" w:fill="auto"/>
                  <w:vAlign w:val="center"/>
                </w:tcPr>
                <w:p w14:paraId="636D28A1">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046" w:type="dxa"/>
                  <w:tcBorders>
                    <w:tl2br w:val="nil"/>
                    <w:tr2bl w:val="nil"/>
                  </w:tcBorders>
                  <w:shd w:val="clear" w:color="auto" w:fill="FFFFFF"/>
                  <w:vAlign w:val="center"/>
                </w:tcPr>
                <w:p w14:paraId="3BDDF1A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X</w:t>
                  </w:r>
                </w:p>
              </w:tc>
              <w:tc>
                <w:tcPr>
                  <w:tcW w:w="1046" w:type="dxa"/>
                  <w:tcBorders>
                    <w:tl2br w:val="nil"/>
                    <w:tr2bl w:val="nil"/>
                  </w:tcBorders>
                  <w:shd w:val="clear" w:color="auto" w:fill="FFFFFF"/>
                  <w:vAlign w:val="center"/>
                </w:tcPr>
                <w:p w14:paraId="5B773AB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Y</w:t>
                  </w:r>
                </w:p>
              </w:tc>
              <w:tc>
                <w:tcPr>
                  <w:tcW w:w="1046" w:type="dxa"/>
                  <w:tcBorders>
                    <w:tl2br w:val="nil"/>
                    <w:tr2bl w:val="nil"/>
                  </w:tcBorders>
                  <w:shd w:val="clear" w:color="auto" w:fill="FFFFFF"/>
                  <w:vAlign w:val="center"/>
                </w:tcPr>
                <w:p w14:paraId="2120F8E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Z</w:t>
                  </w:r>
                </w:p>
              </w:tc>
              <w:tc>
                <w:tcPr>
                  <w:tcW w:w="1046" w:type="dxa"/>
                  <w:vMerge w:val="continue"/>
                  <w:tcBorders>
                    <w:tl2br w:val="nil"/>
                    <w:tr2bl w:val="nil"/>
                  </w:tcBorders>
                  <w:shd w:val="clear" w:color="auto" w:fill="auto"/>
                  <w:vAlign w:val="center"/>
                </w:tcPr>
                <w:p w14:paraId="41A7934A">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046" w:type="dxa"/>
                  <w:tcBorders>
                    <w:tl2br w:val="nil"/>
                    <w:tr2bl w:val="nil"/>
                  </w:tcBorders>
                  <w:shd w:val="clear" w:color="auto" w:fill="auto"/>
                  <w:vAlign w:val="center"/>
                </w:tcPr>
                <w:p w14:paraId="763D5938">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w:t>
                  </w:r>
                  <w:r>
                    <w:rPr>
                      <w:rFonts w:hint="default"/>
                      <w:caps w:val="0"/>
                      <w:color w:val="auto"/>
                      <w:spacing w:val="0"/>
                      <w:position w:val="0"/>
                      <w:highlight w:val="none"/>
                      <w:lang w:val="en-US" w:eastAsia="zh-CN"/>
                    </w:rPr>
                    <w:t>dB(A)</w:t>
                  </w:r>
                  <w:r>
                    <w:rPr>
                      <w:rFonts w:hint="eastAsia"/>
                      <w:caps w:val="0"/>
                      <w:color w:val="auto"/>
                      <w:spacing w:val="0"/>
                      <w:position w:val="0"/>
                      <w:highlight w:val="none"/>
                      <w:lang w:val="en-US" w:eastAsia="zh-CN"/>
                    </w:rPr>
                    <w:t>）</w:t>
                  </w:r>
                </w:p>
              </w:tc>
              <w:tc>
                <w:tcPr>
                  <w:tcW w:w="1046" w:type="dxa"/>
                  <w:vMerge w:val="continue"/>
                  <w:tcBorders>
                    <w:tl2br w:val="nil"/>
                    <w:tr2bl w:val="nil"/>
                  </w:tcBorders>
                  <w:shd w:val="clear" w:color="auto" w:fill="auto"/>
                  <w:vAlign w:val="center"/>
                </w:tcPr>
                <w:p w14:paraId="1D5A8921">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046" w:type="dxa"/>
                  <w:vMerge w:val="continue"/>
                  <w:tcBorders>
                    <w:tl2br w:val="nil"/>
                    <w:tr2bl w:val="nil"/>
                  </w:tcBorders>
                  <w:shd w:val="clear" w:color="auto" w:fill="auto"/>
                  <w:vAlign w:val="center"/>
                </w:tcPr>
                <w:p w14:paraId="7C1C60BC">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r>
            <w:tr w14:paraId="5720B56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3" w:hRule="atLeast"/>
                <w:jc w:val="center"/>
              </w:trPr>
              <w:tc>
                <w:tcPr>
                  <w:tcW w:w="1046" w:type="dxa"/>
                  <w:tcBorders>
                    <w:tl2br w:val="nil"/>
                    <w:tr2bl w:val="nil"/>
                  </w:tcBorders>
                  <w:shd w:val="clear" w:color="auto" w:fill="FFFFFF"/>
                  <w:vAlign w:val="center"/>
                </w:tcPr>
                <w:p w14:paraId="3D7F0F9D">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东侧</w:t>
                  </w:r>
                </w:p>
              </w:tc>
              <w:tc>
                <w:tcPr>
                  <w:tcW w:w="1046" w:type="dxa"/>
                  <w:tcBorders>
                    <w:tl2br w:val="nil"/>
                    <w:tr2bl w:val="nil"/>
                  </w:tcBorders>
                  <w:shd w:val="clear" w:color="auto" w:fill="FFFFFF"/>
                  <w:vAlign w:val="center"/>
                </w:tcPr>
                <w:p w14:paraId="6452696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170.87</w:t>
                  </w:r>
                </w:p>
              </w:tc>
              <w:tc>
                <w:tcPr>
                  <w:tcW w:w="1046" w:type="dxa"/>
                  <w:tcBorders>
                    <w:tl2br w:val="nil"/>
                    <w:tr2bl w:val="nil"/>
                  </w:tcBorders>
                  <w:shd w:val="clear" w:color="auto" w:fill="FFFFFF"/>
                  <w:vAlign w:val="center"/>
                </w:tcPr>
                <w:p w14:paraId="48B94E6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113.06</w:t>
                  </w:r>
                </w:p>
              </w:tc>
              <w:tc>
                <w:tcPr>
                  <w:tcW w:w="1046" w:type="dxa"/>
                  <w:tcBorders>
                    <w:tl2br w:val="nil"/>
                    <w:tr2bl w:val="nil"/>
                  </w:tcBorders>
                  <w:shd w:val="clear" w:color="auto" w:fill="FFFFFF"/>
                  <w:vAlign w:val="center"/>
                </w:tcPr>
                <w:p w14:paraId="16F11D0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1.2</w:t>
                  </w:r>
                </w:p>
              </w:tc>
              <w:tc>
                <w:tcPr>
                  <w:tcW w:w="1046" w:type="dxa"/>
                  <w:tcBorders>
                    <w:tl2br w:val="nil"/>
                    <w:tr2bl w:val="nil"/>
                  </w:tcBorders>
                  <w:shd w:val="clear" w:color="auto" w:fill="FFFFFF"/>
                  <w:vAlign w:val="center"/>
                </w:tcPr>
                <w:p w14:paraId="325CB1B6">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昼间</w:t>
                  </w:r>
                </w:p>
              </w:tc>
              <w:tc>
                <w:tcPr>
                  <w:tcW w:w="1046" w:type="dxa"/>
                  <w:tcBorders>
                    <w:tl2br w:val="nil"/>
                    <w:tr2bl w:val="nil"/>
                  </w:tcBorders>
                  <w:shd w:val="clear" w:color="auto" w:fill="auto"/>
                  <w:noWrap/>
                  <w:vAlign w:val="center"/>
                </w:tcPr>
                <w:p w14:paraId="67AE1E9C">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35.13</w:t>
                  </w:r>
                </w:p>
              </w:tc>
              <w:tc>
                <w:tcPr>
                  <w:tcW w:w="1046" w:type="dxa"/>
                  <w:tcBorders>
                    <w:tl2br w:val="nil"/>
                    <w:tr2bl w:val="nil"/>
                  </w:tcBorders>
                  <w:shd w:val="clear" w:color="auto" w:fill="FFFFFF"/>
                  <w:vAlign w:val="center"/>
                </w:tcPr>
                <w:p w14:paraId="3B5C36F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60</w:t>
                  </w:r>
                </w:p>
              </w:tc>
              <w:tc>
                <w:tcPr>
                  <w:tcW w:w="1046" w:type="dxa"/>
                  <w:tcBorders>
                    <w:tl2br w:val="nil"/>
                    <w:tr2bl w:val="nil"/>
                  </w:tcBorders>
                  <w:shd w:val="clear" w:color="auto" w:fill="FFFFFF"/>
                  <w:vAlign w:val="center"/>
                </w:tcPr>
                <w:p w14:paraId="5F78BE64">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达标</w:t>
                  </w:r>
                </w:p>
              </w:tc>
            </w:tr>
            <w:tr w14:paraId="67BB6A1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3" w:hRule="atLeast"/>
                <w:jc w:val="center"/>
              </w:trPr>
              <w:tc>
                <w:tcPr>
                  <w:tcW w:w="1046" w:type="dxa"/>
                  <w:tcBorders>
                    <w:tl2br w:val="nil"/>
                    <w:tr2bl w:val="nil"/>
                  </w:tcBorders>
                  <w:shd w:val="clear" w:color="auto" w:fill="FFFFFF"/>
                  <w:vAlign w:val="center"/>
                </w:tcPr>
                <w:p w14:paraId="6439452D">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东侧</w:t>
                  </w:r>
                </w:p>
              </w:tc>
              <w:tc>
                <w:tcPr>
                  <w:tcW w:w="1046" w:type="dxa"/>
                  <w:tcBorders>
                    <w:tl2br w:val="nil"/>
                    <w:tr2bl w:val="nil"/>
                  </w:tcBorders>
                  <w:shd w:val="clear" w:color="auto" w:fill="FFFFFF"/>
                  <w:vAlign w:val="center"/>
                </w:tcPr>
                <w:p w14:paraId="6CA5D97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170.87</w:t>
                  </w:r>
                </w:p>
              </w:tc>
              <w:tc>
                <w:tcPr>
                  <w:tcW w:w="1046" w:type="dxa"/>
                  <w:tcBorders>
                    <w:tl2br w:val="nil"/>
                    <w:tr2bl w:val="nil"/>
                  </w:tcBorders>
                  <w:shd w:val="clear" w:color="auto" w:fill="FFFFFF"/>
                  <w:vAlign w:val="center"/>
                </w:tcPr>
                <w:p w14:paraId="0B405D7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113.06</w:t>
                  </w:r>
                </w:p>
              </w:tc>
              <w:tc>
                <w:tcPr>
                  <w:tcW w:w="1046" w:type="dxa"/>
                  <w:tcBorders>
                    <w:tl2br w:val="nil"/>
                    <w:tr2bl w:val="nil"/>
                  </w:tcBorders>
                  <w:shd w:val="clear" w:color="auto" w:fill="FFFFFF"/>
                  <w:vAlign w:val="center"/>
                </w:tcPr>
                <w:p w14:paraId="4E5D907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1.2</w:t>
                  </w:r>
                </w:p>
              </w:tc>
              <w:tc>
                <w:tcPr>
                  <w:tcW w:w="1046" w:type="dxa"/>
                  <w:tcBorders>
                    <w:tl2br w:val="nil"/>
                    <w:tr2bl w:val="nil"/>
                  </w:tcBorders>
                  <w:shd w:val="clear" w:color="auto" w:fill="FFFFFF"/>
                  <w:vAlign w:val="center"/>
                </w:tcPr>
                <w:p w14:paraId="3D4647C5">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夜间</w:t>
                  </w:r>
                </w:p>
              </w:tc>
              <w:tc>
                <w:tcPr>
                  <w:tcW w:w="1046" w:type="dxa"/>
                  <w:tcBorders>
                    <w:tl2br w:val="nil"/>
                    <w:tr2bl w:val="nil"/>
                  </w:tcBorders>
                  <w:shd w:val="clear" w:color="auto" w:fill="auto"/>
                  <w:noWrap/>
                  <w:vAlign w:val="center"/>
                </w:tcPr>
                <w:p w14:paraId="5F281F34">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35.13</w:t>
                  </w:r>
                </w:p>
              </w:tc>
              <w:tc>
                <w:tcPr>
                  <w:tcW w:w="1046" w:type="dxa"/>
                  <w:tcBorders>
                    <w:tl2br w:val="nil"/>
                    <w:tr2bl w:val="nil"/>
                  </w:tcBorders>
                  <w:shd w:val="clear" w:color="auto" w:fill="FFFFFF"/>
                  <w:vAlign w:val="center"/>
                </w:tcPr>
                <w:p w14:paraId="4A066FA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50</w:t>
                  </w:r>
                </w:p>
              </w:tc>
              <w:tc>
                <w:tcPr>
                  <w:tcW w:w="1046" w:type="dxa"/>
                  <w:tcBorders>
                    <w:tl2br w:val="nil"/>
                    <w:tr2bl w:val="nil"/>
                  </w:tcBorders>
                  <w:shd w:val="clear" w:color="auto" w:fill="FFFFFF"/>
                  <w:vAlign w:val="center"/>
                </w:tcPr>
                <w:p w14:paraId="443C466D">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达标</w:t>
                  </w:r>
                </w:p>
              </w:tc>
            </w:tr>
            <w:tr w14:paraId="54B7683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3" w:hRule="atLeast"/>
                <w:jc w:val="center"/>
              </w:trPr>
              <w:tc>
                <w:tcPr>
                  <w:tcW w:w="1046" w:type="dxa"/>
                  <w:tcBorders>
                    <w:tl2br w:val="nil"/>
                    <w:tr2bl w:val="nil"/>
                  </w:tcBorders>
                  <w:shd w:val="clear" w:color="auto" w:fill="FFFFFF"/>
                  <w:vAlign w:val="center"/>
                </w:tcPr>
                <w:p w14:paraId="134738D9">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南侧</w:t>
                  </w:r>
                </w:p>
              </w:tc>
              <w:tc>
                <w:tcPr>
                  <w:tcW w:w="1046" w:type="dxa"/>
                  <w:tcBorders>
                    <w:tl2br w:val="nil"/>
                    <w:tr2bl w:val="nil"/>
                  </w:tcBorders>
                  <w:shd w:val="clear" w:color="auto" w:fill="FFFFFF"/>
                  <w:vAlign w:val="center"/>
                </w:tcPr>
                <w:p w14:paraId="7033717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79.5</w:t>
                  </w:r>
                </w:p>
              </w:tc>
              <w:tc>
                <w:tcPr>
                  <w:tcW w:w="1046" w:type="dxa"/>
                  <w:tcBorders>
                    <w:tl2br w:val="nil"/>
                    <w:tr2bl w:val="nil"/>
                  </w:tcBorders>
                  <w:shd w:val="clear" w:color="auto" w:fill="FFFFFF"/>
                  <w:vAlign w:val="center"/>
                </w:tcPr>
                <w:p w14:paraId="4C1FADB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-53.74</w:t>
                  </w:r>
                </w:p>
              </w:tc>
              <w:tc>
                <w:tcPr>
                  <w:tcW w:w="1046" w:type="dxa"/>
                  <w:tcBorders>
                    <w:tl2br w:val="nil"/>
                    <w:tr2bl w:val="nil"/>
                  </w:tcBorders>
                  <w:shd w:val="clear" w:color="auto" w:fill="FFFFFF"/>
                  <w:vAlign w:val="center"/>
                </w:tcPr>
                <w:p w14:paraId="3948671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1.2</w:t>
                  </w:r>
                </w:p>
              </w:tc>
              <w:tc>
                <w:tcPr>
                  <w:tcW w:w="1046" w:type="dxa"/>
                  <w:tcBorders>
                    <w:tl2br w:val="nil"/>
                    <w:tr2bl w:val="nil"/>
                  </w:tcBorders>
                  <w:shd w:val="clear" w:color="auto" w:fill="FFFFFF"/>
                  <w:vAlign w:val="center"/>
                </w:tcPr>
                <w:p w14:paraId="045C16C2">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昼间</w:t>
                  </w:r>
                </w:p>
              </w:tc>
              <w:tc>
                <w:tcPr>
                  <w:tcW w:w="1046" w:type="dxa"/>
                  <w:tcBorders>
                    <w:tl2br w:val="nil"/>
                    <w:tr2bl w:val="nil"/>
                  </w:tcBorders>
                  <w:shd w:val="clear" w:color="auto" w:fill="auto"/>
                  <w:noWrap/>
                  <w:vAlign w:val="center"/>
                </w:tcPr>
                <w:p w14:paraId="5540E0C4">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43.91</w:t>
                  </w:r>
                </w:p>
              </w:tc>
              <w:tc>
                <w:tcPr>
                  <w:tcW w:w="1046" w:type="dxa"/>
                  <w:tcBorders>
                    <w:tl2br w:val="nil"/>
                    <w:tr2bl w:val="nil"/>
                  </w:tcBorders>
                  <w:shd w:val="clear" w:color="auto" w:fill="FFFFFF"/>
                  <w:vAlign w:val="center"/>
                </w:tcPr>
                <w:p w14:paraId="4BB6930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60</w:t>
                  </w:r>
                </w:p>
              </w:tc>
              <w:tc>
                <w:tcPr>
                  <w:tcW w:w="1046" w:type="dxa"/>
                  <w:tcBorders>
                    <w:tl2br w:val="nil"/>
                    <w:tr2bl w:val="nil"/>
                  </w:tcBorders>
                  <w:shd w:val="clear" w:color="auto" w:fill="FFFFFF"/>
                  <w:vAlign w:val="center"/>
                </w:tcPr>
                <w:p w14:paraId="5F3F6800">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达标</w:t>
                  </w:r>
                </w:p>
              </w:tc>
            </w:tr>
            <w:tr w14:paraId="6F5D1CA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3" w:hRule="atLeast"/>
                <w:jc w:val="center"/>
              </w:trPr>
              <w:tc>
                <w:tcPr>
                  <w:tcW w:w="1046" w:type="dxa"/>
                  <w:tcBorders>
                    <w:tl2br w:val="nil"/>
                    <w:tr2bl w:val="nil"/>
                  </w:tcBorders>
                  <w:shd w:val="clear" w:color="auto" w:fill="FFFFFF"/>
                  <w:vAlign w:val="center"/>
                </w:tcPr>
                <w:p w14:paraId="158BF5EA">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南侧</w:t>
                  </w:r>
                </w:p>
              </w:tc>
              <w:tc>
                <w:tcPr>
                  <w:tcW w:w="1046" w:type="dxa"/>
                  <w:tcBorders>
                    <w:tl2br w:val="nil"/>
                    <w:tr2bl w:val="nil"/>
                  </w:tcBorders>
                  <w:shd w:val="clear" w:color="auto" w:fill="FFFFFF"/>
                  <w:vAlign w:val="center"/>
                </w:tcPr>
                <w:p w14:paraId="1E845B4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79.5</w:t>
                  </w:r>
                </w:p>
              </w:tc>
              <w:tc>
                <w:tcPr>
                  <w:tcW w:w="1046" w:type="dxa"/>
                  <w:tcBorders>
                    <w:tl2br w:val="nil"/>
                    <w:tr2bl w:val="nil"/>
                  </w:tcBorders>
                  <w:shd w:val="clear" w:color="auto" w:fill="FFFFFF"/>
                  <w:vAlign w:val="center"/>
                </w:tcPr>
                <w:p w14:paraId="3125E52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-53.74</w:t>
                  </w:r>
                </w:p>
              </w:tc>
              <w:tc>
                <w:tcPr>
                  <w:tcW w:w="1046" w:type="dxa"/>
                  <w:tcBorders>
                    <w:tl2br w:val="nil"/>
                    <w:tr2bl w:val="nil"/>
                  </w:tcBorders>
                  <w:shd w:val="clear" w:color="auto" w:fill="FFFFFF"/>
                  <w:vAlign w:val="center"/>
                </w:tcPr>
                <w:p w14:paraId="7CB6EFD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1.2</w:t>
                  </w:r>
                </w:p>
              </w:tc>
              <w:tc>
                <w:tcPr>
                  <w:tcW w:w="1046" w:type="dxa"/>
                  <w:tcBorders>
                    <w:tl2br w:val="nil"/>
                    <w:tr2bl w:val="nil"/>
                  </w:tcBorders>
                  <w:shd w:val="clear" w:color="auto" w:fill="FFFFFF"/>
                  <w:vAlign w:val="center"/>
                </w:tcPr>
                <w:p w14:paraId="5FD77080">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夜间</w:t>
                  </w:r>
                </w:p>
              </w:tc>
              <w:tc>
                <w:tcPr>
                  <w:tcW w:w="1046" w:type="dxa"/>
                  <w:tcBorders>
                    <w:tl2br w:val="nil"/>
                    <w:tr2bl w:val="nil"/>
                  </w:tcBorders>
                  <w:shd w:val="clear" w:color="auto" w:fill="auto"/>
                  <w:noWrap/>
                  <w:vAlign w:val="center"/>
                </w:tcPr>
                <w:p w14:paraId="004D63D4">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43.91</w:t>
                  </w:r>
                </w:p>
              </w:tc>
              <w:tc>
                <w:tcPr>
                  <w:tcW w:w="1046" w:type="dxa"/>
                  <w:tcBorders>
                    <w:tl2br w:val="nil"/>
                    <w:tr2bl w:val="nil"/>
                  </w:tcBorders>
                  <w:shd w:val="clear" w:color="auto" w:fill="FFFFFF"/>
                  <w:vAlign w:val="center"/>
                </w:tcPr>
                <w:p w14:paraId="628FD88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50</w:t>
                  </w:r>
                </w:p>
              </w:tc>
              <w:tc>
                <w:tcPr>
                  <w:tcW w:w="1046" w:type="dxa"/>
                  <w:tcBorders>
                    <w:tl2br w:val="nil"/>
                    <w:tr2bl w:val="nil"/>
                  </w:tcBorders>
                  <w:shd w:val="clear" w:color="auto" w:fill="FFFFFF"/>
                  <w:vAlign w:val="center"/>
                </w:tcPr>
                <w:p w14:paraId="22CD0DF2">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达标</w:t>
                  </w:r>
                </w:p>
              </w:tc>
            </w:tr>
            <w:tr w14:paraId="62DB7A4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3" w:hRule="atLeast"/>
                <w:jc w:val="center"/>
              </w:trPr>
              <w:tc>
                <w:tcPr>
                  <w:tcW w:w="1046" w:type="dxa"/>
                  <w:tcBorders>
                    <w:tl2br w:val="nil"/>
                    <w:tr2bl w:val="nil"/>
                  </w:tcBorders>
                  <w:shd w:val="clear" w:color="auto" w:fill="FFFFFF"/>
                  <w:vAlign w:val="center"/>
                </w:tcPr>
                <w:p w14:paraId="1CE72E25">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西侧</w:t>
                  </w:r>
                </w:p>
              </w:tc>
              <w:tc>
                <w:tcPr>
                  <w:tcW w:w="1046" w:type="dxa"/>
                  <w:tcBorders>
                    <w:tl2br w:val="nil"/>
                    <w:tr2bl w:val="nil"/>
                  </w:tcBorders>
                  <w:shd w:val="clear" w:color="auto" w:fill="FFFFFF"/>
                  <w:vAlign w:val="center"/>
                </w:tcPr>
                <w:p w14:paraId="4723C08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-121.02</w:t>
                  </w:r>
                </w:p>
              </w:tc>
              <w:tc>
                <w:tcPr>
                  <w:tcW w:w="1046" w:type="dxa"/>
                  <w:tcBorders>
                    <w:tl2br w:val="nil"/>
                    <w:tr2bl w:val="nil"/>
                  </w:tcBorders>
                  <w:shd w:val="clear" w:color="auto" w:fill="FFFFFF"/>
                  <w:vAlign w:val="center"/>
                </w:tcPr>
                <w:p w14:paraId="7E80F87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-60.48</w:t>
                  </w:r>
                </w:p>
              </w:tc>
              <w:tc>
                <w:tcPr>
                  <w:tcW w:w="1046" w:type="dxa"/>
                  <w:tcBorders>
                    <w:tl2br w:val="nil"/>
                    <w:tr2bl w:val="nil"/>
                  </w:tcBorders>
                  <w:shd w:val="clear" w:color="auto" w:fill="FFFFFF"/>
                  <w:vAlign w:val="center"/>
                </w:tcPr>
                <w:p w14:paraId="66CB162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1.2</w:t>
                  </w:r>
                </w:p>
              </w:tc>
              <w:tc>
                <w:tcPr>
                  <w:tcW w:w="1046" w:type="dxa"/>
                  <w:tcBorders>
                    <w:tl2br w:val="nil"/>
                    <w:tr2bl w:val="nil"/>
                  </w:tcBorders>
                  <w:shd w:val="clear" w:color="auto" w:fill="FFFFFF"/>
                  <w:vAlign w:val="center"/>
                </w:tcPr>
                <w:p w14:paraId="42B0E328">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昼间</w:t>
                  </w:r>
                </w:p>
              </w:tc>
              <w:tc>
                <w:tcPr>
                  <w:tcW w:w="1046" w:type="dxa"/>
                  <w:tcBorders>
                    <w:tl2br w:val="nil"/>
                    <w:tr2bl w:val="nil"/>
                  </w:tcBorders>
                  <w:shd w:val="clear" w:color="auto" w:fill="auto"/>
                  <w:noWrap/>
                  <w:vAlign w:val="center"/>
                </w:tcPr>
                <w:p w14:paraId="2AF5B24C">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49.93</w:t>
                  </w:r>
                </w:p>
              </w:tc>
              <w:tc>
                <w:tcPr>
                  <w:tcW w:w="1046" w:type="dxa"/>
                  <w:tcBorders>
                    <w:tl2br w:val="nil"/>
                    <w:tr2bl w:val="nil"/>
                  </w:tcBorders>
                  <w:shd w:val="clear" w:color="auto" w:fill="FFFFFF"/>
                  <w:vAlign w:val="center"/>
                </w:tcPr>
                <w:p w14:paraId="0937695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60</w:t>
                  </w:r>
                </w:p>
              </w:tc>
              <w:tc>
                <w:tcPr>
                  <w:tcW w:w="1046" w:type="dxa"/>
                  <w:tcBorders>
                    <w:tl2br w:val="nil"/>
                    <w:tr2bl w:val="nil"/>
                  </w:tcBorders>
                  <w:shd w:val="clear" w:color="auto" w:fill="FFFFFF"/>
                  <w:vAlign w:val="center"/>
                </w:tcPr>
                <w:p w14:paraId="475A5287">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达标</w:t>
                  </w:r>
                </w:p>
              </w:tc>
            </w:tr>
            <w:tr w14:paraId="02F3F6D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8" w:hRule="atLeast"/>
                <w:jc w:val="center"/>
              </w:trPr>
              <w:tc>
                <w:tcPr>
                  <w:tcW w:w="1046" w:type="dxa"/>
                  <w:tcBorders>
                    <w:tl2br w:val="nil"/>
                    <w:tr2bl w:val="nil"/>
                  </w:tcBorders>
                  <w:shd w:val="clear" w:color="auto" w:fill="FFFFFF"/>
                  <w:vAlign w:val="center"/>
                </w:tcPr>
                <w:p w14:paraId="6DB98C73">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西侧</w:t>
                  </w:r>
                </w:p>
              </w:tc>
              <w:tc>
                <w:tcPr>
                  <w:tcW w:w="1046" w:type="dxa"/>
                  <w:tcBorders>
                    <w:tl2br w:val="nil"/>
                    <w:tr2bl w:val="nil"/>
                  </w:tcBorders>
                  <w:shd w:val="clear" w:color="auto" w:fill="FFFFFF"/>
                  <w:vAlign w:val="center"/>
                </w:tcPr>
                <w:p w14:paraId="040E724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-121.02</w:t>
                  </w:r>
                </w:p>
              </w:tc>
              <w:tc>
                <w:tcPr>
                  <w:tcW w:w="1046" w:type="dxa"/>
                  <w:tcBorders>
                    <w:tl2br w:val="nil"/>
                    <w:tr2bl w:val="nil"/>
                  </w:tcBorders>
                  <w:shd w:val="clear" w:color="auto" w:fill="FFFFFF"/>
                  <w:vAlign w:val="center"/>
                </w:tcPr>
                <w:p w14:paraId="0A59192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-60.48</w:t>
                  </w:r>
                </w:p>
              </w:tc>
              <w:tc>
                <w:tcPr>
                  <w:tcW w:w="1046" w:type="dxa"/>
                  <w:tcBorders>
                    <w:tl2br w:val="nil"/>
                    <w:tr2bl w:val="nil"/>
                  </w:tcBorders>
                  <w:shd w:val="clear" w:color="auto" w:fill="FFFFFF"/>
                  <w:vAlign w:val="center"/>
                </w:tcPr>
                <w:p w14:paraId="1311DC4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1.2</w:t>
                  </w:r>
                </w:p>
              </w:tc>
              <w:tc>
                <w:tcPr>
                  <w:tcW w:w="1046" w:type="dxa"/>
                  <w:tcBorders>
                    <w:tl2br w:val="nil"/>
                    <w:tr2bl w:val="nil"/>
                  </w:tcBorders>
                  <w:shd w:val="clear" w:color="auto" w:fill="FFFFFF"/>
                  <w:vAlign w:val="center"/>
                </w:tcPr>
                <w:p w14:paraId="7C2B6CF7">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夜间</w:t>
                  </w:r>
                </w:p>
              </w:tc>
              <w:tc>
                <w:tcPr>
                  <w:tcW w:w="1046" w:type="dxa"/>
                  <w:tcBorders>
                    <w:tl2br w:val="nil"/>
                    <w:tr2bl w:val="nil"/>
                  </w:tcBorders>
                  <w:shd w:val="clear" w:color="auto" w:fill="auto"/>
                  <w:noWrap/>
                  <w:vAlign w:val="center"/>
                </w:tcPr>
                <w:p w14:paraId="7D89ED8E">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49.93</w:t>
                  </w:r>
                </w:p>
              </w:tc>
              <w:tc>
                <w:tcPr>
                  <w:tcW w:w="1046" w:type="dxa"/>
                  <w:tcBorders>
                    <w:tl2br w:val="nil"/>
                    <w:tr2bl w:val="nil"/>
                  </w:tcBorders>
                  <w:shd w:val="clear" w:color="auto" w:fill="FFFFFF"/>
                  <w:vAlign w:val="center"/>
                </w:tcPr>
                <w:p w14:paraId="0BBA232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50</w:t>
                  </w:r>
                </w:p>
              </w:tc>
              <w:tc>
                <w:tcPr>
                  <w:tcW w:w="1046" w:type="dxa"/>
                  <w:tcBorders>
                    <w:tl2br w:val="nil"/>
                    <w:tr2bl w:val="nil"/>
                  </w:tcBorders>
                  <w:shd w:val="clear" w:color="auto" w:fill="FFFFFF"/>
                  <w:vAlign w:val="center"/>
                </w:tcPr>
                <w:p w14:paraId="65F3886E">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达标</w:t>
                  </w:r>
                </w:p>
              </w:tc>
            </w:tr>
            <w:tr w14:paraId="1E8080A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8" w:hRule="atLeast"/>
                <w:jc w:val="center"/>
              </w:trPr>
              <w:tc>
                <w:tcPr>
                  <w:tcW w:w="1046" w:type="dxa"/>
                  <w:tcBorders>
                    <w:tl2br w:val="nil"/>
                    <w:tr2bl w:val="nil"/>
                  </w:tcBorders>
                  <w:shd w:val="clear" w:color="auto" w:fill="FFFFFF"/>
                  <w:vAlign w:val="center"/>
                </w:tcPr>
                <w:p w14:paraId="29CBF90C">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北侧</w:t>
                  </w:r>
                </w:p>
              </w:tc>
              <w:tc>
                <w:tcPr>
                  <w:tcW w:w="1046" w:type="dxa"/>
                  <w:tcBorders>
                    <w:tl2br w:val="nil"/>
                    <w:tr2bl w:val="nil"/>
                  </w:tcBorders>
                  <w:shd w:val="clear" w:color="auto" w:fill="FFFFFF"/>
                  <w:vAlign w:val="center"/>
                </w:tcPr>
                <w:p w14:paraId="04F8710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13.28</w:t>
                  </w:r>
                </w:p>
              </w:tc>
              <w:tc>
                <w:tcPr>
                  <w:tcW w:w="1046" w:type="dxa"/>
                  <w:tcBorders>
                    <w:tl2br w:val="nil"/>
                    <w:tr2bl w:val="nil"/>
                  </w:tcBorders>
                  <w:shd w:val="clear" w:color="auto" w:fill="FFFFFF"/>
                  <w:vAlign w:val="center"/>
                </w:tcPr>
                <w:p w14:paraId="1F094CC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103.25</w:t>
                  </w:r>
                </w:p>
              </w:tc>
              <w:tc>
                <w:tcPr>
                  <w:tcW w:w="1046" w:type="dxa"/>
                  <w:tcBorders>
                    <w:tl2br w:val="nil"/>
                    <w:tr2bl w:val="nil"/>
                  </w:tcBorders>
                  <w:shd w:val="clear" w:color="auto" w:fill="FFFFFF"/>
                  <w:vAlign w:val="center"/>
                </w:tcPr>
                <w:p w14:paraId="1F9F046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1.2</w:t>
                  </w:r>
                </w:p>
              </w:tc>
              <w:tc>
                <w:tcPr>
                  <w:tcW w:w="1046" w:type="dxa"/>
                  <w:tcBorders>
                    <w:tl2br w:val="nil"/>
                    <w:tr2bl w:val="nil"/>
                  </w:tcBorders>
                  <w:shd w:val="clear" w:color="auto" w:fill="FFFFFF"/>
                  <w:vAlign w:val="center"/>
                </w:tcPr>
                <w:p w14:paraId="7A3BAA97">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昼间</w:t>
                  </w:r>
                </w:p>
              </w:tc>
              <w:tc>
                <w:tcPr>
                  <w:tcW w:w="1046" w:type="dxa"/>
                  <w:tcBorders>
                    <w:tl2br w:val="nil"/>
                    <w:tr2bl w:val="nil"/>
                  </w:tcBorders>
                  <w:shd w:val="clear" w:color="auto" w:fill="auto"/>
                  <w:noWrap/>
                  <w:vAlign w:val="center"/>
                </w:tcPr>
                <w:p w14:paraId="49DCB1E0">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40.52</w:t>
                  </w:r>
                </w:p>
              </w:tc>
              <w:tc>
                <w:tcPr>
                  <w:tcW w:w="1046" w:type="dxa"/>
                  <w:tcBorders>
                    <w:tl2br w:val="nil"/>
                    <w:tr2bl w:val="nil"/>
                  </w:tcBorders>
                  <w:shd w:val="clear" w:color="auto" w:fill="FFFFFF"/>
                  <w:vAlign w:val="center"/>
                </w:tcPr>
                <w:p w14:paraId="4C48B06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60</w:t>
                  </w:r>
                </w:p>
              </w:tc>
              <w:tc>
                <w:tcPr>
                  <w:tcW w:w="1046" w:type="dxa"/>
                  <w:tcBorders>
                    <w:tl2br w:val="nil"/>
                    <w:tr2bl w:val="nil"/>
                  </w:tcBorders>
                  <w:shd w:val="clear" w:color="auto" w:fill="FFFFFF"/>
                  <w:vAlign w:val="center"/>
                </w:tcPr>
                <w:p w14:paraId="11D34903">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达标</w:t>
                  </w:r>
                </w:p>
              </w:tc>
            </w:tr>
            <w:tr w14:paraId="5DAE128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8" w:hRule="atLeast"/>
                <w:jc w:val="center"/>
              </w:trPr>
              <w:tc>
                <w:tcPr>
                  <w:tcW w:w="1046" w:type="dxa"/>
                  <w:tcBorders>
                    <w:tl2br w:val="nil"/>
                    <w:tr2bl w:val="nil"/>
                  </w:tcBorders>
                  <w:shd w:val="clear" w:color="auto" w:fill="FFFFFF"/>
                  <w:vAlign w:val="center"/>
                </w:tcPr>
                <w:p w14:paraId="2FD2433A">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北侧</w:t>
                  </w:r>
                </w:p>
              </w:tc>
              <w:tc>
                <w:tcPr>
                  <w:tcW w:w="1046" w:type="dxa"/>
                  <w:tcBorders>
                    <w:tl2br w:val="nil"/>
                    <w:tr2bl w:val="nil"/>
                  </w:tcBorders>
                  <w:shd w:val="clear" w:color="auto" w:fill="FFFFFF"/>
                  <w:vAlign w:val="center"/>
                </w:tcPr>
                <w:p w14:paraId="6C96265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13.28</w:t>
                  </w:r>
                </w:p>
              </w:tc>
              <w:tc>
                <w:tcPr>
                  <w:tcW w:w="1046" w:type="dxa"/>
                  <w:tcBorders>
                    <w:tl2br w:val="nil"/>
                    <w:tr2bl w:val="nil"/>
                  </w:tcBorders>
                  <w:shd w:val="clear" w:color="auto" w:fill="FFFFFF"/>
                  <w:vAlign w:val="center"/>
                </w:tcPr>
                <w:p w14:paraId="5844562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103.25</w:t>
                  </w:r>
                </w:p>
              </w:tc>
              <w:tc>
                <w:tcPr>
                  <w:tcW w:w="1046" w:type="dxa"/>
                  <w:tcBorders>
                    <w:tl2br w:val="nil"/>
                    <w:tr2bl w:val="nil"/>
                  </w:tcBorders>
                  <w:shd w:val="clear" w:color="auto" w:fill="FFFFFF"/>
                  <w:vAlign w:val="center"/>
                </w:tcPr>
                <w:p w14:paraId="249E34F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1.2</w:t>
                  </w:r>
                </w:p>
              </w:tc>
              <w:tc>
                <w:tcPr>
                  <w:tcW w:w="1046" w:type="dxa"/>
                  <w:tcBorders>
                    <w:tl2br w:val="nil"/>
                    <w:tr2bl w:val="nil"/>
                  </w:tcBorders>
                  <w:shd w:val="clear" w:color="auto" w:fill="FFFFFF"/>
                  <w:vAlign w:val="center"/>
                </w:tcPr>
                <w:p w14:paraId="785640F0">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夜间</w:t>
                  </w:r>
                </w:p>
              </w:tc>
              <w:tc>
                <w:tcPr>
                  <w:tcW w:w="1046" w:type="dxa"/>
                  <w:tcBorders>
                    <w:tl2br w:val="nil"/>
                    <w:tr2bl w:val="nil"/>
                  </w:tcBorders>
                  <w:shd w:val="clear" w:color="auto" w:fill="auto"/>
                  <w:noWrap/>
                  <w:vAlign w:val="center"/>
                </w:tcPr>
                <w:p w14:paraId="17CA8E76">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40.52</w:t>
                  </w:r>
                </w:p>
              </w:tc>
              <w:tc>
                <w:tcPr>
                  <w:tcW w:w="1046" w:type="dxa"/>
                  <w:tcBorders>
                    <w:tl2br w:val="nil"/>
                    <w:tr2bl w:val="nil"/>
                  </w:tcBorders>
                  <w:shd w:val="clear" w:color="auto" w:fill="FFFFFF"/>
                  <w:vAlign w:val="center"/>
                </w:tcPr>
                <w:p w14:paraId="24F14E4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lang w:val="en-US" w:eastAsia="zh-CN"/>
                    </w:rPr>
                    <w:t>50</w:t>
                  </w:r>
                </w:p>
              </w:tc>
              <w:tc>
                <w:tcPr>
                  <w:tcW w:w="1046" w:type="dxa"/>
                  <w:tcBorders>
                    <w:tl2br w:val="nil"/>
                    <w:tr2bl w:val="nil"/>
                  </w:tcBorders>
                  <w:shd w:val="clear" w:color="auto" w:fill="FFFFFF"/>
                  <w:vAlign w:val="center"/>
                </w:tcPr>
                <w:p w14:paraId="37AF459E">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lang w:val="en-US" w:eastAsia="zh-CN"/>
                    </w:rPr>
                    <w:t>达标</w:t>
                  </w:r>
                </w:p>
              </w:tc>
            </w:tr>
          </w:tbl>
          <w:p w14:paraId="4F75991B">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根据以上计算可知，本项目产生噪声经距离等衰减后，昼间对厂界四周噪声影响贡献值在</w:t>
            </w:r>
            <w:r>
              <w:rPr>
                <w:rFonts w:hint="eastAsia"/>
                <w:caps w:val="0"/>
                <w:color w:val="auto"/>
                <w:spacing w:val="0"/>
                <w:position w:val="0"/>
                <w:highlight w:val="none"/>
                <w:lang w:val="en-US" w:eastAsia="zh-CN"/>
              </w:rPr>
              <w:t>35.13-49.93</w:t>
            </w:r>
            <w:r>
              <w:rPr>
                <w:rFonts w:hint="default"/>
                <w:caps w:val="0"/>
                <w:color w:val="auto"/>
                <w:spacing w:val="0"/>
                <w:position w:val="0"/>
                <w:highlight w:val="none"/>
              </w:rPr>
              <w:t>dB(A）之间，满足《工业企业厂界环境噪声排放标准》（GB12348-2008）中</w:t>
            </w:r>
            <w:r>
              <w:rPr>
                <w:rFonts w:hint="eastAsia"/>
                <w:caps w:val="0"/>
                <w:color w:val="auto"/>
                <w:spacing w:val="0"/>
                <w:position w:val="0"/>
                <w:highlight w:val="none"/>
                <w:lang w:val="en-US" w:eastAsia="zh-CN"/>
              </w:rPr>
              <w:t>2</w:t>
            </w:r>
            <w:r>
              <w:rPr>
                <w:rFonts w:hint="default"/>
                <w:caps w:val="0"/>
                <w:color w:val="auto"/>
                <w:spacing w:val="0"/>
                <w:position w:val="0"/>
                <w:highlight w:val="none"/>
              </w:rPr>
              <w:t>类标准要求，</w:t>
            </w:r>
            <w:r>
              <w:rPr>
                <w:rFonts w:hint="eastAsia"/>
                <w:caps w:val="0"/>
                <w:color w:val="auto"/>
                <w:spacing w:val="0"/>
                <w:position w:val="0"/>
                <w:highlight w:val="none"/>
              </w:rPr>
              <w:t>综上所述，本项目运营期产生的噪声主要来自机械设备，通过上述隔声、减振及距离衰减后能够做到厂界达标，对项目周围声环境无明显影响。</w:t>
            </w:r>
          </w:p>
          <w:p w14:paraId="24C3A865">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3.4、噪声污染防治措施</w:t>
            </w:r>
          </w:p>
          <w:p w14:paraId="6FB7EE44">
            <w:pPr>
              <w:keepNext w:val="0"/>
              <w:keepLines w:val="0"/>
              <w:widowControl w:val="0"/>
              <w:suppressLineNumbers w:val="0"/>
              <w:bidi w:val="0"/>
              <w:spacing w:before="0" w:beforeLines="0" w:beforeAutospacing="0" w:after="0" w:afterLines="0" w:afterAutospacing="0" w:line="360" w:lineRule="auto"/>
              <w:ind w:left="0" w:right="0" w:firstLine="480" w:firstLineChars="200"/>
              <w:jc w:val="both"/>
              <w:rPr>
                <w:rFonts w:hint="default" w:ascii="Times New Roman" w:hAnsi="Times New Roman" w:eastAsia="宋体" w:cs="Times New Roman"/>
                <w:caps w:val="0"/>
                <w:color w:val="auto"/>
                <w:spacing w:val="0"/>
                <w:kern w:val="2"/>
                <w:position w:val="0"/>
                <w:sz w:val="24"/>
                <w:szCs w:val="24"/>
                <w:highlight w:val="none"/>
                <w:lang w:val="en-US" w:eastAsia="zh-CN" w:bidi="ar-SA"/>
              </w:rPr>
            </w:pPr>
            <w:r>
              <w:rPr>
                <w:rFonts w:hint="default" w:ascii="Times New Roman" w:hAnsi="Times New Roman" w:eastAsia="宋体" w:cs="Times New Roman"/>
                <w:caps w:val="0"/>
                <w:color w:val="auto"/>
                <w:spacing w:val="0"/>
                <w:kern w:val="2"/>
                <w:position w:val="0"/>
                <w:sz w:val="24"/>
                <w:szCs w:val="24"/>
                <w:highlight w:val="none"/>
                <w:lang w:val="en-US" w:eastAsia="zh-CN" w:bidi="ar-SA"/>
              </w:rPr>
              <w:t>为使本项目对周边声环境影响降到最低，本环评要求建设单位对该项目的噪声源采取隔声降噪措施。具体措施如下：</w:t>
            </w:r>
          </w:p>
          <w:p w14:paraId="55AC9A5F">
            <w:pPr>
              <w:keepNext w:val="0"/>
              <w:keepLines w:val="0"/>
              <w:widowControl w:val="0"/>
              <w:suppressLineNumbers w:val="0"/>
              <w:topLinePunct/>
              <w:snapToGrid/>
              <w:spacing w:before="0" w:beforeAutospacing="0" w:after="0" w:afterAutospacing="0" w:line="360" w:lineRule="auto"/>
              <w:ind w:left="0" w:right="0" w:firstLine="480" w:firstLineChars="200"/>
              <w:jc w:val="both"/>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pP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fldChar w:fldCharType="begin"/>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instrText xml:space="preserve"> = 1 \* GB3 </w:instrText>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fldChar w:fldCharType="separate"/>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t>①</w:t>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fldChar w:fldCharType="end"/>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t>从声源上控制，选择低噪声和符合国家噪声标准的设备；</w:t>
            </w:r>
          </w:p>
          <w:p w14:paraId="1C1195CB">
            <w:pPr>
              <w:keepNext w:val="0"/>
              <w:keepLines w:val="0"/>
              <w:widowControl w:val="0"/>
              <w:suppressLineNumbers w:val="0"/>
              <w:topLinePunct/>
              <w:snapToGrid/>
              <w:spacing w:before="0" w:beforeAutospacing="0" w:after="0" w:afterAutospacing="0" w:line="360" w:lineRule="auto"/>
              <w:ind w:left="0" w:right="0" w:firstLine="480" w:firstLineChars="200"/>
              <w:jc w:val="both"/>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pP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fldChar w:fldCharType="begin"/>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instrText xml:space="preserve"> = 2 \* GB3 </w:instrText>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fldChar w:fldCharType="separate"/>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t>②</w:t>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fldChar w:fldCharType="end"/>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t>合理布局本项目高噪声的设备，将生产设备全部布置于车间内部，同时将厂房进行封闭，减轻对外界的影响；</w:t>
            </w:r>
          </w:p>
          <w:p w14:paraId="5C870727">
            <w:pPr>
              <w:keepNext w:val="0"/>
              <w:keepLines w:val="0"/>
              <w:widowControl w:val="0"/>
              <w:suppressLineNumbers w:val="0"/>
              <w:topLinePunct/>
              <w:snapToGrid/>
              <w:spacing w:before="0" w:beforeAutospacing="0" w:after="0" w:afterAutospacing="0" w:line="360" w:lineRule="auto"/>
              <w:ind w:left="0" w:right="0" w:firstLine="480" w:firstLineChars="200"/>
              <w:jc w:val="both"/>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pP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fldChar w:fldCharType="begin"/>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instrText xml:space="preserve"> = 3 \* GB3 </w:instrText>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fldChar w:fldCharType="separate"/>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t>③</w:t>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fldChar w:fldCharType="end"/>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t>加强对高噪声设备维护，确保设备处于良好的运转状态，杜绝因设备不正常运转时产生的高噪声现象；</w:t>
            </w:r>
          </w:p>
          <w:p w14:paraId="66CB5139">
            <w:pPr>
              <w:keepNext w:val="0"/>
              <w:keepLines w:val="0"/>
              <w:widowControl w:val="0"/>
              <w:suppressLineNumbers w:val="0"/>
              <w:topLinePunct/>
              <w:snapToGrid/>
              <w:spacing w:before="0" w:beforeAutospacing="0" w:after="0" w:afterAutospacing="0" w:line="360" w:lineRule="auto"/>
              <w:ind w:left="0" w:right="0" w:firstLine="480" w:firstLineChars="200"/>
              <w:jc w:val="both"/>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pP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fldChar w:fldCharType="begin"/>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instrText xml:space="preserve"> = 4 \* GB3 </w:instrText>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fldChar w:fldCharType="separate"/>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t>④</w:t>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fldChar w:fldCharType="end"/>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t>对车间的壁面采用适当的吸声材料（玻璃棉、矿渣棉、棉絮、泡沫、塑料等），减少反射产生的混响声，从而降低噪声；</w:t>
            </w:r>
          </w:p>
          <w:p w14:paraId="0DFC7BDA">
            <w:pPr>
              <w:keepNext w:val="0"/>
              <w:keepLines w:val="0"/>
              <w:widowControl w:val="0"/>
              <w:suppressLineNumbers w:val="0"/>
              <w:topLinePunct/>
              <w:snapToGrid/>
              <w:spacing w:before="0" w:beforeAutospacing="0" w:after="0" w:afterAutospacing="0" w:line="360" w:lineRule="auto"/>
              <w:ind w:left="0" w:right="0" w:firstLine="480" w:firstLineChars="200"/>
              <w:jc w:val="both"/>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pP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fldChar w:fldCharType="begin"/>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instrText xml:space="preserve"> = 5 \* GB3 </w:instrText>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fldChar w:fldCharType="separate"/>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t>⑤</w:t>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fldChar w:fldCharType="end"/>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t>在设备和基础之间加弹簧和弹性材料制作的减振器或减振垫层以减少设备基础与墙体振动形成的噪声；</w:t>
            </w:r>
          </w:p>
          <w:p w14:paraId="6B4DE3ED">
            <w:pPr>
              <w:keepNext w:val="0"/>
              <w:keepLines w:val="0"/>
              <w:widowControl w:val="0"/>
              <w:suppressLineNumbers w:val="0"/>
              <w:topLinePunct/>
              <w:snapToGrid/>
              <w:spacing w:before="0" w:beforeAutospacing="0" w:after="0" w:afterAutospacing="0" w:line="360" w:lineRule="auto"/>
              <w:ind w:left="0" w:right="0" w:firstLine="480" w:firstLineChars="200"/>
              <w:jc w:val="both"/>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pP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fldChar w:fldCharType="begin"/>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instrText xml:space="preserve"> = 6 \* GB3 </w:instrText>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fldChar w:fldCharType="separate"/>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t>⑥</w:t>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fldChar w:fldCharType="end"/>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t>在机械设备结构的连接处作减振处理，如采用弹性的连轴节，弹性垫或其他装置；</w:t>
            </w:r>
          </w:p>
          <w:p w14:paraId="011BB466">
            <w:pPr>
              <w:keepNext w:val="0"/>
              <w:keepLines w:val="0"/>
              <w:widowControl w:val="0"/>
              <w:suppressLineNumbers w:val="0"/>
              <w:topLinePunct/>
              <w:snapToGrid/>
              <w:spacing w:before="0" w:beforeAutospacing="0" w:after="0" w:afterAutospacing="0" w:line="360" w:lineRule="auto"/>
              <w:ind w:left="0" w:right="0" w:firstLine="480" w:firstLineChars="200"/>
              <w:jc w:val="both"/>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pP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fldChar w:fldCharType="begin"/>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instrText xml:space="preserve"> = 7 \* GB3 </w:instrText>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fldChar w:fldCharType="separate"/>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t>⑦</w:t>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fldChar w:fldCharType="end"/>
            </w: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t>修建隔声罩或隔声间，将高噪声设备置于隔声罩或隔声间内，使操作者与声源隔离开来，使用薄金属板做机械设备的罩面或隔声罩，需在其表面喷涂一层内摩擦阻力大的粘弹性材料来减振防噪；</w:t>
            </w:r>
          </w:p>
          <w:p w14:paraId="481CD0A4">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ascii="Times New Roman" w:hAnsi="Times New Roman" w:eastAsia="宋体" w:cs="Times New Roman"/>
                <w:caps w:val="0"/>
                <w:color w:val="auto"/>
                <w:spacing w:val="0"/>
                <w:kern w:val="2"/>
                <w:position w:val="0"/>
                <w:sz w:val="24"/>
                <w:szCs w:val="24"/>
                <w:highlight w:val="none"/>
                <w:u w:val="none" w:color="auto"/>
                <w:lang w:val="en-US" w:eastAsia="zh-CN" w:bidi="ar-SA"/>
              </w:rPr>
              <w:t>建设单位从噪声源及噪声传播途径等方面降低了项目运行噪声对厂界环境噪声的影响，同时项目方应和建设所在地周边单位加强沟通，在生产运营过程中注意收集和回馈所在地周边单位对生产所反映信息，及时的改进和加强项目在运行中的管理制度和生产制度，最大程度上减轻对周边环境的噪声污染影响。</w:t>
            </w:r>
          </w:p>
          <w:p w14:paraId="79E97553">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3.5、噪声监测计划</w:t>
            </w:r>
          </w:p>
          <w:p w14:paraId="3759E997">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根据本项目工程特点，并结合《排污许可证申请与核发技术规范总则》（HJ942-2018）、《排污许可证申请与核发技术规范废弃资源加工工业》（HJ1034）和《排污单位自行监测技术指南砖瓦工业》（HJ1254-2022）的相关规定，</w:t>
            </w:r>
            <w:r>
              <w:rPr>
                <w:rFonts w:hint="default"/>
                <w:caps w:val="0"/>
                <w:color w:val="auto"/>
                <w:spacing w:val="0"/>
                <w:position w:val="0"/>
                <w:highlight w:val="none"/>
              </w:rPr>
              <w:t>噪声监测计划详见</w:t>
            </w:r>
            <w:r>
              <w:rPr>
                <w:rFonts w:hint="eastAsia"/>
                <w:caps w:val="0"/>
                <w:color w:val="auto"/>
                <w:spacing w:val="0"/>
                <w:position w:val="0"/>
                <w:highlight w:val="none"/>
              </w:rPr>
              <w:t>下</w:t>
            </w:r>
            <w:r>
              <w:rPr>
                <w:rFonts w:hint="default"/>
                <w:caps w:val="0"/>
                <w:color w:val="auto"/>
                <w:spacing w:val="0"/>
                <w:position w:val="0"/>
                <w:highlight w:val="none"/>
              </w:rPr>
              <w:t>表。</w:t>
            </w:r>
          </w:p>
          <w:p w14:paraId="046E83F7">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表4-1</w:t>
            </w:r>
            <w:r>
              <w:rPr>
                <w:rFonts w:hint="eastAsia"/>
                <w:caps w:val="0"/>
                <w:color w:val="auto"/>
                <w:spacing w:val="0"/>
                <w:position w:val="0"/>
                <w:highlight w:val="none"/>
                <w:lang w:val="en-US" w:eastAsia="zh-CN"/>
              </w:rPr>
              <w:t>4</w:t>
            </w:r>
            <w:r>
              <w:rPr>
                <w:rFonts w:hint="default"/>
                <w:caps w:val="0"/>
                <w:color w:val="auto"/>
                <w:spacing w:val="0"/>
                <w:position w:val="0"/>
                <w:highlight w:val="none"/>
              </w:rPr>
              <w:t xml:space="preserve"> 噪声监测计划一览表</w:t>
            </w:r>
          </w:p>
          <w:tbl>
            <w:tblPr>
              <w:tblStyle w:val="23"/>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22"/>
              <w:gridCol w:w="1317"/>
              <w:gridCol w:w="1714"/>
              <w:gridCol w:w="4107"/>
            </w:tblGrid>
            <w:tr w14:paraId="2D21BA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1" w:type="pct"/>
                  <w:noWrap w:val="0"/>
                  <w:vAlign w:val="center"/>
                </w:tcPr>
                <w:p w14:paraId="6EF17680">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监测点位</w:t>
                  </w:r>
                </w:p>
              </w:tc>
              <w:tc>
                <w:tcPr>
                  <w:tcW w:w="788" w:type="pct"/>
                  <w:noWrap w:val="0"/>
                  <w:vAlign w:val="center"/>
                </w:tcPr>
                <w:p w14:paraId="6EDBD692">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监测指标</w:t>
                  </w:r>
                </w:p>
              </w:tc>
              <w:tc>
                <w:tcPr>
                  <w:tcW w:w="1025" w:type="pct"/>
                  <w:noWrap w:val="0"/>
                  <w:vAlign w:val="center"/>
                </w:tcPr>
                <w:p w14:paraId="2144F485">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监测频次</w:t>
                  </w:r>
                </w:p>
              </w:tc>
              <w:tc>
                <w:tcPr>
                  <w:tcW w:w="2456" w:type="pct"/>
                  <w:noWrap w:val="0"/>
                  <w:vAlign w:val="center"/>
                </w:tcPr>
                <w:p w14:paraId="79421BD0">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执行排放标准</w:t>
                  </w:r>
                </w:p>
              </w:tc>
            </w:tr>
            <w:tr w14:paraId="35AD6E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1" w:type="pct"/>
                  <w:noWrap w:val="0"/>
                  <w:vAlign w:val="center"/>
                </w:tcPr>
                <w:p w14:paraId="77C63D2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厂界外1m</w:t>
                  </w:r>
                </w:p>
              </w:tc>
              <w:tc>
                <w:tcPr>
                  <w:tcW w:w="788" w:type="pct"/>
                  <w:noWrap w:val="0"/>
                  <w:vAlign w:val="center"/>
                </w:tcPr>
                <w:p w14:paraId="33BD0D9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等效连续A声级（L</w:t>
                  </w:r>
                  <w:r>
                    <w:rPr>
                      <w:rFonts w:hint="default"/>
                      <w:caps w:val="0"/>
                      <w:color w:val="auto"/>
                      <w:spacing w:val="0"/>
                      <w:position w:val="0"/>
                      <w:highlight w:val="none"/>
                      <w:vertAlign w:val="subscript"/>
                    </w:rPr>
                    <w:t>eq</w:t>
                  </w:r>
                  <w:r>
                    <w:rPr>
                      <w:rFonts w:hint="default"/>
                      <w:caps w:val="0"/>
                      <w:color w:val="auto"/>
                      <w:spacing w:val="0"/>
                      <w:position w:val="0"/>
                      <w:highlight w:val="none"/>
                    </w:rPr>
                    <w:t>）</w:t>
                  </w:r>
                </w:p>
              </w:tc>
              <w:tc>
                <w:tcPr>
                  <w:tcW w:w="1025" w:type="pct"/>
                  <w:noWrap w:val="0"/>
                  <w:vAlign w:val="center"/>
                </w:tcPr>
                <w:p w14:paraId="68AF88B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1次/季（昼</w:t>
                  </w:r>
                  <w:r>
                    <w:rPr>
                      <w:rFonts w:hint="eastAsia"/>
                      <w:caps w:val="0"/>
                      <w:color w:val="auto"/>
                      <w:spacing w:val="0"/>
                      <w:position w:val="0"/>
                      <w:highlight w:val="none"/>
                    </w:rPr>
                    <w:t>夜</w:t>
                  </w:r>
                  <w:r>
                    <w:rPr>
                      <w:rFonts w:hint="default"/>
                      <w:caps w:val="0"/>
                      <w:color w:val="auto"/>
                      <w:spacing w:val="0"/>
                      <w:position w:val="0"/>
                      <w:highlight w:val="none"/>
                    </w:rPr>
                    <w:t>1次）</w:t>
                  </w:r>
                </w:p>
              </w:tc>
              <w:tc>
                <w:tcPr>
                  <w:tcW w:w="2456" w:type="pct"/>
                  <w:noWrap w:val="0"/>
                  <w:vAlign w:val="center"/>
                </w:tcPr>
                <w:p w14:paraId="75AE9B0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执行《工业企业厂界环境噪声排放标准》（GB12348-2008）</w:t>
                  </w:r>
                  <w:r>
                    <w:rPr>
                      <w:rFonts w:hint="eastAsia"/>
                      <w:caps w:val="0"/>
                      <w:color w:val="auto"/>
                      <w:spacing w:val="0"/>
                      <w:position w:val="0"/>
                      <w:highlight w:val="none"/>
                      <w:lang w:val="en-US" w:eastAsia="zh-CN"/>
                    </w:rPr>
                    <w:t>2</w:t>
                  </w:r>
                  <w:r>
                    <w:rPr>
                      <w:rFonts w:hint="default"/>
                      <w:caps w:val="0"/>
                      <w:color w:val="auto"/>
                      <w:spacing w:val="0"/>
                      <w:position w:val="0"/>
                      <w:highlight w:val="none"/>
                    </w:rPr>
                    <w:t>类标准</w:t>
                  </w:r>
                </w:p>
              </w:tc>
            </w:tr>
          </w:tbl>
          <w:p w14:paraId="7C9F4D53">
            <w:pPr>
              <w:pStyle w:val="83"/>
              <w:keepNext w:val="0"/>
              <w:keepLines w:val="0"/>
              <w:suppressLineNumbers w:val="0"/>
              <w:spacing w:before="0" w:beforeAutospacing="0" w:after="0" w:afterAutospacing="0"/>
              <w:ind w:left="0" w:right="0" w:firstLine="600"/>
              <w:rPr>
                <w:rFonts w:hint="default"/>
                <w:caps w:val="0"/>
                <w:color w:val="auto"/>
                <w:spacing w:val="0"/>
                <w:position w:val="0"/>
                <w:sz w:val="30"/>
                <w:szCs w:val="30"/>
                <w:highlight w:val="none"/>
              </w:rPr>
            </w:pPr>
          </w:p>
        </w:tc>
      </w:tr>
    </w:tbl>
    <w:p w14:paraId="16D82C5D">
      <w:pPr>
        <w:pStyle w:val="74"/>
        <w:bidi w:val="0"/>
        <w:ind w:left="0" w:leftChars="0" w:firstLine="0" w:firstLineChars="0"/>
        <w:rPr>
          <w:rFonts w:hint="eastAsia"/>
          <w:caps w:val="0"/>
          <w:color w:val="auto"/>
          <w:spacing w:val="0"/>
          <w:position w:val="0"/>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8"/>
        <w:gridCol w:w="13436"/>
      </w:tblGrid>
      <w:tr w14:paraId="563D6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0" w:hRule="atLeast"/>
          <w:jc w:val="center"/>
        </w:trPr>
        <w:tc>
          <w:tcPr>
            <w:tcW w:w="738" w:type="dxa"/>
            <w:noWrap w:val="0"/>
            <w:vAlign w:val="center"/>
          </w:tcPr>
          <w:p w14:paraId="304A0E65">
            <w:pPr>
              <w:pStyle w:val="75"/>
              <w:keepNext w:val="0"/>
              <w:keepLines w:val="0"/>
              <w:suppressLineNumbers w:val="0"/>
              <w:bidi w:val="0"/>
              <w:spacing w:before="0" w:beforeAutospacing="0" w:after="0" w:afterAutospacing="0"/>
              <w:ind w:left="0" w:right="0"/>
              <w:rPr>
                <w:rFonts w:hint="default"/>
                <w:caps w:val="0"/>
                <w:color w:val="auto"/>
                <w:spacing w:val="0"/>
                <w:position w:val="0"/>
                <w:szCs w:val="24"/>
                <w:highlight w:val="none"/>
              </w:rPr>
            </w:pPr>
            <w:r>
              <w:rPr>
                <w:rFonts w:hint="default"/>
                <w:caps w:val="0"/>
                <w:color w:val="auto"/>
                <w:spacing w:val="0"/>
                <w:position w:val="0"/>
                <w:highlight w:val="none"/>
              </w:rPr>
              <w:t>运营期环境影响和保护措施</w:t>
            </w:r>
          </w:p>
        </w:tc>
        <w:tc>
          <w:tcPr>
            <w:tcW w:w="13436" w:type="dxa"/>
            <w:noWrap w:val="0"/>
            <w:vAlign w:val="top"/>
          </w:tcPr>
          <w:p w14:paraId="56235BBE">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4、固体废物</w:t>
            </w:r>
          </w:p>
          <w:p w14:paraId="14FFE640">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4.1、固体废弃物产生情况</w:t>
            </w:r>
          </w:p>
          <w:p w14:paraId="2B4E7B8D">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本项目运营期间产生的固体废物有生活垃圾、废布袋、</w:t>
            </w:r>
            <w:r>
              <w:rPr>
                <w:rFonts w:hint="eastAsia"/>
                <w:caps w:val="0"/>
                <w:color w:val="auto"/>
                <w:spacing w:val="0"/>
                <w:position w:val="0"/>
                <w:highlight w:val="none"/>
                <w:lang w:val="en-US" w:eastAsia="zh-CN"/>
              </w:rPr>
              <w:t>收集粉尘、</w:t>
            </w:r>
            <w:r>
              <w:rPr>
                <w:rFonts w:hint="eastAsia"/>
                <w:caps w:val="0"/>
                <w:color w:val="auto"/>
                <w:spacing w:val="0"/>
                <w:position w:val="0"/>
                <w:highlight w:val="none"/>
              </w:rPr>
              <w:t>废包装材料</w:t>
            </w:r>
            <w:r>
              <w:rPr>
                <w:rFonts w:hint="eastAsia"/>
                <w:caps w:val="0"/>
                <w:color w:val="auto"/>
                <w:spacing w:val="0"/>
                <w:position w:val="0"/>
                <w:highlight w:val="none"/>
                <w:lang w:val="en-US" w:eastAsia="zh-CN"/>
              </w:rPr>
              <w:t>、不合格品、沉淀沉渣、</w:t>
            </w:r>
            <w:r>
              <w:rPr>
                <w:rFonts w:hint="default"/>
                <w:caps w:val="0"/>
                <w:color w:val="auto"/>
                <w:spacing w:val="0"/>
                <w:position w:val="0"/>
                <w:highlight w:val="none"/>
              </w:rPr>
              <w:t>废润滑油、废</w:t>
            </w:r>
            <w:r>
              <w:rPr>
                <w:rFonts w:hint="eastAsia"/>
                <w:caps w:val="0"/>
                <w:color w:val="auto"/>
                <w:spacing w:val="0"/>
                <w:position w:val="0"/>
                <w:highlight w:val="none"/>
                <w:lang w:val="en-US" w:eastAsia="zh-CN"/>
              </w:rPr>
              <w:t>润滑油</w:t>
            </w:r>
            <w:r>
              <w:rPr>
                <w:rFonts w:hint="default"/>
                <w:caps w:val="0"/>
                <w:color w:val="auto"/>
                <w:spacing w:val="0"/>
                <w:position w:val="0"/>
                <w:highlight w:val="none"/>
              </w:rPr>
              <w:t>桶、</w:t>
            </w:r>
            <w:r>
              <w:rPr>
                <w:rFonts w:hint="eastAsia"/>
                <w:caps w:val="0"/>
                <w:color w:val="auto"/>
                <w:spacing w:val="0"/>
                <w:position w:val="0"/>
                <w:highlight w:val="none"/>
              </w:rPr>
              <w:t>含油抹布手套，</w:t>
            </w:r>
            <w:r>
              <w:rPr>
                <w:rFonts w:hint="default"/>
                <w:caps w:val="0"/>
                <w:color w:val="auto"/>
                <w:spacing w:val="0"/>
                <w:position w:val="0"/>
                <w:highlight w:val="none"/>
              </w:rPr>
              <w:t>产生和处置情况见下表。</w:t>
            </w:r>
          </w:p>
          <w:p w14:paraId="4D16A75E">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表4-1</w:t>
            </w:r>
            <w:r>
              <w:rPr>
                <w:rFonts w:hint="eastAsia"/>
                <w:caps w:val="0"/>
                <w:color w:val="auto"/>
                <w:spacing w:val="0"/>
                <w:position w:val="0"/>
                <w:highlight w:val="none"/>
                <w:lang w:val="en-US" w:eastAsia="zh-CN"/>
              </w:rPr>
              <w:t>5</w:t>
            </w:r>
            <w:r>
              <w:rPr>
                <w:rFonts w:hint="default"/>
                <w:caps w:val="0"/>
                <w:color w:val="auto"/>
                <w:spacing w:val="0"/>
                <w:position w:val="0"/>
                <w:highlight w:val="none"/>
              </w:rPr>
              <w:t xml:space="preserve"> 项目固废产生与处置情况汇总表</w:t>
            </w:r>
          </w:p>
          <w:tbl>
            <w:tblPr>
              <w:tblStyle w:val="23"/>
              <w:tblW w:w="4995"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013"/>
              <w:gridCol w:w="2406"/>
              <w:gridCol w:w="1174"/>
              <w:gridCol w:w="1384"/>
              <w:gridCol w:w="1150"/>
              <w:gridCol w:w="1071"/>
              <w:gridCol w:w="1031"/>
              <w:gridCol w:w="1758"/>
              <w:gridCol w:w="1056"/>
              <w:gridCol w:w="1164"/>
            </w:tblGrid>
            <w:tr w14:paraId="49BBEA2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blHeader/>
              </w:trPr>
              <w:tc>
                <w:tcPr>
                  <w:tcW w:w="387" w:type="pct"/>
                  <w:noWrap w:val="0"/>
                  <w:tcMar>
                    <w:top w:w="15" w:type="dxa"/>
                    <w:left w:w="15" w:type="dxa"/>
                    <w:right w:w="15" w:type="dxa"/>
                  </w:tcMar>
                  <w:vAlign w:val="center"/>
                </w:tcPr>
                <w:p w14:paraId="5BD4558C">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固废产生环节</w:t>
                  </w:r>
                </w:p>
              </w:tc>
              <w:tc>
                <w:tcPr>
                  <w:tcW w:w="914" w:type="pct"/>
                  <w:noWrap w:val="0"/>
                  <w:tcMar>
                    <w:top w:w="15" w:type="dxa"/>
                    <w:left w:w="15" w:type="dxa"/>
                    <w:right w:w="15" w:type="dxa"/>
                  </w:tcMar>
                  <w:vAlign w:val="center"/>
                </w:tcPr>
                <w:p w14:paraId="2C5D11AC">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固废名称</w:t>
                  </w:r>
                </w:p>
              </w:tc>
              <w:tc>
                <w:tcPr>
                  <w:tcW w:w="448" w:type="pct"/>
                  <w:noWrap w:val="0"/>
                  <w:tcMar>
                    <w:top w:w="15" w:type="dxa"/>
                    <w:left w:w="15" w:type="dxa"/>
                    <w:right w:w="15" w:type="dxa"/>
                  </w:tcMar>
                  <w:vAlign w:val="center"/>
                </w:tcPr>
                <w:p w14:paraId="4A8966B2">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固废属性</w:t>
                  </w:r>
                </w:p>
              </w:tc>
              <w:tc>
                <w:tcPr>
                  <w:tcW w:w="490" w:type="pct"/>
                  <w:noWrap w:val="0"/>
                  <w:tcMar>
                    <w:top w:w="15" w:type="dxa"/>
                    <w:left w:w="15" w:type="dxa"/>
                    <w:right w:w="15" w:type="dxa"/>
                  </w:tcMar>
                  <w:vAlign w:val="center"/>
                </w:tcPr>
                <w:p w14:paraId="553FC8F3">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固废代码</w:t>
                  </w:r>
                </w:p>
              </w:tc>
              <w:tc>
                <w:tcPr>
                  <w:tcW w:w="439" w:type="pct"/>
                  <w:noWrap w:val="0"/>
                  <w:tcMar>
                    <w:top w:w="15" w:type="dxa"/>
                    <w:left w:w="15" w:type="dxa"/>
                    <w:right w:w="15" w:type="dxa"/>
                  </w:tcMar>
                  <w:vAlign w:val="center"/>
                </w:tcPr>
                <w:p w14:paraId="63DA7045">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物理性状</w:t>
                  </w:r>
                </w:p>
              </w:tc>
              <w:tc>
                <w:tcPr>
                  <w:tcW w:w="409" w:type="pct"/>
                  <w:noWrap w:val="0"/>
                  <w:tcMar>
                    <w:top w:w="15" w:type="dxa"/>
                    <w:left w:w="15" w:type="dxa"/>
                    <w:right w:w="15" w:type="dxa"/>
                  </w:tcMar>
                  <w:vAlign w:val="center"/>
                </w:tcPr>
                <w:p w14:paraId="58EDE26E">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项目产生量t/a</w:t>
                  </w:r>
                </w:p>
              </w:tc>
              <w:tc>
                <w:tcPr>
                  <w:tcW w:w="394" w:type="pct"/>
                  <w:noWrap w:val="0"/>
                  <w:tcMar>
                    <w:top w:w="15" w:type="dxa"/>
                    <w:left w:w="15" w:type="dxa"/>
                    <w:right w:w="15" w:type="dxa"/>
                  </w:tcMar>
                  <w:vAlign w:val="center"/>
                </w:tcPr>
                <w:p w14:paraId="051A39B0">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贮存方式</w:t>
                  </w:r>
                </w:p>
              </w:tc>
              <w:tc>
                <w:tcPr>
                  <w:tcW w:w="669" w:type="pct"/>
                  <w:noWrap w:val="0"/>
                  <w:tcMar>
                    <w:top w:w="15" w:type="dxa"/>
                    <w:left w:w="15" w:type="dxa"/>
                    <w:right w:w="15" w:type="dxa"/>
                  </w:tcMar>
                  <w:vAlign w:val="center"/>
                </w:tcPr>
                <w:p w14:paraId="1F11F276">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利用处置方式和去向</w:t>
                  </w:r>
                </w:p>
              </w:tc>
              <w:tc>
                <w:tcPr>
                  <w:tcW w:w="403" w:type="pct"/>
                  <w:noWrap w:val="0"/>
                  <w:tcMar>
                    <w:top w:w="15" w:type="dxa"/>
                    <w:left w:w="15" w:type="dxa"/>
                    <w:right w:w="15" w:type="dxa"/>
                  </w:tcMar>
                  <w:vAlign w:val="center"/>
                </w:tcPr>
                <w:p w14:paraId="1BDDE46F">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利用或处置量t/a</w:t>
                  </w:r>
                </w:p>
              </w:tc>
              <w:tc>
                <w:tcPr>
                  <w:tcW w:w="444" w:type="pct"/>
                  <w:noWrap w:val="0"/>
                  <w:tcMar>
                    <w:top w:w="15" w:type="dxa"/>
                    <w:left w:w="15" w:type="dxa"/>
                    <w:right w:w="15" w:type="dxa"/>
                  </w:tcMar>
                  <w:vAlign w:val="center"/>
                </w:tcPr>
                <w:p w14:paraId="2063BF95">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环境管理要求</w:t>
                  </w:r>
                </w:p>
              </w:tc>
            </w:tr>
            <w:tr w14:paraId="3A5F1FF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87" w:type="pct"/>
                  <w:vMerge w:val="restart"/>
                  <w:noWrap w:val="0"/>
                  <w:tcMar>
                    <w:top w:w="15" w:type="dxa"/>
                    <w:left w:w="15" w:type="dxa"/>
                    <w:right w:w="15" w:type="dxa"/>
                  </w:tcMar>
                  <w:vAlign w:val="center"/>
                </w:tcPr>
                <w:p w14:paraId="68D97A1C">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default"/>
                      <w:caps w:val="0"/>
                      <w:color w:val="auto"/>
                      <w:spacing w:val="0"/>
                      <w:position w:val="0"/>
                      <w:highlight w:val="none"/>
                    </w:rPr>
                    <w:t>生产过程</w:t>
                  </w:r>
                </w:p>
              </w:tc>
              <w:tc>
                <w:tcPr>
                  <w:tcW w:w="914" w:type="pct"/>
                  <w:noWrap w:val="0"/>
                  <w:tcMar>
                    <w:top w:w="15" w:type="dxa"/>
                    <w:left w:w="15" w:type="dxa"/>
                    <w:right w:w="15" w:type="dxa"/>
                  </w:tcMar>
                  <w:vAlign w:val="center"/>
                </w:tcPr>
                <w:p w14:paraId="020D7D4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废布袋</w:t>
                  </w:r>
                </w:p>
              </w:tc>
              <w:tc>
                <w:tcPr>
                  <w:tcW w:w="448" w:type="pct"/>
                  <w:noWrap w:val="0"/>
                  <w:tcMar>
                    <w:top w:w="15" w:type="dxa"/>
                    <w:left w:w="15" w:type="dxa"/>
                    <w:right w:w="15" w:type="dxa"/>
                  </w:tcMar>
                  <w:vAlign w:val="center"/>
                </w:tcPr>
                <w:p w14:paraId="1EF0B6D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一般固废</w:t>
                  </w:r>
                </w:p>
              </w:tc>
              <w:tc>
                <w:tcPr>
                  <w:tcW w:w="490" w:type="pct"/>
                  <w:noWrap w:val="0"/>
                  <w:tcMar>
                    <w:top w:w="15" w:type="dxa"/>
                    <w:left w:w="15" w:type="dxa"/>
                    <w:right w:w="15" w:type="dxa"/>
                  </w:tcMar>
                  <w:vAlign w:val="center"/>
                </w:tcPr>
                <w:p w14:paraId="3A9A32B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900-009-S59</w:t>
                  </w:r>
                </w:p>
              </w:tc>
              <w:tc>
                <w:tcPr>
                  <w:tcW w:w="439" w:type="pct"/>
                  <w:noWrap w:val="0"/>
                  <w:tcMar>
                    <w:top w:w="15" w:type="dxa"/>
                    <w:left w:w="15" w:type="dxa"/>
                    <w:right w:w="15" w:type="dxa"/>
                  </w:tcMar>
                  <w:vAlign w:val="center"/>
                </w:tcPr>
                <w:p w14:paraId="1CDD511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固态</w:t>
                  </w:r>
                </w:p>
              </w:tc>
              <w:tc>
                <w:tcPr>
                  <w:tcW w:w="409" w:type="pct"/>
                  <w:noWrap w:val="0"/>
                  <w:tcMar>
                    <w:top w:w="15" w:type="dxa"/>
                    <w:left w:w="15" w:type="dxa"/>
                    <w:right w:w="15" w:type="dxa"/>
                  </w:tcMar>
                  <w:vAlign w:val="center"/>
                </w:tcPr>
                <w:p w14:paraId="27CE9CF0">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rPr>
                    <w:t>0.</w:t>
                  </w:r>
                  <w:r>
                    <w:rPr>
                      <w:rFonts w:hint="eastAsia"/>
                      <w:caps w:val="0"/>
                      <w:color w:val="auto"/>
                      <w:spacing w:val="0"/>
                      <w:position w:val="0"/>
                      <w:highlight w:val="none"/>
                      <w:lang w:val="en-US" w:eastAsia="zh-CN"/>
                    </w:rPr>
                    <w:t>02</w:t>
                  </w:r>
                </w:p>
              </w:tc>
              <w:tc>
                <w:tcPr>
                  <w:tcW w:w="394" w:type="pct"/>
                  <w:noWrap w:val="0"/>
                  <w:tcMar>
                    <w:top w:w="15" w:type="dxa"/>
                    <w:left w:w="15" w:type="dxa"/>
                    <w:right w:w="15" w:type="dxa"/>
                  </w:tcMar>
                  <w:vAlign w:val="center"/>
                </w:tcPr>
                <w:p w14:paraId="02481B5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袋装</w:t>
                  </w:r>
                </w:p>
              </w:tc>
              <w:tc>
                <w:tcPr>
                  <w:tcW w:w="669" w:type="pct"/>
                  <w:vMerge w:val="restart"/>
                  <w:noWrap w:val="0"/>
                  <w:tcMar>
                    <w:top w:w="15" w:type="dxa"/>
                    <w:left w:w="15" w:type="dxa"/>
                    <w:right w:w="15" w:type="dxa"/>
                  </w:tcMar>
                  <w:vAlign w:val="center"/>
                </w:tcPr>
                <w:p w14:paraId="3A0B92D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外售综合利用</w:t>
                  </w:r>
                </w:p>
              </w:tc>
              <w:tc>
                <w:tcPr>
                  <w:tcW w:w="403" w:type="pct"/>
                  <w:shd w:val="clear" w:color="auto" w:fill="auto"/>
                  <w:noWrap w:val="0"/>
                  <w:tcMar>
                    <w:top w:w="15" w:type="dxa"/>
                    <w:left w:w="15" w:type="dxa"/>
                    <w:right w:w="15" w:type="dxa"/>
                  </w:tcMar>
                  <w:vAlign w:val="center"/>
                </w:tcPr>
                <w:p w14:paraId="2C1914F8">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0.</w:t>
                  </w:r>
                  <w:r>
                    <w:rPr>
                      <w:rFonts w:hint="eastAsia"/>
                      <w:caps w:val="0"/>
                      <w:color w:val="auto"/>
                      <w:spacing w:val="0"/>
                      <w:position w:val="0"/>
                      <w:highlight w:val="none"/>
                      <w:lang w:val="en-US" w:eastAsia="zh-CN"/>
                    </w:rPr>
                    <w:t>02</w:t>
                  </w:r>
                </w:p>
              </w:tc>
              <w:tc>
                <w:tcPr>
                  <w:tcW w:w="444" w:type="pct"/>
                  <w:vMerge w:val="restart"/>
                  <w:noWrap w:val="0"/>
                  <w:tcMar>
                    <w:top w:w="15" w:type="dxa"/>
                    <w:left w:w="15" w:type="dxa"/>
                    <w:right w:w="15" w:type="dxa"/>
                  </w:tcMar>
                  <w:vAlign w:val="center"/>
                </w:tcPr>
                <w:p w14:paraId="6E332E1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建立环境管理台账制度</w:t>
                  </w:r>
                </w:p>
              </w:tc>
            </w:tr>
            <w:tr w14:paraId="4C29763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87" w:type="pct"/>
                  <w:vMerge w:val="continue"/>
                  <w:noWrap w:val="0"/>
                  <w:tcMar>
                    <w:top w:w="15" w:type="dxa"/>
                    <w:left w:w="15" w:type="dxa"/>
                    <w:right w:w="15" w:type="dxa"/>
                  </w:tcMar>
                  <w:vAlign w:val="center"/>
                </w:tcPr>
                <w:p w14:paraId="5A7D02FB">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914" w:type="pct"/>
                  <w:noWrap w:val="0"/>
                  <w:tcMar>
                    <w:top w:w="15" w:type="dxa"/>
                    <w:left w:w="15" w:type="dxa"/>
                    <w:right w:w="15" w:type="dxa"/>
                  </w:tcMar>
                  <w:vAlign w:val="center"/>
                </w:tcPr>
                <w:p w14:paraId="54254F3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废包装材料</w:t>
                  </w:r>
                </w:p>
              </w:tc>
              <w:tc>
                <w:tcPr>
                  <w:tcW w:w="448" w:type="pct"/>
                  <w:noWrap w:val="0"/>
                  <w:tcMar>
                    <w:top w:w="15" w:type="dxa"/>
                    <w:left w:w="15" w:type="dxa"/>
                    <w:right w:w="15" w:type="dxa"/>
                  </w:tcMar>
                  <w:vAlign w:val="center"/>
                </w:tcPr>
                <w:p w14:paraId="769AB4F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一般固废</w:t>
                  </w:r>
                </w:p>
              </w:tc>
              <w:tc>
                <w:tcPr>
                  <w:tcW w:w="490" w:type="pct"/>
                  <w:noWrap w:val="0"/>
                  <w:tcMar>
                    <w:top w:w="15" w:type="dxa"/>
                    <w:left w:w="15" w:type="dxa"/>
                    <w:right w:w="15" w:type="dxa"/>
                  </w:tcMar>
                  <w:vAlign w:val="center"/>
                </w:tcPr>
                <w:p w14:paraId="3EAF9C0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900-003-S17</w:t>
                  </w:r>
                </w:p>
              </w:tc>
              <w:tc>
                <w:tcPr>
                  <w:tcW w:w="439" w:type="pct"/>
                  <w:noWrap w:val="0"/>
                  <w:tcMar>
                    <w:top w:w="15" w:type="dxa"/>
                    <w:left w:w="15" w:type="dxa"/>
                    <w:right w:w="15" w:type="dxa"/>
                  </w:tcMar>
                  <w:vAlign w:val="center"/>
                </w:tcPr>
                <w:p w14:paraId="117D676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固态</w:t>
                  </w:r>
                </w:p>
              </w:tc>
              <w:tc>
                <w:tcPr>
                  <w:tcW w:w="409" w:type="pct"/>
                  <w:noWrap w:val="0"/>
                  <w:tcMar>
                    <w:top w:w="15" w:type="dxa"/>
                    <w:left w:w="15" w:type="dxa"/>
                    <w:right w:w="15" w:type="dxa"/>
                  </w:tcMar>
                  <w:vAlign w:val="center"/>
                </w:tcPr>
                <w:p w14:paraId="4714209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0.5</w:t>
                  </w:r>
                </w:p>
              </w:tc>
              <w:tc>
                <w:tcPr>
                  <w:tcW w:w="394" w:type="pct"/>
                  <w:noWrap w:val="0"/>
                  <w:tcMar>
                    <w:top w:w="15" w:type="dxa"/>
                    <w:left w:w="15" w:type="dxa"/>
                    <w:right w:w="15" w:type="dxa"/>
                  </w:tcMar>
                  <w:vAlign w:val="center"/>
                </w:tcPr>
                <w:p w14:paraId="081A8BE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袋装</w:t>
                  </w:r>
                </w:p>
              </w:tc>
              <w:tc>
                <w:tcPr>
                  <w:tcW w:w="669" w:type="pct"/>
                  <w:vMerge w:val="continue"/>
                  <w:noWrap w:val="0"/>
                  <w:tcMar>
                    <w:top w:w="15" w:type="dxa"/>
                    <w:left w:w="15" w:type="dxa"/>
                    <w:right w:w="15" w:type="dxa"/>
                  </w:tcMar>
                  <w:vAlign w:val="center"/>
                </w:tcPr>
                <w:p w14:paraId="58F3593B">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403" w:type="pct"/>
                  <w:shd w:val="clear" w:color="auto" w:fill="auto"/>
                  <w:noWrap w:val="0"/>
                  <w:tcMar>
                    <w:top w:w="15" w:type="dxa"/>
                    <w:left w:w="15" w:type="dxa"/>
                    <w:right w:w="15" w:type="dxa"/>
                  </w:tcMar>
                  <w:vAlign w:val="center"/>
                </w:tcPr>
                <w:p w14:paraId="6BA34B6E">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0.5</w:t>
                  </w:r>
                </w:p>
              </w:tc>
              <w:tc>
                <w:tcPr>
                  <w:tcW w:w="444" w:type="pct"/>
                  <w:vMerge w:val="continue"/>
                  <w:noWrap w:val="0"/>
                  <w:tcMar>
                    <w:top w:w="15" w:type="dxa"/>
                    <w:left w:w="15" w:type="dxa"/>
                    <w:right w:w="15" w:type="dxa"/>
                  </w:tcMar>
                  <w:vAlign w:val="center"/>
                </w:tcPr>
                <w:p w14:paraId="289301D6">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77AA403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87" w:type="pct"/>
                  <w:vMerge w:val="continue"/>
                  <w:noWrap w:val="0"/>
                  <w:tcMar>
                    <w:top w:w="15" w:type="dxa"/>
                    <w:left w:w="15" w:type="dxa"/>
                    <w:right w:w="15" w:type="dxa"/>
                  </w:tcMar>
                  <w:vAlign w:val="center"/>
                </w:tcPr>
                <w:p w14:paraId="7C7EF312">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914" w:type="pct"/>
                  <w:shd w:val="clear" w:color="auto" w:fill="auto"/>
                  <w:noWrap w:val="0"/>
                  <w:tcMar>
                    <w:top w:w="15" w:type="dxa"/>
                    <w:left w:w="15" w:type="dxa"/>
                    <w:right w:w="15" w:type="dxa"/>
                  </w:tcMar>
                  <w:vAlign w:val="center"/>
                </w:tcPr>
                <w:p w14:paraId="4AB0DE13">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不合格品</w:t>
                  </w:r>
                </w:p>
              </w:tc>
              <w:tc>
                <w:tcPr>
                  <w:tcW w:w="448" w:type="pct"/>
                  <w:shd w:val="clear" w:color="auto" w:fill="auto"/>
                  <w:noWrap w:val="0"/>
                  <w:tcMar>
                    <w:top w:w="15" w:type="dxa"/>
                    <w:left w:w="15" w:type="dxa"/>
                    <w:right w:w="15" w:type="dxa"/>
                  </w:tcMar>
                  <w:vAlign w:val="center"/>
                </w:tcPr>
                <w:p w14:paraId="5EE1601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一般固废</w:t>
                  </w:r>
                </w:p>
              </w:tc>
              <w:tc>
                <w:tcPr>
                  <w:tcW w:w="490" w:type="pct"/>
                  <w:shd w:val="clear" w:color="auto" w:fill="auto"/>
                  <w:noWrap w:val="0"/>
                  <w:tcMar>
                    <w:top w:w="15" w:type="dxa"/>
                    <w:left w:w="15" w:type="dxa"/>
                    <w:right w:w="15" w:type="dxa"/>
                  </w:tcMar>
                  <w:vAlign w:val="center"/>
                </w:tcPr>
                <w:p w14:paraId="6C359346">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ascii="Times New Roman" w:hAnsi="Times New Roman" w:eastAsia="宋体"/>
                      <w:caps w:val="0"/>
                      <w:color w:val="auto"/>
                      <w:spacing w:val="0"/>
                      <w:position w:val="0"/>
                      <w:highlight w:val="none"/>
                    </w:rPr>
                    <w:t>900-0</w:t>
                  </w:r>
                  <w:r>
                    <w:rPr>
                      <w:rFonts w:hint="eastAsia"/>
                      <w:caps w:val="0"/>
                      <w:color w:val="auto"/>
                      <w:spacing w:val="0"/>
                      <w:position w:val="0"/>
                      <w:highlight w:val="none"/>
                      <w:lang w:val="en-US" w:eastAsia="zh-CN"/>
                    </w:rPr>
                    <w:t>9</w:t>
                  </w:r>
                  <w:r>
                    <w:rPr>
                      <w:rFonts w:hint="eastAsia" w:ascii="Times New Roman" w:hAnsi="Times New Roman" w:eastAsia="宋体"/>
                      <w:caps w:val="0"/>
                      <w:color w:val="auto"/>
                      <w:spacing w:val="0"/>
                      <w:position w:val="0"/>
                      <w:highlight w:val="none"/>
                    </w:rPr>
                    <w:t>9-S59</w:t>
                  </w:r>
                </w:p>
              </w:tc>
              <w:tc>
                <w:tcPr>
                  <w:tcW w:w="439" w:type="pct"/>
                  <w:shd w:val="clear" w:color="auto" w:fill="auto"/>
                  <w:noWrap w:val="0"/>
                  <w:tcMar>
                    <w:top w:w="15" w:type="dxa"/>
                    <w:left w:w="15" w:type="dxa"/>
                    <w:right w:w="15" w:type="dxa"/>
                  </w:tcMar>
                  <w:vAlign w:val="center"/>
                </w:tcPr>
                <w:p w14:paraId="50D8A74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固态</w:t>
                  </w:r>
                </w:p>
              </w:tc>
              <w:tc>
                <w:tcPr>
                  <w:tcW w:w="409" w:type="pct"/>
                  <w:shd w:val="clear" w:color="auto" w:fill="auto"/>
                  <w:noWrap w:val="0"/>
                  <w:tcMar>
                    <w:top w:w="15" w:type="dxa"/>
                    <w:left w:w="15" w:type="dxa"/>
                    <w:right w:w="15" w:type="dxa"/>
                  </w:tcMar>
                  <w:vAlign w:val="center"/>
                </w:tcPr>
                <w:p w14:paraId="61FAC314">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5</w:t>
                  </w:r>
                </w:p>
              </w:tc>
              <w:tc>
                <w:tcPr>
                  <w:tcW w:w="394" w:type="pct"/>
                  <w:shd w:val="clear" w:color="auto" w:fill="auto"/>
                  <w:noWrap w:val="0"/>
                  <w:tcMar>
                    <w:top w:w="15" w:type="dxa"/>
                    <w:left w:w="15" w:type="dxa"/>
                    <w:right w:w="15" w:type="dxa"/>
                  </w:tcMar>
                  <w:vAlign w:val="center"/>
                </w:tcPr>
                <w:p w14:paraId="7358D0A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袋装</w:t>
                  </w:r>
                </w:p>
              </w:tc>
              <w:tc>
                <w:tcPr>
                  <w:tcW w:w="669" w:type="pct"/>
                  <w:shd w:val="clear" w:color="auto" w:fill="auto"/>
                  <w:noWrap w:val="0"/>
                  <w:tcMar>
                    <w:top w:w="15" w:type="dxa"/>
                    <w:left w:w="15" w:type="dxa"/>
                    <w:right w:w="15" w:type="dxa"/>
                  </w:tcMar>
                  <w:vAlign w:val="center"/>
                </w:tcPr>
                <w:p w14:paraId="76DF6AF2">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锂冶炼剩余物填埋场填埋</w:t>
                  </w:r>
                </w:p>
              </w:tc>
              <w:tc>
                <w:tcPr>
                  <w:tcW w:w="403" w:type="pct"/>
                  <w:shd w:val="clear" w:color="auto" w:fill="auto"/>
                  <w:noWrap w:val="0"/>
                  <w:tcMar>
                    <w:top w:w="15" w:type="dxa"/>
                    <w:left w:w="15" w:type="dxa"/>
                    <w:right w:w="15" w:type="dxa"/>
                  </w:tcMar>
                  <w:vAlign w:val="center"/>
                </w:tcPr>
                <w:p w14:paraId="3EF7CB9D">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5</w:t>
                  </w:r>
                </w:p>
              </w:tc>
              <w:tc>
                <w:tcPr>
                  <w:tcW w:w="444" w:type="pct"/>
                  <w:vMerge w:val="continue"/>
                  <w:noWrap w:val="0"/>
                  <w:tcMar>
                    <w:top w:w="15" w:type="dxa"/>
                    <w:left w:w="15" w:type="dxa"/>
                    <w:right w:w="15" w:type="dxa"/>
                  </w:tcMar>
                  <w:vAlign w:val="center"/>
                </w:tcPr>
                <w:p w14:paraId="28050D4D">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3CC2BC9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87" w:type="pct"/>
                  <w:vMerge w:val="continue"/>
                  <w:noWrap w:val="0"/>
                  <w:tcMar>
                    <w:top w:w="15" w:type="dxa"/>
                    <w:left w:w="15" w:type="dxa"/>
                    <w:right w:w="15" w:type="dxa"/>
                  </w:tcMar>
                  <w:vAlign w:val="center"/>
                </w:tcPr>
                <w:p w14:paraId="3AFB7630">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914" w:type="pct"/>
                  <w:shd w:val="clear" w:color="auto" w:fill="auto"/>
                  <w:noWrap w:val="0"/>
                  <w:tcMar>
                    <w:top w:w="15" w:type="dxa"/>
                    <w:left w:w="15" w:type="dxa"/>
                    <w:right w:w="15" w:type="dxa"/>
                  </w:tcMar>
                  <w:vAlign w:val="center"/>
                </w:tcPr>
                <w:p w14:paraId="1262E76B">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收集粉尘</w:t>
                  </w:r>
                </w:p>
              </w:tc>
              <w:tc>
                <w:tcPr>
                  <w:tcW w:w="448" w:type="pct"/>
                  <w:shd w:val="clear" w:color="auto" w:fill="auto"/>
                  <w:noWrap w:val="0"/>
                  <w:tcMar>
                    <w:top w:w="15" w:type="dxa"/>
                    <w:left w:w="15" w:type="dxa"/>
                    <w:right w:w="15" w:type="dxa"/>
                  </w:tcMar>
                  <w:vAlign w:val="center"/>
                </w:tcPr>
                <w:p w14:paraId="67CA2DA1">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rPr>
                    <w:t>一般固废</w:t>
                  </w:r>
                </w:p>
              </w:tc>
              <w:tc>
                <w:tcPr>
                  <w:tcW w:w="490" w:type="pct"/>
                  <w:shd w:val="clear" w:color="auto" w:fill="auto"/>
                  <w:noWrap w:val="0"/>
                  <w:tcMar>
                    <w:top w:w="15" w:type="dxa"/>
                    <w:left w:w="15" w:type="dxa"/>
                    <w:right w:w="15" w:type="dxa"/>
                  </w:tcMar>
                  <w:vAlign w:val="center"/>
                </w:tcPr>
                <w:p w14:paraId="23860BD3">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rPr>
                    <w:t>900-0</w:t>
                  </w:r>
                  <w:r>
                    <w:rPr>
                      <w:rFonts w:hint="eastAsia"/>
                      <w:caps w:val="0"/>
                      <w:color w:val="auto"/>
                      <w:spacing w:val="0"/>
                      <w:position w:val="0"/>
                      <w:highlight w:val="none"/>
                      <w:lang w:val="en-US" w:eastAsia="zh-CN"/>
                    </w:rPr>
                    <w:t>9</w:t>
                  </w:r>
                  <w:r>
                    <w:rPr>
                      <w:rFonts w:hint="eastAsia"/>
                      <w:caps w:val="0"/>
                      <w:color w:val="auto"/>
                      <w:spacing w:val="0"/>
                      <w:position w:val="0"/>
                      <w:highlight w:val="none"/>
                    </w:rPr>
                    <w:t>9-S59</w:t>
                  </w:r>
                </w:p>
              </w:tc>
              <w:tc>
                <w:tcPr>
                  <w:tcW w:w="439" w:type="pct"/>
                  <w:shd w:val="clear" w:color="auto" w:fill="auto"/>
                  <w:noWrap w:val="0"/>
                  <w:tcMar>
                    <w:top w:w="15" w:type="dxa"/>
                    <w:left w:w="15" w:type="dxa"/>
                    <w:right w:w="15" w:type="dxa"/>
                  </w:tcMar>
                  <w:vAlign w:val="center"/>
                </w:tcPr>
                <w:p w14:paraId="162A4287">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rPr>
                    <w:t>固态</w:t>
                  </w:r>
                </w:p>
              </w:tc>
              <w:tc>
                <w:tcPr>
                  <w:tcW w:w="409" w:type="pct"/>
                  <w:shd w:val="clear" w:color="auto" w:fill="auto"/>
                  <w:noWrap w:val="0"/>
                  <w:tcMar>
                    <w:top w:w="15" w:type="dxa"/>
                    <w:left w:w="15" w:type="dxa"/>
                    <w:right w:w="15" w:type="dxa"/>
                  </w:tcMar>
                  <w:vAlign w:val="center"/>
                </w:tcPr>
                <w:p w14:paraId="3ED8D118">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34.35</w:t>
                  </w:r>
                </w:p>
              </w:tc>
              <w:tc>
                <w:tcPr>
                  <w:tcW w:w="394" w:type="pct"/>
                  <w:shd w:val="clear" w:color="auto" w:fill="auto"/>
                  <w:noWrap w:val="0"/>
                  <w:tcMar>
                    <w:top w:w="15" w:type="dxa"/>
                    <w:left w:w="15" w:type="dxa"/>
                    <w:right w:w="15" w:type="dxa"/>
                  </w:tcMar>
                  <w:vAlign w:val="center"/>
                </w:tcPr>
                <w:p w14:paraId="7E02AD41">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rPr>
                    <w:t>袋装</w:t>
                  </w:r>
                </w:p>
              </w:tc>
              <w:tc>
                <w:tcPr>
                  <w:tcW w:w="669" w:type="pct"/>
                  <w:shd w:val="clear" w:color="auto" w:fill="auto"/>
                  <w:noWrap w:val="0"/>
                  <w:tcMar>
                    <w:top w:w="15" w:type="dxa"/>
                    <w:left w:w="15" w:type="dxa"/>
                    <w:right w:w="15" w:type="dxa"/>
                  </w:tcMar>
                  <w:vAlign w:val="center"/>
                </w:tcPr>
                <w:p w14:paraId="6FC5F46D">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回用于生产</w:t>
                  </w:r>
                </w:p>
              </w:tc>
              <w:tc>
                <w:tcPr>
                  <w:tcW w:w="403" w:type="pct"/>
                  <w:shd w:val="clear" w:color="auto" w:fill="auto"/>
                  <w:noWrap w:val="0"/>
                  <w:tcMar>
                    <w:top w:w="15" w:type="dxa"/>
                    <w:left w:w="15" w:type="dxa"/>
                    <w:right w:w="15" w:type="dxa"/>
                  </w:tcMar>
                  <w:vAlign w:val="center"/>
                </w:tcPr>
                <w:p w14:paraId="742AE9F6">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34.35</w:t>
                  </w:r>
                </w:p>
              </w:tc>
              <w:tc>
                <w:tcPr>
                  <w:tcW w:w="444" w:type="pct"/>
                  <w:vMerge w:val="continue"/>
                  <w:noWrap w:val="0"/>
                  <w:tcMar>
                    <w:top w:w="15" w:type="dxa"/>
                    <w:left w:w="15" w:type="dxa"/>
                    <w:right w:w="15" w:type="dxa"/>
                  </w:tcMar>
                  <w:vAlign w:val="center"/>
                </w:tcPr>
                <w:p w14:paraId="441A0E01">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23ABB9B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387" w:type="pct"/>
                  <w:vMerge w:val="continue"/>
                  <w:noWrap w:val="0"/>
                  <w:tcMar>
                    <w:top w:w="15" w:type="dxa"/>
                    <w:left w:w="15" w:type="dxa"/>
                    <w:right w:w="15" w:type="dxa"/>
                  </w:tcMar>
                  <w:vAlign w:val="center"/>
                </w:tcPr>
                <w:p w14:paraId="0F59E39B">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914" w:type="pct"/>
                  <w:shd w:val="clear" w:color="auto" w:fill="auto"/>
                  <w:noWrap w:val="0"/>
                  <w:tcMar>
                    <w:top w:w="15" w:type="dxa"/>
                    <w:left w:w="15" w:type="dxa"/>
                    <w:right w:w="15" w:type="dxa"/>
                  </w:tcMar>
                  <w:vAlign w:val="center"/>
                </w:tcPr>
                <w:p w14:paraId="29A0624F">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沉淀沉渣</w:t>
                  </w:r>
                </w:p>
              </w:tc>
              <w:tc>
                <w:tcPr>
                  <w:tcW w:w="448" w:type="pct"/>
                  <w:shd w:val="clear" w:color="auto" w:fill="auto"/>
                  <w:noWrap w:val="0"/>
                  <w:tcMar>
                    <w:top w:w="15" w:type="dxa"/>
                    <w:left w:w="15" w:type="dxa"/>
                    <w:right w:w="15" w:type="dxa"/>
                  </w:tcMar>
                  <w:vAlign w:val="center"/>
                </w:tcPr>
                <w:p w14:paraId="3D48083C">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w:t>
                  </w:r>
                </w:p>
              </w:tc>
              <w:tc>
                <w:tcPr>
                  <w:tcW w:w="490" w:type="pct"/>
                  <w:shd w:val="clear" w:color="auto" w:fill="auto"/>
                  <w:noWrap w:val="0"/>
                  <w:tcMar>
                    <w:top w:w="15" w:type="dxa"/>
                    <w:left w:w="15" w:type="dxa"/>
                    <w:right w:w="15" w:type="dxa"/>
                  </w:tcMar>
                  <w:vAlign w:val="center"/>
                </w:tcPr>
                <w:p w14:paraId="2352382C">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w:t>
                  </w:r>
                </w:p>
              </w:tc>
              <w:tc>
                <w:tcPr>
                  <w:tcW w:w="439" w:type="pct"/>
                  <w:shd w:val="clear" w:color="auto" w:fill="auto"/>
                  <w:noWrap w:val="0"/>
                  <w:tcMar>
                    <w:top w:w="15" w:type="dxa"/>
                    <w:left w:w="15" w:type="dxa"/>
                    <w:right w:w="15" w:type="dxa"/>
                  </w:tcMar>
                  <w:vAlign w:val="center"/>
                </w:tcPr>
                <w:p w14:paraId="7E5189DA">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固态</w:t>
                  </w:r>
                </w:p>
              </w:tc>
              <w:tc>
                <w:tcPr>
                  <w:tcW w:w="409" w:type="pct"/>
                  <w:shd w:val="clear" w:color="auto" w:fill="auto"/>
                  <w:noWrap w:val="0"/>
                  <w:tcMar>
                    <w:top w:w="15" w:type="dxa"/>
                    <w:left w:w="15" w:type="dxa"/>
                    <w:right w:w="15" w:type="dxa"/>
                  </w:tcMar>
                  <w:vAlign w:val="center"/>
                </w:tcPr>
                <w:p w14:paraId="6F65F76F">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4.9</w:t>
                  </w:r>
                </w:p>
              </w:tc>
              <w:tc>
                <w:tcPr>
                  <w:tcW w:w="394" w:type="pct"/>
                  <w:shd w:val="clear" w:color="auto" w:fill="auto"/>
                  <w:noWrap w:val="0"/>
                  <w:tcMar>
                    <w:top w:w="15" w:type="dxa"/>
                    <w:left w:w="15" w:type="dxa"/>
                    <w:right w:w="15" w:type="dxa"/>
                  </w:tcMar>
                  <w:vAlign w:val="center"/>
                </w:tcPr>
                <w:p w14:paraId="5FEC7767">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袋装</w:t>
                  </w:r>
                </w:p>
              </w:tc>
              <w:tc>
                <w:tcPr>
                  <w:tcW w:w="669" w:type="pct"/>
                  <w:vMerge w:val="restart"/>
                  <w:shd w:val="clear" w:color="auto" w:fill="auto"/>
                  <w:noWrap w:val="0"/>
                  <w:tcMar>
                    <w:top w:w="15" w:type="dxa"/>
                    <w:left w:w="15" w:type="dxa"/>
                    <w:right w:w="15" w:type="dxa"/>
                  </w:tcMar>
                  <w:vAlign w:val="center"/>
                </w:tcPr>
                <w:p w14:paraId="67D2249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委托有资质的单位处理</w:t>
                  </w:r>
                </w:p>
              </w:tc>
              <w:tc>
                <w:tcPr>
                  <w:tcW w:w="403" w:type="pct"/>
                  <w:shd w:val="clear" w:color="auto" w:fill="auto"/>
                  <w:noWrap w:val="0"/>
                  <w:tcMar>
                    <w:top w:w="15" w:type="dxa"/>
                    <w:left w:w="15" w:type="dxa"/>
                    <w:right w:w="15" w:type="dxa"/>
                  </w:tcMar>
                  <w:vAlign w:val="center"/>
                </w:tcPr>
                <w:p w14:paraId="3B42B7AF">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4.9</w:t>
                  </w:r>
                </w:p>
              </w:tc>
              <w:tc>
                <w:tcPr>
                  <w:tcW w:w="444" w:type="pct"/>
                  <w:vMerge w:val="continue"/>
                  <w:noWrap w:val="0"/>
                  <w:tcMar>
                    <w:top w:w="15" w:type="dxa"/>
                    <w:left w:w="15" w:type="dxa"/>
                    <w:right w:w="15" w:type="dxa"/>
                  </w:tcMar>
                  <w:vAlign w:val="center"/>
                </w:tcPr>
                <w:p w14:paraId="64687173">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20464E1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87" w:type="pct"/>
                  <w:vMerge w:val="continue"/>
                  <w:noWrap w:val="0"/>
                  <w:tcMar>
                    <w:top w:w="15" w:type="dxa"/>
                    <w:left w:w="15" w:type="dxa"/>
                    <w:right w:w="15" w:type="dxa"/>
                  </w:tcMar>
                  <w:vAlign w:val="center"/>
                </w:tcPr>
                <w:p w14:paraId="2D0BD1E1">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914" w:type="pct"/>
                  <w:noWrap w:val="0"/>
                  <w:tcMar>
                    <w:top w:w="15" w:type="dxa"/>
                    <w:left w:w="15" w:type="dxa"/>
                    <w:right w:w="15" w:type="dxa"/>
                  </w:tcMar>
                  <w:vAlign w:val="center"/>
                </w:tcPr>
                <w:p w14:paraId="68AB4F5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废润滑油</w:t>
                  </w:r>
                </w:p>
              </w:tc>
              <w:tc>
                <w:tcPr>
                  <w:tcW w:w="448" w:type="pct"/>
                  <w:noWrap w:val="0"/>
                  <w:tcMar>
                    <w:top w:w="15" w:type="dxa"/>
                    <w:left w:w="15" w:type="dxa"/>
                    <w:right w:w="15" w:type="dxa"/>
                  </w:tcMar>
                  <w:vAlign w:val="center"/>
                </w:tcPr>
                <w:p w14:paraId="79E5CAF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危险废物</w:t>
                  </w:r>
                </w:p>
              </w:tc>
              <w:tc>
                <w:tcPr>
                  <w:tcW w:w="490" w:type="pct"/>
                  <w:noWrap w:val="0"/>
                  <w:tcMar>
                    <w:top w:w="15" w:type="dxa"/>
                    <w:left w:w="15" w:type="dxa"/>
                    <w:right w:w="15" w:type="dxa"/>
                  </w:tcMar>
                  <w:vAlign w:val="center"/>
                </w:tcPr>
                <w:p w14:paraId="58CB373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900-217-08</w:t>
                  </w:r>
                </w:p>
              </w:tc>
              <w:tc>
                <w:tcPr>
                  <w:tcW w:w="439" w:type="pct"/>
                  <w:noWrap w:val="0"/>
                  <w:tcMar>
                    <w:top w:w="15" w:type="dxa"/>
                    <w:left w:w="15" w:type="dxa"/>
                    <w:right w:w="15" w:type="dxa"/>
                  </w:tcMar>
                  <w:vAlign w:val="center"/>
                </w:tcPr>
                <w:p w14:paraId="2D09FFC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液态</w:t>
                  </w:r>
                </w:p>
              </w:tc>
              <w:tc>
                <w:tcPr>
                  <w:tcW w:w="409" w:type="pct"/>
                  <w:noWrap w:val="0"/>
                  <w:tcMar>
                    <w:top w:w="15" w:type="dxa"/>
                    <w:left w:w="15" w:type="dxa"/>
                    <w:right w:w="15" w:type="dxa"/>
                  </w:tcMar>
                  <w:vAlign w:val="center"/>
                </w:tcPr>
                <w:p w14:paraId="05BA5C9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0.4</w:t>
                  </w:r>
                </w:p>
              </w:tc>
              <w:tc>
                <w:tcPr>
                  <w:tcW w:w="394" w:type="pct"/>
                  <w:noWrap w:val="0"/>
                  <w:tcMar>
                    <w:top w:w="15" w:type="dxa"/>
                    <w:left w:w="15" w:type="dxa"/>
                    <w:right w:w="15" w:type="dxa"/>
                  </w:tcMar>
                  <w:vAlign w:val="center"/>
                </w:tcPr>
                <w:p w14:paraId="46F7E5E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桶装</w:t>
                  </w:r>
                </w:p>
              </w:tc>
              <w:tc>
                <w:tcPr>
                  <w:tcW w:w="669" w:type="pct"/>
                  <w:vMerge w:val="continue"/>
                  <w:noWrap w:val="0"/>
                  <w:tcMar>
                    <w:top w:w="15" w:type="dxa"/>
                    <w:left w:w="15" w:type="dxa"/>
                    <w:right w:w="15" w:type="dxa"/>
                  </w:tcMar>
                  <w:vAlign w:val="center"/>
                </w:tcPr>
                <w:p w14:paraId="6B89EA95">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403" w:type="pct"/>
                  <w:noWrap w:val="0"/>
                  <w:tcMar>
                    <w:top w:w="15" w:type="dxa"/>
                    <w:left w:w="15" w:type="dxa"/>
                    <w:right w:w="15" w:type="dxa"/>
                  </w:tcMar>
                  <w:vAlign w:val="center"/>
                </w:tcPr>
                <w:p w14:paraId="10C6A17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0.4</w:t>
                  </w:r>
                </w:p>
              </w:tc>
              <w:tc>
                <w:tcPr>
                  <w:tcW w:w="444" w:type="pct"/>
                  <w:vMerge w:val="continue"/>
                  <w:noWrap w:val="0"/>
                  <w:tcMar>
                    <w:top w:w="15" w:type="dxa"/>
                    <w:left w:w="15" w:type="dxa"/>
                    <w:right w:w="15" w:type="dxa"/>
                  </w:tcMar>
                  <w:vAlign w:val="center"/>
                </w:tcPr>
                <w:p w14:paraId="30D2FF3C">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3DA9272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87" w:type="pct"/>
                  <w:vMerge w:val="continue"/>
                  <w:noWrap w:val="0"/>
                  <w:tcMar>
                    <w:top w:w="15" w:type="dxa"/>
                    <w:left w:w="15" w:type="dxa"/>
                    <w:right w:w="15" w:type="dxa"/>
                  </w:tcMar>
                  <w:vAlign w:val="center"/>
                </w:tcPr>
                <w:p w14:paraId="4BF5652A">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914" w:type="pct"/>
                  <w:noWrap w:val="0"/>
                  <w:tcMar>
                    <w:top w:w="15" w:type="dxa"/>
                    <w:left w:w="15" w:type="dxa"/>
                    <w:right w:w="15" w:type="dxa"/>
                  </w:tcMar>
                  <w:vAlign w:val="center"/>
                </w:tcPr>
                <w:p w14:paraId="6C74019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废润滑油桶</w:t>
                  </w:r>
                </w:p>
              </w:tc>
              <w:tc>
                <w:tcPr>
                  <w:tcW w:w="448" w:type="pct"/>
                  <w:noWrap w:val="0"/>
                  <w:tcMar>
                    <w:top w:w="15" w:type="dxa"/>
                    <w:left w:w="15" w:type="dxa"/>
                    <w:right w:w="15" w:type="dxa"/>
                  </w:tcMar>
                  <w:vAlign w:val="center"/>
                </w:tcPr>
                <w:p w14:paraId="5072356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危险废物</w:t>
                  </w:r>
                </w:p>
              </w:tc>
              <w:tc>
                <w:tcPr>
                  <w:tcW w:w="490" w:type="pct"/>
                  <w:noWrap w:val="0"/>
                  <w:tcMar>
                    <w:top w:w="15" w:type="dxa"/>
                    <w:left w:w="15" w:type="dxa"/>
                    <w:right w:w="15" w:type="dxa"/>
                  </w:tcMar>
                  <w:vAlign w:val="center"/>
                </w:tcPr>
                <w:p w14:paraId="3447D39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900-249-08</w:t>
                  </w:r>
                </w:p>
              </w:tc>
              <w:tc>
                <w:tcPr>
                  <w:tcW w:w="439" w:type="pct"/>
                  <w:noWrap w:val="0"/>
                  <w:tcMar>
                    <w:top w:w="15" w:type="dxa"/>
                    <w:left w:w="15" w:type="dxa"/>
                    <w:right w:w="15" w:type="dxa"/>
                  </w:tcMar>
                  <w:vAlign w:val="center"/>
                </w:tcPr>
                <w:p w14:paraId="10928D0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固态</w:t>
                  </w:r>
                </w:p>
              </w:tc>
              <w:tc>
                <w:tcPr>
                  <w:tcW w:w="409" w:type="pct"/>
                  <w:noWrap w:val="0"/>
                  <w:tcMar>
                    <w:top w:w="15" w:type="dxa"/>
                    <w:left w:w="15" w:type="dxa"/>
                    <w:right w:w="15" w:type="dxa"/>
                  </w:tcMar>
                  <w:vAlign w:val="center"/>
                </w:tcPr>
                <w:p w14:paraId="42CC285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0.02</w:t>
                  </w:r>
                </w:p>
              </w:tc>
              <w:tc>
                <w:tcPr>
                  <w:tcW w:w="394" w:type="pct"/>
                  <w:noWrap w:val="0"/>
                  <w:tcMar>
                    <w:top w:w="15" w:type="dxa"/>
                    <w:left w:w="15" w:type="dxa"/>
                    <w:right w:w="15" w:type="dxa"/>
                  </w:tcMar>
                  <w:vAlign w:val="center"/>
                </w:tcPr>
                <w:p w14:paraId="136F20A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桶装</w:t>
                  </w:r>
                </w:p>
              </w:tc>
              <w:tc>
                <w:tcPr>
                  <w:tcW w:w="669" w:type="pct"/>
                  <w:vMerge w:val="continue"/>
                  <w:noWrap w:val="0"/>
                  <w:tcMar>
                    <w:top w:w="15" w:type="dxa"/>
                    <w:left w:w="15" w:type="dxa"/>
                    <w:right w:w="15" w:type="dxa"/>
                  </w:tcMar>
                  <w:vAlign w:val="center"/>
                </w:tcPr>
                <w:p w14:paraId="50F68117">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403" w:type="pct"/>
                  <w:noWrap w:val="0"/>
                  <w:tcMar>
                    <w:top w:w="15" w:type="dxa"/>
                    <w:left w:w="15" w:type="dxa"/>
                    <w:right w:w="15" w:type="dxa"/>
                  </w:tcMar>
                  <w:vAlign w:val="center"/>
                </w:tcPr>
                <w:p w14:paraId="619EB7A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0.02</w:t>
                  </w:r>
                </w:p>
              </w:tc>
              <w:tc>
                <w:tcPr>
                  <w:tcW w:w="444" w:type="pct"/>
                  <w:vMerge w:val="continue"/>
                  <w:noWrap w:val="0"/>
                  <w:tcMar>
                    <w:top w:w="15" w:type="dxa"/>
                    <w:left w:w="15" w:type="dxa"/>
                    <w:right w:w="15" w:type="dxa"/>
                  </w:tcMar>
                  <w:vAlign w:val="center"/>
                </w:tcPr>
                <w:p w14:paraId="0BD8F471">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53FED1C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87" w:type="pct"/>
                  <w:vMerge w:val="continue"/>
                  <w:noWrap w:val="0"/>
                  <w:tcMar>
                    <w:top w:w="15" w:type="dxa"/>
                    <w:left w:w="15" w:type="dxa"/>
                    <w:right w:w="15" w:type="dxa"/>
                  </w:tcMar>
                  <w:vAlign w:val="center"/>
                </w:tcPr>
                <w:p w14:paraId="34B78BD0">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914" w:type="pct"/>
                  <w:noWrap w:val="0"/>
                  <w:tcMar>
                    <w:top w:w="15" w:type="dxa"/>
                    <w:left w:w="15" w:type="dxa"/>
                    <w:right w:w="15" w:type="dxa"/>
                  </w:tcMar>
                  <w:vAlign w:val="center"/>
                </w:tcPr>
                <w:p w14:paraId="6453361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废含油抹布及手套</w:t>
                  </w:r>
                </w:p>
              </w:tc>
              <w:tc>
                <w:tcPr>
                  <w:tcW w:w="448" w:type="pct"/>
                  <w:noWrap w:val="0"/>
                  <w:tcMar>
                    <w:top w:w="15" w:type="dxa"/>
                    <w:left w:w="15" w:type="dxa"/>
                    <w:right w:w="15" w:type="dxa"/>
                  </w:tcMar>
                  <w:vAlign w:val="center"/>
                </w:tcPr>
                <w:p w14:paraId="430A2B8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危险废物</w:t>
                  </w:r>
                </w:p>
              </w:tc>
              <w:tc>
                <w:tcPr>
                  <w:tcW w:w="490" w:type="pct"/>
                  <w:noWrap w:val="0"/>
                  <w:tcMar>
                    <w:top w:w="15" w:type="dxa"/>
                    <w:left w:w="15" w:type="dxa"/>
                    <w:right w:w="15" w:type="dxa"/>
                  </w:tcMar>
                  <w:vAlign w:val="center"/>
                </w:tcPr>
                <w:p w14:paraId="1BC10C3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900-041-49</w:t>
                  </w:r>
                </w:p>
              </w:tc>
              <w:tc>
                <w:tcPr>
                  <w:tcW w:w="439" w:type="pct"/>
                  <w:noWrap w:val="0"/>
                  <w:tcMar>
                    <w:top w:w="15" w:type="dxa"/>
                    <w:left w:w="15" w:type="dxa"/>
                    <w:right w:w="15" w:type="dxa"/>
                  </w:tcMar>
                  <w:vAlign w:val="center"/>
                </w:tcPr>
                <w:p w14:paraId="4D5411B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固态</w:t>
                  </w:r>
                </w:p>
              </w:tc>
              <w:tc>
                <w:tcPr>
                  <w:tcW w:w="409" w:type="pct"/>
                  <w:noWrap w:val="0"/>
                  <w:tcMar>
                    <w:top w:w="15" w:type="dxa"/>
                    <w:left w:w="15" w:type="dxa"/>
                    <w:right w:w="15" w:type="dxa"/>
                  </w:tcMar>
                  <w:vAlign w:val="center"/>
                </w:tcPr>
                <w:p w14:paraId="0608D62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0.01</w:t>
                  </w:r>
                </w:p>
              </w:tc>
              <w:tc>
                <w:tcPr>
                  <w:tcW w:w="394" w:type="pct"/>
                  <w:noWrap w:val="0"/>
                  <w:tcMar>
                    <w:top w:w="15" w:type="dxa"/>
                    <w:left w:w="15" w:type="dxa"/>
                    <w:right w:w="15" w:type="dxa"/>
                  </w:tcMar>
                  <w:vAlign w:val="center"/>
                </w:tcPr>
                <w:p w14:paraId="41FB1AA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桶装</w:t>
                  </w:r>
                </w:p>
              </w:tc>
              <w:tc>
                <w:tcPr>
                  <w:tcW w:w="669" w:type="pct"/>
                  <w:vMerge w:val="continue"/>
                  <w:noWrap w:val="0"/>
                  <w:tcMar>
                    <w:top w:w="15" w:type="dxa"/>
                    <w:left w:w="15" w:type="dxa"/>
                    <w:right w:w="15" w:type="dxa"/>
                  </w:tcMar>
                  <w:vAlign w:val="center"/>
                </w:tcPr>
                <w:p w14:paraId="06A3A822">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403" w:type="pct"/>
                  <w:noWrap w:val="0"/>
                  <w:tcMar>
                    <w:top w:w="15" w:type="dxa"/>
                    <w:left w:w="15" w:type="dxa"/>
                    <w:right w:w="15" w:type="dxa"/>
                  </w:tcMar>
                  <w:vAlign w:val="center"/>
                </w:tcPr>
                <w:p w14:paraId="148574A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0.01</w:t>
                  </w:r>
                </w:p>
              </w:tc>
              <w:tc>
                <w:tcPr>
                  <w:tcW w:w="444" w:type="pct"/>
                  <w:vMerge w:val="continue"/>
                  <w:noWrap w:val="0"/>
                  <w:tcMar>
                    <w:top w:w="15" w:type="dxa"/>
                    <w:left w:w="15" w:type="dxa"/>
                    <w:right w:w="15" w:type="dxa"/>
                  </w:tcMar>
                  <w:vAlign w:val="center"/>
                </w:tcPr>
                <w:p w14:paraId="347C99C3">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653E401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87" w:type="pct"/>
                  <w:noWrap w:val="0"/>
                  <w:tcMar>
                    <w:top w:w="15" w:type="dxa"/>
                    <w:left w:w="15" w:type="dxa"/>
                    <w:right w:w="15" w:type="dxa"/>
                  </w:tcMar>
                  <w:vAlign w:val="center"/>
                </w:tcPr>
                <w:p w14:paraId="7367BB3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员工生活</w:t>
                  </w:r>
                </w:p>
              </w:tc>
              <w:tc>
                <w:tcPr>
                  <w:tcW w:w="914" w:type="pct"/>
                  <w:noWrap w:val="0"/>
                  <w:tcMar>
                    <w:top w:w="15" w:type="dxa"/>
                    <w:left w:w="15" w:type="dxa"/>
                    <w:right w:w="15" w:type="dxa"/>
                  </w:tcMar>
                  <w:vAlign w:val="center"/>
                </w:tcPr>
                <w:p w14:paraId="4DD6F4F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生活垃圾</w:t>
                  </w:r>
                </w:p>
              </w:tc>
              <w:tc>
                <w:tcPr>
                  <w:tcW w:w="448" w:type="pct"/>
                  <w:noWrap w:val="0"/>
                  <w:tcMar>
                    <w:top w:w="15" w:type="dxa"/>
                    <w:left w:w="15" w:type="dxa"/>
                    <w:right w:w="15" w:type="dxa"/>
                  </w:tcMar>
                  <w:vAlign w:val="center"/>
                </w:tcPr>
                <w:p w14:paraId="7F2B865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一般固废</w:t>
                  </w:r>
                </w:p>
              </w:tc>
              <w:tc>
                <w:tcPr>
                  <w:tcW w:w="490" w:type="pct"/>
                  <w:noWrap w:val="0"/>
                  <w:tcMar>
                    <w:top w:w="15" w:type="dxa"/>
                    <w:left w:w="15" w:type="dxa"/>
                    <w:right w:w="15" w:type="dxa"/>
                  </w:tcMar>
                  <w:vAlign w:val="center"/>
                </w:tcPr>
                <w:p w14:paraId="37BC3DB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900-099-S64</w:t>
                  </w:r>
                </w:p>
              </w:tc>
              <w:tc>
                <w:tcPr>
                  <w:tcW w:w="439" w:type="pct"/>
                  <w:noWrap w:val="0"/>
                  <w:tcMar>
                    <w:top w:w="15" w:type="dxa"/>
                    <w:left w:w="15" w:type="dxa"/>
                    <w:right w:w="15" w:type="dxa"/>
                  </w:tcMar>
                  <w:vAlign w:val="center"/>
                </w:tcPr>
                <w:p w14:paraId="138AA73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固态</w:t>
                  </w:r>
                </w:p>
              </w:tc>
              <w:tc>
                <w:tcPr>
                  <w:tcW w:w="409" w:type="pct"/>
                  <w:noWrap w:val="0"/>
                  <w:tcMar>
                    <w:top w:w="15" w:type="dxa"/>
                    <w:left w:w="15" w:type="dxa"/>
                    <w:right w:w="15" w:type="dxa"/>
                  </w:tcMar>
                  <w:vAlign w:val="center"/>
                </w:tcPr>
                <w:p w14:paraId="49878469">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3</w:t>
                  </w:r>
                </w:p>
              </w:tc>
              <w:tc>
                <w:tcPr>
                  <w:tcW w:w="394" w:type="pct"/>
                  <w:noWrap w:val="0"/>
                  <w:tcMar>
                    <w:top w:w="15" w:type="dxa"/>
                    <w:left w:w="15" w:type="dxa"/>
                    <w:right w:w="15" w:type="dxa"/>
                  </w:tcMar>
                  <w:vAlign w:val="center"/>
                </w:tcPr>
                <w:p w14:paraId="08E36B4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垃圾桶</w:t>
                  </w:r>
                </w:p>
              </w:tc>
              <w:tc>
                <w:tcPr>
                  <w:tcW w:w="669" w:type="pct"/>
                  <w:noWrap w:val="0"/>
                  <w:tcMar>
                    <w:top w:w="15" w:type="dxa"/>
                    <w:left w:w="15" w:type="dxa"/>
                    <w:right w:w="15" w:type="dxa"/>
                  </w:tcMar>
                  <w:vAlign w:val="center"/>
                </w:tcPr>
                <w:p w14:paraId="136B7AC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环卫部门定期清运</w:t>
                  </w:r>
                </w:p>
              </w:tc>
              <w:tc>
                <w:tcPr>
                  <w:tcW w:w="403" w:type="pct"/>
                  <w:noWrap w:val="0"/>
                  <w:tcMar>
                    <w:top w:w="15" w:type="dxa"/>
                    <w:left w:w="15" w:type="dxa"/>
                    <w:right w:w="15" w:type="dxa"/>
                  </w:tcMar>
                  <w:vAlign w:val="center"/>
                </w:tcPr>
                <w:p w14:paraId="34C0BA0B">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3</w:t>
                  </w:r>
                </w:p>
              </w:tc>
              <w:tc>
                <w:tcPr>
                  <w:tcW w:w="444" w:type="pct"/>
                  <w:vMerge w:val="continue"/>
                  <w:noWrap w:val="0"/>
                  <w:tcMar>
                    <w:top w:w="15" w:type="dxa"/>
                    <w:left w:w="15" w:type="dxa"/>
                    <w:right w:w="15" w:type="dxa"/>
                  </w:tcMar>
                  <w:vAlign w:val="center"/>
                </w:tcPr>
                <w:p w14:paraId="1562AEC1">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bl>
          <w:p w14:paraId="7D4547E9">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表4-1</w:t>
            </w:r>
            <w:r>
              <w:rPr>
                <w:rFonts w:hint="eastAsia"/>
                <w:caps w:val="0"/>
                <w:color w:val="auto"/>
                <w:spacing w:val="0"/>
                <w:position w:val="0"/>
                <w:highlight w:val="none"/>
                <w:lang w:val="en-US" w:eastAsia="zh-CN"/>
              </w:rPr>
              <w:t>6</w:t>
            </w:r>
            <w:r>
              <w:rPr>
                <w:rFonts w:hint="default"/>
                <w:caps w:val="0"/>
                <w:color w:val="auto"/>
                <w:spacing w:val="0"/>
                <w:position w:val="0"/>
                <w:highlight w:val="none"/>
              </w:rPr>
              <w:t xml:space="preserve"> 危险废物汇总表</w:t>
            </w:r>
          </w:p>
          <w:tbl>
            <w:tblPr>
              <w:tblStyle w:val="23"/>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38"/>
              <w:gridCol w:w="1176"/>
              <w:gridCol w:w="1647"/>
              <w:gridCol w:w="1427"/>
              <w:gridCol w:w="862"/>
              <w:gridCol w:w="975"/>
              <w:gridCol w:w="1179"/>
              <w:gridCol w:w="1241"/>
              <w:gridCol w:w="1241"/>
              <w:gridCol w:w="943"/>
              <w:gridCol w:w="978"/>
            </w:tblGrid>
            <w:tr w14:paraId="7D2906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8" w:type="dxa"/>
                  <w:noWrap w:val="0"/>
                  <w:vAlign w:val="center"/>
                </w:tcPr>
                <w:p w14:paraId="4D3C4F97">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危险废物名称</w:t>
                  </w:r>
                </w:p>
              </w:tc>
              <w:tc>
                <w:tcPr>
                  <w:tcW w:w="1176" w:type="dxa"/>
                  <w:noWrap w:val="0"/>
                  <w:vAlign w:val="center"/>
                </w:tcPr>
                <w:p w14:paraId="1BE8D7C2">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危险废物类别</w:t>
                  </w:r>
                </w:p>
              </w:tc>
              <w:tc>
                <w:tcPr>
                  <w:tcW w:w="1647" w:type="dxa"/>
                  <w:noWrap w:val="0"/>
                  <w:vAlign w:val="center"/>
                </w:tcPr>
                <w:p w14:paraId="555FAC5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危险废物代码</w:t>
                  </w:r>
                </w:p>
              </w:tc>
              <w:tc>
                <w:tcPr>
                  <w:tcW w:w="1427" w:type="dxa"/>
                  <w:noWrap w:val="0"/>
                  <w:vAlign w:val="center"/>
                </w:tcPr>
                <w:p w14:paraId="7005013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产生量（t/a）</w:t>
                  </w:r>
                </w:p>
              </w:tc>
              <w:tc>
                <w:tcPr>
                  <w:tcW w:w="862" w:type="dxa"/>
                  <w:noWrap w:val="0"/>
                  <w:vAlign w:val="center"/>
                </w:tcPr>
                <w:p w14:paraId="6F296612">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产生工序及装置</w:t>
                  </w:r>
                </w:p>
              </w:tc>
              <w:tc>
                <w:tcPr>
                  <w:tcW w:w="975" w:type="dxa"/>
                  <w:noWrap w:val="0"/>
                  <w:vAlign w:val="center"/>
                </w:tcPr>
                <w:p w14:paraId="10CF5012">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形态</w:t>
                  </w:r>
                </w:p>
              </w:tc>
              <w:tc>
                <w:tcPr>
                  <w:tcW w:w="1179" w:type="dxa"/>
                  <w:noWrap w:val="0"/>
                  <w:vAlign w:val="center"/>
                </w:tcPr>
                <w:p w14:paraId="1EC6776E">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主要成分</w:t>
                  </w:r>
                </w:p>
              </w:tc>
              <w:tc>
                <w:tcPr>
                  <w:tcW w:w="1241" w:type="dxa"/>
                  <w:noWrap w:val="0"/>
                  <w:vAlign w:val="center"/>
                </w:tcPr>
                <w:p w14:paraId="3083E9D0">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有害成分</w:t>
                  </w:r>
                </w:p>
              </w:tc>
              <w:tc>
                <w:tcPr>
                  <w:tcW w:w="1241" w:type="dxa"/>
                  <w:noWrap w:val="0"/>
                  <w:vAlign w:val="center"/>
                </w:tcPr>
                <w:p w14:paraId="10CF5500">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产废周期</w:t>
                  </w:r>
                </w:p>
              </w:tc>
              <w:tc>
                <w:tcPr>
                  <w:tcW w:w="943" w:type="dxa"/>
                  <w:noWrap w:val="0"/>
                  <w:vAlign w:val="center"/>
                </w:tcPr>
                <w:p w14:paraId="038CBFB9">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危险特性</w:t>
                  </w:r>
                </w:p>
              </w:tc>
              <w:tc>
                <w:tcPr>
                  <w:tcW w:w="978" w:type="dxa"/>
                  <w:noWrap w:val="0"/>
                  <w:vAlign w:val="center"/>
                </w:tcPr>
                <w:p w14:paraId="1CC30F5F">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污染防治措施</w:t>
                  </w:r>
                </w:p>
              </w:tc>
            </w:tr>
            <w:tr w14:paraId="44BB6B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8" w:type="dxa"/>
                  <w:noWrap w:val="0"/>
                  <w:vAlign w:val="center"/>
                </w:tcPr>
                <w:p w14:paraId="05ED41C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废润滑油</w:t>
                  </w:r>
                </w:p>
              </w:tc>
              <w:tc>
                <w:tcPr>
                  <w:tcW w:w="1176" w:type="dxa"/>
                  <w:noWrap w:val="0"/>
                  <w:vAlign w:val="center"/>
                </w:tcPr>
                <w:p w14:paraId="3BE3124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HW08</w:t>
                  </w:r>
                </w:p>
              </w:tc>
              <w:tc>
                <w:tcPr>
                  <w:tcW w:w="1647" w:type="dxa"/>
                  <w:noWrap w:val="0"/>
                  <w:vAlign w:val="center"/>
                </w:tcPr>
                <w:p w14:paraId="127323A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900-217-08</w:t>
                  </w:r>
                </w:p>
              </w:tc>
              <w:tc>
                <w:tcPr>
                  <w:tcW w:w="1427" w:type="dxa"/>
                  <w:noWrap w:val="0"/>
                  <w:vAlign w:val="center"/>
                </w:tcPr>
                <w:p w14:paraId="78E353B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0.4</w:t>
                  </w:r>
                </w:p>
              </w:tc>
              <w:tc>
                <w:tcPr>
                  <w:tcW w:w="862" w:type="dxa"/>
                  <w:vMerge w:val="restart"/>
                  <w:noWrap w:val="0"/>
                  <w:vAlign w:val="center"/>
                </w:tcPr>
                <w:p w14:paraId="6496E0E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设备维护</w:t>
                  </w:r>
                </w:p>
              </w:tc>
              <w:tc>
                <w:tcPr>
                  <w:tcW w:w="975" w:type="dxa"/>
                  <w:noWrap w:val="0"/>
                  <w:vAlign w:val="center"/>
                </w:tcPr>
                <w:p w14:paraId="7FCD710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液态</w:t>
                  </w:r>
                </w:p>
              </w:tc>
              <w:tc>
                <w:tcPr>
                  <w:tcW w:w="1179" w:type="dxa"/>
                  <w:noWrap w:val="0"/>
                  <w:vAlign w:val="center"/>
                </w:tcPr>
                <w:p w14:paraId="6858046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矿物油</w:t>
                  </w:r>
                </w:p>
              </w:tc>
              <w:tc>
                <w:tcPr>
                  <w:tcW w:w="1241" w:type="dxa"/>
                  <w:noWrap w:val="0"/>
                  <w:vAlign w:val="center"/>
                </w:tcPr>
                <w:p w14:paraId="1D9C17A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矿物油等</w:t>
                  </w:r>
                </w:p>
              </w:tc>
              <w:tc>
                <w:tcPr>
                  <w:tcW w:w="1241" w:type="dxa"/>
                  <w:noWrap w:val="0"/>
                  <w:vAlign w:val="center"/>
                </w:tcPr>
                <w:p w14:paraId="6E43BD1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半年</w:t>
                  </w:r>
                </w:p>
              </w:tc>
              <w:tc>
                <w:tcPr>
                  <w:tcW w:w="943" w:type="dxa"/>
                  <w:noWrap w:val="0"/>
                  <w:vAlign w:val="center"/>
                </w:tcPr>
                <w:p w14:paraId="58A75AC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T，I</w:t>
                  </w:r>
                </w:p>
              </w:tc>
              <w:tc>
                <w:tcPr>
                  <w:tcW w:w="978" w:type="dxa"/>
                  <w:vMerge w:val="restart"/>
                  <w:noWrap w:val="0"/>
                  <w:vAlign w:val="center"/>
                </w:tcPr>
                <w:p w14:paraId="61A7288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桶装、分类置于危废暂存间</w:t>
                  </w:r>
                </w:p>
              </w:tc>
            </w:tr>
            <w:tr w14:paraId="2C5F87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8" w:type="dxa"/>
                  <w:noWrap w:val="0"/>
                  <w:vAlign w:val="center"/>
                </w:tcPr>
                <w:p w14:paraId="5271B9B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废润滑油桶</w:t>
                  </w:r>
                </w:p>
              </w:tc>
              <w:tc>
                <w:tcPr>
                  <w:tcW w:w="1176" w:type="dxa"/>
                  <w:noWrap w:val="0"/>
                  <w:vAlign w:val="center"/>
                </w:tcPr>
                <w:p w14:paraId="74DAD75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HW08</w:t>
                  </w:r>
                </w:p>
              </w:tc>
              <w:tc>
                <w:tcPr>
                  <w:tcW w:w="1647" w:type="dxa"/>
                  <w:noWrap w:val="0"/>
                  <w:vAlign w:val="center"/>
                </w:tcPr>
                <w:p w14:paraId="39C67D9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900-249-08</w:t>
                  </w:r>
                </w:p>
              </w:tc>
              <w:tc>
                <w:tcPr>
                  <w:tcW w:w="1427" w:type="dxa"/>
                  <w:noWrap w:val="0"/>
                  <w:vAlign w:val="center"/>
                </w:tcPr>
                <w:p w14:paraId="4969D51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0.02</w:t>
                  </w:r>
                </w:p>
              </w:tc>
              <w:tc>
                <w:tcPr>
                  <w:tcW w:w="862" w:type="dxa"/>
                  <w:vMerge w:val="continue"/>
                  <w:noWrap w:val="0"/>
                  <w:vAlign w:val="center"/>
                </w:tcPr>
                <w:p w14:paraId="423D5BCC">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975" w:type="dxa"/>
                  <w:noWrap w:val="0"/>
                  <w:vAlign w:val="center"/>
                </w:tcPr>
                <w:p w14:paraId="3DD0CD4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固态</w:t>
                  </w:r>
                </w:p>
              </w:tc>
              <w:tc>
                <w:tcPr>
                  <w:tcW w:w="1179" w:type="dxa"/>
                  <w:noWrap w:val="0"/>
                  <w:vAlign w:val="center"/>
                </w:tcPr>
                <w:p w14:paraId="43BDC92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矿物油</w:t>
                  </w:r>
                </w:p>
              </w:tc>
              <w:tc>
                <w:tcPr>
                  <w:tcW w:w="1241" w:type="dxa"/>
                  <w:noWrap w:val="0"/>
                  <w:vAlign w:val="center"/>
                </w:tcPr>
                <w:p w14:paraId="526F310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矿物油等</w:t>
                  </w:r>
                </w:p>
              </w:tc>
              <w:tc>
                <w:tcPr>
                  <w:tcW w:w="1241" w:type="dxa"/>
                  <w:noWrap w:val="0"/>
                  <w:vAlign w:val="center"/>
                </w:tcPr>
                <w:p w14:paraId="4552688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不定期</w:t>
                  </w:r>
                </w:p>
              </w:tc>
              <w:tc>
                <w:tcPr>
                  <w:tcW w:w="943" w:type="dxa"/>
                  <w:noWrap w:val="0"/>
                  <w:vAlign w:val="center"/>
                </w:tcPr>
                <w:p w14:paraId="6286B1C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T，I</w:t>
                  </w:r>
                </w:p>
              </w:tc>
              <w:tc>
                <w:tcPr>
                  <w:tcW w:w="978" w:type="dxa"/>
                  <w:vMerge w:val="continue"/>
                  <w:noWrap w:val="0"/>
                  <w:vAlign w:val="center"/>
                </w:tcPr>
                <w:p w14:paraId="6F806A86">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2FC11D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8" w:type="dxa"/>
                  <w:noWrap w:val="0"/>
                  <w:vAlign w:val="center"/>
                </w:tcPr>
                <w:p w14:paraId="486B6C3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废含油抹布及手套</w:t>
                  </w:r>
                </w:p>
              </w:tc>
              <w:tc>
                <w:tcPr>
                  <w:tcW w:w="1176" w:type="dxa"/>
                  <w:noWrap w:val="0"/>
                  <w:vAlign w:val="center"/>
                </w:tcPr>
                <w:p w14:paraId="1C3930F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HW49</w:t>
                  </w:r>
                </w:p>
              </w:tc>
              <w:tc>
                <w:tcPr>
                  <w:tcW w:w="1647" w:type="dxa"/>
                  <w:noWrap w:val="0"/>
                  <w:vAlign w:val="center"/>
                </w:tcPr>
                <w:p w14:paraId="512918A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900-041-49</w:t>
                  </w:r>
                </w:p>
              </w:tc>
              <w:tc>
                <w:tcPr>
                  <w:tcW w:w="1427" w:type="dxa"/>
                  <w:noWrap w:val="0"/>
                  <w:vAlign w:val="center"/>
                </w:tcPr>
                <w:p w14:paraId="243960A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0.01</w:t>
                  </w:r>
                </w:p>
              </w:tc>
              <w:tc>
                <w:tcPr>
                  <w:tcW w:w="862" w:type="dxa"/>
                  <w:vMerge w:val="continue"/>
                  <w:noWrap w:val="0"/>
                  <w:vAlign w:val="center"/>
                </w:tcPr>
                <w:p w14:paraId="43D34BFE">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975" w:type="dxa"/>
                  <w:noWrap w:val="0"/>
                  <w:vAlign w:val="center"/>
                </w:tcPr>
                <w:p w14:paraId="4CA0931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固态</w:t>
                  </w:r>
                </w:p>
              </w:tc>
              <w:tc>
                <w:tcPr>
                  <w:tcW w:w="1179" w:type="dxa"/>
                  <w:noWrap w:val="0"/>
                  <w:vAlign w:val="center"/>
                </w:tcPr>
                <w:p w14:paraId="0B234A0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矿物油</w:t>
                  </w:r>
                </w:p>
              </w:tc>
              <w:tc>
                <w:tcPr>
                  <w:tcW w:w="1241" w:type="dxa"/>
                  <w:noWrap w:val="0"/>
                  <w:vAlign w:val="center"/>
                </w:tcPr>
                <w:p w14:paraId="4316433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矿物油等</w:t>
                  </w:r>
                </w:p>
              </w:tc>
              <w:tc>
                <w:tcPr>
                  <w:tcW w:w="1241" w:type="dxa"/>
                  <w:noWrap w:val="0"/>
                  <w:vAlign w:val="center"/>
                </w:tcPr>
                <w:p w14:paraId="6C428E4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不定期</w:t>
                  </w:r>
                </w:p>
              </w:tc>
              <w:tc>
                <w:tcPr>
                  <w:tcW w:w="943" w:type="dxa"/>
                  <w:noWrap w:val="0"/>
                  <w:vAlign w:val="center"/>
                </w:tcPr>
                <w:p w14:paraId="6BFAB4B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T，In</w:t>
                  </w:r>
                </w:p>
              </w:tc>
              <w:tc>
                <w:tcPr>
                  <w:tcW w:w="978" w:type="dxa"/>
                  <w:vMerge w:val="continue"/>
                  <w:noWrap w:val="0"/>
                  <w:vAlign w:val="center"/>
                </w:tcPr>
                <w:p w14:paraId="3B0E0685">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6F70CD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8" w:type="dxa"/>
                  <w:shd w:val="clear" w:color="auto" w:fill="auto"/>
                  <w:noWrap w:val="0"/>
                  <w:vAlign w:val="center"/>
                </w:tcPr>
                <w:p w14:paraId="3DC21BA8">
                  <w:pPr>
                    <w:keepNext w:val="0"/>
                    <w:keepLines w:val="0"/>
                    <w:widowControl w:val="0"/>
                    <w:suppressLineNumbers w:val="0"/>
                    <w:bidi w:val="0"/>
                    <w:adjustRightInd w:val="0"/>
                    <w:snapToGrid w:val="0"/>
                    <w:spacing w:before="120" w:beforeAutospacing="0" w:after="0" w:afterAutospacing="0" w:line="240" w:lineRule="auto"/>
                    <w:ind w:left="0" w:leftChars="0" w:right="0" w:rightChars="0" w:firstLine="420" w:firstLineChars="200"/>
                    <w:jc w:val="center"/>
                    <w:rPr>
                      <w:rFonts w:hint="default" w:ascii="Times New Roman" w:hAnsi="Times New Roman" w:eastAsia="宋体" w:cstheme="minorBidi"/>
                      <w:caps w:val="0"/>
                      <w:color w:val="auto"/>
                      <w:spacing w:val="0"/>
                      <w:kern w:val="2"/>
                      <w:position w:val="0"/>
                      <w:sz w:val="24"/>
                      <w:szCs w:val="24"/>
                      <w:highlight w:val="none"/>
                      <w:lang w:val="en-US" w:eastAsia="zh-CN" w:bidi="ar-SA"/>
                    </w:rPr>
                  </w:pPr>
                  <w:r>
                    <w:rPr>
                      <w:rFonts w:hint="eastAsia" w:ascii="Times New Roman" w:hAnsi="Times New Roman" w:eastAsia="宋体" w:cs="Times New Roman"/>
                      <w:caps w:val="0"/>
                      <w:color w:val="auto"/>
                      <w:spacing w:val="0"/>
                      <w:kern w:val="2"/>
                      <w:position w:val="0"/>
                      <w:sz w:val="21"/>
                      <w:szCs w:val="21"/>
                      <w:highlight w:val="none"/>
                      <w:lang w:val="en-US" w:eastAsia="zh-CN" w:bidi="ar-SA"/>
                    </w:rPr>
                    <w:t>沉淀沉渣</w:t>
                  </w:r>
                </w:p>
              </w:tc>
              <w:tc>
                <w:tcPr>
                  <w:tcW w:w="1176" w:type="dxa"/>
                  <w:shd w:val="clear" w:color="auto" w:fill="auto"/>
                  <w:noWrap w:val="0"/>
                  <w:vAlign w:val="center"/>
                </w:tcPr>
                <w:p w14:paraId="02FF3BC7">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w:t>
                  </w:r>
                </w:p>
              </w:tc>
              <w:tc>
                <w:tcPr>
                  <w:tcW w:w="1647" w:type="dxa"/>
                  <w:shd w:val="clear" w:color="auto" w:fill="auto"/>
                  <w:noWrap w:val="0"/>
                  <w:vAlign w:val="center"/>
                </w:tcPr>
                <w:p w14:paraId="676AB2E0">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w:t>
                  </w:r>
                </w:p>
              </w:tc>
              <w:tc>
                <w:tcPr>
                  <w:tcW w:w="1427" w:type="dxa"/>
                  <w:shd w:val="clear" w:color="auto" w:fill="auto"/>
                  <w:noWrap w:val="0"/>
                  <w:vAlign w:val="center"/>
                </w:tcPr>
                <w:p w14:paraId="31DB15D4">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4.9</w:t>
                  </w:r>
                </w:p>
              </w:tc>
              <w:tc>
                <w:tcPr>
                  <w:tcW w:w="862" w:type="dxa"/>
                  <w:shd w:val="clear" w:color="auto" w:fill="auto"/>
                  <w:noWrap w:val="0"/>
                  <w:vAlign w:val="center"/>
                </w:tcPr>
                <w:p w14:paraId="65C2A206">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沉淀池</w:t>
                  </w:r>
                </w:p>
              </w:tc>
              <w:tc>
                <w:tcPr>
                  <w:tcW w:w="975" w:type="dxa"/>
                  <w:shd w:val="clear" w:color="auto" w:fill="auto"/>
                  <w:noWrap w:val="0"/>
                  <w:vAlign w:val="center"/>
                </w:tcPr>
                <w:p w14:paraId="53B7E3EE">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固态</w:t>
                  </w:r>
                </w:p>
              </w:tc>
              <w:tc>
                <w:tcPr>
                  <w:tcW w:w="1179" w:type="dxa"/>
                  <w:shd w:val="clear" w:color="auto" w:fill="auto"/>
                  <w:noWrap w:val="0"/>
                  <w:vAlign w:val="center"/>
                </w:tcPr>
                <w:p w14:paraId="4F3BB4F4">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w:t>
                  </w:r>
                </w:p>
              </w:tc>
              <w:tc>
                <w:tcPr>
                  <w:tcW w:w="1241" w:type="dxa"/>
                  <w:shd w:val="clear" w:color="auto" w:fill="auto"/>
                  <w:noWrap w:val="0"/>
                  <w:vAlign w:val="center"/>
                </w:tcPr>
                <w:p w14:paraId="687D94EE">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w:t>
                  </w:r>
                </w:p>
              </w:tc>
              <w:tc>
                <w:tcPr>
                  <w:tcW w:w="1241" w:type="dxa"/>
                  <w:shd w:val="clear" w:color="auto" w:fill="auto"/>
                  <w:noWrap w:val="0"/>
                  <w:vAlign w:val="center"/>
                </w:tcPr>
                <w:p w14:paraId="563DCA6C">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w:t>
                  </w:r>
                </w:p>
              </w:tc>
              <w:tc>
                <w:tcPr>
                  <w:tcW w:w="943" w:type="dxa"/>
                  <w:shd w:val="clear" w:color="auto" w:fill="auto"/>
                  <w:noWrap w:val="0"/>
                  <w:vAlign w:val="center"/>
                </w:tcPr>
                <w:p w14:paraId="2AE0F3FB">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w:t>
                  </w:r>
                </w:p>
              </w:tc>
              <w:tc>
                <w:tcPr>
                  <w:tcW w:w="978" w:type="dxa"/>
                  <w:vMerge w:val="continue"/>
                  <w:noWrap w:val="0"/>
                  <w:vAlign w:val="center"/>
                </w:tcPr>
                <w:p w14:paraId="02BD1646">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066476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8" w:type="dxa"/>
                  <w:noWrap w:val="0"/>
                  <w:vAlign w:val="center"/>
                </w:tcPr>
                <w:p w14:paraId="3C0F58E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合计</w:t>
                  </w:r>
                </w:p>
              </w:tc>
              <w:tc>
                <w:tcPr>
                  <w:tcW w:w="1176" w:type="dxa"/>
                  <w:noWrap w:val="0"/>
                  <w:vAlign w:val="center"/>
                </w:tcPr>
                <w:p w14:paraId="7C8AAEB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w:t>
                  </w:r>
                </w:p>
              </w:tc>
              <w:tc>
                <w:tcPr>
                  <w:tcW w:w="1647" w:type="dxa"/>
                  <w:noWrap w:val="0"/>
                  <w:vAlign w:val="center"/>
                </w:tcPr>
                <w:p w14:paraId="30703BA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w:t>
                  </w:r>
                </w:p>
              </w:tc>
              <w:tc>
                <w:tcPr>
                  <w:tcW w:w="1427" w:type="dxa"/>
                  <w:noWrap w:val="0"/>
                  <w:vAlign w:val="center"/>
                </w:tcPr>
                <w:p w14:paraId="5FB1D8DC">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5.33</w:t>
                  </w:r>
                </w:p>
              </w:tc>
              <w:tc>
                <w:tcPr>
                  <w:tcW w:w="862" w:type="dxa"/>
                  <w:noWrap w:val="0"/>
                  <w:vAlign w:val="center"/>
                </w:tcPr>
                <w:p w14:paraId="3FC965C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w:t>
                  </w:r>
                </w:p>
              </w:tc>
              <w:tc>
                <w:tcPr>
                  <w:tcW w:w="975" w:type="dxa"/>
                  <w:noWrap w:val="0"/>
                  <w:vAlign w:val="center"/>
                </w:tcPr>
                <w:p w14:paraId="5940CFA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w:t>
                  </w:r>
                </w:p>
              </w:tc>
              <w:tc>
                <w:tcPr>
                  <w:tcW w:w="1179" w:type="dxa"/>
                  <w:noWrap w:val="0"/>
                  <w:vAlign w:val="center"/>
                </w:tcPr>
                <w:p w14:paraId="663320A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w:t>
                  </w:r>
                </w:p>
              </w:tc>
              <w:tc>
                <w:tcPr>
                  <w:tcW w:w="1241" w:type="dxa"/>
                  <w:noWrap w:val="0"/>
                  <w:vAlign w:val="center"/>
                </w:tcPr>
                <w:p w14:paraId="3AEA361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w:t>
                  </w:r>
                </w:p>
              </w:tc>
              <w:tc>
                <w:tcPr>
                  <w:tcW w:w="1241" w:type="dxa"/>
                  <w:noWrap w:val="0"/>
                  <w:vAlign w:val="center"/>
                </w:tcPr>
                <w:p w14:paraId="77EEF3B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w:t>
                  </w:r>
                </w:p>
              </w:tc>
              <w:tc>
                <w:tcPr>
                  <w:tcW w:w="943" w:type="dxa"/>
                  <w:noWrap w:val="0"/>
                  <w:vAlign w:val="center"/>
                </w:tcPr>
                <w:p w14:paraId="3D95BE9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w:t>
                  </w:r>
                </w:p>
              </w:tc>
              <w:tc>
                <w:tcPr>
                  <w:tcW w:w="978" w:type="dxa"/>
                  <w:vMerge w:val="continue"/>
                  <w:noWrap w:val="0"/>
                  <w:vAlign w:val="center"/>
                </w:tcPr>
                <w:p w14:paraId="500E174A">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bl>
          <w:p w14:paraId="3D83A43E">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表4-1</w:t>
            </w:r>
            <w:r>
              <w:rPr>
                <w:rFonts w:hint="eastAsia"/>
                <w:caps w:val="0"/>
                <w:color w:val="auto"/>
                <w:spacing w:val="0"/>
                <w:position w:val="0"/>
                <w:highlight w:val="none"/>
                <w:lang w:val="en-US" w:eastAsia="zh-CN"/>
              </w:rPr>
              <w:t>7</w:t>
            </w:r>
            <w:r>
              <w:rPr>
                <w:rFonts w:hint="default"/>
                <w:caps w:val="0"/>
                <w:color w:val="auto"/>
                <w:spacing w:val="0"/>
                <w:position w:val="0"/>
                <w:highlight w:val="none"/>
              </w:rPr>
              <w:t xml:space="preserve"> 项目危险废物贮存场所（设施）基本情况一览表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77"/>
              <w:gridCol w:w="1688"/>
              <w:gridCol w:w="1483"/>
              <w:gridCol w:w="2003"/>
              <w:gridCol w:w="1503"/>
              <w:gridCol w:w="1014"/>
              <w:gridCol w:w="865"/>
              <w:gridCol w:w="1251"/>
              <w:gridCol w:w="1114"/>
              <w:gridCol w:w="1022"/>
            </w:tblGrid>
            <w:tr w14:paraId="54E9F6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7" w:type="dxa"/>
                  <w:noWrap w:val="0"/>
                  <w:vAlign w:val="center"/>
                </w:tcPr>
                <w:p w14:paraId="50AF5D1D">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贮存场所</w:t>
                  </w:r>
                </w:p>
              </w:tc>
              <w:tc>
                <w:tcPr>
                  <w:tcW w:w="1688" w:type="dxa"/>
                  <w:noWrap w:val="0"/>
                  <w:vAlign w:val="center"/>
                </w:tcPr>
                <w:p w14:paraId="2280441A">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危废名称</w:t>
                  </w:r>
                </w:p>
              </w:tc>
              <w:tc>
                <w:tcPr>
                  <w:tcW w:w="1483" w:type="dxa"/>
                  <w:noWrap w:val="0"/>
                  <w:vAlign w:val="center"/>
                </w:tcPr>
                <w:p w14:paraId="2C5A8C65">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危险废物类别</w:t>
                  </w:r>
                </w:p>
              </w:tc>
              <w:tc>
                <w:tcPr>
                  <w:tcW w:w="2003" w:type="dxa"/>
                  <w:noWrap w:val="0"/>
                  <w:vAlign w:val="center"/>
                </w:tcPr>
                <w:p w14:paraId="12E3C361">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废物代码</w:t>
                  </w:r>
                </w:p>
              </w:tc>
              <w:tc>
                <w:tcPr>
                  <w:tcW w:w="1503" w:type="dxa"/>
                  <w:noWrap w:val="0"/>
                  <w:vAlign w:val="center"/>
                </w:tcPr>
                <w:p w14:paraId="0F130781">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最大储存量</w:t>
                  </w:r>
                </w:p>
              </w:tc>
              <w:tc>
                <w:tcPr>
                  <w:tcW w:w="1014" w:type="dxa"/>
                  <w:noWrap w:val="0"/>
                  <w:vAlign w:val="center"/>
                </w:tcPr>
                <w:p w14:paraId="3CE82F4A">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位置</w:t>
                  </w:r>
                </w:p>
              </w:tc>
              <w:tc>
                <w:tcPr>
                  <w:tcW w:w="865" w:type="dxa"/>
                  <w:noWrap w:val="0"/>
                  <w:vAlign w:val="center"/>
                </w:tcPr>
                <w:p w14:paraId="504FAAFD">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占地</w:t>
                  </w:r>
                </w:p>
              </w:tc>
              <w:tc>
                <w:tcPr>
                  <w:tcW w:w="1251" w:type="dxa"/>
                  <w:noWrap w:val="0"/>
                  <w:vAlign w:val="center"/>
                </w:tcPr>
                <w:p w14:paraId="1C1C68F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贮存方式</w:t>
                  </w:r>
                </w:p>
              </w:tc>
              <w:tc>
                <w:tcPr>
                  <w:tcW w:w="1114" w:type="dxa"/>
                  <w:noWrap w:val="0"/>
                  <w:vAlign w:val="center"/>
                </w:tcPr>
                <w:p w14:paraId="4640D544">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最大贮存能力</w:t>
                  </w:r>
                </w:p>
              </w:tc>
              <w:tc>
                <w:tcPr>
                  <w:tcW w:w="1022" w:type="dxa"/>
                  <w:noWrap w:val="0"/>
                  <w:vAlign w:val="center"/>
                </w:tcPr>
                <w:p w14:paraId="29842E1A">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贮存周期</w:t>
                  </w:r>
                </w:p>
              </w:tc>
            </w:tr>
            <w:tr w14:paraId="080005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7" w:type="dxa"/>
                  <w:vMerge w:val="restart"/>
                  <w:noWrap w:val="0"/>
                  <w:vAlign w:val="center"/>
                </w:tcPr>
                <w:p w14:paraId="414C4B5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危废暂存间</w:t>
                  </w:r>
                </w:p>
              </w:tc>
              <w:tc>
                <w:tcPr>
                  <w:tcW w:w="1688" w:type="dxa"/>
                  <w:noWrap w:val="0"/>
                  <w:vAlign w:val="center"/>
                </w:tcPr>
                <w:p w14:paraId="117EAF3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废润滑油</w:t>
                  </w:r>
                </w:p>
              </w:tc>
              <w:tc>
                <w:tcPr>
                  <w:tcW w:w="1483" w:type="dxa"/>
                  <w:noWrap w:val="0"/>
                  <w:vAlign w:val="center"/>
                </w:tcPr>
                <w:p w14:paraId="4FC5B9B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HW08</w:t>
                  </w:r>
                </w:p>
              </w:tc>
              <w:tc>
                <w:tcPr>
                  <w:tcW w:w="2003" w:type="dxa"/>
                  <w:noWrap w:val="0"/>
                  <w:vAlign w:val="center"/>
                </w:tcPr>
                <w:p w14:paraId="2E82934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900-217-08</w:t>
                  </w:r>
                </w:p>
              </w:tc>
              <w:tc>
                <w:tcPr>
                  <w:tcW w:w="1503" w:type="dxa"/>
                  <w:noWrap w:val="0"/>
                  <w:vAlign w:val="center"/>
                </w:tcPr>
                <w:p w14:paraId="160AB2C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0.4t</w:t>
                  </w:r>
                </w:p>
              </w:tc>
              <w:tc>
                <w:tcPr>
                  <w:tcW w:w="1014" w:type="dxa"/>
                  <w:vMerge w:val="restart"/>
                  <w:noWrap w:val="0"/>
                  <w:vAlign w:val="center"/>
                </w:tcPr>
                <w:p w14:paraId="710B4B57">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厂区东北侧</w:t>
                  </w:r>
                </w:p>
              </w:tc>
              <w:tc>
                <w:tcPr>
                  <w:tcW w:w="865" w:type="dxa"/>
                  <w:vMerge w:val="restart"/>
                  <w:noWrap w:val="0"/>
                  <w:vAlign w:val="center"/>
                </w:tcPr>
                <w:p w14:paraId="61FADE0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10</w:t>
                  </w:r>
                  <w:r>
                    <w:rPr>
                      <w:rFonts w:hint="default"/>
                      <w:caps w:val="0"/>
                      <w:color w:val="auto"/>
                      <w:spacing w:val="0"/>
                      <w:position w:val="0"/>
                      <w:highlight w:val="none"/>
                    </w:rPr>
                    <w:t>m</w:t>
                  </w:r>
                  <w:r>
                    <w:rPr>
                      <w:rFonts w:hint="default"/>
                      <w:caps w:val="0"/>
                      <w:color w:val="auto"/>
                      <w:spacing w:val="0"/>
                      <w:position w:val="0"/>
                      <w:highlight w:val="none"/>
                      <w:vertAlign w:val="superscript"/>
                    </w:rPr>
                    <w:t>2</w:t>
                  </w:r>
                </w:p>
              </w:tc>
              <w:tc>
                <w:tcPr>
                  <w:tcW w:w="1251" w:type="dxa"/>
                  <w:noWrap w:val="0"/>
                  <w:vAlign w:val="center"/>
                </w:tcPr>
                <w:p w14:paraId="5A4EE3C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密封桶装</w:t>
                  </w:r>
                </w:p>
              </w:tc>
              <w:tc>
                <w:tcPr>
                  <w:tcW w:w="1114" w:type="dxa"/>
                  <w:vMerge w:val="restart"/>
                  <w:noWrap w:val="0"/>
                  <w:vAlign w:val="center"/>
                </w:tcPr>
                <w:p w14:paraId="1526B4AD">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10t</w:t>
                  </w:r>
                </w:p>
              </w:tc>
              <w:tc>
                <w:tcPr>
                  <w:tcW w:w="1022" w:type="dxa"/>
                  <w:vMerge w:val="restart"/>
                  <w:noWrap w:val="0"/>
                  <w:vAlign w:val="center"/>
                </w:tcPr>
                <w:p w14:paraId="57717E2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半年</w:t>
                  </w:r>
                </w:p>
              </w:tc>
            </w:tr>
            <w:tr w14:paraId="1EB283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7" w:type="dxa"/>
                  <w:vMerge w:val="continue"/>
                  <w:noWrap w:val="0"/>
                  <w:vAlign w:val="center"/>
                </w:tcPr>
                <w:p w14:paraId="3F4B7090">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688" w:type="dxa"/>
                  <w:noWrap w:val="0"/>
                  <w:vAlign w:val="center"/>
                </w:tcPr>
                <w:p w14:paraId="6A47ECF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废润滑油桶</w:t>
                  </w:r>
                </w:p>
              </w:tc>
              <w:tc>
                <w:tcPr>
                  <w:tcW w:w="1483" w:type="dxa"/>
                  <w:noWrap w:val="0"/>
                  <w:vAlign w:val="center"/>
                </w:tcPr>
                <w:p w14:paraId="1613913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HW08</w:t>
                  </w:r>
                </w:p>
              </w:tc>
              <w:tc>
                <w:tcPr>
                  <w:tcW w:w="2003" w:type="dxa"/>
                  <w:noWrap w:val="0"/>
                  <w:vAlign w:val="center"/>
                </w:tcPr>
                <w:p w14:paraId="65AA744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900-249-08</w:t>
                  </w:r>
                </w:p>
              </w:tc>
              <w:tc>
                <w:tcPr>
                  <w:tcW w:w="1503" w:type="dxa"/>
                  <w:noWrap w:val="0"/>
                  <w:vAlign w:val="center"/>
                </w:tcPr>
                <w:p w14:paraId="1F0B18A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0.02t</w:t>
                  </w:r>
                </w:p>
              </w:tc>
              <w:tc>
                <w:tcPr>
                  <w:tcW w:w="1014" w:type="dxa"/>
                  <w:vMerge w:val="continue"/>
                  <w:noWrap w:val="0"/>
                  <w:vAlign w:val="center"/>
                </w:tcPr>
                <w:p w14:paraId="1E9B2D52">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865" w:type="dxa"/>
                  <w:vMerge w:val="continue"/>
                  <w:noWrap w:val="0"/>
                  <w:vAlign w:val="center"/>
                </w:tcPr>
                <w:p w14:paraId="721B926A">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251" w:type="dxa"/>
                  <w:noWrap w:val="0"/>
                  <w:vAlign w:val="center"/>
                </w:tcPr>
                <w:p w14:paraId="2FA2D1B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密封桶装</w:t>
                  </w:r>
                </w:p>
              </w:tc>
              <w:tc>
                <w:tcPr>
                  <w:tcW w:w="1114" w:type="dxa"/>
                  <w:vMerge w:val="continue"/>
                  <w:noWrap w:val="0"/>
                  <w:vAlign w:val="center"/>
                </w:tcPr>
                <w:p w14:paraId="4D834178">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022" w:type="dxa"/>
                  <w:vMerge w:val="continue"/>
                  <w:noWrap w:val="0"/>
                  <w:vAlign w:val="center"/>
                </w:tcPr>
                <w:p w14:paraId="38D39B84">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34661C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7" w:type="dxa"/>
                  <w:vMerge w:val="continue"/>
                  <w:noWrap w:val="0"/>
                  <w:vAlign w:val="center"/>
                </w:tcPr>
                <w:p w14:paraId="7B2DA2B1">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688" w:type="dxa"/>
                  <w:noWrap w:val="0"/>
                  <w:vAlign w:val="center"/>
                </w:tcPr>
                <w:p w14:paraId="782ECDB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废含油抹布及手套</w:t>
                  </w:r>
                </w:p>
              </w:tc>
              <w:tc>
                <w:tcPr>
                  <w:tcW w:w="1483" w:type="dxa"/>
                  <w:noWrap w:val="0"/>
                  <w:vAlign w:val="center"/>
                </w:tcPr>
                <w:p w14:paraId="145BD77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HW49</w:t>
                  </w:r>
                </w:p>
              </w:tc>
              <w:tc>
                <w:tcPr>
                  <w:tcW w:w="2003" w:type="dxa"/>
                  <w:noWrap w:val="0"/>
                  <w:vAlign w:val="center"/>
                </w:tcPr>
                <w:p w14:paraId="07CDD9C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900-041-49</w:t>
                  </w:r>
                </w:p>
              </w:tc>
              <w:tc>
                <w:tcPr>
                  <w:tcW w:w="1503" w:type="dxa"/>
                  <w:noWrap w:val="0"/>
                  <w:vAlign w:val="center"/>
                </w:tcPr>
                <w:p w14:paraId="1B9C6CF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0.01t</w:t>
                  </w:r>
                </w:p>
              </w:tc>
              <w:tc>
                <w:tcPr>
                  <w:tcW w:w="1014" w:type="dxa"/>
                  <w:vMerge w:val="continue"/>
                  <w:noWrap w:val="0"/>
                  <w:vAlign w:val="center"/>
                </w:tcPr>
                <w:p w14:paraId="40BD4753">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865" w:type="dxa"/>
                  <w:vMerge w:val="continue"/>
                  <w:noWrap w:val="0"/>
                  <w:vAlign w:val="center"/>
                </w:tcPr>
                <w:p w14:paraId="3E3EC3BF">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251" w:type="dxa"/>
                  <w:noWrap w:val="0"/>
                  <w:vAlign w:val="center"/>
                </w:tcPr>
                <w:p w14:paraId="05EC7B5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袋装</w:t>
                  </w:r>
                </w:p>
              </w:tc>
              <w:tc>
                <w:tcPr>
                  <w:tcW w:w="1114" w:type="dxa"/>
                  <w:vMerge w:val="continue"/>
                  <w:noWrap w:val="0"/>
                  <w:vAlign w:val="center"/>
                </w:tcPr>
                <w:p w14:paraId="77D3B81D">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022" w:type="dxa"/>
                  <w:vMerge w:val="continue"/>
                  <w:noWrap w:val="0"/>
                  <w:vAlign w:val="center"/>
                </w:tcPr>
                <w:p w14:paraId="7DA30AE7">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76C91C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7" w:type="dxa"/>
                  <w:vMerge w:val="continue"/>
                  <w:noWrap w:val="0"/>
                  <w:vAlign w:val="center"/>
                </w:tcPr>
                <w:p w14:paraId="41A6E290">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688" w:type="dxa"/>
                  <w:shd w:val="clear" w:color="auto" w:fill="auto"/>
                  <w:noWrap w:val="0"/>
                  <w:vAlign w:val="center"/>
                </w:tcPr>
                <w:p w14:paraId="3EB22387">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lang w:val="en-US" w:eastAsia="zh-CN" w:bidi="ar-SA"/>
                    </w:rPr>
                  </w:pPr>
                  <w:r>
                    <w:rPr>
                      <w:rFonts w:hint="eastAsia"/>
                      <w:caps w:val="0"/>
                      <w:color w:val="auto"/>
                      <w:spacing w:val="0"/>
                      <w:position w:val="0"/>
                      <w:lang w:val="en-US" w:eastAsia="zh-CN"/>
                    </w:rPr>
                    <w:t>沉淀沉渣</w:t>
                  </w:r>
                </w:p>
              </w:tc>
              <w:tc>
                <w:tcPr>
                  <w:tcW w:w="1483" w:type="dxa"/>
                  <w:shd w:val="clear" w:color="auto" w:fill="auto"/>
                  <w:noWrap w:val="0"/>
                  <w:vAlign w:val="center"/>
                </w:tcPr>
                <w:p w14:paraId="72E91607">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w:t>
                  </w:r>
                </w:p>
              </w:tc>
              <w:tc>
                <w:tcPr>
                  <w:tcW w:w="2003" w:type="dxa"/>
                  <w:shd w:val="clear" w:color="auto" w:fill="auto"/>
                  <w:noWrap w:val="0"/>
                  <w:vAlign w:val="center"/>
                </w:tcPr>
                <w:p w14:paraId="37740D4C">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w:t>
                  </w:r>
                </w:p>
              </w:tc>
              <w:tc>
                <w:tcPr>
                  <w:tcW w:w="1503" w:type="dxa"/>
                  <w:shd w:val="clear" w:color="auto" w:fill="auto"/>
                  <w:noWrap w:val="0"/>
                  <w:vAlign w:val="center"/>
                </w:tcPr>
                <w:p w14:paraId="466E0540">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2.5t</w:t>
                  </w:r>
                </w:p>
              </w:tc>
              <w:tc>
                <w:tcPr>
                  <w:tcW w:w="1014" w:type="dxa"/>
                  <w:vMerge w:val="continue"/>
                  <w:noWrap w:val="0"/>
                  <w:vAlign w:val="center"/>
                </w:tcPr>
                <w:p w14:paraId="70B07254">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865" w:type="dxa"/>
                  <w:vMerge w:val="continue"/>
                  <w:noWrap w:val="0"/>
                  <w:vAlign w:val="center"/>
                </w:tcPr>
                <w:p w14:paraId="193C105D">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251" w:type="dxa"/>
                  <w:noWrap w:val="0"/>
                  <w:vAlign w:val="center"/>
                </w:tcPr>
                <w:p w14:paraId="30D1093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袋装</w:t>
                  </w:r>
                </w:p>
              </w:tc>
              <w:tc>
                <w:tcPr>
                  <w:tcW w:w="1114" w:type="dxa"/>
                  <w:vMerge w:val="continue"/>
                  <w:noWrap w:val="0"/>
                  <w:vAlign w:val="center"/>
                </w:tcPr>
                <w:p w14:paraId="0AA3832B">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022" w:type="dxa"/>
                  <w:vMerge w:val="continue"/>
                  <w:noWrap w:val="0"/>
                  <w:vAlign w:val="center"/>
                </w:tcPr>
                <w:p w14:paraId="652FF93A">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bl>
          <w:p w14:paraId="7A6B5D23">
            <w:pPr>
              <w:pStyle w:val="20"/>
              <w:keepNext w:val="0"/>
              <w:keepLines w:val="0"/>
              <w:widowControl w:val="0"/>
              <w:suppressLineNumbers w:val="0"/>
              <w:spacing w:before="0" w:beforeAutospacing="0" w:after="0" w:afterAutospacing="0"/>
              <w:ind w:left="0" w:right="0" w:firstLine="600"/>
              <w:jc w:val="center"/>
              <w:outlineLvl w:val="0"/>
              <w:rPr>
                <w:rFonts w:hint="default" w:ascii="Times New Roman" w:hAnsi="Times New Roman"/>
                <w:caps w:val="0"/>
                <w:snapToGrid w:val="0"/>
                <w:color w:val="auto"/>
                <w:spacing w:val="0"/>
                <w:position w:val="0"/>
                <w:sz w:val="30"/>
                <w:szCs w:val="30"/>
                <w:highlight w:val="none"/>
              </w:rPr>
            </w:pPr>
          </w:p>
        </w:tc>
      </w:tr>
    </w:tbl>
    <w:p w14:paraId="55EEC847">
      <w:pPr>
        <w:pStyle w:val="74"/>
        <w:bidi w:val="0"/>
        <w:ind w:left="0" w:leftChars="0" w:firstLine="0" w:firstLineChars="0"/>
        <w:rPr>
          <w:rFonts w:hint="eastAsia"/>
          <w:caps w:val="0"/>
          <w:color w:val="auto"/>
          <w:spacing w:val="0"/>
          <w:position w:val="0"/>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3"/>
        <w:tblW w:w="9133" w:type="dxa"/>
        <w:tblInd w:w="-3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2"/>
        <w:gridCol w:w="8581"/>
      </w:tblGrid>
      <w:tr w14:paraId="5E63F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4" w:hRule="atLeast"/>
        </w:trPr>
        <w:tc>
          <w:tcPr>
            <w:tcW w:w="552" w:type="dxa"/>
            <w:noWrap w:val="0"/>
            <w:vAlign w:val="center"/>
          </w:tcPr>
          <w:p w14:paraId="23CD96C5">
            <w:pPr>
              <w:pStyle w:val="75"/>
              <w:keepNext w:val="0"/>
              <w:keepLines w:val="0"/>
              <w:suppressLineNumbers w:val="0"/>
              <w:bidi w:val="0"/>
              <w:spacing w:before="0" w:beforeAutospacing="0" w:after="0" w:afterAutospacing="0"/>
              <w:ind w:left="0" w:right="0"/>
              <w:rPr>
                <w:rFonts w:hint="default" w:ascii="Times New Roman" w:hAnsi="Times New Roman"/>
                <w:caps w:val="0"/>
                <w:snapToGrid w:val="0"/>
                <w:color w:val="auto"/>
                <w:spacing w:val="0"/>
                <w:position w:val="0"/>
                <w:szCs w:val="30"/>
                <w:highlight w:val="none"/>
              </w:rPr>
            </w:pPr>
            <w:r>
              <w:rPr>
                <w:rFonts w:hint="default"/>
                <w:caps w:val="0"/>
                <w:color w:val="auto"/>
                <w:spacing w:val="0"/>
                <w:position w:val="0"/>
                <w:highlight w:val="none"/>
              </w:rPr>
              <w:t>运营期环境影响和保护措施</w:t>
            </w:r>
          </w:p>
        </w:tc>
        <w:tc>
          <w:tcPr>
            <w:tcW w:w="8581" w:type="dxa"/>
            <w:noWrap w:val="0"/>
            <w:vAlign w:val="top"/>
          </w:tcPr>
          <w:p w14:paraId="5AEBFF20">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4.2、固体废物源强核算过程</w:t>
            </w:r>
          </w:p>
          <w:p w14:paraId="1310C4AD">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1、一般固废</w:t>
            </w:r>
          </w:p>
          <w:p w14:paraId="736FAF5D">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w:t>
            </w:r>
            <w:r>
              <w:rPr>
                <w:rFonts w:hint="eastAsia"/>
                <w:caps w:val="0"/>
                <w:color w:val="auto"/>
                <w:spacing w:val="0"/>
                <w:position w:val="0"/>
                <w:highlight w:val="none"/>
              </w:rPr>
              <w:t>废布袋</w:t>
            </w:r>
          </w:p>
          <w:p w14:paraId="211F9A5B">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项目除尘设施袋式除尘器，内含除尘布袋，每半年对设备维修一次，每次维修产生的废布袋的量为2kg/次·台，本项目共设</w:t>
            </w:r>
            <w:r>
              <w:rPr>
                <w:rFonts w:hint="eastAsia"/>
                <w:caps w:val="0"/>
                <w:color w:val="auto"/>
                <w:spacing w:val="0"/>
                <w:position w:val="0"/>
                <w:highlight w:val="none"/>
                <w:lang w:val="en-US" w:eastAsia="zh-CN"/>
              </w:rPr>
              <w:t>5</w:t>
            </w:r>
            <w:r>
              <w:rPr>
                <w:rFonts w:hint="eastAsia"/>
                <w:caps w:val="0"/>
                <w:color w:val="auto"/>
                <w:spacing w:val="0"/>
                <w:position w:val="0"/>
                <w:highlight w:val="none"/>
              </w:rPr>
              <w:t>台，则项目废布袋产生量约0.</w:t>
            </w:r>
            <w:r>
              <w:rPr>
                <w:rFonts w:hint="eastAsia"/>
                <w:caps w:val="0"/>
                <w:color w:val="auto"/>
                <w:spacing w:val="0"/>
                <w:position w:val="0"/>
                <w:highlight w:val="none"/>
                <w:lang w:val="en-US" w:eastAsia="zh-CN"/>
              </w:rPr>
              <w:t>02</w:t>
            </w:r>
            <w:r>
              <w:rPr>
                <w:rFonts w:hint="eastAsia"/>
                <w:caps w:val="0"/>
                <w:color w:val="auto"/>
                <w:spacing w:val="0"/>
                <w:position w:val="0"/>
                <w:highlight w:val="none"/>
              </w:rPr>
              <w:t>t/a，其主要为涤纶编织布袋，属于一般工业固废，根据《固体废物分类与代码目录》（2024年），其代码为900-009-S59，收集后外售给物资回收公司。</w:t>
            </w:r>
          </w:p>
          <w:p w14:paraId="38BF58F4">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（2）</w:t>
            </w:r>
            <w:r>
              <w:rPr>
                <w:rFonts w:hint="eastAsia"/>
                <w:caps w:val="0"/>
                <w:color w:val="auto"/>
                <w:spacing w:val="0"/>
                <w:position w:val="0"/>
                <w:highlight w:val="none"/>
              </w:rPr>
              <w:t>废包装材料</w:t>
            </w:r>
          </w:p>
          <w:p w14:paraId="5AA8CDCE">
            <w:pPr>
              <w:pStyle w:val="8"/>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在</w:t>
            </w:r>
            <w:r>
              <w:rPr>
                <w:rFonts w:hint="eastAsia"/>
                <w:caps w:val="0"/>
                <w:color w:val="auto"/>
                <w:spacing w:val="0"/>
                <w:position w:val="0"/>
                <w:highlight w:val="none"/>
                <w:lang w:val="en-US" w:eastAsia="zh-CN"/>
              </w:rPr>
              <w:t>生产过程中会产生原辅材料废包装</w:t>
            </w:r>
            <w:r>
              <w:rPr>
                <w:rFonts w:hint="eastAsia"/>
                <w:caps w:val="0"/>
                <w:color w:val="auto"/>
                <w:spacing w:val="0"/>
                <w:position w:val="0"/>
                <w:highlight w:val="none"/>
              </w:rPr>
              <w:t>，根项目情况类比，本项目废包装材料</w:t>
            </w:r>
            <w:r>
              <w:rPr>
                <w:rFonts w:hint="eastAsia"/>
                <w:caps w:val="0"/>
                <w:color w:val="auto"/>
                <w:spacing w:val="0"/>
                <w:position w:val="0"/>
                <w:highlight w:val="none"/>
                <w:lang w:val="en-US" w:eastAsia="zh-CN"/>
              </w:rPr>
              <w:t>总</w:t>
            </w:r>
            <w:r>
              <w:rPr>
                <w:rFonts w:hint="eastAsia"/>
                <w:caps w:val="0"/>
                <w:color w:val="auto"/>
                <w:spacing w:val="0"/>
                <w:position w:val="0"/>
                <w:highlight w:val="none"/>
              </w:rPr>
              <w:t>产生量约为0.</w:t>
            </w:r>
            <w:r>
              <w:rPr>
                <w:rFonts w:hint="default"/>
                <w:caps w:val="0"/>
                <w:color w:val="auto"/>
                <w:spacing w:val="0"/>
                <w:position w:val="0"/>
                <w:highlight w:val="none"/>
              </w:rPr>
              <w:t>5</w:t>
            </w:r>
            <w:r>
              <w:rPr>
                <w:rFonts w:hint="eastAsia"/>
                <w:caps w:val="0"/>
                <w:color w:val="auto"/>
                <w:spacing w:val="0"/>
                <w:position w:val="0"/>
                <w:highlight w:val="none"/>
              </w:rPr>
              <w:t>t/a。根据</w:t>
            </w:r>
            <w:r>
              <w:rPr>
                <w:rFonts w:hint="default"/>
                <w:caps w:val="0"/>
                <w:color w:val="auto"/>
                <w:spacing w:val="0"/>
                <w:position w:val="0"/>
                <w:highlight w:val="none"/>
              </w:rPr>
              <w:t>《固体废物分类与代码目录》（2024年版）</w:t>
            </w:r>
            <w:r>
              <w:rPr>
                <w:rFonts w:hint="eastAsia"/>
                <w:caps w:val="0"/>
                <w:color w:val="auto"/>
                <w:spacing w:val="0"/>
                <w:position w:val="0"/>
                <w:highlight w:val="none"/>
              </w:rPr>
              <w:t>，属于一般工业固废，根据《固体废物分类与代码目录》（2024年），其代码为</w:t>
            </w:r>
            <w:r>
              <w:rPr>
                <w:rFonts w:hint="eastAsia" w:ascii="Times New Roman" w:hAnsi="Times New Roman" w:eastAsia="宋体"/>
                <w:caps w:val="0"/>
                <w:color w:val="auto"/>
                <w:spacing w:val="0"/>
                <w:position w:val="0"/>
                <w:highlight w:val="none"/>
              </w:rPr>
              <w:t>900-003-S17</w:t>
            </w:r>
            <w:r>
              <w:rPr>
                <w:rFonts w:hint="eastAsia"/>
                <w:caps w:val="0"/>
                <w:color w:val="auto"/>
                <w:spacing w:val="0"/>
                <w:position w:val="0"/>
                <w:highlight w:val="none"/>
              </w:rPr>
              <w:t>，</w:t>
            </w:r>
            <w:r>
              <w:rPr>
                <w:rFonts w:hint="default"/>
                <w:caps w:val="0"/>
                <w:color w:val="auto"/>
                <w:spacing w:val="0"/>
                <w:position w:val="0"/>
                <w:highlight w:val="none"/>
              </w:rPr>
              <w:t>收集后外售给物资回收公司。</w:t>
            </w:r>
          </w:p>
          <w:p w14:paraId="2085303E">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3</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不合格品</w:t>
            </w:r>
          </w:p>
          <w:p w14:paraId="7928EB50">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项目发泡砖生产时产生不合格品，根据业主提供资料，本项目不合格品的产生量约为5t/a，</w:t>
            </w:r>
            <w:r>
              <w:rPr>
                <w:rFonts w:hint="eastAsia"/>
                <w:caps w:val="0"/>
                <w:color w:val="auto"/>
                <w:spacing w:val="0"/>
                <w:position w:val="0"/>
                <w:highlight w:val="none"/>
              </w:rPr>
              <w:t>根据</w:t>
            </w:r>
            <w:r>
              <w:rPr>
                <w:rFonts w:hint="default"/>
                <w:caps w:val="0"/>
                <w:color w:val="auto"/>
                <w:spacing w:val="0"/>
                <w:position w:val="0"/>
                <w:highlight w:val="none"/>
              </w:rPr>
              <w:t>《固体废物分类与代码目录》（2024年版）</w:t>
            </w:r>
            <w:r>
              <w:rPr>
                <w:rFonts w:hint="eastAsia"/>
                <w:caps w:val="0"/>
                <w:color w:val="auto"/>
                <w:spacing w:val="0"/>
                <w:position w:val="0"/>
                <w:highlight w:val="none"/>
              </w:rPr>
              <w:t>，属于一般工业固废，其代码为900-0</w:t>
            </w:r>
            <w:r>
              <w:rPr>
                <w:rFonts w:hint="eastAsia"/>
                <w:caps w:val="0"/>
                <w:color w:val="auto"/>
                <w:spacing w:val="0"/>
                <w:position w:val="0"/>
                <w:highlight w:val="none"/>
                <w:lang w:val="en-US" w:eastAsia="zh-CN"/>
              </w:rPr>
              <w:t>9</w:t>
            </w:r>
            <w:r>
              <w:rPr>
                <w:rFonts w:hint="eastAsia"/>
                <w:caps w:val="0"/>
                <w:color w:val="auto"/>
                <w:spacing w:val="0"/>
                <w:position w:val="0"/>
                <w:highlight w:val="none"/>
              </w:rPr>
              <w:t>9-S5</w:t>
            </w:r>
            <w:r>
              <w:rPr>
                <w:rFonts w:hint="eastAsia" w:ascii="Times New Roman" w:hAnsi="Times New Roman" w:eastAsia="宋体"/>
                <w:caps w:val="0"/>
                <w:color w:val="auto"/>
                <w:spacing w:val="0"/>
                <w:position w:val="0"/>
                <w:highlight w:val="none"/>
              </w:rPr>
              <w:t>9</w:t>
            </w:r>
            <w:r>
              <w:rPr>
                <w:rFonts w:hint="default"/>
                <w:caps w:val="0"/>
                <w:color w:val="auto"/>
                <w:spacing w:val="0"/>
                <w:position w:val="0"/>
                <w:highlight w:val="none"/>
              </w:rPr>
              <w:t>），收集后</w:t>
            </w:r>
            <w:r>
              <w:rPr>
                <w:rFonts w:hint="default" w:ascii="Times New Roman" w:hAnsi="Times New Roman" w:cs="Times New Roman"/>
                <w:caps w:val="0"/>
                <w:color w:val="auto"/>
                <w:spacing w:val="0"/>
                <w:position w:val="0"/>
                <w:highlight w:val="none"/>
                <w:lang w:val="en-US" w:eastAsia="zh-CN"/>
              </w:rPr>
              <w:t>进入锂冶炼剩余物填埋场填埋</w:t>
            </w:r>
            <w:r>
              <w:rPr>
                <w:rFonts w:hint="default"/>
                <w:caps w:val="0"/>
                <w:color w:val="auto"/>
                <w:spacing w:val="0"/>
                <w:position w:val="0"/>
                <w:highlight w:val="none"/>
              </w:rPr>
              <w:t>。</w:t>
            </w:r>
          </w:p>
          <w:p w14:paraId="7A79FD80">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4</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收集粉尘</w:t>
            </w:r>
          </w:p>
          <w:p w14:paraId="58566DD1">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①布袋</w:t>
            </w:r>
            <w:r>
              <w:rPr>
                <w:rFonts w:hint="default"/>
                <w:caps w:val="0"/>
                <w:color w:val="auto"/>
                <w:spacing w:val="0"/>
                <w:position w:val="0"/>
                <w:highlight w:val="none"/>
              </w:rPr>
              <w:t>除尘器收集的粉尘</w:t>
            </w:r>
          </w:p>
          <w:p w14:paraId="3BCA640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根据前述工程分析，</w:t>
            </w:r>
            <w:r>
              <w:rPr>
                <w:rFonts w:hint="eastAsia"/>
                <w:caps w:val="0"/>
                <w:color w:val="auto"/>
                <w:spacing w:val="0"/>
                <w:position w:val="0"/>
                <w:highlight w:val="none"/>
                <w:lang w:val="en-US" w:eastAsia="zh-CN"/>
              </w:rPr>
              <w:t>投料粉尘、</w:t>
            </w:r>
            <w:r>
              <w:rPr>
                <w:rFonts w:hint="eastAsia" w:cs="Times New Roman"/>
                <w:caps w:val="0"/>
                <w:color w:val="auto"/>
                <w:spacing w:val="0"/>
                <w:position w:val="0"/>
                <w:highlight w:val="none"/>
                <w:lang w:val="en-US" w:eastAsia="zh-CN"/>
              </w:rPr>
              <w:t>筒</w:t>
            </w:r>
            <w:r>
              <w:rPr>
                <w:rFonts w:hint="default" w:ascii="Times New Roman" w:hAnsi="Times New Roman" w:cs="Times New Roman"/>
                <w:caps w:val="0"/>
                <w:color w:val="auto"/>
                <w:spacing w:val="0"/>
                <w:position w:val="0"/>
                <w:highlight w:val="none"/>
              </w:rPr>
              <w:t>仓</w:t>
            </w:r>
            <w:r>
              <w:rPr>
                <w:rFonts w:hint="eastAsia" w:ascii="Times New Roman" w:eastAsia="宋体"/>
                <w:caps w:val="0"/>
                <w:color w:val="auto"/>
                <w:spacing w:val="0"/>
                <w:position w:val="0"/>
                <w:highlight w:val="none"/>
                <w:lang w:val="en-US" w:eastAsia="zh-CN"/>
              </w:rPr>
              <w:t>呼吸粉尘、搅拌</w:t>
            </w:r>
            <w:r>
              <w:rPr>
                <w:rFonts w:hint="eastAsia"/>
                <w:caps w:val="0"/>
                <w:color w:val="auto"/>
                <w:spacing w:val="0"/>
                <w:position w:val="0"/>
                <w:highlight w:val="none"/>
              </w:rPr>
              <w:t>粉尘布袋</w:t>
            </w:r>
            <w:r>
              <w:rPr>
                <w:rFonts w:hint="default"/>
                <w:caps w:val="0"/>
                <w:color w:val="auto"/>
                <w:spacing w:val="0"/>
                <w:position w:val="0"/>
                <w:highlight w:val="none"/>
              </w:rPr>
              <w:t>除尘器收集到的颗粒物量为</w:t>
            </w:r>
            <w:r>
              <w:rPr>
                <w:rFonts w:hint="eastAsia"/>
                <w:caps w:val="0"/>
                <w:color w:val="auto"/>
                <w:spacing w:val="0"/>
                <w:position w:val="0"/>
                <w:highlight w:val="none"/>
                <w:lang w:val="en-US" w:eastAsia="zh-CN"/>
              </w:rPr>
              <w:t>30.62</w:t>
            </w:r>
            <w:r>
              <w:rPr>
                <w:rFonts w:hint="default"/>
                <w:caps w:val="0"/>
                <w:color w:val="auto"/>
                <w:spacing w:val="0"/>
                <w:position w:val="0"/>
                <w:highlight w:val="none"/>
              </w:rPr>
              <w:t>t/a。</w:t>
            </w:r>
            <w:r>
              <w:rPr>
                <w:rFonts w:hint="eastAsia"/>
                <w:caps w:val="0"/>
                <w:color w:val="auto"/>
                <w:spacing w:val="0"/>
                <w:position w:val="0"/>
                <w:highlight w:val="none"/>
              </w:rPr>
              <w:t>根据《固体废物分类与代码目录》（2024年版），属于一般固体废物（S</w:t>
            </w:r>
            <w:r>
              <w:rPr>
                <w:rFonts w:hint="default"/>
                <w:caps w:val="0"/>
                <w:color w:val="auto"/>
                <w:spacing w:val="0"/>
                <w:position w:val="0"/>
                <w:highlight w:val="none"/>
              </w:rPr>
              <w:t>W</w:t>
            </w:r>
            <w:r>
              <w:rPr>
                <w:rFonts w:hint="eastAsia"/>
                <w:caps w:val="0"/>
                <w:color w:val="auto"/>
                <w:spacing w:val="0"/>
                <w:position w:val="0"/>
                <w:highlight w:val="none"/>
                <w:lang w:val="en-US" w:eastAsia="zh-CN"/>
              </w:rPr>
              <w:t>59其他工业</w:t>
            </w:r>
            <w:r>
              <w:rPr>
                <w:rFonts w:hint="eastAsia"/>
                <w:caps w:val="0"/>
                <w:color w:val="auto"/>
                <w:spacing w:val="0"/>
                <w:position w:val="0"/>
                <w:highlight w:val="none"/>
              </w:rPr>
              <w:t>固体废物，固废代码：900-099-S59），</w:t>
            </w:r>
            <w:r>
              <w:rPr>
                <w:rFonts w:hint="eastAsia"/>
                <w:caps w:val="0"/>
                <w:color w:val="auto"/>
                <w:spacing w:val="0"/>
                <w:position w:val="0"/>
                <w:highlight w:val="none"/>
                <w:lang w:val="en-US" w:eastAsia="zh-CN"/>
              </w:rPr>
              <w:t>回用于生产</w:t>
            </w:r>
            <w:r>
              <w:rPr>
                <w:rFonts w:hint="default"/>
                <w:caps w:val="0"/>
                <w:color w:val="auto"/>
                <w:spacing w:val="0"/>
                <w:position w:val="0"/>
                <w:highlight w:val="none"/>
              </w:rPr>
              <w:t>。</w:t>
            </w:r>
          </w:p>
          <w:p w14:paraId="61AEE45E">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②无组织产生</w:t>
            </w:r>
            <w:r>
              <w:rPr>
                <w:rFonts w:hint="default"/>
                <w:caps w:val="0"/>
                <w:color w:val="auto"/>
                <w:spacing w:val="0"/>
                <w:position w:val="0"/>
                <w:highlight w:val="none"/>
              </w:rPr>
              <w:t>的粉尘</w:t>
            </w:r>
          </w:p>
          <w:p w14:paraId="10EBFD60">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根据前述工程分析，</w:t>
            </w:r>
            <w:r>
              <w:rPr>
                <w:rFonts w:hint="eastAsia"/>
                <w:caps w:val="0"/>
                <w:color w:val="auto"/>
                <w:spacing w:val="0"/>
                <w:position w:val="0"/>
                <w:highlight w:val="none"/>
              </w:rPr>
              <w:t>无组织重力沉降产生</w:t>
            </w:r>
            <w:r>
              <w:rPr>
                <w:rFonts w:hint="default"/>
                <w:caps w:val="0"/>
                <w:color w:val="auto"/>
                <w:spacing w:val="0"/>
                <w:position w:val="0"/>
                <w:highlight w:val="none"/>
              </w:rPr>
              <w:t>的粉尘量为</w:t>
            </w:r>
            <w:r>
              <w:rPr>
                <w:rFonts w:hint="eastAsia"/>
                <w:caps w:val="0"/>
                <w:color w:val="auto"/>
                <w:spacing w:val="0"/>
                <w:position w:val="0"/>
                <w:highlight w:val="none"/>
                <w:lang w:val="en-US" w:eastAsia="zh-CN"/>
              </w:rPr>
              <w:t>3.73</w:t>
            </w:r>
            <w:r>
              <w:rPr>
                <w:rFonts w:hint="default"/>
                <w:caps w:val="0"/>
                <w:color w:val="auto"/>
                <w:spacing w:val="0"/>
                <w:position w:val="0"/>
                <w:highlight w:val="none"/>
              </w:rPr>
              <w:t>t/a。</w:t>
            </w:r>
            <w:r>
              <w:rPr>
                <w:rFonts w:hint="eastAsia"/>
                <w:caps w:val="0"/>
                <w:color w:val="auto"/>
                <w:spacing w:val="0"/>
                <w:position w:val="0"/>
                <w:highlight w:val="none"/>
              </w:rPr>
              <w:t>根据《固体废物分类与代码目录》（2024年版），属于一般固体废物（S</w:t>
            </w:r>
            <w:r>
              <w:rPr>
                <w:rFonts w:hint="default"/>
                <w:caps w:val="0"/>
                <w:color w:val="auto"/>
                <w:spacing w:val="0"/>
                <w:position w:val="0"/>
                <w:highlight w:val="none"/>
              </w:rPr>
              <w:t>W</w:t>
            </w:r>
            <w:r>
              <w:rPr>
                <w:rFonts w:hint="eastAsia"/>
                <w:caps w:val="0"/>
                <w:color w:val="auto"/>
                <w:spacing w:val="0"/>
                <w:position w:val="0"/>
                <w:highlight w:val="none"/>
                <w:lang w:val="en-US" w:eastAsia="zh-CN"/>
              </w:rPr>
              <w:t>59其他工业</w:t>
            </w:r>
            <w:r>
              <w:rPr>
                <w:rFonts w:hint="eastAsia"/>
                <w:caps w:val="0"/>
                <w:color w:val="auto"/>
                <w:spacing w:val="0"/>
                <w:position w:val="0"/>
                <w:highlight w:val="none"/>
              </w:rPr>
              <w:t>固体废物，固废代码：900-099-S59），</w:t>
            </w:r>
            <w:r>
              <w:rPr>
                <w:rFonts w:hint="eastAsia"/>
                <w:caps w:val="0"/>
                <w:color w:val="auto"/>
                <w:spacing w:val="0"/>
                <w:position w:val="0"/>
                <w:highlight w:val="none"/>
                <w:lang w:val="en-US" w:eastAsia="zh-CN"/>
              </w:rPr>
              <w:t>清扫收集回用于生产</w:t>
            </w:r>
            <w:r>
              <w:rPr>
                <w:rFonts w:hint="default"/>
                <w:caps w:val="0"/>
                <w:color w:val="auto"/>
                <w:spacing w:val="0"/>
                <w:position w:val="0"/>
                <w:highlight w:val="none"/>
              </w:rPr>
              <w:t>。</w:t>
            </w:r>
          </w:p>
          <w:p w14:paraId="3006D39B">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w:t>
            </w:r>
            <w:r>
              <w:rPr>
                <w:rFonts w:hint="eastAsia"/>
                <w:caps w:val="0"/>
                <w:color w:val="auto"/>
                <w:spacing w:val="0"/>
                <w:position w:val="0"/>
                <w:highlight w:val="none"/>
                <w:lang w:val="en-US" w:eastAsia="zh-CN"/>
              </w:rPr>
              <w:t>5</w:t>
            </w:r>
            <w:r>
              <w:rPr>
                <w:rFonts w:hint="default"/>
                <w:caps w:val="0"/>
                <w:color w:val="auto"/>
                <w:spacing w:val="0"/>
                <w:position w:val="0"/>
                <w:highlight w:val="none"/>
              </w:rPr>
              <w:t>）生活垃圾</w:t>
            </w:r>
          </w:p>
          <w:p w14:paraId="431A09D0">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本项目劳动定员</w:t>
            </w:r>
            <w:r>
              <w:rPr>
                <w:rFonts w:hint="eastAsia"/>
                <w:caps w:val="0"/>
                <w:color w:val="auto"/>
                <w:spacing w:val="0"/>
                <w:position w:val="0"/>
                <w:highlight w:val="none"/>
                <w:lang w:val="en-US" w:eastAsia="zh-CN"/>
              </w:rPr>
              <w:t>20</w:t>
            </w:r>
            <w:r>
              <w:rPr>
                <w:rFonts w:hint="default"/>
                <w:caps w:val="0"/>
                <w:color w:val="auto"/>
                <w:spacing w:val="0"/>
                <w:position w:val="0"/>
                <w:highlight w:val="none"/>
              </w:rPr>
              <w:t>人，生活垃圾按0.5kg/人·d，则生活垃圾产生量为</w:t>
            </w:r>
            <w:r>
              <w:rPr>
                <w:rFonts w:hint="eastAsia"/>
                <w:caps w:val="0"/>
                <w:color w:val="auto"/>
                <w:spacing w:val="0"/>
                <w:position w:val="0"/>
                <w:highlight w:val="none"/>
                <w:lang w:val="en-US" w:eastAsia="zh-CN"/>
              </w:rPr>
              <w:t>3</w:t>
            </w:r>
            <w:r>
              <w:rPr>
                <w:rFonts w:hint="default"/>
                <w:caps w:val="0"/>
                <w:color w:val="auto"/>
                <w:spacing w:val="0"/>
                <w:position w:val="0"/>
                <w:highlight w:val="none"/>
              </w:rPr>
              <w:t>t/a。</w:t>
            </w:r>
            <w:r>
              <w:rPr>
                <w:rFonts w:hint="eastAsia"/>
                <w:caps w:val="0"/>
                <w:color w:val="auto"/>
                <w:spacing w:val="0"/>
                <w:position w:val="0"/>
                <w:highlight w:val="none"/>
              </w:rPr>
              <w:t>根据</w:t>
            </w:r>
            <w:r>
              <w:rPr>
                <w:rFonts w:hint="default"/>
                <w:caps w:val="0"/>
                <w:color w:val="auto"/>
                <w:spacing w:val="0"/>
                <w:position w:val="0"/>
                <w:highlight w:val="none"/>
              </w:rPr>
              <w:t>《固体废物分类与代码目录》（2024年版）</w:t>
            </w:r>
            <w:r>
              <w:rPr>
                <w:rFonts w:hint="eastAsia"/>
                <w:caps w:val="0"/>
                <w:color w:val="auto"/>
                <w:spacing w:val="0"/>
                <w:position w:val="0"/>
                <w:highlight w:val="none"/>
              </w:rPr>
              <w:t>，</w:t>
            </w:r>
            <w:r>
              <w:rPr>
                <w:rFonts w:hint="default"/>
                <w:caps w:val="0"/>
                <w:color w:val="auto"/>
                <w:spacing w:val="0"/>
                <w:position w:val="0"/>
                <w:highlight w:val="none"/>
              </w:rPr>
              <w:t>属于一般固体废物（SW64，900-099-S64），定点收集后交由环卫部门处理。</w:t>
            </w:r>
          </w:p>
          <w:p w14:paraId="285A81A6">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2、危险废物</w:t>
            </w:r>
          </w:p>
          <w:p w14:paraId="11745D51">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（1）废润滑油</w:t>
            </w:r>
          </w:p>
          <w:p w14:paraId="23083CDE">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本项目运行维护过程将产生少量废润滑油，润滑油年用量约</w:t>
            </w:r>
            <w:r>
              <w:rPr>
                <w:rFonts w:hint="eastAsia"/>
                <w:caps w:val="0"/>
                <w:color w:val="auto"/>
                <w:spacing w:val="0"/>
                <w:position w:val="0"/>
                <w:highlight w:val="none"/>
                <w:lang w:val="en-US" w:eastAsia="zh-CN"/>
              </w:rPr>
              <w:t>0.5</w:t>
            </w:r>
            <w:r>
              <w:rPr>
                <w:rFonts w:hint="default"/>
                <w:caps w:val="0"/>
                <w:color w:val="auto"/>
                <w:spacing w:val="0"/>
                <w:position w:val="0"/>
                <w:highlight w:val="none"/>
              </w:rPr>
              <w:t>t，废润滑油产生量约为用量的</w:t>
            </w:r>
            <w:r>
              <w:rPr>
                <w:rFonts w:hint="eastAsia"/>
                <w:caps w:val="0"/>
                <w:color w:val="auto"/>
                <w:spacing w:val="0"/>
                <w:position w:val="0"/>
                <w:highlight w:val="none"/>
                <w:lang w:val="en-US" w:eastAsia="zh-CN"/>
              </w:rPr>
              <w:t>80</w:t>
            </w:r>
            <w:r>
              <w:rPr>
                <w:rFonts w:hint="default"/>
                <w:caps w:val="0"/>
                <w:color w:val="auto"/>
                <w:spacing w:val="0"/>
                <w:position w:val="0"/>
                <w:highlight w:val="none"/>
              </w:rPr>
              <w:t>%，废润滑油产生量共计约0.4t/a，</w:t>
            </w:r>
            <w:r>
              <w:rPr>
                <w:rFonts w:hint="eastAsia"/>
                <w:caps w:val="0"/>
                <w:color w:val="auto"/>
                <w:spacing w:val="0"/>
                <w:position w:val="0"/>
                <w:highlight w:val="none"/>
              </w:rPr>
              <w:t>根据</w:t>
            </w:r>
            <w:r>
              <w:rPr>
                <w:rFonts w:hint="default"/>
                <w:caps w:val="0"/>
                <w:color w:val="auto"/>
                <w:spacing w:val="0"/>
                <w:position w:val="0"/>
                <w:highlight w:val="none"/>
              </w:rPr>
              <w:t>《国家危险废物名录》（2025年版），属于HW08废矿物油与含矿物油废物（900-249-08），收集后暂存危废间，定期交由有资质单位处置。</w:t>
            </w:r>
          </w:p>
          <w:p w14:paraId="5FF31E0F">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（2）</w:t>
            </w:r>
            <w:r>
              <w:rPr>
                <w:rFonts w:hint="eastAsia"/>
                <w:caps w:val="0"/>
                <w:color w:val="auto"/>
                <w:spacing w:val="0"/>
                <w:position w:val="0"/>
                <w:highlight w:val="none"/>
              </w:rPr>
              <w:t>废润滑油桶</w:t>
            </w:r>
          </w:p>
          <w:p w14:paraId="5F3380C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根据业主提供资料，</w:t>
            </w:r>
            <w:r>
              <w:rPr>
                <w:rFonts w:hint="eastAsia"/>
                <w:caps w:val="0"/>
                <w:color w:val="auto"/>
                <w:spacing w:val="0"/>
                <w:position w:val="0"/>
                <w:highlight w:val="none"/>
              </w:rPr>
              <w:t>废润滑油桶</w:t>
            </w:r>
            <w:r>
              <w:rPr>
                <w:rFonts w:hint="default"/>
                <w:caps w:val="0"/>
                <w:color w:val="auto"/>
                <w:spacing w:val="0"/>
                <w:position w:val="0"/>
                <w:highlight w:val="none"/>
              </w:rPr>
              <w:t>产生量为0.02t/a，主要为塑料桶、矿物油，</w:t>
            </w:r>
            <w:r>
              <w:rPr>
                <w:rFonts w:hint="eastAsia"/>
                <w:caps w:val="0"/>
                <w:color w:val="auto"/>
                <w:spacing w:val="0"/>
                <w:position w:val="0"/>
                <w:highlight w:val="none"/>
              </w:rPr>
              <w:t>根据</w:t>
            </w:r>
            <w:r>
              <w:rPr>
                <w:rFonts w:hint="default"/>
                <w:caps w:val="0"/>
                <w:color w:val="auto"/>
                <w:spacing w:val="0"/>
                <w:position w:val="0"/>
                <w:highlight w:val="none"/>
              </w:rPr>
              <w:t>《国家危险废物名录》（2025年版），属于HW08废矿物油与含矿物油废物（900-217-08）收集后委托有资质单位处置。</w:t>
            </w:r>
          </w:p>
          <w:p w14:paraId="1F7E9D34">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w:t>
            </w:r>
            <w:r>
              <w:rPr>
                <w:rFonts w:hint="default"/>
                <w:caps w:val="0"/>
                <w:color w:val="auto"/>
                <w:spacing w:val="0"/>
                <w:position w:val="0"/>
                <w:highlight w:val="none"/>
              </w:rPr>
              <w:t>3）</w:t>
            </w:r>
            <w:r>
              <w:rPr>
                <w:rFonts w:hint="eastAsia"/>
                <w:caps w:val="0"/>
                <w:color w:val="auto"/>
                <w:spacing w:val="0"/>
                <w:position w:val="0"/>
                <w:highlight w:val="none"/>
              </w:rPr>
              <w:t>废含油抹布手套</w:t>
            </w:r>
          </w:p>
          <w:p w14:paraId="58621F5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设备维护保养产生含油抹布和含油手套，根据建设单位提供的资料，项目运营期产生含油抹布预计为0.01t/a，</w:t>
            </w:r>
            <w:r>
              <w:rPr>
                <w:rFonts w:hint="eastAsia"/>
                <w:caps w:val="0"/>
                <w:color w:val="auto"/>
                <w:spacing w:val="0"/>
                <w:position w:val="0"/>
                <w:highlight w:val="none"/>
              </w:rPr>
              <w:t>根据</w:t>
            </w:r>
            <w:r>
              <w:rPr>
                <w:rFonts w:hint="default"/>
                <w:caps w:val="0"/>
                <w:color w:val="auto"/>
                <w:spacing w:val="0"/>
                <w:position w:val="0"/>
                <w:highlight w:val="none"/>
              </w:rPr>
              <w:t>《国家危险废物名录》（2025年版），属于危险废物（HW49，900-041-49），收集后贮存于危险废物暂存间，定期委托有资质单位处理。</w:t>
            </w:r>
          </w:p>
          <w:p w14:paraId="4C2F23A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4</w:t>
            </w:r>
            <w:r>
              <w:rPr>
                <w:rFonts w:hint="eastAsia"/>
                <w:caps w:val="0"/>
                <w:color w:val="auto"/>
                <w:spacing w:val="0"/>
                <w:position w:val="0"/>
                <w:highlight w:val="none"/>
                <w:lang w:eastAsia="zh-CN"/>
              </w:rPr>
              <w:t>）</w:t>
            </w:r>
            <w:r>
              <w:rPr>
                <w:rFonts w:hint="eastAsia"/>
                <w:caps w:val="0"/>
                <w:color w:val="auto"/>
                <w:spacing w:val="0"/>
                <w:position w:val="0"/>
                <w:highlight w:val="none"/>
              </w:rPr>
              <w:t>沉淀沉渣</w:t>
            </w:r>
          </w:p>
          <w:p w14:paraId="23127699">
            <w:pPr>
              <w:keepNext w:val="0"/>
              <w:keepLines w:val="0"/>
              <w:suppressLineNumbers w:val="0"/>
              <w:spacing w:before="0" w:beforeAutospacing="0" w:after="0" w:afterAutospacing="0"/>
              <w:ind w:left="0" w:right="0"/>
              <w:rPr>
                <w:rFonts w:hint="default" w:ascii="Times New Roman" w:hAnsi="Times New Roman" w:eastAsia="宋体"/>
                <w:caps w:val="0"/>
                <w:color w:val="auto"/>
                <w:spacing w:val="0"/>
                <w:position w:val="0"/>
              </w:rPr>
            </w:pPr>
            <w:r>
              <w:rPr>
                <w:rFonts w:hint="eastAsia"/>
                <w:caps w:val="0"/>
                <w:color w:val="auto"/>
                <w:spacing w:val="0"/>
                <w:position w:val="0"/>
                <w:highlight w:val="none"/>
              </w:rPr>
              <w:t>本项目</w:t>
            </w:r>
            <w:r>
              <w:rPr>
                <w:rFonts w:hint="eastAsia"/>
                <w:caps w:val="0"/>
                <w:color w:val="auto"/>
                <w:spacing w:val="0"/>
                <w:position w:val="0"/>
                <w:highlight w:val="none"/>
                <w:lang w:val="en-US" w:eastAsia="zh-CN"/>
              </w:rPr>
              <w:t>洗车废水、设备清洗废水、养护废水和初期雨水</w:t>
            </w:r>
            <w:r>
              <w:rPr>
                <w:rFonts w:hint="eastAsia"/>
                <w:caps w:val="0"/>
                <w:color w:val="auto"/>
                <w:spacing w:val="0"/>
                <w:position w:val="0"/>
                <w:highlight w:val="none"/>
              </w:rPr>
              <w:t>沉淀</w:t>
            </w:r>
            <w:r>
              <w:rPr>
                <w:rFonts w:hint="eastAsia"/>
                <w:caps w:val="0"/>
                <w:color w:val="auto"/>
                <w:spacing w:val="0"/>
                <w:position w:val="0"/>
                <w:highlight w:val="none"/>
                <w:lang w:val="en-US" w:eastAsia="zh-CN"/>
              </w:rPr>
              <w:t>时</w:t>
            </w:r>
            <w:r>
              <w:rPr>
                <w:rFonts w:hint="eastAsia"/>
                <w:caps w:val="0"/>
                <w:color w:val="auto"/>
                <w:spacing w:val="0"/>
                <w:position w:val="0"/>
                <w:highlight w:val="none"/>
              </w:rPr>
              <w:t>会产生一部分沉渣</w:t>
            </w:r>
            <w:r>
              <w:rPr>
                <w:rFonts w:hint="eastAsia"/>
                <w:caps w:val="0"/>
                <w:color w:val="auto"/>
                <w:spacing w:val="0"/>
                <w:position w:val="0"/>
                <w:highlight w:val="none"/>
                <w:lang w:val="en-US" w:eastAsia="zh-CN"/>
              </w:rPr>
              <w:t>（按沉淀池内收集水量计算8607t/a、SS以300mg/L计）</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按去除率95%含水率50%核算，则</w:t>
            </w:r>
            <w:r>
              <w:rPr>
                <w:rFonts w:hint="eastAsia"/>
                <w:caps w:val="0"/>
                <w:color w:val="auto"/>
                <w:spacing w:val="0"/>
                <w:position w:val="0"/>
                <w:highlight w:val="none"/>
              </w:rPr>
              <w:t>沉渣产生量</w:t>
            </w:r>
            <w:r>
              <w:rPr>
                <w:rFonts w:hint="eastAsia"/>
                <w:caps w:val="0"/>
                <w:color w:val="auto"/>
                <w:spacing w:val="0"/>
                <w:position w:val="0"/>
                <w:highlight w:val="none"/>
                <w:lang w:val="en-US" w:eastAsia="zh-CN"/>
              </w:rPr>
              <w:t>4.9</w:t>
            </w:r>
            <w:r>
              <w:rPr>
                <w:rFonts w:hint="eastAsia"/>
                <w:caps w:val="0"/>
                <w:color w:val="auto"/>
                <w:spacing w:val="0"/>
                <w:position w:val="0"/>
                <w:highlight w:val="none"/>
              </w:rPr>
              <w:t>t/a</w:t>
            </w:r>
            <w:r>
              <w:rPr>
                <w:rFonts w:hint="eastAsia"/>
                <w:caps w:val="0"/>
                <w:color w:val="auto"/>
                <w:spacing w:val="0"/>
                <w:position w:val="0"/>
                <w:highlight w:val="none"/>
                <w:lang w:eastAsia="zh-CN"/>
              </w:rPr>
              <w:t>，</w:t>
            </w:r>
            <w:r>
              <w:rPr>
                <w:rFonts w:hint="default"/>
                <w:caps w:val="0"/>
                <w:color w:val="auto"/>
                <w:spacing w:val="0"/>
                <w:position w:val="0"/>
                <w:highlight w:val="none"/>
              </w:rPr>
              <w:t>主要来源于车辆冲洗废水沉淀池、</w:t>
            </w:r>
            <w:r>
              <w:rPr>
                <w:rFonts w:hint="eastAsia"/>
                <w:caps w:val="0"/>
                <w:color w:val="auto"/>
                <w:spacing w:val="0"/>
                <w:position w:val="0"/>
                <w:highlight w:val="none"/>
                <w:lang w:val="en-US" w:eastAsia="zh-CN"/>
              </w:rPr>
              <w:t>设备清洗废水沉淀池、</w:t>
            </w:r>
            <w:r>
              <w:rPr>
                <w:rFonts w:hint="default"/>
                <w:caps w:val="0"/>
                <w:color w:val="auto"/>
                <w:spacing w:val="0"/>
                <w:position w:val="0"/>
                <w:highlight w:val="none"/>
              </w:rPr>
              <w:t>养护废水沉淀池、初期雨水池等，</w:t>
            </w:r>
            <w:r>
              <w:rPr>
                <w:rFonts w:hint="default" w:ascii="Times New Roman" w:hAnsi="Times New Roman" w:eastAsia="宋体" w:cs="Times New Roman"/>
                <w:caps w:val="0"/>
                <w:color w:val="auto"/>
                <w:spacing w:val="0"/>
                <w:position w:val="0"/>
                <w:szCs w:val="24"/>
              </w:rPr>
              <w:t>属性鉴定后进行处置，属性鉴别结果出来之前其收集、贮存、运输、处置、利用等全部环节均按危险废物管理，</w:t>
            </w:r>
            <w:r>
              <w:rPr>
                <w:rFonts w:hint="eastAsia" w:ascii="Times New Roman" w:hAnsi="Times New Roman" w:eastAsia="宋体" w:cs="Times New Roman"/>
                <w:bCs/>
                <w:caps w:val="0"/>
                <w:color w:val="auto"/>
                <w:spacing w:val="0"/>
                <w:kern w:val="2"/>
                <w:position w:val="0"/>
                <w:sz w:val="24"/>
                <w:szCs w:val="24"/>
                <w:lang w:val="en-US" w:eastAsia="zh-CN" w:bidi="ar-SA"/>
              </w:rPr>
              <w:t>暂存于危废暂存间，</w:t>
            </w:r>
            <w:r>
              <w:rPr>
                <w:rFonts w:hint="default" w:ascii="Times New Roman" w:hAnsi="Times New Roman" w:eastAsia="宋体" w:cs="Times New Roman"/>
                <w:caps w:val="0"/>
                <w:color w:val="auto"/>
                <w:spacing w:val="0"/>
                <w:position w:val="0"/>
                <w:szCs w:val="24"/>
              </w:rPr>
              <w:t>不得随意乱堆乱放、擅自处理处置。</w:t>
            </w:r>
          </w:p>
          <w:p w14:paraId="33652B4E">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b/>
                <w:bCs w:val="0"/>
                <w:caps w:val="0"/>
                <w:color w:val="auto"/>
                <w:spacing w:val="0"/>
                <w:position w:val="0"/>
                <w:highlight w:val="none"/>
              </w:rPr>
              <w:t>4.3、固体废物防治措施及环境管理要求</w:t>
            </w:r>
          </w:p>
          <w:p w14:paraId="4052451E">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1、</w:t>
            </w:r>
            <w:r>
              <w:rPr>
                <w:rFonts w:hint="default"/>
                <w:caps w:val="0"/>
                <w:color w:val="auto"/>
                <w:spacing w:val="0"/>
                <w:position w:val="0"/>
                <w:highlight w:val="none"/>
              </w:rPr>
              <w:t>一般固体废物</w:t>
            </w:r>
          </w:p>
          <w:p w14:paraId="44A4CD6A">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w w:val="100"/>
                <w:position w:val="0"/>
                <w:highlight w:val="none"/>
                <w:lang w:val="zh-CN" w:eastAsia="zh-CN"/>
              </w:rPr>
            </w:pPr>
            <w:r>
              <w:rPr>
                <w:rFonts w:hint="default"/>
                <w:caps w:val="0"/>
                <w:color w:val="auto"/>
                <w:spacing w:val="0"/>
                <w:position w:val="0"/>
                <w:highlight w:val="none"/>
              </w:rPr>
              <w:t>项目一般固废暂存间</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位于办公室西</w:t>
            </w:r>
            <w:r>
              <w:rPr>
                <w:rFonts w:hint="eastAsia"/>
                <w:caps w:val="0"/>
                <w:color w:val="auto"/>
                <w:spacing w:val="0"/>
                <w:position w:val="0"/>
                <w:highlight w:val="none"/>
              </w:rPr>
              <w:t>侧，</w:t>
            </w:r>
            <w:r>
              <w:rPr>
                <w:rFonts w:hint="default"/>
                <w:caps w:val="0"/>
                <w:color w:val="auto"/>
                <w:spacing w:val="0"/>
                <w:position w:val="0"/>
                <w:highlight w:val="none"/>
              </w:rPr>
              <w:t>占地面积</w:t>
            </w:r>
            <w:r>
              <w:rPr>
                <w:rFonts w:hint="eastAsia"/>
                <w:caps w:val="0"/>
                <w:color w:val="auto"/>
                <w:spacing w:val="0"/>
                <w:position w:val="0"/>
                <w:highlight w:val="none"/>
                <w:lang w:val="en-US" w:eastAsia="zh-CN"/>
              </w:rPr>
              <w:t>50</w:t>
            </w:r>
            <w:r>
              <w:rPr>
                <w:rFonts w:hint="default"/>
                <w:caps w:val="0"/>
                <w:color w:val="auto"/>
                <w:spacing w:val="0"/>
                <w:position w:val="0"/>
                <w:highlight w:val="none"/>
              </w:rPr>
              <w:t>m</w:t>
            </w:r>
            <w:r>
              <w:rPr>
                <w:rFonts w:hint="default"/>
                <w:caps w:val="0"/>
                <w:color w:val="auto"/>
                <w:spacing w:val="0"/>
                <w:position w:val="0"/>
                <w:highlight w:val="none"/>
                <w:vertAlign w:val="superscript"/>
              </w:rPr>
              <w:t>2</w:t>
            </w:r>
            <w:r>
              <w:rPr>
                <w:rFonts w:hint="default"/>
                <w:caps w:val="0"/>
                <w:color w:val="auto"/>
                <w:spacing w:val="0"/>
                <w:position w:val="0"/>
                <w:highlight w:val="none"/>
              </w:rPr>
              <w:t>，贮存能力约</w:t>
            </w:r>
            <w:r>
              <w:rPr>
                <w:rFonts w:hint="eastAsia"/>
                <w:caps w:val="0"/>
                <w:color w:val="auto"/>
                <w:spacing w:val="0"/>
                <w:position w:val="0"/>
                <w:highlight w:val="none"/>
                <w:lang w:val="en-US" w:eastAsia="zh-CN"/>
              </w:rPr>
              <w:t>50</w:t>
            </w:r>
            <w:r>
              <w:rPr>
                <w:rFonts w:hint="default"/>
                <w:caps w:val="0"/>
                <w:color w:val="auto"/>
                <w:spacing w:val="0"/>
                <w:position w:val="0"/>
                <w:highlight w:val="none"/>
              </w:rPr>
              <w:t>t</w:t>
            </w:r>
            <w:r>
              <w:rPr>
                <w:rFonts w:hint="eastAsia"/>
                <w:caps w:val="0"/>
                <w:color w:val="auto"/>
                <w:spacing w:val="0"/>
                <w:position w:val="0"/>
                <w:highlight w:val="none"/>
                <w:lang w:eastAsia="zh-CN"/>
              </w:rPr>
              <w:t>，</w:t>
            </w:r>
            <w:r>
              <w:rPr>
                <w:rFonts w:hint="default"/>
                <w:caps w:val="0"/>
                <w:color w:val="auto"/>
                <w:spacing w:val="0"/>
                <w:position w:val="0"/>
                <w:highlight w:val="none"/>
              </w:rPr>
              <w:t>项目分区暂存各类固废，其设计及建设参照相关要求。</w:t>
            </w:r>
            <w:r>
              <w:rPr>
                <w:rFonts w:hint="eastAsia"/>
                <w:caps w:val="0"/>
                <w:color w:val="auto"/>
                <w:spacing w:val="0"/>
                <w:position w:val="0"/>
                <w:highlight w:val="none"/>
                <w:lang w:val="en-US" w:eastAsia="zh-CN"/>
              </w:rPr>
              <w:t>本项目一般固废产生量为5.52t/a，</w:t>
            </w:r>
            <w:r>
              <w:rPr>
                <w:rFonts w:hint="default"/>
                <w:caps w:val="0"/>
                <w:color w:val="auto"/>
                <w:spacing w:val="0"/>
                <w:position w:val="0"/>
                <w:highlight w:val="none"/>
              </w:rPr>
              <w:t>平均</w:t>
            </w:r>
            <w:r>
              <w:rPr>
                <w:rFonts w:hint="eastAsia"/>
                <w:caps w:val="0"/>
                <w:color w:val="auto"/>
                <w:spacing w:val="0"/>
                <w:position w:val="0"/>
                <w:highlight w:val="none"/>
                <w:lang w:val="en-US" w:eastAsia="zh-CN"/>
              </w:rPr>
              <w:t>1</w:t>
            </w:r>
            <w:r>
              <w:rPr>
                <w:rFonts w:hint="default"/>
                <w:caps w:val="0"/>
                <w:color w:val="auto"/>
                <w:spacing w:val="0"/>
                <w:position w:val="0"/>
                <w:highlight w:val="none"/>
              </w:rPr>
              <w:t>个月转运一次，</w:t>
            </w:r>
            <w:r>
              <w:rPr>
                <w:rFonts w:hint="eastAsia"/>
                <w:caps w:val="0"/>
                <w:color w:val="auto"/>
                <w:spacing w:val="0"/>
                <w:position w:val="0"/>
                <w:highlight w:val="none"/>
                <w:lang w:val="en-US" w:eastAsia="zh-CN"/>
              </w:rPr>
              <w:t>一般固废最大储存量为0.46t，因此本项目</w:t>
            </w:r>
            <w:r>
              <w:rPr>
                <w:rFonts w:hint="default"/>
                <w:caps w:val="0"/>
                <w:color w:val="auto"/>
                <w:spacing w:val="0"/>
                <w:position w:val="0"/>
                <w:highlight w:val="none"/>
              </w:rPr>
              <w:t>一般固废暂存间贮存能力能够满足要求。</w:t>
            </w:r>
            <w:r>
              <w:rPr>
                <w:rFonts w:hint="default" w:ascii="Times New Roman" w:hAnsi="Times New Roman" w:cs="Times New Roman"/>
                <w:caps w:val="0"/>
                <w:color w:val="auto"/>
                <w:spacing w:val="0"/>
                <w:w w:val="100"/>
                <w:position w:val="0"/>
                <w:highlight w:val="none"/>
                <w:lang w:val="zh-CN" w:eastAsia="zh-CN"/>
              </w:rPr>
              <w:t>一般工业固体废物暂存要满足防扬尘、防雨淋、防渗漏等要求，本项目所有固体废物分类收集，采取回收利用的方式，实现废物的回收利用、综合利用或做无害化处理，不会对环境造成二次污染。</w:t>
            </w:r>
          </w:p>
          <w:p w14:paraId="7C8ECD1B">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w w:val="100"/>
                <w:position w:val="0"/>
                <w:highlight w:val="none"/>
                <w:lang w:val="en-US" w:eastAsia="zh-CN"/>
              </w:rPr>
            </w:pPr>
            <w:r>
              <w:rPr>
                <w:rFonts w:hint="default" w:ascii="Times New Roman" w:hAnsi="Times New Roman" w:cs="Times New Roman"/>
                <w:caps w:val="0"/>
                <w:color w:val="auto"/>
                <w:spacing w:val="0"/>
                <w:w w:val="100"/>
                <w:position w:val="0"/>
                <w:highlight w:val="none"/>
                <w:lang w:val="en-US" w:eastAsia="zh-CN"/>
              </w:rPr>
              <w:t>对于一般工业废物，根据《一般工业固体废物贮存和填埋污染控制标准》(GB18599-2020)及相关国家及地方法律法规，提出如下环保措施：</w:t>
            </w:r>
          </w:p>
          <w:p w14:paraId="1FFE2A1C">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w w:val="100"/>
                <w:position w:val="0"/>
                <w:highlight w:val="none"/>
                <w:lang w:val="en-US" w:eastAsia="zh-CN"/>
              </w:rPr>
            </w:pPr>
            <w:r>
              <w:rPr>
                <w:rFonts w:hint="default" w:ascii="Times New Roman" w:hAnsi="Times New Roman" w:cs="Times New Roman"/>
                <w:caps w:val="0"/>
                <w:color w:val="auto"/>
                <w:spacing w:val="0"/>
                <w:w w:val="100"/>
                <w:position w:val="0"/>
                <w:highlight w:val="none"/>
                <w:lang w:val="en-US" w:eastAsia="zh-CN"/>
              </w:rPr>
              <w:t>①为防止雨水径流进入贮存、处置场内，贮存、处置场周边应设置导流渠。</w:t>
            </w:r>
          </w:p>
          <w:p w14:paraId="2754B1FB">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w w:val="100"/>
                <w:position w:val="0"/>
                <w:highlight w:val="none"/>
                <w:lang w:val="en-US" w:eastAsia="zh-CN"/>
              </w:rPr>
            </w:pPr>
            <w:r>
              <w:rPr>
                <w:rFonts w:hint="default" w:ascii="Times New Roman" w:hAnsi="Times New Roman" w:cs="Times New Roman"/>
                <w:caps w:val="0"/>
                <w:color w:val="auto"/>
                <w:spacing w:val="0"/>
                <w:w w:val="100"/>
                <w:position w:val="0"/>
                <w:highlight w:val="none"/>
                <w:lang w:val="en-US" w:eastAsia="zh-CN"/>
              </w:rPr>
              <w:t xml:space="preserve">②为加强监督管理，贮存、处置场应按GB15562.2设置环境保护图形标志。 </w:t>
            </w:r>
          </w:p>
          <w:p w14:paraId="07BFC257">
            <w:pPr>
              <w:pStyle w:val="74"/>
              <w:keepNext w:val="0"/>
              <w:keepLines w:val="0"/>
              <w:suppressLineNumbers w:val="0"/>
              <w:bidi w:val="0"/>
              <w:spacing w:before="0" w:beforeAutospacing="0" w:after="0" w:afterAutospacing="0"/>
              <w:ind w:left="0" w:right="0"/>
              <w:rPr>
                <w:rFonts w:hint="default" w:ascii="Times New Roman" w:hAnsi="Times New Roman" w:cs="Times New Roman"/>
                <w:caps w:val="0"/>
                <w:color w:val="auto"/>
                <w:spacing w:val="0"/>
                <w:w w:val="100"/>
                <w:position w:val="0"/>
                <w:highlight w:val="none"/>
                <w:lang w:val="en-US" w:eastAsia="zh-CN"/>
              </w:rPr>
            </w:pPr>
            <w:r>
              <w:rPr>
                <w:rFonts w:hint="default" w:ascii="Times New Roman" w:hAnsi="Times New Roman" w:cs="Times New Roman"/>
                <w:caps w:val="0"/>
                <w:color w:val="auto"/>
                <w:spacing w:val="0"/>
                <w:w w:val="100"/>
                <w:position w:val="0"/>
                <w:highlight w:val="none"/>
                <w:lang w:val="en-US" w:eastAsia="zh-CN"/>
              </w:rPr>
              <w:t>③贮存、处置场使用单位，应建立检查维护制度。定期检查维护堤、坝、挡土墙、导流渠等设施，发现有损坏可能或异常，应及时采取必要措施，以保障正常运行。</w:t>
            </w:r>
          </w:p>
          <w:p w14:paraId="3B7FE5AD">
            <w:pPr>
              <w:pStyle w:val="74"/>
              <w:keepNext w:val="0"/>
              <w:keepLines w:val="0"/>
              <w:suppressLineNumbers w:val="0"/>
              <w:bidi w:val="0"/>
              <w:spacing w:before="0" w:beforeAutospacing="0" w:after="0" w:afterAutospacing="0"/>
              <w:ind w:left="0" w:right="0"/>
              <w:rPr>
                <w:rFonts w:hint="default"/>
                <w:caps w:val="0"/>
                <w:color w:val="auto"/>
                <w:spacing w:val="0"/>
                <w:w w:val="100"/>
                <w:position w:val="0"/>
                <w:highlight w:val="none"/>
              </w:rPr>
            </w:pPr>
            <w:r>
              <w:rPr>
                <w:rFonts w:hint="default" w:ascii="Times New Roman" w:hAnsi="Times New Roman" w:cs="Times New Roman"/>
                <w:caps w:val="0"/>
                <w:color w:val="auto"/>
                <w:spacing w:val="0"/>
                <w:w w:val="100"/>
                <w:position w:val="0"/>
                <w:highlight w:val="none"/>
                <w:lang w:val="en-US" w:eastAsia="zh-CN"/>
              </w:rPr>
              <w:t>④贮存、处置场的使用单位，应建立档案制度。应将入场的一般工业固体废物的种类和数量以及下列资料。详细记录在案，长期保存，供随时查阅。</w:t>
            </w:r>
          </w:p>
          <w:p w14:paraId="68E793BD">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2、</w:t>
            </w:r>
            <w:r>
              <w:rPr>
                <w:rFonts w:hint="default"/>
                <w:caps w:val="0"/>
                <w:color w:val="auto"/>
                <w:spacing w:val="0"/>
                <w:position w:val="0"/>
                <w:highlight w:val="none"/>
              </w:rPr>
              <w:t>危险废物</w:t>
            </w:r>
          </w:p>
          <w:p w14:paraId="6F4662E4">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根据《国家危险废物名录》</w:t>
            </w:r>
            <w:r>
              <w:rPr>
                <w:rFonts w:hint="eastAsia"/>
                <w:caps w:val="0"/>
                <w:color w:val="auto"/>
                <w:spacing w:val="0"/>
                <w:position w:val="0"/>
                <w:highlight w:val="none"/>
              </w:rPr>
              <w:t>（2</w:t>
            </w:r>
            <w:r>
              <w:rPr>
                <w:rFonts w:hint="default"/>
                <w:caps w:val="0"/>
                <w:color w:val="auto"/>
                <w:spacing w:val="0"/>
                <w:position w:val="0"/>
                <w:highlight w:val="none"/>
              </w:rPr>
              <w:t>025</w:t>
            </w:r>
            <w:r>
              <w:rPr>
                <w:rFonts w:hint="eastAsia"/>
                <w:caps w:val="0"/>
                <w:color w:val="auto"/>
                <w:spacing w:val="0"/>
                <w:position w:val="0"/>
                <w:highlight w:val="none"/>
              </w:rPr>
              <w:t>年版）</w:t>
            </w:r>
            <w:r>
              <w:rPr>
                <w:rFonts w:hint="default"/>
                <w:caps w:val="0"/>
                <w:color w:val="auto"/>
                <w:spacing w:val="0"/>
                <w:position w:val="0"/>
                <w:highlight w:val="none"/>
              </w:rPr>
              <w:t>规定，本项目产生的危险废物，应按要求交由有资质单位处理。交由有资质单位处理前，危险废物的存储应单独设置一间存放室。各类原材料和危废分区存放，禁止将不相容的原料和危废在同一容器内混装，装载液体、半固体危废容器内必须留有足够空间，容器顶部与液体表面保留100mm以上的空间，装载危险废物的容器上必须粘贴符合《</w:t>
            </w:r>
            <w:r>
              <w:rPr>
                <w:rFonts w:hint="eastAsia"/>
                <w:caps w:val="0"/>
                <w:color w:val="auto"/>
                <w:spacing w:val="0"/>
                <w:position w:val="0"/>
                <w:highlight w:val="none"/>
              </w:rPr>
              <w:t>危险废物贮存污染控制标准</w:t>
            </w:r>
            <w:r>
              <w:rPr>
                <w:rFonts w:hint="default"/>
                <w:caps w:val="0"/>
                <w:color w:val="auto"/>
                <w:spacing w:val="0"/>
                <w:position w:val="0"/>
                <w:highlight w:val="none"/>
              </w:rPr>
              <w:t>》（GB18597-2023）标准附录A所示的标签；危废暂存间要做好防风、防雨、防晒工作。并制定好固体废物特别是危险废物转移运输途中的污染防范及事故应急措施。</w:t>
            </w:r>
          </w:p>
          <w:p w14:paraId="4C546CAE">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项目危险废物主要为废润滑油、废润滑油桶、废含油抹布及手套等总计为</w:t>
            </w:r>
            <w:r>
              <w:rPr>
                <w:rFonts w:hint="eastAsia"/>
                <w:caps w:val="0"/>
                <w:color w:val="auto"/>
                <w:spacing w:val="0"/>
                <w:position w:val="0"/>
                <w:highlight w:val="none"/>
                <w:lang w:val="en-US" w:eastAsia="zh-CN"/>
              </w:rPr>
              <w:t>5.3</w:t>
            </w:r>
            <w:r>
              <w:rPr>
                <w:rFonts w:hint="default"/>
                <w:caps w:val="0"/>
                <w:color w:val="auto"/>
                <w:spacing w:val="0"/>
                <w:position w:val="0"/>
                <w:highlight w:val="none"/>
              </w:rPr>
              <w:t>3t/a，平均6个月转运一次，危废储存的最大量约</w:t>
            </w:r>
            <w:r>
              <w:rPr>
                <w:rFonts w:hint="eastAsia"/>
                <w:caps w:val="0"/>
                <w:color w:val="auto"/>
                <w:spacing w:val="0"/>
                <w:position w:val="0"/>
                <w:highlight w:val="none"/>
                <w:lang w:val="en-US" w:eastAsia="zh-CN"/>
              </w:rPr>
              <w:t>2.665</w:t>
            </w:r>
            <w:r>
              <w:rPr>
                <w:rFonts w:hint="default"/>
                <w:caps w:val="0"/>
                <w:color w:val="auto"/>
                <w:spacing w:val="0"/>
                <w:position w:val="0"/>
                <w:highlight w:val="none"/>
              </w:rPr>
              <w:t>t。项目危废暂存间</w:t>
            </w:r>
            <w:r>
              <w:rPr>
                <w:rFonts w:hint="eastAsia"/>
                <w:caps w:val="0"/>
                <w:color w:val="auto"/>
                <w:spacing w:val="0"/>
                <w:position w:val="0"/>
                <w:highlight w:val="none"/>
                <w:lang w:val="en-US" w:eastAsia="zh-CN"/>
              </w:rPr>
              <w:t>位于厂区东北</w:t>
            </w:r>
            <w:r>
              <w:rPr>
                <w:rFonts w:hint="eastAsia"/>
                <w:caps w:val="0"/>
                <w:color w:val="auto"/>
                <w:spacing w:val="0"/>
                <w:position w:val="0"/>
                <w:highlight w:val="none"/>
              </w:rPr>
              <w:t>侧，</w:t>
            </w:r>
            <w:r>
              <w:rPr>
                <w:rFonts w:hint="default"/>
                <w:caps w:val="0"/>
                <w:color w:val="auto"/>
                <w:spacing w:val="0"/>
                <w:position w:val="0"/>
                <w:highlight w:val="none"/>
              </w:rPr>
              <w:t>占地面积</w:t>
            </w:r>
            <w:r>
              <w:rPr>
                <w:rFonts w:hint="eastAsia"/>
                <w:caps w:val="0"/>
                <w:color w:val="auto"/>
                <w:spacing w:val="0"/>
                <w:position w:val="0"/>
                <w:highlight w:val="none"/>
                <w:lang w:val="en-US" w:eastAsia="zh-CN"/>
              </w:rPr>
              <w:t>10</w:t>
            </w:r>
            <w:r>
              <w:rPr>
                <w:rFonts w:hint="default"/>
                <w:caps w:val="0"/>
                <w:color w:val="auto"/>
                <w:spacing w:val="0"/>
                <w:position w:val="0"/>
                <w:highlight w:val="none"/>
              </w:rPr>
              <w:t>m</w:t>
            </w:r>
            <w:r>
              <w:rPr>
                <w:rFonts w:hint="default"/>
                <w:caps w:val="0"/>
                <w:color w:val="auto"/>
                <w:spacing w:val="0"/>
                <w:position w:val="0"/>
                <w:highlight w:val="none"/>
                <w:vertAlign w:val="superscript"/>
              </w:rPr>
              <w:t>2</w:t>
            </w:r>
            <w:r>
              <w:rPr>
                <w:rFonts w:hint="default"/>
                <w:caps w:val="0"/>
                <w:color w:val="auto"/>
                <w:spacing w:val="0"/>
                <w:position w:val="0"/>
                <w:highlight w:val="none"/>
              </w:rPr>
              <w:t>，可储存危废量约为</w:t>
            </w:r>
            <w:r>
              <w:rPr>
                <w:rFonts w:hint="eastAsia"/>
                <w:caps w:val="0"/>
                <w:color w:val="auto"/>
                <w:spacing w:val="0"/>
                <w:position w:val="0"/>
                <w:highlight w:val="none"/>
                <w:lang w:val="en-US" w:eastAsia="zh-CN"/>
              </w:rPr>
              <w:t>10</w:t>
            </w:r>
            <w:r>
              <w:rPr>
                <w:rFonts w:hint="default"/>
                <w:caps w:val="0"/>
                <w:color w:val="auto"/>
                <w:spacing w:val="0"/>
                <w:position w:val="0"/>
                <w:highlight w:val="none"/>
              </w:rPr>
              <w:t>t，</w:t>
            </w:r>
            <w:r>
              <w:rPr>
                <w:rFonts w:hint="eastAsia"/>
                <w:caps w:val="0"/>
                <w:color w:val="auto"/>
                <w:spacing w:val="0"/>
                <w:position w:val="0"/>
                <w:highlight w:val="none"/>
                <w:lang w:val="en-US" w:eastAsia="zh-CN"/>
              </w:rPr>
              <w:t>因此本项目</w:t>
            </w:r>
            <w:r>
              <w:rPr>
                <w:rFonts w:hint="default"/>
                <w:caps w:val="0"/>
                <w:color w:val="auto"/>
                <w:spacing w:val="0"/>
                <w:position w:val="0"/>
                <w:highlight w:val="none"/>
              </w:rPr>
              <w:t>危险废物暂存间贮存能力能够满足要求。</w:t>
            </w:r>
          </w:p>
          <w:p w14:paraId="32B7033D">
            <w:pPr>
              <w:keepNext w:val="0"/>
              <w:keepLines w:val="0"/>
              <w:widowControl w:val="0"/>
              <w:numPr>
                <w:ilvl w:val="0"/>
                <w:numId w:val="0"/>
              </w:numPr>
              <w:suppressLineNumbers w:val="0"/>
              <w:adjustRightInd w:val="0"/>
              <w:snapToGrid w:val="0"/>
              <w:spacing w:before="0" w:beforeAutospacing="0" w:after="0" w:afterAutospacing="0" w:line="360" w:lineRule="auto"/>
              <w:ind w:left="0" w:leftChars="0" w:right="0" w:rightChars="0" w:firstLine="480" w:firstLineChars="200"/>
              <w:jc w:val="both"/>
              <w:rPr>
                <w:rFonts w:hint="eastAsia" w:ascii="Times New Roman" w:hAnsi="Times New Roman" w:eastAsia="宋体" w:cs="Times New Roman"/>
                <w:caps w:val="0"/>
                <w:snapToGrid w:val="0"/>
                <w:color w:val="auto"/>
                <w:spacing w:val="0"/>
                <w:kern w:val="0"/>
                <w:position w:val="0"/>
                <w:sz w:val="24"/>
                <w:szCs w:val="20"/>
                <w:highlight w:val="none"/>
                <w:lang w:val="en-US" w:eastAsia="zh-CN" w:bidi="ar-SA"/>
              </w:rPr>
            </w:pPr>
            <w:r>
              <w:rPr>
                <w:rFonts w:hint="eastAsia" w:cs="Times New Roman"/>
                <w:caps w:val="0"/>
                <w:snapToGrid w:val="0"/>
                <w:color w:val="auto"/>
                <w:spacing w:val="0"/>
                <w:kern w:val="0"/>
                <w:position w:val="0"/>
                <w:sz w:val="24"/>
                <w:szCs w:val="20"/>
                <w:highlight w:val="none"/>
                <w:lang w:val="en-US" w:eastAsia="zh-CN" w:bidi="ar-SA"/>
              </w:rPr>
              <w:t>3、</w:t>
            </w:r>
            <w:r>
              <w:rPr>
                <w:rFonts w:hint="default" w:ascii="Times New Roman" w:hAnsi="Times New Roman" w:eastAsia="宋体" w:cs="Times New Roman"/>
                <w:caps w:val="0"/>
                <w:snapToGrid w:val="0"/>
                <w:color w:val="auto"/>
                <w:spacing w:val="0"/>
                <w:kern w:val="0"/>
                <w:position w:val="0"/>
                <w:sz w:val="24"/>
                <w:szCs w:val="20"/>
                <w:highlight w:val="none"/>
                <w:lang w:val="en-US" w:eastAsia="zh-CN" w:bidi="ar-SA"/>
              </w:rPr>
              <w:t>根据国家对固废处置减量化、资源化和无害化的技术政策，厂内危险废物暂存场所应按照《危险废物贮存污染控制标准》（GB18597-2023）要求的规定设置，</w:t>
            </w:r>
            <w:r>
              <w:rPr>
                <w:rFonts w:hint="eastAsia" w:ascii="Times New Roman" w:hAnsi="Times New Roman" w:eastAsia="宋体" w:cs="Times New Roman"/>
                <w:caps w:val="0"/>
                <w:snapToGrid w:val="0"/>
                <w:color w:val="auto"/>
                <w:spacing w:val="0"/>
                <w:kern w:val="0"/>
                <w:position w:val="0"/>
                <w:sz w:val="24"/>
                <w:szCs w:val="20"/>
                <w:highlight w:val="none"/>
                <w:lang w:val="en-US" w:eastAsia="zh-CN" w:bidi="ar-SA"/>
              </w:rPr>
              <w:t>具体危险废物贮存要求如下：</w:t>
            </w:r>
          </w:p>
          <w:p w14:paraId="4272BA0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（1）总体要求</w:t>
            </w:r>
          </w:p>
          <w:p w14:paraId="762E0B9D">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A、产生、收集、贮存、利用、处置危险废物的单位应建造危险废物贮存设施或设置贮存场所，并根据需要选择贮存设施类型；</w:t>
            </w:r>
          </w:p>
          <w:p w14:paraId="6795A4C5">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B、贮存危险废物应根据危险废物的类别、数量、形态、物理化学性质和环境风险等因素，确定贮存设施或场所类型和规模；</w:t>
            </w:r>
          </w:p>
          <w:p w14:paraId="01C34E96">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C、贮存危险废物应根据危险废物的类别、形态、物理化学性质和污染防治要求进行分类贮存，且应避免危险废物与不相容的物质或材料接触；</w:t>
            </w:r>
          </w:p>
          <w:p w14:paraId="01108A40">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D、贮存危险废物应根据危险废物的形态、物理化学性质、包装形式和污染物迁移途径，采取措施减少粉尘等污染物的产生，防止其污染环境；</w:t>
            </w:r>
          </w:p>
          <w:p w14:paraId="07088965">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E、危险废物贮存过程产生的液态废物和固态废物应分类收集，按环境管理要求妥善处理；</w:t>
            </w:r>
          </w:p>
          <w:p w14:paraId="47A81510">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F、贮存设施或场所、容器和包装物应按HJ1276要求设置危险废物贮存设施或场所标志、危险废物贮存分区标志和危险废物标签等危险废物识别标志。</w:t>
            </w:r>
          </w:p>
          <w:p w14:paraId="348FFA77">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G、HJ1259规定的危险废物环境重点监管单位，应采用电子地磅、电子标签、电子管理台账等技术手段对危险废物贮存过程进行信息化管理，确保数据完整、真实、准确；采用视频监控的应确保监控画面清晰，视频记录保存时间至少为3个月；</w:t>
            </w:r>
          </w:p>
          <w:p w14:paraId="40603690">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H、在常温常压下易爆、易燃及排出有毒气体的危险废物应进行预处理，使之稳定后贮存，否则应按易爆、易燃危险品贮存；</w:t>
            </w:r>
          </w:p>
          <w:p w14:paraId="384C45DB">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I、危险废物贮存除应满足环境保护相关要求外，还应执行国家安全生产、职业健康、交通运输、消防等法律法规和标准的相关要求。</w:t>
            </w:r>
          </w:p>
          <w:p w14:paraId="79D4910F">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（2）贮存设施污染控制要求</w:t>
            </w:r>
          </w:p>
          <w:p w14:paraId="51224857">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①一般要求</w:t>
            </w:r>
          </w:p>
          <w:p w14:paraId="003A0FDF">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A.贮存设施应根据危险废物的形态、物理化学性质、包装形式和污染物迁移途径，采取必要的防风、防晒、防雨、防漏、防渗、防腐以及其他环境污染防治措施，不应露天堆放危险废物。</w:t>
            </w:r>
          </w:p>
          <w:p w14:paraId="04838CE0">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B.贮存设施应根据危险废物的类别、数量、形态、物理化学性质和污染防治等要求设置必要的贮存分区，避免不相容的危险废物接触、混合。</w:t>
            </w:r>
          </w:p>
          <w:p w14:paraId="729E89E7">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C.贮存设施或贮存分区内地面、墙面裙脚、堵截泄漏的围堰、接触危险废物的隔板和墙体等应采用坚固的材料建造，表面无裂缝。</w:t>
            </w:r>
          </w:p>
          <w:p w14:paraId="690D6779">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D.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m厚黏土层(渗透系数不大于10-7cm/s)，或至少2mm厚高密度聚乙烯膜等人工防渗材料(渗透系数不大于10-10cm/s)，或其他防渗性能等效的材料。</w:t>
            </w:r>
          </w:p>
          <w:p w14:paraId="3F031CB9">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E.同一贮存设施宜采用相同的防渗、防腐工艺(包括防渗、防腐结构或材料)，防渗、防腐材料应覆盖所有可能与废物及其渗滤液、渗漏液等接触的构筑物表面；采用不同防渗、防腐工艺应分别建设贮存分区。</w:t>
            </w:r>
          </w:p>
          <w:p w14:paraId="273C75E2">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F.贮存设施应采取技术和管理措施防止无关人员进入。</w:t>
            </w:r>
          </w:p>
          <w:p w14:paraId="583FBDB8">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②贮存库</w:t>
            </w:r>
          </w:p>
          <w:p w14:paraId="29187289">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A.贮存库内不同贮存分区之间应采取隔离措施。隔离措施可根据危险废物特性采用过道、隔板或隔墙等方式。</w:t>
            </w:r>
          </w:p>
          <w:p w14:paraId="707B90C6">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B.在贮存库内或通过贮存分区方式贮存液态危险废物的，应具有液体泄漏堵截设施，堵截设施最小容积不应低于对应贮存区域最大液态废物容器容积或液态废物总储量1/10(二者取较大者)；用于贮存可能产生渗滤液的危险废物的贮存库或贮存分区应设计渗滤液收集设施，收集设施容积应满足渗滤液的收集要求。</w:t>
            </w:r>
          </w:p>
          <w:p w14:paraId="3C60DD13">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③容器和包装物污染控制要求</w:t>
            </w:r>
          </w:p>
          <w:p w14:paraId="4D0BC6A4">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A.容器和包装物材质、内衬应与盛装的危险废物相容。</w:t>
            </w:r>
          </w:p>
          <w:p w14:paraId="79D9A1B6">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B.针对不同类别、形态、物理化学性质的危险废物，其容器和包装物应满足相应的防渗、防漏、防腐和强度等要求。</w:t>
            </w:r>
          </w:p>
          <w:p w14:paraId="60E71147">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C.硬质容器和包装物及其支护结构堆叠码放时不应有明显变形，无破损泄漏。</w:t>
            </w:r>
          </w:p>
          <w:p w14:paraId="1C569D99">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D.柔性容器和包装物堆叠码放时应封口严密，无破损泄漏。</w:t>
            </w:r>
          </w:p>
          <w:p w14:paraId="03A033D4">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E.易使用容器盛装液态、半固态危险废物时，容器内部应留有适当的空间，以适应因温度变化等可能引发的收缩和膨胀，防止其导致容器渗漏或永久变形。</w:t>
            </w:r>
          </w:p>
          <w:p w14:paraId="2E81BA8E">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F.容器和包装物外表面应保持清洁。</w:t>
            </w:r>
          </w:p>
          <w:p w14:paraId="0675FC09">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④贮存过程污染控制要求</w:t>
            </w:r>
          </w:p>
          <w:p w14:paraId="14DCFCAF">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A.在常温常压下不易水解、不易挥发的固态危险废物可分类堆放贮存，其他固态危险废物应装入容器或包装物内贮存。</w:t>
            </w:r>
          </w:p>
          <w:p w14:paraId="4382D0E6">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B.液态危险废物应装入容器内贮存，或直接采用贮存池、贮存罐区贮存。</w:t>
            </w:r>
          </w:p>
          <w:p w14:paraId="34B9D9CE">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C.半固态危险废物应装入容器或包装袋内贮存，或直接采用贮存池贮存。</w:t>
            </w:r>
          </w:p>
          <w:p w14:paraId="7F4C0C1B">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D.具有热塑性的危险废物应装入容器或包装袋内进行贮存。</w:t>
            </w:r>
          </w:p>
          <w:p w14:paraId="39C62A47">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E.易产生粉尘、VOCs、酸雾、有毒有害大气污染物和刺激性气味气体的危险废物应装入闭口容器或包装物内贮存。</w:t>
            </w:r>
          </w:p>
          <w:p w14:paraId="070BD56B">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F.危险废物贮存过程中易产生粉尘等无组织排放的，应采取抑尘等有效措施。</w:t>
            </w:r>
          </w:p>
          <w:p w14:paraId="16D61047">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⑤贮存设施运行环境管理要求</w:t>
            </w:r>
          </w:p>
          <w:p w14:paraId="6AC882BB">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A.危险废物存入贮存设施前应对危险废物类别和特性与危险废物标签等危险废物识别标志的一致性进行核验，不一致的或类别、特性不明的不应存入。</w:t>
            </w:r>
          </w:p>
          <w:p w14:paraId="5947EFD2">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B.应定期检查危险废物的贮存状况，及时清理贮存设施地面，更换破损泄漏的危险废物贮存容器和包装物，保证堆存危险废物的防雨、防风、防扬尘等设施功能完好。</w:t>
            </w:r>
          </w:p>
          <w:p w14:paraId="3DABADB7">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C.作业设备及车辆等结束作业离开贮存设施时，应对其残留的危险废物进行清理，清理的废物或清洗废水应收集处理。</w:t>
            </w:r>
          </w:p>
          <w:p w14:paraId="570F9F38">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D.贮存设施运行期间，应按国家有关标准和规定建立危险废物管理台账并保存。</w:t>
            </w:r>
          </w:p>
          <w:p w14:paraId="1F9132BD">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E.贮存设施所有者或运营者应建立贮存设施环境管理制度、管理人员岗位职责制度、设施运行操作制度、人员岗位培训制度等。</w:t>
            </w:r>
          </w:p>
          <w:p w14:paraId="359120E6">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F.贮存设施所有者或运营者应依据国家土壤和地下水污染防治的有关规定，结合贮存设施特点建立土壤和地下水污染隐患排查制度，并定期开展隐患排查；发现隐患应及时采取措施消除隐患，并建立档案。</w:t>
            </w:r>
          </w:p>
          <w:p w14:paraId="27E744A4">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G.贮存设施所有者或运营者应建立贮存设施全部档案，包括设计、施工、验收、运行、监测和环境应急等，应按国家有关档案管理的法律法规进行整理和归档。</w:t>
            </w:r>
          </w:p>
          <w:p w14:paraId="29167BF6">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⑥贮存点环境管理要求</w:t>
            </w:r>
          </w:p>
          <w:p w14:paraId="33146FD7">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A.贮存点应具有固定的区域边界，并应采取与其他区域进行隔离的措施。</w:t>
            </w:r>
          </w:p>
          <w:p w14:paraId="7032B8B3">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B.贮存点应采取防风、防雨、防晒和防止危险废物流失、扬散等措施。</w:t>
            </w:r>
          </w:p>
          <w:p w14:paraId="5A6DD8C6">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C.贮存点贮存的危险废物应置于容器或包装物中，不应直接散堆。</w:t>
            </w:r>
          </w:p>
          <w:p w14:paraId="458A0008">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D.贮存点应根据危险废物的形态、物理化学性质、包装形式等，采取防渗、防漏等污染防治措施或采用具有相应功能的装置。</w:t>
            </w:r>
          </w:p>
          <w:p w14:paraId="64D9B203">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E.贮存点应及时清运贮存的危险废物，实时贮存量不应超过3吨。</w:t>
            </w:r>
          </w:p>
          <w:p w14:paraId="16DA0EE4">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⑦污染物排放控制要求</w:t>
            </w:r>
          </w:p>
          <w:p w14:paraId="35C77D84">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A.贮存设施产生的废水(包括贮存设施、作业设备、车辆等清洗废水，贮存罐区积存雨水，贮存事故废水等)应进行收集处理，废水排放应符合GB8978规定的要求。</w:t>
            </w:r>
          </w:p>
          <w:p w14:paraId="75FD019A">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B.贮存设施产生的废气(含无组织废气)的排放应符合GB16297和GB37822规定的要求。</w:t>
            </w:r>
          </w:p>
          <w:p w14:paraId="4DBFD12A">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C.贮存设施产生的恶臭气体的排放应符合GB14554规定的要求。</w:t>
            </w:r>
          </w:p>
          <w:p w14:paraId="54C8E1A8">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D.贮存设施内产生以及清理的固体废物应按固体废物分类管理要求妥善处理。</w:t>
            </w:r>
          </w:p>
          <w:p w14:paraId="1E2FA681">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E.贮存设施排放的环境噪声应符合GB12348规定的要求。</w:t>
            </w:r>
          </w:p>
          <w:p w14:paraId="7BDCDBEB">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⑧环境监测要求</w:t>
            </w:r>
          </w:p>
          <w:p w14:paraId="6C1F791E">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A.贮存设施的环境监测应纳入主体设施的环境监测计划。</w:t>
            </w:r>
          </w:p>
          <w:p w14:paraId="35A77BFC">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B.贮存设施所有者或运营者应依据《中华人民共和国大气污染防治法》《中华人民共和国水污染防治法》《中华人民共和国土壤污染防治法》等有关法律、《排污许可管理条例》等行政法规和HJ819、HJ1250等规定制订监测方案，对贮存设施污染物排放状况开展自行监测，保存原始监测记录，并公布监测结果。</w:t>
            </w:r>
          </w:p>
          <w:p w14:paraId="1858FC80">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C.贮存设施废水污染物排放的监测方法和监测指标应符合国家相关标准要求。</w:t>
            </w:r>
          </w:p>
          <w:p w14:paraId="160CC3FB">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D.HJ1259规定的危险废物环境重点监管单位贮存设施地下水环境监测点布设应符合HJ164要求，监测因子应根据贮存废物的特性选择具有代表性且能表征危险废物特性的指标，地下水监测因子分析方法按照GB/T14848执行。</w:t>
            </w:r>
          </w:p>
          <w:p w14:paraId="1672F5B1">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E.配有收集净化系统的贮存设施大气污染物排放的监测采样应按GB/T16157、HJ/T397、HJ732的规定执行。</w:t>
            </w:r>
          </w:p>
          <w:p w14:paraId="21D89066">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F.贮存设施无组织气体排放监测因子应根据贮存废物的特性选择具有代表性且能表征危险废物特性的指标；采样点布设、采样及监测方法可按HJ/T 55 的规定执行，无组织排放监测还应符合GB37822的规定。</w:t>
            </w:r>
          </w:p>
          <w:p w14:paraId="023674D3">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G.贮存设施恶臭气体的排放监测应符合GB14554、HJ905的规定。</w:t>
            </w:r>
          </w:p>
          <w:p w14:paraId="6CA00343">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⑨环境应急要求</w:t>
            </w:r>
          </w:p>
          <w:p w14:paraId="744E1304">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A.贮存设施所有者或运营者应按照国家有关规定编制突发环境事件应急预案，定期开展必要的培训和环境应急演练，并做好培训、演练记录。</w:t>
            </w:r>
          </w:p>
          <w:p w14:paraId="2B5DBCC7">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B.贮存设施所有者或运营者应配备满足其突发环境事件应急要求的应急人员、装备和物资，并应设置应急照明系统。</w:t>
            </w:r>
          </w:p>
          <w:p w14:paraId="37111D83">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C.相关部门发布自然灾害或恶劣天气预警后，贮存设施所有者或运营者应启动相应防控措施，若有必要可将危险废物转移至其他具有防护条件的地点贮存。</w:t>
            </w:r>
          </w:p>
          <w:p w14:paraId="61F9E303">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4、</w:t>
            </w:r>
            <w:r>
              <w:rPr>
                <w:rFonts w:hint="default"/>
                <w:caps w:val="0"/>
                <w:color w:val="auto"/>
                <w:spacing w:val="0"/>
                <w:position w:val="0"/>
                <w:highlight w:val="none"/>
                <w:lang w:val="en-US" w:eastAsia="zh-CN"/>
              </w:rPr>
              <w:t>危废处置环境影响分析</w:t>
            </w:r>
          </w:p>
          <w:p w14:paraId="754E71B6">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建设单位目前还未签订危险废物利用或者委托处置意向，应结合本项目新增危废情况及时签订新的危废协议，并按照危险废物处置相关要求进行申报，落实危险废物处置去向。</w:t>
            </w:r>
          </w:p>
          <w:p w14:paraId="5E3FCD54">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lang w:val="en-US" w:eastAsia="zh-CN"/>
              </w:rPr>
              <w:t>综上，本项目危险废物须做好危险废物情况的记录、记录上须标明危险废物的名称、来源、数量、入库时间、废物出库日期及</w:t>
            </w:r>
            <w:r>
              <w:rPr>
                <w:rFonts w:hint="eastAsia"/>
                <w:caps w:val="0"/>
                <w:color w:val="auto"/>
                <w:spacing w:val="0"/>
                <w:position w:val="0"/>
                <w:highlight w:val="none"/>
                <w:lang w:val="en-US" w:eastAsia="zh-CN"/>
              </w:rPr>
              <w:t>接收单位</w:t>
            </w:r>
            <w:r>
              <w:rPr>
                <w:rFonts w:hint="default"/>
                <w:caps w:val="0"/>
                <w:color w:val="auto"/>
                <w:spacing w:val="0"/>
                <w:position w:val="0"/>
                <w:highlight w:val="none"/>
                <w:lang w:val="en-US" w:eastAsia="zh-CN"/>
              </w:rPr>
              <w:t>名称。危险废物经过统一收集后再由有危废处置资质单位统一回收处置，对项目周边环境影响较小。</w:t>
            </w:r>
          </w:p>
          <w:p w14:paraId="54CB3B57">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aps w:val="0"/>
                <w:snapToGrid w:val="0"/>
                <w:color w:val="auto"/>
                <w:spacing w:val="0"/>
                <w:kern w:val="0"/>
                <w:position w:val="0"/>
                <w:sz w:val="24"/>
                <w:szCs w:val="20"/>
                <w:highlight w:val="none"/>
                <w:lang w:val="en-US" w:eastAsia="zh-CN" w:bidi="ar-SA"/>
              </w:rPr>
            </w:pPr>
            <w:r>
              <w:rPr>
                <w:rFonts w:hint="eastAsia" w:cs="Times New Roman"/>
                <w:b w:val="0"/>
                <w:bCs w:val="0"/>
                <w:caps w:val="0"/>
                <w:snapToGrid w:val="0"/>
                <w:color w:val="auto"/>
                <w:spacing w:val="0"/>
                <w:kern w:val="0"/>
                <w:position w:val="0"/>
                <w:sz w:val="24"/>
                <w:szCs w:val="20"/>
                <w:highlight w:val="none"/>
                <w:lang w:val="en-US" w:eastAsia="zh-CN" w:bidi="ar-SA"/>
              </w:rPr>
              <w:t>5、</w:t>
            </w:r>
            <w:r>
              <w:rPr>
                <w:rFonts w:hint="default" w:ascii="Times New Roman" w:hAnsi="Times New Roman" w:eastAsia="宋体" w:cs="Times New Roman"/>
                <w:b w:val="0"/>
                <w:bCs w:val="0"/>
                <w:caps w:val="0"/>
                <w:snapToGrid w:val="0"/>
                <w:color w:val="auto"/>
                <w:spacing w:val="0"/>
                <w:kern w:val="0"/>
                <w:position w:val="0"/>
                <w:sz w:val="24"/>
                <w:szCs w:val="20"/>
                <w:highlight w:val="none"/>
                <w:lang w:val="en-US" w:eastAsia="zh-CN" w:bidi="ar-SA"/>
              </w:rPr>
              <w:t>环境管理要求</w:t>
            </w:r>
          </w:p>
          <w:p w14:paraId="5850B5FD">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aps w:val="0"/>
                <w:snapToGrid w:val="0"/>
                <w:color w:val="auto"/>
                <w:spacing w:val="0"/>
                <w:kern w:val="0"/>
                <w:position w:val="0"/>
                <w:sz w:val="24"/>
                <w:szCs w:val="20"/>
                <w:highlight w:val="none"/>
                <w:lang w:val="en-US" w:eastAsia="zh-CN" w:bidi="ar-SA"/>
              </w:rPr>
            </w:pPr>
            <w:r>
              <w:rPr>
                <w:rFonts w:hint="eastAsia" w:ascii="宋体" w:hAnsi="宋体" w:eastAsia="宋体" w:cs="宋体"/>
                <w:b w:val="0"/>
                <w:bCs w:val="0"/>
                <w:caps w:val="0"/>
                <w:snapToGrid w:val="0"/>
                <w:color w:val="auto"/>
                <w:spacing w:val="0"/>
                <w:kern w:val="0"/>
                <w:position w:val="0"/>
                <w:sz w:val="24"/>
                <w:szCs w:val="20"/>
                <w:highlight w:val="none"/>
                <w:lang w:val="en-US" w:eastAsia="zh-CN" w:bidi="ar-SA"/>
              </w:rPr>
              <w:t>①</w:t>
            </w:r>
            <w:r>
              <w:rPr>
                <w:rFonts w:hint="default" w:ascii="Times New Roman" w:hAnsi="Times New Roman" w:eastAsia="宋体" w:cs="Times New Roman"/>
                <w:b w:val="0"/>
                <w:bCs w:val="0"/>
                <w:caps w:val="0"/>
                <w:snapToGrid w:val="0"/>
                <w:color w:val="auto"/>
                <w:spacing w:val="0"/>
                <w:kern w:val="0"/>
                <w:position w:val="0"/>
                <w:sz w:val="24"/>
                <w:szCs w:val="20"/>
                <w:highlight w:val="none"/>
                <w:lang w:val="en-US" w:eastAsia="zh-CN" w:bidi="ar-SA"/>
              </w:rPr>
              <w:t>安排专职人员负责危险废物的收集、暂存管理及后续处置；</w:t>
            </w:r>
          </w:p>
          <w:p w14:paraId="09209B9D">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aps w:val="0"/>
                <w:snapToGrid w:val="0"/>
                <w:color w:val="auto"/>
                <w:spacing w:val="0"/>
                <w:kern w:val="0"/>
                <w:position w:val="0"/>
                <w:sz w:val="24"/>
                <w:szCs w:val="20"/>
                <w:highlight w:val="none"/>
                <w:lang w:val="en-US" w:eastAsia="zh-CN" w:bidi="ar-SA"/>
              </w:rPr>
            </w:pPr>
            <w:r>
              <w:rPr>
                <w:rFonts w:hint="eastAsia" w:ascii="宋体" w:hAnsi="宋体" w:eastAsia="宋体" w:cs="宋体"/>
                <w:b w:val="0"/>
                <w:bCs w:val="0"/>
                <w:caps w:val="0"/>
                <w:snapToGrid w:val="0"/>
                <w:color w:val="auto"/>
                <w:spacing w:val="0"/>
                <w:kern w:val="0"/>
                <w:position w:val="0"/>
                <w:sz w:val="24"/>
                <w:szCs w:val="20"/>
                <w:highlight w:val="none"/>
                <w:lang w:val="en-US" w:eastAsia="zh-CN" w:bidi="ar-SA"/>
              </w:rPr>
              <w:t>②</w:t>
            </w:r>
            <w:r>
              <w:rPr>
                <w:rFonts w:hint="default" w:ascii="Times New Roman" w:hAnsi="Times New Roman" w:eastAsia="宋体" w:cs="Times New Roman"/>
                <w:b w:val="0"/>
                <w:bCs w:val="0"/>
                <w:caps w:val="0"/>
                <w:snapToGrid w:val="0"/>
                <w:color w:val="auto"/>
                <w:spacing w:val="0"/>
                <w:kern w:val="0"/>
                <w:position w:val="0"/>
                <w:sz w:val="24"/>
                <w:szCs w:val="20"/>
                <w:highlight w:val="none"/>
                <w:lang w:val="en-US" w:eastAsia="zh-CN" w:bidi="ar-SA"/>
              </w:rPr>
              <w:t>建设规范的危废暂存场所，危险废物应在临时贮存场内规范化暂存；</w:t>
            </w:r>
          </w:p>
          <w:p w14:paraId="370CDE81">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aps w:val="0"/>
                <w:snapToGrid w:val="0"/>
                <w:color w:val="auto"/>
                <w:spacing w:val="0"/>
                <w:kern w:val="0"/>
                <w:position w:val="0"/>
                <w:sz w:val="24"/>
                <w:szCs w:val="20"/>
                <w:highlight w:val="none"/>
                <w:lang w:val="en-US" w:eastAsia="zh-CN" w:bidi="ar-SA"/>
              </w:rPr>
            </w:pPr>
            <w:r>
              <w:rPr>
                <w:rFonts w:hint="eastAsia" w:ascii="宋体" w:hAnsi="宋体" w:eastAsia="宋体" w:cs="宋体"/>
                <w:b w:val="0"/>
                <w:bCs w:val="0"/>
                <w:caps w:val="0"/>
                <w:snapToGrid w:val="0"/>
                <w:color w:val="auto"/>
                <w:spacing w:val="0"/>
                <w:kern w:val="0"/>
                <w:position w:val="0"/>
                <w:sz w:val="24"/>
                <w:szCs w:val="20"/>
                <w:highlight w:val="none"/>
                <w:lang w:val="en-US" w:eastAsia="zh-CN" w:bidi="ar-SA"/>
              </w:rPr>
              <w:t>③</w:t>
            </w:r>
            <w:r>
              <w:rPr>
                <w:rFonts w:hint="default" w:ascii="Times New Roman" w:hAnsi="Times New Roman" w:eastAsia="宋体" w:cs="Times New Roman"/>
                <w:b w:val="0"/>
                <w:bCs w:val="0"/>
                <w:caps w:val="0"/>
                <w:snapToGrid w:val="0"/>
                <w:color w:val="auto"/>
                <w:spacing w:val="0"/>
                <w:kern w:val="0"/>
                <w:position w:val="0"/>
                <w:sz w:val="24"/>
                <w:szCs w:val="20"/>
                <w:highlight w:val="none"/>
                <w:lang w:val="en-US" w:eastAsia="zh-CN" w:bidi="ar-SA"/>
              </w:rPr>
              <w:t>对危险废物的容器和包装物以及收集、贮存、运输、处置危险废物的设施、场所，必须设置危险废物识别标志；</w:t>
            </w:r>
          </w:p>
          <w:p w14:paraId="6BF19AC3">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aps w:val="0"/>
                <w:snapToGrid w:val="0"/>
                <w:color w:val="auto"/>
                <w:spacing w:val="0"/>
                <w:kern w:val="0"/>
                <w:position w:val="0"/>
                <w:sz w:val="24"/>
                <w:szCs w:val="20"/>
                <w:highlight w:val="none"/>
                <w:lang w:val="en-US" w:eastAsia="zh-CN" w:bidi="ar-SA"/>
              </w:rPr>
            </w:pPr>
            <w:r>
              <w:rPr>
                <w:rFonts w:hint="eastAsia" w:ascii="宋体" w:hAnsi="宋体" w:eastAsia="宋体" w:cs="宋体"/>
                <w:b w:val="0"/>
                <w:bCs w:val="0"/>
                <w:caps w:val="0"/>
                <w:snapToGrid w:val="0"/>
                <w:color w:val="auto"/>
                <w:spacing w:val="0"/>
                <w:kern w:val="0"/>
                <w:position w:val="0"/>
                <w:sz w:val="24"/>
                <w:szCs w:val="20"/>
                <w:highlight w:val="none"/>
                <w:lang w:val="en-US" w:eastAsia="zh-CN" w:bidi="ar-SA"/>
              </w:rPr>
              <w:t>④</w:t>
            </w:r>
            <w:r>
              <w:rPr>
                <w:rFonts w:hint="default" w:ascii="Times New Roman" w:hAnsi="Times New Roman" w:eastAsia="宋体" w:cs="Times New Roman"/>
                <w:b w:val="0"/>
                <w:bCs w:val="0"/>
                <w:caps w:val="0"/>
                <w:snapToGrid w:val="0"/>
                <w:color w:val="auto"/>
                <w:spacing w:val="0"/>
                <w:kern w:val="0"/>
                <w:position w:val="0"/>
                <w:sz w:val="24"/>
                <w:szCs w:val="20"/>
                <w:highlight w:val="none"/>
                <w:lang w:val="en-US" w:eastAsia="zh-CN" w:bidi="ar-SA"/>
              </w:rPr>
              <w:t>禁止将危险废物提供或者委托给无经营许可证的单位从事收集、贮存、利用、处置的经营活动；</w:t>
            </w:r>
          </w:p>
          <w:p w14:paraId="41C2EBF1">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aps w:val="0"/>
                <w:snapToGrid w:val="0"/>
                <w:color w:val="auto"/>
                <w:spacing w:val="0"/>
                <w:kern w:val="0"/>
                <w:position w:val="0"/>
                <w:sz w:val="24"/>
                <w:szCs w:val="20"/>
                <w:highlight w:val="none"/>
                <w:lang w:val="en-US" w:eastAsia="zh-CN" w:bidi="ar-SA"/>
              </w:rPr>
            </w:pPr>
            <w:r>
              <w:rPr>
                <w:rFonts w:hint="eastAsia" w:ascii="宋体" w:hAnsi="宋体" w:eastAsia="宋体" w:cs="宋体"/>
                <w:b w:val="0"/>
                <w:bCs w:val="0"/>
                <w:caps w:val="0"/>
                <w:snapToGrid w:val="0"/>
                <w:color w:val="auto"/>
                <w:spacing w:val="0"/>
                <w:kern w:val="0"/>
                <w:position w:val="0"/>
                <w:sz w:val="24"/>
                <w:szCs w:val="20"/>
                <w:highlight w:val="none"/>
                <w:lang w:val="en-US" w:eastAsia="zh-CN" w:bidi="ar-SA"/>
              </w:rPr>
              <w:t>⑤</w:t>
            </w:r>
            <w:r>
              <w:rPr>
                <w:rFonts w:hint="default" w:ascii="Times New Roman" w:hAnsi="Times New Roman" w:eastAsia="宋体" w:cs="Times New Roman"/>
                <w:b w:val="0"/>
                <w:bCs w:val="0"/>
                <w:caps w:val="0"/>
                <w:snapToGrid w:val="0"/>
                <w:color w:val="auto"/>
                <w:spacing w:val="0"/>
                <w:kern w:val="0"/>
                <w:position w:val="0"/>
                <w:sz w:val="24"/>
                <w:szCs w:val="20"/>
                <w:highlight w:val="none"/>
                <w:lang w:val="en-US" w:eastAsia="zh-CN" w:bidi="ar-SA"/>
              </w:rPr>
              <w:t>建立危险废物管理台账，记录厂区内危险废物的产生、贮存、处置等情况，并保存5年；</w:t>
            </w:r>
          </w:p>
          <w:p w14:paraId="03D2238C">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caps w:val="0"/>
                <w:snapToGrid w:val="0"/>
                <w:color w:val="auto"/>
                <w:spacing w:val="0"/>
                <w:kern w:val="0"/>
                <w:position w:val="0"/>
                <w:sz w:val="24"/>
                <w:szCs w:val="20"/>
                <w:highlight w:val="none"/>
                <w:lang w:val="en-US" w:eastAsia="zh-CN" w:bidi="ar-SA"/>
              </w:rPr>
            </w:pPr>
            <w:r>
              <w:rPr>
                <w:rFonts w:hint="eastAsia" w:ascii="宋体" w:hAnsi="宋体" w:eastAsia="宋体" w:cs="宋体"/>
                <w:b w:val="0"/>
                <w:bCs w:val="0"/>
                <w:caps w:val="0"/>
                <w:snapToGrid w:val="0"/>
                <w:color w:val="auto"/>
                <w:spacing w:val="0"/>
                <w:kern w:val="0"/>
                <w:position w:val="0"/>
                <w:sz w:val="24"/>
                <w:szCs w:val="20"/>
                <w:highlight w:val="none"/>
                <w:lang w:val="en-US" w:eastAsia="zh-CN" w:bidi="ar-SA"/>
              </w:rPr>
              <w:t>⑥</w:t>
            </w:r>
            <w:r>
              <w:rPr>
                <w:rFonts w:hint="default" w:ascii="Times New Roman" w:hAnsi="Times New Roman" w:eastAsia="宋体" w:cs="Times New Roman"/>
                <w:b w:val="0"/>
                <w:bCs w:val="0"/>
                <w:caps w:val="0"/>
                <w:snapToGrid w:val="0"/>
                <w:color w:val="auto"/>
                <w:spacing w:val="0"/>
                <w:kern w:val="0"/>
                <w:position w:val="0"/>
                <w:sz w:val="24"/>
                <w:szCs w:val="20"/>
                <w:highlight w:val="none"/>
                <w:lang w:val="en-US" w:eastAsia="zh-CN" w:bidi="ar-SA"/>
              </w:rPr>
              <w:t>项目必须按照国家有关规定制定危险废物管理计划，并向环保部门申报危险废物的种类、产生量、流向、贮存、处置等有关资料。</w:t>
            </w:r>
          </w:p>
          <w:p w14:paraId="137E8ED3">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5、地下水、土壤</w:t>
            </w:r>
          </w:p>
          <w:p w14:paraId="7E21265C">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5.1、地下水、土壤污染源</w:t>
            </w:r>
          </w:p>
          <w:p w14:paraId="5F0A2FE1">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根据对项目生产过程及存储方式等进行分析，本项目对地下水及土壤环境影响的污染源有：危险废物、</w:t>
            </w:r>
            <w:r>
              <w:rPr>
                <w:rFonts w:hint="eastAsia"/>
                <w:caps w:val="0"/>
                <w:color w:val="auto"/>
                <w:spacing w:val="0"/>
                <w:position w:val="0"/>
                <w:highlight w:val="none"/>
              </w:rPr>
              <w:t>润滑油、</w:t>
            </w:r>
            <w:r>
              <w:rPr>
                <w:rFonts w:hint="eastAsia"/>
                <w:caps w:val="0"/>
                <w:color w:val="auto"/>
                <w:spacing w:val="0"/>
                <w:position w:val="0"/>
                <w:highlight w:val="none"/>
                <w:lang w:val="en-US" w:eastAsia="zh-CN"/>
              </w:rPr>
              <w:t>初期雨水池、沉淀池、渗滤液池</w:t>
            </w:r>
            <w:r>
              <w:rPr>
                <w:rFonts w:hint="default"/>
                <w:caps w:val="0"/>
                <w:color w:val="auto"/>
                <w:spacing w:val="0"/>
                <w:position w:val="0"/>
                <w:highlight w:val="none"/>
              </w:rPr>
              <w:t>跑、冒、滴、漏造成污染物下渗对地下水、土壤造成影响。</w:t>
            </w:r>
          </w:p>
          <w:p w14:paraId="75A74B0A">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5.2、地下水、土壤污染途径</w:t>
            </w:r>
          </w:p>
          <w:p w14:paraId="3F653E31">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本项目对地下水及土壤产生污染的途径主要是渗透污染。渗透污染是导致地下水污染的普遍和主要方式，主要产生可能性来自：</w:t>
            </w:r>
          </w:p>
          <w:p w14:paraId="3B7FBB1B">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1）项目产生的污水事故情况下排入地表水环境，再渗入补给地下水；或者直接渗入土壤，进而污染土壤及含水层。</w:t>
            </w:r>
          </w:p>
          <w:p w14:paraId="21ADCAAD">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2）厂区内污水处理设施在未采取防渗防漏措施的情况下，废水将从构筑物下渗入含水层而污染地下水及土壤。</w:t>
            </w:r>
          </w:p>
          <w:p w14:paraId="63112C28">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lang w:val="zh-CN"/>
              </w:rPr>
            </w:pPr>
            <w:r>
              <w:rPr>
                <w:rFonts w:hint="default"/>
                <w:caps w:val="0"/>
                <w:color w:val="auto"/>
                <w:spacing w:val="0"/>
                <w:position w:val="0"/>
                <w:highlight w:val="none"/>
              </w:rPr>
              <w:t>3）项目产生的危险废物，在未采取防渗措施的情况下，危险固废液体泄漏，危险废液下渗将引起地下水及土壤污染。</w:t>
            </w:r>
          </w:p>
          <w:p w14:paraId="2B1A510C">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b/>
                <w:bCs w:val="0"/>
                <w:caps w:val="0"/>
                <w:color w:val="auto"/>
                <w:spacing w:val="0"/>
                <w:position w:val="0"/>
                <w:highlight w:val="none"/>
              </w:rPr>
              <w:t>5.3、影响分析</w:t>
            </w:r>
          </w:p>
          <w:p w14:paraId="054791C1">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①</w:t>
            </w:r>
            <w:r>
              <w:rPr>
                <w:rFonts w:hint="default"/>
                <w:caps w:val="0"/>
                <w:color w:val="auto"/>
                <w:spacing w:val="0"/>
                <w:position w:val="0"/>
                <w:highlight w:val="none"/>
              </w:rPr>
              <w:t>正常情况下地下水环境影响分析</w:t>
            </w:r>
          </w:p>
          <w:p w14:paraId="67C2A449">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本项目通过采取本评价提出的环保措施后，对生产区、危废暂存间进行严格的防渗处理后，废水下渗量很小，在正常情况下对地下水及土壤不会造成污染。</w:t>
            </w:r>
          </w:p>
          <w:p w14:paraId="6E98B4F0">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②</w:t>
            </w:r>
            <w:r>
              <w:rPr>
                <w:rFonts w:hint="default"/>
                <w:caps w:val="0"/>
                <w:color w:val="auto"/>
                <w:spacing w:val="0"/>
                <w:position w:val="0"/>
                <w:highlight w:val="none"/>
              </w:rPr>
              <w:t>非正常情况下地下水环境影响分析</w:t>
            </w:r>
          </w:p>
          <w:p w14:paraId="5E68AC9E">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根据场地水文地质条件，危废暂存间</w:t>
            </w:r>
            <w:r>
              <w:rPr>
                <w:rFonts w:hint="eastAsia"/>
                <w:caps w:val="0"/>
                <w:color w:val="auto"/>
                <w:spacing w:val="0"/>
                <w:position w:val="0"/>
                <w:highlight w:val="none"/>
                <w:lang w:eastAsia="zh-CN"/>
              </w:rPr>
              <w:t>、</w:t>
            </w:r>
            <w:r>
              <w:rPr>
                <w:rFonts w:hint="eastAsia" w:ascii="Times New Roman" w:eastAsia="宋体"/>
                <w:caps w:val="0"/>
                <w:color w:val="auto"/>
                <w:spacing w:val="0"/>
                <w:position w:val="0"/>
                <w:highlight w:val="none"/>
                <w:lang w:val="en-US" w:eastAsia="zh-CN"/>
              </w:rPr>
              <w:t>初期雨水池、沉淀池、</w:t>
            </w:r>
            <w:r>
              <w:rPr>
                <w:rFonts w:hint="eastAsia"/>
                <w:caps w:val="0"/>
                <w:color w:val="auto"/>
                <w:spacing w:val="0"/>
                <w:position w:val="0"/>
                <w:highlight w:val="none"/>
                <w:lang w:val="en-US" w:eastAsia="zh-CN"/>
              </w:rPr>
              <w:t>渗滤液池</w:t>
            </w:r>
            <w:r>
              <w:rPr>
                <w:rFonts w:hint="default"/>
                <w:caps w:val="0"/>
                <w:color w:val="auto"/>
                <w:spacing w:val="0"/>
                <w:position w:val="0"/>
                <w:highlight w:val="none"/>
              </w:rPr>
              <w:t>若发生渗漏，</w:t>
            </w:r>
            <w:r>
              <w:rPr>
                <w:rFonts w:hint="eastAsia"/>
                <w:caps w:val="0"/>
                <w:color w:val="auto"/>
                <w:spacing w:val="0"/>
                <w:position w:val="0"/>
                <w:highlight w:val="none"/>
                <w:lang w:val="en-US" w:eastAsia="zh-CN"/>
              </w:rPr>
              <w:t>渗滤液和</w:t>
            </w:r>
            <w:r>
              <w:rPr>
                <w:rFonts w:hint="default"/>
                <w:caps w:val="0"/>
                <w:color w:val="auto"/>
                <w:spacing w:val="0"/>
                <w:position w:val="0"/>
                <w:highlight w:val="none"/>
              </w:rPr>
              <w:t>液态</w:t>
            </w:r>
            <w:r>
              <w:rPr>
                <w:rFonts w:hint="eastAsia"/>
                <w:caps w:val="0"/>
                <w:color w:val="auto"/>
                <w:spacing w:val="0"/>
                <w:position w:val="0"/>
                <w:highlight w:val="none"/>
                <w:lang w:eastAsia="zh-CN"/>
              </w:rPr>
              <w:t>、</w:t>
            </w:r>
            <w:r>
              <w:rPr>
                <w:rFonts w:hint="default"/>
                <w:caps w:val="0"/>
                <w:color w:val="auto"/>
                <w:spacing w:val="0"/>
                <w:position w:val="0"/>
                <w:highlight w:val="none"/>
              </w:rPr>
              <w:t>危废将通过地表水入渗进入地下污染地下水及土壤。</w:t>
            </w:r>
          </w:p>
          <w:p w14:paraId="78F66723">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由于污染物的存在，非正常状况下，将不可避免地会对项目所在区域周围，特别是下游部分区域的地下水及土壤产生一定程度的污染。因此，建设单位应积极采取有效的防渗措施，定期监控，一旦发现液态危废渗漏后，采取有效的应急措施，避免泄漏持续发生。</w:t>
            </w:r>
          </w:p>
          <w:p w14:paraId="075F693F">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eastAsia"/>
                <w:b/>
                <w:bCs w:val="0"/>
                <w:caps w:val="0"/>
                <w:color w:val="auto"/>
                <w:spacing w:val="0"/>
                <w:position w:val="0"/>
                <w:highlight w:val="none"/>
                <w:lang w:val="en-US" w:eastAsia="zh-CN"/>
              </w:rPr>
              <w:t>5.</w:t>
            </w:r>
            <w:r>
              <w:rPr>
                <w:rFonts w:hint="default"/>
                <w:b/>
                <w:bCs w:val="0"/>
                <w:caps w:val="0"/>
                <w:color w:val="auto"/>
                <w:spacing w:val="0"/>
                <w:position w:val="0"/>
                <w:highlight w:val="none"/>
              </w:rPr>
              <w:t>4、预防措施</w:t>
            </w:r>
          </w:p>
          <w:p w14:paraId="0A42E866">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针对上述情况，企业采取以下措施，以减轻对地下水及土壤的污染。</w:t>
            </w:r>
          </w:p>
          <w:p w14:paraId="6BBB322E">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（1）源头控制措施</w:t>
            </w:r>
          </w:p>
          <w:p w14:paraId="224AED56">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项目各类废气均可达标排放，废水经收集、处理达标后</w:t>
            </w:r>
            <w:r>
              <w:rPr>
                <w:rFonts w:hint="eastAsia"/>
                <w:caps w:val="0"/>
                <w:color w:val="auto"/>
                <w:spacing w:val="0"/>
                <w:position w:val="0"/>
                <w:highlight w:val="none"/>
                <w:lang w:val="en-US" w:eastAsia="zh-CN"/>
              </w:rPr>
              <w:t>回用</w:t>
            </w:r>
            <w:r>
              <w:rPr>
                <w:rFonts w:hint="default"/>
                <w:caps w:val="0"/>
                <w:color w:val="auto"/>
                <w:spacing w:val="0"/>
                <w:position w:val="0"/>
                <w:highlight w:val="none"/>
              </w:rPr>
              <w:t>，各类固态废物均能得以妥善处置，有效减少了污染物的排放量。</w:t>
            </w:r>
          </w:p>
          <w:p w14:paraId="16E12B7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（2）分区防治措施</w:t>
            </w:r>
          </w:p>
          <w:p w14:paraId="4D7E3E2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生产废气妥善收集处理后高空排放。</w:t>
            </w:r>
          </w:p>
          <w:p w14:paraId="62C63063">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废水收集处理构筑物在工程设计时采用混凝土构造，并按照相应的标准设置了防渗层，防止污水下渗污染地下水及土壤。在正常生产情况下，企业做好防渗处理条件下，项目废水不会直接渗入土壤，也不会对地下水造成影响。</w:t>
            </w:r>
          </w:p>
          <w:p w14:paraId="64C77B1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项目设置专门的危废贮存场所，厂区地面进行硬化处理，环评要求按照下表防渗标准分区设置防渗区，建立防渗设施的检漏系统，防止污染物的跑、冒、滴、漏，将污染物泄漏的环境风险事故降到最低限度。</w:t>
            </w:r>
          </w:p>
          <w:p w14:paraId="56B3CA13">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针对可能对地下水造成影响的各环节。本项目采取的防渗漏措施主要为一般防渗区和重点防渗区。</w:t>
            </w:r>
          </w:p>
          <w:p w14:paraId="5EA147F5">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rPr>
              <w:t>在厂内的一旦发现地下水受到了污染，第一时间进行处理</w:t>
            </w:r>
            <w:r>
              <w:rPr>
                <w:rFonts w:hint="eastAsia"/>
                <w:caps w:val="0"/>
                <w:color w:val="auto"/>
                <w:spacing w:val="0"/>
                <w:position w:val="0"/>
                <w:lang w:eastAsia="zh-CN"/>
              </w:rPr>
              <w:t>，</w:t>
            </w:r>
            <w:r>
              <w:rPr>
                <w:rFonts w:hint="default"/>
                <w:caps w:val="0"/>
                <w:color w:val="auto"/>
                <w:spacing w:val="0"/>
                <w:position w:val="0"/>
              </w:rPr>
              <w:t>地下水监测井</w:t>
            </w:r>
            <w:r>
              <w:rPr>
                <w:rFonts w:hint="eastAsia"/>
                <w:caps w:val="0"/>
                <w:color w:val="auto"/>
                <w:spacing w:val="0"/>
                <w:position w:val="0"/>
                <w:lang w:val="en-US" w:eastAsia="zh-CN"/>
              </w:rPr>
              <w:t>位置利用租赁厂区内现有。</w:t>
            </w:r>
            <w:r>
              <w:rPr>
                <w:rFonts w:hint="default"/>
                <w:caps w:val="0"/>
                <w:color w:val="auto"/>
                <w:spacing w:val="0"/>
                <w:position w:val="0"/>
              </w:rPr>
              <w:t>若发生了污染可以采取水力抽取截获的方法，将受到污染的区域的地下水用水泵抽出，防止受污染的地下水向周围迁移，减少污染扩散。同时抽出来的地下水可以置于污水处理站进行处理达标后排放。</w:t>
            </w:r>
          </w:p>
          <w:p w14:paraId="7B5E1905">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表4-1</w:t>
            </w:r>
            <w:r>
              <w:rPr>
                <w:rFonts w:hint="eastAsia"/>
                <w:caps w:val="0"/>
                <w:color w:val="auto"/>
                <w:spacing w:val="0"/>
                <w:position w:val="0"/>
                <w:highlight w:val="none"/>
                <w:lang w:val="en-US" w:eastAsia="zh-CN"/>
              </w:rPr>
              <w:t>8</w:t>
            </w:r>
            <w:r>
              <w:rPr>
                <w:rFonts w:hint="default"/>
                <w:caps w:val="0"/>
                <w:color w:val="auto"/>
                <w:spacing w:val="0"/>
                <w:position w:val="0"/>
                <w:highlight w:val="none"/>
              </w:rPr>
              <w:t xml:space="preserve"> 建设项目污染区划分及防渗等级一览表</w:t>
            </w:r>
          </w:p>
          <w:tbl>
            <w:tblPr>
              <w:tblStyle w:val="2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24"/>
              <w:gridCol w:w="2099"/>
              <w:gridCol w:w="5039"/>
            </w:tblGrid>
            <w:tr w14:paraId="1A39FD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64" w:type="dxa"/>
                  <w:noWrap w:val="0"/>
                  <w:vAlign w:val="center"/>
                </w:tcPr>
                <w:p w14:paraId="648C9439">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防渗级别</w:t>
                  </w:r>
                </w:p>
              </w:tc>
              <w:tc>
                <w:tcPr>
                  <w:tcW w:w="2173" w:type="dxa"/>
                  <w:noWrap w:val="0"/>
                  <w:vAlign w:val="center"/>
                </w:tcPr>
                <w:p w14:paraId="471806AF">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工作区</w:t>
                  </w:r>
                </w:p>
              </w:tc>
              <w:tc>
                <w:tcPr>
                  <w:tcW w:w="5190" w:type="dxa"/>
                  <w:noWrap w:val="0"/>
                  <w:vAlign w:val="center"/>
                </w:tcPr>
                <w:p w14:paraId="4E9AAF02">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防渗技术要求</w:t>
                  </w:r>
                </w:p>
              </w:tc>
            </w:tr>
            <w:tr w14:paraId="2B922D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64" w:type="dxa"/>
                  <w:noWrap w:val="0"/>
                  <w:vAlign w:val="center"/>
                </w:tcPr>
                <w:p w14:paraId="3F2884E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重点防渗区</w:t>
                  </w:r>
                </w:p>
              </w:tc>
              <w:tc>
                <w:tcPr>
                  <w:tcW w:w="2173" w:type="dxa"/>
                  <w:noWrap w:val="0"/>
                  <w:vAlign w:val="center"/>
                </w:tcPr>
                <w:p w14:paraId="5838C578">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沉淀池、初期雨水池、锂渣仓库、</w:t>
                  </w:r>
                  <w:r>
                    <w:rPr>
                      <w:rFonts w:hint="default"/>
                      <w:caps w:val="0"/>
                      <w:color w:val="auto"/>
                      <w:spacing w:val="0"/>
                      <w:position w:val="0"/>
                      <w:highlight w:val="none"/>
                    </w:rPr>
                    <w:t>危废暂存间</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事故池</w:t>
                  </w:r>
                </w:p>
              </w:tc>
              <w:tc>
                <w:tcPr>
                  <w:tcW w:w="5190" w:type="dxa"/>
                  <w:noWrap w:val="0"/>
                  <w:vAlign w:val="center"/>
                </w:tcPr>
                <w:p w14:paraId="7088386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危废暂存间防渗要求依据《危险废物贮存污染控制标准》GB18597-2001要求，渗透系数≤10</w:t>
                  </w:r>
                  <w:r>
                    <w:rPr>
                      <w:rFonts w:hint="default"/>
                      <w:caps w:val="0"/>
                      <w:color w:val="auto"/>
                      <w:spacing w:val="0"/>
                      <w:position w:val="0"/>
                      <w:highlight w:val="none"/>
                      <w:vertAlign w:val="superscript"/>
                    </w:rPr>
                    <w:t>-10</w:t>
                  </w:r>
                  <w:r>
                    <w:rPr>
                      <w:rFonts w:hint="default"/>
                      <w:caps w:val="0"/>
                      <w:color w:val="auto"/>
                      <w:spacing w:val="0"/>
                      <w:position w:val="0"/>
                      <w:highlight w:val="none"/>
                    </w:rPr>
                    <w:t>cm/s；其余工作区防渗要求为：等效黏土防渗层厚≥6.0m，渗透系数≤1.0×10</w:t>
                  </w:r>
                  <w:r>
                    <w:rPr>
                      <w:rFonts w:hint="default"/>
                      <w:caps w:val="0"/>
                      <w:color w:val="auto"/>
                      <w:spacing w:val="0"/>
                      <w:position w:val="0"/>
                      <w:highlight w:val="none"/>
                      <w:vertAlign w:val="superscript"/>
                    </w:rPr>
                    <w:t>-7</w:t>
                  </w:r>
                  <w:r>
                    <w:rPr>
                      <w:rFonts w:hint="default"/>
                      <w:caps w:val="0"/>
                      <w:color w:val="auto"/>
                      <w:spacing w:val="0"/>
                      <w:position w:val="0"/>
                      <w:highlight w:val="none"/>
                    </w:rPr>
                    <w:t>cm/s，或者参考GB18598执行。</w:t>
                  </w:r>
                </w:p>
              </w:tc>
            </w:tr>
            <w:tr w14:paraId="267783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64" w:type="dxa"/>
                  <w:noWrap w:val="0"/>
                  <w:vAlign w:val="center"/>
                </w:tcPr>
                <w:p w14:paraId="0B2ED8B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一般防渗区</w:t>
                  </w:r>
                </w:p>
              </w:tc>
              <w:tc>
                <w:tcPr>
                  <w:tcW w:w="2173" w:type="dxa"/>
                  <w:noWrap w:val="0"/>
                  <w:vAlign w:val="center"/>
                </w:tcPr>
                <w:p w14:paraId="1EC8FE3B">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default"/>
                      <w:caps w:val="0"/>
                      <w:color w:val="auto"/>
                      <w:spacing w:val="0"/>
                      <w:position w:val="0"/>
                      <w:highlight w:val="none"/>
                    </w:rPr>
                    <w:t>一般固废暂存间、仓库</w:t>
                  </w:r>
                  <w:r>
                    <w:rPr>
                      <w:rFonts w:hint="eastAsia"/>
                      <w:caps w:val="0"/>
                      <w:color w:val="auto"/>
                      <w:spacing w:val="0"/>
                      <w:position w:val="0"/>
                      <w:highlight w:val="none"/>
                      <w:lang w:eastAsia="zh-CN"/>
                    </w:rPr>
                    <w:t>、</w:t>
                  </w:r>
                  <w:r>
                    <w:rPr>
                      <w:rFonts w:hint="default"/>
                      <w:caps w:val="0"/>
                      <w:color w:val="auto"/>
                      <w:spacing w:val="0"/>
                      <w:position w:val="0"/>
                      <w:highlight w:val="none"/>
                    </w:rPr>
                    <w:t>化粪池、生产区</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养护区、废水暂存池</w:t>
                  </w:r>
                </w:p>
              </w:tc>
              <w:tc>
                <w:tcPr>
                  <w:tcW w:w="5190" w:type="dxa"/>
                  <w:noWrap w:val="0"/>
                  <w:vAlign w:val="center"/>
                </w:tcPr>
                <w:p w14:paraId="7317D40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等效黏土防渗层厚≥1.5m，渗透系数≤1.0×10</w:t>
                  </w:r>
                  <w:r>
                    <w:rPr>
                      <w:rFonts w:hint="default"/>
                      <w:caps w:val="0"/>
                      <w:color w:val="auto"/>
                      <w:spacing w:val="0"/>
                      <w:position w:val="0"/>
                      <w:highlight w:val="none"/>
                      <w:vertAlign w:val="superscript"/>
                    </w:rPr>
                    <w:t>-7</w:t>
                  </w:r>
                  <w:r>
                    <w:rPr>
                      <w:rFonts w:hint="default"/>
                      <w:caps w:val="0"/>
                      <w:color w:val="auto"/>
                      <w:spacing w:val="0"/>
                      <w:position w:val="0"/>
                      <w:highlight w:val="none"/>
                    </w:rPr>
                    <w:t>cm/s；或者参考GB16889执行。</w:t>
                  </w:r>
                </w:p>
              </w:tc>
            </w:tr>
            <w:tr w14:paraId="48C5D6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64" w:type="dxa"/>
                  <w:noWrap w:val="0"/>
                  <w:vAlign w:val="center"/>
                </w:tcPr>
                <w:p w14:paraId="53CB4AAC">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简单防渗</w:t>
                  </w:r>
                </w:p>
              </w:tc>
              <w:tc>
                <w:tcPr>
                  <w:tcW w:w="2173" w:type="dxa"/>
                  <w:noWrap w:val="0"/>
                  <w:vAlign w:val="center"/>
                </w:tcPr>
                <w:p w14:paraId="55BCD5E1">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办公区</w:t>
                  </w:r>
                </w:p>
              </w:tc>
              <w:tc>
                <w:tcPr>
                  <w:tcW w:w="5190" w:type="dxa"/>
                  <w:noWrap w:val="0"/>
                  <w:vAlign w:val="center"/>
                </w:tcPr>
                <w:p w14:paraId="37AF34C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一般地面硬化</w:t>
                  </w:r>
                </w:p>
              </w:tc>
            </w:tr>
          </w:tbl>
          <w:p w14:paraId="6E76819D">
            <w:pPr>
              <w:pStyle w:val="83"/>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caps w:val="0"/>
                <w:color w:val="auto"/>
                <w:spacing w:val="0"/>
                <w:position w:val="0"/>
              </w:rPr>
              <w:t>（3）地下水环境管理对策</w:t>
            </w:r>
          </w:p>
          <w:p w14:paraId="0FA43664">
            <w:pPr>
              <w:pStyle w:val="83"/>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caps w:val="0"/>
                <w:color w:val="auto"/>
                <w:spacing w:val="0"/>
                <w:position w:val="0"/>
              </w:rPr>
              <w:t>①地下水环境监测系统</w:t>
            </w:r>
          </w:p>
          <w:p w14:paraId="4B699229">
            <w:pPr>
              <w:pStyle w:val="83"/>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caps w:val="0"/>
                <w:color w:val="auto"/>
                <w:spacing w:val="0"/>
                <w:position w:val="0"/>
              </w:rPr>
              <w:t>另外根据《宜春市生态环境保护委员会办公室关于印发〈宜春市涉锂电主要行业生态环境监管标准（试行）〉的通知》（宜环委办字〔2023〕2号）要求，在企业上下游和厂区内设置地下水监测井，每季度开展一次铊、铍、氟化物等特征污染因子地下水自行监测。</w:t>
            </w:r>
          </w:p>
          <w:p w14:paraId="5660322C">
            <w:pPr>
              <w:pStyle w:val="83"/>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caps w:val="0"/>
                <w:color w:val="auto"/>
                <w:spacing w:val="0"/>
                <w:position w:val="0"/>
              </w:rPr>
              <w:t>项目设置3个跟踪监测井：1#：</w:t>
            </w:r>
            <w:r>
              <w:rPr>
                <w:rFonts w:hint="eastAsia"/>
                <w:caps w:val="0"/>
                <w:color w:val="auto"/>
                <w:spacing w:val="0"/>
                <w:position w:val="0"/>
                <w:lang w:val="en-US" w:eastAsia="zh-CN"/>
              </w:rPr>
              <w:t>散户居民</w:t>
            </w:r>
            <w:r>
              <w:rPr>
                <w:rFonts w:hint="default"/>
                <w:caps w:val="0"/>
                <w:color w:val="auto"/>
                <w:spacing w:val="0"/>
                <w:position w:val="0"/>
              </w:rPr>
              <w:t>民井（厂外北侧</w:t>
            </w:r>
            <w:r>
              <w:rPr>
                <w:rFonts w:hint="eastAsia"/>
                <w:caps w:val="0"/>
                <w:color w:val="auto"/>
                <w:spacing w:val="0"/>
                <w:position w:val="0"/>
                <w:lang w:val="en-US" w:eastAsia="zh-CN"/>
              </w:rPr>
              <w:t>227</w:t>
            </w:r>
            <w:r>
              <w:rPr>
                <w:rFonts w:hint="default"/>
                <w:caps w:val="0"/>
                <w:color w:val="auto"/>
                <w:spacing w:val="0"/>
                <w:position w:val="0"/>
              </w:rPr>
              <w:t>m，上游）</w:t>
            </w:r>
            <w:r>
              <w:rPr>
                <w:rFonts w:hint="eastAsia"/>
                <w:caps w:val="0"/>
                <w:color w:val="auto"/>
                <w:spacing w:val="0"/>
                <w:position w:val="0"/>
                <w:lang w:eastAsia="zh-CN"/>
              </w:rPr>
              <w:t>；</w:t>
            </w:r>
            <w:r>
              <w:rPr>
                <w:rFonts w:hint="default" w:ascii="Times New Roman" w:hAnsi="Times New Roman" w:eastAsia="Times New Roman" w:cs="Times New Roman"/>
                <w:caps w:val="0"/>
                <w:color w:val="auto"/>
                <w:spacing w:val="0"/>
                <w:position w:val="0"/>
              </w:rPr>
              <w:t>2#</w:t>
            </w:r>
            <w:r>
              <w:rPr>
                <w:rFonts w:hint="default"/>
                <w:caps w:val="0"/>
                <w:color w:val="auto"/>
                <w:spacing w:val="0"/>
                <w:position w:val="0"/>
              </w:rPr>
              <w:t>：锂冶炼剩余物原料仓库外（厂区内，重点污染风险源处）；</w:t>
            </w:r>
            <w:r>
              <w:rPr>
                <w:rFonts w:hint="default" w:ascii="Times New Roman" w:hAnsi="Times New Roman" w:eastAsia="Times New Roman" w:cs="Times New Roman"/>
                <w:caps w:val="0"/>
                <w:color w:val="auto"/>
                <w:spacing w:val="0"/>
                <w:position w:val="0"/>
              </w:rPr>
              <w:t>3#</w:t>
            </w:r>
            <w:r>
              <w:rPr>
                <w:rFonts w:hint="default"/>
                <w:caps w:val="0"/>
                <w:color w:val="auto"/>
                <w:spacing w:val="0"/>
                <w:position w:val="0"/>
              </w:rPr>
              <w:t>：</w:t>
            </w:r>
            <w:r>
              <w:rPr>
                <w:rFonts w:hint="eastAsia"/>
                <w:caps w:val="0"/>
                <w:color w:val="auto"/>
                <w:spacing w:val="0"/>
                <w:position w:val="0"/>
                <w:lang w:val="en-US" w:eastAsia="zh-CN"/>
              </w:rPr>
              <w:t>枫树泉村</w:t>
            </w:r>
            <w:r>
              <w:rPr>
                <w:rFonts w:hint="default"/>
                <w:caps w:val="0"/>
                <w:color w:val="auto"/>
                <w:spacing w:val="0"/>
                <w:position w:val="0"/>
              </w:rPr>
              <w:t>民井（厂外</w:t>
            </w:r>
            <w:r>
              <w:rPr>
                <w:rFonts w:hint="eastAsia"/>
                <w:caps w:val="0"/>
                <w:color w:val="auto"/>
                <w:spacing w:val="0"/>
                <w:position w:val="0"/>
                <w:lang w:val="en-US" w:eastAsia="zh-CN"/>
              </w:rPr>
              <w:t>西</w:t>
            </w:r>
            <w:r>
              <w:rPr>
                <w:rFonts w:hint="default"/>
                <w:caps w:val="0"/>
                <w:color w:val="auto"/>
                <w:spacing w:val="0"/>
                <w:position w:val="0"/>
              </w:rPr>
              <w:t>南侧</w:t>
            </w:r>
            <w:r>
              <w:rPr>
                <w:rFonts w:hint="eastAsia"/>
                <w:caps w:val="0"/>
                <w:color w:val="auto"/>
                <w:spacing w:val="0"/>
                <w:position w:val="0"/>
                <w:lang w:val="en-US" w:eastAsia="zh-CN"/>
              </w:rPr>
              <w:t>370m</w:t>
            </w:r>
            <w:r>
              <w:rPr>
                <w:rFonts w:hint="default"/>
                <w:caps w:val="0"/>
                <w:color w:val="auto"/>
                <w:spacing w:val="0"/>
                <w:position w:val="0"/>
              </w:rPr>
              <w:t>，下游）。定期进行监测，一旦发现污染，应立即采取措施，防止地下水污染扩散。</w:t>
            </w:r>
          </w:p>
          <w:p w14:paraId="3F4B4355">
            <w:pPr>
              <w:pStyle w:val="83"/>
              <w:keepNext w:val="0"/>
              <w:keepLines w:val="0"/>
              <w:suppressLineNumbers w:val="0"/>
              <w:bidi w:val="0"/>
              <w:spacing w:before="0" w:beforeAutospacing="0" w:after="0" w:afterAutospacing="0"/>
              <w:ind w:left="0" w:leftChars="0" w:right="0" w:firstLine="0" w:firstLineChars="0"/>
              <w:jc w:val="center"/>
              <w:rPr>
                <w:rFonts w:hint="default"/>
                <w:caps w:val="0"/>
                <w:color w:val="auto"/>
                <w:spacing w:val="0"/>
                <w:position w:val="0"/>
              </w:rPr>
            </w:pPr>
            <w:r>
              <w:rPr>
                <w:rFonts w:hint="default"/>
                <w:caps w:val="0"/>
                <w:color w:val="auto"/>
                <w:spacing w:val="0"/>
                <w:position w:val="0"/>
                <w:sz w:val="24"/>
              </w:rPr>
              <mc:AlternateContent>
                <mc:Choice Requires="wps">
                  <w:drawing>
                    <wp:anchor distT="0" distB="0" distL="114300" distR="114300" simplePos="0" relativeHeight="251669504" behindDoc="0" locked="0" layoutInCell="1" allowOverlap="1">
                      <wp:simplePos x="0" y="0"/>
                      <wp:positionH relativeFrom="column">
                        <wp:posOffset>2652395</wp:posOffset>
                      </wp:positionH>
                      <wp:positionV relativeFrom="paragraph">
                        <wp:posOffset>1343660</wp:posOffset>
                      </wp:positionV>
                      <wp:extent cx="736600" cy="3556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736600" cy="3556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0996D9">
                                  <w:pPr>
                                    <w:ind w:left="0" w:leftChars="0" w:firstLine="0" w:firstLineChars="0"/>
                                    <w:jc w:val="both"/>
                                    <w:rPr>
                                      <w:rFonts w:hint="default" w:eastAsia="宋体"/>
                                      <w:color w:val="FF0000"/>
                                      <w:sz w:val="20"/>
                                      <w:szCs w:val="20"/>
                                      <w:lang w:val="en-US" w:eastAsia="zh-CN"/>
                                    </w:rPr>
                                  </w:pPr>
                                  <w:r>
                                    <w:rPr>
                                      <w:rFonts w:hint="eastAsia"/>
                                      <w:color w:val="FF0000"/>
                                      <w:sz w:val="20"/>
                                      <w:szCs w:val="20"/>
                                      <w:lang w:val="en-US" w:eastAsia="zh-CN"/>
                                    </w:rPr>
                                    <w:t>2#监测井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8.85pt;margin-top:105.8pt;height:28pt;width:58pt;z-index:251669504;mso-width-relative:page;mso-height-relative:page;" filled="f" stroked="f" coordsize="21600,21600" o:gfxdata="UEsDBAoAAAAAAIdO4kAAAAAAAAAAAAAAAAAEAAAAZHJzL1BLAwQUAAAACACHTuJANeEBI9sAAAAL&#10;AQAADwAAAGRycy9kb3ducmV2LnhtbE2Py07DMBBF90j8gzVI7KjjlCZViFOhSBUSgkVLN+wmsZtE&#10;+BFi9/n1DCtYzp2jO2fK1dkadtRTGLyTIGYJMO1arwbXSdh9rB+WwEJEp9B4pyVcdIBVdXtTYqH8&#10;yW30cRs7RiUuFCihj3EsOA9try2GmR+1o93eTxYjjVPH1YQnKreGp0mScYuDows9jrrudfu1PVgJ&#10;r/X6HTdNapdXU7+87Z/H793nQsr7O5E8AYv6HP9g+NUndajIqfEHpwIzEh5FnhMqIRUiA0bEYj6n&#10;pKEkyzPgVcn//1D9AFBLAwQUAAAACACHTuJAyinRsjsCAABnBAAADgAAAGRycy9lMm9Eb2MueG1s&#10;rVTBbhMxEL0j8Q+W73STpkkh6qYKrYqQKlqpIM6O19tdyfYY2+lu+QD4A05cuPNd+Q6evUlaFQ49&#10;cHHGM7Nv/N7M5OS0N5rdKR9asiUfH4w4U1ZS1drbkn/6ePHqNWchClsJTVaV/F4Ffrp4+eKkc3N1&#10;SA3pSnkGEBvmnSt5E6ObF0WQjTIiHJBTFsGavBERV39bVF50QDe6OByNZkVHvnKepAoB3vMhyLeI&#10;/jmAVNetVOck10bZOKB6pUUEpdC0LvBFfm1dKxmv6jqoyHTJwTTmE0Vgr9JZLE7E/NYL17Ry+wTx&#10;nCc84WREa1F0D3UuomBr3/4FZVrpKVAdDySZYiCSFQGL8eiJNjeNcCpzgdTB7UUP/w9Wfri79qyt&#10;Sj6ZcmaFQcc3P75vfv7e/PrG4INAnQtz5N04ZMb+LfUYm50/wJl497U36ReMGOKQ934vr+ojk3Ae&#10;T2azESISocl0mmygFw8fOx/iO0WGJaPkHt3Looq7yxCH1F1KqmXpotU6d1Bb1pV8NpmO8gf7CMC1&#10;RY1EYXhqsmK/6re8VlTdg5anYTKCkxctil+KEK+FxyjgvViWeIWj1oQitLU4a8h//Zc/5aNDiHLW&#10;YbRKHr6shVec6fcWvXszPjoCbMyXo+nxIS7+cWT1OGLX5owwvWOspZPZTPlR78zak/mMnVqmqggJ&#10;K1G75HFnnsVh4LGTUi2XOQnT50S8tDdOJuhBzuU6Ut1mpZNMgzZb9TB/uVfbXUkD/viesx7+Hx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DXhASPbAAAACwEAAA8AAAAAAAAAAQAgAAAAIgAAAGRy&#10;cy9kb3ducmV2LnhtbFBLAQIUABQAAAAIAIdO4kDKKdGyOwIAAGcEAAAOAAAAAAAAAAEAIAAAACoB&#10;AABkcnMvZTJvRG9jLnhtbFBLBQYAAAAABgAGAFkBAADXBQAAAAA=&#10;">
                      <v:fill on="f" focussize="0,0"/>
                      <v:stroke on="f" weight="0.5pt"/>
                      <v:imagedata o:title=""/>
                      <o:lock v:ext="edit" aspectratio="f"/>
                      <v:textbox>
                        <w:txbxContent>
                          <w:p w14:paraId="4A0996D9">
                            <w:pPr>
                              <w:ind w:left="0" w:leftChars="0" w:firstLine="0" w:firstLineChars="0"/>
                              <w:jc w:val="both"/>
                              <w:rPr>
                                <w:rFonts w:hint="default" w:eastAsia="宋体"/>
                                <w:color w:val="FF0000"/>
                                <w:sz w:val="20"/>
                                <w:szCs w:val="20"/>
                                <w:lang w:val="en-US" w:eastAsia="zh-CN"/>
                              </w:rPr>
                            </w:pPr>
                            <w:r>
                              <w:rPr>
                                <w:rFonts w:hint="eastAsia"/>
                                <w:color w:val="FF0000"/>
                                <w:sz w:val="20"/>
                                <w:szCs w:val="20"/>
                                <w:lang w:val="en-US" w:eastAsia="zh-CN"/>
                              </w:rPr>
                              <w:t>2#监测井</w:t>
                            </w:r>
                          </w:p>
                        </w:txbxContent>
                      </v:textbox>
                    </v:shape>
                  </w:pict>
                </mc:Fallback>
              </mc:AlternateContent>
            </w:r>
            <w:r>
              <w:rPr>
                <w:rFonts w:hint="eastAsia"/>
                <w:caps w:val="0"/>
                <w:color w:val="auto"/>
                <w:spacing w:val="0"/>
                <w:position w:val="0"/>
                <w:highlight w:val="none"/>
                <w:lang w:val="en-US" w:eastAsia="zh-CN"/>
              </w:rPr>
              <w:drawing>
                <wp:anchor distT="0" distB="0" distL="114300" distR="114300" simplePos="0" relativeHeight="251665408" behindDoc="0" locked="0" layoutInCell="1" allowOverlap="1">
                  <wp:simplePos x="0" y="0"/>
                  <wp:positionH relativeFrom="column">
                    <wp:posOffset>2610485</wp:posOffset>
                  </wp:positionH>
                  <wp:positionV relativeFrom="paragraph">
                    <wp:posOffset>1217930</wp:posOffset>
                  </wp:positionV>
                  <wp:extent cx="218440" cy="218440"/>
                  <wp:effectExtent l="0" t="0" r="10160" b="10160"/>
                  <wp:wrapNone/>
                  <wp:docPr id="26" name="图片 26" descr="坐标"/>
                  <wp:cNvGraphicFramePr>
                    <a:graphicFrameLocks xmlns:a="http://schemas.openxmlformats.org/drawingml/2006/main" noChangeAspect="1"/>
                    <a:extLst xmlns:a="http://schemas.openxmlformats.org/drawingml/2006/main">
                      <a:ext uri="{7FBC4E63-A832-4D11-8238-D91031DB1400}">
                        <s:tag xmlns="http://www.wps.cn/officeDocument/2013/wpsCustomData" xmlns:s="http://www.wps.cn/officeDocument/2013/wpsCustomData">
                          <s:item s:name="KSO_DOCER_RESOURCE_TRACE_INFO" s:val="{&quot;id&quot;:&quot;3642632&quot;,&quot;origin&quot;:0,&quot;type&quot;:&quot;icons&quot;,&quot;user&quot;:&quot;1708321359&quot;}"/>
                        </s:tag>
                      </a:ext>
                    </a:extLst>
                  </wp:cNvGraphicFramePr>
                  <a:graphic xmlns:a="http://schemas.openxmlformats.org/drawingml/2006/main">
                    <a:graphicData uri="http://schemas.openxmlformats.org/drawingml/2006/picture">
                      <pic:pic xmlns:pic="http://schemas.openxmlformats.org/drawingml/2006/picture">
                        <pic:nvPicPr>
                          <pic:cNvPr id="26" name="图片 26" descr="坐标"/>
                          <pic:cNvPicPr>
                            <a:picLocks noChangeAspect="1"/>
                          </pic:cNvPicPr>
                        </pic:nvPicPr>
                        <pic:blipFill>
                          <a:blip r:embed="rId22">
                            <a:extLst>
                              <a:ext uri="{96DAC541-7B7A-43D3-8B79-37D633B846F1}">
                                <asvg:svgBlip xmlns:asvg="http://schemas.microsoft.com/office/drawing/2016/SVG/main" r:embed="rId23"/>
                              </a:ext>
                            </a:extLst>
                          </a:blip>
                          <a:stretch>
                            <a:fillRect/>
                          </a:stretch>
                        </pic:blipFill>
                        <pic:spPr>
                          <a:xfrm>
                            <a:off x="0" y="0"/>
                            <a:ext cx="218440" cy="218440"/>
                          </a:xfrm>
                          <a:prstGeom prst="rect">
                            <a:avLst/>
                          </a:prstGeom>
                        </pic:spPr>
                      </pic:pic>
                    </a:graphicData>
                  </a:graphic>
                </wp:anchor>
              </w:drawing>
            </w:r>
            <w:r>
              <w:rPr>
                <w:rFonts w:hint="default"/>
                <w:caps w:val="0"/>
                <w:color w:val="auto"/>
                <w:spacing w:val="0"/>
                <w:position w:val="0"/>
                <w:sz w:val="24"/>
              </w:rPr>
              <mc:AlternateContent>
                <mc:Choice Requires="wps">
                  <w:drawing>
                    <wp:anchor distT="0" distB="0" distL="114300" distR="114300" simplePos="0" relativeHeight="251670528" behindDoc="0" locked="0" layoutInCell="1" allowOverlap="1">
                      <wp:simplePos x="0" y="0"/>
                      <wp:positionH relativeFrom="column">
                        <wp:posOffset>1617345</wp:posOffset>
                      </wp:positionH>
                      <wp:positionV relativeFrom="paragraph">
                        <wp:posOffset>2429510</wp:posOffset>
                      </wp:positionV>
                      <wp:extent cx="736600" cy="3556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736600" cy="3556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D7E447">
                                  <w:pPr>
                                    <w:ind w:left="0" w:leftChars="0" w:firstLine="0" w:firstLineChars="0"/>
                                    <w:jc w:val="both"/>
                                    <w:rPr>
                                      <w:rFonts w:hint="default" w:eastAsia="宋体"/>
                                      <w:color w:val="FF0000"/>
                                      <w:sz w:val="20"/>
                                      <w:szCs w:val="20"/>
                                      <w:lang w:val="en-US" w:eastAsia="zh-CN"/>
                                    </w:rPr>
                                  </w:pPr>
                                  <w:r>
                                    <w:rPr>
                                      <w:rFonts w:hint="eastAsia"/>
                                      <w:color w:val="FF0000"/>
                                      <w:sz w:val="20"/>
                                      <w:szCs w:val="20"/>
                                      <w:lang w:val="en-US" w:eastAsia="zh-CN"/>
                                    </w:rPr>
                                    <w:t>3#监测井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7.35pt;margin-top:191.3pt;height:28pt;width:58pt;z-index:251670528;mso-width-relative:page;mso-height-relative:page;" filled="f" stroked="f" coordsize="21600,21600" o:gfxdata="UEsDBAoAAAAAAIdO4kAAAAAAAAAAAAAAAAAEAAAAZHJzL1BLAwQUAAAACACHTuJALlcXv9wAAAAL&#10;AQAADwAAAGRycy9kb3ducmV2LnhtbE2Py07DMBBF90j8gzVI7KjdpE2jkEmFIlVICBYt3bBz4mkS&#10;4UeI3Qd8PWZVljNzdOfccn0xmp1o8oOzCPOZAEa2dWqwHcL+ffOQA/NBWiW1s4TwTR7W1e1NKQvl&#10;znZLp13oWAyxvpAIfQhjwblvezLSz9xINt4ObjIyxHHquJrkOYYbzRMhMm7kYOOHXo5U99R+7o4G&#10;4aXevMltk5j8R9fPr4en8Wv/sUS8v5uLR2CBLuEKw59+VIcqOjXuaJVnGiFZLlYRRUjzJAMWiXQl&#10;4qZBWKR5Brwq+f8O1S9QSwMEFAAAAAgAh07iQGWu5VA7AgAAZwQAAA4AAABkcnMvZTJvRG9jLnht&#10;bK1UwW4TMRC9I/EPlu90k6ZJIeqmCq2KkCpaqSDOjtfbXcn2GNvpbvkA+ANOXLjzXfkOnr1JWhUO&#10;PXBxxjOzb/zezOTktDea3SkfWrIlHx+MOFNWUtXa25J/+njx6jVnIQpbCU1WlfxeBX66ePnipHNz&#10;dUgN6Up5BhAb5p0reROjmxdFkI0yIhyQUxbBmrwREVd/W1RedEA3ujgcjWZFR75ynqQKAd7zIci3&#10;iP45gFTXrVTnJNdG2TigeqVFBKXQtC7wRX5tXSsZr+o6qMh0ycE05hNFYK/SWSxOxPzWC9e0cvsE&#10;8ZwnPOFkRGtRdA91LqJga9/+BWVa6SlQHQ8kmWIgkhUBi/HoiTY3jXAqc4HUwe1FD/8PVn64u/as&#10;rUo+mXFmhUHHNz++b37+3vz6xuCDQJ0Lc+TdOGTG/i31GJudP8CZePe1N+kXjBjikPd+L6/qI5Nw&#10;Hk9msxEiEqHJdJpsoBcPHzsf4jtFhiWj5B7dy6KKu8sQh9RdSqpl6aLVOndQW9aVfDaZjvIH+wjA&#10;tUWNRGF4arJiv+q3vFZU3YOWp2EygpMXLYpfihCvhcco4L1YlniFo9aEIrS1OGvIf/2XP+WjQ4hy&#10;1mG0Sh6+rIVXnOn3Fr17Mz46AmzMl6Pp8SEu/nFk9Thi1+aMML1jrKWT2Uz5Ue/M2pP5jJ1apqoI&#10;CStRu+RxZ57FYeCxk1ItlzkJ0+dEvLQ3TiboQc7lOlLdZqWTTIM2W/Uwf7lX211JA/74nrMe/h8W&#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uVxe/3AAAAAsBAAAPAAAAAAAAAAEAIAAAACIAAABk&#10;cnMvZG93bnJldi54bWxQSwECFAAUAAAACACHTuJAZa7lUDsCAABnBAAADgAAAAAAAAABACAAAAAr&#10;AQAAZHJzL2Uyb0RvYy54bWxQSwUGAAAAAAYABgBZAQAA2AUAAAAA&#10;">
                      <v:fill on="f" focussize="0,0"/>
                      <v:stroke on="f" weight="0.5pt"/>
                      <v:imagedata o:title=""/>
                      <o:lock v:ext="edit" aspectratio="f"/>
                      <v:textbox>
                        <w:txbxContent>
                          <w:p w14:paraId="71D7E447">
                            <w:pPr>
                              <w:ind w:left="0" w:leftChars="0" w:firstLine="0" w:firstLineChars="0"/>
                              <w:jc w:val="both"/>
                              <w:rPr>
                                <w:rFonts w:hint="default" w:eastAsia="宋体"/>
                                <w:color w:val="FF0000"/>
                                <w:sz w:val="20"/>
                                <w:szCs w:val="20"/>
                                <w:lang w:val="en-US" w:eastAsia="zh-CN"/>
                              </w:rPr>
                            </w:pPr>
                            <w:r>
                              <w:rPr>
                                <w:rFonts w:hint="eastAsia"/>
                                <w:color w:val="FF0000"/>
                                <w:sz w:val="20"/>
                                <w:szCs w:val="20"/>
                                <w:lang w:val="en-US" w:eastAsia="zh-CN"/>
                              </w:rPr>
                              <w:t>3#监测井</w:t>
                            </w:r>
                          </w:p>
                        </w:txbxContent>
                      </v:textbox>
                    </v:shape>
                  </w:pict>
                </mc:Fallback>
              </mc:AlternateContent>
            </w:r>
            <w:r>
              <w:rPr>
                <w:rFonts w:hint="default"/>
                <w:caps w:val="0"/>
                <w:color w:val="auto"/>
                <w:spacing w:val="0"/>
                <w:position w:val="0"/>
                <w:sz w:val="24"/>
              </w:rPr>
              <mc:AlternateContent>
                <mc:Choice Requires="wps">
                  <w:drawing>
                    <wp:anchor distT="0" distB="0" distL="114300" distR="114300" simplePos="0" relativeHeight="251667456" behindDoc="0" locked="0" layoutInCell="1" allowOverlap="1">
                      <wp:simplePos x="0" y="0"/>
                      <wp:positionH relativeFrom="column">
                        <wp:posOffset>3535045</wp:posOffset>
                      </wp:positionH>
                      <wp:positionV relativeFrom="paragraph">
                        <wp:posOffset>378460</wp:posOffset>
                      </wp:positionV>
                      <wp:extent cx="736600" cy="355600"/>
                      <wp:effectExtent l="0" t="0" r="0" b="0"/>
                      <wp:wrapNone/>
                      <wp:docPr id="32" name="文本框 32"/>
                      <wp:cNvGraphicFramePr/>
                      <a:graphic xmlns:a="http://schemas.openxmlformats.org/drawingml/2006/main">
                        <a:graphicData uri="http://schemas.microsoft.com/office/word/2010/wordprocessingShape">
                          <wps:wsp>
                            <wps:cNvSpPr txBox="1"/>
                            <wps:spPr>
                              <a:xfrm>
                                <a:off x="4866640" y="1527810"/>
                                <a:ext cx="736600" cy="3556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A43093">
                                  <w:pPr>
                                    <w:ind w:left="0" w:leftChars="0" w:firstLine="0" w:firstLineChars="0"/>
                                    <w:jc w:val="both"/>
                                    <w:rPr>
                                      <w:rFonts w:hint="default" w:eastAsia="宋体"/>
                                      <w:color w:val="FF0000"/>
                                      <w:sz w:val="20"/>
                                      <w:szCs w:val="20"/>
                                      <w:lang w:val="en-US" w:eastAsia="zh-CN"/>
                                    </w:rPr>
                                  </w:pPr>
                                  <w:r>
                                    <w:rPr>
                                      <w:rFonts w:hint="eastAsia"/>
                                      <w:color w:val="FF0000"/>
                                      <w:sz w:val="20"/>
                                      <w:szCs w:val="20"/>
                                      <w:lang w:val="en-US" w:eastAsia="zh-CN"/>
                                    </w:rPr>
                                    <w:t>1#监测井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8.35pt;margin-top:29.8pt;height:28pt;width:58pt;z-index:251667456;mso-width-relative:page;mso-height-relative:page;" filled="f" stroked="f" coordsize="21600,21600" o:gfxdata="UEsDBAoAAAAAAIdO4kAAAAAAAAAAAAAAAAAEAAAAZHJzL1BLAwQUAAAACACHTuJAKFxlVtkAAAAK&#10;AQAADwAAAGRycy9kb3ducmV2LnhtbE2Py07DMBBF90j8gzVI7KiTSElLiFOhSBUSgkVLN+wmsZtE&#10;2OMQuw/4eoYV7OZxdOdMtb44K05mDqMnBekiAWGo83qkXsH+bXO3AhEikkbrySj4MgHW9fVVhaX2&#10;Z9qa0y72gkMolKhgiHEqpQzdYByGhZ8M8e7gZ4eR27mXesYzhzsrsyQppMOR+MKAk2kG033sjk7B&#10;c7N5xW2budW3bZ5eDo/T5/49V+r2Jk0eQERziX8w/OqzOtTs1Poj6SCsgjwvloxycV+AYKBYZjxo&#10;mUzzAmRdyf8v1D9QSwMEFAAAAAgAh07iQLOOo1lFAgAAcwQAAA4AAABkcnMvZTJvRG9jLnhtbK1U&#10;S27bMBTcF+gdCO4b+au4huXATZCiQNAESIuuaYqKBPBXko6UHqC9QVbddN9z5RwdUrITpF1k0Q39&#10;yDeex5n3qNVJpyS5Fc43Rhd0fDSiRGhuykbfFPTzp/M3C0p8YLpk0mhR0Dvh6cn69atVa5diYmoj&#10;S+EISLRftragdQh2mWWe10Ixf2Ss0EhWxikWsHU3WelYC3Yls8lolGetcaV1hgvvcXrWJ+nA6F5C&#10;aKqq4eLM8J0SOvSsTkgWIMnXjfV0nW5bVYKHy6ryIhBZUCgNaUURxNu4ZusVW944ZuuGD1dgL7nC&#10;M02KNRpFD1RnLDCyc81fVKrhznhThSNuVNYLSY5AxXj0zJvrmlmRtMBqbw+m+/9Hyz/eXjnSlAWd&#10;TijRTKHjD/c/Hn7+fvj1neAMBrXWL4G7tkCG7p3pMDb7c4/DqLurnIq/UESQny3yPJ/B5Dtg55Pj&#10;xXiwWnSBcACOp3k+Qp4DMJ3PY4xK2SORdT68F0aRGBTUoZPJYHZ74UMP3UNiXW3OGylTN6UmbUHz&#10;6XyU/nDIgFxq1Ihy+mvHKHTbbtC4NeUdJDrTT4m3/LxB8QvmwxVzGAvcFw8nXGKppEERM0SU1MZ9&#10;+9d5xKNbyFLSYswK6r/umBOUyA8afXw7nkWbQtrM5scTbNzTzPZpRu/UqcEkj/FELU9hxAe5Dytn&#10;1Be8r02sihTTHLULGvbhaeiHH++Ti80mgTCJloULfW15pO7t3OyCqZrkdLSp92ZwD7OYejW8mzjs&#10;T/cJ9fitWP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KFxlVtkAAAAKAQAADwAAAAAAAAABACAA&#10;AAAiAAAAZHJzL2Rvd25yZXYueG1sUEsBAhQAFAAAAAgAh07iQLOOo1lFAgAAcwQAAA4AAAAAAAAA&#10;AQAgAAAAKAEAAGRycy9lMm9Eb2MueG1sUEsFBgAAAAAGAAYAWQEAAN8FAAAAAA==&#10;">
                      <v:fill on="f" focussize="0,0"/>
                      <v:stroke on="f" weight="0.5pt"/>
                      <v:imagedata o:title=""/>
                      <o:lock v:ext="edit" aspectratio="f"/>
                      <v:textbox>
                        <w:txbxContent>
                          <w:p w14:paraId="56A43093">
                            <w:pPr>
                              <w:ind w:left="0" w:leftChars="0" w:firstLine="0" w:firstLineChars="0"/>
                              <w:jc w:val="both"/>
                              <w:rPr>
                                <w:rFonts w:hint="default" w:eastAsia="宋体"/>
                                <w:color w:val="FF0000"/>
                                <w:sz w:val="20"/>
                                <w:szCs w:val="20"/>
                                <w:lang w:val="en-US" w:eastAsia="zh-CN"/>
                              </w:rPr>
                            </w:pPr>
                            <w:r>
                              <w:rPr>
                                <w:rFonts w:hint="eastAsia"/>
                                <w:color w:val="FF0000"/>
                                <w:sz w:val="20"/>
                                <w:szCs w:val="20"/>
                                <w:lang w:val="en-US" w:eastAsia="zh-CN"/>
                              </w:rPr>
                              <w:t>1#监测井</w:t>
                            </w:r>
                          </w:p>
                        </w:txbxContent>
                      </v:textbox>
                    </v:shape>
                  </w:pict>
                </mc:Fallback>
              </mc:AlternateContent>
            </w:r>
            <w:r>
              <w:rPr>
                <w:rFonts w:hint="default"/>
                <w:caps w:val="0"/>
                <w:color w:val="auto"/>
                <w:spacing w:val="0"/>
                <w:position w:val="0"/>
                <w:sz w:val="24"/>
              </w:rPr>
              <mc:AlternateContent>
                <mc:Choice Requires="wps">
                  <w:drawing>
                    <wp:anchor distT="0" distB="0" distL="114300" distR="114300" simplePos="0" relativeHeight="251666432" behindDoc="0" locked="0" layoutInCell="1" allowOverlap="1">
                      <wp:simplePos x="0" y="0"/>
                      <wp:positionH relativeFrom="column">
                        <wp:posOffset>6099175</wp:posOffset>
                      </wp:positionH>
                      <wp:positionV relativeFrom="paragraph">
                        <wp:posOffset>2917190</wp:posOffset>
                      </wp:positionV>
                      <wp:extent cx="929640" cy="32893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929640" cy="328930"/>
                              </a:xfrm>
                              <a:prstGeom prst="rect">
                                <a:avLst/>
                              </a:prstGeom>
                              <a:noFill/>
                              <a:ln>
                                <a:noFill/>
                              </a:ln>
                            </wps:spPr>
                            <wps:txbx>
                              <w:txbxContent>
                                <w:p w14:paraId="027F38A0">
                                  <w:pPr>
                                    <w:rPr>
                                      <w:rFonts w:hint="default"/>
                                      <w:b/>
                                      <w:bCs/>
                                      <w:color w:val="FF0000"/>
                                      <w:sz w:val="21"/>
                                      <w:szCs w:val="24"/>
                                      <w:lang w:val="en-US"/>
                                    </w:rPr>
                                  </w:pPr>
                                  <w:r>
                                    <w:rPr>
                                      <w:rFonts w:hint="eastAsia"/>
                                      <w:b/>
                                      <w:bCs/>
                                      <w:color w:val="FF0000"/>
                                      <w:sz w:val="21"/>
                                      <w:szCs w:val="24"/>
                                      <w:highlight w:val="none"/>
                                      <w:lang w:val="en-US" w:eastAsia="zh-CN"/>
                                    </w:rPr>
                                    <w:t>危废暂存间</w:t>
                                  </w:r>
                                </w:p>
                              </w:txbxContent>
                            </wps:txbx>
                            <wps:bodyPr upright="1"/>
                          </wps:wsp>
                        </a:graphicData>
                      </a:graphic>
                    </wp:anchor>
                  </w:drawing>
                </mc:Choice>
                <mc:Fallback>
                  <w:pict>
                    <v:shape id="_x0000_s1026" o:spid="_x0000_s1026" o:spt="202" type="#_x0000_t202" style="position:absolute;left:0pt;margin-left:480.25pt;margin-top:229.7pt;height:25.9pt;width:73.2pt;z-index:251666432;mso-width-relative:page;mso-height-relative:page;" filled="f" stroked="f" coordsize="21600,21600" o:gfxdata="UEsDBAoAAAAAAIdO4kAAAAAAAAAAAAAAAAAEAAAAZHJzL1BLAwQUAAAACACHTuJABBBV+tgAAAAM&#10;AQAADwAAAGRycy9kb3ducmV2LnhtbE2PwU7DMBBE70j8g7VI3KjtKolImk0PIK4gSkHi5ibbJGq8&#10;jmK3CX+Pe4Ljap5m3pbbxQ7iQpPvHSPolQJBXLum5xZh//Hy8AjCB8ONGRwTwg952Fa3N6UpGjfz&#10;O112oRWxhH1hELoQxkJKX3dkjV+5kThmRzdZE+I5tbKZzBzL7SDXSmXSmp7jQmdGeuqoPu3OFuHz&#10;9fj9lai39tmm4+wWJdnmEvH+TqsNiEBL+IPhqh/VoYpOB3fmxosBIc9UGlGEJM0TEFdCqywHcUBI&#10;tV6DrEr5/4nqF1BLAwQUAAAACACHTuJANs7oeq4BAABPAwAADgAAAGRycy9lMm9Eb2MueG1srVNL&#10;btswEN0X6B0I7ms6ShHEguUAgZFuirZA2gPQFGURIDkEh7bkCyQ36Kqb7nsun6ND2nF+myyyocg3&#10;ozfz3pDzq9FZttURDfiGn02mnGmvoDV+3fBfP28+XXKGSfpWWvC64TuN/Grx8cN8CLWuoAfb6siI&#10;xGM9hIb3KYVaCFS9dhInELSnYAfRyUTHuBZtlAOxOyuq6fRCDBDbEEFpREKXhyA/Msa3EELXGaWX&#10;oDZO+3RgjdrKRJKwNwH5onTbdVql712HOjHbcFKaykpFaL/Kq1jMZb2OMvRGHVuQb2nhhSYnjaei&#10;J6qlTJJtonlF5YyKgNCliQInDkKKI6TibPrCm9teBl20kNUYTqbj+9Gqb9sfkZm24RXN3UtHE9//&#10;vt//+bf/e8cII4OGgDXl3QbKTOM1jHRtHnAkMOseu+jylxQxipO9u5O9ekxMETirZhefKaIodF5d&#10;zs6L/eLx5xAxfdHgWN40PNL0iqly+xUTNUKpDym5locbY22ZoPXPAErMiMidHzrMuzSuxqOcFbQ7&#10;UrMJ0ax7KlX0lHTyuRQ63ok8yKfnQvr4Dhb/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AQQVfrY&#10;AAAADAEAAA8AAAAAAAAAAQAgAAAAIgAAAGRycy9kb3ducmV2LnhtbFBLAQIUABQAAAAIAIdO4kA2&#10;zuh6rgEAAE8DAAAOAAAAAAAAAAEAIAAAACcBAABkcnMvZTJvRG9jLnhtbFBLBQYAAAAABgAGAFkB&#10;AABHBQAAAAA=&#10;">
                      <v:fill on="f" focussize="0,0"/>
                      <v:stroke on="f"/>
                      <v:imagedata o:title=""/>
                      <o:lock v:ext="edit" aspectratio="f"/>
                      <v:textbox>
                        <w:txbxContent>
                          <w:p w14:paraId="027F38A0">
                            <w:pPr>
                              <w:rPr>
                                <w:rFonts w:hint="default"/>
                                <w:b/>
                                <w:bCs/>
                                <w:color w:val="FF0000"/>
                                <w:sz w:val="21"/>
                                <w:szCs w:val="24"/>
                                <w:lang w:val="en-US"/>
                              </w:rPr>
                            </w:pPr>
                            <w:r>
                              <w:rPr>
                                <w:rFonts w:hint="eastAsia"/>
                                <w:b/>
                                <w:bCs/>
                                <w:color w:val="FF0000"/>
                                <w:sz w:val="21"/>
                                <w:szCs w:val="24"/>
                                <w:highlight w:val="none"/>
                                <w:lang w:val="en-US" w:eastAsia="zh-CN"/>
                              </w:rPr>
                              <w:t>危废暂存间</w:t>
                            </w:r>
                          </w:p>
                        </w:txbxContent>
                      </v:textbox>
                    </v:shape>
                  </w:pict>
                </mc:Fallback>
              </mc:AlternateContent>
            </w:r>
            <w:r>
              <w:rPr>
                <w:rFonts w:hint="default"/>
                <w:caps w:val="0"/>
                <w:color w:val="auto"/>
                <w:spacing w:val="0"/>
                <w:position w:val="0"/>
                <w:sz w:val="24"/>
              </w:rPr>
              <mc:AlternateContent>
                <mc:Choice Requires="wps">
                  <w:drawing>
                    <wp:anchor distT="0" distB="0" distL="114300" distR="114300" simplePos="0" relativeHeight="251668480" behindDoc="0" locked="0" layoutInCell="1" allowOverlap="1">
                      <wp:simplePos x="0" y="0"/>
                      <wp:positionH relativeFrom="column">
                        <wp:posOffset>6251575</wp:posOffset>
                      </wp:positionH>
                      <wp:positionV relativeFrom="paragraph">
                        <wp:posOffset>3069590</wp:posOffset>
                      </wp:positionV>
                      <wp:extent cx="929640" cy="32893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929640" cy="328930"/>
                              </a:xfrm>
                              <a:prstGeom prst="rect">
                                <a:avLst/>
                              </a:prstGeom>
                              <a:noFill/>
                              <a:ln>
                                <a:noFill/>
                              </a:ln>
                            </wps:spPr>
                            <wps:txbx>
                              <w:txbxContent>
                                <w:p w14:paraId="53D1FFDB">
                                  <w:pPr>
                                    <w:rPr>
                                      <w:rFonts w:hint="default"/>
                                      <w:b/>
                                      <w:bCs/>
                                      <w:color w:val="FF0000"/>
                                      <w:sz w:val="21"/>
                                      <w:szCs w:val="24"/>
                                      <w:lang w:val="en-US"/>
                                    </w:rPr>
                                  </w:pPr>
                                  <w:r>
                                    <w:rPr>
                                      <w:rFonts w:hint="eastAsia"/>
                                      <w:b/>
                                      <w:bCs/>
                                      <w:color w:val="FF0000"/>
                                      <w:sz w:val="21"/>
                                      <w:szCs w:val="24"/>
                                      <w:highlight w:val="none"/>
                                      <w:lang w:val="en-US" w:eastAsia="zh-CN"/>
                                    </w:rPr>
                                    <w:t>危废暂存间</w:t>
                                  </w:r>
                                </w:p>
                              </w:txbxContent>
                            </wps:txbx>
                            <wps:bodyPr upright="1"/>
                          </wps:wsp>
                        </a:graphicData>
                      </a:graphic>
                    </wp:anchor>
                  </w:drawing>
                </mc:Choice>
                <mc:Fallback>
                  <w:pict>
                    <v:shape id="_x0000_s1026" o:spid="_x0000_s1026" o:spt="202" type="#_x0000_t202" style="position:absolute;left:0pt;margin-left:492.25pt;margin-top:241.7pt;height:25.9pt;width:73.2pt;z-index:251668480;mso-width-relative:page;mso-height-relative:page;" filled="f" stroked="f" coordsize="21600,21600" o:gfxdata="UEsDBAoAAAAAAIdO4kAAAAAAAAAAAAAAAAAEAAAAZHJzL1BLAwQUAAAACACHTuJAmS/RxtgAAAAM&#10;AQAADwAAAGRycy9kb3ducmV2LnhtbE2PQU+DQBCF7yb+h82YeLO7FDBAGXrQeNXYqklvW5gCkZ0l&#10;7Lbgv3d70uPkfXnvm3K7mEFcaHK9ZYRopUAQ17bpuUX42L88ZCCc19zowTIh/JCDbXV7U+qisTO/&#10;02XnWxFK2BUaofN+LKR0dUdGu5UdiUN2spPRPpxTK5tJz6HcDHKt1KM0uuew0OmRnjqqv3dng/D5&#10;ejp8JeqtfTbpONtFSTa5RLy/i9QGhKfF/8Fw1Q/qUAWnoz1z48SAkGdJGlCEJIsTEFciilUO4oiQ&#10;xukaZFXK/09Uv1BLAwQUAAAACACHTuJALOW0EK4BAABPAwAADgAAAGRycy9lMm9Eb2MueG1srVNL&#10;btswEN0X6B0I7ms6ShHEguUAgZFuirZA2gPQFGURIDkEh7bkCyQ36Kqb7nsun6ND2nF+myyyocg3&#10;ozfz3pDzq9FZttURDfiGn02mnGmvoDV+3fBfP28+XXKGSfpWWvC64TuN/Grx8cN8CLWuoAfb6siI&#10;xGM9hIb3KYVaCFS9dhInELSnYAfRyUTHuBZtlAOxOyuq6fRCDBDbEEFpREKXhyA/Msa3EELXGaWX&#10;oDZO+3RgjdrKRJKwNwH5onTbdVql712HOjHbcFKaykpFaL/Kq1jMZb2OMvRGHVuQb2nhhSYnjaei&#10;J6qlTJJtonlF5YyKgNCliQInDkKKI6TibPrCm9teBl20kNUYTqbj+9Gqb9sfkZm24dWMMy8dTXz/&#10;+37/59/+7x0jjAwaAtaUdxsoM43XMNK1ecCRwKx77KLLX1LEKE727k726jExReCsml18poii0Hl1&#10;OTsv9ovHn0PE9EWDY3nT8EjTK6bK7VdM1AilPqTkWh5ujLVlgtY/AygxIyJ3fugw79K4Go9yVtDu&#10;SM0mRLPuqVTRU9LJ51LoeCfyIJ+eC+njO1j8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Jkv0cbY&#10;AAAADAEAAA8AAAAAAAAAAQAgAAAAIgAAAGRycy9kb3ducmV2LnhtbFBLAQIUABQAAAAIAIdO4kAs&#10;5bQQrgEAAE8DAAAOAAAAAAAAAAEAIAAAACcBAABkcnMvZTJvRG9jLnhtbFBLBQYAAAAABgAGAFkB&#10;AABHBQAAAAA=&#10;">
                      <v:fill on="f" focussize="0,0"/>
                      <v:stroke on="f"/>
                      <v:imagedata o:title=""/>
                      <o:lock v:ext="edit" aspectratio="f"/>
                      <v:textbox>
                        <w:txbxContent>
                          <w:p w14:paraId="53D1FFDB">
                            <w:pPr>
                              <w:rPr>
                                <w:rFonts w:hint="default"/>
                                <w:b/>
                                <w:bCs/>
                                <w:color w:val="FF0000"/>
                                <w:sz w:val="21"/>
                                <w:szCs w:val="24"/>
                                <w:lang w:val="en-US"/>
                              </w:rPr>
                            </w:pPr>
                            <w:r>
                              <w:rPr>
                                <w:rFonts w:hint="eastAsia"/>
                                <w:b/>
                                <w:bCs/>
                                <w:color w:val="FF0000"/>
                                <w:sz w:val="21"/>
                                <w:szCs w:val="24"/>
                                <w:highlight w:val="none"/>
                                <w:lang w:val="en-US" w:eastAsia="zh-CN"/>
                              </w:rPr>
                              <w:t>危废暂存间</w:t>
                            </w:r>
                          </w:p>
                        </w:txbxContent>
                      </v:textbox>
                    </v:shape>
                  </w:pict>
                </mc:Fallback>
              </mc:AlternateContent>
            </w:r>
            <w:r>
              <w:rPr>
                <w:rFonts w:hint="default"/>
                <w:caps w:val="0"/>
                <w:color w:val="auto"/>
                <w:spacing w:val="0"/>
                <w:position w:val="0"/>
              </w:rPr>
              <w:drawing>
                <wp:inline distT="0" distB="0" distL="114300" distR="114300">
                  <wp:extent cx="4679950" cy="3700780"/>
                  <wp:effectExtent l="0" t="0" r="6350" b="1397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24"/>
                          <a:srcRect l="14922" t="959" r="39311" b="46308"/>
                          <a:stretch>
                            <a:fillRect/>
                          </a:stretch>
                        </pic:blipFill>
                        <pic:spPr>
                          <a:xfrm>
                            <a:off x="0" y="0"/>
                            <a:ext cx="4679950" cy="3700780"/>
                          </a:xfrm>
                          <a:prstGeom prst="rect">
                            <a:avLst/>
                          </a:prstGeom>
                          <a:noFill/>
                          <a:ln>
                            <a:noFill/>
                          </a:ln>
                        </pic:spPr>
                      </pic:pic>
                    </a:graphicData>
                  </a:graphic>
                </wp:inline>
              </w:drawing>
            </w:r>
            <w:r>
              <w:rPr>
                <w:rFonts w:hint="eastAsia"/>
                <w:caps w:val="0"/>
                <w:color w:val="auto"/>
                <w:spacing w:val="0"/>
                <w:position w:val="0"/>
                <w:highlight w:val="none"/>
                <w:lang w:val="en-US" w:eastAsia="zh-CN"/>
              </w:rPr>
              <w:drawing>
                <wp:anchor distT="0" distB="0" distL="114300" distR="114300" simplePos="0" relativeHeight="251664384" behindDoc="0" locked="0" layoutInCell="1" allowOverlap="1">
                  <wp:simplePos x="0" y="0"/>
                  <wp:positionH relativeFrom="column">
                    <wp:posOffset>1504315</wp:posOffset>
                  </wp:positionH>
                  <wp:positionV relativeFrom="paragraph">
                    <wp:posOffset>2359025</wp:posOffset>
                  </wp:positionV>
                  <wp:extent cx="218440" cy="218440"/>
                  <wp:effectExtent l="0" t="0" r="10160" b="10160"/>
                  <wp:wrapNone/>
                  <wp:docPr id="25" name="图片 25" descr="坐标"/>
                  <wp:cNvGraphicFramePr>
                    <a:graphicFrameLocks xmlns:a="http://schemas.openxmlformats.org/drawingml/2006/main" noChangeAspect="1"/>
                    <a:extLst xmlns:a="http://schemas.openxmlformats.org/drawingml/2006/main">
                      <a:ext uri="{7FBC4E63-A832-4D11-8238-D91031DB1400}">
                        <s:tag xmlns="http://www.wps.cn/officeDocument/2013/wpsCustomData" xmlns:s="http://www.wps.cn/officeDocument/2013/wpsCustomData">
                          <s:item s:name="KSO_DOCER_RESOURCE_TRACE_INFO" s:val="{&quot;id&quot;:&quot;3642632&quot;,&quot;origin&quot;:0,&quot;type&quot;:&quot;icons&quot;,&quot;user&quot;:&quot;1708321359&quot;}"/>
                        </s:tag>
                      </a:ext>
                    </a:extLst>
                  </wp:cNvGraphicFramePr>
                  <a:graphic xmlns:a="http://schemas.openxmlformats.org/drawingml/2006/main">
                    <a:graphicData uri="http://schemas.openxmlformats.org/drawingml/2006/picture">
                      <pic:pic xmlns:pic="http://schemas.openxmlformats.org/drawingml/2006/picture">
                        <pic:nvPicPr>
                          <pic:cNvPr id="25" name="图片 25" descr="坐标"/>
                          <pic:cNvPicPr>
                            <a:picLocks noChangeAspect="1"/>
                          </pic:cNvPicPr>
                        </pic:nvPicPr>
                        <pic:blipFill>
                          <a:blip r:embed="rId22">
                            <a:extLst>
                              <a:ext uri="{96DAC541-7B7A-43D3-8B79-37D633B846F1}">
                                <asvg:svgBlip xmlns:asvg="http://schemas.microsoft.com/office/drawing/2016/SVG/main" r:embed="rId23"/>
                              </a:ext>
                            </a:extLst>
                          </a:blip>
                          <a:stretch>
                            <a:fillRect/>
                          </a:stretch>
                        </pic:blipFill>
                        <pic:spPr>
                          <a:xfrm>
                            <a:off x="0" y="0"/>
                            <a:ext cx="218440" cy="218440"/>
                          </a:xfrm>
                          <a:prstGeom prst="rect">
                            <a:avLst/>
                          </a:prstGeom>
                        </pic:spPr>
                      </pic:pic>
                    </a:graphicData>
                  </a:graphic>
                </wp:anchor>
              </w:drawing>
            </w:r>
            <w:r>
              <w:rPr>
                <w:rFonts w:hint="eastAsia"/>
                <w:caps w:val="0"/>
                <w:color w:val="auto"/>
                <w:spacing w:val="0"/>
                <w:position w:val="0"/>
                <w:highlight w:val="none"/>
                <w:lang w:val="en-US" w:eastAsia="zh-CN"/>
              </w:rPr>
              <w:drawing>
                <wp:anchor distT="0" distB="0" distL="114300" distR="114300" simplePos="0" relativeHeight="251663360" behindDoc="0" locked="0" layoutInCell="1" allowOverlap="1">
                  <wp:simplePos x="0" y="0"/>
                  <wp:positionH relativeFrom="column">
                    <wp:posOffset>3352165</wp:posOffset>
                  </wp:positionH>
                  <wp:positionV relativeFrom="paragraph">
                    <wp:posOffset>396875</wp:posOffset>
                  </wp:positionV>
                  <wp:extent cx="218440" cy="218440"/>
                  <wp:effectExtent l="0" t="0" r="10160" b="10160"/>
                  <wp:wrapNone/>
                  <wp:docPr id="24" name="图片 24" descr="坐标"/>
                  <wp:cNvGraphicFramePr>
                    <a:graphicFrameLocks xmlns:a="http://schemas.openxmlformats.org/drawingml/2006/main" noChangeAspect="1"/>
                    <a:extLst xmlns:a="http://schemas.openxmlformats.org/drawingml/2006/main">
                      <a:ext uri="{7FBC4E63-A832-4D11-8238-D91031DB1400}">
                        <s:tag xmlns="http://www.wps.cn/officeDocument/2013/wpsCustomData" xmlns:s="http://www.wps.cn/officeDocument/2013/wpsCustomData">
                          <s:item s:name="KSO_DOCER_RESOURCE_TRACE_INFO" s:val="{&quot;id&quot;:&quot;3642632&quot;,&quot;origin&quot;:0,&quot;type&quot;:&quot;icons&quot;,&quot;user&quot;:&quot;1708321359&quot;}"/>
                        </s:tag>
                      </a:ext>
                    </a:extLst>
                  </wp:cNvGraphicFramePr>
                  <a:graphic xmlns:a="http://schemas.openxmlformats.org/drawingml/2006/main">
                    <a:graphicData uri="http://schemas.openxmlformats.org/drawingml/2006/picture">
                      <pic:pic xmlns:pic="http://schemas.openxmlformats.org/drawingml/2006/picture">
                        <pic:nvPicPr>
                          <pic:cNvPr id="24" name="图片 24" descr="坐标"/>
                          <pic:cNvPicPr>
                            <a:picLocks noChangeAspect="1"/>
                          </pic:cNvPicPr>
                        </pic:nvPicPr>
                        <pic:blipFill>
                          <a:blip r:embed="rId22">
                            <a:extLst>
                              <a:ext uri="{96DAC541-7B7A-43D3-8B79-37D633B846F1}">
                                <asvg:svgBlip xmlns:asvg="http://schemas.microsoft.com/office/drawing/2016/SVG/main" r:embed="rId23"/>
                              </a:ext>
                            </a:extLst>
                          </a:blip>
                          <a:stretch>
                            <a:fillRect/>
                          </a:stretch>
                        </pic:blipFill>
                        <pic:spPr>
                          <a:xfrm>
                            <a:off x="0" y="0"/>
                            <a:ext cx="218440" cy="218440"/>
                          </a:xfrm>
                          <a:prstGeom prst="rect">
                            <a:avLst/>
                          </a:prstGeom>
                        </pic:spPr>
                      </pic:pic>
                    </a:graphicData>
                  </a:graphic>
                </wp:anchor>
              </w:drawing>
            </w:r>
          </w:p>
          <w:p w14:paraId="00B5361D">
            <w:pPr>
              <w:pStyle w:val="75"/>
              <w:keepNext w:val="0"/>
              <w:keepLines w:val="0"/>
              <w:suppressLineNumbers w:val="0"/>
              <w:bidi w:val="0"/>
              <w:spacing w:before="0" w:beforeAutospacing="0" w:after="0" w:afterAutospacing="0"/>
              <w:ind w:left="0" w:right="0"/>
              <w:rPr>
                <w:rFonts w:hint="default"/>
                <w:caps w:val="0"/>
                <w:color w:val="auto"/>
                <w:spacing w:val="0"/>
                <w:position w:val="0"/>
                <w:lang w:val="en-US" w:eastAsia="zh-CN"/>
              </w:rPr>
            </w:pPr>
            <w:r>
              <w:rPr>
                <w:rFonts w:hint="eastAsia"/>
                <w:caps w:val="0"/>
                <w:color w:val="auto"/>
                <w:spacing w:val="0"/>
                <w:position w:val="0"/>
                <w:lang w:val="en-US" w:eastAsia="zh-CN"/>
              </w:rPr>
              <w:t>图4-1</w:t>
            </w:r>
            <w:r>
              <w:rPr>
                <w:rFonts w:hint="default"/>
                <w:caps w:val="0"/>
                <w:color w:val="auto"/>
                <w:spacing w:val="0"/>
                <w:position w:val="0"/>
              </w:rPr>
              <w:t>地下水监测井分布图</w:t>
            </w:r>
          </w:p>
          <w:p w14:paraId="5D689E74">
            <w:pPr>
              <w:pStyle w:val="83"/>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b/>
                <w:bCs/>
                <w:caps w:val="0"/>
                <w:color w:val="auto"/>
                <w:spacing w:val="0"/>
                <w:position w:val="0"/>
              </w:rPr>
              <w:t>地下水监测井合理性分析：</w:t>
            </w:r>
            <w:r>
              <w:rPr>
                <w:rFonts w:hint="default"/>
                <w:caps w:val="0"/>
                <w:color w:val="auto"/>
                <w:spacing w:val="0"/>
                <w:position w:val="0"/>
              </w:rPr>
              <w:t>本项目地下水监测井根据《宜春市生态环境保护委员会办公室关于印发〈宜春市涉锂电主要行业生态环境监管标准（试行）〉的通知》（宜环委办字〔2023〕2号）要求，在企业上下游和厂区内均布置一个水井，符合宜环委办字〔2023〕2号要求。</w:t>
            </w:r>
          </w:p>
          <w:p w14:paraId="2A67793B">
            <w:pPr>
              <w:pStyle w:val="83"/>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caps w:val="0"/>
                <w:color w:val="auto"/>
                <w:spacing w:val="0"/>
                <w:position w:val="0"/>
              </w:rPr>
              <w:t>②监测结果报告制度</w:t>
            </w:r>
          </w:p>
          <w:p w14:paraId="1CACE6A1">
            <w:pPr>
              <w:pStyle w:val="83"/>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caps w:val="0"/>
                <w:color w:val="auto"/>
                <w:spacing w:val="0"/>
                <w:position w:val="0"/>
              </w:rPr>
              <w:t>根据建立的地下水监测系统，定期对地下水进行监测，监测结果要以监测报告的形式及时上报给当地生态环境主管部门。</w:t>
            </w:r>
          </w:p>
          <w:p w14:paraId="72EAD243">
            <w:pPr>
              <w:pStyle w:val="83"/>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caps w:val="0"/>
                <w:color w:val="auto"/>
                <w:spacing w:val="0"/>
                <w:position w:val="0"/>
              </w:rPr>
              <w:t>③加强废水处理沉淀池/罐的管理</w:t>
            </w:r>
          </w:p>
          <w:p w14:paraId="29B817EB">
            <w:pPr>
              <w:pStyle w:val="83"/>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caps w:val="0"/>
                <w:color w:val="auto"/>
                <w:spacing w:val="0"/>
                <w:position w:val="0"/>
              </w:rPr>
              <w:t>要求沉淀池、初期雨水池基础设在稳定地基上，防止池体发生裂缝，做好防腐防渗措施，建议采用抗渗等级P8抗渗混凝土。沉淀池、初期雨水池的收集沟采用混凝土结构，对沉降缝做好防渗漏措施。</w:t>
            </w:r>
          </w:p>
          <w:p w14:paraId="11EA4CC6">
            <w:pPr>
              <w:pStyle w:val="83"/>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caps w:val="0"/>
                <w:color w:val="auto"/>
                <w:spacing w:val="0"/>
                <w:position w:val="0"/>
              </w:rPr>
              <w:t>在本项目设计、施工和运行时，严格控制厂区废水的无组织泄漏，杜绝厂区存在长期事故性排放点源的存在。工程设计时，应严把好设计和施工质量关，杜绝因材质、制管、防腐涂层、焊接缺陷及运行失误而造成管线泄漏，生产运行过程中，必须强化监控手段，定期检查，保护区域地下水。</w:t>
            </w:r>
          </w:p>
          <w:p w14:paraId="13F68FEF">
            <w:pPr>
              <w:pStyle w:val="83"/>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caps w:val="0"/>
                <w:color w:val="auto"/>
                <w:spacing w:val="0"/>
                <w:position w:val="0"/>
              </w:rPr>
              <w:t>（4）应急响应</w:t>
            </w:r>
          </w:p>
          <w:p w14:paraId="56632A0C">
            <w:pPr>
              <w:pStyle w:val="83"/>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caps w:val="0"/>
                <w:color w:val="auto"/>
                <w:spacing w:val="0"/>
                <w:position w:val="0"/>
              </w:rPr>
              <w:t>一旦发现地下水污染事故，立即启动应急预案，采取应急措施防止厂区废水下渗对地下水造成污染，并使污染得到治理。</w:t>
            </w:r>
          </w:p>
          <w:p w14:paraId="078D2F2C">
            <w:pPr>
              <w:pStyle w:val="83"/>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caps w:val="0"/>
                <w:color w:val="auto"/>
                <w:spacing w:val="0"/>
                <w:position w:val="0"/>
              </w:rPr>
              <w:t>①应急治理程序</w:t>
            </w:r>
          </w:p>
          <w:p w14:paraId="6F805391">
            <w:pPr>
              <w:pStyle w:val="83"/>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caps w:val="0"/>
                <w:color w:val="auto"/>
                <w:spacing w:val="0"/>
                <w:position w:val="0"/>
              </w:rPr>
              <w:t>针对应急工作需要，参照“场地环境保护标准体系”的相关技术导则，结合地下水污染治理的技术特点，制定地下水污染应急治理程序。</w:t>
            </w:r>
          </w:p>
          <w:p w14:paraId="6EEFD996">
            <w:pPr>
              <w:pStyle w:val="83"/>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caps w:val="0"/>
                <w:color w:val="auto"/>
                <w:spacing w:val="0"/>
                <w:position w:val="0"/>
              </w:rPr>
              <w:t>②地下水污染治理措施</w:t>
            </w:r>
          </w:p>
          <w:p w14:paraId="577DB7C4">
            <w:pPr>
              <w:pStyle w:val="83"/>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caps w:val="0"/>
                <w:color w:val="auto"/>
                <w:spacing w:val="0"/>
                <w:position w:val="0"/>
              </w:rPr>
              <w:t>地下水污染治理技术归纳起来主要有物理处理法、水动力控制法、抽出处理法、原位处理法等。</w:t>
            </w:r>
          </w:p>
          <w:p w14:paraId="24EABCAC">
            <w:pPr>
              <w:pStyle w:val="83"/>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caps w:val="0"/>
                <w:color w:val="auto"/>
                <w:spacing w:val="0"/>
                <w:position w:val="0"/>
              </w:rPr>
              <w:t>③建议的应急治理措施</w:t>
            </w:r>
          </w:p>
          <w:p w14:paraId="39742A0A">
            <w:pPr>
              <w:pStyle w:val="83"/>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caps w:val="0"/>
                <w:color w:val="auto"/>
                <w:spacing w:val="0"/>
                <w:position w:val="0"/>
              </w:rPr>
              <w:t>当发生污染事故时，污染物的运移速度相对较快，建议采取以下措施：</w:t>
            </w:r>
          </w:p>
          <w:p w14:paraId="13D1898E">
            <w:pPr>
              <w:pStyle w:val="83"/>
              <w:keepNext w:val="0"/>
              <w:keepLines w:val="0"/>
              <w:suppressLineNumbers w:val="0"/>
              <w:bidi w:val="0"/>
              <w:spacing w:before="0" w:beforeAutospacing="0" w:after="0" w:afterAutospacing="0"/>
              <w:ind w:left="0" w:right="0"/>
              <w:rPr>
                <w:rFonts w:hint="default"/>
                <w:caps w:val="0"/>
                <w:color w:val="auto"/>
                <w:spacing w:val="0"/>
                <w:position w:val="0"/>
              </w:rPr>
            </w:pPr>
            <w:r>
              <w:rPr>
                <w:rFonts w:hint="default"/>
                <w:caps w:val="0"/>
                <w:color w:val="auto"/>
                <w:spacing w:val="0"/>
                <w:position w:val="0"/>
              </w:rPr>
              <w:t>一旦发生地下水污染事故，应立即启动应急预案；查明并切断污染源；探明地下水污染深度、范围和污染程度；依据探明的地下水污染情况和污染场地的岩性特征，合理布置抽水井的深度及间距，并进行试抽工作；依据抽水设计方案进行施工，抽取被污染的地下水体，并依据各井孔出水情况进行调整；将抽取的地下水进行集中收集处理，并送实验室进行化验分析；当地下水中的特征污染物浓度满足地下水功能区划的标准后，逐步停止井点抽水，并进行土壤修复治理工作。</w:t>
            </w:r>
          </w:p>
          <w:p w14:paraId="028E5469">
            <w:pPr>
              <w:pStyle w:val="83"/>
              <w:keepNext w:val="0"/>
              <w:keepLines w:val="0"/>
              <w:suppressLineNumbers w:val="0"/>
              <w:bidi w:val="0"/>
              <w:spacing w:before="0" w:beforeAutospacing="0" w:after="0" w:afterAutospacing="0"/>
              <w:ind w:left="0" w:right="0"/>
              <w:rPr>
                <w:rFonts w:hint="default"/>
                <w:b/>
                <w:bCs/>
                <w:caps w:val="0"/>
                <w:color w:val="auto"/>
                <w:spacing w:val="0"/>
                <w:position w:val="0"/>
              </w:rPr>
            </w:pPr>
            <w:r>
              <w:rPr>
                <w:rFonts w:hint="default"/>
                <w:b/>
                <w:bCs/>
                <w:caps w:val="0"/>
                <w:color w:val="auto"/>
                <w:spacing w:val="0"/>
                <w:position w:val="0"/>
              </w:rPr>
              <w:t>6、生态影响</w:t>
            </w:r>
          </w:p>
          <w:p w14:paraId="3A0EF4AA">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default"/>
                <w:caps w:val="0"/>
                <w:color w:val="auto"/>
                <w:spacing w:val="0"/>
                <w:position w:val="0"/>
              </w:rPr>
              <w:t>本项目建设在已建厂房内进行，不涉及新增占地，项目用地为工</w:t>
            </w:r>
            <w:r>
              <w:rPr>
                <w:rFonts w:hint="eastAsia"/>
                <w:caps w:val="0"/>
                <w:color w:val="auto"/>
                <w:spacing w:val="0"/>
                <w:position w:val="0"/>
                <w:lang w:val="en-US" w:eastAsia="zh-CN"/>
              </w:rPr>
              <w:t>业</w:t>
            </w:r>
            <w:r>
              <w:rPr>
                <w:rFonts w:hint="default"/>
                <w:caps w:val="0"/>
                <w:color w:val="auto"/>
                <w:spacing w:val="0"/>
                <w:position w:val="0"/>
              </w:rPr>
              <w:t>用地，未改变土地利用性质，项目的建设对区域生态环境影响较小，且在做好运输管理及堆存作业前提下，项目建设对生态影响较小。</w:t>
            </w:r>
          </w:p>
          <w:p w14:paraId="6977FFEB">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eastAsia"/>
                <w:b/>
                <w:bCs w:val="0"/>
                <w:caps w:val="0"/>
                <w:color w:val="auto"/>
                <w:spacing w:val="0"/>
                <w:position w:val="0"/>
                <w:highlight w:val="none"/>
                <w:lang w:val="en-US" w:eastAsia="zh-CN"/>
              </w:rPr>
              <w:t>7</w:t>
            </w:r>
            <w:r>
              <w:rPr>
                <w:rFonts w:hint="default"/>
                <w:b/>
                <w:bCs w:val="0"/>
                <w:caps w:val="0"/>
                <w:color w:val="auto"/>
                <w:spacing w:val="0"/>
                <w:position w:val="0"/>
                <w:highlight w:val="none"/>
              </w:rPr>
              <w:t>、环境风险</w:t>
            </w:r>
          </w:p>
          <w:p w14:paraId="1E9DEB05">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eastAsia"/>
                <w:b/>
                <w:bCs w:val="0"/>
                <w:caps w:val="0"/>
                <w:color w:val="auto"/>
                <w:spacing w:val="0"/>
                <w:position w:val="0"/>
                <w:highlight w:val="none"/>
                <w:lang w:val="en-US" w:eastAsia="zh-CN"/>
              </w:rPr>
              <w:t>7</w:t>
            </w:r>
            <w:r>
              <w:rPr>
                <w:rFonts w:hint="default"/>
                <w:b/>
                <w:bCs w:val="0"/>
                <w:caps w:val="0"/>
                <w:color w:val="auto"/>
                <w:spacing w:val="0"/>
                <w:position w:val="0"/>
                <w:highlight w:val="none"/>
              </w:rPr>
              <w:t>.1、风险调查</w:t>
            </w:r>
          </w:p>
          <w:p w14:paraId="6016D5F0">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对照《建设项目环境风险评价技术导则》（HJ169-2018），厂内危险物质主要为</w:t>
            </w:r>
            <w:r>
              <w:rPr>
                <w:rFonts w:hint="eastAsia"/>
                <w:caps w:val="0"/>
                <w:color w:val="auto"/>
                <w:spacing w:val="0"/>
                <w:position w:val="0"/>
                <w:highlight w:val="none"/>
              </w:rPr>
              <w:t>润滑油、</w:t>
            </w:r>
            <w:r>
              <w:rPr>
                <w:rFonts w:hint="default"/>
                <w:caps w:val="0"/>
                <w:color w:val="auto"/>
                <w:spacing w:val="0"/>
                <w:position w:val="0"/>
                <w:highlight w:val="none"/>
              </w:rPr>
              <w:t>危险废物，风险源主要为仓库、危废暂存间。</w:t>
            </w:r>
          </w:p>
          <w:p w14:paraId="279986D7">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建设项目涉及危险物质及数量见下表。</w:t>
            </w:r>
          </w:p>
          <w:p w14:paraId="57E9ECB8">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表4-1</w:t>
            </w:r>
            <w:r>
              <w:rPr>
                <w:rFonts w:hint="eastAsia"/>
                <w:caps w:val="0"/>
                <w:color w:val="auto"/>
                <w:spacing w:val="0"/>
                <w:position w:val="0"/>
                <w:highlight w:val="none"/>
                <w:lang w:val="en-US" w:eastAsia="zh-CN"/>
              </w:rPr>
              <w:t>9</w:t>
            </w:r>
            <w:r>
              <w:rPr>
                <w:rFonts w:hint="default"/>
                <w:caps w:val="0"/>
                <w:color w:val="auto"/>
                <w:spacing w:val="0"/>
                <w:position w:val="0"/>
                <w:highlight w:val="none"/>
              </w:rPr>
              <w:t xml:space="preserve"> 建设项目涉及危险物质及数量一览表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2374"/>
              <w:gridCol w:w="900"/>
              <w:gridCol w:w="1678"/>
              <w:gridCol w:w="1412"/>
              <w:gridCol w:w="1346"/>
            </w:tblGrid>
            <w:tr w14:paraId="2BEDAE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8" w:type="dxa"/>
                  <w:noWrap w:val="0"/>
                  <w:vAlign w:val="center"/>
                </w:tcPr>
                <w:p w14:paraId="1CAC9C6C">
                  <w:pPr>
                    <w:pStyle w:val="81"/>
                    <w:keepNext w:val="0"/>
                    <w:keepLines w:val="0"/>
                    <w:suppressLineNumbers w:val="0"/>
                    <w:spacing w:before="0" w:beforeAutospacing="0" w:after="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序号</w:t>
                  </w:r>
                </w:p>
              </w:tc>
              <w:tc>
                <w:tcPr>
                  <w:tcW w:w="2205" w:type="dxa"/>
                  <w:noWrap w:val="0"/>
                  <w:vAlign w:val="center"/>
                </w:tcPr>
                <w:p w14:paraId="2FBD417D">
                  <w:pPr>
                    <w:pStyle w:val="81"/>
                    <w:keepNext w:val="0"/>
                    <w:keepLines w:val="0"/>
                    <w:suppressLineNumbers w:val="0"/>
                    <w:spacing w:before="0" w:beforeAutospacing="0" w:after="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危险物质名称</w:t>
                  </w:r>
                </w:p>
              </w:tc>
              <w:tc>
                <w:tcPr>
                  <w:tcW w:w="836" w:type="dxa"/>
                  <w:noWrap w:val="0"/>
                  <w:vAlign w:val="center"/>
                </w:tcPr>
                <w:p w14:paraId="1EBC6819">
                  <w:pPr>
                    <w:pStyle w:val="81"/>
                    <w:keepNext w:val="0"/>
                    <w:keepLines w:val="0"/>
                    <w:suppressLineNumbers w:val="0"/>
                    <w:spacing w:before="0" w:beforeAutospacing="0" w:after="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年用量（t）</w:t>
                  </w:r>
                </w:p>
              </w:tc>
              <w:tc>
                <w:tcPr>
                  <w:tcW w:w="1558" w:type="dxa"/>
                  <w:noWrap w:val="0"/>
                  <w:vAlign w:val="center"/>
                </w:tcPr>
                <w:p w14:paraId="6CED23F1">
                  <w:pPr>
                    <w:pStyle w:val="81"/>
                    <w:keepNext w:val="0"/>
                    <w:keepLines w:val="0"/>
                    <w:suppressLineNumbers w:val="0"/>
                    <w:spacing w:before="0" w:beforeAutospacing="0" w:after="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储存方式</w:t>
                  </w:r>
                </w:p>
              </w:tc>
              <w:tc>
                <w:tcPr>
                  <w:tcW w:w="1311" w:type="dxa"/>
                  <w:noWrap w:val="0"/>
                  <w:vAlign w:val="center"/>
                </w:tcPr>
                <w:p w14:paraId="04E14104">
                  <w:pPr>
                    <w:pStyle w:val="81"/>
                    <w:keepNext w:val="0"/>
                    <w:keepLines w:val="0"/>
                    <w:suppressLineNumbers w:val="0"/>
                    <w:spacing w:before="0" w:beforeAutospacing="0" w:after="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最大储存量</w:t>
                  </w:r>
                </w:p>
              </w:tc>
              <w:tc>
                <w:tcPr>
                  <w:tcW w:w="1250" w:type="dxa"/>
                  <w:noWrap w:val="0"/>
                  <w:vAlign w:val="center"/>
                </w:tcPr>
                <w:p w14:paraId="28ADD02E">
                  <w:pPr>
                    <w:pStyle w:val="81"/>
                    <w:keepNext w:val="0"/>
                    <w:keepLines w:val="0"/>
                    <w:suppressLineNumbers w:val="0"/>
                    <w:spacing w:before="0" w:beforeAutospacing="0" w:after="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储存位置</w:t>
                  </w:r>
                </w:p>
              </w:tc>
            </w:tr>
            <w:tr w14:paraId="1566F4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8" w:type="dxa"/>
                  <w:noWrap w:val="0"/>
                  <w:vAlign w:val="center"/>
                </w:tcPr>
                <w:p w14:paraId="256DC944">
                  <w:pPr>
                    <w:pStyle w:val="81"/>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w:t>
                  </w:r>
                </w:p>
              </w:tc>
              <w:tc>
                <w:tcPr>
                  <w:tcW w:w="2205" w:type="dxa"/>
                  <w:noWrap w:val="0"/>
                  <w:vAlign w:val="center"/>
                </w:tcPr>
                <w:p w14:paraId="036C9845">
                  <w:pPr>
                    <w:pStyle w:val="81"/>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润滑油</w:t>
                  </w:r>
                </w:p>
              </w:tc>
              <w:tc>
                <w:tcPr>
                  <w:tcW w:w="836" w:type="dxa"/>
                  <w:noWrap w:val="0"/>
                  <w:vAlign w:val="center"/>
                </w:tcPr>
                <w:p w14:paraId="0A6E1E63">
                  <w:pPr>
                    <w:pStyle w:val="81"/>
                    <w:keepNext w:val="0"/>
                    <w:keepLines w:val="0"/>
                    <w:suppressLineNumbers w:val="0"/>
                    <w:spacing w:before="0" w:beforeAutospacing="0" w:after="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0.5</w:t>
                  </w:r>
                </w:p>
              </w:tc>
              <w:tc>
                <w:tcPr>
                  <w:tcW w:w="1558" w:type="dxa"/>
                  <w:noWrap w:val="0"/>
                  <w:vAlign w:val="center"/>
                </w:tcPr>
                <w:p w14:paraId="3DC8973F">
                  <w:pPr>
                    <w:pStyle w:val="81"/>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桶装，密封</w:t>
                  </w:r>
                </w:p>
              </w:tc>
              <w:tc>
                <w:tcPr>
                  <w:tcW w:w="1311" w:type="dxa"/>
                  <w:noWrap w:val="0"/>
                  <w:vAlign w:val="center"/>
                </w:tcPr>
                <w:p w14:paraId="68C2CA60">
                  <w:pPr>
                    <w:pStyle w:val="81"/>
                    <w:keepNext w:val="0"/>
                    <w:keepLines w:val="0"/>
                    <w:suppressLineNumbers w:val="0"/>
                    <w:spacing w:before="0" w:beforeAutospacing="0" w:after="0" w:afterAutospacing="0"/>
                    <w:ind w:left="0" w:right="0"/>
                    <w:rPr>
                      <w:rFonts w:hint="default"/>
                      <w:caps w:val="0"/>
                      <w:color w:val="auto"/>
                      <w:spacing w:val="0"/>
                      <w:position w:val="0"/>
                      <w:highlight w:val="none"/>
                      <w:lang w:val="en-US"/>
                    </w:rPr>
                  </w:pPr>
                  <w:r>
                    <w:rPr>
                      <w:rFonts w:hint="eastAsia"/>
                      <w:caps w:val="0"/>
                      <w:color w:val="auto"/>
                      <w:spacing w:val="0"/>
                      <w:position w:val="0"/>
                      <w:highlight w:val="none"/>
                      <w:lang w:val="en-US" w:eastAsia="zh-CN"/>
                    </w:rPr>
                    <w:t>0.5</w:t>
                  </w:r>
                </w:p>
              </w:tc>
              <w:tc>
                <w:tcPr>
                  <w:tcW w:w="1250" w:type="dxa"/>
                  <w:noWrap w:val="0"/>
                  <w:vAlign w:val="center"/>
                </w:tcPr>
                <w:p w14:paraId="158F6AA0">
                  <w:pPr>
                    <w:pStyle w:val="81"/>
                    <w:keepNext w:val="0"/>
                    <w:keepLines w:val="0"/>
                    <w:suppressLineNumbers w:val="0"/>
                    <w:spacing w:before="0" w:beforeAutospacing="0" w:after="0" w:afterAutospacing="0"/>
                    <w:ind w:left="0" w:right="0"/>
                    <w:rPr>
                      <w:rFonts w:hint="eastAsia" w:eastAsia="宋体"/>
                      <w:caps w:val="0"/>
                      <w:color w:val="auto"/>
                      <w:spacing w:val="0"/>
                      <w:position w:val="0"/>
                      <w:highlight w:val="none"/>
                      <w:lang w:eastAsia="zh-CN"/>
                    </w:rPr>
                  </w:pPr>
                  <w:r>
                    <w:rPr>
                      <w:rFonts w:hint="default"/>
                      <w:caps w:val="0"/>
                      <w:color w:val="auto"/>
                      <w:spacing w:val="0"/>
                      <w:position w:val="0"/>
                      <w:highlight w:val="none"/>
                    </w:rPr>
                    <w:t>原料</w:t>
                  </w:r>
                  <w:r>
                    <w:rPr>
                      <w:rFonts w:hint="eastAsia"/>
                      <w:caps w:val="0"/>
                      <w:color w:val="auto"/>
                      <w:spacing w:val="0"/>
                      <w:position w:val="0"/>
                      <w:highlight w:val="none"/>
                      <w:lang w:val="en-US" w:eastAsia="zh-CN"/>
                    </w:rPr>
                    <w:t>仓库</w:t>
                  </w:r>
                </w:p>
              </w:tc>
            </w:tr>
            <w:tr w14:paraId="3BB0B3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8" w:type="dxa"/>
                  <w:noWrap w:val="0"/>
                  <w:vAlign w:val="center"/>
                </w:tcPr>
                <w:p w14:paraId="11E5A71B">
                  <w:pPr>
                    <w:pStyle w:val="81"/>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2</w:t>
                  </w:r>
                </w:p>
              </w:tc>
              <w:tc>
                <w:tcPr>
                  <w:tcW w:w="2205" w:type="dxa"/>
                  <w:noWrap w:val="0"/>
                  <w:vAlign w:val="center"/>
                </w:tcPr>
                <w:p w14:paraId="1C954D06">
                  <w:pPr>
                    <w:pStyle w:val="81"/>
                    <w:keepNext w:val="0"/>
                    <w:keepLines w:val="0"/>
                    <w:suppressLineNumbers w:val="0"/>
                    <w:spacing w:before="0" w:beforeAutospacing="0" w:after="0" w:afterAutospacing="0"/>
                    <w:ind w:left="0" w:right="0"/>
                    <w:rPr>
                      <w:rFonts w:hint="eastAsia" w:eastAsia="宋体"/>
                      <w:caps w:val="0"/>
                      <w:color w:val="auto"/>
                      <w:spacing w:val="0"/>
                      <w:position w:val="0"/>
                      <w:highlight w:val="none"/>
                      <w:lang w:eastAsia="zh-CN"/>
                    </w:rPr>
                  </w:pPr>
                  <w:r>
                    <w:rPr>
                      <w:rFonts w:hint="default"/>
                      <w:caps w:val="0"/>
                      <w:color w:val="auto"/>
                      <w:spacing w:val="0"/>
                      <w:position w:val="0"/>
                      <w:highlight w:val="none"/>
                    </w:rPr>
                    <w:t>危险废物</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废润滑油、废润滑油桶、废含油手套</w:t>
                  </w:r>
                  <w:r>
                    <w:rPr>
                      <w:rFonts w:hint="eastAsia"/>
                      <w:caps w:val="0"/>
                      <w:color w:val="auto"/>
                      <w:spacing w:val="0"/>
                      <w:position w:val="0"/>
                      <w:highlight w:val="none"/>
                      <w:lang w:eastAsia="zh-CN"/>
                    </w:rPr>
                    <w:t>）</w:t>
                  </w:r>
                </w:p>
              </w:tc>
              <w:tc>
                <w:tcPr>
                  <w:tcW w:w="836" w:type="dxa"/>
                  <w:noWrap w:val="0"/>
                  <w:vAlign w:val="center"/>
                </w:tcPr>
                <w:p w14:paraId="1881B20E">
                  <w:pPr>
                    <w:pStyle w:val="81"/>
                    <w:keepNext w:val="0"/>
                    <w:keepLines w:val="0"/>
                    <w:suppressLineNumbers w:val="0"/>
                    <w:spacing w:before="0" w:beforeAutospacing="0" w:after="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5.33</w:t>
                  </w:r>
                </w:p>
              </w:tc>
              <w:tc>
                <w:tcPr>
                  <w:tcW w:w="1558" w:type="dxa"/>
                  <w:noWrap w:val="0"/>
                  <w:vAlign w:val="center"/>
                </w:tcPr>
                <w:p w14:paraId="55E7954E">
                  <w:pPr>
                    <w:pStyle w:val="81"/>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桶装，密封</w:t>
                  </w:r>
                </w:p>
              </w:tc>
              <w:tc>
                <w:tcPr>
                  <w:tcW w:w="1311" w:type="dxa"/>
                  <w:noWrap w:val="0"/>
                  <w:vAlign w:val="center"/>
                </w:tcPr>
                <w:p w14:paraId="11A231B3">
                  <w:pPr>
                    <w:pStyle w:val="81"/>
                    <w:keepNext w:val="0"/>
                    <w:keepLines w:val="0"/>
                    <w:suppressLineNumbers w:val="0"/>
                    <w:spacing w:before="0" w:beforeAutospacing="0" w:after="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2.665</w:t>
                  </w:r>
                </w:p>
              </w:tc>
              <w:tc>
                <w:tcPr>
                  <w:tcW w:w="1250" w:type="dxa"/>
                  <w:noWrap w:val="0"/>
                  <w:vAlign w:val="center"/>
                </w:tcPr>
                <w:p w14:paraId="5435C0BC">
                  <w:pPr>
                    <w:pStyle w:val="81"/>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危废暂存间</w:t>
                  </w:r>
                </w:p>
              </w:tc>
            </w:tr>
            <w:tr w14:paraId="515ED0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608" w:type="dxa"/>
                  <w:noWrap w:val="0"/>
                  <w:vAlign w:val="center"/>
                </w:tcPr>
                <w:p w14:paraId="6575B8E3">
                  <w:pPr>
                    <w:pStyle w:val="81"/>
                    <w:keepNext w:val="0"/>
                    <w:keepLines w:val="0"/>
                    <w:suppressLineNumbers w:val="0"/>
                    <w:spacing w:before="0" w:beforeAutospacing="0" w:after="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3</w:t>
                  </w:r>
                </w:p>
              </w:tc>
              <w:tc>
                <w:tcPr>
                  <w:tcW w:w="2205" w:type="dxa"/>
                  <w:noWrap w:val="0"/>
                  <w:vAlign w:val="center"/>
                </w:tcPr>
                <w:p w14:paraId="41ECB9BC">
                  <w:pPr>
                    <w:pStyle w:val="81"/>
                    <w:keepNext w:val="0"/>
                    <w:keepLines w:val="0"/>
                    <w:suppressLineNumbers w:val="0"/>
                    <w:spacing w:before="0" w:beforeAutospacing="0" w:after="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柴油</w:t>
                  </w:r>
                </w:p>
              </w:tc>
              <w:tc>
                <w:tcPr>
                  <w:tcW w:w="836" w:type="dxa"/>
                  <w:noWrap w:val="0"/>
                  <w:vAlign w:val="center"/>
                </w:tcPr>
                <w:p w14:paraId="0A667BD5">
                  <w:pPr>
                    <w:pStyle w:val="81"/>
                    <w:keepNext w:val="0"/>
                    <w:keepLines w:val="0"/>
                    <w:suppressLineNumbers w:val="0"/>
                    <w:spacing w:before="0" w:beforeAutospacing="0" w:after="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18.42</w:t>
                  </w:r>
                </w:p>
              </w:tc>
              <w:tc>
                <w:tcPr>
                  <w:tcW w:w="1558" w:type="dxa"/>
                  <w:noWrap w:val="0"/>
                  <w:vAlign w:val="center"/>
                </w:tcPr>
                <w:p w14:paraId="5C98C2EB">
                  <w:pPr>
                    <w:pStyle w:val="81"/>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桶装，密封</w:t>
                  </w:r>
                </w:p>
              </w:tc>
              <w:tc>
                <w:tcPr>
                  <w:tcW w:w="1311" w:type="dxa"/>
                  <w:noWrap w:val="0"/>
                  <w:vAlign w:val="center"/>
                </w:tcPr>
                <w:p w14:paraId="3D251D25">
                  <w:pPr>
                    <w:pStyle w:val="81"/>
                    <w:keepNext w:val="0"/>
                    <w:keepLines w:val="0"/>
                    <w:suppressLineNumbers w:val="0"/>
                    <w:spacing w:before="0" w:beforeAutospacing="0" w:after="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1</w:t>
                  </w:r>
                </w:p>
              </w:tc>
              <w:tc>
                <w:tcPr>
                  <w:tcW w:w="1250" w:type="dxa"/>
                  <w:noWrap w:val="0"/>
                  <w:vAlign w:val="center"/>
                </w:tcPr>
                <w:p w14:paraId="1874CD29">
                  <w:pPr>
                    <w:pStyle w:val="81"/>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原料</w:t>
                  </w:r>
                  <w:r>
                    <w:rPr>
                      <w:rFonts w:hint="eastAsia"/>
                      <w:caps w:val="0"/>
                      <w:color w:val="auto"/>
                      <w:spacing w:val="0"/>
                      <w:position w:val="0"/>
                      <w:highlight w:val="none"/>
                      <w:lang w:val="en-US" w:eastAsia="zh-CN"/>
                    </w:rPr>
                    <w:t>仓库</w:t>
                  </w:r>
                </w:p>
              </w:tc>
            </w:tr>
            <w:tr w14:paraId="13ADB6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8" w:type="dxa"/>
                  <w:noWrap w:val="0"/>
                  <w:vAlign w:val="center"/>
                </w:tcPr>
                <w:p w14:paraId="40545956">
                  <w:pPr>
                    <w:pStyle w:val="81"/>
                    <w:keepNext w:val="0"/>
                    <w:keepLines w:val="0"/>
                    <w:suppressLineNumbers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4</w:t>
                  </w:r>
                </w:p>
              </w:tc>
              <w:tc>
                <w:tcPr>
                  <w:tcW w:w="2205" w:type="dxa"/>
                  <w:noWrap w:val="0"/>
                  <w:vAlign w:val="center"/>
                </w:tcPr>
                <w:p w14:paraId="6EC6440E">
                  <w:pPr>
                    <w:pStyle w:val="81"/>
                    <w:keepNext w:val="0"/>
                    <w:keepLines w:val="0"/>
                    <w:suppressLineNumbers w:val="0"/>
                    <w:spacing w:before="0" w:beforeAutospacing="0" w:after="0" w:afterAutospacing="0"/>
                    <w:ind w:left="0" w:right="0"/>
                    <w:rPr>
                      <w:rFonts w:hint="default"/>
                      <w:caps w:val="0"/>
                      <w:color w:val="auto"/>
                      <w:spacing w:val="0"/>
                      <w:position w:val="0"/>
                      <w:highlight w:val="none"/>
                      <w:lang w:val="en-US" w:eastAsia="zh-CN"/>
                    </w:rPr>
                  </w:pPr>
                  <w:r>
                    <w:rPr>
                      <w:rFonts w:hint="eastAsia" w:ascii="Times New Roman" w:eastAsia="宋体"/>
                      <w:caps w:val="0"/>
                      <w:color w:val="auto"/>
                      <w:spacing w:val="0"/>
                      <w:position w:val="0"/>
                      <w:highlight w:val="none"/>
                      <w:lang w:val="en-US" w:eastAsia="zh-CN"/>
                    </w:rPr>
                    <w:t>铊及其化合物（锂渣）</w:t>
                  </w:r>
                </w:p>
              </w:tc>
              <w:tc>
                <w:tcPr>
                  <w:tcW w:w="836" w:type="dxa"/>
                  <w:noWrap w:val="0"/>
                  <w:vAlign w:val="center"/>
                </w:tcPr>
                <w:p w14:paraId="172B413A">
                  <w:pPr>
                    <w:pStyle w:val="81"/>
                    <w:keepNext w:val="0"/>
                    <w:keepLines w:val="0"/>
                    <w:suppressLineNumbers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2.34</w:t>
                  </w:r>
                </w:p>
              </w:tc>
              <w:tc>
                <w:tcPr>
                  <w:tcW w:w="1558" w:type="dxa"/>
                  <w:noWrap w:val="0"/>
                  <w:vAlign w:val="center"/>
                </w:tcPr>
                <w:p w14:paraId="0286A495">
                  <w:pPr>
                    <w:pStyle w:val="81"/>
                    <w:keepNext w:val="0"/>
                    <w:keepLines w:val="0"/>
                    <w:suppressLineNumbers w:val="0"/>
                    <w:spacing w:before="0" w:beforeAutospacing="0" w:after="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散装</w:t>
                  </w:r>
                </w:p>
              </w:tc>
              <w:tc>
                <w:tcPr>
                  <w:tcW w:w="1311" w:type="dxa"/>
                  <w:noWrap w:val="0"/>
                  <w:vAlign w:val="center"/>
                </w:tcPr>
                <w:p w14:paraId="4437C8BA">
                  <w:pPr>
                    <w:pStyle w:val="81"/>
                    <w:keepNext w:val="0"/>
                    <w:keepLines w:val="0"/>
                    <w:suppressLineNumbers w:val="0"/>
                    <w:spacing w:before="0" w:beforeAutospacing="0" w:after="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0.05</w:t>
                  </w:r>
                </w:p>
              </w:tc>
              <w:tc>
                <w:tcPr>
                  <w:tcW w:w="1250" w:type="dxa"/>
                  <w:noWrap w:val="0"/>
                  <w:vAlign w:val="center"/>
                </w:tcPr>
                <w:p w14:paraId="64C29C39">
                  <w:pPr>
                    <w:pStyle w:val="81"/>
                    <w:keepNext w:val="0"/>
                    <w:keepLines w:val="0"/>
                    <w:suppressLineNumbers w:val="0"/>
                    <w:spacing w:before="0" w:beforeAutospacing="0" w:after="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锂渣仓库</w:t>
                  </w:r>
                </w:p>
              </w:tc>
            </w:tr>
          </w:tbl>
          <w:p w14:paraId="22D881BD">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根据《建设项目环境风险评价技术导则》（HJ169-2018）附录C，Q值按下式进行计算：</w:t>
            </w:r>
          </w:p>
          <w:p w14:paraId="5F2899B4">
            <w:pPr>
              <w:pStyle w:val="86"/>
              <w:keepNext w:val="0"/>
              <w:keepLines w:val="0"/>
              <w:suppressLineNumbers w:val="0"/>
              <w:spacing w:before="0" w:beforeAutospacing="0" w:after="0" w:afterAutospacing="0"/>
              <w:ind w:left="0" w:right="0" w:firstLine="480"/>
              <w:jc w:val="center"/>
              <w:rPr>
                <w:rFonts w:hint="default" w:cs="Times New Roman"/>
                <w:caps w:val="0"/>
                <w:color w:val="auto"/>
                <w:spacing w:val="0"/>
                <w:position w:val="0"/>
                <w:highlight w:val="none"/>
              </w:rPr>
            </w:pPr>
            <w:r>
              <w:rPr>
                <w:rFonts w:hint="default" w:cs="Times New Roman"/>
                <w:caps w:val="0"/>
                <w:color w:val="auto"/>
                <w:spacing w:val="0"/>
                <w:position w:val="0"/>
                <w:highlight w:val="none"/>
              </w:rPr>
              <w:fldChar w:fldCharType="begin"/>
            </w:r>
            <w:r>
              <w:rPr>
                <w:rFonts w:hint="default"/>
                <w:caps w:val="0"/>
                <w:color w:val="auto"/>
                <w:spacing w:val="0"/>
                <w:position w:val="0"/>
                <w:highlight w:val="none"/>
              </w:rPr>
              <w:instrText xml:space="preserve"> INCLUDEPICTURE "F:\\86134\\AppData\\Local\\Temp\\ksohtml4412\\wps22.png" \* MERGEFORMAT </w:instrText>
            </w:r>
            <w:r>
              <w:rPr>
                <w:rFonts w:hint="default" w:cs="Times New Roman"/>
                <w:caps w:val="0"/>
                <w:color w:val="auto"/>
                <w:spacing w:val="0"/>
                <w:position w:val="0"/>
                <w:highlight w:val="none"/>
              </w:rPr>
              <w:fldChar w:fldCharType="separate"/>
            </w:r>
            <w:r>
              <w:rPr>
                <w:rFonts w:hint="default" w:cs="Times New Roman"/>
                <w:caps w:val="0"/>
                <w:color w:val="auto"/>
                <w:spacing w:val="0"/>
                <w:position w:val="0"/>
                <w:highlight w:val="none"/>
              </w:rPr>
              <w:drawing>
                <wp:inline distT="0" distB="0" distL="114300" distR="114300">
                  <wp:extent cx="1248410" cy="466090"/>
                  <wp:effectExtent l="0" t="0" r="0" b="0"/>
                  <wp:docPr id="18" name="图片 14" descr="wps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descr="wps22"/>
                          <pic:cNvPicPr>
                            <a:picLocks noChangeAspect="1"/>
                          </pic:cNvPicPr>
                        </pic:nvPicPr>
                        <pic:blipFill>
                          <a:blip r:embed="rId25"/>
                          <a:stretch>
                            <a:fillRect/>
                          </a:stretch>
                        </pic:blipFill>
                        <pic:spPr>
                          <a:xfrm>
                            <a:off x="0" y="0"/>
                            <a:ext cx="1248410" cy="466090"/>
                          </a:xfrm>
                          <a:prstGeom prst="rect">
                            <a:avLst/>
                          </a:prstGeom>
                          <a:noFill/>
                          <a:ln>
                            <a:noFill/>
                          </a:ln>
                        </pic:spPr>
                      </pic:pic>
                    </a:graphicData>
                  </a:graphic>
                </wp:inline>
              </w:drawing>
            </w:r>
            <w:r>
              <w:rPr>
                <w:rFonts w:hint="default" w:cs="Times New Roman"/>
                <w:caps w:val="0"/>
                <w:color w:val="auto"/>
                <w:spacing w:val="0"/>
                <w:position w:val="0"/>
                <w:highlight w:val="none"/>
              </w:rPr>
              <w:fldChar w:fldCharType="end"/>
            </w:r>
          </w:p>
          <w:p w14:paraId="191F0039">
            <w:pPr>
              <w:pStyle w:val="86"/>
              <w:keepNext w:val="0"/>
              <w:keepLines w:val="0"/>
              <w:suppressLineNumbers w:val="0"/>
              <w:spacing w:before="0" w:beforeAutospacing="0" w:after="0" w:afterAutospacing="0"/>
              <w:ind w:left="0" w:right="0" w:firstLine="480"/>
              <w:rPr>
                <w:rFonts w:hint="default" w:cs="Times New Roman"/>
                <w:caps w:val="0"/>
                <w:color w:val="auto"/>
                <w:spacing w:val="0"/>
                <w:position w:val="0"/>
                <w:highlight w:val="none"/>
              </w:rPr>
            </w:pPr>
            <w:r>
              <w:rPr>
                <w:rFonts w:hint="default" w:cs="Times New Roman"/>
                <w:caps w:val="0"/>
                <w:color w:val="auto"/>
                <w:spacing w:val="0"/>
                <w:position w:val="0"/>
                <w:highlight w:val="none"/>
              </w:rPr>
              <w:t>式中：q</w:t>
            </w:r>
            <w:r>
              <w:rPr>
                <w:rFonts w:hint="default" w:cs="Times New Roman"/>
                <w:caps w:val="0"/>
                <w:color w:val="auto"/>
                <w:spacing w:val="0"/>
                <w:position w:val="0"/>
                <w:highlight w:val="none"/>
                <w:vertAlign w:val="subscript"/>
              </w:rPr>
              <w:t>1</w:t>
            </w:r>
            <w:r>
              <w:rPr>
                <w:rFonts w:hint="eastAsia" w:cs="Times New Roman"/>
                <w:caps w:val="0"/>
                <w:color w:val="auto"/>
                <w:spacing w:val="0"/>
                <w:position w:val="0"/>
                <w:highlight w:val="none"/>
              </w:rPr>
              <w:t>、q</w:t>
            </w:r>
            <w:r>
              <w:rPr>
                <w:rFonts w:hint="default" w:cs="Times New Roman"/>
                <w:caps w:val="0"/>
                <w:color w:val="auto"/>
                <w:spacing w:val="0"/>
                <w:position w:val="0"/>
                <w:highlight w:val="none"/>
                <w:vertAlign w:val="subscript"/>
              </w:rPr>
              <w:t>2</w:t>
            </w:r>
            <w:r>
              <w:rPr>
                <w:rFonts w:hint="default" w:cs="Times New Roman"/>
                <w:caps w:val="0"/>
                <w:color w:val="auto"/>
                <w:spacing w:val="0"/>
                <w:position w:val="0"/>
                <w:highlight w:val="none"/>
              </w:rPr>
              <w:t>——每种危险物质的最大存在总量，t；</w:t>
            </w:r>
          </w:p>
          <w:p w14:paraId="62B324CD">
            <w:pPr>
              <w:pStyle w:val="86"/>
              <w:keepNext w:val="0"/>
              <w:keepLines w:val="0"/>
              <w:suppressLineNumbers w:val="0"/>
              <w:spacing w:before="0" w:beforeAutospacing="0" w:after="0" w:afterAutospacing="0"/>
              <w:ind w:left="0" w:right="0" w:firstLine="480"/>
              <w:rPr>
                <w:rFonts w:hint="default" w:cs="Times New Roman"/>
                <w:caps w:val="0"/>
                <w:color w:val="auto"/>
                <w:spacing w:val="0"/>
                <w:position w:val="0"/>
                <w:highlight w:val="none"/>
              </w:rPr>
            </w:pPr>
            <w:r>
              <w:rPr>
                <w:rFonts w:hint="default" w:cs="Times New Roman"/>
                <w:caps w:val="0"/>
                <w:color w:val="auto"/>
                <w:spacing w:val="0"/>
                <w:position w:val="0"/>
                <w:highlight w:val="none"/>
              </w:rPr>
              <w:t>Q</w:t>
            </w:r>
            <w:r>
              <w:rPr>
                <w:rFonts w:hint="default" w:cs="Times New Roman"/>
                <w:caps w:val="0"/>
                <w:color w:val="auto"/>
                <w:spacing w:val="0"/>
                <w:position w:val="0"/>
                <w:highlight w:val="none"/>
                <w:vertAlign w:val="subscript"/>
              </w:rPr>
              <w:t>1</w:t>
            </w:r>
            <w:r>
              <w:rPr>
                <w:rFonts w:hint="eastAsia" w:cs="Times New Roman"/>
                <w:caps w:val="0"/>
                <w:color w:val="auto"/>
                <w:spacing w:val="0"/>
                <w:position w:val="0"/>
                <w:highlight w:val="none"/>
              </w:rPr>
              <w:t>、</w:t>
            </w:r>
            <w:r>
              <w:rPr>
                <w:rFonts w:hint="default" w:cs="Times New Roman"/>
                <w:caps w:val="0"/>
                <w:color w:val="auto"/>
                <w:spacing w:val="0"/>
                <w:position w:val="0"/>
                <w:highlight w:val="none"/>
              </w:rPr>
              <w:t>Q</w:t>
            </w:r>
            <w:r>
              <w:rPr>
                <w:rFonts w:hint="default" w:cs="Times New Roman"/>
                <w:caps w:val="0"/>
                <w:color w:val="auto"/>
                <w:spacing w:val="0"/>
                <w:position w:val="0"/>
                <w:highlight w:val="none"/>
                <w:vertAlign w:val="subscript"/>
              </w:rPr>
              <w:t>2</w:t>
            </w:r>
            <w:r>
              <w:rPr>
                <w:rFonts w:hint="default" w:cs="Times New Roman"/>
                <w:caps w:val="0"/>
                <w:color w:val="auto"/>
                <w:spacing w:val="0"/>
                <w:position w:val="0"/>
                <w:highlight w:val="none"/>
              </w:rPr>
              <w:t>…..Q</w:t>
            </w:r>
            <w:r>
              <w:rPr>
                <w:rFonts w:hint="eastAsia" w:cs="Times New Roman"/>
                <w:caps w:val="0"/>
                <w:color w:val="auto"/>
                <w:spacing w:val="0"/>
                <w:position w:val="0"/>
                <w:highlight w:val="none"/>
                <w:vertAlign w:val="subscript"/>
              </w:rPr>
              <w:t>n</w:t>
            </w:r>
            <w:r>
              <w:rPr>
                <w:rFonts w:hint="default" w:cs="Times New Roman"/>
                <w:caps w:val="0"/>
                <w:color w:val="auto"/>
                <w:spacing w:val="0"/>
                <w:position w:val="0"/>
                <w:highlight w:val="none"/>
              </w:rPr>
              <w:t>———每种危险物质的临界量，t。</w:t>
            </w:r>
          </w:p>
          <w:p w14:paraId="63C1773E">
            <w:pPr>
              <w:pStyle w:val="86"/>
              <w:keepNext w:val="0"/>
              <w:keepLines w:val="0"/>
              <w:suppressLineNumbers w:val="0"/>
              <w:spacing w:before="0" w:beforeAutospacing="0" w:after="0" w:afterAutospacing="0"/>
              <w:ind w:left="0" w:right="0" w:firstLine="480"/>
              <w:rPr>
                <w:rFonts w:hint="default" w:cs="Times New Roman"/>
                <w:caps w:val="0"/>
                <w:color w:val="auto"/>
                <w:spacing w:val="0"/>
                <w:position w:val="0"/>
                <w:highlight w:val="none"/>
              </w:rPr>
            </w:pPr>
            <w:r>
              <w:rPr>
                <w:rFonts w:hint="default" w:cs="Times New Roman"/>
                <w:caps w:val="0"/>
                <w:color w:val="auto"/>
                <w:spacing w:val="0"/>
                <w:position w:val="0"/>
                <w:highlight w:val="none"/>
              </w:rPr>
              <w:t>当Q＜1时，该项目环境风险潜势为I。</w:t>
            </w:r>
          </w:p>
          <w:p w14:paraId="46B3CC2F">
            <w:pPr>
              <w:pStyle w:val="86"/>
              <w:keepNext w:val="0"/>
              <w:keepLines w:val="0"/>
              <w:suppressLineNumbers w:val="0"/>
              <w:spacing w:before="0" w:beforeAutospacing="0" w:after="0" w:afterAutospacing="0"/>
              <w:ind w:left="0" w:right="0" w:firstLine="480"/>
              <w:rPr>
                <w:rFonts w:hint="default" w:cs="Times New Roman"/>
                <w:caps w:val="0"/>
                <w:color w:val="auto"/>
                <w:spacing w:val="0"/>
                <w:position w:val="0"/>
                <w:highlight w:val="none"/>
              </w:rPr>
            </w:pPr>
            <w:r>
              <w:rPr>
                <w:rFonts w:hint="default" w:cs="Times New Roman"/>
                <w:caps w:val="0"/>
                <w:color w:val="auto"/>
                <w:spacing w:val="0"/>
                <w:position w:val="0"/>
                <w:highlight w:val="none"/>
              </w:rPr>
              <w:t>当Q≥1时，将Q值划分为：（1）1≤Q＜10；（2）10≤Q＜100；（3）Q≥100。</w:t>
            </w:r>
          </w:p>
          <w:p w14:paraId="7E989129">
            <w:pPr>
              <w:pStyle w:val="86"/>
              <w:keepNext w:val="0"/>
              <w:keepLines w:val="0"/>
              <w:suppressLineNumbers w:val="0"/>
              <w:spacing w:before="0" w:beforeAutospacing="0" w:after="0" w:afterAutospacing="0"/>
              <w:ind w:left="0" w:right="0" w:firstLine="480"/>
              <w:rPr>
                <w:rFonts w:hint="default" w:cs="Times New Roman"/>
                <w:caps w:val="0"/>
                <w:color w:val="auto"/>
                <w:spacing w:val="0"/>
                <w:position w:val="0"/>
                <w:highlight w:val="none"/>
              </w:rPr>
            </w:pPr>
            <w:r>
              <w:rPr>
                <w:rFonts w:hint="default" w:cs="Times New Roman"/>
                <w:caps w:val="0"/>
                <w:color w:val="auto"/>
                <w:spacing w:val="0"/>
                <w:position w:val="0"/>
                <w:highlight w:val="none"/>
              </w:rPr>
              <w:t>项目Q值计算结果见下表所示。</w:t>
            </w:r>
          </w:p>
          <w:p w14:paraId="6242B2C3">
            <w:pPr>
              <w:pStyle w:val="75"/>
              <w:keepNext w:val="0"/>
              <w:keepLines w:val="0"/>
              <w:suppressLineNumbers w:val="0"/>
              <w:bidi w:val="0"/>
              <w:spacing w:before="0" w:beforeAutospacing="0" w:after="0" w:afterAutospacing="0"/>
              <w:ind w:left="0" w:right="0"/>
              <w:rPr>
                <w:rFonts w:hint="default"/>
                <w:caps w:val="0"/>
                <w:snapToGrid w:val="0"/>
                <w:color w:val="auto"/>
                <w:spacing w:val="0"/>
                <w:position w:val="0"/>
                <w:highlight w:val="none"/>
              </w:rPr>
            </w:pPr>
            <w:r>
              <w:rPr>
                <w:rFonts w:hint="default"/>
                <w:caps w:val="0"/>
                <w:color w:val="auto"/>
                <w:spacing w:val="0"/>
                <w:position w:val="0"/>
                <w:highlight w:val="none"/>
              </w:rPr>
              <w:t>表4-</w:t>
            </w:r>
            <w:r>
              <w:rPr>
                <w:rFonts w:hint="eastAsia"/>
                <w:caps w:val="0"/>
                <w:color w:val="auto"/>
                <w:spacing w:val="0"/>
                <w:position w:val="0"/>
                <w:highlight w:val="none"/>
                <w:lang w:val="en-US" w:eastAsia="zh-CN"/>
              </w:rPr>
              <w:t>20</w:t>
            </w:r>
            <w:r>
              <w:rPr>
                <w:rFonts w:hint="default"/>
                <w:caps w:val="0"/>
                <w:color w:val="auto"/>
                <w:spacing w:val="0"/>
                <w:position w:val="0"/>
                <w:highlight w:val="none"/>
              </w:rPr>
              <w:t xml:space="preserve"> 建设项目Q值确定表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88"/>
              <w:gridCol w:w="1435"/>
              <w:gridCol w:w="1200"/>
              <w:gridCol w:w="1634"/>
              <w:gridCol w:w="1372"/>
              <w:gridCol w:w="1636"/>
            </w:tblGrid>
            <w:tr w14:paraId="7AFD89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4" w:type="dxa"/>
                  <w:noWrap w:val="0"/>
                  <w:vAlign w:val="center"/>
                </w:tcPr>
                <w:p w14:paraId="6142C16D">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序号</w:t>
                  </w:r>
                </w:p>
              </w:tc>
              <w:tc>
                <w:tcPr>
                  <w:tcW w:w="1550" w:type="dxa"/>
                  <w:noWrap w:val="0"/>
                  <w:vAlign w:val="center"/>
                </w:tcPr>
                <w:p w14:paraId="05069EA8">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危险物质名称</w:t>
                  </w:r>
                </w:p>
              </w:tc>
              <w:tc>
                <w:tcPr>
                  <w:tcW w:w="1311" w:type="dxa"/>
                  <w:noWrap w:val="0"/>
                  <w:vAlign w:val="center"/>
                </w:tcPr>
                <w:p w14:paraId="6232BE49">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分布情况</w:t>
                  </w:r>
                </w:p>
              </w:tc>
              <w:tc>
                <w:tcPr>
                  <w:tcW w:w="1752" w:type="dxa"/>
                  <w:noWrap w:val="0"/>
                  <w:vAlign w:val="center"/>
                </w:tcPr>
                <w:p w14:paraId="356C1D1D">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最大存在总量qn/t</w:t>
                  </w:r>
                </w:p>
              </w:tc>
              <w:tc>
                <w:tcPr>
                  <w:tcW w:w="1461" w:type="dxa"/>
                  <w:noWrap w:val="0"/>
                  <w:vAlign w:val="center"/>
                </w:tcPr>
                <w:p w14:paraId="24E81000">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临界量Qn/t</w:t>
                  </w:r>
                </w:p>
              </w:tc>
              <w:tc>
                <w:tcPr>
                  <w:tcW w:w="1735" w:type="dxa"/>
                  <w:noWrap w:val="0"/>
                  <w:vAlign w:val="center"/>
                </w:tcPr>
                <w:p w14:paraId="01B05E55">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该种危险物质Q值</w:t>
                  </w:r>
                </w:p>
              </w:tc>
            </w:tr>
            <w:tr w14:paraId="53F202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4" w:type="dxa"/>
                  <w:noWrap w:val="0"/>
                  <w:vAlign w:val="center"/>
                </w:tcPr>
                <w:p w14:paraId="30C54A9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1</w:t>
                  </w:r>
                </w:p>
              </w:tc>
              <w:tc>
                <w:tcPr>
                  <w:tcW w:w="1550" w:type="dxa"/>
                  <w:noWrap w:val="0"/>
                  <w:vAlign w:val="center"/>
                </w:tcPr>
                <w:p w14:paraId="77A7D7D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润滑油</w:t>
                  </w:r>
                </w:p>
              </w:tc>
              <w:tc>
                <w:tcPr>
                  <w:tcW w:w="1311" w:type="dxa"/>
                  <w:noWrap w:val="0"/>
                  <w:vAlign w:val="center"/>
                </w:tcPr>
                <w:p w14:paraId="719F4D0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仓库</w:t>
                  </w:r>
                </w:p>
              </w:tc>
              <w:tc>
                <w:tcPr>
                  <w:tcW w:w="1752" w:type="dxa"/>
                  <w:noWrap w:val="0"/>
                  <w:vAlign w:val="center"/>
                </w:tcPr>
                <w:p w14:paraId="38FE56D5">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0.5</w:t>
                  </w:r>
                </w:p>
              </w:tc>
              <w:tc>
                <w:tcPr>
                  <w:tcW w:w="1461" w:type="dxa"/>
                  <w:noWrap w:val="0"/>
                  <w:vAlign w:val="center"/>
                </w:tcPr>
                <w:p w14:paraId="751AB43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2500</w:t>
                  </w:r>
                </w:p>
              </w:tc>
              <w:tc>
                <w:tcPr>
                  <w:tcW w:w="1735" w:type="dxa"/>
                  <w:noWrap w:val="0"/>
                  <w:vAlign w:val="center"/>
                </w:tcPr>
                <w:p w14:paraId="544224D0">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eastAsia="zh-CN"/>
                    </w:rPr>
                  </w:pPr>
                  <w:r>
                    <w:rPr>
                      <w:rFonts w:hint="default"/>
                      <w:caps w:val="0"/>
                      <w:color w:val="auto"/>
                      <w:spacing w:val="0"/>
                      <w:position w:val="0"/>
                      <w:highlight w:val="none"/>
                    </w:rPr>
                    <w:t>0.000</w:t>
                  </w:r>
                  <w:r>
                    <w:rPr>
                      <w:rFonts w:hint="eastAsia"/>
                      <w:caps w:val="0"/>
                      <w:color w:val="auto"/>
                      <w:spacing w:val="0"/>
                      <w:position w:val="0"/>
                      <w:highlight w:val="none"/>
                      <w:lang w:val="en-US" w:eastAsia="zh-CN"/>
                    </w:rPr>
                    <w:t>2</w:t>
                  </w:r>
                </w:p>
              </w:tc>
            </w:tr>
            <w:tr w14:paraId="19E71A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4" w:type="dxa"/>
                  <w:noWrap w:val="0"/>
                  <w:vAlign w:val="center"/>
                </w:tcPr>
                <w:p w14:paraId="4FA9FF0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2</w:t>
                  </w:r>
                </w:p>
              </w:tc>
              <w:tc>
                <w:tcPr>
                  <w:tcW w:w="1550" w:type="dxa"/>
                  <w:noWrap w:val="0"/>
                  <w:vAlign w:val="center"/>
                </w:tcPr>
                <w:p w14:paraId="372BB07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危险废物</w:t>
                  </w:r>
                </w:p>
              </w:tc>
              <w:tc>
                <w:tcPr>
                  <w:tcW w:w="1311" w:type="dxa"/>
                  <w:noWrap w:val="0"/>
                  <w:vAlign w:val="center"/>
                </w:tcPr>
                <w:p w14:paraId="7D4121D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危废暂存间</w:t>
                  </w:r>
                </w:p>
              </w:tc>
              <w:tc>
                <w:tcPr>
                  <w:tcW w:w="1752" w:type="dxa"/>
                  <w:noWrap w:val="0"/>
                  <w:vAlign w:val="center"/>
                </w:tcPr>
                <w:p w14:paraId="5840A962">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2.665</w:t>
                  </w:r>
                </w:p>
              </w:tc>
              <w:tc>
                <w:tcPr>
                  <w:tcW w:w="1461" w:type="dxa"/>
                  <w:noWrap w:val="0"/>
                  <w:vAlign w:val="center"/>
                </w:tcPr>
                <w:p w14:paraId="7F51C29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50</w:t>
                  </w:r>
                </w:p>
              </w:tc>
              <w:tc>
                <w:tcPr>
                  <w:tcW w:w="1735" w:type="dxa"/>
                  <w:noWrap w:val="0"/>
                  <w:vAlign w:val="center"/>
                </w:tcPr>
                <w:p w14:paraId="0F219B2F">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default"/>
                      <w:caps w:val="0"/>
                      <w:color w:val="auto"/>
                      <w:spacing w:val="0"/>
                      <w:position w:val="0"/>
                      <w:highlight w:val="none"/>
                    </w:rPr>
                    <w:t>0.0</w:t>
                  </w:r>
                  <w:r>
                    <w:rPr>
                      <w:rFonts w:hint="eastAsia"/>
                      <w:caps w:val="0"/>
                      <w:color w:val="auto"/>
                      <w:spacing w:val="0"/>
                      <w:position w:val="0"/>
                      <w:highlight w:val="none"/>
                      <w:lang w:val="en-US" w:eastAsia="zh-CN"/>
                    </w:rPr>
                    <w:t>533</w:t>
                  </w:r>
                </w:p>
              </w:tc>
            </w:tr>
            <w:tr w14:paraId="1CE958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4" w:type="dxa"/>
                  <w:noWrap w:val="0"/>
                  <w:vAlign w:val="center"/>
                </w:tcPr>
                <w:p w14:paraId="3AEAA9CC">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3</w:t>
                  </w:r>
                </w:p>
              </w:tc>
              <w:tc>
                <w:tcPr>
                  <w:tcW w:w="1550" w:type="dxa"/>
                  <w:noWrap w:val="0"/>
                  <w:vAlign w:val="center"/>
                </w:tcPr>
                <w:p w14:paraId="1B166642">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柴油</w:t>
                  </w:r>
                </w:p>
              </w:tc>
              <w:tc>
                <w:tcPr>
                  <w:tcW w:w="1311" w:type="dxa"/>
                  <w:noWrap w:val="0"/>
                  <w:vAlign w:val="center"/>
                </w:tcPr>
                <w:p w14:paraId="629148A7">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仓库</w:t>
                  </w:r>
                </w:p>
              </w:tc>
              <w:tc>
                <w:tcPr>
                  <w:tcW w:w="1752" w:type="dxa"/>
                  <w:noWrap w:val="0"/>
                  <w:vAlign w:val="center"/>
                </w:tcPr>
                <w:p w14:paraId="10515E5B">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1</w:t>
                  </w:r>
                </w:p>
              </w:tc>
              <w:tc>
                <w:tcPr>
                  <w:tcW w:w="1461" w:type="dxa"/>
                  <w:noWrap w:val="0"/>
                  <w:vAlign w:val="center"/>
                </w:tcPr>
                <w:p w14:paraId="56827433">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2500</w:t>
                  </w:r>
                </w:p>
              </w:tc>
              <w:tc>
                <w:tcPr>
                  <w:tcW w:w="1735" w:type="dxa"/>
                  <w:noWrap w:val="0"/>
                  <w:vAlign w:val="center"/>
                </w:tcPr>
                <w:p w14:paraId="54E8BE56">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0.0004</w:t>
                  </w:r>
                </w:p>
              </w:tc>
            </w:tr>
            <w:tr w14:paraId="28A441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4" w:type="dxa"/>
                  <w:noWrap w:val="0"/>
                  <w:vAlign w:val="center"/>
                </w:tcPr>
                <w:p w14:paraId="4D70C2ED">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4</w:t>
                  </w:r>
                </w:p>
              </w:tc>
              <w:tc>
                <w:tcPr>
                  <w:tcW w:w="1550" w:type="dxa"/>
                  <w:noWrap w:val="0"/>
                  <w:vAlign w:val="center"/>
                </w:tcPr>
                <w:p w14:paraId="3157FD14">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ascii="Times New Roman" w:eastAsia="宋体"/>
                      <w:caps w:val="0"/>
                      <w:color w:val="auto"/>
                      <w:spacing w:val="0"/>
                      <w:position w:val="0"/>
                      <w:highlight w:val="none"/>
                      <w:lang w:val="en-US" w:eastAsia="zh-CN"/>
                    </w:rPr>
                    <w:t>铊及其化合物（锂渣）</w:t>
                  </w:r>
                </w:p>
              </w:tc>
              <w:tc>
                <w:tcPr>
                  <w:tcW w:w="1311" w:type="dxa"/>
                  <w:noWrap w:val="0"/>
                  <w:vAlign w:val="center"/>
                </w:tcPr>
                <w:p w14:paraId="23A700C7">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锂渣仓库</w:t>
                  </w:r>
                </w:p>
              </w:tc>
              <w:tc>
                <w:tcPr>
                  <w:tcW w:w="1752" w:type="dxa"/>
                  <w:noWrap w:val="0"/>
                  <w:vAlign w:val="center"/>
                </w:tcPr>
                <w:p w14:paraId="73686815">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0.05</w:t>
                  </w:r>
                </w:p>
              </w:tc>
              <w:tc>
                <w:tcPr>
                  <w:tcW w:w="1461" w:type="dxa"/>
                  <w:noWrap w:val="0"/>
                  <w:vAlign w:val="center"/>
                </w:tcPr>
                <w:p w14:paraId="2D5F6EC9">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0.25</w:t>
                  </w:r>
                </w:p>
              </w:tc>
              <w:tc>
                <w:tcPr>
                  <w:tcW w:w="1735" w:type="dxa"/>
                  <w:noWrap w:val="0"/>
                  <w:vAlign w:val="center"/>
                </w:tcPr>
                <w:p w14:paraId="72537B32">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0.2</w:t>
                  </w:r>
                </w:p>
              </w:tc>
            </w:tr>
            <w:tr w14:paraId="0EFBF6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58" w:type="dxa"/>
                  <w:gridSpan w:val="5"/>
                  <w:noWrap w:val="0"/>
                  <w:vAlign w:val="center"/>
                </w:tcPr>
                <w:p w14:paraId="669DA5C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项目Q值∑</w:t>
                  </w:r>
                </w:p>
              </w:tc>
              <w:tc>
                <w:tcPr>
                  <w:tcW w:w="1735" w:type="dxa"/>
                  <w:noWrap w:val="0"/>
                  <w:vAlign w:val="center"/>
                </w:tcPr>
                <w:p w14:paraId="3FFDF7A5">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default"/>
                      <w:caps w:val="0"/>
                      <w:color w:val="auto"/>
                      <w:spacing w:val="0"/>
                      <w:position w:val="0"/>
                      <w:highlight w:val="none"/>
                    </w:rPr>
                    <w:t>0.</w:t>
                  </w:r>
                  <w:r>
                    <w:rPr>
                      <w:rFonts w:hint="eastAsia"/>
                      <w:caps w:val="0"/>
                      <w:color w:val="auto"/>
                      <w:spacing w:val="0"/>
                      <w:position w:val="0"/>
                      <w:highlight w:val="none"/>
                      <w:lang w:val="en-US" w:eastAsia="zh-CN"/>
                    </w:rPr>
                    <w:t>2539</w:t>
                  </w:r>
                </w:p>
              </w:tc>
            </w:tr>
          </w:tbl>
          <w:p w14:paraId="1C1B3795">
            <w:pPr>
              <w:pStyle w:val="81"/>
              <w:keepNext w:val="0"/>
              <w:keepLines w:val="0"/>
              <w:suppressLineNumbers w:val="0"/>
              <w:spacing w:before="0" w:beforeAutospacing="0" w:after="0" w:afterAutospacing="0"/>
              <w:ind w:left="0" w:right="0"/>
              <w:jc w:val="left"/>
              <w:rPr>
                <w:rFonts w:hint="default"/>
                <w:caps w:val="0"/>
                <w:color w:val="auto"/>
                <w:spacing w:val="0"/>
                <w:position w:val="0"/>
                <w:highlight w:val="none"/>
              </w:rPr>
            </w:pPr>
            <w:r>
              <w:rPr>
                <w:rFonts w:hint="default"/>
                <w:caps w:val="0"/>
                <w:color w:val="auto"/>
                <w:spacing w:val="0"/>
                <w:position w:val="0"/>
                <w:highlight w:val="none"/>
              </w:rPr>
              <w:t>注：上表中危险废物临界量保守考虑按照《建设项目环境风险评价技术导则》（HJ169-2018）附录B表B.2中健康危险急性毒性物质（类别2，类别3）中临界量50t计；润滑油</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柴油</w:t>
            </w:r>
            <w:r>
              <w:rPr>
                <w:rFonts w:hint="default"/>
                <w:caps w:val="0"/>
                <w:color w:val="auto"/>
                <w:spacing w:val="0"/>
                <w:position w:val="0"/>
                <w:highlight w:val="none"/>
              </w:rPr>
              <w:t>临界量按照附录B表B.1中油类物质（矿物油类，如石油、汽油、柴油等；生物柴油等）临界量2500t计。</w:t>
            </w:r>
          </w:p>
          <w:p w14:paraId="1ABF7AB8">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由上表可知项目Q值为0.</w:t>
            </w:r>
            <w:r>
              <w:rPr>
                <w:rFonts w:hint="eastAsia"/>
                <w:caps w:val="0"/>
                <w:color w:val="auto"/>
                <w:spacing w:val="0"/>
                <w:position w:val="0"/>
                <w:highlight w:val="none"/>
                <w:lang w:val="en-US" w:eastAsia="zh-CN"/>
              </w:rPr>
              <w:t>2539</w:t>
            </w:r>
            <w:r>
              <w:rPr>
                <w:rFonts w:hint="default"/>
                <w:caps w:val="0"/>
                <w:color w:val="auto"/>
                <w:spacing w:val="0"/>
                <w:position w:val="0"/>
                <w:highlight w:val="none"/>
              </w:rPr>
              <w:t>，即Q＜1，经对照《建设项目环境风险评价导则》（HJ/T169-2018）中“附录B突发环境事件风险物质及临界量表”和《企业突发环境事件风险分级方法》中“附录A突发环境事件风险物质及临界量清单”，因此确定建设项目环境风险潜势为I，故开展环境风险简单分析。</w:t>
            </w:r>
          </w:p>
          <w:p w14:paraId="042C6E0B">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eastAsia"/>
                <w:b/>
                <w:bCs w:val="0"/>
                <w:caps w:val="0"/>
                <w:color w:val="auto"/>
                <w:spacing w:val="0"/>
                <w:position w:val="0"/>
                <w:highlight w:val="none"/>
                <w:lang w:val="en-US" w:eastAsia="zh-CN"/>
              </w:rPr>
              <w:t>7</w:t>
            </w:r>
            <w:r>
              <w:rPr>
                <w:rFonts w:hint="default"/>
                <w:b/>
                <w:bCs w:val="0"/>
                <w:caps w:val="0"/>
                <w:color w:val="auto"/>
                <w:spacing w:val="0"/>
                <w:position w:val="0"/>
                <w:highlight w:val="none"/>
              </w:rPr>
              <w:t>.2、环境风险识别</w:t>
            </w:r>
          </w:p>
          <w:p w14:paraId="3B4C4C57">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分析危险物质特性及可能的环境风险类型，识别危险物质影响环境的途径，分析可能影响的环境敏感目标，具体见下表。</w:t>
            </w:r>
          </w:p>
          <w:p w14:paraId="1627BA4D">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表4-</w:t>
            </w:r>
            <w:r>
              <w:rPr>
                <w:rFonts w:hint="eastAsia"/>
                <w:caps w:val="0"/>
                <w:color w:val="auto"/>
                <w:spacing w:val="0"/>
                <w:position w:val="0"/>
                <w:highlight w:val="none"/>
                <w:lang w:val="en-US" w:eastAsia="zh-CN"/>
              </w:rPr>
              <w:t>21</w:t>
            </w:r>
            <w:r>
              <w:rPr>
                <w:rFonts w:hint="default"/>
                <w:caps w:val="0"/>
                <w:color w:val="auto"/>
                <w:spacing w:val="0"/>
                <w:position w:val="0"/>
                <w:highlight w:val="none"/>
              </w:rPr>
              <w:t xml:space="preserve"> 建设项目环境风险识别表</w:t>
            </w:r>
          </w:p>
          <w:tbl>
            <w:tblPr>
              <w:tblStyle w:val="23"/>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39"/>
              <w:gridCol w:w="797"/>
              <w:gridCol w:w="1092"/>
              <w:gridCol w:w="1102"/>
              <w:gridCol w:w="953"/>
              <w:gridCol w:w="1555"/>
              <w:gridCol w:w="709"/>
              <w:gridCol w:w="1613"/>
            </w:tblGrid>
            <w:tr w14:paraId="3368BA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7" w:type="dxa"/>
                  <w:noWrap w:val="0"/>
                  <w:vAlign w:val="center"/>
                </w:tcPr>
                <w:p w14:paraId="1898FD12">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序号</w:t>
                  </w:r>
                </w:p>
              </w:tc>
              <w:tc>
                <w:tcPr>
                  <w:tcW w:w="851" w:type="dxa"/>
                  <w:noWrap w:val="0"/>
                  <w:vAlign w:val="center"/>
                </w:tcPr>
                <w:p w14:paraId="4032E9BC">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危险单元</w:t>
                  </w:r>
                </w:p>
              </w:tc>
              <w:tc>
                <w:tcPr>
                  <w:tcW w:w="1189" w:type="dxa"/>
                  <w:noWrap w:val="0"/>
                  <w:vAlign w:val="center"/>
                </w:tcPr>
                <w:p w14:paraId="725DB055">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风险源</w:t>
                  </w:r>
                </w:p>
              </w:tc>
              <w:tc>
                <w:tcPr>
                  <w:tcW w:w="1170" w:type="dxa"/>
                  <w:noWrap w:val="0"/>
                  <w:vAlign w:val="center"/>
                </w:tcPr>
                <w:p w14:paraId="01B8CEB8">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主要风险物质</w:t>
                  </w:r>
                </w:p>
              </w:tc>
              <w:tc>
                <w:tcPr>
                  <w:tcW w:w="1030" w:type="dxa"/>
                  <w:noWrap w:val="0"/>
                  <w:vAlign w:val="center"/>
                </w:tcPr>
                <w:p w14:paraId="4D30D7E3">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环境风险类型</w:t>
                  </w:r>
                </w:p>
              </w:tc>
              <w:tc>
                <w:tcPr>
                  <w:tcW w:w="1690" w:type="dxa"/>
                  <w:noWrap w:val="0"/>
                  <w:vAlign w:val="center"/>
                </w:tcPr>
                <w:p w14:paraId="28983AF2">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环境风险途径</w:t>
                  </w:r>
                </w:p>
              </w:tc>
              <w:tc>
                <w:tcPr>
                  <w:tcW w:w="750" w:type="dxa"/>
                  <w:noWrap w:val="0"/>
                  <w:vAlign w:val="center"/>
                </w:tcPr>
                <w:p w14:paraId="5CC3A0C6">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次生/伴生污染物</w:t>
                  </w:r>
                </w:p>
              </w:tc>
              <w:tc>
                <w:tcPr>
                  <w:tcW w:w="1756" w:type="dxa"/>
                  <w:noWrap w:val="0"/>
                  <w:vAlign w:val="center"/>
                </w:tcPr>
                <w:p w14:paraId="17530F22">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可能影响的环境敏感目标</w:t>
                  </w:r>
                </w:p>
              </w:tc>
            </w:tr>
            <w:tr w14:paraId="16A0C9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7" w:type="dxa"/>
                  <w:noWrap w:val="0"/>
                  <w:vAlign w:val="center"/>
                </w:tcPr>
                <w:p w14:paraId="4DC91C9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1</w:t>
                  </w:r>
                </w:p>
              </w:tc>
              <w:tc>
                <w:tcPr>
                  <w:tcW w:w="851" w:type="dxa"/>
                  <w:noWrap w:val="0"/>
                  <w:vAlign w:val="center"/>
                </w:tcPr>
                <w:p w14:paraId="4BEE59D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原料仓库</w:t>
                  </w:r>
                </w:p>
              </w:tc>
              <w:tc>
                <w:tcPr>
                  <w:tcW w:w="1189" w:type="dxa"/>
                  <w:noWrap w:val="0"/>
                  <w:vAlign w:val="center"/>
                </w:tcPr>
                <w:p w14:paraId="6005BB3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原辅材料</w:t>
                  </w:r>
                </w:p>
              </w:tc>
              <w:tc>
                <w:tcPr>
                  <w:tcW w:w="1170" w:type="dxa"/>
                  <w:noWrap w:val="0"/>
                  <w:vAlign w:val="center"/>
                </w:tcPr>
                <w:p w14:paraId="5E150CF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润滑油</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柴油</w:t>
                  </w:r>
                  <w:r>
                    <w:rPr>
                      <w:rFonts w:hint="default"/>
                      <w:caps w:val="0"/>
                      <w:color w:val="auto"/>
                      <w:spacing w:val="0"/>
                      <w:position w:val="0"/>
                      <w:highlight w:val="none"/>
                    </w:rPr>
                    <w:t>等</w:t>
                  </w:r>
                </w:p>
              </w:tc>
              <w:tc>
                <w:tcPr>
                  <w:tcW w:w="1030" w:type="dxa"/>
                  <w:noWrap w:val="0"/>
                  <w:vAlign w:val="center"/>
                </w:tcPr>
                <w:p w14:paraId="17E6844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泄漏</w:t>
                  </w:r>
                </w:p>
              </w:tc>
              <w:tc>
                <w:tcPr>
                  <w:tcW w:w="1690" w:type="dxa"/>
                  <w:vMerge w:val="restart"/>
                  <w:noWrap w:val="0"/>
                  <w:vAlign w:val="center"/>
                </w:tcPr>
                <w:p w14:paraId="7E1E57B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液体物质、发生泄漏遇明火或其他易燃物质会发生火灾，甚至发生爆炸</w:t>
                  </w:r>
                </w:p>
              </w:tc>
              <w:tc>
                <w:tcPr>
                  <w:tcW w:w="750" w:type="dxa"/>
                  <w:noWrap w:val="0"/>
                  <w:vAlign w:val="center"/>
                </w:tcPr>
                <w:p w14:paraId="7056EF8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有毒气体</w:t>
                  </w:r>
                </w:p>
              </w:tc>
              <w:tc>
                <w:tcPr>
                  <w:tcW w:w="1756" w:type="dxa"/>
                  <w:vMerge w:val="restart"/>
                  <w:noWrap w:val="0"/>
                  <w:vAlign w:val="center"/>
                </w:tcPr>
                <w:p w14:paraId="620BD42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主要可能影响泄漏点附近的员工，对外环境基本无影响</w:t>
                  </w:r>
                </w:p>
              </w:tc>
            </w:tr>
            <w:tr w14:paraId="55BF98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7" w:type="dxa"/>
                  <w:noWrap w:val="0"/>
                  <w:vAlign w:val="center"/>
                </w:tcPr>
                <w:p w14:paraId="057D893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2</w:t>
                  </w:r>
                </w:p>
              </w:tc>
              <w:tc>
                <w:tcPr>
                  <w:tcW w:w="851" w:type="dxa"/>
                  <w:noWrap w:val="0"/>
                  <w:vAlign w:val="center"/>
                </w:tcPr>
                <w:p w14:paraId="6219D52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危废暂存间</w:t>
                  </w:r>
                </w:p>
              </w:tc>
              <w:tc>
                <w:tcPr>
                  <w:tcW w:w="1189" w:type="dxa"/>
                  <w:noWrap w:val="0"/>
                  <w:vAlign w:val="center"/>
                </w:tcPr>
                <w:p w14:paraId="62807AF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危险废物</w:t>
                  </w:r>
                </w:p>
              </w:tc>
              <w:tc>
                <w:tcPr>
                  <w:tcW w:w="1170" w:type="dxa"/>
                  <w:noWrap w:val="0"/>
                  <w:vAlign w:val="center"/>
                </w:tcPr>
                <w:p w14:paraId="3326A6F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废润滑油、废润滑油桶、废含油抹布及手套</w:t>
                  </w:r>
                </w:p>
              </w:tc>
              <w:tc>
                <w:tcPr>
                  <w:tcW w:w="1030" w:type="dxa"/>
                  <w:noWrap w:val="0"/>
                  <w:vAlign w:val="center"/>
                </w:tcPr>
                <w:p w14:paraId="50AF6FD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泄漏</w:t>
                  </w:r>
                </w:p>
              </w:tc>
              <w:tc>
                <w:tcPr>
                  <w:tcW w:w="1690" w:type="dxa"/>
                  <w:vMerge w:val="continue"/>
                  <w:noWrap w:val="0"/>
                  <w:vAlign w:val="center"/>
                </w:tcPr>
                <w:p w14:paraId="6B7205E0">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750" w:type="dxa"/>
                  <w:noWrap w:val="0"/>
                  <w:vAlign w:val="center"/>
                </w:tcPr>
                <w:p w14:paraId="6272D1A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有毒气体</w:t>
                  </w:r>
                </w:p>
              </w:tc>
              <w:tc>
                <w:tcPr>
                  <w:tcW w:w="1756" w:type="dxa"/>
                  <w:vMerge w:val="continue"/>
                  <w:noWrap w:val="0"/>
                  <w:vAlign w:val="center"/>
                </w:tcPr>
                <w:p w14:paraId="4A08D44B">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r>
            <w:tr w14:paraId="271EED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7" w:type="dxa"/>
                  <w:noWrap w:val="0"/>
                  <w:vAlign w:val="center"/>
                </w:tcPr>
                <w:p w14:paraId="7092B86D">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3</w:t>
                  </w:r>
                </w:p>
              </w:tc>
              <w:tc>
                <w:tcPr>
                  <w:tcW w:w="851" w:type="dxa"/>
                  <w:noWrap w:val="0"/>
                  <w:vAlign w:val="center"/>
                </w:tcPr>
                <w:p w14:paraId="67586D2F">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渗滤液池</w:t>
                  </w:r>
                </w:p>
              </w:tc>
              <w:tc>
                <w:tcPr>
                  <w:tcW w:w="1189" w:type="dxa"/>
                  <w:noWrap w:val="0"/>
                  <w:vAlign w:val="center"/>
                </w:tcPr>
                <w:p w14:paraId="2A9F3E2D">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渗滤液</w:t>
                  </w:r>
                </w:p>
              </w:tc>
              <w:tc>
                <w:tcPr>
                  <w:tcW w:w="1170" w:type="dxa"/>
                  <w:noWrap w:val="0"/>
                  <w:vAlign w:val="center"/>
                </w:tcPr>
                <w:p w14:paraId="07A464F9">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渗滤液（含锂）</w:t>
                  </w:r>
                </w:p>
              </w:tc>
              <w:tc>
                <w:tcPr>
                  <w:tcW w:w="1030" w:type="dxa"/>
                  <w:noWrap w:val="0"/>
                  <w:vAlign w:val="center"/>
                </w:tcPr>
                <w:p w14:paraId="62FFA16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泄漏</w:t>
                  </w:r>
                </w:p>
              </w:tc>
              <w:tc>
                <w:tcPr>
                  <w:tcW w:w="1690" w:type="dxa"/>
                  <w:noWrap w:val="0"/>
                  <w:vAlign w:val="center"/>
                </w:tcPr>
                <w:p w14:paraId="1B20478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泄漏污染大气环境、土壤、地下水</w:t>
                  </w:r>
                </w:p>
              </w:tc>
              <w:tc>
                <w:tcPr>
                  <w:tcW w:w="750" w:type="dxa"/>
                  <w:noWrap w:val="0"/>
                  <w:vAlign w:val="center"/>
                </w:tcPr>
                <w:p w14:paraId="2A53EB79">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重金属污染</w:t>
                  </w:r>
                </w:p>
              </w:tc>
              <w:tc>
                <w:tcPr>
                  <w:tcW w:w="1756" w:type="dxa"/>
                  <w:noWrap w:val="0"/>
                  <w:vAlign w:val="center"/>
                </w:tcPr>
                <w:p w14:paraId="586D9CB4">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污染</w:t>
                  </w:r>
                  <w:r>
                    <w:rPr>
                      <w:rFonts w:hint="default"/>
                      <w:caps w:val="0"/>
                      <w:color w:val="auto"/>
                      <w:spacing w:val="0"/>
                      <w:position w:val="0"/>
                      <w:highlight w:val="none"/>
                    </w:rPr>
                    <w:t>大气环境、土壤、地下水</w:t>
                  </w:r>
                  <w:r>
                    <w:rPr>
                      <w:rFonts w:hint="eastAsia"/>
                      <w:caps w:val="0"/>
                      <w:color w:val="auto"/>
                      <w:spacing w:val="0"/>
                      <w:position w:val="0"/>
                      <w:highlight w:val="none"/>
                      <w:lang w:val="en-US" w:eastAsia="zh-CN"/>
                    </w:rPr>
                    <w:t>环境</w:t>
                  </w:r>
                </w:p>
              </w:tc>
            </w:tr>
          </w:tbl>
          <w:p w14:paraId="39F7D017">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eastAsia"/>
                <w:b/>
                <w:bCs w:val="0"/>
                <w:caps w:val="0"/>
                <w:color w:val="auto"/>
                <w:spacing w:val="0"/>
                <w:position w:val="0"/>
                <w:highlight w:val="none"/>
                <w:lang w:val="en-US" w:eastAsia="zh-CN"/>
              </w:rPr>
              <w:t>7</w:t>
            </w:r>
            <w:r>
              <w:rPr>
                <w:rFonts w:hint="default"/>
                <w:b/>
                <w:bCs w:val="0"/>
                <w:caps w:val="0"/>
                <w:color w:val="auto"/>
                <w:spacing w:val="0"/>
                <w:position w:val="0"/>
                <w:highlight w:val="none"/>
              </w:rPr>
              <w:t>.3、环境风险分析</w:t>
            </w:r>
          </w:p>
          <w:p w14:paraId="0D9075B6">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①</w:t>
            </w:r>
            <w:r>
              <w:rPr>
                <w:rFonts w:hint="default"/>
                <w:caps w:val="0"/>
                <w:color w:val="auto"/>
                <w:spacing w:val="0"/>
                <w:position w:val="0"/>
                <w:highlight w:val="none"/>
              </w:rPr>
              <w:t>大气环境风险分析</w:t>
            </w:r>
          </w:p>
          <w:p w14:paraId="46105755">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项目大气环境风险主要来自发生火灾爆炸导致的伴生污染物排放等。厂区内一旦发生火灾或爆炸，将会产生CO、CO</w:t>
            </w:r>
            <w:r>
              <w:rPr>
                <w:rFonts w:hint="default"/>
                <w:caps w:val="0"/>
                <w:color w:val="auto"/>
                <w:spacing w:val="0"/>
                <w:position w:val="0"/>
                <w:highlight w:val="none"/>
                <w:vertAlign w:val="subscript"/>
              </w:rPr>
              <w:t>2</w:t>
            </w:r>
            <w:r>
              <w:rPr>
                <w:rFonts w:hint="default"/>
                <w:caps w:val="0"/>
                <w:color w:val="auto"/>
                <w:spacing w:val="0"/>
                <w:position w:val="0"/>
                <w:highlight w:val="none"/>
              </w:rPr>
              <w:t>等伴生污染物对周围环境空气造成污染。</w:t>
            </w:r>
          </w:p>
          <w:p w14:paraId="010DB486">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②地表水环境风险分析</w:t>
            </w:r>
          </w:p>
          <w:p w14:paraId="655FB2D1">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灭火过程中产生的消防废水和生</w:t>
            </w:r>
            <w:r>
              <w:rPr>
                <w:rFonts w:hint="eastAsia"/>
                <w:caps w:val="0"/>
                <w:color w:val="auto"/>
                <w:spacing w:val="0"/>
                <w:position w:val="0"/>
                <w:highlight w:val="none"/>
                <w:lang w:val="en-US" w:eastAsia="zh-CN"/>
              </w:rPr>
              <w:t>产废水</w:t>
            </w:r>
            <w:r>
              <w:rPr>
                <w:rFonts w:hint="eastAsia"/>
                <w:caps w:val="0"/>
                <w:color w:val="auto"/>
                <w:spacing w:val="0"/>
                <w:position w:val="0"/>
                <w:highlight w:val="none"/>
              </w:rPr>
              <w:t>等未及时收集或泄漏进入雨水管网及周边水体，给周边水体带来不利影响，对人体健康和农业生产造成一定的危害。</w:t>
            </w:r>
          </w:p>
          <w:p w14:paraId="22A0CA8A">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③</w:t>
            </w:r>
            <w:r>
              <w:rPr>
                <w:rFonts w:hint="default"/>
                <w:caps w:val="0"/>
                <w:color w:val="auto"/>
                <w:spacing w:val="0"/>
                <w:position w:val="0"/>
                <w:highlight w:val="none"/>
              </w:rPr>
              <w:t>地下水环境风险分析</w:t>
            </w:r>
          </w:p>
          <w:p w14:paraId="3763491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项目风险物质一旦发生泄漏，可通过土壤发生渗漏，对区域地下水环境造成污染。</w:t>
            </w:r>
          </w:p>
          <w:p w14:paraId="3D99E2A9">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eastAsia"/>
                <w:b/>
                <w:bCs w:val="0"/>
                <w:caps w:val="0"/>
                <w:color w:val="auto"/>
                <w:spacing w:val="0"/>
                <w:position w:val="0"/>
                <w:highlight w:val="none"/>
                <w:lang w:val="en-US" w:eastAsia="zh-CN"/>
              </w:rPr>
              <w:t>7</w:t>
            </w:r>
            <w:r>
              <w:rPr>
                <w:rFonts w:hint="default"/>
                <w:b/>
                <w:bCs w:val="0"/>
                <w:caps w:val="0"/>
                <w:color w:val="auto"/>
                <w:spacing w:val="0"/>
                <w:position w:val="0"/>
                <w:highlight w:val="none"/>
              </w:rPr>
              <w:t>.4、环境风险防范措施及应急要求</w:t>
            </w:r>
          </w:p>
          <w:p w14:paraId="52492DEF">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A.风险物质泄漏风险防范措施：</w:t>
            </w:r>
          </w:p>
          <w:p w14:paraId="7AEBA8C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①</w:t>
            </w:r>
            <w:r>
              <w:rPr>
                <w:rFonts w:hint="default"/>
                <w:caps w:val="0"/>
                <w:color w:val="auto"/>
                <w:spacing w:val="0"/>
                <w:position w:val="0"/>
                <w:highlight w:val="none"/>
              </w:rPr>
              <w:t>建议操作人员应经过专门培训，严格遵守操作规程；</w:t>
            </w:r>
          </w:p>
          <w:p w14:paraId="02FDDF8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②</w:t>
            </w:r>
            <w:r>
              <w:rPr>
                <w:rFonts w:hint="default"/>
                <w:caps w:val="0"/>
                <w:color w:val="auto"/>
                <w:spacing w:val="0"/>
                <w:position w:val="0"/>
                <w:highlight w:val="none"/>
              </w:rPr>
              <w:t>配备相应品种和数量的消防器材及泄漏应急处理设备。建立环境风险管理体系，制定操作规程、安全规章、职工培训、应急计划等。车间布置固定式消防设施，如干粉灭火器及消防水炮力为0.7MPa时，其额定流量为10～25L/s；移动式消防炮为手动操作。</w:t>
            </w:r>
          </w:p>
          <w:p w14:paraId="29B4AE2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③</w:t>
            </w:r>
            <w:r>
              <w:rPr>
                <w:rFonts w:hint="default"/>
                <w:caps w:val="0"/>
                <w:color w:val="auto"/>
                <w:spacing w:val="0"/>
                <w:position w:val="0"/>
                <w:highlight w:val="none"/>
              </w:rPr>
              <w:t>委托专业单位进行废气、废水治理工程的设计、施工，确保环保治理设施符合相关规范要求。同时派专业人员负责环保设施的运行、管理、维护，风机等均用一备一，定期维护，严防事故性废气、废水排放。</w:t>
            </w:r>
          </w:p>
          <w:p w14:paraId="29F78294">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④</w:t>
            </w:r>
            <w:r>
              <w:rPr>
                <w:rFonts w:hint="default"/>
                <w:caps w:val="0"/>
                <w:color w:val="auto"/>
                <w:spacing w:val="0"/>
                <w:position w:val="0"/>
                <w:highlight w:val="none"/>
              </w:rPr>
              <w:t>生产车间原辅料一旦发生泄漏事故时，应立即切断一切火源，对原料间喷施泡沫覆盖泄漏物，降低蒸汽危害，并尽快封堵泄漏源。原辅料仓库存放处应贴有禁火标志，定期检查存放情况。凡在装置开停工、检修、生产过程中，可能产生含有可燃、有毒、对环境有污染液体漫流的装置单元周围，应当设置高度不低于150mm，宽度不超过150mm的围堰和导流设施。</w:t>
            </w:r>
          </w:p>
          <w:p w14:paraId="61147EB5">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B.火灾事故风险防范措施</w:t>
            </w:r>
          </w:p>
          <w:p w14:paraId="038569A7">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①</w:t>
            </w:r>
            <w:r>
              <w:rPr>
                <w:rFonts w:hint="default"/>
                <w:caps w:val="0"/>
                <w:color w:val="auto"/>
                <w:spacing w:val="0"/>
                <w:position w:val="0"/>
                <w:highlight w:val="none"/>
              </w:rPr>
              <w:t>消除和控制明火源：在生产区及原料区及成品存放区内设置严禁烟火标志，严禁携带火柴、打火机等；在各厂房处配备灭火器、消防栓、消防沙等消防物资，以便及时扑灭初期火灾。</w:t>
            </w:r>
          </w:p>
          <w:p w14:paraId="6F1A1FC8">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②</w:t>
            </w:r>
            <w:r>
              <w:rPr>
                <w:rFonts w:hint="default"/>
                <w:caps w:val="0"/>
                <w:color w:val="auto"/>
                <w:spacing w:val="0"/>
                <w:position w:val="0"/>
                <w:highlight w:val="none"/>
              </w:rPr>
              <w:t>防止电气火花：采取有效措施防止电气线路和电气设备在开关断开、接触不良、短路、漏电时产生火花，防止静电放电火花；采取防雷接地措施，防止雷电放电火花。</w:t>
            </w:r>
          </w:p>
          <w:p w14:paraId="42F40A7A">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③</w:t>
            </w:r>
            <w:r>
              <w:rPr>
                <w:rFonts w:hint="default"/>
                <w:caps w:val="0"/>
                <w:color w:val="auto"/>
                <w:spacing w:val="0"/>
                <w:position w:val="0"/>
                <w:highlight w:val="none"/>
              </w:rPr>
              <w:t>原料、成品储存于阴凉、通风处。库温不超过30℃，相对湿度不超过85%，保持干燥通风。</w:t>
            </w:r>
          </w:p>
          <w:p w14:paraId="02B0ED8A">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④</w:t>
            </w:r>
            <w:r>
              <w:rPr>
                <w:rFonts w:hint="default"/>
                <w:caps w:val="0"/>
                <w:color w:val="auto"/>
                <w:spacing w:val="0"/>
                <w:position w:val="0"/>
                <w:highlight w:val="none"/>
              </w:rPr>
              <w:t>定期对原料使用过程中的相关人员，如联络员、仓管员、直接使用人员进行过程检查，定期对上述人员进行相关知识教育和岗位职责培训。</w:t>
            </w:r>
          </w:p>
          <w:p w14:paraId="2F3E3798">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C.危险废物的风险防范措施</w:t>
            </w:r>
          </w:p>
          <w:p w14:paraId="26B37D11">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由前面工程分析可知，本项目生产过程产生的危险废物主要为废润滑油、废润滑油桶、废含油抹布等。在建设单位交由有资质的单位处理处置前，厂内必须设置危险废物暂存场所对其进行合理贮存和严格管理，若任意堆放或暂存场所未采取防渗防漏措施或疏于管理，都将造成危险废物中的有毒有害物质进入周边环境，给周边的土壤、生态、水体及空气等环境造成一定的危害。</w:t>
            </w:r>
          </w:p>
          <w:p w14:paraId="5C365009">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危险废物暂存仓的贮存场所须满足以下要求：</w:t>
            </w:r>
          </w:p>
          <w:p w14:paraId="371FF879">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①</w:t>
            </w:r>
            <w:r>
              <w:rPr>
                <w:rFonts w:hint="default"/>
                <w:caps w:val="0"/>
                <w:color w:val="auto"/>
                <w:spacing w:val="0"/>
                <w:position w:val="0"/>
                <w:highlight w:val="none"/>
              </w:rPr>
              <w:t>基础做好防渗层，地面和墙壁设置防渗衬里。</w:t>
            </w:r>
          </w:p>
          <w:p w14:paraId="1FA2DB27">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②</w:t>
            </w:r>
            <w:r>
              <w:rPr>
                <w:rFonts w:hint="default"/>
                <w:caps w:val="0"/>
                <w:color w:val="auto"/>
                <w:spacing w:val="0"/>
                <w:position w:val="0"/>
                <w:highlight w:val="none"/>
              </w:rPr>
              <w:t>堆放危险废物的高度应根据地面承载能力确定。</w:t>
            </w:r>
          </w:p>
          <w:p w14:paraId="66CEE0C3">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③</w:t>
            </w:r>
            <w:r>
              <w:rPr>
                <w:rFonts w:hint="default"/>
                <w:caps w:val="0"/>
                <w:color w:val="auto"/>
                <w:spacing w:val="0"/>
                <w:position w:val="0"/>
                <w:highlight w:val="none"/>
              </w:rPr>
              <w:t>衬里放在一个基础或底座上。</w:t>
            </w:r>
          </w:p>
          <w:p w14:paraId="6CB5831D">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④</w:t>
            </w:r>
            <w:r>
              <w:rPr>
                <w:rFonts w:hint="default"/>
                <w:caps w:val="0"/>
                <w:color w:val="auto"/>
                <w:spacing w:val="0"/>
                <w:position w:val="0"/>
                <w:highlight w:val="none"/>
              </w:rPr>
              <w:t>衬里要能够覆盖危险废物或其溶出物可能涉及的范围。</w:t>
            </w:r>
          </w:p>
          <w:p w14:paraId="6D2C3DA8">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⑤</w:t>
            </w:r>
            <w:r>
              <w:rPr>
                <w:rFonts w:hint="default"/>
                <w:caps w:val="0"/>
                <w:color w:val="auto"/>
                <w:spacing w:val="0"/>
                <w:position w:val="0"/>
                <w:highlight w:val="none"/>
              </w:rPr>
              <w:t>衬里材料与堆放危险废物相容。</w:t>
            </w:r>
          </w:p>
          <w:p w14:paraId="179D3623">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⑥</w:t>
            </w:r>
            <w:r>
              <w:rPr>
                <w:rFonts w:hint="default"/>
                <w:caps w:val="0"/>
                <w:color w:val="auto"/>
                <w:spacing w:val="0"/>
                <w:position w:val="0"/>
                <w:highlight w:val="none"/>
              </w:rPr>
              <w:t>危险废物采用密闭桶/袋装包装，不同类型的危险废物分开包装，不得混合。</w:t>
            </w:r>
          </w:p>
          <w:p w14:paraId="507E80C6">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⑦</w:t>
            </w:r>
            <w:r>
              <w:rPr>
                <w:rFonts w:hint="default"/>
                <w:caps w:val="0"/>
                <w:color w:val="auto"/>
                <w:spacing w:val="0"/>
                <w:position w:val="0"/>
                <w:highlight w:val="none"/>
              </w:rPr>
              <w:t>危险废物临时堆放场要做好防风、防雨、防晒、防渗漏。</w:t>
            </w:r>
          </w:p>
          <w:p w14:paraId="1E22BD4F">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D</w:t>
            </w:r>
            <w:r>
              <w:rPr>
                <w:rFonts w:hint="default"/>
                <w:caps w:val="0"/>
                <w:color w:val="auto"/>
                <w:spacing w:val="0"/>
                <w:position w:val="0"/>
                <w:highlight w:val="none"/>
              </w:rPr>
              <w:t>.危废仓库泄漏防范和应对措施：</w:t>
            </w:r>
          </w:p>
          <w:p w14:paraId="7E18D90A">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①</w:t>
            </w:r>
            <w:r>
              <w:rPr>
                <w:rFonts w:hint="default"/>
                <w:caps w:val="0"/>
                <w:color w:val="auto"/>
                <w:spacing w:val="0"/>
                <w:position w:val="0"/>
                <w:highlight w:val="none"/>
              </w:rPr>
              <w:t>仓库门口应设置墁坡高于室内地面20cm，形成内封闭系统。</w:t>
            </w:r>
          </w:p>
          <w:p w14:paraId="0E4BF84B">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②</w:t>
            </w:r>
            <w:r>
              <w:rPr>
                <w:rFonts w:hint="default"/>
                <w:caps w:val="0"/>
                <w:color w:val="auto"/>
                <w:spacing w:val="0"/>
                <w:position w:val="0"/>
                <w:highlight w:val="none"/>
              </w:rPr>
              <w:t>墙体及地面做好防腐、防渗等措施，废液储存桶周围设置0.3m高的围堰。</w:t>
            </w:r>
          </w:p>
          <w:p w14:paraId="2216BF86">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③</w:t>
            </w:r>
            <w:r>
              <w:rPr>
                <w:rFonts w:hint="default"/>
                <w:caps w:val="0"/>
                <w:color w:val="auto"/>
                <w:spacing w:val="0"/>
                <w:position w:val="0"/>
                <w:highlight w:val="none"/>
              </w:rPr>
              <w:t>配备相应品种和数量的防器材；禁止使用易产生火花的机械设备和工具；要设置“危险”“禁止烟火”等警示标志。</w:t>
            </w:r>
          </w:p>
          <w:p w14:paraId="36794B8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④</w:t>
            </w:r>
            <w:r>
              <w:rPr>
                <w:rFonts w:hint="default"/>
                <w:caps w:val="0"/>
                <w:color w:val="auto"/>
                <w:spacing w:val="0"/>
                <w:position w:val="0"/>
                <w:highlight w:val="none"/>
              </w:rPr>
              <w:t>各种废液应按其相应堆放规范堆置，禁止堆置过高，防止滚动。</w:t>
            </w:r>
          </w:p>
          <w:p w14:paraId="2D4D8819">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⑤</w:t>
            </w:r>
            <w:r>
              <w:rPr>
                <w:rFonts w:hint="default"/>
                <w:caps w:val="0"/>
                <w:color w:val="auto"/>
                <w:spacing w:val="0"/>
                <w:position w:val="0"/>
                <w:highlight w:val="none"/>
              </w:rPr>
              <w:t>建立严格的管理和规章制度，废液装卸时，全过程应有人在现场监督，一旦发生事故，立即采用防范措施。</w:t>
            </w:r>
          </w:p>
          <w:p w14:paraId="4E33C289">
            <w:pPr>
              <w:pStyle w:val="74"/>
              <w:keepNext w:val="0"/>
              <w:keepLines w:val="0"/>
              <w:numPr>
                <w:ilvl w:val="0"/>
                <w:numId w:val="0"/>
              </w:numPr>
              <w:suppressLineNumbers w:val="0"/>
              <w:bidi w:val="0"/>
              <w:spacing w:before="0" w:beforeAutospacing="0" w:after="0" w:afterAutospacing="0"/>
              <w:ind w:left="0" w:leftChars="0" w:right="0" w:rightChars="0" w:firstLine="480" w:firstLineChars="200"/>
              <w:rPr>
                <w:rFonts w:hint="eastAsia" w:ascii="Times New Roman" w:eastAsia="宋体"/>
                <w:caps w:val="0"/>
                <w:color w:val="auto"/>
                <w:spacing w:val="0"/>
                <w:position w:val="0"/>
                <w:highlight w:val="none"/>
                <w:lang w:val="en-US" w:eastAsia="zh-CN"/>
              </w:rPr>
            </w:pPr>
            <w:r>
              <w:rPr>
                <w:rFonts w:hint="eastAsia" w:ascii="Times New Roman" w:hAnsi="Times New Roman" w:eastAsia="宋体" w:cs="Times New Roman"/>
                <w:bCs/>
                <w:caps w:val="0"/>
                <w:color w:val="auto"/>
                <w:spacing w:val="0"/>
                <w:kern w:val="2"/>
                <w:position w:val="0"/>
                <w:sz w:val="24"/>
                <w:szCs w:val="24"/>
                <w:highlight w:val="none"/>
                <w:lang w:val="en-US" w:eastAsia="zh-CN" w:bidi="ar-SA"/>
              </w:rPr>
              <w:t>E.</w:t>
            </w:r>
            <w:r>
              <w:rPr>
                <w:rFonts w:hint="eastAsia" w:ascii="Times New Roman" w:eastAsia="宋体"/>
                <w:caps w:val="0"/>
                <w:color w:val="auto"/>
                <w:spacing w:val="0"/>
                <w:position w:val="0"/>
                <w:highlight w:val="none"/>
                <w:lang w:val="en-US" w:eastAsia="zh-CN"/>
              </w:rPr>
              <w:t>废气事故排放措施</w:t>
            </w:r>
          </w:p>
          <w:p w14:paraId="44CC1E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center"/>
              <w:rPr>
                <w:rFonts w:hint="default" w:ascii="Times New Roman" w:hAnsi="Times New Roman" w:eastAsia="宋体" w:cs="Times New Roman"/>
                <w:caps w:val="0"/>
                <w:color w:val="auto"/>
                <w:spacing w:val="0"/>
                <w:kern w:val="0"/>
                <w:position w:val="0"/>
                <w:sz w:val="24"/>
                <w:szCs w:val="24"/>
                <w:highlight w:val="none"/>
                <w:u w:val="none" w:color="auto"/>
                <w:lang w:val="en-US" w:eastAsia="zh-CN" w:bidi="ar"/>
              </w:rPr>
            </w:pPr>
            <w:r>
              <w:rPr>
                <w:rFonts w:hint="default" w:ascii="Times New Roman" w:hAnsi="Times New Roman" w:eastAsia="宋体" w:cs="Times New Roman"/>
                <w:caps w:val="0"/>
                <w:color w:val="auto"/>
                <w:spacing w:val="0"/>
                <w:kern w:val="0"/>
                <w:position w:val="0"/>
                <w:sz w:val="24"/>
                <w:szCs w:val="24"/>
                <w:highlight w:val="none"/>
                <w:u w:val="none" w:color="auto"/>
                <w:lang w:val="en-US" w:eastAsia="zh-CN" w:bidi="ar"/>
              </w:rPr>
              <w:t>建议建设单位采取一定的事故性防范保护措施：</w:t>
            </w:r>
          </w:p>
          <w:p w14:paraId="177EEE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center"/>
              <w:rPr>
                <w:rFonts w:hint="default" w:ascii="Times New Roman" w:hAnsi="Times New Roman" w:eastAsia="宋体" w:cs="Times New Roman"/>
                <w:caps w:val="0"/>
                <w:color w:val="auto"/>
                <w:spacing w:val="0"/>
                <w:kern w:val="0"/>
                <w:position w:val="0"/>
                <w:sz w:val="24"/>
                <w:szCs w:val="24"/>
                <w:highlight w:val="none"/>
                <w:u w:val="none" w:color="auto"/>
                <w:lang w:val="en-US" w:eastAsia="zh-CN" w:bidi="ar"/>
              </w:rPr>
            </w:pPr>
            <w:r>
              <w:rPr>
                <w:rFonts w:hint="default" w:ascii="Times New Roman" w:hAnsi="Times New Roman" w:eastAsia="宋体" w:cs="Times New Roman"/>
                <w:caps w:val="0"/>
                <w:color w:val="auto"/>
                <w:spacing w:val="0"/>
                <w:kern w:val="0"/>
                <w:position w:val="0"/>
                <w:sz w:val="24"/>
                <w:szCs w:val="24"/>
                <w:highlight w:val="none"/>
                <w:u w:val="none" w:color="auto"/>
                <w:lang w:val="en-US" w:eastAsia="zh-CN" w:bidi="ar"/>
              </w:rPr>
              <w:t>①气体污染事故性防范措施</w:t>
            </w:r>
          </w:p>
          <w:p w14:paraId="5E549A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center"/>
              <w:rPr>
                <w:rFonts w:hint="default" w:ascii="Times New Roman" w:hAnsi="Times New Roman" w:eastAsia="宋体" w:cs="Times New Roman"/>
                <w:caps w:val="0"/>
                <w:color w:val="auto"/>
                <w:spacing w:val="0"/>
                <w:kern w:val="0"/>
                <w:position w:val="0"/>
                <w:sz w:val="24"/>
                <w:szCs w:val="24"/>
                <w:highlight w:val="none"/>
                <w:u w:val="none" w:color="auto"/>
                <w:lang w:val="en-US" w:eastAsia="zh-CN" w:bidi="ar"/>
              </w:rPr>
            </w:pPr>
            <w:r>
              <w:rPr>
                <w:rFonts w:hint="default" w:ascii="Times New Roman" w:hAnsi="Times New Roman" w:eastAsia="宋体" w:cs="Times New Roman"/>
                <w:caps w:val="0"/>
                <w:color w:val="auto"/>
                <w:spacing w:val="0"/>
                <w:kern w:val="0"/>
                <w:position w:val="0"/>
                <w:sz w:val="24"/>
                <w:szCs w:val="24"/>
                <w:highlight w:val="none"/>
                <w:u w:val="none" w:color="auto"/>
                <w:lang w:val="en-US" w:eastAsia="zh-CN" w:bidi="ar"/>
              </w:rPr>
              <w:t>A.各生产环节严格执行生产管理的有关规定，加强生产和废气治理设施管理，设备损坏和污染治理措施失效时立即停产，及时抢修，定期对设备进行检修及保养，提高管理人员素质，并设置机器事故应急措施及管理制度，确保设备长期处于良好状态，使设备达到预期的处理效果。</w:t>
            </w:r>
          </w:p>
          <w:p w14:paraId="64B788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center"/>
              <w:rPr>
                <w:rFonts w:hint="default" w:ascii="Times New Roman" w:hAnsi="Times New Roman" w:eastAsia="宋体" w:cs="Times New Roman"/>
                <w:caps w:val="0"/>
                <w:color w:val="auto"/>
                <w:spacing w:val="0"/>
                <w:kern w:val="0"/>
                <w:position w:val="0"/>
                <w:sz w:val="24"/>
                <w:szCs w:val="24"/>
                <w:highlight w:val="none"/>
                <w:u w:val="none" w:color="auto"/>
                <w:lang w:val="en-US" w:eastAsia="zh-CN" w:bidi="ar"/>
              </w:rPr>
            </w:pPr>
            <w:r>
              <w:rPr>
                <w:rFonts w:hint="default" w:ascii="Times New Roman" w:hAnsi="Times New Roman" w:eastAsia="宋体" w:cs="Times New Roman"/>
                <w:caps w:val="0"/>
                <w:color w:val="auto"/>
                <w:spacing w:val="0"/>
                <w:kern w:val="0"/>
                <w:position w:val="0"/>
                <w:sz w:val="24"/>
                <w:szCs w:val="24"/>
                <w:highlight w:val="none"/>
                <w:u w:val="none" w:color="auto"/>
                <w:lang w:val="en-US" w:eastAsia="zh-CN" w:bidi="ar"/>
              </w:rPr>
              <w:t>B.现场作业人员定时记录废气处理状况，如对废气处理设施的抽风机等设备进行点检工作，并派专人巡视，遇不良工作状况立即停止车间相关作业，维修正常后再开始作业，杜绝事故性废气直排，并及时呈报单位主管。待检修完毕再通知生产车间相关工序。</w:t>
            </w:r>
          </w:p>
          <w:p w14:paraId="35B321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center"/>
              <w:rPr>
                <w:rFonts w:hint="default" w:ascii="Times New Roman" w:hAnsi="Times New Roman" w:eastAsia="宋体" w:cs="Times New Roman"/>
                <w:caps w:val="0"/>
                <w:color w:val="auto"/>
                <w:spacing w:val="0"/>
                <w:kern w:val="0"/>
                <w:position w:val="0"/>
                <w:sz w:val="24"/>
                <w:szCs w:val="24"/>
                <w:highlight w:val="none"/>
                <w:u w:val="none" w:color="auto"/>
                <w:lang w:val="en-US" w:eastAsia="zh-CN" w:bidi="ar"/>
              </w:rPr>
            </w:pPr>
            <w:r>
              <w:rPr>
                <w:rFonts w:hint="default" w:ascii="Times New Roman" w:hAnsi="Times New Roman" w:eastAsia="宋体" w:cs="Times New Roman"/>
                <w:caps w:val="0"/>
                <w:color w:val="auto"/>
                <w:spacing w:val="0"/>
                <w:kern w:val="0"/>
                <w:position w:val="0"/>
                <w:sz w:val="24"/>
                <w:szCs w:val="24"/>
                <w:highlight w:val="none"/>
                <w:u w:val="none" w:color="auto"/>
                <w:lang w:val="en-US" w:eastAsia="zh-CN" w:bidi="ar"/>
              </w:rPr>
              <w:t>②气体事故排放的防范措施</w:t>
            </w:r>
          </w:p>
          <w:p w14:paraId="7A128A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center"/>
              <w:rPr>
                <w:rFonts w:hint="default" w:ascii="Times New Roman" w:hAnsi="Times New Roman" w:eastAsia="宋体" w:cs="Times New Roman"/>
                <w:caps w:val="0"/>
                <w:color w:val="auto"/>
                <w:spacing w:val="0"/>
                <w:kern w:val="0"/>
                <w:position w:val="0"/>
                <w:sz w:val="24"/>
                <w:szCs w:val="24"/>
                <w:highlight w:val="none"/>
                <w:u w:val="none" w:color="auto"/>
                <w:lang w:val="en-US" w:eastAsia="zh-CN" w:bidi="ar"/>
              </w:rPr>
            </w:pPr>
            <w:r>
              <w:rPr>
                <w:rFonts w:hint="default" w:ascii="Times New Roman" w:hAnsi="Times New Roman" w:eastAsia="宋体" w:cs="Times New Roman"/>
                <w:caps w:val="0"/>
                <w:color w:val="auto"/>
                <w:spacing w:val="0"/>
                <w:kern w:val="0"/>
                <w:position w:val="0"/>
                <w:sz w:val="24"/>
                <w:szCs w:val="24"/>
                <w:highlight w:val="none"/>
                <w:u w:val="none" w:color="auto"/>
                <w:lang w:val="en-US" w:eastAsia="zh-CN" w:bidi="ar"/>
              </w:rPr>
              <w:t>建设单位必须严加管理，杜绝事故排放的发生。本评价认为建设单位在建设期间应充分考虑通风换气口位置的设置，避免事故排放而对工人造成影响，建议如下：</w:t>
            </w:r>
          </w:p>
          <w:p w14:paraId="6C890B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center"/>
              <w:rPr>
                <w:rFonts w:hint="default" w:ascii="Times New Roman" w:hAnsi="Times New Roman" w:eastAsia="宋体" w:cs="Times New Roman"/>
                <w:caps w:val="0"/>
                <w:color w:val="auto"/>
                <w:spacing w:val="0"/>
                <w:kern w:val="0"/>
                <w:position w:val="0"/>
                <w:sz w:val="24"/>
                <w:szCs w:val="24"/>
                <w:highlight w:val="none"/>
                <w:u w:val="none" w:color="auto"/>
                <w:lang w:val="en-US" w:eastAsia="zh-CN" w:bidi="ar"/>
              </w:rPr>
            </w:pPr>
            <w:r>
              <w:rPr>
                <w:rFonts w:hint="default" w:ascii="Times New Roman" w:hAnsi="Times New Roman" w:eastAsia="宋体" w:cs="Times New Roman"/>
                <w:caps w:val="0"/>
                <w:color w:val="auto"/>
                <w:spacing w:val="0"/>
                <w:kern w:val="0"/>
                <w:position w:val="0"/>
                <w:sz w:val="24"/>
                <w:szCs w:val="24"/>
                <w:highlight w:val="none"/>
                <w:u w:val="none" w:color="auto"/>
                <w:lang w:val="en-US" w:eastAsia="zh-CN" w:bidi="ar"/>
              </w:rPr>
              <w:t>A.预留足够的强制通风口及设施，车间正常换气的排风口通过风管经预留烟道引至楼顶排放。</w:t>
            </w:r>
          </w:p>
          <w:p w14:paraId="52E1A5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center"/>
              <w:rPr>
                <w:rFonts w:hint="default" w:ascii="Times New Roman" w:hAnsi="Times New Roman" w:eastAsia="宋体" w:cs="Times New Roman"/>
                <w:caps w:val="0"/>
                <w:color w:val="auto"/>
                <w:spacing w:val="0"/>
                <w:kern w:val="0"/>
                <w:position w:val="0"/>
                <w:sz w:val="24"/>
                <w:szCs w:val="24"/>
                <w:highlight w:val="none"/>
                <w:u w:val="none" w:color="auto"/>
                <w:lang w:val="en-US" w:eastAsia="zh-CN" w:bidi="ar"/>
              </w:rPr>
            </w:pPr>
            <w:r>
              <w:rPr>
                <w:rFonts w:hint="default" w:ascii="Times New Roman" w:hAnsi="Times New Roman" w:eastAsia="宋体" w:cs="Times New Roman"/>
                <w:caps w:val="0"/>
                <w:color w:val="auto"/>
                <w:spacing w:val="0"/>
                <w:kern w:val="0"/>
                <w:position w:val="0"/>
                <w:sz w:val="24"/>
                <w:szCs w:val="24"/>
                <w:highlight w:val="none"/>
                <w:u w:val="none" w:color="auto"/>
                <w:lang w:val="en-US" w:eastAsia="zh-CN" w:bidi="ar"/>
              </w:rPr>
              <w:t>B.治理设施等发生故障，应及时维修，如情况严重，应停止生产直至系统运作正常。</w:t>
            </w:r>
          </w:p>
          <w:p w14:paraId="2B30ED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center"/>
              <w:rPr>
                <w:rFonts w:hint="default" w:ascii="Times New Roman" w:hAnsi="Times New Roman" w:eastAsia="宋体" w:cs="Times New Roman"/>
                <w:caps w:val="0"/>
                <w:color w:val="auto"/>
                <w:spacing w:val="0"/>
                <w:kern w:val="0"/>
                <w:position w:val="0"/>
                <w:sz w:val="24"/>
                <w:szCs w:val="24"/>
                <w:highlight w:val="none"/>
                <w:u w:val="none" w:color="auto"/>
                <w:lang w:val="en-US" w:eastAsia="zh-CN" w:bidi="ar"/>
              </w:rPr>
            </w:pPr>
            <w:r>
              <w:rPr>
                <w:rFonts w:hint="default" w:ascii="Times New Roman" w:hAnsi="Times New Roman" w:eastAsia="宋体" w:cs="Times New Roman"/>
                <w:caps w:val="0"/>
                <w:color w:val="auto"/>
                <w:spacing w:val="0"/>
                <w:kern w:val="0"/>
                <w:position w:val="0"/>
                <w:sz w:val="24"/>
                <w:szCs w:val="24"/>
                <w:highlight w:val="none"/>
                <w:u w:val="none" w:color="auto"/>
                <w:lang w:val="en-US" w:eastAsia="zh-CN" w:bidi="ar"/>
              </w:rPr>
              <w:t>C.定期对废气排放口的污染物浓度进行监测，加强环境保护管理。</w:t>
            </w:r>
          </w:p>
          <w:p w14:paraId="58331FFB">
            <w:pPr>
              <w:pStyle w:val="54"/>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eastAsia" w:cs="Times New Roman"/>
                <w:bCs/>
                <w:caps w:val="0"/>
                <w:color w:val="auto"/>
                <w:spacing w:val="0"/>
                <w:kern w:val="2"/>
                <w:position w:val="0"/>
                <w:sz w:val="24"/>
                <w:szCs w:val="24"/>
                <w:highlight w:val="none"/>
                <w:lang w:val="en-US" w:eastAsia="zh-CN" w:bidi="ar-SA"/>
              </w:rPr>
              <w:t>F</w:t>
            </w:r>
            <w:r>
              <w:rPr>
                <w:rFonts w:hint="eastAsia" w:ascii="Times New Roman" w:hAnsi="Times New Roman" w:eastAsia="宋体" w:cs="Times New Roman"/>
                <w:bCs/>
                <w:caps w:val="0"/>
                <w:color w:val="auto"/>
                <w:spacing w:val="0"/>
                <w:kern w:val="2"/>
                <w:position w:val="0"/>
                <w:sz w:val="24"/>
                <w:szCs w:val="24"/>
                <w:highlight w:val="none"/>
                <w:lang w:val="en-US" w:eastAsia="zh-CN" w:bidi="ar-SA"/>
              </w:rPr>
              <w:t>.</w:t>
            </w:r>
            <w:r>
              <w:rPr>
                <w:rFonts w:hint="eastAsia" w:ascii="Times New Roman" w:eastAsia="宋体"/>
                <w:caps w:val="0"/>
                <w:color w:val="auto"/>
                <w:spacing w:val="0"/>
                <w:position w:val="0"/>
                <w:highlight w:val="none"/>
                <w:lang w:val="en-US" w:eastAsia="zh-CN"/>
              </w:rPr>
              <w:t>废水风险事故防范措施</w:t>
            </w:r>
          </w:p>
          <w:p w14:paraId="1B3E10E5">
            <w:pPr>
              <w:pStyle w:val="54"/>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本项目设置环境风险事故水污染防控</w:t>
            </w:r>
            <w:r>
              <w:rPr>
                <w:rFonts w:hint="eastAsia"/>
                <w:caps w:val="0"/>
                <w:color w:val="auto"/>
                <w:spacing w:val="0"/>
                <w:position w:val="0"/>
                <w:highlight w:val="none"/>
                <w:lang w:val="en-US" w:eastAsia="zh-CN"/>
              </w:rPr>
              <w:t>两</w:t>
            </w:r>
            <w:r>
              <w:rPr>
                <w:rFonts w:hint="eastAsia"/>
                <w:caps w:val="0"/>
                <w:color w:val="auto"/>
                <w:spacing w:val="0"/>
                <w:position w:val="0"/>
                <w:highlight w:val="none"/>
              </w:rPr>
              <w:t>级防控系统，防止环境风险事故造成水污染。为防止生产过程或事故状态污染物进入周边环境，导致环境污染事故，必须坚持预防为主、防控结合，建立安全有效的污染综合预防控制体系。针对项目生产原料、产品的特点，在事故池设施建立一级防控措施，在厂区建立二级预控措施，防止重大生产事故泄漏物料和消防废水造成的环境污染。具体的防控措施设置要求及措施应如下：</w:t>
            </w:r>
          </w:p>
          <w:p w14:paraId="371ADE7C">
            <w:pPr>
              <w:pStyle w:val="54"/>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eastAsia" w:ascii="宋体" w:hAnsi="宋体"/>
                <w:caps w:val="0"/>
                <w:color w:val="auto"/>
                <w:spacing w:val="0"/>
                <w:position w:val="0"/>
                <w:highlight w:val="none"/>
              </w:rPr>
              <w:t>①</w:t>
            </w:r>
            <w:r>
              <w:rPr>
                <w:rFonts w:hint="eastAsia"/>
                <w:caps w:val="0"/>
                <w:color w:val="auto"/>
                <w:spacing w:val="0"/>
                <w:position w:val="0"/>
                <w:highlight w:val="none"/>
              </w:rPr>
              <w:t>一级防控措施</w:t>
            </w:r>
          </w:p>
          <w:p w14:paraId="1CD604DB">
            <w:pPr>
              <w:pStyle w:val="54"/>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生产区域的水池、原料及成品堆场四周设置导流沟和渗滤液收集措施可在第一时间内将渗滤液或泄漏的液体截留在小范围内，便于收集处理。</w:t>
            </w:r>
          </w:p>
          <w:p w14:paraId="5984F5D0">
            <w:pPr>
              <w:pStyle w:val="54"/>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eastAsia" w:ascii="宋体" w:hAnsi="宋体"/>
                <w:caps w:val="0"/>
                <w:color w:val="auto"/>
                <w:spacing w:val="0"/>
                <w:position w:val="0"/>
                <w:highlight w:val="none"/>
              </w:rPr>
              <w:t>②</w:t>
            </w:r>
            <w:r>
              <w:rPr>
                <w:rFonts w:hint="eastAsia"/>
                <w:caps w:val="0"/>
                <w:color w:val="auto"/>
                <w:spacing w:val="0"/>
                <w:position w:val="0"/>
                <w:highlight w:val="none"/>
              </w:rPr>
              <w:t>二级预防控制措施</w:t>
            </w:r>
          </w:p>
          <w:p w14:paraId="5CD70580">
            <w:pPr>
              <w:pStyle w:val="54"/>
              <w:keepNext w:val="0"/>
              <w:keepLines w:val="0"/>
              <w:suppressLineNumbers w:val="0"/>
              <w:spacing w:before="0" w:beforeAutospacing="0" w:after="0" w:afterAutospacing="0"/>
              <w:ind w:left="0" w:right="0"/>
              <w:rPr>
                <w:rFonts w:hint="eastAsia" w:eastAsia="宋体"/>
                <w:caps w:val="0"/>
                <w:color w:val="auto"/>
                <w:spacing w:val="0"/>
                <w:position w:val="0"/>
                <w:highlight w:val="none"/>
                <w:lang w:eastAsia="zh-CN"/>
              </w:rPr>
            </w:pPr>
            <w:r>
              <w:rPr>
                <w:rFonts w:hint="eastAsia"/>
                <w:caps w:val="0"/>
                <w:color w:val="auto"/>
                <w:spacing w:val="0"/>
                <w:position w:val="0"/>
                <w:highlight w:val="none"/>
              </w:rPr>
              <w:t>为了预防生产废水处理设施异常导致生产废水外排，</w:t>
            </w:r>
            <w:r>
              <w:rPr>
                <w:rFonts w:hint="default" w:ascii="Times New Roman" w:hAnsi="Times New Roman" w:eastAsia="宋体" w:cs="Times New Roman"/>
                <w:caps w:val="0"/>
                <w:color w:val="auto"/>
                <w:spacing w:val="0"/>
                <w:position w:val="0"/>
                <w:sz w:val="24"/>
                <w:szCs w:val="24"/>
                <w:highlight w:val="none"/>
                <w:lang w:val="en-US" w:eastAsia="zh-CN"/>
              </w:rPr>
              <w:t>项目设置1个400m</w:t>
            </w:r>
            <w:r>
              <w:rPr>
                <w:rFonts w:hint="default" w:ascii="Times New Roman" w:hAnsi="Times New Roman" w:eastAsia="宋体" w:cs="Times New Roman"/>
                <w:caps w:val="0"/>
                <w:color w:val="auto"/>
                <w:spacing w:val="0"/>
                <w:position w:val="0"/>
                <w:sz w:val="24"/>
                <w:szCs w:val="24"/>
                <w:highlight w:val="none"/>
                <w:vertAlign w:val="superscript"/>
                <w:lang w:val="en-US" w:eastAsia="zh-CN"/>
              </w:rPr>
              <w:t>3</w:t>
            </w:r>
            <w:r>
              <w:rPr>
                <w:rFonts w:hint="default" w:ascii="Times New Roman" w:hAnsi="Times New Roman" w:eastAsia="宋体" w:cs="Times New Roman"/>
                <w:caps w:val="0"/>
                <w:color w:val="auto"/>
                <w:spacing w:val="0"/>
                <w:position w:val="0"/>
                <w:sz w:val="24"/>
                <w:szCs w:val="24"/>
                <w:highlight w:val="none"/>
                <w:lang w:val="en-US" w:eastAsia="zh-CN"/>
              </w:rPr>
              <w:t>事故池收集泄漏废水</w:t>
            </w:r>
            <w:r>
              <w:rPr>
                <w:rFonts w:hint="eastAsia" w:ascii="Times New Roman" w:hAnsi="Times New Roman" w:eastAsia="宋体" w:cs="Times New Roman"/>
                <w:caps w:val="0"/>
                <w:color w:val="auto"/>
                <w:spacing w:val="0"/>
                <w:position w:val="0"/>
                <w:sz w:val="24"/>
                <w:szCs w:val="24"/>
                <w:highlight w:val="none"/>
                <w:lang w:val="en-US" w:eastAsia="zh-CN"/>
              </w:rPr>
              <w:t>，</w:t>
            </w:r>
            <w:r>
              <w:rPr>
                <w:rFonts w:hint="eastAsia"/>
                <w:caps w:val="0"/>
                <w:color w:val="auto"/>
                <w:spacing w:val="0"/>
                <w:position w:val="0"/>
                <w:highlight w:val="none"/>
              </w:rPr>
              <w:t>一旦出现生产废水处理设施异常或是池体破裂生产废水进入事故池，生产废水处理设施检修正常后再由泵+管道导入预处理后回用，禁止外排</w:t>
            </w:r>
            <w:r>
              <w:rPr>
                <w:rFonts w:hint="eastAsia"/>
                <w:caps w:val="0"/>
                <w:color w:val="auto"/>
                <w:spacing w:val="0"/>
                <w:position w:val="0"/>
                <w:highlight w:val="none"/>
                <w:lang w:eastAsia="zh-CN"/>
              </w:rPr>
              <w:t>。</w:t>
            </w:r>
          </w:p>
          <w:p w14:paraId="0F42CAAB">
            <w:pPr>
              <w:pStyle w:val="54"/>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参考中国石化集团公司《水体污染防控紧急措施设计导则》，事故储池总有效容积按下式计算：</w:t>
            </w:r>
          </w:p>
          <w:p w14:paraId="1065B021">
            <w:pPr>
              <w:keepNext w:val="0"/>
              <w:keepLines w:val="0"/>
              <w:widowControl/>
              <w:suppressLineNumbers w:val="0"/>
              <w:autoSpaceDE w:val="0"/>
              <w:autoSpaceDN w:val="0"/>
              <w:adjustRightInd w:val="0"/>
              <w:spacing w:before="0" w:beforeAutospacing="0" w:after="0" w:afterAutospacing="0" w:line="360" w:lineRule="auto"/>
              <w:ind w:left="0" w:right="0"/>
              <w:jc w:val="center"/>
              <w:textAlignment w:val="baseline"/>
              <w:rPr>
                <w:rFonts w:hint="default"/>
                <w:b/>
                <w:caps w:val="0"/>
                <w:color w:val="auto"/>
                <w:spacing w:val="0"/>
                <w:kern w:val="0"/>
                <w:position w:val="0"/>
                <w:sz w:val="24"/>
                <w:szCs w:val="20"/>
                <w:highlight w:val="none"/>
              </w:rPr>
            </w:pPr>
            <w:r>
              <w:rPr>
                <w:rFonts w:hint="default"/>
                <w:b/>
                <w:caps w:val="0"/>
                <w:color w:val="auto"/>
                <w:spacing w:val="0"/>
                <w:kern w:val="0"/>
                <w:position w:val="0"/>
                <w:sz w:val="24"/>
                <w:szCs w:val="20"/>
                <w:highlight w:val="none"/>
              </w:rPr>
              <w:t>V</w:t>
            </w:r>
            <w:r>
              <w:rPr>
                <w:rFonts w:hint="default"/>
                <w:b/>
                <w:caps w:val="0"/>
                <w:color w:val="auto"/>
                <w:spacing w:val="0"/>
                <w:kern w:val="0"/>
                <w:position w:val="0"/>
                <w:sz w:val="24"/>
                <w:szCs w:val="20"/>
                <w:highlight w:val="none"/>
                <w:vertAlign w:val="subscript"/>
              </w:rPr>
              <w:t>总</w:t>
            </w:r>
            <w:r>
              <w:rPr>
                <w:rFonts w:hint="default"/>
                <w:b/>
                <w:caps w:val="0"/>
                <w:color w:val="auto"/>
                <w:spacing w:val="0"/>
                <w:kern w:val="0"/>
                <w:position w:val="0"/>
                <w:sz w:val="24"/>
                <w:szCs w:val="20"/>
                <w:highlight w:val="none"/>
              </w:rPr>
              <w:t>＝（V</w:t>
            </w:r>
            <w:r>
              <w:rPr>
                <w:rFonts w:hint="default"/>
                <w:b/>
                <w:caps w:val="0"/>
                <w:color w:val="auto"/>
                <w:spacing w:val="0"/>
                <w:kern w:val="0"/>
                <w:position w:val="0"/>
                <w:sz w:val="24"/>
                <w:szCs w:val="20"/>
                <w:highlight w:val="none"/>
                <w:vertAlign w:val="subscript"/>
              </w:rPr>
              <w:t>1</w:t>
            </w:r>
            <w:r>
              <w:rPr>
                <w:rFonts w:hint="default"/>
                <w:b/>
                <w:caps w:val="0"/>
                <w:color w:val="auto"/>
                <w:spacing w:val="0"/>
                <w:kern w:val="0"/>
                <w:position w:val="0"/>
                <w:sz w:val="24"/>
                <w:szCs w:val="20"/>
                <w:highlight w:val="none"/>
              </w:rPr>
              <w:t>＋V</w:t>
            </w:r>
            <w:r>
              <w:rPr>
                <w:rFonts w:hint="default"/>
                <w:b/>
                <w:caps w:val="0"/>
                <w:color w:val="auto"/>
                <w:spacing w:val="0"/>
                <w:kern w:val="0"/>
                <w:position w:val="0"/>
                <w:sz w:val="24"/>
                <w:szCs w:val="20"/>
                <w:highlight w:val="none"/>
                <w:vertAlign w:val="subscript"/>
              </w:rPr>
              <w:t>2</w:t>
            </w:r>
            <w:r>
              <w:rPr>
                <w:rFonts w:hint="default"/>
                <w:b/>
                <w:caps w:val="0"/>
                <w:color w:val="auto"/>
                <w:spacing w:val="0"/>
                <w:kern w:val="0"/>
                <w:position w:val="0"/>
                <w:sz w:val="24"/>
                <w:szCs w:val="20"/>
                <w:highlight w:val="none"/>
              </w:rPr>
              <w:t>－V</w:t>
            </w:r>
            <w:r>
              <w:rPr>
                <w:rFonts w:hint="default"/>
                <w:b/>
                <w:caps w:val="0"/>
                <w:color w:val="auto"/>
                <w:spacing w:val="0"/>
                <w:kern w:val="0"/>
                <w:position w:val="0"/>
                <w:sz w:val="24"/>
                <w:szCs w:val="20"/>
                <w:highlight w:val="none"/>
                <w:vertAlign w:val="subscript"/>
              </w:rPr>
              <w:t>3</w:t>
            </w:r>
            <w:r>
              <w:rPr>
                <w:rFonts w:hint="default"/>
                <w:b/>
                <w:caps w:val="0"/>
                <w:color w:val="auto"/>
                <w:spacing w:val="0"/>
                <w:kern w:val="0"/>
                <w:position w:val="0"/>
                <w:sz w:val="24"/>
                <w:szCs w:val="20"/>
                <w:highlight w:val="none"/>
              </w:rPr>
              <w:t>）</w:t>
            </w:r>
            <w:r>
              <w:rPr>
                <w:rFonts w:hint="default"/>
                <w:b/>
                <w:caps w:val="0"/>
                <w:color w:val="auto"/>
                <w:spacing w:val="0"/>
                <w:kern w:val="0"/>
                <w:position w:val="0"/>
                <w:sz w:val="24"/>
                <w:szCs w:val="20"/>
                <w:highlight w:val="none"/>
                <w:vertAlign w:val="subscript"/>
              </w:rPr>
              <w:t>max</w:t>
            </w:r>
            <w:r>
              <w:rPr>
                <w:rFonts w:hint="default"/>
                <w:b/>
                <w:caps w:val="0"/>
                <w:color w:val="auto"/>
                <w:spacing w:val="0"/>
                <w:kern w:val="0"/>
                <w:position w:val="0"/>
                <w:sz w:val="24"/>
                <w:szCs w:val="20"/>
                <w:highlight w:val="none"/>
              </w:rPr>
              <w:t>+V</w:t>
            </w:r>
            <w:r>
              <w:rPr>
                <w:rFonts w:hint="default"/>
                <w:b/>
                <w:caps w:val="0"/>
                <w:color w:val="auto"/>
                <w:spacing w:val="0"/>
                <w:kern w:val="0"/>
                <w:position w:val="0"/>
                <w:sz w:val="24"/>
                <w:szCs w:val="20"/>
                <w:highlight w:val="none"/>
                <w:vertAlign w:val="subscript"/>
              </w:rPr>
              <w:t>4</w:t>
            </w:r>
            <w:r>
              <w:rPr>
                <w:rFonts w:hint="default"/>
                <w:b/>
                <w:caps w:val="0"/>
                <w:color w:val="auto"/>
                <w:spacing w:val="0"/>
                <w:kern w:val="0"/>
                <w:position w:val="0"/>
                <w:sz w:val="24"/>
                <w:szCs w:val="20"/>
                <w:highlight w:val="none"/>
              </w:rPr>
              <w:t>+V</w:t>
            </w:r>
            <w:r>
              <w:rPr>
                <w:rFonts w:hint="default"/>
                <w:b/>
                <w:caps w:val="0"/>
                <w:color w:val="auto"/>
                <w:spacing w:val="0"/>
                <w:kern w:val="0"/>
                <w:position w:val="0"/>
                <w:sz w:val="24"/>
                <w:szCs w:val="20"/>
                <w:highlight w:val="none"/>
                <w:vertAlign w:val="subscript"/>
              </w:rPr>
              <w:t>5</w:t>
            </w:r>
          </w:p>
          <w:p w14:paraId="2822A9B2">
            <w:pPr>
              <w:pStyle w:val="54"/>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注：计算应急事故废水量时，装置区或贮罐区事故不作同时发生考虑，取其中的最大值。</w:t>
            </w:r>
          </w:p>
          <w:p w14:paraId="54D4E4FC">
            <w:pPr>
              <w:pStyle w:val="54"/>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V</w:t>
            </w:r>
            <w:r>
              <w:rPr>
                <w:rFonts w:hint="default"/>
                <w:caps w:val="0"/>
                <w:color w:val="auto"/>
                <w:spacing w:val="0"/>
                <w:position w:val="0"/>
                <w:highlight w:val="none"/>
                <w:vertAlign w:val="subscript"/>
              </w:rPr>
              <w:t>1</w:t>
            </w:r>
            <w:r>
              <w:rPr>
                <w:rFonts w:hint="default"/>
                <w:caps w:val="0"/>
                <w:color w:val="auto"/>
                <w:spacing w:val="0"/>
                <w:position w:val="0"/>
                <w:highlight w:val="none"/>
              </w:rPr>
              <w:t>——最大一个容量的设备或贮罐。</w:t>
            </w:r>
            <w:r>
              <w:rPr>
                <w:rFonts w:hint="eastAsia"/>
                <w:caps w:val="0"/>
                <w:color w:val="auto"/>
                <w:spacing w:val="0"/>
                <w:position w:val="0"/>
                <w:highlight w:val="none"/>
              </w:rPr>
              <w:t>项目不设储罐，故V1=0</w:t>
            </w:r>
            <w:r>
              <w:rPr>
                <w:rFonts w:hint="default"/>
                <w:caps w:val="0"/>
                <w:color w:val="auto"/>
                <w:spacing w:val="0"/>
                <w:position w:val="0"/>
                <w:highlight w:val="none"/>
              </w:rPr>
              <w:t>m</w:t>
            </w:r>
            <w:r>
              <w:rPr>
                <w:rFonts w:hint="default"/>
                <w:caps w:val="0"/>
                <w:color w:val="auto"/>
                <w:spacing w:val="0"/>
                <w:position w:val="0"/>
                <w:highlight w:val="none"/>
                <w:vertAlign w:val="superscript"/>
              </w:rPr>
              <w:t>3</w:t>
            </w:r>
            <w:r>
              <w:rPr>
                <w:rFonts w:hint="eastAsia"/>
                <w:caps w:val="0"/>
                <w:color w:val="auto"/>
                <w:spacing w:val="0"/>
                <w:position w:val="0"/>
                <w:highlight w:val="none"/>
              </w:rPr>
              <w:t>；</w:t>
            </w:r>
          </w:p>
          <w:p w14:paraId="066170CA">
            <w:pPr>
              <w:pStyle w:val="54"/>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V</w:t>
            </w:r>
            <w:r>
              <w:rPr>
                <w:rFonts w:hint="default"/>
                <w:caps w:val="0"/>
                <w:color w:val="auto"/>
                <w:spacing w:val="0"/>
                <w:position w:val="0"/>
                <w:highlight w:val="none"/>
                <w:vertAlign w:val="subscript"/>
              </w:rPr>
              <w:t>2</w:t>
            </w:r>
            <w:r>
              <w:rPr>
                <w:rFonts w:hint="default"/>
                <w:caps w:val="0"/>
                <w:color w:val="auto"/>
                <w:spacing w:val="0"/>
                <w:position w:val="0"/>
                <w:highlight w:val="none"/>
              </w:rPr>
              <w:t>——一旦发生火灾、爆炸时的消防用水量，包括扑灭火灾所需用水量和保护临近设备或贮罐（最少3个）的喷淋水量。</w:t>
            </w:r>
          </w:p>
          <w:p w14:paraId="6330B5AB">
            <w:pPr>
              <w:pStyle w:val="54"/>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发生事故时的消防水量，m</w:t>
            </w:r>
            <w:r>
              <w:rPr>
                <w:rFonts w:hint="default"/>
                <w:caps w:val="0"/>
                <w:color w:val="auto"/>
                <w:spacing w:val="0"/>
                <w:position w:val="0"/>
                <w:highlight w:val="none"/>
                <w:vertAlign w:val="superscript"/>
              </w:rPr>
              <w:t>3</w:t>
            </w:r>
            <w:r>
              <w:rPr>
                <w:rFonts w:hint="default"/>
                <w:caps w:val="0"/>
                <w:color w:val="auto"/>
                <w:spacing w:val="0"/>
                <w:position w:val="0"/>
                <w:highlight w:val="none"/>
              </w:rPr>
              <w:t>；</w:t>
            </w:r>
          </w:p>
          <w:p w14:paraId="5EB65B7A">
            <w:pPr>
              <w:keepNext w:val="0"/>
              <w:keepLines w:val="0"/>
              <w:widowControl/>
              <w:suppressLineNumbers w:val="0"/>
              <w:autoSpaceDE w:val="0"/>
              <w:autoSpaceDN w:val="0"/>
              <w:adjustRightInd w:val="0"/>
              <w:spacing w:before="0" w:beforeAutospacing="0" w:after="0" w:afterAutospacing="0" w:line="360" w:lineRule="auto"/>
              <w:ind w:left="0" w:right="0"/>
              <w:jc w:val="center"/>
              <w:textAlignment w:val="baseline"/>
              <w:rPr>
                <w:rFonts w:hint="default"/>
                <w:b/>
                <w:caps w:val="0"/>
                <w:color w:val="auto"/>
                <w:spacing w:val="0"/>
                <w:kern w:val="0"/>
                <w:position w:val="0"/>
                <w:sz w:val="24"/>
                <w:szCs w:val="20"/>
                <w:highlight w:val="none"/>
              </w:rPr>
            </w:pPr>
            <w:r>
              <w:rPr>
                <w:rFonts w:hint="default"/>
                <w:b/>
                <w:caps w:val="0"/>
                <w:color w:val="auto"/>
                <w:spacing w:val="0"/>
                <w:kern w:val="0"/>
                <w:position w:val="0"/>
                <w:sz w:val="24"/>
                <w:szCs w:val="20"/>
                <w:highlight w:val="none"/>
              </w:rPr>
              <w:object>
                <v:shape id="_x0000_i1027" o:spt="75" type="#_x0000_t75" style="height:14.25pt;width:72pt;" o:ole="t" filled="f" o:preferrelative="t" stroked="f" coordsize="21600,21600">
                  <v:path/>
                  <v:fill on="f" focussize="0,0"/>
                  <v:stroke on="f" joinstyle="miter"/>
                  <v:imagedata r:id="rId27" o:title=""/>
                  <o:lock v:ext="edit" aspectratio="t"/>
                  <w10:wrap type="none"/>
                  <w10:anchorlock/>
                </v:shape>
                <o:OLEObject Type="Embed" ProgID="Acrobat.Document.DC" ShapeID="_x0000_i1027" DrawAspect="Content" ObjectID="_1468075725" r:id="rId26">
                  <o:LockedField>false</o:LockedField>
                </o:OLEObject>
              </w:object>
            </w:r>
          </w:p>
          <w:p w14:paraId="14E048EA">
            <w:pPr>
              <w:pStyle w:val="54"/>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Q</w:t>
            </w:r>
            <w:r>
              <w:rPr>
                <w:rFonts w:hint="default"/>
                <w:caps w:val="0"/>
                <w:color w:val="auto"/>
                <w:spacing w:val="0"/>
                <w:position w:val="0"/>
                <w:highlight w:val="none"/>
                <w:vertAlign w:val="subscript"/>
              </w:rPr>
              <w:t>消</w:t>
            </w:r>
            <w:r>
              <w:rPr>
                <w:rFonts w:hint="default"/>
                <w:caps w:val="0"/>
                <w:color w:val="auto"/>
                <w:spacing w:val="0"/>
                <w:position w:val="0"/>
                <w:highlight w:val="none"/>
              </w:rPr>
              <w:t>——发生事故的储罐或装置的同时使用的消防设施给水流量，m</w:t>
            </w:r>
            <w:r>
              <w:rPr>
                <w:rFonts w:hint="default"/>
                <w:caps w:val="0"/>
                <w:color w:val="auto"/>
                <w:spacing w:val="0"/>
                <w:position w:val="0"/>
                <w:highlight w:val="none"/>
                <w:vertAlign w:val="superscript"/>
              </w:rPr>
              <w:t>3</w:t>
            </w:r>
            <w:r>
              <w:rPr>
                <w:rFonts w:hint="default"/>
                <w:caps w:val="0"/>
                <w:color w:val="auto"/>
                <w:spacing w:val="0"/>
                <w:position w:val="0"/>
                <w:highlight w:val="none"/>
              </w:rPr>
              <w:t>/h；根据《消防给水及消防栓系统技术规范》</w:t>
            </w:r>
            <w:r>
              <w:rPr>
                <w:rFonts w:hint="eastAsia"/>
                <w:caps w:val="0"/>
                <w:color w:val="auto"/>
                <w:spacing w:val="0"/>
                <w:position w:val="0"/>
                <w:highlight w:val="none"/>
              </w:rPr>
              <w:t>（</w:t>
            </w:r>
            <w:r>
              <w:rPr>
                <w:rFonts w:hint="default"/>
                <w:caps w:val="0"/>
                <w:color w:val="auto"/>
                <w:spacing w:val="0"/>
                <w:position w:val="0"/>
                <w:highlight w:val="none"/>
              </w:rPr>
              <w:t>GB50974-2014</w:t>
            </w:r>
            <w:r>
              <w:rPr>
                <w:rFonts w:hint="eastAsia"/>
                <w:caps w:val="0"/>
                <w:color w:val="auto"/>
                <w:spacing w:val="0"/>
                <w:position w:val="0"/>
                <w:highlight w:val="none"/>
              </w:rPr>
              <w:t>）</w:t>
            </w:r>
            <w:r>
              <w:rPr>
                <w:rFonts w:hint="default"/>
                <w:caps w:val="0"/>
                <w:color w:val="auto"/>
                <w:spacing w:val="0"/>
                <w:position w:val="0"/>
                <w:highlight w:val="none"/>
              </w:rPr>
              <w:t>计算，室外消防栓设计流量20L/s、室内消防栓设计流量10L/s，本评价假设项目出现火灾时，按消防水量消耗30L/s计算</w:t>
            </w:r>
          </w:p>
          <w:p w14:paraId="7B59FA91">
            <w:pPr>
              <w:pStyle w:val="54"/>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t</w:t>
            </w:r>
            <w:r>
              <w:rPr>
                <w:rFonts w:hint="default"/>
                <w:caps w:val="0"/>
                <w:color w:val="auto"/>
                <w:spacing w:val="0"/>
                <w:position w:val="0"/>
                <w:highlight w:val="none"/>
                <w:vertAlign w:val="subscript"/>
              </w:rPr>
              <w:t>消</w:t>
            </w:r>
            <w:r>
              <w:rPr>
                <w:rFonts w:hint="default"/>
                <w:caps w:val="0"/>
                <w:color w:val="auto"/>
                <w:spacing w:val="0"/>
                <w:position w:val="0"/>
                <w:highlight w:val="none"/>
              </w:rPr>
              <w:t>——消防设施对应的设计消防历时，h；（本项目事故持续时间假定为2h），所以，本次环评一次事故收集的消防废水量取216m</w:t>
            </w:r>
            <w:r>
              <w:rPr>
                <w:rFonts w:hint="default"/>
                <w:caps w:val="0"/>
                <w:color w:val="auto"/>
                <w:spacing w:val="0"/>
                <w:position w:val="0"/>
                <w:highlight w:val="none"/>
                <w:vertAlign w:val="superscript"/>
              </w:rPr>
              <w:t>3</w:t>
            </w:r>
            <w:r>
              <w:rPr>
                <w:rFonts w:hint="default"/>
                <w:caps w:val="0"/>
                <w:color w:val="auto"/>
                <w:spacing w:val="0"/>
                <w:position w:val="0"/>
                <w:highlight w:val="none"/>
              </w:rPr>
              <w:t>。</w:t>
            </w:r>
          </w:p>
          <w:p w14:paraId="45EE8A68">
            <w:pPr>
              <w:pStyle w:val="54"/>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V</w:t>
            </w:r>
            <w:r>
              <w:rPr>
                <w:rFonts w:hint="default"/>
                <w:caps w:val="0"/>
                <w:color w:val="auto"/>
                <w:spacing w:val="0"/>
                <w:position w:val="0"/>
                <w:highlight w:val="none"/>
                <w:vertAlign w:val="subscript"/>
              </w:rPr>
              <w:t>3</w:t>
            </w:r>
            <w:r>
              <w:rPr>
                <w:rFonts w:hint="default"/>
                <w:caps w:val="0"/>
                <w:color w:val="auto"/>
                <w:spacing w:val="0"/>
                <w:position w:val="0"/>
                <w:highlight w:val="none"/>
              </w:rPr>
              <w:t>——发生事故时可以传输到其他储存或处理设施的物料量，m</w:t>
            </w:r>
            <w:r>
              <w:rPr>
                <w:rFonts w:hint="default"/>
                <w:caps w:val="0"/>
                <w:color w:val="auto"/>
                <w:spacing w:val="0"/>
                <w:position w:val="0"/>
                <w:highlight w:val="none"/>
                <w:vertAlign w:val="superscript"/>
              </w:rPr>
              <w:t>3</w:t>
            </w:r>
            <w:r>
              <w:rPr>
                <w:rFonts w:hint="default"/>
                <w:caps w:val="0"/>
                <w:color w:val="auto"/>
                <w:spacing w:val="0"/>
                <w:position w:val="0"/>
                <w:highlight w:val="none"/>
              </w:rPr>
              <w:t>，本项目取0。</w:t>
            </w:r>
          </w:p>
          <w:p w14:paraId="6B4089D3">
            <w:pPr>
              <w:pStyle w:val="54"/>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V</w:t>
            </w:r>
            <w:r>
              <w:rPr>
                <w:rFonts w:hint="default"/>
                <w:caps w:val="0"/>
                <w:color w:val="auto"/>
                <w:spacing w:val="0"/>
                <w:position w:val="0"/>
                <w:highlight w:val="none"/>
                <w:vertAlign w:val="subscript"/>
              </w:rPr>
              <w:t>4</w:t>
            </w:r>
            <w:r>
              <w:rPr>
                <w:rFonts w:hint="default"/>
                <w:caps w:val="0"/>
                <w:color w:val="auto"/>
                <w:spacing w:val="0"/>
                <w:position w:val="0"/>
                <w:highlight w:val="none"/>
              </w:rPr>
              <w:t>——发生事故时仍必须进入该收集系统的生产废水量，m</w:t>
            </w:r>
            <w:r>
              <w:rPr>
                <w:rFonts w:hint="default"/>
                <w:caps w:val="0"/>
                <w:color w:val="auto"/>
                <w:spacing w:val="0"/>
                <w:position w:val="0"/>
                <w:highlight w:val="none"/>
                <w:vertAlign w:val="superscript"/>
              </w:rPr>
              <w:t>3</w:t>
            </w:r>
            <w:r>
              <w:rPr>
                <w:rFonts w:hint="default"/>
                <w:caps w:val="0"/>
                <w:color w:val="auto"/>
                <w:spacing w:val="0"/>
                <w:position w:val="0"/>
                <w:highlight w:val="none"/>
              </w:rPr>
              <w:t>，</w:t>
            </w:r>
            <w:r>
              <w:rPr>
                <w:rFonts w:hint="eastAsia"/>
                <w:caps w:val="0"/>
                <w:color w:val="auto"/>
                <w:spacing w:val="0"/>
                <w:position w:val="0"/>
                <w:highlight w:val="none"/>
              </w:rPr>
              <w:t>项目生产废水有单独的收集</w:t>
            </w:r>
            <w:r>
              <w:rPr>
                <w:rFonts w:hint="eastAsia"/>
                <w:caps w:val="0"/>
                <w:color w:val="auto"/>
                <w:spacing w:val="0"/>
                <w:position w:val="0"/>
                <w:highlight w:val="none"/>
                <w:lang w:val="en-US" w:eastAsia="zh-CN"/>
              </w:rPr>
              <w:t>池</w:t>
            </w:r>
            <w:r>
              <w:rPr>
                <w:rFonts w:hint="eastAsia"/>
                <w:caps w:val="0"/>
                <w:color w:val="auto"/>
                <w:spacing w:val="0"/>
                <w:position w:val="0"/>
                <w:highlight w:val="none"/>
              </w:rPr>
              <w:t>，无生产废水进入厂区事故池，V4=</w:t>
            </w:r>
            <w:r>
              <w:rPr>
                <w:rFonts w:hint="eastAsia"/>
                <w:caps w:val="0"/>
                <w:color w:val="auto"/>
                <w:spacing w:val="0"/>
                <w:position w:val="0"/>
                <w:highlight w:val="none"/>
                <w:lang w:val="en-US" w:eastAsia="zh-CN"/>
              </w:rPr>
              <w:t>0</w:t>
            </w:r>
            <w:r>
              <w:rPr>
                <w:rFonts w:hint="eastAsia"/>
                <w:caps w:val="0"/>
                <w:color w:val="auto"/>
                <w:spacing w:val="0"/>
                <w:position w:val="0"/>
                <w:highlight w:val="none"/>
              </w:rPr>
              <w:t>；</w:t>
            </w:r>
          </w:p>
          <w:p w14:paraId="25F45FE3">
            <w:pPr>
              <w:pStyle w:val="54"/>
              <w:keepNext w:val="0"/>
              <w:keepLines w:val="0"/>
              <w:suppressLineNumbers w:val="0"/>
              <w:spacing w:before="0" w:beforeAutospacing="0" w:after="0" w:afterAutospacing="0"/>
              <w:ind w:left="0" w:right="0"/>
              <w:rPr>
                <w:rFonts w:hint="default"/>
                <w:caps w:val="0"/>
                <w:color w:val="auto"/>
                <w:spacing w:val="0"/>
                <w:position w:val="0"/>
                <w:szCs w:val="20"/>
                <w:highlight w:val="none"/>
              </w:rPr>
            </w:pPr>
            <w:r>
              <w:rPr>
                <w:rFonts w:hint="default"/>
                <w:caps w:val="0"/>
                <w:color w:val="auto"/>
                <w:spacing w:val="0"/>
                <w:position w:val="0"/>
                <w:highlight w:val="none"/>
              </w:rPr>
              <w:t>V</w:t>
            </w:r>
            <w:r>
              <w:rPr>
                <w:rFonts w:hint="default"/>
                <w:caps w:val="0"/>
                <w:color w:val="auto"/>
                <w:spacing w:val="0"/>
                <w:position w:val="0"/>
                <w:highlight w:val="none"/>
                <w:vertAlign w:val="subscript"/>
              </w:rPr>
              <w:t>5</w:t>
            </w:r>
            <w:r>
              <w:rPr>
                <w:rFonts w:hint="default"/>
                <w:caps w:val="0"/>
                <w:color w:val="auto"/>
                <w:spacing w:val="0"/>
                <w:position w:val="0"/>
                <w:highlight w:val="none"/>
              </w:rPr>
              <w:t>——发生事故时可能进入该收集系统的降雨量，m</w:t>
            </w:r>
            <w:r>
              <w:rPr>
                <w:rFonts w:hint="default"/>
                <w:caps w:val="0"/>
                <w:color w:val="auto"/>
                <w:spacing w:val="0"/>
                <w:position w:val="0"/>
                <w:highlight w:val="none"/>
                <w:vertAlign w:val="superscript"/>
              </w:rPr>
              <w:t>3</w:t>
            </w:r>
            <w:r>
              <w:rPr>
                <w:rFonts w:hint="default"/>
                <w:caps w:val="0"/>
                <w:color w:val="auto"/>
                <w:spacing w:val="0"/>
                <w:position w:val="0"/>
                <w:highlight w:val="none"/>
              </w:rPr>
              <w:t>，</w:t>
            </w:r>
            <w:r>
              <w:rPr>
                <w:rFonts w:hint="eastAsia"/>
                <w:caps w:val="0"/>
                <w:color w:val="auto"/>
                <w:spacing w:val="0"/>
                <w:position w:val="0"/>
                <w:szCs w:val="20"/>
                <w:highlight w:val="none"/>
              </w:rPr>
              <w:t>本项目</w:t>
            </w:r>
            <w:r>
              <w:rPr>
                <w:rFonts w:hint="eastAsia"/>
                <w:caps w:val="0"/>
                <w:color w:val="auto"/>
                <w:spacing w:val="0"/>
                <w:position w:val="0"/>
                <w:szCs w:val="20"/>
                <w:highlight w:val="none"/>
                <w:lang w:val="en-US" w:eastAsia="zh-CN"/>
              </w:rPr>
              <w:t>设有初期雨水池，</w:t>
            </w:r>
            <w:r>
              <w:rPr>
                <w:rFonts w:hint="eastAsia"/>
                <w:caps w:val="0"/>
                <w:color w:val="auto"/>
                <w:spacing w:val="0"/>
                <w:position w:val="0"/>
                <w:szCs w:val="20"/>
                <w:highlight w:val="none"/>
              </w:rPr>
              <w:t>V</w:t>
            </w:r>
            <w:r>
              <w:rPr>
                <w:rFonts w:hint="eastAsia"/>
                <w:caps w:val="0"/>
                <w:color w:val="auto"/>
                <w:spacing w:val="0"/>
                <w:position w:val="0"/>
                <w:szCs w:val="20"/>
                <w:highlight w:val="none"/>
                <w:vertAlign w:val="subscript"/>
              </w:rPr>
              <w:t>5</w:t>
            </w:r>
            <w:r>
              <w:rPr>
                <w:rFonts w:hint="eastAsia"/>
                <w:caps w:val="0"/>
                <w:color w:val="auto"/>
                <w:spacing w:val="0"/>
                <w:position w:val="0"/>
                <w:szCs w:val="20"/>
                <w:highlight w:val="none"/>
              </w:rPr>
              <w:t>=</w:t>
            </w:r>
            <w:r>
              <w:rPr>
                <w:rFonts w:hint="eastAsia"/>
                <w:caps w:val="0"/>
                <w:color w:val="auto"/>
                <w:spacing w:val="0"/>
                <w:position w:val="0"/>
                <w:szCs w:val="20"/>
                <w:highlight w:val="none"/>
                <w:lang w:val="en-US" w:eastAsia="zh-CN"/>
              </w:rPr>
              <w:t>0</w:t>
            </w:r>
            <w:r>
              <w:rPr>
                <w:rFonts w:hint="eastAsia"/>
                <w:caps w:val="0"/>
                <w:color w:val="auto"/>
                <w:spacing w:val="0"/>
                <w:position w:val="0"/>
                <w:szCs w:val="20"/>
                <w:highlight w:val="none"/>
              </w:rPr>
              <w:t>。</w:t>
            </w:r>
          </w:p>
          <w:p w14:paraId="2D54F7FB">
            <w:pPr>
              <w:pStyle w:val="54"/>
              <w:keepNext w:val="0"/>
              <w:keepLines w:val="0"/>
              <w:suppressLineNumbers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综上，</w:t>
            </w:r>
            <w:r>
              <w:rPr>
                <w:rFonts w:hint="default"/>
                <w:caps w:val="0"/>
                <w:color w:val="auto"/>
                <w:spacing w:val="0"/>
                <w:position w:val="0"/>
                <w:highlight w:val="none"/>
              </w:rPr>
              <w:t>V</w:t>
            </w:r>
            <w:r>
              <w:rPr>
                <w:rFonts w:hint="eastAsia"/>
                <w:caps w:val="0"/>
                <w:color w:val="auto"/>
                <w:spacing w:val="0"/>
                <w:position w:val="0"/>
                <w:highlight w:val="none"/>
              </w:rPr>
              <w:t>总</w:t>
            </w:r>
            <w:r>
              <w:rPr>
                <w:rFonts w:hint="default"/>
                <w:caps w:val="0"/>
                <w:color w:val="auto"/>
                <w:spacing w:val="0"/>
                <w:position w:val="0"/>
                <w:highlight w:val="none"/>
              </w:rPr>
              <w:t>=</w:t>
            </w:r>
            <w:r>
              <w:rPr>
                <w:rFonts w:hint="eastAsia"/>
                <w:caps w:val="0"/>
                <w:color w:val="auto"/>
                <w:spacing w:val="0"/>
                <w:position w:val="0"/>
                <w:highlight w:val="none"/>
              </w:rPr>
              <w:t>（</w:t>
            </w:r>
            <w:r>
              <w:rPr>
                <w:rFonts w:hint="default"/>
                <w:caps w:val="0"/>
                <w:color w:val="auto"/>
                <w:spacing w:val="0"/>
                <w:position w:val="0"/>
                <w:highlight w:val="none"/>
              </w:rPr>
              <w:t>V1+V2</w:t>
            </w:r>
            <w:r>
              <w:rPr>
                <w:rFonts w:hint="eastAsia"/>
                <w:caps w:val="0"/>
                <w:color w:val="auto"/>
                <w:spacing w:val="0"/>
                <w:position w:val="0"/>
                <w:highlight w:val="none"/>
              </w:rPr>
              <w:t>－</w:t>
            </w:r>
            <w:r>
              <w:rPr>
                <w:rFonts w:hint="default"/>
                <w:caps w:val="0"/>
                <w:color w:val="auto"/>
                <w:spacing w:val="0"/>
                <w:position w:val="0"/>
                <w:highlight w:val="none"/>
              </w:rPr>
              <w:t>V3</w:t>
            </w:r>
            <w:r>
              <w:rPr>
                <w:rFonts w:hint="eastAsia"/>
                <w:caps w:val="0"/>
                <w:color w:val="auto"/>
                <w:spacing w:val="0"/>
                <w:position w:val="0"/>
                <w:highlight w:val="none"/>
              </w:rPr>
              <w:t>）</w:t>
            </w:r>
            <w:r>
              <w:rPr>
                <w:rFonts w:hint="default"/>
                <w:caps w:val="0"/>
                <w:color w:val="auto"/>
                <w:spacing w:val="0"/>
                <w:position w:val="0"/>
                <w:highlight w:val="none"/>
              </w:rPr>
              <w:t>+V4+V5</w:t>
            </w:r>
            <w:r>
              <w:rPr>
                <w:rFonts w:hint="eastAsia"/>
                <w:caps w:val="0"/>
                <w:color w:val="auto"/>
                <w:spacing w:val="0"/>
                <w:position w:val="0"/>
                <w:highlight w:val="none"/>
              </w:rPr>
              <w:t>＝</w:t>
            </w:r>
            <w:r>
              <w:rPr>
                <w:rFonts w:hint="default"/>
                <w:caps w:val="0"/>
                <w:color w:val="auto"/>
                <w:spacing w:val="0"/>
                <w:position w:val="0"/>
                <w:highlight w:val="none"/>
              </w:rPr>
              <w:t>(0+2</w:t>
            </w:r>
            <w:r>
              <w:rPr>
                <w:rFonts w:hint="eastAsia"/>
                <w:caps w:val="0"/>
                <w:color w:val="auto"/>
                <w:spacing w:val="0"/>
                <w:position w:val="0"/>
                <w:highlight w:val="none"/>
              </w:rPr>
              <w:t>16</w:t>
            </w:r>
            <w:r>
              <w:rPr>
                <w:rFonts w:hint="default"/>
                <w:caps w:val="0"/>
                <w:color w:val="auto"/>
                <w:spacing w:val="0"/>
                <w:position w:val="0"/>
                <w:highlight w:val="none"/>
              </w:rPr>
              <w:t>-0)+</w:t>
            </w:r>
            <w:r>
              <w:rPr>
                <w:rFonts w:hint="eastAsia"/>
                <w:caps w:val="0"/>
                <w:color w:val="auto"/>
                <w:spacing w:val="0"/>
                <w:position w:val="0"/>
                <w:highlight w:val="none"/>
                <w:lang w:val="en-US" w:eastAsia="zh-CN"/>
              </w:rPr>
              <w:t>0</w:t>
            </w:r>
            <w:r>
              <w:rPr>
                <w:rFonts w:hint="default"/>
                <w:caps w:val="0"/>
                <w:color w:val="auto"/>
                <w:spacing w:val="0"/>
                <w:position w:val="0"/>
                <w:highlight w:val="none"/>
              </w:rPr>
              <w:t>+</w:t>
            </w:r>
            <w:r>
              <w:rPr>
                <w:rFonts w:hint="eastAsia"/>
                <w:caps w:val="0"/>
                <w:color w:val="auto"/>
                <w:spacing w:val="0"/>
                <w:position w:val="0"/>
                <w:highlight w:val="none"/>
                <w:lang w:val="en-US" w:eastAsia="zh-CN"/>
              </w:rPr>
              <w:t>0</w:t>
            </w:r>
            <w:r>
              <w:rPr>
                <w:rFonts w:hint="eastAsia"/>
                <w:caps w:val="0"/>
                <w:color w:val="auto"/>
                <w:spacing w:val="0"/>
                <w:position w:val="0"/>
                <w:highlight w:val="none"/>
              </w:rPr>
              <w:t>＝</w:t>
            </w:r>
            <w:r>
              <w:rPr>
                <w:rFonts w:hint="eastAsia"/>
                <w:caps w:val="0"/>
                <w:color w:val="auto"/>
                <w:spacing w:val="0"/>
                <w:position w:val="0"/>
                <w:highlight w:val="none"/>
                <w:lang w:val="en-US" w:eastAsia="zh-CN"/>
              </w:rPr>
              <w:t>216</w:t>
            </w:r>
            <w:r>
              <w:rPr>
                <w:rFonts w:hint="default"/>
                <w:caps w:val="0"/>
                <w:color w:val="auto"/>
                <w:spacing w:val="0"/>
                <w:position w:val="0"/>
                <w:highlight w:val="none"/>
              </w:rPr>
              <w:t>m</w:t>
            </w:r>
            <w:r>
              <w:rPr>
                <w:rFonts w:hint="default"/>
                <w:caps w:val="0"/>
                <w:color w:val="auto"/>
                <w:spacing w:val="0"/>
                <w:position w:val="0"/>
                <w:highlight w:val="none"/>
                <w:vertAlign w:val="superscript"/>
              </w:rPr>
              <w:t>3</w:t>
            </w:r>
          </w:p>
          <w:p w14:paraId="6C73A22A">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lang w:val="en-US" w:eastAsia="zh-CN"/>
              </w:rPr>
              <w:t>G</w:t>
            </w:r>
            <w:r>
              <w:rPr>
                <w:rFonts w:hint="default"/>
                <w:caps w:val="0"/>
                <w:color w:val="auto"/>
                <w:spacing w:val="0"/>
                <w:position w:val="0"/>
                <w:highlight w:val="none"/>
              </w:rPr>
              <w:t>.制定突发环境事件应急预案</w:t>
            </w:r>
          </w:p>
          <w:p w14:paraId="188400C8">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建设单位应根据《关于印发〈企业事业单位突发环境事件应急预案备案管理办法（试行）〉的通知》（环发〔2015〕4号）的相关要求编制环境应急预案</w:t>
            </w:r>
            <w:r>
              <w:rPr>
                <w:rFonts w:hint="eastAsia"/>
                <w:caps w:val="0"/>
                <w:color w:val="auto"/>
                <w:spacing w:val="0"/>
                <w:position w:val="0"/>
                <w:highlight w:val="none"/>
              </w:rPr>
              <w:t>，具体内容见下表</w:t>
            </w:r>
            <w:r>
              <w:rPr>
                <w:rFonts w:hint="default"/>
                <w:caps w:val="0"/>
                <w:color w:val="auto"/>
                <w:spacing w:val="0"/>
                <w:position w:val="0"/>
                <w:highlight w:val="none"/>
              </w:rPr>
              <w:t>，并结合实际情况，开展环境应急预案的培训、宣传和必要的应急演练，发生或者可能发生突发环境事件时及时启动环境应急预案，定期进行修订完善。</w:t>
            </w:r>
          </w:p>
          <w:p w14:paraId="5CA9AC68">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表4-</w:t>
            </w:r>
            <w:r>
              <w:rPr>
                <w:rFonts w:hint="eastAsia"/>
                <w:caps w:val="0"/>
                <w:color w:val="auto"/>
                <w:spacing w:val="0"/>
                <w:position w:val="0"/>
                <w:highlight w:val="none"/>
                <w:lang w:val="en-US" w:eastAsia="zh-CN"/>
              </w:rPr>
              <w:t>22</w:t>
            </w:r>
            <w:r>
              <w:rPr>
                <w:rFonts w:hint="default"/>
                <w:caps w:val="0"/>
                <w:color w:val="auto"/>
                <w:spacing w:val="0"/>
                <w:position w:val="0"/>
                <w:highlight w:val="none"/>
              </w:rPr>
              <w:t xml:space="preserve"> </w:t>
            </w:r>
            <w:r>
              <w:rPr>
                <w:rFonts w:hint="eastAsia"/>
                <w:caps w:val="0"/>
                <w:color w:val="auto"/>
                <w:spacing w:val="0"/>
                <w:position w:val="0"/>
                <w:highlight w:val="none"/>
              </w:rPr>
              <w:t>应急预案的主要内容</w:t>
            </w:r>
          </w:p>
          <w:tbl>
            <w:tblPr>
              <w:tblStyle w:val="2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88"/>
              <w:gridCol w:w="6874"/>
            </w:tblGrid>
            <w:tr w14:paraId="1C3314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64F47100">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项目</w:t>
                  </w:r>
                </w:p>
              </w:tc>
              <w:tc>
                <w:tcPr>
                  <w:tcW w:w="4110" w:type="pct"/>
                  <w:noWrap w:val="0"/>
                  <w:vAlign w:val="center"/>
                </w:tcPr>
                <w:p w14:paraId="7FAEAE6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内容及要求</w:t>
                  </w:r>
                </w:p>
              </w:tc>
            </w:tr>
            <w:tr w14:paraId="66CC8F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40FA18D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应急计划区</w:t>
                  </w:r>
                </w:p>
              </w:tc>
              <w:tc>
                <w:tcPr>
                  <w:tcW w:w="4110" w:type="pct"/>
                  <w:noWrap w:val="0"/>
                  <w:vAlign w:val="center"/>
                </w:tcPr>
                <w:p w14:paraId="479F39A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厂区</w:t>
                  </w:r>
                </w:p>
              </w:tc>
            </w:tr>
            <w:tr w14:paraId="00BCD7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73134EE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应急组织</w:t>
                  </w:r>
                </w:p>
              </w:tc>
              <w:tc>
                <w:tcPr>
                  <w:tcW w:w="4110" w:type="pct"/>
                  <w:noWrap w:val="0"/>
                  <w:vAlign w:val="center"/>
                </w:tcPr>
                <w:p w14:paraId="4C32AA5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应急指挥中心：负责现场全面指挥；</w:t>
                  </w:r>
                </w:p>
                <w:p w14:paraId="7A01F32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应急办公室：负责接收指令、下达任务，协调联络</w:t>
                  </w:r>
                </w:p>
                <w:p w14:paraId="758B9F6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应急小组：负责抢险、警戒、后勤保障、医疗救护</w:t>
                  </w:r>
                </w:p>
              </w:tc>
            </w:tr>
            <w:tr w14:paraId="5CEB0E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890" w:type="pct"/>
                  <w:noWrap w:val="0"/>
                  <w:vAlign w:val="center"/>
                </w:tcPr>
                <w:p w14:paraId="5839EFE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分级响应</w:t>
                  </w:r>
                </w:p>
              </w:tc>
              <w:tc>
                <w:tcPr>
                  <w:tcW w:w="4110" w:type="pct"/>
                  <w:noWrap w:val="0"/>
                  <w:vAlign w:val="center"/>
                </w:tcPr>
                <w:p w14:paraId="6452928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一级响应：需要全公司和社会力量参与应急；</w:t>
                  </w:r>
                </w:p>
                <w:p w14:paraId="037D6D3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二级响应：需要全公司力量参与应急；</w:t>
                  </w:r>
                </w:p>
                <w:p w14:paraId="0BC979E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三级响应：仅需事件部门或个别部门参与应急。</w:t>
                  </w:r>
                </w:p>
              </w:tc>
            </w:tr>
            <w:tr w14:paraId="66EA3D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6AF8C94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应急救援保障</w:t>
                  </w:r>
                </w:p>
              </w:tc>
              <w:tc>
                <w:tcPr>
                  <w:tcW w:w="4110" w:type="pct"/>
                  <w:noWrap w:val="0"/>
                  <w:vAlign w:val="center"/>
                </w:tcPr>
                <w:p w14:paraId="5CA378F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后勤保障小组负责及时运送应急设施、急救箱、应急工具等。</w:t>
                  </w:r>
                </w:p>
              </w:tc>
            </w:tr>
            <w:tr w14:paraId="4E898A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1801461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预警条件</w:t>
                  </w:r>
                </w:p>
              </w:tc>
              <w:tc>
                <w:tcPr>
                  <w:tcW w:w="4110" w:type="pct"/>
                  <w:noWrap w:val="0"/>
                  <w:vAlign w:val="center"/>
                </w:tcPr>
                <w:p w14:paraId="1558E2D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发现明火燃烧；火警报装置发生响动；仓库冒出浓烟。</w:t>
                  </w:r>
                </w:p>
              </w:tc>
            </w:tr>
            <w:tr w14:paraId="6D69B1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194C80E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上报程序</w:t>
                  </w:r>
                </w:p>
              </w:tc>
              <w:tc>
                <w:tcPr>
                  <w:tcW w:w="4110" w:type="pct"/>
                  <w:noWrap w:val="0"/>
                  <w:vAlign w:val="center"/>
                </w:tcPr>
                <w:p w14:paraId="30424B0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第一发现者→应急办公室负责人→应急指挥部。</w:t>
                  </w:r>
                </w:p>
              </w:tc>
            </w:tr>
            <w:tr w14:paraId="3F85B9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890" w:type="pct"/>
                  <w:noWrap w:val="0"/>
                  <w:vAlign w:val="center"/>
                </w:tcPr>
                <w:p w14:paraId="6CBB0CD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应急启动程序</w:t>
                  </w:r>
                </w:p>
              </w:tc>
              <w:tc>
                <w:tcPr>
                  <w:tcW w:w="4110" w:type="pct"/>
                  <w:noWrap w:val="0"/>
                  <w:vAlign w:val="center"/>
                </w:tcPr>
                <w:p w14:paraId="7ED2789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事故确认：应急指挥部→应急办公室→应急小组。</w:t>
                  </w:r>
                </w:p>
              </w:tc>
            </w:tr>
            <w:tr w14:paraId="37FF5A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12D2396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人员疏散</w:t>
                  </w:r>
                </w:p>
              </w:tc>
              <w:tc>
                <w:tcPr>
                  <w:tcW w:w="4110" w:type="pct"/>
                  <w:noWrap w:val="0"/>
                  <w:vAlign w:val="center"/>
                </w:tcPr>
                <w:p w14:paraId="0251A34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警戒组及时隔离事故现场，疏散无关人员，禁止无关人员进入警戒区。</w:t>
                  </w:r>
                </w:p>
              </w:tc>
            </w:tr>
            <w:tr w14:paraId="6F81BC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2379738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灭火处理</w:t>
                  </w:r>
                </w:p>
              </w:tc>
              <w:tc>
                <w:tcPr>
                  <w:tcW w:w="4110" w:type="pct"/>
                  <w:noWrap w:val="0"/>
                  <w:vAlign w:val="center"/>
                </w:tcPr>
                <w:p w14:paraId="052A33D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抢险组佩戴防护设备，切断火势蔓延途径，及时撤离其他可燃物，控制燃烧范围；尽快采用灭火器、消防栓等进行灭火，把火势消灭在萌芽状态；判断着火面积，并能占领现场上风和侧风阵地，继续进行控制火势、灭火。</w:t>
                  </w:r>
                </w:p>
              </w:tc>
            </w:tr>
            <w:tr w14:paraId="0E6596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4697F73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医疗救护</w:t>
                  </w:r>
                </w:p>
              </w:tc>
              <w:tc>
                <w:tcPr>
                  <w:tcW w:w="4110" w:type="pct"/>
                  <w:noWrap w:val="0"/>
                  <w:vAlign w:val="center"/>
                </w:tcPr>
                <w:p w14:paraId="0F76663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若发生人员烧伤或中毒事故，医疗组佩戴好防护设备，及时转移受伤人员至安全地点，并实施应急救护，如有必要及时送伤员就医。</w:t>
                  </w:r>
                </w:p>
              </w:tc>
            </w:tr>
            <w:tr w14:paraId="1590DC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890" w:type="pct"/>
                  <w:noWrap w:val="0"/>
                  <w:vAlign w:val="center"/>
                </w:tcPr>
                <w:p w14:paraId="00A9FE0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环境监测</w:t>
                  </w:r>
                </w:p>
              </w:tc>
              <w:tc>
                <w:tcPr>
                  <w:tcW w:w="4110" w:type="pct"/>
                  <w:noWrap w:val="0"/>
                  <w:vAlign w:val="center"/>
                </w:tcPr>
                <w:p w14:paraId="12FAFD7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应急办公室协助专业人员对事故现场进行侦查监测，对事故性质、参数与后果进行评估，为指挥部门提供决策依据。</w:t>
                  </w:r>
                </w:p>
              </w:tc>
            </w:tr>
            <w:tr w14:paraId="0D7318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25B0DD5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应急终止</w:t>
                  </w:r>
                </w:p>
              </w:tc>
              <w:tc>
                <w:tcPr>
                  <w:tcW w:w="4110" w:type="pct"/>
                  <w:noWrap w:val="0"/>
                  <w:vAlign w:val="center"/>
                </w:tcPr>
                <w:p w14:paraId="2F351FD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当事件现场得到控制，事件条件已经消除，事件所造成的危害已经被彻底消除，无继发可能时应急终止。</w:t>
                  </w:r>
                </w:p>
              </w:tc>
            </w:tr>
            <w:tr w14:paraId="344BCD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3E8BC72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现场恢复</w:t>
                  </w:r>
                </w:p>
              </w:tc>
              <w:tc>
                <w:tcPr>
                  <w:tcW w:w="4110" w:type="pct"/>
                  <w:noWrap w:val="0"/>
                  <w:vAlign w:val="center"/>
                </w:tcPr>
                <w:p w14:paraId="428E1F2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火灾扑灭后，检查事故现场，消除隐患，清点损失，联系相关单位进行修复，恢复正常生产。</w:t>
                  </w:r>
                </w:p>
              </w:tc>
            </w:tr>
            <w:tr w14:paraId="539C78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20E643C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后续工作</w:t>
                  </w:r>
                </w:p>
              </w:tc>
              <w:tc>
                <w:tcPr>
                  <w:tcW w:w="4110" w:type="pct"/>
                  <w:noWrap w:val="0"/>
                  <w:vAlign w:val="center"/>
                </w:tcPr>
                <w:p w14:paraId="1BB1544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总指挥部调查了解事故发生的原因、过程、损失等情况，提出处理方案和整改措施，经济补偿受伤人员，对突发环境事件进行总结和事后污染评估。</w:t>
                  </w:r>
                </w:p>
              </w:tc>
            </w:tr>
            <w:tr w14:paraId="3161C2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890" w:type="pct"/>
                  <w:noWrap w:val="0"/>
                  <w:vAlign w:val="center"/>
                </w:tcPr>
                <w:p w14:paraId="77909A2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注意事项</w:t>
                  </w:r>
                </w:p>
              </w:tc>
              <w:tc>
                <w:tcPr>
                  <w:tcW w:w="4110" w:type="pct"/>
                  <w:noWrap w:val="0"/>
                  <w:vAlign w:val="center"/>
                </w:tcPr>
                <w:p w14:paraId="1057BD4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①现场处置以先抢救人、后抢救物为原则。</w:t>
                  </w:r>
                </w:p>
                <w:p w14:paraId="416E746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②抢救人员须穿戴好劳动防护用品，正确使用抢险救援器材。</w:t>
                  </w:r>
                </w:p>
                <w:p w14:paraId="04531C0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③遇火灾拨打119火警电话时，需告知火险情况、具体位置，并在厂房门口接应消防车。</w:t>
                  </w:r>
                </w:p>
                <w:p w14:paraId="08D6CC9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④现场应急救援应至少一名监护人员。</w:t>
                  </w:r>
                </w:p>
              </w:tc>
            </w:tr>
          </w:tbl>
          <w:p w14:paraId="495C2DDC">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eastAsia"/>
                <w:b/>
                <w:bCs w:val="0"/>
                <w:caps w:val="0"/>
                <w:color w:val="auto"/>
                <w:spacing w:val="0"/>
                <w:position w:val="0"/>
                <w:highlight w:val="none"/>
                <w:lang w:val="en-US" w:eastAsia="zh-CN"/>
              </w:rPr>
              <w:t>7</w:t>
            </w:r>
            <w:r>
              <w:rPr>
                <w:rFonts w:hint="default"/>
                <w:b/>
                <w:bCs w:val="0"/>
                <w:caps w:val="0"/>
                <w:color w:val="auto"/>
                <w:spacing w:val="0"/>
                <w:position w:val="0"/>
                <w:highlight w:val="none"/>
              </w:rPr>
              <w:t>.5、结论</w:t>
            </w:r>
          </w:p>
          <w:p w14:paraId="7B665409">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综上所述，项目环境风险潜势为Ⅰ，评价等级属于简单分析，总体上环境风险很小且易于控制，只要做好泄漏、火灾风险事故后的收集、灭火工作，环境风险影响范围主要在厂区内，对环境影响很小。</w:t>
            </w:r>
          </w:p>
          <w:p w14:paraId="718E013F">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eastAsia"/>
                <w:b/>
                <w:bCs w:val="0"/>
                <w:caps w:val="0"/>
                <w:color w:val="auto"/>
                <w:spacing w:val="0"/>
                <w:position w:val="0"/>
                <w:highlight w:val="none"/>
                <w:lang w:val="en-US" w:eastAsia="zh-CN"/>
              </w:rPr>
              <w:t>8</w:t>
            </w:r>
            <w:r>
              <w:rPr>
                <w:rFonts w:hint="default"/>
                <w:b/>
                <w:bCs w:val="0"/>
                <w:caps w:val="0"/>
                <w:color w:val="auto"/>
                <w:spacing w:val="0"/>
                <w:position w:val="0"/>
                <w:highlight w:val="none"/>
              </w:rPr>
              <w:t>、环境管理与监测计划</w:t>
            </w:r>
          </w:p>
          <w:p w14:paraId="769FB176">
            <w:pPr>
              <w:pStyle w:val="74"/>
              <w:keepNext w:val="0"/>
              <w:keepLines w:val="0"/>
              <w:suppressLineNumbers w:val="0"/>
              <w:bidi w:val="0"/>
              <w:spacing w:before="0" w:beforeAutospacing="0" w:after="0" w:afterAutospacing="0"/>
              <w:ind w:left="0" w:right="0"/>
              <w:rPr>
                <w:rFonts w:hint="eastAsia"/>
                <w:b/>
                <w:bCs w:val="0"/>
                <w:caps w:val="0"/>
                <w:color w:val="auto"/>
                <w:spacing w:val="0"/>
                <w:position w:val="0"/>
                <w:highlight w:val="none"/>
              </w:rPr>
            </w:pPr>
            <w:r>
              <w:rPr>
                <w:rFonts w:hint="eastAsia"/>
                <w:b/>
                <w:bCs w:val="0"/>
                <w:caps w:val="0"/>
                <w:color w:val="auto"/>
                <w:spacing w:val="0"/>
                <w:position w:val="0"/>
                <w:highlight w:val="none"/>
                <w:lang w:val="en-US" w:eastAsia="zh-CN"/>
              </w:rPr>
              <w:t>8</w:t>
            </w:r>
            <w:r>
              <w:rPr>
                <w:rFonts w:hint="eastAsia"/>
                <w:b/>
                <w:bCs w:val="0"/>
                <w:caps w:val="0"/>
                <w:color w:val="auto"/>
                <w:spacing w:val="0"/>
                <w:position w:val="0"/>
                <w:highlight w:val="none"/>
              </w:rPr>
              <w:t>.1环境管理体系</w:t>
            </w:r>
          </w:p>
          <w:p w14:paraId="566E0846">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环境保护的关键是环境管理，而实践证明企业的环境管理是企业管理的重要组成部分，它与企业计划、生产、质量、技术、财务等管理同等重要。它对促进环境效益、经济效益的提高，都起到了明显的作用。目前，环境管理已逐渐形成一项制度，任何一个可能造成较大环境影响的建设项目或一个可能造成较大环境影响的单位，都应设置一个环境管理机构，建立一套有效的环境管理办法，负责实施该项目或该单位的环境管理和监督。</w:t>
            </w:r>
          </w:p>
          <w:p w14:paraId="6A71C1D6">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环境管理的基本任务是以保护环境为目标，清洁生产为手段，发展生产与经济效益为目的。因此，必须加大环境管理力度，确保本公司“三废治理”的设施正常运转。使该公司建设在经济、环境、社会效益方面能够协调发展。</w:t>
            </w:r>
          </w:p>
          <w:p w14:paraId="4C7C63D9">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为保证环境管理任务的顺利实施，总经理既是该公司的法定负责人，又是公司控制污染、保护环境的法律责任人。</w:t>
            </w:r>
          </w:p>
          <w:p w14:paraId="77AF51F0">
            <w:pPr>
              <w:pStyle w:val="74"/>
              <w:keepNext w:val="0"/>
              <w:keepLines w:val="0"/>
              <w:suppressLineNumbers w:val="0"/>
              <w:bidi w:val="0"/>
              <w:spacing w:before="0" w:beforeAutospacing="0" w:after="0" w:afterAutospacing="0"/>
              <w:ind w:left="0" w:right="0"/>
              <w:rPr>
                <w:rFonts w:hint="eastAsia"/>
                <w:b/>
                <w:bCs w:val="0"/>
                <w:caps w:val="0"/>
                <w:color w:val="auto"/>
                <w:spacing w:val="0"/>
                <w:position w:val="0"/>
                <w:highlight w:val="none"/>
              </w:rPr>
            </w:pPr>
            <w:r>
              <w:rPr>
                <w:rFonts w:hint="eastAsia"/>
                <w:b/>
                <w:bCs w:val="0"/>
                <w:caps w:val="0"/>
                <w:color w:val="auto"/>
                <w:spacing w:val="0"/>
                <w:position w:val="0"/>
                <w:highlight w:val="none"/>
                <w:lang w:val="en-US" w:eastAsia="zh-CN"/>
              </w:rPr>
              <w:t>8</w:t>
            </w:r>
            <w:r>
              <w:rPr>
                <w:rFonts w:hint="eastAsia"/>
                <w:b/>
                <w:bCs w:val="0"/>
                <w:caps w:val="0"/>
                <w:color w:val="auto"/>
                <w:spacing w:val="0"/>
                <w:position w:val="0"/>
                <w:highlight w:val="none"/>
              </w:rPr>
              <w:t>.2环境管理机构及职责</w:t>
            </w:r>
          </w:p>
          <w:p w14:paraId="749E081A">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该项目常设的环境管理机构是环境保护办公室，设兼职环保管理人员1～2人，具体负责全公司的日常的环境管理和监督工作。环境保护办公室的主要职责是：</w:t>
            </w:r>
          </w:p>
          <w:p w14:paraId="54C031D6">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1）贯彻执行国家和地方的有关环保法律法规、政策和要求；</w:t>
            </w:r>
          </w:p>
          <w:p w14:paraId="37D4399C">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2）制定本公司的环境保护规划和年度目标计划，并组织实施；</w:t>
            </w:r>
          </w:p>
          <w:p w14:paraId="7E3FA291">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3）制定本公司的环境管理制度，并对实施情况进行监督、检查；</w:t>
            </w:r>
          </w:p>
          <w:p w14:paraId="525A7FA3">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4）制定本公司污染总量控制指标，环保设施运行指标，“三废”综合利用指标，污染事故率指标等各项考核指标，分解到车间，进行定量考评；</w:t>
            </w:r>
          </w:p>
          <w:p w14:paraId="68794C0C">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5）负责监督本公司“三同时”的执行情况。对本公司环境质量状况和各环保设施运行状况的例行监测和检查工作，并及时纠正违规行为；</w:t>
            </w:r>
          </w:p>
          <w:p w14:paraId="6FBFDC30">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6）组织或协调污染控制、“三废”综合利用、清洁生产等技术攻关课题研究，不断提高环境保护水平；</w:t>
            </w:r>
          </w:p>
          <w:p w14:paraId="4614F0E5">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7）负责污染事故的防范，应急处理和报告工作；</w:t>
            </w:r>
          </w:p>
          <w:p w14:paraId="7B2FA99A">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8）搞好环境保护宣传教育，组织环保技术培训、竞赛、评比等工作，增强全体员工环保意识和技能；</w:t>
            </w:r>
          </w:p>
          <w:p w14:paraId="1A8D4B23">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9）负责环保资料的收集、汇总、保管、归档工作；</w:t>
            </w:r>
          </w:p>
          <w:p w14:paraId="40D01E94">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10）完成公司环保委员会交办的其它工作；</w:t>
            </w:r>
          </w:p>
          <w:p w14:paraId="40C5393E">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11）负责领导公司环境监测室工作，指导车间环保小组工作；</w:t>
            </w:r>
          </w:p>
          <w:p w14:paraId="78BC9015">
            <w:pPr>
              <w:pStyle w:val="74"/>
              <w:keepNext w:val="0"/>
              <w:keepLines w:val="0"/>
              <w:suppressLineNumbers w:val="0"/>
              <w:bidi w:val="0"/>
              <w:spacing w:before="0" w:beforeAutospacing="0" w:after="0" w:afterAutospacing="0"/>
              <w:ind w:left="0" w:right="0"/>
              <w:rPr>
                <w:rFonts w:hint="eastAsia"/>
                <w:caps w:val="0"/>
                <w:color w:val="auto"/>
                <w:spacing w:val="0"/>
                <w:position w:val="0"/>
                <w:highlight w:val="none"/>
              </w:rPr>
            </w:pPr>
            <w:r>
              <w:rPr>
                <w:rFonts w:hint="eastAsia"/>
                <w:caps w:val="0"/>
                <w:color w:val="auto"/>
                <w:spacing w:val="0"/>
                <w:position w:val="0"/>
                <w:highlight w:val="none"/>
              </w:rPr>
              <w:t>12）对本公司的绿化工作进行监督管理，提出建议；</w:t>
            </w:r>
          </w:p>
          <w:p w14:paraId="2209BCC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eastAsia"/>
                <w:caps w:val="0"/>
                <w:color w:val="auto"/>
                <w:spacing w:val="0"/>
                <w:position w:val="0"/>
                <w:highlight w:val="none"/>
              </w:rPr>
              <w:t>13）负责与当地环保局的联络和沟通。</w:t>
            </w:r>
          </w:p>
          <w:p w14:paraId="01B3840E">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eastAsia"/>
                <w:b/>
                <w:bCs w:val="0"/>
                <w:caps w:val="0"/>
                <w:color w:val="auto"/>
                <w:spacing w:val="0"/>
                <w:position w:val="0"/>
                <w:highlight w:val="none"/>
                <w:lang w:val="en-US" w:eastAsia="zh-CN"/>
              </w:rPr>
              <w:t>8</w:t>
            </w:r>
            <w:r>
              <w:rPr>
                <w:rFonts w:hint="default"/>
                <w:b/>
                <w:bCs w:val="0"/>
                <w:caps w:val="0"/>
                <w:color w:val="auto"/>
                <w:spacing w:val="0"/>
                <w:position w:val="0"/>
                <w:highlight w:val="none"/>
              </w:rPr>
              <w:t>.3、环境监测计划</w:t>
            </w:r>
          </w:p>
          <w:p w14:paraId="6F2EB42D">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根据《排污许可证申请与核发技术规范总则》（HJ942-2018）、《排污许可证申请与核发技术规范废弃资源加工工业》（HJ1034）和《排污单位自行监测技术指南砖瓦工业》（HJ1254-2022）的相关规定，并结合本项目污染物的产排情况，提出本项目的污染物监测计划，详见下表。</w:t>
            </w:r>
          </w:p>
          <w:p w14:paraId="531DF1CB">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表4-</w:t>
            </w:r>
            <w:r>
              <w:rPr>
                <w:rFonts w:hint="eastAsia"/>
                <w:caps w:val="0"/>
                <w:color w:val="auto"/>
                <w:spacing w:val="0"/>
                <w:position w:val="0"/>
                <w:highlight w:val="none"/>
                <w:lang w:val="en-US" w:eastAsia="zh-CN"/>
              </w:rPr>
              <w:t>23</w:t>
            </w:r>
            <w:r>
              <w:rPr>
                <w:rFonts w:hint="default"/>
                <w:caps w:val="0"/>
                <w:color w:val="auto"/>
                <w:spacing w:val="0"/>
                <w:position w:val="0"/>
                <w:highlight w:val="none"/>
              </w:rPr>
              <w:t xml:space="preserve"> 污染源监测计划表</w:t>
            </w:r>
          </w:p>
          <w:tbl>
            <w:tblPr>
              <w:tblStyle w:val="23"/>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73"/>
              <w:gridCol w:w="1414"/>
              <w:gridCol w:w="1729"/>
              <w:gridCol w:w="1286"/>
              <w:gridCol w:w="2855"/>
            </w:tblGrid>
            <w:tr w14:paraId="722E59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noWrap w:val="0"/>
                  <w:vAlign w:val="center"/>
                </w:tcPr>
                <w:p w14:paraId="474968F4">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监测目的</w:t>
                  </w:r>
                </w:p>
              </w:tc>
              <w:tc>
                <w:tcPr>
                  <w:tcW w:w="1414" w:type="dxa"/>
                  <w:noWrap w:val="0"/>
                  <w:vAlign w:val="center"/>
                </w:tcPr>
                <w:p w14:paraId="2333D71E">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监测点位</w:t>
                  </w:r>
                </w:p>
              </w:tc>
              <w:tc>
                <w:tcPr>
                  <w:tcW w:w="1729" w:type="dxa"/>
                  <w:noWrap w:val="0"/>
                  <w:vAlign w:val="center"/>
                </w:tcPr>
                <w:p w14:paraId="7025508E">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监测指标</w:t>
                  </w:r>
                </w:p>
              </w:tc>
              <w:tc>
                <w:tcPr>
                  <w:tcW w:w="1286" w:type="dxa"/>
                  <w:noWrap w:val="0"/>
                  <w:vAlign w:val="center"/>
                </w:tcPr>
                <w:p w14:paraId="0E186DC1">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监测频次</w:t>
                  </w:r>
                </w:p>
              </w:tc>
              <w:tc>
                <w:tcPr>
                  <w:tcW w:w="2855" w:type="dxa"/>
                  <w:noWrap w:val="0"/>
                  <w:vAlign w:val="center"/>
                </w:tcPr>
                <w:p w14:paraId="1E1CE1B2">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执行排放标准</w:t>
                  </w:r>
                </w:p>
              </w:tc>
            </w:tr>
            <w:tr w14:paraId="784068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1073" w:type="dxa"/>
                  <w:noWrap w:val="0"/>
                  <w:vAlign w:val="center"/>
                </w:tcPr>
                <w:p w14:paraId="6B68A2A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噪声</w:t>
                  </w:r>
                </w:p>
              </w:tc>
              <w:tc>
                <w:tcPr>
                  <w:tcW w:w="1414" w:type="dxa"/>
                  <w:noWrap w:val="0"/>
                  <w:vAlign w:val="center"/>
                </w:tcPr>
                <w:p w14:paraId="4B630C2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厂界外1m</w:t>
                  </w:r>
                </w:p>
              </w:tc>
              <w:tc>
                <w:tcPr>
                  <w:tcW w:w="1729" w:type="dxa"/>
                  <w:noWrap w:val="0"/>
                  <w:vAlign w:val="center"/>
                </w:tcPr>
                <w:p w14:paraId="29042EB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等效连续A声级</w:t>
                  </w:r>
                </w:p>
              </w:tc>
              <w:tc>
                <w:tcPr>
                  <w:tcW w:w="1286" w:type="dxa"/>
                  <w:noWrap w:val="0"/>
                  <w:vAlign w:val="center"/>
                </w:tcPr>
                <w:p w14:paraId="1003432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1次/季度</w:t>
                  </w:r>
                </w:p>
              </w:tc>
              <w:tc>
                <w:tcPr>
                  <w:tcW w:w="2855" w:type="dxa"/>
                  <w:noWrap w:val="0"/>
                  <w:vAlign w:val="center"/>
                </w:tcPr>
                <w:p w14:paraId="217CAE2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《工业企业厂界环境噪声排放标准》（GB12348-2008）</w:t>
                  </w:r>
                  <w:r>
                    <w:rPr>
                      <w:rFonts w:hint="eastAsia"/>
                      <w:caps w:val="0"/>
                      <w:color w:val="auto"/>
                      <w:spacing w:val="0"/>
                      <w:position w:val="0"/>
                      <w:highlight w:val="none"/>
                      <w:lang w:val="en-US" w:eastAsia="zh-CN"/>
                    </w:rPr>
                    <w:t>2</w:t>
                  </w:r>
                  <w:r>
                    <w:rPr>
                      <w:rFonts w:hint="default"/>
                      <w:caps w:val="0"/>
                      <w:color w:val="auto"/>
                      <w:spacing w:val="0"/>
                      <w:position w:val="0"/>
                      <w:highlight w:val="none"/>
                    </w:rPr>
                    <w:t>类</w:t>
                  </w:r>
                </w:p>
              </w:tc>
            </w:tr>
            <w:tr w14:paraId="746A26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Merge w:val="restart"/>
                  <w:noWrap w:val="0"/>
                  <w:vAlign w:val="center"/>
                </w:tcPr>
                <w:p w14:paraId="1D3BD772">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废水</w:t>
                  </w:r>
                </w:p>
              </w:tc>
              <w:tc>
                <w:tcPr>
                  <w:tcW w:w="1414" w:type="dxa"/>
                  <w:noWrap w:val="0"/>
                  <w:vAlign w:val="center"/>
                </w:tcPr>
                <w:p w14:paraId="5D6C5053">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1#、2#、3#沉淀池、初期雨水池</w:t>
                  </w:r>
                </w:p>
              </w:tc>
              <w:tc>
                <w:tcPr>
                  <w:tcW w:w="1729" w:type="dxa"/>
                  <w:noWrap w:val="0"/>
                  <w:vAlign w:val="center"/>
                </w:tcPr>
                <w:p w14:paraId="2AAF9ABF">
                  <w:pPr>
                    <w:pStyle w:val="11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eastAsia="宋体"/>
                      <w:caps w:val="0"/>
                      <w:color w:val="auto"/>
                      <w:spacing w:val="0"/>
                      <w:position w:val="0"/>
                      <w:highlight w:val="none"/>
                      <w:lang w:val="en-US" w:eastAsia="zh-CN"/>
                    </w:rPr>
                  </w:pPr>
                  <w:r>
                    <w:rPr>
                      <w:rFonts w:hint="default" w:ascii="Times New Roman" w:hAnsi="Times New Roman" w:eastAsia="宋体" w:cs="Times New Roman"/>
                      <w:caps w:val="0"/>
                      <w:smallCaps w:val="0"/>
                      <w:color w:val="auto"/>
                      <w:spacing w:val="0"/>
                      <w:position w:val="0"/>
                      <w:sz w:val="21"/>
                      <w:highlight w:val="none"/>
                    </w:rPr>
                    <w:t>pH、COD</w:t>
                  </w:r>
                  <w:r>
                    <w:rPr>
                      <w:rFonts w:hint="default" w:ascii="Times New Roman" w:hAnsi="Times New Roman" w:eastAsia="宋体" w:cs="Times New Roman"/>
                      <w:caps w:val="0"/>
                      <w:smallCaps w:val="0"/>
                      <w:color w:val="auto"/>
                      <w:spacing w:val="0"/>
                      <w:position w:val="0"/>
                      <w:sz w:val="21"/>
                      <w:highlight w:val="none"/>
                      <w:vertAlign w:val="subscript"/>
                    </w:rPr>
                    <w:t>cr</w:t>
                  </w:r>
                  <w:r>
                    <w:rPr>
                      <w:rFonts w:hint="default" w:ascii="Times New Roman" w:hAnsi="Times New Roman" w:eastAsia="宋体" w:cs="Times New Roman"/>
                      <w:caps w:val="0"/>
                      <w:smallCaps w:val="0"/>
                      <w:color w:val="auto"/>
                      <w:spacing w:val="0"/>
                      <w:position w:val="0"/>
                      <w:sz w:val="21"/>
                      <w:highlight w:val="none"/>
                    </w:rPr>
                    <w:t>、</w:t>
                  </w:r>
                  <w:r>
                    <w:rPr>
                      <w:rFonts w:hint="default" w:ascii="Times New Roman" w:hAnsi="Times New Roman" w:eastAsia="宋体" w:cs="Times New Roman"/>
                      <w:caps w:val="0"/>
                      <w:smallCaps w:val="0"/>
                      <w:color w:val="auto"/>
                      <w:spacing w:val="0"/>
                      <w:kern w:val="0"/>
                      <w:position w:val="0"/>
                      <w:sz w:val="21"/>
                      <w:szCs w:val="21"/>
                      <w:highlight w:val="none"/>
                      <w:lang w:val="en-US" w:eastAsia="zh-CN" w:bidi="ar"/>
                    </w:rPr>
                    <w:t>BOD</w:t>
                  </w:r>
                  <w:r>
                    <w:rPr>
                      <w:rFonts w:hint="default" w:ascii="Times New Roman" w:hAnsi="Times New Roman" w:eastAsia="宋体" w:cs="Times New Roman"/>
                      <w:caps w:val="0"/>
                      <w:smallCaps w:val="0"/>
                      <w:color w:val="auto"/>
                      <w:spacing w:val="0"/>
                      <w:kern w:val="0"/>
                      <w:position w:val="0"/>
                      <w:sz w:val="21"/>
                      <w:szCs w:val="21"/>
                      <w:highlight w:val="none"/>
                      <w:vertAlign w:val="subscript"/>
                      <w:lang w:val="en-US" w:eastAsia="zh-CN" w:bidi="ar"/>
                    </w:rPr>
                    <w:t>5</w:t>
                  </w:r>
                  <w:r>
                    <w:rPr>
                      <w:rFonts w:hint="default" w:ascii="Times New Roman" w:hAnsi="Times New Roman" w:eastAsia="宋体" w:cs="Times New Roman"/>
                      <w:caps w:val="0"/>
                      <w:smallCaps w:val="0"/>
                      <w:color w:val="auto"/>
                      <w:spacing w:val="0"/>
                      <w:position w:val="0"/>
                      <w:sz w:val="21"/>
                      <w:highlight w:val="none"/>
                    </w:rPr>
                    <w:t>、NH</w:t>
                  </w:r>
                  <w:r>
                    <w:rPr>
                      <w:rFonts w:hint="default" w:ascii="Times New Roman" w:hAnsi="Times New Roman" w:eastAsia="宋体" w:cs="Times New Roman"/>
                      <w:caps w:val="0"/>
                      <w:smallCaps w:val="0"/>
                      <w:color w:val="auto"/>
                      <w:spacing w:val="0"/>
                      <w:position w:val="0"/>
                      <w:sz w:val="21"/>
                      <w:highlight w:val="none"/>
                      <w:vertAlign w:val="subscript"/>
                    </w:rPr>
                    <w:t>3</w:t>
                  </w:r>
                  <w:r>
                    <w:rPr>
                      <w:rFonts w:hint="default" w:ascii="Times New Roman" w:hAnsi="Times New Roman" w:eastAsia="宋体" w:cs="Times New Roman"/>
                      <w:caps w:val="0"/>
                      <w:smallCaps w:val="0"/>
                      <w:color w:val="auto"/>
                      <w:spacing w:val="0"/>
                      <w:position w:val="0"/>
                      <w:sz w:val="21"/>
                      <w:highlight w:val="none"/>
                    </w:rPr>
                    <w:t>-N</w:t>
                  </w:r>
                  <w:r>
                    <w:rPr>
                      <w:rFonts w:hint="default" w:ascii="Times New Roman" w:hAnsi="Times New Roman" w:eastAsia="宋体" w:cs="Times New Roman"/>
                      <w:caps w:val="0"/>
                      <w:smallCaps w:val="0"/>
                      <w:color w:val="auto"/>
                      <w:spacing w:val="0"/>
                      <w:position w:val="0"/>
                      <w:sz w:val="21"/>
                      <w:highlight w:val="none"/>
                      <w:lang w:eastAsia="zh-CN"/>
                    </w:rPr>
                    <w:t>、</w:t>
                  </w:r>
                  <w:r>
                    <w:rPr>
                      <w:rFonts w:hint="default" w:ascii="Times New Roman" w:hAnsi="Times New Roman" w:eastAsia="宋体" w:cs="Times New Roman"/>
                      <w:caps w:val="0"/>
                      <w:smallCaps w:val="0"/>
                      <w:color w:val="auto"/>
                      <w:spacing w:val="0"/>
                      <w:position w:val="0"/>
                      <w:sz w:val="21"/>
                      <w:highlight w:val="none"/>
                      <w:lang w:val="en-US" w:eastAsia="zh-CN"/>
                    </w:rPr>
                    <w:t>SS、</w:t>
                  </w:r>
                  <w:r>
                    <w:rPr>
                      <w:rFonts w:hint="default" w:ascii="Times New Roman" w:hAnsi="Times New Roman" w:eastAsia="宋体" w:cs="Times New Roman"/>
                      <w:caps w:val="0"/>
                      <w:smallCaps w:val="0"/>
                      <w:color w:val="auto"/>
                      <w:spacing w:val="0"/>
                      <w:position w:val="0"/>
                      <w:sz w:val="21"/>
                      <w:highlight w:val="none"/>
                    </w:rPr>
                    <w:t>氟化物</w:t>
                  </w:r>
                  <w:r>
                    <w:rPr>
                      <w:rFonts w:hint="default" w:ascii="Times New Roman" w:hAnsi="Times New Roman" w:eastAsia="宋体" w:cs="Times New Roman"/>
                      <w:caps w:val="0"/>
                      <w:smallCaps w:val="0"/>
                      <w:color w:val="auto"/>
                      <w:spacing w:val="0"/>
                      <w:position w:val="0"/>
                      <w:sz w:val="21"/>
                      <w:highlight w:val="none"/>
                      <w:lang w:eastAsia="zh-CN"/>
                    </w:rPr>
                    <w:t>、</w:t>
                  </w:r>
                  <w:r>
                    <w:rPr>
                      <w:rFonts w:hint="default" w:ascii="Times New Roman" w:hAnsi="Times New Roman" w:eastAsia="宋体" w:cs="Times New Roman"/>
                      <w:caps w:val="0"/>
                      <w:smallCaps w:val="0"/>
                      <w:color w:val="auto"/>
                      <w:spacing w:val="0"/>
                      <w:position w:val="0"/>
                      <w:sz w:val="21"/>
                      <w:highlight w:val="none"/>
                      <w:lang w:val="en-US" w:eastAsia="zh-CN"/>
                    </w:rPr>
                    <w:t>铊、铍</w:t>
                  </w:r>
                </w:p>
              </w:tc>
              <w:tc>
                <w:tcPr>
                  <w:tcW w:w="1286" w:type="dxa"/>
                  <w:noWrap w:val="0"/>
                  <w:vAlign w:val="center"/>
                </w:tcPr>
                <w:p w14:paraId="54BE01F1">
                  <w:pPr>
                    <w:pStyle w:val="112"/>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caps w:val="0"/>
                      <w:color w:val="auto"/>
                      <w:spacing w:val="0"/>
                      <w:position w:val="0"/>
                      <w:highlight w:val="none"/>
                    </w:rPr>
                  </w:pPr>
                  <w:r>
                    <w:rPr>
                      <w:rFonts w:hint="default" w:ascii="Times New Roman" w:hAnsi="Times New Roman" w:eastAsia="宋体" w:cs="Times New Roman"/>
                      <w:caps w:val="0"/>
                      <w:color w:val="auto"/>
                      <w:spacing w:val="0"/>
                      <w:position w:val="0"/>
                      <w:sz w:val="21"/>
                      <w:szCs w:val="21"/>
                      <w:highlight w:val="none"/>
                    </w:rPr>
                    <w:t>1次/月</w:t>
                  </w:r>
                </w:p>
              </w:tc>
              <w:tc>
                <w:tcPr>
                  <w:tcW w:w="2855" w:type="dxa"/>
                  <w:noWrap w:val="0"/>
                  <w:vAlign w:val="center"/>
                </w:tcPr>
                <w:p w14:paraId="04EC23A2">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rPr>
                  </w:pPr>
                  <w:r>
                    <w:rPr>
                      <w:rFonts w:hint="eastAsia" w:eastAsia="宋体"/>
                      <w:caps w:val="0"/>
                      <w:color w:val="auto"/>
                      <w:spacing w:val="0"/>
                      <w:position w:val="0"/>
                      <w:highlight w:val="none"/>
                      <w:lang w:eastAsia="zh-CN"/>
                    </w:rPr>
                    <w:t>《城市污水再生利用工业用水水质》（GB/T19923-2024）、</w:t>
                  </w:r>
                  <w:r>
                    <w:rPr>
                      <w:rFonts w:hint="eastAsia"/>
                      <w:caps w:val="0"/>
                      <w:color w:val="auto"/>
                      <w:spacing w:val="0"/>
                      <w:position w:val="0"/>
                      <w:highlight w:val="none"/>
                      <w:lang w:eastAsia="zh-CN"/>
                    </w:rPr>
                    <w:t>《无机化学工业污染物排放标准》（GB31573-2015）修改单</w:t>
                  </w:r>
                  <w:r>
                    <w:rPr>
                      <w:rFonts w:hint="default"/>
                      <w:caps w:val="0"/>
                      <w:color w:val="auto"/>
                      <w:spacing w:val="0"/>
                      <w:position w:val="0"/>
                      <w:highlight w:val="none"/>
                    </w:rPr>
                    <w:t>和《工业废水铊污染物排放标准》（DB36/1149-2019）</w:t>
                  </w:r>
                </w:p>
              </w:tc>
            </w:tr>
            <w:tr w14:paraId="2D09AC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073" w:type="dxa"/>
                  <w:vMerge w:val="continue"/>
                  <w:noWrap w:val="0"/>
                  <w:vAlign w:val="center"/>
                </w:tcPr>
                <w:p w14:paraId="401B2179">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p>
              </w:tc>
              <w:tc>
                <w:tcPr>
                  <w:tcW w:w="1414" w:type="dxa"/>
                  <w:vMerge w:val="restart"/>
                  <w:noWrap w:val="0"/>
                  <w:vAlign w:val="center"/>
                </w:tcPr>
                <w:p w14:paraId="51B847C0">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雨水排放口</w:t>
                  </w:r>
                </w:p>
              </w:tc>
              <w:tc>
                <w:tcPr>
                  <w:tcW w:w="1729" w:type="dxa"/>
                  <w:noWrap w:val="0"/>
                  <w:vAlign w:val="center"/>
                </w:tcPr>
                <w:p w14:paraId="0AAF8A8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ascii="Times New Roman" w:hAnsi="Times New Roman" w:eastAsia="宋体" w:cs="Times New Roman"/>
                      <w:caps w:val="0"/>
                      <w:color w:val="auto"/>
                      <w:spacing w:val="0"/>
                      <w:position w:val="0"/>
                      <w:sz w:val="21"/>
                      <w:szCs w:val="21"/>
                      <w:highlight w:val="none"/>
                    </w:rPr>
                    <w:t>pH、COD</w:t>
                  </w:r>
                  <w:r>
                    <w:rPr>
                      <w:rFonts w:hint="default" w:ascii="Times New Roman" w:hAnsi="Times New Roman" w:eastAsia="宋体" w:cs="Times New Roman"/>
                      <w:caps w:val="0"/>
                      <w:color w:val="auto"/>
                      <w:spacing w:val="0"/>
                      <w:position w:val="0"/>
                      <w:sz w:val="21"/>
                      <w:szCs w:val="21"/>
                      <w:highlight w:val="none"/>
                      <w:vertAlign w:val="subscript"/>
                    </w:rPr>
                    <w:t>Cr</w:t>
                  </w:r>
                  <w:r>
                    <w:rPr>
                      <w:rFonts w:hint="default" w:ascii="Times New Roman" w:hAnsi="Times New Roman" w:eastAsia="宋体" w:cs="Times New Roman"/>
                      <w:caps w:val="0"/>
                      <w:color w:val="auto"/>
                      <w:spacing w:val="0"/>
                      <w:position w:val="0"/>
                      <w:sz w:val="21"/>
                      <w:szCs w:val="21"/>
                      <w:highlight w:val="none"/>
                    </w:rPr>
                    <w:t>、</w:t>
                  </w:r>
                  <w:r>
                    <w:rPr>
                      <w:rFonts w:hint="default" w:ascii="Times New Roman" w:hAnsi="Times New Roman" w:eastAsia="宋体" w:cs="Times New Roman"/>
                      <w:caps w:val="0"/>
                      <w:color w:val="auto"/>
                      <w:spacing w:val="0"/>
                      <w:position w:val="0"/>
                      <w:sz w:val="21"/>
                      <w:szCs w:val="21"/>
                      <w:highlight w:val="none"/>
                      <w:lang w:val="en-US" w:eastAsia="zh-CN"/>
                    </w:rPr>
                    <w:t>氨氮</w:t>
                  </w:r>
                </w:p>
              </w:tc>
              <w:tc>
                <w:tcPr>
                  <w:tcW w:w="1286" w:type="dxa"/>
                  <w:noWrap w:val="0"/>
                  <w:vAlign w:val="center"/>
                </w:tcPr>
                <w:p w14:paraId="12577893">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default" w:ascii="Times New Roman" w:hAnsi="Times New Roman" w:eastAsia="宋体" w:cs="Times New Roman"/>
                      <w:caps w:val="0"/>
                      <w:color w:val="auto"/>
                      <w:spacing w:val="0"/>
                      <w:position w:val="0"/>
                      <w:sz w:val="21"/>
                      <w:szCs w:val="21"/>
                      <w:highlight w:val="none"/>
                    </w:rPr>
                    <w:t>1次/月</w:t>
                  </w:r>
                  <w:r>
                    <w:rPr>
                      <w:rFonts w:hint="default" w:ascii="Times New Roman" w:hAnsi="Times New Roman" w:eastAsia="宋体" w:cs="Times New Roman"/>
                      <w:caps w:val="0"/>
                      <w:color w:val="auto"/>
                      <w:spacing w:val="0"/>
                      <w:position w:val="0"/>
                      <w:sz w:val="21"/>
                      <w:szCs w:val="21"/>
                      <w:highlight w:val="none"/>
                      <w:lang w:eastAsia="zh-CN"/>
                    </w:rPr>
                    <w:t>（有流动水排放时，无异常情况可放宽至每季度一次）</w:t>
                  </w:r>
                </w:p>
              </w:tc>
              <w:tc>
                <w:tcPr>
                  <w:tcW w:w="2855" w:type="dxa"/>
                  <w:noWrap w:val="0"/>
                  <w:vAlign w:val="center"/>
                </w:tcPr>
                <w:p w14:paraId="2C2D4808">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ascii="Times New Roman" w:hAnsi="Times New Roman" w:eastAsia="宋体"/>
                      <w:caps w:val="0"/>
                      <w:color w:val="auto"/>
                      <w:spacing w:val="0"/>
                      <w:position w:val="0"/>
                      <w:highlight w:val="none"/>
                      <w:lang w:val="en-US" w:eastAsia="zh-CN"/>
                    </w:rPr>
                    <w:t>/</w:t>
                  </w:r>
                </w:p>
              </w:tc>
            </w:tr>
            <w:tr w14:paraId="23DB3D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Merge w:val="continue"/>
                  <w:noWrap w:val="0"/>
                  <w:vAlign w:val="center"/>
                </w:tcPr>
                <w:p w14:paraId="14CEE1E1">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p>
              </w:tc>
              <w:tc>
                <w:tcPr>
                  <w:tcW w:w="1414" w:type="dxa"/>
                  <w:vMerge w:val="continue"/>
                  <w:noWrap w:val="0"/>
                  <w:vAlign w:val="center"/>
                </w:tcPr>
                <w:p w14:paraId="51391E9C">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p>
              </w:tc>
              <w:tc>
                <w:tcPr>
                  <w:tcW w:w="1729" w:type="dxa"/>
                  <w:noWrap w:val="0"/>
                  <w:vAlign w:val="center"/>
                </w:tcPr>
                <w:p w14:paraId="72209CE8">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default"/>
                      <w:caps w:val="0"/>
                      <w:color w:val="auto"/>
                      <w:spacing w:val="0"/>
                      <w:position w:val="0"/>
                      <w:highlight w:val="none"/>
                    </w:rPr>
                    <w:t>氟化物、铊</w:t>
                  </w:r>
                </w:p>
              </w:tc>
              <w:tc>
                <w:tcPr>
                  <w:tcW w:w="1286" w:type="dxa"/>
                  <w:noWrap w:val="0"/>
                  <w:vAlign w:val="center"/>
                </w:tcPr>
                <w:p w14:paraId="7A47F75A">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自动监测</w:t>
                  </w:r>
                </w:p>
              </w:tc>
              <w:tc>
                <w:tcPr>
                  <w:tcW w:w="2855" w:type="dxa"/>
                  <w:noWrap w:val="0"/>
                  <w:vAlign w:val="center"/>
                </w:tcPr>
                <w:p w14:paraId="6AA986A3">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rPr>
                    <w:t>铊预警限值浓度为</w:t>
                  </w:r>
                  <w:r>
                    <w:rPr>
                      <w:rFonts w:hint="eastAsia"/>
                      <w:caps w:val="0"/>
                      <w:color w:val="auto"/>
                      <w:spacing w:val="0"/>
                      <w:position w:val="0"/>
                      <w:highlight w:val="none"/>
                      <w:lang w:val="en-US" w:eastAsia="zh-CN"/>
                    </w:rPr>
                    <w:t>5</w:t>
                  </w:r>
                  <w:r>
                    <w:rPr>
                      <w:rFonts w:hint="eastAsia"/>
                      <w:caps w:val="0"/>
                      <w:color w:val="auto"/>
                      <w:spacing w:val="0"/>
                      <w:position w:val="0"/>
                      <w:highlight w:val="none"/>
                    </w:rPr>
                    <w:t>μg/L（参照《工业废水铊污染物排放标准》（DB36/1149-2019）标准排放限值），氟化物预警限值浓度为2mg/L（参照</w:t>
                  </w:r>
                  <w:r>
                    <w:rPr>
                      <w:rFonts w:hint="eastAsia"/>
                      <w:caps w:val="0"/>
                      <w:color w:val="auto"/>
                      <w:spacing w:val="0"/>
                      <w:position w:val="0"/>
                      <w:highlight w:val="none"/>
                      <w:lang w:eastAsia="zh-CN"/>
                    </w:rPr>
                    <w:t>《无机化学工业污染物排放标准》（GB31573-2015）修改单</w:t>
                  </w:r>
                  <w:r>
                    <w:rPr>
                      <w:rFonts w:hint="eastAsia"/>
                      <w:caps w:val="0"/>
                      <w:color w:val="auto"/>
                      <w:spacing w:val="0"/>
                      <w:position w:val="0"/>
                      <w:highlight w:val="none"/>
                    </w:rPr>
                    <w:t>的水污染物排放限值）</w:t>
                  </w:r>
                </w:p>
              </w:tc>
            </w:tr>
            <w:tr w14:paraId="14C2C4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Merge w:val="restart"/>
                  <w:noWrap w:val="0"/>
                  <w:vAlign w:val="center"/>
                </w:tcPr>
                <w:p w14:paraId="22B80E0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废气</w:t>
                  </w:r>
                </w:p>
              </w:tc>
              <w:tc>
                <w:tcPr>
                  <w:tcW w:w="1414" w:type="dxa"/>
                  <w:vMerge w:val="restart"/>
                  <w:noWrap w:val="0"/>
                  <w:vAlign w:val="center"/>
                </w:tcPr>
                <w:p w14:paraId="07BA3AE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排气筒</w:t>
                  </w:r>
                  <w:r>
                    <w:rPr>
                      <w:rFonts w:hint="eastAsia"/>
                      <w:caps w:val="0"/>
                      <w:color w:val="auto"/>
                      <w:spacing w:val="0"/>
                      <w:position w:val="0"/>
                      <w:highlight w:val="none"/>
                      <w:lang w:val="en-US" w:eastAsia="zh-CN"/>
                    </w:rPr>
                    <w:t>DA001</w:t>
                  </w:r>
                </w:p>
              </w:tc>
              <w:tc>
                <w:tcPr>
                  <w:tcW w:w="1729" w:type="dxa"/>
                  <w:noWrap w:val="0"/>
                  <w:vAlign w:val="center"/>
                </w:tcPr>
                <w:p w14:paraId="69D5C25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颗粒物</w:t>
                  </w:r>
                </w:p>
              </w:tc>
              <w:tc>
                <w:tcPr>
                  <w:tcW w:w="1286" w:type="dxa"/>
                  <w:noWrap w:val="0"/>
                  <w:vAlign w:val="center"/>
                </w:tcPr>
                <w:p w14:paraId="68C2E1D3">
                  <w:pPr>
                    <w:pStyle w:val="28"/>
                    <w:keepNext w:val="0"/>
                    <w:keepLines w:val="0"/>
                    <w:suppressLineNumbers w:val="0"/>
                    <w:bidi w:val="0"/>
                    <w:spacing w:beforeAutospacing="0" w:afterAutospacing="0"/>
                    <w:ind w:left="0" w:right="0"/>
                    <w:rPr>
                      <w:rFonts w:hint="eastAsia"/>
                      <w:caps w:val="0"/>
                      <w:color w:val="auto"/>
                      <w:spacing w:val="0"/>
                      <w:position w:val="0"/>
                      <w:highlight w:val="none"/>
                      <w:lang w:eastAsia="zh-CN"/>
                    </w:rPr>
                  </w:pPr>
                  <w:r>
                    <w:rPr>
                      <w:rFonts w:hint="default"/>
                      <w:caps w:val="0"/>
                      <w:color w:val="auto"/>
                      <w:spacing w:val="0"/>
                      <w:position w:val="0"/>
                      <w:highlight w:val="none"/>
                    </w:rPr>
                    <w:t>1次/</w:t>
                  </w:r>
                  <w:r>
                    <w:rPr>
                      <w:rFonts w:hint="eastAsia"/>
                      <w:caps w:val="0"/>
                      <w:color w:val="auto"/>
                      <w:spacing w:val="0"/>
                      <w:position w:val="0"/>
                      <w:highlight w:val="none"/>
                      <w:lang w:val="en-US" w:eastAsia="zh-CN"/>
                    </w:rPr>
                    <w:t>月</w:t>
                  </w:r>
                </w:p>
              </w:tc>
              <w:tc>
                <w:tcPr>
                  <w:tcW w:w="2855" w:type="dxa"/>
                  <w:noWrap w:val="0"/>
                  <w:vAlign w:val="center"/>
                </w:tcPr>
                <w:p w14:paraId="7D527E0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《水泥工业大气污染物排放标准》（GB4915-2013）</w:t>
                  </w:r>
                  <w:r>
                    <w:rPr>
                      <w:rFonts w:hint="default"/>
                      <w:caps w:val="0"/>
                      <w:color w:val="auto"/>
                      <w:spacing w:val="0"/>
                      <w:position w:val="0"/>
                      <w:highlight w:val="none"/>
                    </w:rPr>
                    <w:t>表1</w:t>
                  </w:r>
                </w:p>
              </w:tc>
            </w:tr>
            <w:tr w14:paraId="015499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Merge w:val="continue"/>
                  <w:noWrap w:val="0"/>
                  <w:vAlign w:val="center"/>
                </w:tcPr>
                <w:p w14:paraId="4040DC52">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414" w:type="dxa"/>
                  <w:vMerge w:val="continue"/>
                  <w:noWrap w:val="0"/>
                  <w:vAlign w:val="center"/>
                </w:tcPr>
                <w:p w14:paraId="39C23EE1">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729" w:type="dxa"/>
                  <w:shd w:val="clear" w:color="auto" w:fill="auto"/>
                  <w:noWrap w:val="0"/>
                  <w:vAlign w:val="center"/>
                </w:tcPr>
                <w:p w14:paraId="599672A0">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rPr>
                    <w:t>铊及其化合物</w:t>
                  </w:r>
                </w:p>
              </w:tc>
              <w:tc>
                <w:tcPr>
                  <w:tcW w:w="1286" w:type="dxa"/>
                  <w:shd w:val="clear" w:color="auto" w:fill="auto"/>
                  <w:noWrap w:val="0"/>
                  <w:vAlign w:val="center"/>
                </w:tcPr>
                <w:p w14:paraId="6E4D8E4F">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1次/</w:t>
                  </w:r>
                  <w:r>
                    <w:rPr>
                      <w:rFonts w:hint="eastAsia"/>
                      <w:caps w:val="0"/>
                      <w:color w:val="auto"/>
                      <w:spacing w:val="0"/>
                      <w:position w:val="0"/>
                      <w:highlight w:val="none"/>
                    </w:rPr>
                    <w:t>月</w:t>
                  </w:r>
                </w:p>
              </w:tc>
              <w:tc>
                <w:tcPr>
                  <w:tcW w:w="2855" w:type="dxa"/>
                  <w:shd w:val="clear" w:color="auto" w:fill="auto"/>
                  <w:noWrap w:val="0"/>
                  <w:vAlign w:val="center"/>
                </w:tcPr>
                <w:p w14:paraId="143B69AD">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eastAsia="zh-CN"/>
                    </w:rPr>
                    <w:t>《无机化学工业污染物排放标准》（GB31573-2015）修改单</w:t>
                  </w:r>
                </w:p>
              </w:tc>
            </w:tr>
            <w:tr w14:paraId="148D4F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Merge w:val="continue"/>
                  <w:noWrap w:val="0"/>
                  <w:vAlign w:val="center"/>
                </w:tcPr>
                <w:p w14:paraId="7C0F353A">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414" w:type="dxa"/>
                  <w:vMerge w:val="continue"/>
                  <w:noWrap w:val="0"/>
                  <w:vAlign w:val="center"/>
                </w:tcPr>
                <w:p w14:paraId="153857D7">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729" w:type="dxa"/>
                  <w:shd w:val="clear" w:color="auto" w:fill="auto"/>
                  <w:noWrap w:val="0"/>
                  <w:vAlign w:val="center"/>
                </w:tcPr>
                <w:p w14:paraId="552021AC">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rPr>
                    <w:t>氟化物</w:t>
                  </w:r>
                </w:p>
              </w:tc>
              <w:tc>
                <w:tcPr>
                  <w:tcW w:w="1286" w:type="dxa"/>
                  <w:shd w:val="clear" w:color="auto" w:fill="auto"/>
                  <w:noWrap w:val="0"/>
                  <w:vAlign w:val="center"/>
                </w:tcPr>
                <w:p w14:paraId="05BAAE04">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1次/</w:t>
                  </w:r>
                  <w:r>
                    <w:rPr>
                      <w:rFonts w:hint="eastAsia"/>
                      <w:caps w:val="0"/>
                      <w:color w:val="auto"/>
                      <w:spacing w:val="0"/>
                      <w:position w:val="0"/>
                      <w:highlight w:val="none"/>
                    </w:rPr>
                    <w:t>月</w:t>
                  </w:r>
                </w:p>
              </w:tc>
              <w:tc>
                <w:tcPr>
                  <w:tcW w:w="2855" w:type="dxa"/>
                  <w:shd w:val="clear" w:color="auto" w:fill="auto"/>
                  <w:noWrap w:val="0"/>
                  <w:vAlign w:val="center"/>
                </w:tcPr>
                <w:p w14:paraId="199759E8">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eastAsia="zh-CN"/>
                    </w:rPr>
                    <w:t>《无机化学工业污染物排放标准》（GB31573-2015）修改单</w:t>
                  </w:r>
                </w:p>
              </w:tc>
            </w:tr>
            <w:tr w14:paraId="2895BB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Merge w:val="continue"/>
                  <w:noWrap w:val="0"/>
                  <w:vAlign w:val="center"/>
                </w:tcPr>
                <w:p w14:paraId="77FBD567">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414" w:type="dxa"/>
                  <w:vMerge w:val="continue"/>
                  <w:noWrap w:val="0"/>
                  <w:vAlign w:val="center"/>
                </w:tcPr>
                <w:p w14:paraId="7154CAD4">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729" w:type="dxa"/>
                  <w:shd w:val="clear" w:color="auto" w:fill="auto"/>
                  <w:noWrap w:val="0"/>
                  <w:vAlign w:val="center"/>
                </w:tcPr>
                <w:p w14:paraId="702FE6B0">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rPr>
                    <w:t>铍及其化合物</w:t>
                  </w:r>
                </w:p>
              </w:tc>
              <w:tc>
                <w:tcPr>
                  <w:tcW w:w="1286" w:type="dxa"/>
                  <w:shd w:val="clear" w:color="auto" w:fill="auto"/>
                  <w:noWrap w:val="0"/>
                  <w:vAlign w:val="center"/>
                </w:tcPr>
                <w:p w14:paraId="14D80D9F">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caps w:val="0"/>
                      <w:color w:val="auto"/>
                      <w:spacing w:val="0"/>
                      <w:position w:val="0"/>
                      <w:highlight w:val="none"/>
                    </w:rPr>
                    <w:t>1次/</w:t>
                  </w:r>
                  <w:r>
                    <w:rPr>
                      <w:rFonts w:hint="eastAsia"/>
                      <w:caps w:val="0"/>
                      <w:color w:val="auto"/>
                      <w:spacing w:val="0"/>
                      <w:position w:val="0"/>
                      <w:highlight w:val="none"/>
                    </w:rPr>
                    <w:t>月</w:t>
                  </w:r>
                </w:p>
              </w:tc>
              <w:tc>
                <w:tcPr>
                  <w:tcW w:w="2855" w:type="dxa"/>
                  <w:shd w:val="clear" w:color="auto" w:fill="auto"/>
                  <w:noWrap w:val="0"/>
                  <w:vAlign w:val="center"/>
                </w:tcPr>
                <w:p w14:paraId="74DC9787">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rPr>
                    <w:t>《大气污染物综合排放标准》（GB16297-1996）</w:t>
                  </w:r>
                </w:p>
              </w:tc>
            </w:tr>
            <w:tr w14:paraId="25BAF5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Merge w:val="continue"/>
                  <w:noWrap w:val="0"/>
                  <w:vAlign w:val="center"/>
                </w:tcPr>
                <w:p w14:paraId="05F8AB7F">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414" w:type="dxa"/>
                  <w:noWrap w:val="0"/>
                  <w:vAlign w:val="center"/>
                </w:tcPr>
                <w:p w14:paraId="11CDA611">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default"/>
                      <w:caps w:val="0"/>
                      <w:color w:val="auto"/>
                      <w:spacing w:val="0"/>
                      <w:position w:val="0"/>
                      <w:highlight w:val="none"/>
                    </w:rPr>
                    <w:t>厂</w:t>
                  </w:r>
                  <w:r>
                    <w:rPr>
                      <w:rFonts w:hint="eastAsia"/>
                      <w:caps w:val="0"/>
                      <w:color w:val="auto"/>
                      <w:spacing w:val="0"/>
                      <w:position w:val="0"/>
                      <w:highlight w:val="none"/>
                    </w:rPr>
                    <w:t>界</w:t>
                  </w:r>
                </w:p>
              </w:tc>
              <w:tc>
                <w:tcPr>
                  <w:tcW w:w="1729" w:type="dxa"/>
                  <w:noWrap w:val="0"/>
                  <w:vAlign w:val="center"/>
                </w:tcPr>
                <w:p w14:paraId="71323A1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颗粒物</w:t>
                  </w:r>
                </w:p>
              </w:tc>
              <w:tc>
                <w:tcPr>
                  <w:tcW w:w="1286" w:type="dxa"/>
                  <w:noWrap w:val="0"/>
                  <w:vAlign w:val="center"/>
                </w:tcPr>
                <w:p w14:paraId="50C9E6F0">
                  <w:pPr>
                    <w:pStyle w:val="28"/>
                    <w:keepNext w:val="0"/>
                    <w:keepLines w:val="0"/>
                    <w:suppressLineNumbers w:val="0"/>
                    <w:bidi w:val="0"/>
                    <w:spacing w:beforeAutospacing="0" w:afterAutospacing="0"/>
                    <w:ind w:left="0" w:right="0"/>
                    <w:rPr>
                      <w:rFonts w:hint="eastAsia"/>
                      <w:caps w:val="0"/>
                      <w:color w:val="auto"/>
                      <w:spacing w:val="0"/>
                      <w:position w:val="0"/>
                      <w:highlight w:val="none"/>
                      <w:lang w:eastAsia="zh-CN"/>
                    </w:rPr>
                  </w:pPr>
                  <w:r>
                    <w:rPr>
                      <w:rFonts w:hint="default"/>
                      <w:caps w:val="0"/>
                      <w:color w:val="auto"/>
                      <w:spacing w:val="0"/>
                      <w:position w:val="0"/>
                      <w:highlight w:val="none"/>
                    </w:rPr>
                    <w:t>1次/</w:t>
                  </w:r>
                  <w:r>
                    <w:rPr>
                      <w:rFonts w:hint="eastAsia"/>
                      <w:caps w:val="0"/>
                      <w:color w:val="auto"/>
                      <w:spacing w:val="0"/>
                      <w:position w:val="0"/>
                      <w:highlight w:val="none"/>
                      <w:lang w:val="en-US" w:eastAsia="zh-CN"/>
                    </w:rPr>
                    <w:t>年</w:t>
                  </w:r>
                </w:p>
              </w:tc>
              <w:tc>
                <w:tcPr>
                  <w:tcW w:w="2855" w:type="dxa"/>
                  <w:noWrap w:val="0"/>
                  <w:vAlign w:val="center"/>
                </w:tcPr>
                <w:p w14:paraId="3A5EF2F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《水泥工业大气污染物排放标准》（GB4915-2013）表3大气污染物无组织排放限值</w:t>
                  </w:r>
                </w:p>
              </w:tc>
            </w:tr>
            <w:tr w14:paraId="6DC5DA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noWrap w:val="0"/>
                  <w:vAlign w:val="center"/>
                </w:tcPr>
                <w:p w14:paraId="54C32878">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地下水</w:t>
                  </w:r>
                </w:p>
              </w:tc>
              <w:tc>
                <w:tcPr>
                  <w:tcW w:w="1414" w:type="dxa"/>
                  <w:noWrap w:val="0"/>
                  <w:vAlign w:val="center"/>
                </w:tcPr>
                <w:p w14:paraId="4A5E2F63">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1、2、3#地下水井</w:t>
                  </w:r>
                </w:p>
              </w:tc>
              <w:tc>
                <w:tcPr>
                  <w:tcW w:w="1729" w:type="dxa"/>
                  <w:noWrap w:val="0"/>
                  <w:vAlign w:val="center"/>
                </w:tcPr>
                <w:p w14:paraId="2F0FC3A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rPr>
                    <w:t>铊、铍、氟化物</w:t>
                  </w:r>
                </w:p>
              </w:tc>
              <w:tc>
                <w:tcPr>
                  <w:tcW w:w="1286" w:type="dxa"/>
                  <w:noWrap w:val="0"/>
                  <w:vAlign w:val="center"/>
                </w:tcPr>
                <w:p w14:paraId="1736B48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1次/季度</w:t>
                  </w:r>
                </w:p>
              </w:tc>
              <w:tc>
                <w:tcPr>
                  <w:tcW w:w="2855" w:type="dxa"/>
                  <w:noWrap w:val="0"/>
                  <w:vAlign w:val="center"/>
                </w:tcPr>
                <w:p w14:paraId="4660DB66">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rPr>
                    <w:t>铊预警限值浓度为</w:t>
                  </w:r>
                  <w:r>
                    <w:rPr>
                      <w:rFonts w:hint="eastAsia"/>
                      <w:caps w:val="0"/>
                      <w:color w:val="auto"/>
                      <w:spacing w:val="0"/>
                      <w:position w:val="0"/>
                      <w:highlight w:val="none"/>
                      <w:lang w:val="en-US" w:eastAsia="zh-CN"/>
                    </w:rPr>
                    <w:t>5</w:t>
                  </w:r>
                  <w:r>
                    <w:rPr>
                      <w:rFonts w:hint="eastAsia"/>
                      <w:caps w:val="0"/>
                      <w:color w:val="auto"/>
                      <w:spacing w:val="0"/>
                      <w:position w:val="0"/>
                      <w:highlight w:val="none"/>
                    </w:rPr>
                    <w:t>μg/L（参照《工业废水铊污染物排放标准》（DB36/1149-2019）标准排放限值），</w:t>
                  </w:r>
                  <w:r>
                    <w:rPr>
                      <w:rFonts w:hint="default"/>
                      <w:caps w:val="0"/>
                      <w:color w:val="auto"/>
                      <w:spacing w:val="0"/>
                      <w:position w:val="0"/>
                    </w:rPr>
                    <w:t>铍、</w:t>
                  </w:r>
                  <w:r>
                    <w:rPr>
                      <w:rFonts w:hint="eastAsia"/>
                      <w:caps w:val="0"/>
                      <w:color w:val="auto"/>
                      <w:spacing w:val="0"/>
                      <w:position w:val="0"/>
                      <w:highlight w:val="none"/>
                    </w:rPr>
                    <w:t>氟化物预警限值浓度为2mg/L（参照</w:t>
                  </w:r>
                  <w:r>
                    <w:rPr>
                      <w:rFonts w:hint="eastAsia"/>
                      <w:caps w:val="0"/>
                      <w:color w:val="auto"/>
                      <w:spacing w:val="0"/>
                      <w:position w:val="0"/>
                      <w:highlight w:val="none"/>
                      <w:lang w:eastAsia="zh-CN"/>
                    </w:rPr>
                    <w:t>《无机化学工业污染物排放标准》（GB31573-2015）修改单</w:t>
                  </w:r>
                  <w:r>
                    <w:rPr>
                      <w:rFonts w:hint="eastAsia"/>
                      <w:caps w:val="0"/>
                      <w:color w:val="auto"/>
                      <w:spacing w:val="0"/>
                      <w:position w:val="0"/>
                      <w:highlight w:val="none"/>
                    </w:rPr>
                    <w:t>的水污染物排放限值）</w:t>
                  </w:r>
                </w:p>
              </w:tc>
            </w:tr>
            <w:tr w14:paraId="20A4C8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57" w:type="dxa"/>
                  <w:gridSpan w:val="5"/>
                  <w:noWrap w:val="0"/>
                  <w:vAlign w:val="center"/>
                </w:tcPr>
                <w:p w14:paraId="36212B8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注：排放口有流动水排放时开展监测，排放期间按日监测。如监测一年无异常情况，每季度第一次有流动水排放时开展按日监测。</w:t>
                  </w:r>
                </w:p>
              </w:tc>
            </w:tr>
          </w:tbl>
          <w:p w14:paraId="605087FC">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eastAsia"/>
                <w:b/>
                <w:bCs w:val="0"/>
                <w:caps w:val="0"/>
                <w:color w:val="auto"/>
                <w:spacing w:val="0"/>
                <w:position w:val="0"/>
                <w:highlight w:val="none"/>
                <w:lang w:val="en-US" w:eastAsia="zh-CN"/>
              </w:rPr>
              <w:t>9</w:t>
            </w:r>
            <w:r>
              <w:rPr>
                <w:rFonts w:hint="default"/>
                <w:b/>
                <w:bCs w:val="0"/>
                <w:caps w:val="0"/>
                <w:color w:val="auto"/>
                <w:spacing w:val="0"/>
                <w:position w:val="0"/>
                <w:highlight w:val="none"/>
              </w:rPr>
              <w:t>、排污口规范化措施</w:t>
            </w:r>
          </w:p>
          <w:p w14:paraId="1544460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废水排放口、固定噪声源、固体废物贮存必须按照《江西省排污口设置与规范化整治管理办法》进行建设，应符合“一明显、二合理、三便于”的要求，即环保标志明显，排污口设置合理，便于采集样品、便于监测计量、便于公众参与和监督管理。同时要求按照《环境保护图形标志实施细则（试行）》（环监〔1996〕463号）、《环境保护图形标志固体废物贮存（处置）场》（GB15562.2-1995）及其2023年修改单〔GB15562.2（修改单）-1995〕的规定，设置与排污口相应的图形标志牌。</w:t>
            </w:r>
          </w:p>
          <w:p w14:paraId="382A7803">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（1）废水排放口附近竖立图形标志牌。</w:t>
            </w:r>
          </w:p>
          <w:p w14:paraId="334CB749">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2）排污口管理。建设单位应在各个排污口处竖立标志牌，并如实填写《中华人民共和国规范化排污口标记登记证》，由环保部门签发。环保主管部门和建设单位可分别按以下内容建立排污口管理的专门档案：排污口性质和编号；位置；排放主要污染物种类、数量、浓度；排放去向；达标情况；治理设施运行情况及整改意见。</w:t>
            </w:r>
          </w:p>
          <w:p w14:paraId="23A416BF">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（3）环境保护图形标志</w:t>
            </w:r>
          </w:p>
          <w:p w14:paraId="1977ED85">
            <w:pPr>
              <w:pStyle w:val="74"/>
              <w:keepNext w:val="0"/>
              <w:keepLines w:val="0"/>
              <w:suppressLineNumbers w:val="0"/>
              <w:bidi w:val="0"/>
              <w:spacing w:before="0" w:beforeAutospacing="0" w:after="0" w:afterAutospacing="0"/>
              <w:ind w:left="0" w:right="0"/>
              <w:rPr>
                <w:rFonts w:hint="default" w:cs="Times New Roman"/>
                <w:caps w:val="0"/>
                <w:color w:val="auto"/>
                <w:spacing w:val="0"/>
                <w:position w:val="0"/>
                <w:highlight w:val="none"/>
              </w:rPr>
            </w:pPr>
            <w:r>
              <w:rPr>
                <w:rFonts w:hint="default"/>
                <w:caps w:val="0"/>
                <w:color w:val="auto"/>
                <w:spacing w:val="0"/>
                <w:position w:val="0"/>
                <w:highlight w:val="none"/>
              </w:rPr>
              <w:t>在废水排放口、废气排放源、固体废物贮存处置场应设置环境保护图形标志，图形符号分为提示图形和警告图形符号两种，分别按GB15562.1-1995、GB15562.2-1995及其2023年修改单【GB15562.2（修改单）-1995】执行。环境保护图形标志的形状及颜色见表4-2</w:t>
            </w:r>
            <w:r>
              <w:rPr>
                <w:rFonts w:hint="eastAsia"/>
                <w:caps w:val="0"/>
                <w:color w:val="auto"/>
                <w:spacing w:val="0"/>
                <w:position w:val="0"/>
                <w:highlight w:val="none"/>
                <w:lang w:val="en-US" w:eastAsia="zh-CN"/>
              </w:rPr>
              <w:t>4</w:t>
            </w:r>
            <w:r>
              <w:rPr>
                <w:rFonts w:hint="default"/>
                <w:caps w:val="0"/>
                <w:color w:val="auto"/>
                <w:spacing w:val="0"/>
                <w:position w:val="0"/>
                <w:highlight w:val="none"/>
              </w:rPr>
              <w:t>，环境保护图形符号见表4-2</w:t>
            </w:r>
            <w:r>
              <w:rPr>
                <w:rFonts w:hint="eastAsia"/>
                <w:caps w:val="0"/>
                <w:color w:val="auto"/>
                <w:spacing w:val="0"/>
                <w:position w:val="0"/>
                <w:highlight w:val="none"/>
                <w:lang w:val="en-US" w:eastAsia="zh-CN"/>
              </w:rPr>
              <w:t>5</w:t>
            </w:r>
            <w:r>
              <w:rPr>
                <w:rFonts w:hint="default"/>
                <w:caps w:val="0"/>
                <w:color w:val="auto"/>
                <w:spacing w:val="0"/>
                <w:position w:val="0"/>
                <w:highlight w:val="none"/>
              </w:rPr>
              <w:t>。</w:t>
            </w:r>
          </w:p>
          <w:p w14:paraId="5F346403">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表4-2</w:t>
            </w:r>
            <w:r>
              <w:rPr>
                <w:rFonts w:hint="eastAsia"/>
                <w:caps w:val="0"/>
                <w:color w:val="auto"/>
                <w:spacing w:val="0"/>
                <w:position w:val="0"/>
                <w:highlight w:val="none"/>
                <w:lang w:val="en-US" w:eastAsia="zh-CN"/>
              </w:rPr>
              <w:t>4</w:t>
            </w:r>
            <w:r>
              <w:rPr>
                <w:rFonts w:hint="default"/>
                <w:caps w:val="0"/>
                <w:color w:val="auto"/>
                <w:spacing w:val="0"/>
                <w:position w:val="0"/>
                <w:highlight w:val="none"/>
              </w:rPr>
              <w:t xml:space="preserve"> 环境保护图形标志的形状及颜色表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2091"/>
              <w:gridCol w:w="2091"/>
              <w:gridCol w:w="2091"/>
            </w:tblGrid>
            <w:tr w14:paraId="07736A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10" w:type="dxa"/>
                  <w:noWrap w:val="0"/>
                  <w:vAlign w:val="center"/>
                </w:tcPr>
                <w:p w14:paraId="04B118C3">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标志名称</w:t>
                  </w:r>
                </w:p>
              </w:tc>
              <w:tc>
                <w:tcPr>
                  <w:tcW w:w="3109" w:type="dxa"/>
                  <w:noWrap w:val="0"/>
                  <w:vAlign w:val="center"/>
                </w:tcPr>
                <w:p w14:paraId="625D725C">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形状</w:t>
                  </w:r>
                </w:p>
              </w:tc>
              <w:tc>
                <w:tcPr>
                  <w:tcW w:w="3109" w:type="dxa"/>
                  <w:noWrap w:val="0"/>
                  <w:vAlign w:val="center"/>
                </w:tcPr>
                <w:p w14:paraId="0406C7B5">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背景颜色</w:t>
                  </w:r>
                </w:p>
              </w:tc>
              <w:tc>
                <w:tcPr>
                  <w:tcW w:w="3109" w:type="dxa"/>
                  <w:noWrap w:val="0"/>
                  <w:vAlign w:val="center"/>
                </w:tcPr>
                <w:p w14:paraId="45734A08">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图形颜色</w:t>
                  </w:r>
                </w:p>
              </w:tc>
            </w:tr>
            <w:tr w14:paraId="365F29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10" w:type="dxa"/>
                  <w:noWrap w:val="0"/>
                  <w:vAlign w:val="center"/>
                </w:tcPr>
                <w:p w14:paraId="51DC53A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警告标志</w:t>
                  </w:r>
                </w:p>
              </w:tc>
              <w:tc>
                <w:tcPr>
                  <w:tcW w:w="3109" w:type="dxa"/>
                  <w:noWrap w:val="0"/>
                  <w:vAlign w:val="center"/>
                </w:tcPr>
                <w:p w14:paraId="753B2E7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三角形边框</w:t>
                  </w:r>
                </w:p>
              </w:tc>
              <w:tc>
                <w:tcPr>
                  <w:tcW w:w="3109" w:type="dxa"/>
                  <w:noWrap w:val="0"/>
                  <w:vAlign w:val="center"/>
                </w:tcPr>
                <w:p w14:paraId="7AF48B3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黄色</w:t>
                  </w:r>
                </w:p>
              </w:tc>
              <w:tc>
                <w:tcPr>
                  <w:tcW w:w="3109" w:type="dxa"/>
                  <w:noWrap w:val="0"/>
                  <w:vAlign w:val="center"/>
                </w:tcPr>
                <w:p w14:paraId="0D24329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黑色</w:t>
                  </w:r>
                </w:p>
              </w:tc>
            </w:tr>
            <w:tr w14:paraId="76517B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10" w:type="dxa"/>
                  <w:noWrap w:val="0"/>
                  <w:vAlign w:val="center"/>
                </w:tcPr>
                <w:p w14:paraId="01E5DFB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提示标志</w:t>
                  </w:r>
                </w:p>
              </w:tc>
              <w:tc>
                <w:tcPr>
                  <w:tcW w:w="3109" w:type="dxa"/>
                  <w:noWrap w:val="0"/>
                  <w:vAlign w:val="center"/>
                </w:tcPr>
                <w:p w14:paraId="72793F4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正方形边框</w:t>
                  </w:r>
                </w:p>
              </w:tc>
              <w:tc>
                <w:tcPr>
                  <w:tcW w:w="3109" w:type="dxa"/>
                  <w:noWrap w:val="0"/>
                  <w:vAlign w:val="center"/>
                </w:tcPr>
                <w:p w14:paraId="6C6D307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绿色</w:t>
                  </w:r>
                </w:p>
              </w:tc>
              <w:tc>
                <w:tcPr>
                  <w:tcW w:w="3109" w:type="dxa"/>
                  <w:noWrap w:val="0"/>
                  <w:vAlign w:val="center"/>
                </w:tcPr>
                <w:p w14:paraId="0DB8916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白色</w:t>
                  </w:r>
                </w:p>
              </w:tc>
            </w:tr>
          </w:tbl>
          <w:p w14:paraId="447554EE">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表4-2</w:t>
            </w:r>
            <w:r>
              <w:rPr>
                <w:rFonts w:hint="eastAsia"/>
                <w:caps w:val="0"/>
                <w:color w:val="auto"/>
                <w:spacing w:val="0"/>
                <w:position w:val="0"/>
                <w:highlight w:val="none"/>
                <w:lang w:val="en-US" w:eastAsia="zh-CN"/>
              </w:rPr>
              <w:t>5</w:t>
            </w:r>
            <w:r>
              <w:rPr>
                <w:rFonts w:hint="default"/>
                <w:caps w:val="0"/>
                <w:color w:val="auto"/>
                <w:spacing w:val="0"/>
                <w:position w:val="0"/>
                <w:highlight w:val="none"/>
              </w:rPr>
              <w:t xml:space="preserve"> 环境保护图形符号一览表</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34"/>
              <w:gridCol w:w="1833"/>
              <w:gridCol w:w="2248"/>
              <w:gridCol w:w="1206"/>
              <w:gridCol w:w="2344"/>
            </w:tblGrid>
            <w:tr w14:paraId="40A975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4" w:type="dxa"/>
                  <w:noWrap w:val="0"/>
                  <w:vAlign w:val="center"/>
                </w:tcPr>
                <w:p w14:paraId="457EDBB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序号</w:t>
                  </w:r>
                </w:p>
              </w:tc>
              <w:tc>
                <w:tcPr>
                  <w:tcW w:w="2520" w:type="dxa"/>
                  <w:noWrap w:val="0"/>
                  <w:vAlign w:val="center"/>
                </w:tcPr>
                <w:p w14:paraId="7F8BE3AA">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提示图形符号</w:t>
                  </w:r>
                </w:p>
              </w:tc>
              <w:tc>
                <w:tcPr>
                  <w:tcW w:w="2716" w:type="dxa"/>
                  <w:noWrap w:val="0"/>
                  <w:vAlign w:val="center"/>
                </w:tcPr>
                <w:p w14:paraId="7A1F44B5">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警告图形符号</w:t>
                  </w:r>
                </w:p>
              </w:tc>
              <w:tc>
                <w:tcPr>
                  <w:tcW w:w="2020" w:type="dxa"/>
                  <w:noWrap w:val="0"/>
                  <w:vAlign w:val="center"/>
                </w:tcPr>
                <w:p w14:paraId="564C4BAC">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名称</w:t>
                  </w:r>
                </w:p>
              </w:tc>
              <w:tc>
                <w:tcPr>
                  <w:tcW w:w="4127" w:type="dxa"/>
                  <w:noWrap w:val="0"/>
                  <w:vAlign w:val="center"/>
                </w:tcPr>
                <w:p w14:paraId="7269D2AB">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功能</w:t>
                  </w:r>
                </w:p>
              </w:tc>
            </w:tr>
            <w:tr w14:paraId="5DD22C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4" w:type="dxa"/>
                  <w:noWrap w:val="0"/>
                  <w:vAlign w:val="center"/>
                </w:tcPr>
                <w:p w14:paraId="39B71FE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1</w:t>
                  </w:r>
                </w:p>
              </w:tc>
              <w:tc>
                <w:tcPr>
                  <w:tcW w:w="2520" w:type="dxa"/>
                  <w:noWrap w:val="0"/>
                  <w:vAlign w:val="center"/>
                </w:tcPr>
                <w:p w14:paraId="0EF61B4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fldChar w:fldCharType="begin"/>
                  </w:r>
                  <w:r>
                    <w:rPr>
                      <w:rFonts w:hint="default"/>
                      <w:caps w:val="0"/>
                      <w:color w:val="auto"/>
                      <w:spacing w:val="0"/>
                      <w:position w:val="0"/>
                      <w:highlight w:val="none"/>
                    </w:rPr>
                    <w:instrText xml:space="preserve"> INCLUDEPICTURE "F:\\86134\\AppData\\Local\\Temp\\ksohtml4412\\wps29.jpg" \* MERGEFORMAT </w:instrText>
                  </w:r>
                  <w:r>
                    <w:rPr>
                      <w:rFonts w:hint="default"/>
                      <w:caps w:val="0"/>
                      <w:color w:val="auto"/>
                      <w:spacing w:val="0"/>
                      <w:position w:val="0"/>
                      <w:highlight w:val="none"/>
                    </w:rPr>
                    <w:fldChar w:fldCharType="separate"/>
                  </w:r>
                  <w:r>
                    <w:rPr>
                      <w:rFonts w:hint="default"/>
                      <w:caps w:val="0"/>
                      <w:color w:val="auto"/>
                      <w:spacing w:val="0"/>
                      <w:position w:val="0"/>
                      <w:highlight w:val="none"/>
                    </w:rPr>
                    <w:drawing>
                      <wp:inline distT="0" distB="0" distL="114300" distR="114300">
                        <wp:extent cx="589915" cy="600710"/>
                        <wp:effectExtent l="0" t="0" r="4445" b="8890"/>
                        <wp:docPr id="20" name="图片 15" descr="wps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5" descr="wps29"/>
                                <pic:cNvPicPr>
                                  <a:picLocks noChangeAspect="1"/>
                                </pic:cNvPicPr>
                              </pic:nvPicPr>
                              <pic:blipFill>
                                <a:blip r:embed="rId28"/>
                                <a:stretch>
                                  <a:fillRect/>
                                </a:stretch>
                              </pic:blipFill>
                              <pic:spPr>
                                <a:xfrm>
                                  <a:off x="0" y="0"/>
                                  <a:ext cx="589915" cy="600710"/>
                                </a:xfrm>
                                <a:prstGeom prst="rect">
                                  <a:avLst/>
                                </a:prstGeom>
                                <a:noFill/>
                                <a:ln>
                                  <a:noFill/>
                                </a:ln>
                              </pic:spPr>
                            </pic:pic>
                          </a:graphicData>
                        </a:graphic>
                      </wp:inline>
                    </w:drawing>
                  </w:r>
                  <w:r>
                    <w:rPr>
                      <w:rFonts w:hint="default"/>
                      <w:caps w:val="0"/>
                      <w:color w:val="auto"/>
                      <w:spacing w:val="0"/>
                      <w:position w:val="0"/>
                      <w:highlight w:val="none"/>
                    </w:rPr>
                    <w:fldChar w:fldCharType="end"/>
                  </w:r>
                </w:p>
              </w:tc>
              <w:tc>
                <w:tcPr>
                  <w:tcW w:w="2716" w:type="dxa"/>
                  <w:noWrap w:val="0"/>
                  <w:vAlign w:val="center"/>
                </w:tcPr>
                <w:p w14:paraId="1A950D5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fldChar w:fldCharType="begin"/>
                  </w:r>
                  <w:r>
                    <w:rPr>
                      <w:rFonts w:hint="default"/>
                      <w:caps w:val="0"/>
                      <w:color w:val="auto"/>
                      <w:spacing w:val="0"/>
                      <w:position w:val="0"/>
                      <w:highlight w:val="none"/>
                    </w:rPr>
                    <w:instrText xml:space="preserve"> INCLUDEPICTURE "F:\\86134\\AppData\\Local\\Temp\\ksohtml4412\\wps30.jpg" \* MERGEFORMAT </w:instrText>
                  </w:r>
                  <w:r>
                    <w:rPr>
                      <w:rFonts w:hint="default"/>
                      <w:caps w:val="0"/>
                      <w:color w:val="auto"/>
                      <w:spacing w:val="0"/>
                      <w:position w:val="0"/>
                      <w:highlight w:val="none"/>
                    </w:rPr>
                    <w:fldChar w:fldCharType="separate"/>
                  </w:r>
                  <w:r>
                    <w:rPr>
                      <w:rFonts w:hint="default"/>
                      <w:caps w:val="0"/>
                      <w:color w:val="auto"/>
                      <w:spacing w:val="0"/>
                      <w:position w:val="0"/>
                      <w:highlight w:val="none"/>
                    </w:rPr>
                    <w:drawing>
                      <wp:inline distT="0" distB="0" distL="114300" distR="114300">
                        <wp:extent cx="600710" cy="608965"/>
                        <wp:effectExtent l="0" t="0" r="8890" b="635"/>
                        <wp:docPr id="19" name="图片 16" descr="wps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6" descr="wps30"/>
                                <pic:cNvPicPr>
                                  <a:picLocks noChangeAspect="1"/>
                                </pic:cNvPicPr>
                              </pic:nvPicPr>
                              <pic:blipFill>
                                <a:blip r:embed="rId29"/>
                                <a:stretch>
                                  <a:fillRect/>
                                </a:stretch>
                              </pic:blipFill>
                              <pic:spPr>
                                <a:xfrm>
                                  <a:off x="0" y="0"/>
                                  <a:ext cx="600710" cy="608965"/>
                                </a:xfrm>
                                <a:prstGeom prst="rect">
                                  <a:avLst/>
                                </a:prstGeom>
                                <a:noFill/>
                                <a:ln>
                                  <a:noFill/>
                                </a:ln>
                              </pic:spPr>
                            </pic:pic>
                          </a:graphicData>
                        </a:graphic>
                      </wp:inline>
                    </w:drawing>
                  </w:r>
                  <w:r>
                    <w:rPr>
                      <w:rFonts w:hint="default"/>
                      <w:caps w:val="0"/>
                      <w:color w:val="auto"/>
                      <w:spacing w:val="0"/>
                      <w:position w:val="0"/>
                      <w:highlight w:val="none"/>
                    </w:rPr>
                    <w:fldChar w:fldCharType="end"/>
                  </w:r>
                </w:p>
              </w:tc>
              <w:tc>
                <w:tcPr>
                  <w:tcW w:w="2020" w:type="dxa"/>
                  <w:noWrap w:val="0"/>
                  <w:vAlign w:val="center"/>
                </w:tcPr>
                <w:p w14:paraId="0FC48C8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废水排放口</w:t>
                  </w:r>
                </w:p>
              </w:tc>
              <w:tc>
                <w:tcPr>
                  <w:tcW w:w="4127" w:type="dxa"/>
                  <w:noWrap w:val="0"/>
                  <w:vAlign w:val="center"/>
                </w:tcPr>
                <w:p w14:paraId="049F003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表示废水向水体排放</w:t>
                  </w:r>
                </w:p>
              </w:tc>
            </w:tr>
            <w:tr w14:paraId="6A31BB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4" w:type="dxa"/>
                  <w:noWrap w:val="0"/>
                  <w:vAlign w:val="center"/>
                </w:tcPr>
                <w:p w14:paraId="53A2ED2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2</w:t>
                  </w:r>
                </w:p>
              </w:tc>
              <w:tc>
                <w:tcPr>
                  <w:tcW w:w="2520" w:type="dxa"/>
                  <w:noWrap w:val="0"/>
                  <w:vAlign w:val="center"/>
                </w:tcPr>
                <w:p w14:paraId="359BC50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fldChar w:fldCharType="begin"/>
                  </w:r>
                  <w:r>
                    <w:rPr>
                      <w:rFonts w:hint="default"/>
                      <w:caps w:val="0"/>
                      <w:color w:val="auto"/>
                      <w:spacing w:val="0"/>
                      <w:position w:val="0"/>
                      <w:highlight w:val="none"/>
                    </w:rPr>
                    <w:instrText xml:space="preserve"> INCLUDEPICTURE "F:\\86134\\AppData\\Local\\Temp\\ksohtml4412\\wps31.jpg" \* MERGEFORMAT </w:instrText>
                  </w:r>
                  <w:r>
                    <w:rPr>
                      <w:rFonts w:hint="default"/>
                      <w:caps w:val="0"/>
                      <w:color w:val="auto"/>
                      <w:spacing w:val="0"/>
                      <w:position w:val="0"/>
                      <w:highlight w:val="none"/>
                    </w:rPr>
                    <w:fldChar w:fldCharType="separate"/>
                  </w:r>
                  <w:r>
                    <w:rPr>
                      <w:rFonts w:hint="default"/>
                      <w:caps w:val="0"/>
                      <w:color w:val="auto"/>
                      <w:spacing w:val="0"/>
                      <w:position w:val="0"/>
                      <w:highlight w:val="none"/>
                    </w:rPr>
                    <w:drawing>
                      <wp:inline distT="0" distB="0" distL="114300" distR="114300">
                        <wp:extent cx="600710" cy="608965"/>
                        <wp:effectExtent l="0" t="0" r="8890" b="635"/>
                        <wp:docPr id="16" name="图片 17" descr="wps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7" descr="wps31"/>
                                <pic:cNvPicPr>
                                  <a:picLocks noChangeAspect="1"/>
                                </pic:cNvPicPr>
                              </pic:nvPicPr>
                              <pic:blipFill>
                                <a:blip r:embed="rId30"/>
                                <a:stretch>
                                  <a:fillRect/>
                                </a:stretch>
                              </pic:blipFill>
                              <pic:spPr>
                                <a:xfrm>
                                  <a:off x="0" y="0"/>
                                  <a:ext cx="600710" cy="608965"/>
                                </a:xfrm>
                                <a:prstGeom prst="rect">
                                  <a:avLst/>
                                </a:prstGeom>
                                <a:noFill/>
                                <a:ln>
                                  <a:noFill/>
                                </a:ln>
                              </pic:spPr>
                            </pic:pic>
                          </a:graphicData>
                        </a:graphic>
                      </wp:inline>
                    </w:drawing>
                  </w:r>
                  <w:r>
                    <w:rPr>
                      <w:rFonts w:hint="default"/>
                      <w:caps w:val="0"/>
                      <w:color w:val="auto"/>
                      <w:spacing w:val="0"/>
                      <w:position w:val="0"/>
                      <w:highlight w:val="none"/>
                    </w:rPr>
                    <w:fldChar w:fldCharType="end"/>
                  </w:r>
                </w:p>
              </w:tc>
              <w:tc>
                <w:tcPr>
                  <w:tcW w:w="2716" w:type="dxa"/>
                  <w:noWrap w:val="0"/>
                  <w:vAlign w:val="center"/>
                </w:tcPr>
                <w:p w14:paraId="2D4862E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fldChar w:fldCharType="begin"/>
                  </w:r>
                  <w:r>
                    <w:rPr>
                      <w:rFonts w:hint="default"/>
                      <w:caps w:val="0"/>
                      <w:color w:val="auto"/>
                      <w:spacing w:val="0"/>
                      <w:position w:val="0"/>
                      <w:highlight w:val="none"/>
                    </w:rPr>
                    <w:instrText xml:space="preserve"> INCLUDEPICTURE "F:\\86134\\AppData\\Local\\Temp\\ksohtml4412\\wps32.jpg" \* MERGEFORMAT </w:instrText>
                  </w:r>
                  <w:r>
                    <w:rPr>
                      <w:rFonts w:hint="default"/>
                      <w:caps w:val="0"/>
                      <w:color w:val="auto"/>
                      <w:spacing w:val="0"/>
                      <w:position w:val="0"/>
                      <w:highlight w:val="none"/>
                    </w:rPr>
                    <w:fldChar w:fldCharType="separate"/>
                  </w:r>
                  <w:r>
                    <w:rPr>
                      <w:rFonts w:hint="default"/>
                      <w:caps w:val="0"/>
                      <w:color w:val="auto"/>
                      <w:spacing w:val="0"/>
                      <w:position w:val="0"/>
                      <w:highlight w:val="none"/>
                    </w:rPr>
                    <w:drawing>
                      <wp:inline distT="0" distB="0" distL="114300" distR="114300">
                        <wp:extent cx="619760" cy="619760"/>
                        <wp:effectExtent l="0" t="0" r="5080" b="5080"/>
                        <wp:docPr id="17" name="图片 18" descr="wps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8" descr="wps32"/>
                                <pic:cNvPicPr>
                                  <a:picLocks noChangeAspect="1"/>
                                </pic:cNvPicPr>
                              </pic:nvPicPr>
                              <pic:blipFill>
                                <a:blip r:embed="rId31"/>
                                <a:stretch>
                                  <a:fillRect/>
                                </a:stretch>
                              </pic:blipFill>
                              <pic:spPr>
                                <a:xfrm>
                                  <a:off x="0" y="0"/>
                                  <a:ext cx="619760" cy="619760"/>
                                </a:xfrm>
                                <a:prstGeom prst="rect">
                                  <a:avLst/>
                                </a:prstGeom>
                                <a:noFill/>
                                <a:ln>
                                  <a:noFill/>
                                </a:ln>
                              </pic:spPr>
                            </pic:pic>
                          </a:graphicData>
                        </a:graphic>
                      </wp:inline>
                    </w:drawing>
                  </w:r>
                  <w:r>
                    <w:rPr>
                      <w:rFonts w:hint="default"/>
                      <w:caps w:val="0"/>
                      <w:color w:val="auto"/>
                      <w:spacing w:val="0"/>
                      <w:position w:val="0"/>
                      <w:highlight w:val="none"/>
                    </w:rPr>
                    <w:fldChar w:fldCharType="end"/>
                  </w:r>
                </w:p>
              </w:tc>
              <w:tc>
                <w:tcPr>
                  <w:tcW w:w="2020" w:type="dxa"/>
                  <w:noWrap w:val="0"/>
                  <w:vAlign w:val="center"/>
                </w:tcPr>
                <w:p w14:paraId="2781A96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废气排放口</w:t>
                  </w:r>
                </w:p>
              </w:tc>
              <w:tc>
                <w:tcPr>
                  <w:tcW w:w="4127" w:type="dxa"/>
                  <w:noWrap w:val="0"/>
                  <w:vAlign w:val="center"/>
                </w:tcPr>
                <w:p w14:paraId="26CD05E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表示废气向大气环境排放</w:t>
                  </w:r>
                </w:p>
              </w:tc>
            </w:tr>
            <w:tr w14:paraId="6D3D9C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4" w:type="dxa"/>
                  <w:noWrap w:val="0"/>
                  <w:vAlign w:val="center"/>
                </w:tcPr>
                <w:p w14:paraId="3D34796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3</w:t>
                  </w:r>
                </w:p>
              </w:tc>
              <w:tc>
                <w:tcPr>
                  <w:tcW w:w="2520" w:type="dxa"/>
                  <w:noWrap w:val="0"/>
                  <w:vAlign w:val="center"/>
                </w:tcPr>
                <w:p w14:paraId="3498A52A">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fldChar w:fldCharType="begin"/>
                  </w:r>
                  <w:r>
                    <w:rPr>
                      <w:rFonts w:hint="default"/>
                      <w:caps w:val="0"/>
                      <w:color w:val="auto"/>
                      <w:spacing w:val="0"/>
                      <w:position w:val="0"/>
                      <w:highlight w:val="none"/>
                    </w:rPr>
                    <w:instrText xml:space="preserve"> INCLUDEPICTURE "F:\\86134\\AppData\\Local\\Temp\\ksohtml4412\\wps33.jpg" \* MERGEFORMAT </w:instrText>
                  </w:r>
                  <w:r>
                    <w:rPr>
                      <w:rFonts w:hint="default"/>
                      <w:caps w:val="0"/>
                      <w:color w:val="auto"/>
                      <w:spacing w:val="0"/>
                      <w:position w:val="0"/>
                      <w:highlight w:val="none"/>
                    </w:rPr>
                    <w:fldChar w:fldCharType="separate"/>
                  </w:r>
                  <w:r>
                    <w:rPr>
                      <w:rFonts w:hint="default"/>
                      <w:caps w:val="0"/>
                      <w:color w:val="auto"/>
                      <w:spacing w:val="0"/>
                      <w:position w:val="0"/>
                      <w:highlight w:val="none"/>
                    </w:rPr>
                    <w:drawing>
                      <wp:inline distT="0" distB="0" distL="114300" distR="114300">
                        <wp:extent cx="581660" cy="581660"/>
                        <wp:effectExtent l="0" t="0" r="12700" b="12700"/>
                        <wp:docPr id="15" name="图片 19" descr="wps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9" descr="wps33"/>
                                <pic:cNvPicPr>
                                  <a:picLocks noChangeAspect="1"/>
                                </pic:cNvPicPr>
                              </pic:nvPicPr>
                              <pic:blipFill>
                                <a:blip r:embed="rId32"/>
                                <a:stretch>
                                  <a:fillRect/>
                                </a:stretch>
                              </pic:blipFill>
                              <pic:spPr>
                                <a:xfrm>
                                  <a:off x="0" y="0"/>
                                  <a:ext cx="581660" cy="581660"/>
                                </a:xfrm>
                                <a:prstGeom prst="rect">
                                  <a:avLst/>
                                </a:prstGeom>
                                <a:noFill/>
                                <a:ln>
                                  <a:noFill/>
                                </a:ln>
                              </pic:spPr>
                            </pic:pic>
                          </a:graphicData>
                        </a:graphic>
                      </wp:inline>
                    </w:drawing>
                  </w:r>
                  <w:r>
                    <w:rPr>
                      <w:rFonts w:hint="default"/>
                      <w:caps w:val="0"/>
                      <w:color w:val="auto"/>
                      <w:spacing w:val="0"/>
                      <w:position w:val="0"/>
                      <w:highlight w:val="none"/>
                    </w:rPr>
                    <w:fldChar w:fldCharType="end"/>
                  </w:r>
                </w:p>
              </w:tc>
              <w:tc>
                <w:tcPr>
                  <w:tcW w:w="2716" w:type="dxa"/>
                  <w:noWrap w:val="0"/>
                  <w:vAlign w:val="center"/>
                </w:tcPr>
                <w:p w14:paraId="0E0359B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fldChar w:fldCharType="begin"/>
                  </w:r>
                  <w:r>
                    <w:rPr>
                      <w:rFonts w:hint="default"/>
                      <w:caps w:val="0"/>
                      <w:color w:val="auto"/>
                      <w:spacing w:val="0"/>
                      <w:position w:val="0"/>
                      <w:highlight w:val="none"/>
                    </w:rPr>
                    <w:instrText xml:space="preserve"> INCLUDEPICTURE "F:\\86134\\AppData\\Local\\Temp\\ksohtml4412\\wps34.jpg" \* MERGEFORMAT </w:instrText>
                  </w:r>
                  <w:r>
                    <w:rPr>
                      <w:rFonts w:hint="default"/>
                      <w:caps w:val="0"/>
                      <w:color w:val="auto"/>
                      <w:spacing w:val="0"/>
                      <w:position w:val="0"/>
                      <w:highlight w:val="none"/>
                    </w:rPr>
                    <w:fldChar w:fldCharType="separate"/>
                  </w:r>
                  <w:r>
                    <w:rPr>
                      <w:rFonts w:hint="default"/>
                      <w:caps w:val="0"/>
                      <w:color w:val="auto"/>
                      <w:spacing w:val="0"/>
                      <w:position w:val="0"/>
                      <w:highlight w:val="none"/>
                    </w:rPr>
                    <w:drawing>
                      <wp:inline distT="0" distB="0" distL="114300" distR="114300">
                        <wp:extent cx="647700" cy="581660"/>
                        <wp:effectExtent l="0" t="0" r="7620" b="12700"/>
                        <wp:docPr id="12" name="图片 20" descr="wps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0" descr="wps34"/>
                                <pic:cNvPicPr>
                                  <a:picLocks noChangeAspect="1"/>
                                </pic:cNvPicPr>
                              </pic:nvPicPr>
                              <pic:blipFill>
                                <a:blip r:embed="rId33"/>
                                <a:stretch>
                                  <a:fillRect/>
                                </a:stretch>
                              </pic:blipFill>
                              <pic:spPr>
                                <a:xfrm>
                                  <a:off x="0" y="0"/>
                                  <a:ext cx="647700" cy="581660"/>
                                </a:xfrm>
                                <a:prstGeom prst="rect">
                                  <a:avLst/>
                                </a:prstGeom>
                                <a:noFill/>
                                <a:ln>
                                  <a:noFill/>
                                </a:ln>
                              </pic:spPr>
                            </pic:pic>
                          </a:graphicData>
                        </a:graphic>
                      </wp:inline>
                    </w:drawing>
                  </w:r>
                  <w:r>
                    <w:rPr>
                      <w:rFonts w:hint="default"/>
                      <w:caps w:val="0"/>
                      <w:color w:val="auto"/>
                      <w:spacing w:val="0"/>
                      <w:position w:val="0"/>
                      <w:highlight w:val="none"/>
                    </w:rPr>
                    <w:fldChar w:fldCharType="end"/>
                  </w:r>
                </w:p>
              </w:tc>
              <w:tc>
                <w:tcPr>
                  <w:tcW w:w="2020" w:type="dxa"/>
                  <w:noWrap w:val="0"/>
                  <w:vAlign w:val="center"/>
                </w:tcPr>
                <w:p w14:paraId="6B26D73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噪声排放源</w:t>
                  </w:r>
                </w:p>
              </w:tc>
              <w:tc>
                <w:tcPr>
                  <w:tcW w:w="4127" w:type="dxa"/>
                  <w:noWrap w:val="0"/>
                  <w:vAlign w:val="center"/>
                </w:tcPr>
                <w:p w14:paraId="1DCBE2B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表示噪声向外环境排放</w:t>
                  </w:r>
                </w:p>
              </w:tc>
            </w:tr>
            <w:tr w14:paraId="29A36D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4" w:type="dxa"/>
                  <w:noWrap w:val="0"/>
                  <w:vAlign w:val="center"/>
                </w:tcPr>
                <w:p w14:paraId="069730F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4</w:t>
                  </w:r>
                </w:p>
              </w:tc>
              <w:tc>
                <w:tcPr>
                  <w:tcW w:w="2520" w:type="dxa"/>
                  <w:noWrap w:val="0"/>
                  <w:vAlign w:val="center"/>
                </w:tcPr>
                <w:p w14:paraId="303287F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fldChar w:fldCharType="begin"/>
                  </w:r>
                  <w:r>
                    <w:rPr>
                      <w:rFonts w:hint="default"/>
                      <w:caps w:val="0"/>
                      <w:color w:val="auto"/>
                      <w:spacing w:val="0"/>
                      <w:position w:val="0"/>
                      <w:highlight w:val="none"/>
                    </w:rPr>
                    <w:instrText xml:space="preserve"> INCLUDEPICTURE "F:\\86134\\AppData\\Local\\Temp\\ksohtml4412\\wps35.jpg" \* MERGEFORMAT </w:instrText>
                  </w:r>
                  <w:r>
                    <w:rPr>
                      <w:rFonts w:hint="default"/>
                      <w:caps w:val="0"/>
                      <w:color w:val="auto"/>
                      <w:spacing w:val="0"/>
                      <w:position w:val="0"/>
                      <w:highlight w:val="none"/>
                    </w:rPr>
                    <w:fldChar w:fldCharType="separate"/>
                  </w:r>
                  <w:r>
                    <w:rPr>
                      <w:rFonts w:hint="default"/>
                      <w:caps w:val="0"/>
                      <w:color w:val="auto"/>
                      <w:spacing w:val="0"/>
                      <w:position w:val="0"/>
                      <w:highlight w:val="none"/>
                    </w:rPr>
                    <w:drawing>
                      <wp:inline distT="0" distB="0" distL="114300" distR="114300">
                        <wp:extent cx="608965" cy="608965"/>
                        <wp:effectExtent l="0" t="0" r="635" b="635"/>
                        <wp:docPr id="13" name="图片 21" descr="wps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1" descr="wps35"/>
                                <pic:cNvPicPr>
                                  <a:picLocks noChangeAspect="1"/>
                                </pic:cNvPicPr>
                              </pic:nvPicPr>
                              <pic:blipFill>
                                <a:blip r:embed="rId34"/>
                                <a:stretch>
                                  <a:fillRect/>
                                </a:stretch>
                              </pic:blipFill>
                              <pic:spPr>
                                <a:xfrm>
                                  <a:off x="0" y="0"/>
                                  <a:ext cx="608965" cy="608965"/>
                                </a:xfrm>
                                <a:prstGeom prst="rect">
                                  <a:avLst/>
                                </a:prstGeom>
                                <a:noFill/>
                                <a:ln>
                                  <a:noFill/>
                                </a:ln>
                              </pic:spPr>
                            </pic:pic>
                          </a:graphicData>
                        </a:graphic>
                      </wp:inline>
                    </w:drawing>
                  </w:r>
                  <w:r>
                    <w:rPr>
                      <w:rFonts w:hint="default"/>
                      <w:caps w:val="0"/>
                      <w:color w:val="auto"/>
                      <w:spacing w:val="0"/>
                      <w:position w:val="0"/>
                      <w:highlight w:val="none"/>
                    </w:rPr>
                    <w:fldChar w:fldCharType="end"/>
                  </w:r>
                </w:p>
              </w:tc>
              <w:tc>
                <w:tcPr>
                  <w:tcW w:w="2716" w:type="dxa"/>
                  <w:noWrap w:val="0"/>
                  <w:vAlign w:val="center"/>
                </w:tcPr>
                <w:p w14:paraId="40C8CE1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fldChar w:fldCharType="begin"/>
                  </w:r>
                  <w:r>
                    <w:rPr>
                      <w:rFonts w:hint="default"/>
                      <w:caps w:val="0"/>
                      <w:color w:val="auto"/>
                      <w:spacing w:val="0"/>
                      <w:position w:val="0"/>
                      <w:highlight w:val="none"/>
                    </w:rPr>
                    <w:instrText xml:space="preserve"> INCLUDEPICTURE "F:\\86134\\AppData\\Local\\Temp\\ksohtml4412\\wps36.jpg" \* MERGEFORMAT </w:instrText>
                  </w:r>
                  <w:r>
                    <w:rPr>
                      <w:rFonts w:hint="default"/>
                      <w:caps w:val="0"/>
                      <w:color w:val="auto"/>
                      <w:spacing w:val="0"/>
                      <w:position w:val="0"/>
                      <w:highlight w:val="none"/>
                    </w:rPr>
                    <w:fldChar w:fldCharType="separate"/>
                  </w:r>
                  <w:r>
                    <w:rPr>
                      <w:rFonts w:hint="default"/>
                      <w:caps w:val="0"/>
                      <w:color w:val="auto"/>
                      <w:spacing w:val="0"/>
                      <w:position w:val="0"/>
                      <w:highlight w:val="none"/>
                    </w:rPr>
                    <w:drawing>
                      <wp:inline distT="0" distB="0" distL="114300" distR="114300">
                        <wp:extent cx="619760" cy="581660"/>
                        <wp:effectExtent l="0" t="0" r="5080" b="12700"/>
                        <wp:docPr id="14" name="图片 22" descr="wps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2" descr="wps36"/>
                                <pic:cNvPicPr>
                                  <a:picLocks noChangeAspect="1"/>
                                </pic:cNvPicPr>
                              </pic:nvPicPr>
                              <pic:blipFill>
                                <a:blip r:embed="rId35"/>
                                <a:stretch>
                                  <a:fillRect/>
                                </a:stretch>
                              </pic:blipFill>
                              <pic:spPr>
                                <a:xfrm>
                                  <a:off x="0" y="0"/>
                                  <a:ext cx="619760" cy="581660"/>
                                </a:xfrm>
                                <a:prstGeom prst="rect">
                                  <a:avLst/>
                                </a:prstGeom>
                                <a:noFill/>
                                <a:ln>
                                  <a:noFill/>
                                </a:ln>
                              </pic:spPr>
                            </pic:pic>
                          </a:graphicData>
                        </a:graphic>
                      </wp:inline>
                    </w:drawing>
                  </w:r>
                  <w:r>
                    <w:rPr>
                      <w:rFonts w:hint="default"/>
                      <w:caps w:val="0"/>
                      <w:color w:val="auto"/>
                      <w:spacing w:val="0"/>
                      <w:position w:val="0"/>
                      <w:highlight w:val="none"/>
                    </w:rPr>
                    <w:fldChar w:fldCharType="end"/>
                  </w:r>
                </w:p>
              </w:tc>
              <w:tc>
                <w:tcPr>
                  <w:tcW w:w="2020" w:type="dxa"/>
                  <w:noWrap w:val="0"/>
                  <w:vAlign w:val="center"/>
                </w:tcPr>
                <w:p w14:paraId="385744A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一般固体废物</w:t>
                  </w:r>
                </w:p>
              </w:tc>
              <w:tc>
                <w:tcPr>
                  <w:tcW w:w="4127" w:type="dxa"/>
                  <w:noWrap w:val="0"/>
                  <w:vAlign w:val="center"/>
                </w:tcPr>
                <w:p w14:paraId="736EC37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表示一般固体废物贮存、处置场</w:t>
                  </w:r>
                </w:p>
              </w:tc>
            </w:tr>
            <w:tr w14:paraId="72B41B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4" w:type="dxa"/>
                  <w:noWrap w:val="0"/>
                  <w:vAlign w:val="center"/>
                </w:tcPr>
                <w:p w14:paraId="155E1B5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5</w:t>
                  </w:r>
                </w:p>
              </w:tc>
              <w:tc>
                <w:tcPr>
                  <w:tcW w:w="2520" w:type="dxa"/>
                  <w:noWrap w:val="0"/>
                  <w:vAlign w:val="center"/>
                </w:tcPr>
                <w:p w14:paraId="2905CFF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w:t>
                  </w:r>
                </w:p>
              </w:tc>
              <w:tc>
                <w:tcPr>
                  <w:tcW w:w="2716" w:type="dxa"/>
                  <w:noWrap w:val="0"/>
                  <w:vAlign w:val="center"/>
                </w:tcPr>
                <w:p w14:paraId="1EF975D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fldChar w:fldCharType="begin"/>
                  </w:r>
                  <w:r>
                    <w:rPr>
                      <w:rFonts w:hint="default"/>
                      <w:caps w:val="0"/>
                      <w:color w:val="auto"/>
                      <w:spacing w:val="0"/>
                      <w:position w:val="0"/>
                      <w:highlight w:val="none"/>
                    </w:rPr>
                    <w:instrText xml:space="preserve"> INCLUDEPICTURE "F:\\86134\\AppData\\Local\\Temp\\ksohtml4412\\wps37.jpg" \* MERGEFORMAT </w:instrText>
                  </w:r>
                  <w:r>
                    <w:rPr>
                      <w:rFonts w:hint="default"/>
                      <w:caps w:val="0"/>
                      <w:color w:val="auto"/>
                      <w:spacing w:val="0"/>
                      <w:position w:val="0"/>
                      <w:highlight w:val="none"/>
                    </w:rPr>
                    <w:fldChar w:fldCharType="separate"/>
                  </w:r>
                  <w:r>
                    <w:rPr>
                      <w:rFonts w:hint="default"/>
                      <w:caps w:val="0"/>
                      <w:color w:val="auto"/>
                      <w:spacing w:val="0"/>
                      <w:position w:val="0"/>
                      <w:highlight w:val="none"/>
                    </w:rPr>
                    <w:drawing>
                      <wp:inline distT="0" distB="0" distL="114300" distR="114300">
                        <wp:extent cx="1001395" cy="647700"/>
                        <wp:effectExtent l="0" t="0" r="4445" b="7620"/>
                        <wp:docPr id="11" name="图片 23" descr="wps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3" descr="wps37"/>
                                <pic:cNvPicPr>
                                  <a:picLocks noChangeAspect="1"/>
                                </pic:cNvPicPr>
                              </pic:nvPicPr>
                              <pic:blipFill>
                                <a:blip r:embed="rId36"/>
                                <a:stretch>
                                  <a:fillRect/>
                                </a:stretch>
                              </pic:blipFill>
                              <pic:spPr>
                                <a:xfrm>
                                  <a:off x="0" y="0"/>
                                  <a:ext cx="1001395" cy="647700"/>
                                </a:xfrm>
                                <a:prstGeom prst="rect">
                                  <a:avLst/>
                                </a:prstGeom>
                                <a:noFill/>
                                <a:ln>
                                  <a:noFill/>
                                </a:ln>
                              </pic:spPr>
                            </pic:pic>
                          </a:graphicData>
                        </a:graphic>
                      </wp:inline>
                    </w:drawing>
                  </w:r>
                  <w:r>
                    <w:rPr>
                      <w:rFonts w:hint="default"/>
                      <w:caps w:val="0"/>
                      <w:color w:val="auto"/>
                      <w:spacing w:val="0"/>
                      <w:position w:val="0"/>
                      <w:highlight w:val="none"/>
                    </w:rPr>
                    <w:fldChar w:fldCharType="end"/>
                  </w:r>
                </w:p>
              </w:tc>
              <w:tc>
                <w:tcPr>
                  <w:tcW w:w="2020" w:type="dxa"/>
                  <w:noWrap w:val="0"/>
                  <w:vAlign w:val="center"/>
                </w:tcPr>
                <w:p w14:paraId="522B957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危险废物</w:t>
                  </w:r>
                </w:p>
              </w:tc>
              <w:tc>
                <w:tcPr>
                  <w:tcW w:w="4127" w:type="dxa"/>
                  <w:noWrap w:val="0"/>
                  <w:vAlign w:val="center"/>
                </w:tcPr>
                <w:p w14:paraId="41D6843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表示危险废物贮存设施</w:t>
                  </w:r>
                </w:p>
              </w:tc>
            </w:tr>
          </w:tbl>
          <w:p w14:paraId="0652FBD0">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eastAsia"/>
                <w:b/>
                <w:bCs w:val="0"/>
                <w:caps w:val="0"/>
                <w:color w:val="auto"/>
                <w:spacing w:val="0"/>
                <w:position w:val="0"/>
                <w:highlight w:val="none"/>
                <w:lang w:val="en-US" w:eastAsia="zh-CN"/>
              </w:rPr>
              <w:t>10</w:t>
            </w:r>
            <w:r>
              <w:rPr>
                <w:rFonts w:hint="default"/>
                <w:b/>
                <w:bCs w:val="0"/>
                <w:caps w:val="0"/>
                <w:color w:val="auto"/>
                <w:spacing w:val="0"/>
                <w:position w:val="0"/>
                <w:highlight w:val="none"/>
              </w:rPr>
              <w:t>、环保投资</w:t>
            </w:r>
          </w:p>
          <w:p w14:paraId="1FF3F37B">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本项目总投资为</w:t>
            </w:r>
            <w:r>
              <w:rPr>
                <w:rFonts w:hint="eastAsia"/>
                <w:caps w:val="0"/>
                <w:color w:val="auto"/>
                <w:spacing w:val="0"/>
                <w:position w:val="0"/>
                <w:highlight w:val="none"/>
                <w:lang w:val="en-US" w:eastAsia="zh-CN"/>
              </w:rPr>
              <w:t>650</w:t>
            </w:r>
            <w:r>
              <w:rPr>
                <w:rFonts w:hint="default"/>
                <w:caps w:val="0"/>
                <w:color w:val="auto"/>
                <w:spacing w:val="0"/>
                <w:position w:val="0"/>
                <w:highlight w:val="none"/>
              </w:rPr>
              <w:t>万元，其中环保投资总额为</w:t>
            </w:r>
            <w:r>
              <w:rPr>
                <w:rFonts w:hint="eastAsia"/>
                <w:caps w:val="0"/>
                <w:color w:val="auto"/>
                <w:spacing w:val="0"/>
                <w:position w:val="0"/>
                <w:highlight w:val="none"/>
                <w:lang w:val="en-US" w:eastAsia="zh-CN"/>
              </w:rPr>
              <w:t>100</w:t>
            </w:r>
            <w:r>
              <w:rPr>
                <w:rFonts w:hint="default"/>
                <w:caps w:val="0"/>
                <w:color w:val="auto"/>
                <w:spacing w:val="0"/>
                <w:position w:val="0"/>
                <w:highlight w:val="none"/>
              </w:rPr>
              <w:t>万元，占项目总投资的比例为</w:t>
            </w:r>
            <w:r>
              <w:rPr>
                <w:rFonts w:hint="eastAsia"/>
                <w:caps w:val="0"/>
                <w:color w:val="auto"/>
                <w:spacing w:val="0"/>
                <w:position w:val="0"/>
                <w:highlight w:val="none"/>
                <w:lang w:val="en-US" w:eastAsia="zh-CN"/>
              </w:rPr>
              <w:t>15.4</w:t>
            </w:r>
            <w:r>
              <w:rPr>
                <w:rFonts w:hint="default"/>
                <w:caps w:val="0"/>
                <w:color w:val="auto"/>
                <w:spacing w:val="0"/>
                <w:position w:val="0"/>
                <w:highlight w:val="none"/>
              </w:rPr>
              <w:t>%，环保投资详情见</w:t>
            </w:r>
            <w:r>
              <w:rPr>
                <w:rFonts w:hint="eastAsia"/>
                <w:caps w:val="0"/>
                <w:color w:val="auto"/>
                <w:spacing w:val="0"/>
                <w:position w:val="0"/>
                <w:highlight w:val="none"/>
              </w:rPr>
              <w:t>下</w:t>
            </w:r>
            <w:r>
              <w:rPr>
                <w:rFonts w:hint="default"/>
                <w:caps w:val="0"/>
                <w:color w:val="auto"/>
                <w:spacing w:val="0"/>
                <w:position w:val="0"/>
                <w:highlight w:val="none"/>
              </w:rPr>
              <w:t>表。</w:t>
            </w:r>
          </w:p>
          <w:p w14:paraId="601632C4">
            <w:pPr>
              <w:pStyle w:val="75"/>
              <w:keepNext w:val="0"/>
              <w:keepLines w:val="0"/>
              <w:suppressLineNumbers w:val="0"/>
              <w:bidi w:val="0"/>
              <w:spacing w:before="0" w:beforeAutospacing="0" w:after="0" w:afterAutospacing="0"/>
              <w:ind w:left="0" w:right="0"/>
              <w:rPr>
                <w:rFonts w:hint="default"/>
                <w:caps w:val="0"/>
                <w:color w:val="auto"/>
                <w:spacing w:val="0"/>
                <w:position w:val="0"/>
                <w:highlight w:val="none"/>
              </w:rPr>
            </w:pPr>
            <w:r>
              <w:rPr>
                <w:rFonts w:hint="default"/>
                <w:caps w:val="0"/>
                <w:color w:val="auto"/>
                <w:spacing w:val="0"/>
                <w:position w:val="0"/>
                <w:highlight w:val="none"/>
              </w:rPr>
              <w:t>表4-2</w:t>
            </w:r>
            <w:r>
              <w:rPr>
                <w:rFonts w:hint="eastAsia"/>
                <w:caps w:val="0"/>
                <w:color w:val="auto"/>
                <w:spacing w:val="0"/>
                <w:position w:val="0"/>
                <w:highlight w:val="none"/>
                <w:lang w:val="en-US" w:eastAsia="zh-CN"/>
              </w:rPr>
              <w:t>6</w:t>
            </w:r>
            <w:r>
              <w:rPr>
                <w:rFonts w:hint="default"/>
                <w:caps w:val="0"/>
                <w:color w:val="auto"/>
                <w:spacing w:val="0"/>
                <w:position w:val="0"/>
                <w:highlight w:val="none"/>
              </w:rPr>
              <w:t xml:space="preserve"> 项目环境保护投资</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12"/>
              <w:gridCol w:w="1374"/>
              <w:gridCol w:w="3314"/>
              <w:gridCol w:w="1581"/>
              <w:gridCol w:w="1484"/>
            </w:tblGrid>
            <w:tr w14:paraId="1F28DA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7AF3FB16">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序号</w:t>
                  </w:r>
                </w:p>
              </w:tc>
              <w:tc>
                <w:tcPr>
                  <w:tcW w:w="0" w:type="auto"/>
                  <w:noWrap w:val="0"/>
                  <w:vAlign w:val="center"/>
                </w:tcPr>
                <w:p w14:paraId="59D618E6">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类别</w:t>
                  </w:r>
                </w:p>
              </w:tc>
              <w:tc>
                <w:tcPr>
                  <w:tcW w:w="1981" w:type="pct"/>
                  <w:noWrap w:val="0"/>
                  <w:vAlign w:val="center"/>
                </w:tcPr>
                <w:p w14:paraId="5F866EC9">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环保措施内容</w:t>
                  </w:r>
                </w:p>
              </w:tc>
              <w:tc>
                <w:tcPr>
                  <w:tcW w:w="945" w:type="pct"/>
                  <w:noWrap w:val="0"/>
                  <w:vAlign w:val="center"/>
                </w:tcPr>
                <w:p w14:paraId="175E0D76">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default"/>
                      <w:b/>
                      <w:bCs/>
                      <w:caps w:val="0"/>
                      <w:color w:val="auto"/>
                      <w:spacing w:val="0"/>
                      <w:position w:val="0"/>
                      <w:highlight w:val="none"/>
                    </w:rPr>
                    <w:t>投资（万元）</w:t>
                  </w:r>
                </w:p>
              </w:tc>
              <w:tc>
                <w:tcPr>
                  <w:tcW w:w="887" w:type="pct"/>
                  <w:noWrap w:val="0"/>
                  <w:vAlign w:val="center"/>
                </w:tcPr>
                <w:p w14:paraId="4DB4363F">
                  <w:pPr>
                    <w:pStyle w:val="28"/>
                    <w:keepNext w:val="0"/>
                    <w:keepLines w:val="0"/>
                    <w:suppressLineNumbers w:val="0"/>
                    <w:bidi w:val="0"/>
                    <w:spacing w:beforeAutospacing="0" w:afterAutospacing="0"/>
                    <w:ind w:left="0" w:right="0"/>
                    <w:rPr>
                      <w:rFonts w:hint="default"/>
                      <w:b/>
                      <w:bCs/>
                      <w:caps w:val="0"/>
                      <w:color w:val="auto"/>
                      <w:spacing w:val="0"/>
                      <w:position w:val="0"/>
                      <w:highlight w:val="none"/>
                    </w:rPr>
                  </w:pPr>
                  <w:r>
                    <w:rPr>
                      <w:rFonts w:hint="eastAsia"/>
                      <w:b/>
                      <w:bCs/>
                      <w:caps w:val="0"/>
                      <w:color w:val="auto"/>
                      <w:spacing w:val="0"/>
                      <w:position w:val="0"/>
                      <w:highlight w:val="none"/>
                    </w:rPr>
                    <w:t>备注</w:t>
                  </w:r>
                </w:p>
              </w:tc>
            </w:tr>
            <w:tr w14:paraId="38799B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1AEDD13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1</w:t>
                  </w:r>
                </w:p>
              </w:tc>
              <w:tc>
                <w:tcPr>
                  <w:tcW w:w="0" w:type="auto"/>
                  <w:noWrap w:val="0"/>
                  <w:vAlign w:val="center"/>
                </w:tcPr>
                <w:p w14:paraId="286C377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废水处理设施</w:t>
                  </w:r>
                </w:p>
              </w:tc>
              <w:tc>
                <w:tcPr>
                  <w:tcW w:w="1981" w:type="pct"/>
                  <w:noWrap w:val="0"/>
                  <w:vAlign w:val="center"/>
                </w:tcPr>
                <w:p w14:paraId="5F9256BD">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default"/>
                      <w:caps w:val="0"/>
                      <w:color w:val="auto"/>
                      <w:spacing w:val="0"/>
                      <w:position w:val="0"/>
                      <w:highlight w:val="none"/>
                    </w:rPr>
                    <w:t>化粪池</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2t/d</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1#沉淀池（30m</w:t>
                  </w:r>
                  <w:r>
                    <w:rPr>
                      <w:rFonts w:hint="eastAsia"/>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）、2#沉淀池（10m</w:t>
                  </w:r>
                  <w:r>
                    <w:rPr>
                      <w:rFonts w:hint="eastAsia"/>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）、3#沉淀池（10m</w:t>
                  </w:r>
                  <w:r>
                    <w:rPr>
                      <w:rFonts w:hint="eastAsia"/>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）、初期雨水池</w:t>
                  </w:r>
                  <w:r>
                    <w:rPr>
                      <w:rFonts w:hint="eastAsia" w:ascii="Times New Roman" w:eastAsia="宋体"/>
                      <w:caps w:val="0"/>
                      <w:color w:val="auto"/>
                      <w:spacing w:val="0"/>
                      <w:position w:val="0"/>
                      <w:highlight w:val="none"/>
                      <w:lang w:val="en-US" w:eastAsia="zh-CN"/>
                    </w:rPr>
                    <w:t>（</w:t>
                  </w:r>
                  <w:r>
                    <w:rPr>
                      <w:rFonts w:hint="eastAsia"/>
                      <w:caps w:val="0"/>
                      <w:color w:val="auto"/>
                      <w:spacing w:val="0"/>
                      <w:position w:val="0"/>
                      <w:highlight w:val="none"/>
                      <w:lang w:val="en-US" w:eastAsia="zh-CN"/>
                    </w:rPr>
                    <w:t>700</w:t>
                  </w:r>
                  <w:r>
                    <w:rPr>
                      <w:rFonts w:hint="eastAsia" w:ascii="Times New Roman" w:eastAsia="宋体"/>
                      <w:caps w:val="0"/>
                      <w:color w:val="auto"/>
                      <w:spacing w:val="0"/>
                      <w:position w:val="0"/>
                      <w:highlight w:val="none"/>
                      <w:lang w:val="en-US" w:eastAsia="zh-CN"/>
                    </w:rPr>
                    <w:t>m</w:t>
                  </w:r>
                  <w:r>
                    <w:rPr>
                      <w:rFonts w:hint="eastAsia" w:ascii="Times New Roman" w:eastAsia="宋体"/>
                      <w:caps w:val="0"/>
                      <w:color w:val="auto"/>
                      <w:spacing w:val="0"/>
                      <w:position w:val="0"/>
                      <w:highlight w:val="none"/>
                      <w:vertAlign w:val="superscript"/>
                      <w:lang w:val="en-US" w:eastAsia="zh-CN"/>
                    </w:rPr>
                    <w:t>3</w:t>
                  </w:r>
                  <w:r>
                    <w:rPr>
                      <w:rFonts w:hint="eastAsia" w:ascii="Times New Roman" w:eastAsia="宋体"/>
                      <w:caps w:val="0"/>
                      <w:color w:val="auto"/>
                      <w:spacing w:val="0"/>
                      <w:position w:val="0"/>
                      <w:highlight w:val="none"/>
                      <w:lang w:val="en-US" w:eastAsia="zh-CN"/>
                    </w:rPr>
                    <w:t>）</w:t>
                  </w:r>
                  <w:r>
                    <w:rPr>
                      <w:rFonts w:hint="eastAsia"/>
                      <w:caps w:val="0"/>
                      <w:color w:val="auto"/>
                      <w:spacing w:val="0"/>
                      <w:position w:val="0"/>
                      <w:highlight w:val="none"/>
                      <w:lang w:val="en-US" w:eastAsia="zh-CN"/>
                    </w:rPr>
                    <w:t>、废水暂存池（60m</w:t>
                  </w:r>
                  <w:r>
                    <w:rPr>
                      <w:rFonts w:hint="eastAsia"/>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）、铊和氟化物在线监测设备</w:t>
                  </w:r>
                </w:p>
              </w:tc>
              <w:tc>
                <w:tcPr>
                  <w:tcW w:w="945" w:type="pct"/>
                  <w:noWrap w:val="0"/>
                  <w:vAlign w:val="center"/>
                </w:tcPr>
                <w:p w14:paraId="2656F954">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65</w:t>
                  </w:r>
                </w:p>
              </w:tc>
              <w:tc>
                <w:tcPr>
                  <w:tcW w:w="887" w:type="pct"/>
                  <w:noWrap w:val="0"/>
                  <w:vAlign w:val="center"/>
                </w:tcPr>
                <w:p w14:paraId="50C075C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ascii="Times New Roman" w:eastAsia="宋体"/>
                      <w:caps w:val="0"/>
                      <w:color w:val="auto"/>
                      <w:spacing w:val="0"/>
                      <w:position w:val="0"/>
                      <w:highlight w:val="none"/>
                      <w:lang w:val="en-US" w:eastAsia="zh-CN"/>
                    </w:rPr>
                    <w:t>新建</w:t>
                  </w:r>
                </w:p>
              </w:tc>
            </w:tr>
            <w:tr w14:paraId="1F0615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45F6FAD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2</w:t>
                  </w:r>
                </w:p>
              </w:tc>
              <w:tc>
                <w:tcPr>
                  <w:tcW w:w="0" w:type="auto"/>
                  <w:noWrap w:val="0"/>
                  <w:vAlign w:val="center"/>
                </w:tcPr>
                <w:p w14:paraId="0D676ACC">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废气处理设施</w:t>
                  </w:r>
                </w:p>
              </w:tc>
              <w:tc>
                <w:tcPr>
                  <w:tcW w:w="1981" w:type="pct"/>
                  <w:noWrap w:val="0"/>
                  <w:vAlign w:val="center"/>
                </w:tcPr>
                <w:p w14:paraId="0DC64D81">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密闭管道</w:t>
                  </w:r>
                  <w:r>
                    <w:rPr>
                      <w:rFonts w:hint="default"/>
                      <w:caps w:val="0"/>
                      <w:color w:val="auto"/>
                      <w:spacing w:val="0"/>
                      <w:position w:val="0"/>
                      <w:highlight w:val="none"/>
                    </w:rPr>
                    <w:t>+</w:t>
                  </w:r>
                  <w:r>
                    <w:rPr>
                      <w:rFonts w:hint="eastAsia"/>
                      <w:caps w:val="0"/>
                      <w:color w:val="auto"/>
                      <w:spacing w:val="0"/>
                      <w:position w:val="0"/>
                      <w:highlight w:val="none"/>
                    </w:rPr>
                    <w:t>布袋</w:t>
                  </w:r>
                  <w:r>
                    <w:rPr>
                      <w:rFonts w:hint="default"/>
                      <w:caps w:val="0"/>
                      <w:color w:val="auto"/>
                      <w:spacing w:val="0"/>
                      <w:position w:val="0"/>
                      <w:highlight w:val="none"/>
                    </w:rPr>
                    <w:t>除尘设备</w:t>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5台</w:t>
                  </w:r>
                  <w:r>
                    <w:rPr>
                      <w:rFonts w:hint="eastAsia"/>
                      <w:caps w:val="0"/>
                      <w:color w:val="auto"/>
                      <w:spacing w:val="0"/>
                      <w:position w:val="0"/>
                      <w:highlight w:val="none"/>
                      <w:lang w:eastAsia="zh-CN"/>
                    </w:rPr>
                    <w:t>）</w:t>
                  </w:r>
                  <w:r>
                    <w:rPr>
                      <w:rFonts w:hint="default"/>
                      <w:caps w:val="0"/>
                      <w:color w:val="auto"/>
                      <w:spacing w:val="0"/>
                      <w:position w:val="0"/>
                      <w:highlight w:val="none"/>
                    </w:rPr>
                    <w:t>+</w:t>
                  </w:r>
                  <w:r>
                    <w:rPr>
                      <w:rFonts w:hint="eastAsia"/>
                      <w:caps w:val="0"/>
                      <w:color w:val="auto"/>
                      <w:spacing w:val="0"/>
                      <w:position w:val="0"/>
                      <w:highlight w:val="none"/>
                      <w:lang w:val="en-US" w:eastAsia="zh-CN"/>
                    </w:rPr>
                    <w:t>15m</w:t>
                  </w:r>
                  <w:r>
                    <w:rPr>
                      <w:rFonts w:hint="default"/>
                      <w:caps w:val="0"/>
                      <w:color w:val="auto"/>
                      <w:spacing w:val="0"/>
                      <w:position w:val="0"/>
                      <w:highlight w:val="none"/>
                    </w:rPr>
                    <w:t>排气筒</w:t>
                  </w:r>
                </w:p>
              </w:tc>
              <w:tc>
                <w:tcPr>
                  <w:tcW w:w="945" w:type="pct"/>
                  <w:noWrap w:val="0"/>
                  <w:vAlign w:val="center"/>
                </w:tcPr>
                <w:p w14:paraId="1A8F0778">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10</w:t>
                  </w:r>
                </w:p>
              </w:tc>
              <w:tc>
                <w:tcPr>
                  <w:tcW w:w="887" w:type="pct"/>
                  <w:noWrap w:val="0"/>
                  <w:vAlign w:val="center"/>
                </w:tcPr>
                <w:p w14:paraId="75397114">
                  <w:pPr>
                    <w:pStyle w:val="28"/>
                    <w:keepNext w:val="0"/>
                    <w:keepLines w:val="0"/>
                    <w:suppressLineNumbers w:val="0"/>
                    <w:bidi w:val="0"/>
                    <w:spacing w:beforeAutospacing="0" w:afterAutospacing="0"/>
                    <w:ind w:left="0" w:right="0"/>
                    <w:rPr>
                      <w:rFonts w:hint="eastAsia"/>
                      <w:caps w:val="0"/>
                      <w:color w:val="auto"/>
                      <w:spacing w:val="0"/>
                      <w:position w:val="0"/>
                      <w:highlight w:val="none"/>
                      <w:lang w:eastAsia="zh-CN"/>
                    </w:rPr>
                  </w:pPr>
                  <w:r>
                    <w:rPr>
                      <w:rFonts w:hint="eastAsia"/>
                      <w:caps w:val="0"/>
                      <w:color w:val="auto"/>
                      <w:spacing w:val="0"/>
                      <w:position w:val="0"/>
                      <w:highlight w:val="none"/>
                      <w:lang w:val="en-US" w:eastAsia="zh-CN"/>
                    </w:rPr>
                    <w:t>新建</w:t>
                  </w:r>
                </w:p>
              </w:tc>
            </w:tr>
            <w:tr w14:paraId="338F1C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0" w:type="auto"/>
                  <w:noWrap w:val="0"/>
                  <w:vAlign w:val="center"/>
                </w:tcPr>
                <w:p w14:paraId="7EDAA5D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3</w:t>
                  </w:r>
                </w:p>
              </w:tc>
              <w:tc>
                <w:tcPr>
                  <w:tcW w:w="0" w:type="auto"/>
                  <w:noWrap w:val="0"/>
                  <w:vAlign w:val="center"/>
                </w:tcPr>
                <w:p w14:paraId="400A0B3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固废</w:t>
                  </w:r>
                </w:p>
              </w:tc>
              <w:tc>
                <w:tcPr>
                  <w:tcW w:w="1981" w:type="pct"/>
                  <w:noWrap w:val="0"/>
                  <w:vAlign w:val="center"/>
                </w:tcPr>
                <w:p w14:paraId="1C48418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一般固废间（</w:t>
                  </w:r>
                  <w:r>
                    <w:rPr>
                      <w:rFonts w:hint="eastAsia"/>
                      <w:caps w:val="0"/>
                      <w:color w:val="auto"/>
                      <w:spacing w:val="0"/>
                      <w:position w:val="0"/>
                      <w:highlight w:val="none"/>
                      <w:lang w:val="en-US" w:eastAsia="zh-CN"/>
                    </w:rPr>
                    <w:t>50</w:t>
                  </w:r>
                  <w:r>
                    <w:rPr>
                      <w:rFonts w:hint="default"/>
                      <w:caps w:val="0"/>
                      <w:color w:val="auto"/>
                      <w:spacing w:val="0"/>
                      <w:position w:val="0"/>
                      <w:highlight w:val="none"/>
                    </w:rPr>
                    <w:t>m</w:t>
                  </w:r>
                  <w:r>
                    <w:rPr>
                      <w:rFonts w:hint="default"/>
                      <w:caps w:val="0"/>
                      <w:color w:val="auto"/>
                      <w:spacing w:val="0"/>
                      <w:position w:val="0"/>
                      <w:highlight w:val="none"/>
                      <w:vertAlign w:val="superscript"/>
                    </w:rPr>
                    <w:t>2</w:t>
                  </w:r>
                  <w:r>
                    <w:rPr>
                      <w:rFonts w:hint="default"/>
                      <w:caps w:val="0"/>
                      <w:color w:val="auto"/>
                      <w:spacing w:val="0"/>
                      <w:position w:val="0"/>
                      <w:highlight w:val="none"/>
                    </w:rPr>
                    <w:t>），危废间（</w:t>
                  </w:r>
                  <w:r>
                    <w:rPr>
                      <w:rFonts w:hint="eastAsia"/>
                      <w:caps w:val="0"/>
                      <w:color w:val="auto"/>
                      <w:spacing w:val="0"/>
                      <w:position w:val="0"/>
                      <w:highlight w:val="none"/>
                      <w:lang w:val="en-US" w:eastAsia="zh-CN"/>
                    </w:rPr>
                    <w:t>10</w:t>
                  </w:r>
                  <w:r>
                    <w:rPr>
                      <w:rFonts w:hint="default"/>
                      <w:caps w:val="0"/>
                      <w:color w:val="auto"/>
                      <w:spacing w:val="0"/>
                      <w:position w:val="0"/>
                      <w:highlight w:val="none"/>
                    </w:rPr>
                    <w:t>m</w:t>
                  </w:r>
                  <w:r>
                    <w:rPr>
                      <w:rFonts w:hint="default"/>
                      <w:caps w:val="0"/>
                      <w:color w:val="auto"/>
                      <w:spacing w:val="0"/>
                      <w:position w:val="0"/>
                      <w:highlight w:val="none"/>
                      <w:vertAlign w:val="superscript"/>
                    </w:rPr>
                    <w:t>2</w:t>
                  </w:r>
                  <w:r>
                    <w:rPr>
                      <w:rFonts w:hint="default"/>
                      <w:caps w:val="0"/>
                      <w:color w:val="auto"/>
                      <w:spacing w:val="0"/>
                      <w:position w:val="0"/>
                      <w:highlight w:val="none"/>
                    </w:rPr>
                    <w:t>）、生活垃圾桶</w:t>
                  </w:r>
                </w:p>
              </w:tc>
              <w:tc>
                <w:tcPr>
                  <w:tcW w:w="945" w:type="pct"/>
                  <w:noWrap w:val="0"/>
                  <w:vAlign w:val="center"/>
                </w:tcPr>
                <w:p w14:paraId="3C4F3870">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5</w:t>
                  </w:r>
                </w:p>
              </w:tc>
              <w:tc>
                <w:tcPr>
                  <w:tcW w:w="887" w:type="pct"/>
                  <w:noWrap w:val="0"/>
                  <w:vAlign w:val="center"/>
                </w:tcPr>
                <w:p w14:paraId="5ECD446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ascii="Times New Roman" w:eastAsia="宋体"/>
                      <w:caps w:val="0"/>
                      <w:color w:val="auto"/>
                      <w:spacing w:val="0"/>
                      <w:position w:val="0"/>
                      <w:highlight w:val="none"/>
                      <w:lang w:val="en-US" w:eastAsia="zh-CN"/>
                    </w:rPr>
                    <w:t>新建</w:t>
                  </w:r>
                </w:p>
              </w:tc>
            </w:tr>
            <w:tr w14:paraId="2BB9F1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60D24BF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4</w:t>
                  </w:r>
                </w:p>
              </w:tc>
              <w:tc>
                <w:tcPr>
                  <w:tcW w:w="0" w:type="auto"/>
                  <w:noWrap w:val="0"/>
                  <w:vAlign w:val="center"/>
                </w:tcPr>
                <w:p w14:paraId="338AE16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地下水、土壤</w:t>
                  </w:r>
                </w:p>
              </w:tc>
              <w:tc>
                <w:tcPr>
                  <w:tcW w:w="1981" w:type="pct"/>
                  <w:noWrap w:val="0"/>
                  <w:vAlign w:val="center"/>
                </w:tcPr>
                <w:p w14:paraId="108331E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分区防渗</w:t>
                  </w:r>
                </w:p>
              </w:tc>
              <w:tc>
                <w:tcPr>
                  <w:tcW w:w="945" w:type="pct"/>
                  <w:noWrap w:val="0"/>
                  <w:vAlign w:val="center"/>
                </w:tcPr>
                <w:p w14:paraId="37C24DDD">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10</w:t>
                  </w:r>
                </w:p>
              </w:tc>
              <w:tc>
                <w:tcPr>
                  <w:tcW w:w="887" w:type="pct"/>
                  <w:noWrap w:val="0"/>
                  <w:vAlign w:val="center"/>
                </w:tcPr>
                <w:p w14:paraId="18CA8CCA">
                  <w:pPr>
                    <w:pStyle w:val="28"/>
                    <w:keepNext w:val="0"/>
                    <w:keepLines w:val="0"/>
                    <w:suppressLineNumbers w:val="0"/>
                    <w:bidi w:val="0"/>
                    <w:spacing w:beforeAutospacing="0" w:afterAutospacing="0"/>
                    <w:ind w:left="0" w:right="0"/>
                    <w:rPr>
                      <w:rFonts w:hint="eastAsia"/>
                      <w:caps w:val="0"/>
                      <w:color w:val="auto"/>
                      <w:spacing w:val="0"/>
                      <w:position w:val="0"/>
                      <w:highlight w:val="none"/>
                      <w:lang w:eastAsia="zh-CN"/>
                    </w:rPr>
                  </w:pPr>
                  <w:r>
                    <w:rPr>
                      <w:rFonts w:hint="eastAsia"/>
                      <w:caps w:val="0"/>
                      <w:color w:val="auto"/>
                      <w:spacing w:val="0"/>
                      <w:position w:val="0"/>
                      <w:highlight w:val="none"/>
                      <w:lang w:val="en-US" w:eastAsia="zh-CN"/>
                    </w:rPr>
                    <w:t>新建</w:t>
                  </w:r>
                </w:p>
              </w:tc>
            </w:tr>
            <w:tr w14:paraId="3A8EC1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5FF66E5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5</w:t>
                  </w:r>
                </w:p>
              </w:tc>
              <w:tc>
                <w:tcPr>
                  <w:tcW w:w="0" w:type="auto"/>
                  <w:noWrap w:val="0"/>
                  <w:vAlign w:val="center"/>
                </w:tcPr>
                <w:p w14:paraId="70CF40F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噪声防治</w:t>
                  </w:r>
                </w:p>
              </w:tc>
              <w:tc>
                <w:tcPr>
                  <w:tcW w:w="1981" w:type="pct"/>
                  <w:noWrap w:val="0"/>
                  <w:vAlign w:val="center"/>
                </w:tcPr>
                <w:p w14:paraId="2959F28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减震、隔声等</w:t>
                  </w:r>
                </w:p>
              </w:tc>
              <w:tc>
                <w:tcPr>
                  <w:tcW w:w="945" w:type="pct"/>
                  <w:noWrap w:val="0"/>
                  <w:vAlign w:val="center"/>
                </w:tcPr>
                <w:p w14:paraId="38B73134">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5</w:t>
                  </w:r>
                </w:p>
              </w:tc>
              <w:tc>
                <w:tcPr>
                  <w:tcW w:w="887" w:type="pct"/>
                  <w:noWrap w:val="0"/>
                  <w:vAlign w:val="center"/>
                </w:tcPr>
                <w:p w14:paraId="5289A148">
                  <w:pPr>
                    <w:pStyle w:val="28"/>
                    <w:keepNext w:val="0"/>
                    <w:keepLines w:val="0"/>
                    <w:suppressLineNumbers w:val="0"/>
                    <w:bidi w:val="0"/>
                    <w:spacing w:beforeAutospacing="0" w:afterAutospacing="0"/>
                    <w:ind w:left="0" w:right="0"/>
                    <w:rPr>
                      <w:rFonts w:hint="eastAsia"/>
                      <w:caps w:val="0"/>
                      <w:color w:val="auto"/>
                      <w:spacing w:val="0"/>
                      <w:position w:val="0"/>
                      <w:highlight w:val="none"/>
                      <w:lang w:eastAsia="zh-CN"/>
                    </w:rPr>
                  </w:pPr>
                  <w:r>
                    <w:rPr>
                      <w:rFonts w:hint="eastAsia"/>
                      <w:caps w:val="0"/>
                      <w:color w:val="auto"/>
                      <w:spacing w:val="0"/>
                      <w:position w:val="0"/>
                      <w:highlight w:val="none"/>
                      <w:lang w:val="en-US" w:eastAsia="zh-CN"/>
                    </w:rPr>
                    <w:t>新建</w:t>
                  </w:r>
                </w:p>
              </w:tc>
            </w:tr>
            <w:tr w14:paraId="0D49E0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3A52506C">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6</w:t>
                  </w:r>
                </w:p>
              </w:tc>
              <w:tc>
                <w:tcPr>
                  <w:tcW w:w="0" w:type="auto"/>
                  <w:noWrap w:val="0"/>
                  <w:vAlign w:val="center"/>
                </w:tcPr>
                <w:p w14:paraId="276AEB20">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风险防范</w:t>
                  </w:r>
                </w:p>
              </w:tc>
              <w:tc>
                <w:tcPr>
                  <w:tcW w:w="1981" w:type="pct"/>
                  <w:noWrap w:val="0"/>
                  <w:vAlign w:val="center"/>
                </w:tcPr>
                <w:p w14:paraId="76903EB3">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事故池（400m</w:t>
                  </w:r>
                  <w:r>
                    <w:rPr>
                      <w:rFonts w:hint="eastAsia"/>
                      <w:caps w:val="0"/>
                      <w:color w:val="auto"/>
                      <w:spacing w:val="0"/>
                      <w:position w:val="0"/>
                      <w:highlight w:val="none"/>
                      <w:vertAlign w:val="superscript"/>
                      <w:lang w:val="en-US" w:eastAsia="zh-CN"/>
                    </w:rPr>
                    <w:t>3</w:t>
                  </w:r>
                  <w:r>
                    <w:rPr>
                      <w:rFonts w:hint="eastAsia"/>
                      <w:caps w:val="0"/>
                      <w:color w:val="auto"/>
                      <w:spacing w:val="0"/>
                      <w:position w:val="0"/>
                      <w:highlight w:val="none"/>
                      <w:lang w:val="en-US" w:eastAsia="zh-CN"/>
                    </w:rPr>
                    <w:t>）</w:t>
                  </w:r>
                </w:p>
              </w:tc>
              <w:tc>
                <w:tcPr>
                  <w:tcW w:w="945" w:type="pct"/>
                  <w:noWrap w:val="0"/>
                  <w:vAlign w:val="center"/>
                </w:tcPr>
                <w:p w14:paraId="23F3A91B">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5</w:t>
                  </w:r>
                </w:p>
              </w:tc>
              <w:tc>
                <w:tcPr>
                  <w:tcW w:w="887" w:type="pct"/>
                  <w:noWrap w:val="0"/>
                  <w:vAlign w:val="center"/>
                </w:tcPr>
                <w:p w14:paraId="121C50CE">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新建</w:t>
                  </w:r>
                </w:p>
              </w:tc>
            </w:tr>
            <w:tr w14:paraId="50D450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0" w:type="auto"/>
                  <w:gridSpan w:val="2"/>
                  <w:noWrap w:val="0"/>
                  <w:vAlign w:val="center"/>
                </w:tcPr>
                <w:p w14:paraId="5D23D2A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总计</w:t>
                  </w:r>
                </w:p>
              </w:tc>
              <w:tc>
                <w:tcPr>
                  <w:tcW w:w="1981" w:type="pct"/>
                  <w:noWrap w:val="0"/>
                  <w:vAlign w:val="center"/>
                </w:tcPr>
                <w:p w14:paraId="6E7D203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w:t>
                  </w:r>
                </w:p>
              </w:tc>
              <w:tc>
                <w:tcPr>
                  <w:tcW w:w="945" w:type="pct"/>
                  <w:noWrap w:val="0"/>
                  <w:vAlign w:val="center"/>
                </w:tcPr>
                <w:p w14:paraId="1F3F4383">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100</w:t>
                  </w:r>
                </w:p>
              </w:tc>
              <w:tc>
                <w:tcPr>
                  <w:tcW w:w="887" w:type="pct"/>
                  <w:noWrap w:val="0"/>
                  <w:vAlign w:val="center"/>
                </w:tcPr>
                <w:p w14:paraId="20FC3D8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w:t>
                  </w:r>
                </w:p>
              </w:tc>
            </w:tr>
          </w:tbl>
          <w:p w14:paraId="41537F4A">
            <w:pPr>
              <w:pStyle w:val="74"/>
              <w:keepNext w:val="0"/>
              <w:keepLines w:val="0"/>
              <w:suppressLineNumbers w:val="0"/>
              <w:bidi w:val="0"/>
              <w:spacing w:before="0" w:beforeAutospacing="0" w:after="0" w:afterAutospacing="0"/>
              <w:ind w:left="0" w:right="0"/>
              <w:rPr>
                <w:rFonts w:hint="default"/>
                <w:b/>
                <w:bCs w:val="0"/>
                <w:caps w:val="0"/>
                <w:color w:val="auto"/>
                <w:spacing w:val="0"/>
                <w:position w:val="0"/>
                <w:highlight w:val="none"/>
              </w:rPr>
            </w:pPr>
            <w:r>
              <w:rPr>
                <w:rFonts w:hint="eastAsia"/>
                <w:b/>
                <w:bCs w:val="0"/>
                <w:caps w:val="0"/>
                <w:color w:val="auto"/>
                <w:spacing w:val="0"/>
                <w:position w:val="0"/>
                <w:highlight w:val="none"/>
                <w:lang w:val="en-US" w:eastAsia="zh-CN"/>
              </w:rPr>
              <w:t>11</w:t>
            </w:r>
            <w:r>
              <w:rPr>
                <w:rFonts w:hint="default"/>
                <w:b/>
                <w:bCs w:val="0"/>
                <w:caps w:val="0"/>
                <w:color w:val="auto"/>
                <w:spacing w:val="0"/>
                <w:position w:val="0"/>
                <w:highlight w:val="none"/>
              </w:rPr>
              <w:t>、环评与排污许可制度衔接相关工作</w:t>
            </w:r>
          </w:p>
          <w:p w14:paraId="7F01142C">
            <w:pPr>
              <w:pStyle w:val="74"/>
              <w:keepNext w:val="0"/>
              <w:keepLines w:val="0"/>
              <w:suppressLineNumbers w:val="0"/>
              <w:bidi w:val="0"/>
              <w:spacing w:before="0" w:beforeAutospacing="0" w:after="0" w:afterAutospacing="0"/>
              <w:ind w:left="0" w:right="0"/>
              <w:rPr>
                <w:rFonts w:hint="default" w:ascii="Times New Roman" w:hAnsi="Times New Roman"/>
                <w:caps w:val="0"/>
                <w:snapToGrid w:val="0"/>
                <w:color w:val="auto"/>
                <w:spacing w:val="0"/>
                <w:position w:val="0"/>
                <w:sz w:val="30"/>
                <w:szCs w:val="30"/>
                <w:highlight w:val="none"/>
              </w:rPr>
            </w:pPr>
            <w:r>
              <w:rPr>
                <w:rFonts w:hint="eastAsia"/>
                <w:caps w:val="0"/>
                <w:color w:val="auto"/>
                <w:spacing w:val="0"/>
                <w:position w:val="0"/>
                <w:highlight w:val="none"/>
                <w:lang w:val="en-US" w:eastAsia="zh-CN"/>
              </w:rPr>
              <w:t>根据</w:t>
            </w:r>
            <w:r>
              <w:rPr>
                <w:rFonts w:hint="default"/>
                <w:caps w:val="0"/>
                <w:color w:val="auto"/>
                <w:spacing w:val="0"/>
                <w:position w:val="0"/>
                <w:highlight w:val="none"/>
              </w:rPr>
              <w:t>环评与排污许可制度衔接相关工作的通知，本项目在执行环境影响评价中的相关要求的同时，应按照生态环境部办公厅于2017年11月15日发布的《关于做好环境影响评价制度与排污许可制度衔接相关工作的通知》（环办环评【2017】84号）、《排污许可管理办法》（2024年7月1日起施行）、《固定污染源排污许可分类管理名录（2019年版）》以及《排污许可管理条例》（2021年3月1日实施）要求做好排污许可制度的衔接工作。本项目主要从事</w:t>
            </w:r>
            <w:r>
              <w:rPr>
                <w:rFonts w:hint="eastAsia"/>
                <w:caps w:val="0"/>
                <w:color w:val="auto"/>
                <w:spacing w:val="0"/>
                <w:position w:val="0"/>
                <w:highlight w:val="none"/>
                <w:lang w:val="en-US" w:eastAsia="zh-CN"/>
              </w:rPr>
              <w:t>C3031粘土砖瓦及建筑砌块制造、N7723固体废物治理</w:t>
            </w:r>
            <w:r>
              <w:rPr>
                <w:rFonts w:hint="default"/>
                <w:caps w:val="0"/>
                <w:color w:val="auto"/>
                <w:spacing w:val="0"/>
                <w:position w:val="0"/>
                <w:highlight w:val="none"/>
              </w:rPr>
              <w:t>，对照《固定污染源排污许可分类管理名录（2019版）》，属于“二十五、非金属矿物制品业30”—“64、其他水泥类似制品制造3039”和“四十五、生态保护和环境治理业77”—“103环境治理业772专业从事一般工业固体废物贮存、处置（含焚烧发电）的”，按排污许可重点管理进行申报。</w:t>
            </w:r>
          </w:p>
        </w:tc>
      </w:tr>
    </w:tbl>
    <w:p w14:paraId="4DB74EF4">
      <w:pPr>
        <w:pStyle w:val="74"/>
        <w:bidi w:val="0"/>
        <w:ind w:left="0" w:leftChars="0" w:firstLine="0" w:firstLineChars="0"/>
        <w:rPr>
          <w:rFonts w:hint="eastAsia"/>
          <w:caps w:val="0"/>
          <w:color w:val="auto"/>
          <w:spacing w:val="0"/>
          <w:position w:val="0"/>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1DC976CA">
      <w:pPr>
        <w:pStyle w:val="20"/>
        <w:spacing w:before="0" w:beforeAutospacing="0" w:after="0" w:afterAutospacing="0"/>
        <w:ind w:firstLine="600"/>
        <w:jc w:val="center"/>
        <w:outlineLvl w:val="0"/>
        <w:rPr>
          <w:rFonts w:ascii="黑体" w:hAnsi="黑体" w:eastAsia="黑体"/>
          <w:caps w:val="0"/>
          <w:snapToGrid w:val="0"/>
          <w:color w:val="auto"/>
          <w:spacing w:val="0"/>
          <w:position w:val="0"/>
          <w:sz w:val="30"/>
          <w:szCs w:val="30"/>
          <w:highlight w:val="none"/>
        </w:rPr>
      </w:pPr>
      <w:bookmarkStart w:id="77" w:name="_Toc12865"/>
      <w:bookmarkStart w:id="78" w:name="_Toc1027"/>
      <w:bookmarkStart w:id="79" w:name="_Toc2503"/>
      <w:r>
        <w:rPr>
          <w:rFonts w:hint="eastAsia" w:ascii="黑体" w:hAnsi="黑体" w:eastAsia="黑体"/>
          <w:caps w:val="0"/>
          <w:snapToGrid w:val="0"/>
          <w:color w:val="auto"/>
          <w:spacing w:val="0"/>
          <w:position w:val="0"/>
          <w:sz w:val="30"/>
          <w:szCs w:val="30"/>
          <w:highlight w:val="none"/>
        </w:rPr>
        <w:t>五、</w:t>
      </w:r>
      <w:bookmarkStart w:id="80" w:name="_Hlk54167917"/>
      <w:r>
        <w:rPr>
          <w:rFonts w:hint="eastAsia" w:ascii="黑体" w:hAnsi="黑体" w:eastAsia="黑体"/>
          <w:caps w:val="0"/>
          <w:snapToGrid w:val="0"/>
          <w:color w:val="auto"/>
          <w:spacing w:val="0"/>
          <w:position w:val="0"/>
          <w:sz w:val="30"/>
          <w:szCs w:val="30"/>
          <w:highlight w:val="none"/>
        </w:rPr>
        <w:t>环境保护措施监督检查清单</w:t>
      </w:r>
      <w:bookmarkEnd w:id="77"/>
      <w:bookmarkEnd w:id="78"/>
      <w:bookmarkEnd w:id="79"/>
      <w:bookmarkEnd w:id="80"/>
    </w:p>
    <w:tbl>
      <w:tblPr>
        <w:tblStyle w:val="23"/>
        <w:tblW w:w="9133"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Layout w:type="fixed"/>
        <w:tblCellMar>
          <w:top w:w="0" w:type="dxa"/>
          <w:left w:w="108" w:type="dxa"/>
          <w:bottom w:w="0" w:type="dxa"/>
          <w:right w:w="108" w:type="dxa"/>
        </w:tblCellMar>
      </w:tblPr>
      <w:tblGrid>
        <w:gridCol w:w="1213"/>
        <w:gridCol w:w="1517"/>
        <w:gridCol w:w="1628"/>
        <w:gridCol w:w="1856"/>
        <w:gridCol w:w="2919"/>
      </w:tblGrid>
      <w:tr w14:paraId="7AEBE719">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97" w:hRule="atLeast"/>
          <w:jc w:val="center"/>
        </w:trPr>
        <w:tc>
          <w:tcPr>
            <w:tcW w:w="1213" w:type="dxa"/>
            <w:noWrap w:val="0"/>
            <w:vAlign w:val="top"/>
          </w:tcPr>
          <w:p w14:paraId="71C3DDC3">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mc:AlternateContent>
                <mc:Choice Requires="wps">
                  <w:drawing>
                    <wp:anchor distT="0" distB="0" distL="114300" distR="114300" simplePos="0" relativeHeight="251660288" behindDoc="0" locked="0" layoutInCell="1" allowOverlap="1">
                      <wp:simplePos x="0" y="0"/>
                      <wp:positionH relativeFrom="column">
                        <wp:posOffset>-46355</wp:posOffset>
                      </wp:positionH>
                      <wp:positionV relativeFrom="paragraph">
                        <wp:posOffset>635</wp:posOffset>
                      </wp:positionV>
                      <wp:extent cx="750570" cy="508000"/>
                      <wp:effectExtent l="2540" t="3810" r="8890" b="6350"/>
                      <wp:wrapNone/>
                      <wp:docPr id="21" name="直接连接符 21"/>
                      <wp:cNvGraphicFramePr/>
                      <a:graphic xmlns:a="http://schemas.openxmlformats.org/drawingml/2006/main">
                        <a:graphicData uri="http://schemas.microsoft.com/office/word/2010/wordprocessingShape">
                          <wps:wsp>
                            <wps:cNvCnPr/>
                            <wps:spPr>
                              <a:xfrm>
                                <a:off x="0" y="0"/>
                                <a:ext cx="750570" cy="5080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65pt;margin-top:0.05pt;height:40pt;width:59.1pt;z-index:251660288;mso-width-relative:page;mso-height-relative:page;" filled="f" stroked="t" coordsize="21600,21600" o:gfxdata="UEsDBAoAAAAAAIdO4kAAAAAAAAAAAAAAAAAEAAAAZHJzL1BLAwQUAAAACACHTuJAyemTItMAAAAG&#10;AQAADwAAAGRycy9kb3ducmV2LnhtbE2Oy07DMBBF90j8gzVIbKrWTitBCZl0AWTHhgJiO42HJCIe&#10;p7H7gK/HWcHyPnTvKTZn16sjj6HzgpAtDCiW2ttOGoS312q+BhUiiaXeCyN8c4BNeXlRUG79SV74&#10;uI2NSiMSckJoYxxyrUPdsqOw8ANLyj796CgmOTbajnRK467XS2NutKNO0kNLAz+0XH9tDw4hVO+8&#10;r35m9cx8rBrPy/3j8xMhXl9l5h5U5HP8K8OEn9ChTEw7fxAbVI8wv12l5uSrKc3MHagdwtpkoMtC&#10;/8cvfwFQSwMEFAAAAAgAh07iQBU9Cd/7AQAA6gMAAA4AAABkcnMvZTJvRG9jLnhtbK1TzY7TMBC+&#10;I/EOlu80aaWyS9R0D1uWC4JKwANMHSex5D953KZ9CV4AiRucOHLnbdh9DMZO6bK7lx7IwRl7xt/M&#10;93lmcbU3mu1kQOVszaeTkjNphWuU7Wr+6ePNi0vOMIJtQDsra36QyK+Wz58tBl/JmeudbmRgBGKx&#10;GnzN+xh9VRQoemkAJ85LS87WBQORtqErmgADoRtdzMryZTG40PjghESk09Xo5EfEcA6ga1sl5MqJ&#10;rZE2jqhBaohECXvlkS9ztW0rRXzftigj0zUnpjGvlITsTVqL5QKqLoDvlTiWAOeU8IiTAWUp6Qlq&#10;BRHYNqgnUEaJ4NC1cSKcKUYiWRFiMS0fafOhBy8zF5Ia/Ul0/H+w4t1uHZhqaj6bcmbB0Ivffvn5&#10;+/O3u19fab398Z2Rh2QaPFYUfW3X4bhDvw6J874NJv2JDdtnaQ8naeU+MkGHF/NyfkGiC3LNy8uy&#10;zNIX95d9wPhGOsOSUXOtbGIOFezeYqSEFPo3JB1ry4aav5rP5oQJ1IYtPT+ZxhMVtF2+i06r5kZp&#10;nW5g6DbXOrAdpFbIX6JFuA/CUpIVYD/GZdfYJL2E5rVtWDx40sjSbPBUgpENZ1rSKCWLAKGKoPQ5&#10;kZRaW6ogKTtqmayNaw70JFsfVNeTEln8HEMtkOs9tmvqsX/3Gel+RJd/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MnpkyLTAAAABgEAAA8AAAAAAAAAAQAgAAAAIgAAAGRycy9kb3ducmV2LnhtbFBL&#10;AQIUABQAAAAIAIdO4kAVPQnf+wEAAOoDAAAOAAAAAAAAAAEAIAAAACIBAABkcnMvZTJvRG9jLnht&#10;bFBLBQYAAAAABgAGAFkBAACPBQAAAAA=&#10;">
                      <v:fill on="f" focussize="0,0"/>
                      <v:stroke color="#000000" joinstyle="round"/>
                      <v:imagedata o:title=""/>
                      <o:lock v:ext="edit" aspectratio="f"/>
                    </v:line>
                  </w:pict>
                </mc:Fallback>
              </mc:AlternateContent>
            </w:r>
            <w:r>
              <w:rPr>
                <w:rFonts w:hint="default" w:ascii="Times New Roman" w:hAnsi="Times New Roman" w:cs="Times New Roman"/>
                <w:caps w:val="0"/>
                <w:color w:val="auto"/>
                <w:spacing w:val="0"/>
                <w:position w:val="0"/>
                <w:highlight w:val="none"/>
              </w:rPr>
              <w:t xml:space="preserve">     内容</w:t>
            </w:r>
          </w:p>
          <w:p w14:paraId="323532D6">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p>
          <w:p w14:paraId="6B79680F">
            <w:pPr>
              <w:pStyle w:val="81"/>
              <w:keepNext w:val="0"/>
              <w:keepLines w:val="0"/>
              <w:suppressLineNumbers w:val="0"/>
              <w:spacing w:before="0" w:beforeAutospacing="0" w:after="0" w:afterAutospacing="0"/>
              <w:ind w:left="0" w:right="0"/>
              <w:jc w:val="both"/>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要素</w:t>
            </w:r>
          </w:p>
        </w:tc>
        <w:tc>
          <w:tcPr>
            <w:tcW w:w="1517" w:type="dxa"/>
            <w:noWrap w:val="0"/>
            <w:vAlign w:val="center"/>
          </w:tcPr>
          <w:p w14:paraId="42B34AED">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排放口(编号、名称)/污染源</w:t>
            </w:r>
          </w:p>
        </w:tc>
        <w:tc>
          <w:tcPr>
            <w:tcW w:w="1628" w:type="dxa"/>
            <w:noWrap w:val="0"/>
            <w:vAlign w:val="center"/>
          </w:tcPr>
          <w:p w14:paraId="22FD4522">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污染物项目</w:t>
            </w:r>
          </w:p>
        </w:tc>
        <w:tc>
          <w:tcPr>
            <w:tcW w:w="1856" w:type="dxa"/>
            <w:noWrap w:val="0"/>
            <w:vAlign w:val="center"/>
          </w:tcPr>
          <w:p w14:paraId="04886EC1">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环境保护措施</w:t>
            </w:r>
          </w:p>
        </w:tc>
        <w:tc>
          <w:tcPr>
            <w:tcW w:w="2919" w:type="dxa"/>
            <w:noWrap w:val="0"/>
            <w:vAlign w:val="center"/>
          </w:tcPr>
          <w:p w14:paraId="00551B6A">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执行标准</w:t>
            </w:r>
          </w:p>
        </w:tc>
      </w:tr>
      <w:tr w14:paraId="73F47F13">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40" w:hRule="atLeast"/>
          <w:jc w:val="center"/>
        </w:trPr>
        <w:tc>
          <w:tcPr>
            <w:tcW w:w="1213" w:type="dxa"/>
            <w:vMerge w:val="restart"/>
            <w:noWrap w:val="0"/>
            <w:vAlign w:val="center"/>
          </w:tcPr>
          <w:p w14:paraId="137B4380">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大气环境</w:t>
            </w:r>
          </w:p>
        </w:tc>
        <w:tc>
          <w:tcPr>
            <w:tcW w:w="1517" w:type="dxa"/>
            <w:vMerge w:val="restart"/>
            <w:noWrap w:val="0"/>
            <w:vAlign w:val="center"/>
          </w:tcPr>
          <w:p w14:paraId="41179A7D">
            <w:pPr>
              <w:pStyle w:val="81"/>
              <w:keepNext w:val="0"/>
              <w:keepLines w:val="0"/>
              <w:suppressLineNumbers w:val="0"/>
              <w:spacing w:before="0" w:beforeAutospacing="0" w:after="0" w:afterAutospacing="0"/>
              <w:ind w:left="0" w:right="0"/>
              <w:rPr>
                <w:rFonts w:hint="default" w:ascii="Times New Roman" w:hAnsi="Times New Roman" w:eastAsia="宋体"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DA001（投料粉尘、</w:t>
            </w:r>
            <w:r>
              <w:rPr>
                <w:rFonts w:hint="default" w:ascii="Times New Roman" w:hAnsi="Times New Roman" w:cs="Times New Roman"/>
                <w:caps w:val="0"/>
                <w:color w:val="auto"/>
                <w:spacing w:val="0"/>
                <w:position w:val="0"/>
                <w:highlight w:val="none"/>
              </w:rPr>
              <w:t>搅拌粉尘</w:t>
            </w:r>
            <w:r>
              <w:rPr>
                <w:rFonts w:hint="default" w:ascii="Times New Roman" w:hAnsi="Times New Roman" w:cs="Times New Roman"/>
                <w:caps w:val="0"/>
                <w:color w:val="auto"/>
                <w:spacing w:val="0"/>
                <w:position w:val="0"/>
                <w:highlight w:val="none"/>
                <w:lang w:val="en-US" w:eastAsia="zh-CN"/>
              </w:rPr>
              <w:t>）</w:t>
            </w:r>
          </w:p>
        </w:tc>
        <w:tc>
          <w:tcPr>
            <w:tcW w:w="1628" w:type="dxa"/>
            <w:noWrap w:val="0"/>
            <w:vAlign w:val="center"/>
          </w:tcPr>
          <w:p w14:paraId="26C12C7C">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颗粒物</w:t>
            </w:r>
          </w:p>
        </w:tc>
        <w:tc>
          <w:tcPr>
            <w:tcW w:w="1856" w:type="dxa"/>
            <w:vMerge w:val="restart"/>
            <w:noWrap w:val="0"/>
            <w:vAlign w:val="center"/>
          </w:tcPr>
          <w:p w14:paraId="435377A5">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集气罩/密闭管道+布袋除尘</w:t>
            </w: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15m</w:t>
            </w:r>
            <w:r>
              <w:rPr>
                <w:rFonts w:hint="default" w:ascii="Times New Roman" w:hAnsi="Times New Roman" w:cs="Times New Roman"/>
                <w:caps w:val="0"/>
                <w:color w:val="auto"/>
                <w:spacing w:val="0"/>
                <w:position w:val="0"/>
                <w:highlight w:val="none"/>
              </w:rPr>
              <w:t>排气筒</w:t>
            </w:r>
            <w:r>
              <w:rPr>
                <w:rFonts w:hint="default" w:ascii="Times New Roman" w:hAnsi="Times New Roman" w:cs="Times New Roman"/>
                <w:caps w:val="0"/>
                <w:color w:val="auto"/>
                <w:spacing w:val="0"/>
                <w:position w:val="0"/>
                <w:highlight w:val="none"/>
                <w:lang w:val="en-US" w:eastAsia="zh-CN"/>
              </w:rPr>
              <w:t>排放</w:t>
            </w:r>
          </w:p>
        </w:tc>
        <w:tc>
          <w:tcPr>
            <w:tcW w:w="2919" w:type="dxa"/>
            <w:tcBorders>
              <w:bottom w:val="single" w:color="auto" w:sz="4" w:space="0"/>
            </w:tcBorders>
            <w:noWrap w:val="0"/>
            <w:vAlign w:val="center"/>
          </w:tcPr>
          <w:p w14:paraId="54D39B10">
            <w:pPr>
              <w:pStyle w:val="28"/>
              <w:keepNext w:val="0"/>
              <w:keepLines w:val="0"/>
              <w:suppressLineNumbers w:val="0"/>
              <w:bidi w:val="0"/>
              <w:spacing w:beforeAutospacing="0" w:afterAutospacing="0"/>
              <w:ind w:left="0" w:leftChars="0" w:right="0" w:rightChars="0"/>
              <w:rPr>
                <w:rFonts w:hint="default" w:ascii="Times New Roman" w:hAnsi="Times New Roman" w:cs="Times New Roman"/>
                <w:caps w:val="0"/>
                <w:color w:val="auto"/>
                <w:spacing w:val="0"/>
                <w:position w:val="0"/>
                <w:highlight w:val="none"/>
                <w:lang w:bidi="ar"/>
              </w:rPr>
            </w:pPr>
            <w:r>
              <w:rPr>
                <w:rFonts w:hint="default" w:ascii="Times New Roman" w:hAnsi="Times New Roman" w:cs="Times New Roman"/>
                <w:caps w:val="0"/>
                <w:color w:val="auto"/>
                <w:spacing w:val="0"/>
                <w:position w:val="0"/>
                <w:highlight w:val="none"/>
              </w:rPr>
              <w:t>《水泥工业大气污染物排放标准》（GB4915-2013）</w:t>
            </w:r>
          </w:p>
        </w:tc>
      </w:tr>
      <w:tr w14:paraId="77D28709">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40" w:hRule="atLeast"/>
          <w:jc w:val="center"/>
        </w:trPr>
        <w:tc>
          <w:tcPr>
            <w:tcW w:w="1213" w:type="dxa"/>
            <w:vMerge w:val="continue"/>
            <w:noWrap w:val="0"/>
            <w:vAlign w:val="center"/>
          </w:tcPr>
          <w:p w14:paraId="5DC61537">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p>
        </w:tc>
        <w:tc>
          <w:tcPr>
            <w:tcW w:w="1517" w:type="dxa"/>
            <w:vMerge w:val="continue"/>
            <w:noWrap w:val="0"/>
            <w:vAlign w:val="center"/>
          </w:tcPr>
          <w:p w14:paraId="18AE967F">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p>
        </w:tc>
        <w:tc>
          <w:tcPr>
            <w:tcW w:w="1628" w:type="dxa"/>
            <w:noWrap w:val="0"/>
            <w:vAlign w:val="center"/>
          </w:tcPr>
          <w:p w14:paraId="5AA5D288">
            <w:pPr>
              <w:pStyle w:val="28"/>
              <w:keepNext w:val="0"/>
              <w:keepLines w:val="0"/>
              <w:suppressLineNumbers w:val="0"/>
              <w:bidi w:val="0"/>
              <w:spacing w:beforeAutospacing="0" w:afterAutospacing="0"/>
              <w:ind w:left="0" w:leftChars="0" w:right="0" w:rightChars="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氟化物</w:t>
            </w:r>
          </w:p>
        </w:tc>
        <w:tc>
          <w:tcPr>
            <w:tcW w:w="1856" w:type="dxa"/>
            <w:vMerge w:val="continue"/>
            <w:noWrap w:val="0"/>
            <w:vAlign w:val="center"/>
          </w:tcPr>
          <w:p w14:paraId="039C31E4">
            <w:pPr>
              <w:pStyle w:val="28"/>
              <w:keepNext w:val="0"/>
              <w:keepLines w:val="0"/>
              <w:suppressLineNumbers w:val="0"/>
              <w:bidi w:val="0"/>
              <w:spacing w:beforeAutospacing="0" w:afterAutospacing="0"/>
              <w:ind w:left="0" w:leftChars="0" w:right="0" w:rightChars="0"/>
              <w:rPr>
                <w:rFonts w:hint="default" w:ascii="Times New Roman" w:hAnsi="Times New Roman" w:cs="Times New Roman"/>
                <w:caps w:val="0"/>
                <w:color w:val="auto"/>
                <w:spacing w:val="0"/>
                <w:position w:val="0"/>
                <w:highlight w:val="none"/>
                <w:lang w:val="en-US" w:eastAsia="zh-CN"/>
              </w:rPr>
            </w:pPr>
          </w:p>
        </w:tc>
        <w:tc>
          <w:tcPr>
            <w:tcW w:w="2919" w:type="dxa"/>
            <w:vMerge w:val="restart"/>
            <w:tcBorders>
              <w:bottom w:val="single" w:color="auto" w:sz="4" w:space="0"/>
            </w:tcBorders>
            <w:noWrap w:val="0"/>
            <w:vAlign w:val="center"/>
          </w:tcPr>
          <w:p w14:paraId="57F4E41D">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position w:val="0"/>
                <w:highlight w:val="none"/>
                <w:lang w:eastAsia="zh-CN"/>
              </w:rPr>
            </w:pPr>
            <w:r>
              <w:rPr>
                <w:rFonts w:hint="eastAsia" w:cs="Times New Roman"/>
                <w:caps w:val="0"/>
                <w:color w:val="auto"/>
                <w:spacing w:val="0"/>
                <w:position w:val="0"/>
                <w:highlight w:val="none"/>
                <w:lang w:eastAsia="zh-CN"/>
              </w:rPr>
              <w:t>《无机化学工业污染物排放标准》（GB31573-2015）修改单</w:t>
            </w:r>
          </w:p>
        </w:tc>
      </w:tr>
      <w:tr w14:paraId="0835945B">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40" w:hRule="atLeast"/>
          <w:jc w:val="center"/>
        </w:trPr>
        <w:tc>
          <w:tcPr>
            <w:tcW w:w="1213" w:type="dxa"/>
            <w:vMerge w:val="continue"/>
            <w:noWrap w:val="0"/>
            <w:vAlign w:val="center"/>
          </w:tcPr>
          <w:p w14:paraId="3F32EA9D">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p>
        </w:tc>
        <w:tc>
          <w:tcPr>
            <w:tcW w:w="1517" w:type="dxa"/>
            <w:vMerge w:val="continue"/>
            <w:noWrap w:val="0"/>
            <w:vAlign w:val="center"/>
          </w:tcPr>
          <w:p w14:paraId="0DBC3DAC">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p>
        </w:tc>
        <w:tc>
          <w:tcPr>
            <w:tcW w:w="1628" w:type="dxa"/>
            <w:noWrap w:val="0"/>
            <w:vAlign w:val="center"/>
          </w:tcPr>
          <w:p w14:paraId="79B43EC0">
            <w:pPr>
              <w:pStyle w:val="28"/>
              <w:keepNext w:val="0"/>
              <w:keepLines w:val="0"/>
              <w:suppressLineNumbers w:val="0"/>
              <w:bidi w:val="0"/>
              <w:spacing w:beforeAutospacing="0" w:afterAutospacing="0"/>
              <w:ind w:left="0" w:leftChars="0" w:right="0" w:rightChars="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铊及其化合物</w:t>
            </w:r>
          </w:p>
        </w:tc>
        <w:tc>
          <w:tcPr>
            <w:tcW w:w="1856" w:type="dxa"/>
            <w:vMerge w:val="continue"/>
            <w:noWrap w:val="0"/>
            <w:vAlign w:val="center"/>
          </w:tcPr>
          <w:p w14:paraId="39257911">
            <w:pPr>
              <w:pStyle w:val="28"/>
              <w:keepNext w:val="0"/>
              <w:keepLines w:val="0"/>
              <w:suppressLineNumbers w:val="0"/>
              <w:bidi w:val="0"/>
              <w:spacing w:beforeAutospacing="0" w:afterAutospacing="0"/>
              <w:ind w:left="0" w:leftChars="0" w:right="0" w:rightChars="0"/>
              <w:rPr>
                <w:rFonts w:hint="default" w:ascii="Times New Roman" w:hAnsi="Times New Roman" w:cs="Times New Roman"/>
                <w:caps w:val="0"/>
                <w:color w:val="auto"/>
                <w:spacing w:val="0"/>
                <w:position w:val="0"/>
                <w:highlight w:val="none"/>
                <w:lang w:val="en-US" w:eastAsia="zh-CN"/>
              </w:rPr>
            </w:pPr>
          </w:p>
        </w:tc>
        <w:tc>
          <w:tcPr>
            <w:tcW w:w="2919" w:type="dxa"/>
            <w:vMerge w:val="continue"/>
            <w:tcBorders>
              <w:bottom w:val="single" w:color="auto" w:sz="4" w:space="0"/>
            </w:tcBorders>
            <w:noWrap w:val="0"/>
            <w:vAlign w:val="center"/>
          </w:tcPr>
          <w:p w14:paraId="64DEC13A">
            <w:pPr>
              <w:pStyle w:val="28"/>
              <w:keepNext w:val="0"/>
              <w:keepLines w:val="0"/>
              <w:suppressLineNumbers w:val="0"/>
              <w:bidi w:val="0"/>
              <w:spacing w:beforeAutospacing="0" w:afterAutospacing="0"/>
              <w:ind w:left="0" w:leftChars="0" w:right="0" w:rightChars="0"/>
              <w:rPr>
                <w:rFonts w:hint="default" w:ascii="Times New Roman" w:hAnsi="Times New Roman" w:cs="Times New Roman"/>
                <w:caps w:val="0"/>
                <w:color w:val="auto"/>
                <w:spacing w:val="0"/>
                <w:position w:val="0"/>
                <w:highlight w:val="none"/>
              </w:rPr>
            </w:pPr>
          </w:p>
        </w:tc>
      </w:tr>
      <w:tr w14:paraId="64AAE132">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624" w:hRule="atLeast"/>
          <w:jc w:val="center"/>
        </w:trPr>
        <w:tc>
          <w:tcPr>
            <w:tcW w:w="1213" w:type="dxa"/>
            <w:vMerge w:val="continue"/>
            <w:noWrap w:val="0"/>
            <w:vAlign w:val="center"/>
          </w:tcPr>
          <w:p w14:paraId="5CA7E4EA">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p>
        </w:tc>
        <w:tc>
          <w:tcPr>
            <w:tcW w:w="1517" w:type="dxa"/>
            <w:vMerge w:val="continue"/>
            <w:noWrap w:val="0"/>
            <w:vAlign w:val="center"/>
          </w:tcPr>
          <w:p w14:paraId="2B2AC352">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p>
        </w:tc>
        <w:tc>
          <w:tcPr>
            <w:tcW w:w="1628" w:type="dxa"/>
            <w:noWrap w:val="0"/>
            <w:vAlign w:val="center"/>
          </w:tcPr>
          <w:p w14:paraId="6BA04125">
            <w:pPr>
              <w:pStyle w:val="28"/>
              <w:keepNext w:val="0"/>
              <w:keepLines w:val="0"/>
              <w:suppressLineNumbers w:val="0"/>
              <w:bidi w:val="0"/>
              <w:spacing w:beforeAutospacing="0" w:afterAutospacing="0"/>
              <w:ind w:left="0" w:leftChars="0" w:right="0" w:rightChars="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铍及其化合物</w:t>
            </w:r>
          </w:p>
        </w:tc>
        <w:tc>
          <w:tcPr>
            <w:tcW w:w="1856" w:type="dxa"/>
            <w:vMerge w:val="continue"/>
            <w:noWrap w:val="0"/>
            <w:vAlign w:val="center"/>
          </w:tcPr>
          <w:p w14:paraId="4D21AE1B">
            <w:pPr>
              <w:pStyle w:val="28"/>
              <w:keepNext w:val="0"/>
              <w:keepLines w:val="0"/>
              <w:suppressLineNumbers w:val="0"/>
              <w:bidi w:val="0"/>
              <w:spacing w:beforeAutospacing="0" w:afterAutospacing="0"/>
              <w:ind w:left="0" w:leftChars="0" w:right="0" w:rightChars="0"/>
              <w:rPr>
                <w:rFonts w:hint="default" w:ascii="Times New Roman" w:hAnsi="Times New Roman" w:cs="Times New Roman"/>
                <w:caps w:val="0"/>
                <w:color w:val="auto"/>
                <w:spacing w:val="0"/>
                <w:position w:val="0"/>
                <w:highlight w:val="none"/>
                <w:lang w:val="en-US" w:eastAsia="zh-CN"/>
              </w:rPr>
            </w:pPr>
          </w:p>
        </w:tc>
        <w:tc>
          <w:tcPr>
            <w:tcW w:w="2919" w:type="dxa"/>
            <w:tcBorders>
              <w:bottom w:val="single" w:color="auto" w:sz="4" w:space="0"/>
            </w:tcBorders>
            <w:noWrap w:val="0"/>
            <w:vAlign w:val="center"/>
          </w:tcPr>
          <w:p w14:paraId="6FEDB8DF">
            <w:pPr>
              <w:pStyle w:val="28"/>
              <w:keepNext w:val="0"/>
              <w:keepLines w:val="0"/>
              <w:suppressLineNumbers w:val="0"/>
              <w:bidi w:val="0"/>
              <w:spacing w:beforeAutospacing="0" w:afterAutospacing="0"/>
              <w:ind w:left="0" w:leftChars="0" w:right="0" w:rightChars="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《大气污染物综合排放标准》（GB16297-1996）</w:t>
            </w:r>
          </w:p>
        </w:tc>
      </w:tr>
      <w:tr w14:paraId="786A1519">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2080" w:hRule="atLeast"/>
          <w:jc w:val="center"/>
        </w:trPr>
        <w:tc>
          <w:tcPr>
            <w:tcW w:w="1213" w:type="dxa"/>
            <w:vMerge w:val="continue"/>
            <w:noWrap w:val="0"/>
            <w:vAlign w:val="center"/>
          </w:tcPr>
          <w:p w14:paraId="45958C46">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p>
        </w:tc>
        <w:tc>
          <w:tcPr>
            <w:tcW w:w="1517" w:type="dxa"/>
            <w:vMerge w:val="restart"/>
            <w:noWrap w:val="0"/>
            <w:vAlign w:val="center"/>
          </w:tcPr>
          <w:p w14:paraId="4F6CCAE5">
            <w:pPr>
              <w:pStyle w:val="81"/>
              <w:keepNext w:val="0"/>
              <w:keepLines w:val="0"/>
              <w:suppressLineNumbers w:val="0"/>
              <w:spacing w:before="0" w:beforeAutospacing="0" w:after="0" w:afterAutospacing="0"/>
              <w:ind w:left="0" w:right="0"/>
              <w:rPr>
                <w:rFonts w:hint="default" w:ascii="Times New Roman" w:hAnsi="Times New Roman" w:eastAsia="宋体"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无组织排放</w:t>
            </w:r>
          </w:p>
        </w:tc>
        <w:tc>
          <w:tcPr>
            <w:tcW w:w="1628" w:type="dxa"/>
            <w:noWrap w:val="0"/>
            <w:vAlign w:val="center"/>
          </w:tcPr>
          <w:p w14:paraId="7866B85C">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val="en-US" w:eastAsia="zh-CN"/>
              </w:rPr>
              <w:t>颗粒物、氟化物、铊及其化合物、铍及其化合物（</w:t>
            </w:r>
            <w:r>
              <w:rPr>
                <w:rFonts w:hint="default" w:ascii="Times New Roman" w:hAnsi="Times New Roman" w:cs="Times New Roman"/>
                <w:caps w:val="0"/>
                <w:color w:val="auto"/>
                <w:spacing w:val="0"/>
                <w:position w:val="0"/>
                <w:highlight w:val="none"/>
              </w:rPr>
              <w:t>搅拌粉尘、</w:t>
            </w:r>
            <w:r>
              <w:rPr>
                <w:rFonts w:hint="default" w:ascii="Times New Roman" w:hAnsi="Times New Roman" w:cs="Times New Roman"/>
                <w:caps w:val="0"/>
                <w:color w:val="auto"/>
                <w:spacing w:val="0"/>
                <w:position w:val="0"/>
                <w:highlight w:val="none"/>
                <w:lang w:val="en-US" w:eastAsia="zh-CN"/>
              </w:rPr>
              <w:t>储存粉尘、</w:t>
            </w:r>
            <w:r>
              <w:rPr>
                <w:rFonts w:hint="default" w:ascii="Times New Roman" w:hAnsi="Times New Roman" w:eastAsia="宋体" w:cs="Times New Roman"/>
                <w:caps w:val="0"/>
                <w:color w:val="auto"/>
                <w:spacing w:val="0"/>
                <w:position w:val="0"/>
                <w:szCs w:val="21"/>
                <w:highlight w:val="none"/>
                <w:lang w:val="en-US" w:eastAsia="zh-CN"/>
              </w:rPr>
              <w:t>运输扬尘</w:t>
            </w:r>
            <w:r>
              <w:rPr>
                <w:rFonts w:hint="default" w:ascii="Times New Roman" w:hAnsi="Times New Roman" w:cs="Times New Roman"/>
                <w:caps w:val="0"/>
                <w:color w:val="auto"/>
                <w:spacing w:val="0"/>
                <w:position w:val="0"/>
                <w:szCs w:val="21"/>
                <w:highlight w:val="none"/>
                <w:lang w:val="en-US" w:eastAsia="zh-CN"/>
              </w:rPr>
              <w:t>）</w:t>
            </w:r>
          </w:p>
        </w:tc>
        <w:tc>
          <w:tcPr>
            <w:tcW w:w="1856" w:type="dxa"/>
            <w:noWrap w:val="0"/>
            <w:vAlign w:val="center"/>
          </w:tcPr>
          <w:p w14:paraId="2A318976">
            <w:pPr>
              <w:pStyle w:val="81"/>
              <w:keepNext w:val="0"/>
              <w:keepLines w:val="0"/>
              <w:suppressLineNumbers w:val="0"/>
              <w:spacing w:before="0" w:beforeAutospacing="0" w:after="0" w:afterAutospacing="0"/>
              <w:ind w:left="0" w:right="0"/>
              <w:rPr>
                <w:rFonts w:hint="default" w:ascii="Times New Roman" w:hAnsi="Times New Roman" w:eastAsia="宋体" w:cs="Times New Roman"/>
                <w:caps w:val="0"/>
                <w:color w:val="auto"/>
                <w:spacing w:val="0"/>
                <w:position w:val="0"/>
                <w:highlight w:val="none"/>
                <w:lang w:val="en-US" w:eastAsia="zh-CN"/>
              </w:rPr>
            </w:pPr>
            <w:r>
              <w:rPr>
                <w:rFonts w:hint="default" w:ascii="Times New Roman" w:hAnsi="Times New Roman" w:eastAsia="宋体" w:cs="Times New Roman"/>
                <w:caps w:val="0"/>
                <w:color w:val="auto"/>
                <w:spacing w:val="0"/>
                <w:position w:val="0"/>
                <w:highlight w:val="none"/>
                <w:lang w:val="en-US" w:eastAsia="zh-CN"/>
              </w:rPr>
              <w:t>沉降+洒水</w:t>
            </w:r>
          </w:p>
        </w:tc>
        <w:tc>
          <w:tcPr>
            <w:tcW w:w="2919" w:type="dxa"/>
            <w:tcBorders>
              <w:bottom w:val="single" w:color="auto" w:sz="4" w:space="0"/>
            </w:tcBorders>
            <w:noWrap w:val="0"/>
            <w:vAlign w:val="center"/>
          </w:tcPr>
          <w:p w14:paraId="1283B6CF">
            <w:pPr>
              <w:pStyle w:val="28"/>
              <w:keepNext w:val="0"/>
              <w:keepLines w:val="0"/>
              <w:suppressLineNumbers w:val="0"/>
              <w:bidi w:val="0"/>
              <w:spacing w:beforeAutospacing="0" w:afterAutospacing="0"/>
              <w:ind w:left="0" w:right="0"/>
              <w:rPr>
                <w:rFonts w:hint="default" w:ascii="Times New Roman" w:hAnsi="Times New Roman" w:eastAsia="宋体" w:cs="Times New Roman"/>
                <w:caps w:val="0"/>
                <w:color w:val="auto"/>
                <w:spacing w:val="0"/>
                <w:position w:val="0"/>
                <w:highlight w:val="none"/>
                <w:lang w:eastAsia="zh-CN" w:bidi="ar"/>
              </w:rPr>
            </w:pPr>
            <w:r>
              <w:rPr>
                <w:rFonts w:hint="default" w:ascii="Times New Roman" w:hAnsi="Times New Roman" w:cs="Times New Roman"/>
                <w:caps w:val="0"/>
                <w:color w:val="auto"/>
                <w:spacing w:val="0"/>
                <w:position w:val="0"/>
                <w:highlight w:val="none"/>
              </w:rPr>
              <w:t>《水泥工业大气污染物排放标准》（GB4915-2013）</w:t>
            </w:r>
            <w:r>
              <w:rPr>
                <w:rFonts w:hint="default" w:ascii="Times New Roman" w:hAnsi="Times New Roman" w:cs="Times New Roman"/>
                <w:caps w:val="0"/>
                <w:color w:val="auto"/>
                <w:spacing w:val="0"/>
                <w:position w:val="0"/>
                <w:highlight w:val="none"/>
                <w:lang w:eastAsia="zh-CN"/>
              </w:rPr>
              <w:t>、</w:t>
            </w:r>
            <w:r>
              <w:rPr>
                <w:rFonts w:hint="eastAsia" w:cs="Times New Roman"/>
                <w:caps w:val="0"/>
                <w:color w:val="auto"/>
                <w:spacing w:val="0"/>
                <w:position w:val="0"/>
                <w:highlight w:val="none"/>
                <w:lang w:eastAsia="zh-CN"/>
              </w:rPr>
              <w:t>《无机化学工业污染物排放标准》（GB31573-2015）修改单</w:t>
            </w:r>
            <w:r>
              <w:rPr>
                <w:rFonts w:hint="default" w:ascii="Times New Roman" w:hAnsi="Times New Roman" w:cs="Times New Roman"/>
                <w:caps w:val="0"/>
                <w:color w:val="auto"/>
                <w:spacing w:val="0"/>
                <w:position w:val="0"/>
                <w:highlight w:val="none"/>
                <w:lang w:eastAsia="zh-CN"/>
              </w:rPr>
              <w:t>、《大气污染物综合排放标准》（GB16297-1996）</w:t>
            </w:r>
          </w:p>
        </w:tc>
      </w:tr>
      <w:tr w14:paraId="32859933">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846" w:hRule="atLeast"/>
          <w:jc w:val="center"/>
        </w:trPr>
        <w:tc>
          <w:tcPr>
            <w:tcW w:w="1213" w:type="dxa"/>
            <w:vMerge w:val="continue"/>
            <w:noWrap w:val="0"/>
            <w:vAlign w:val="center"/>
          </w:tcPr>
          <w:p w14:paraId="4EA3890C">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p>
        </w:tc>
        <w:tc>
          <w:tcPr>
            <w:tcW w:w="1517" w:type="dxa"/>
            <w:vMerge w:val="continue"/>
            <w:noWrap w:val="0"/>
            <w:vAlign w:val="center"/>
          </w:tcPr>
          <w:p w14:paraId="09E83E59">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p>
        </w:tc>
        <w:tc>
          <w:tcPr>
            <w:tcW w:w="1628" w:type="dxa"/>
            <w:noWrap w:val="0"/>
            <w:vAlign w:val="center"/>
          </w:tcPr>
          <w:p w14:paraId="66BE9B6B">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颗粒物（筒</w:t>
            </w:r>
            <w:r>
              <w:rPr>
                <w:rFonts w:hint="default" w:ascii="Times New Roman" w:hAnsi="Times New Roman" w:cs="Times New Roman"/>
                <w:caps w:val="0"/>
                <w:color w:val="auto"/>
                <w:spacing w:val="0"/>
                <w:position w:val="0"/>
                <w:highlight w:val="none"/>
              </w:rPr>
              <w:t>仓呼吸粉尘</w:t>
            </w:r>
            <w:r>
              <w:rPr>
                <w:rFonts w:hint="default" w:ascii="Times New Roman" w:hAnsi="Times New Roman" w:cs="Times New Roman"/>
                <w:caps w:val="0"/>
                <w:color w:val="auto"/>
                <w:spacing w:val="0"/>
                <w:position w:val="0"/>
                <w:highlight w:val="none"/>
                <w:lang w:eastAsia="zh-CN"/>
              </w:rPr>
              <w:t>）</w:t>
            </w:r>
          </w:p>
        </w:tc>
        <w:tc>
          <w:tcPr>
            <w:tcW w:w="1856" w:type="dxa"/>
            <w:noWrap w:val="0"/>
            <w:vAlign w:val="center"/>
          </w:tcPr>
          <w:p w14:paraId="3951C47E">
            <w:pPr>
              <w:pStyle w:val="81"/>
              <w:keepNext w:val="0"/>
              <w:keepLines w:val="0"/>
              <w:suppressLineNumbers w:val="0"/>
              <w:spacing w:before="0" w:beforeAutospacing="0" w:after="0" w:afterAutospacing="0"/>
              <w:ind w:left="0" w:right="0"/>
              <w:rPr>
                <w:rFonts w:hint="default" w:ascii="Times New Roman" w:hAnsi="Times New Roman" w:eastAsia="宋体"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布袋除尘</w:t>
            </w:r>
          </w:p>
        </w:tc>
        <w:tc>
          <w:tcPr>
            <w:tcW w:w="2919" w:type="dxa"/>
            <w:tcBorders>
              <w:bottom w:val="single" w:color="auto" w:sz="4" w:space="0"/>
            </w:tcBorders>
            <w:noWrap w:val="0"/>
            <w:vAlign w:val="center"/>
          </w:tcPr>
          <w:p w14:paraId="7C2D1830">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《水泥工业大气污染物排放标准》（GB4915-2013）</w:t>
            </w:r>
          </w:p>
        </w:tc>
      </w:tr>
      <w:tr w14:paraId="2BA60B89">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40" w:hRule="atLeast"/>
          <w:jc w:val="center"/>
        </w:trPr>
        <w:tc>
          <w:tcPr>
            <w:tcW w:w="1213" w:type="dxa"/>
            <w:vMerge w:val="restart"/>
            <w:tcBorders>
              <w:top w:val="single" w:color="000000" w:sz="8" w:space="0"/>
            </w:tcBorders>
            <w:noWrap w:val="0"/>
            <w:vAlign w:val="center"/>
          </w:tcPr>
          <w:p w14:paraId="5CB4D2FA">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地表水环境</w:t>
            </w:r>
          </w:p>
        </w:tc>
        <w:tc>
          <w:tcPr>
            <w:tcW w:w="1517" w:type="dxa"/>
            <w:noWrap w:val="0"/>
            <w:vAlign w:val="center"/>
          </w:tcPr>
          <w:p w14:paraId="58FFC4BB">
            <w:pPr>
              <w:pStyle w:val="81"/>
              <w:keepNext w:val="0"/>
              <w:keepLines w:val="0"/>
              <w:suppressLineNumbers w:val="0"/>
              <w:spacing w:before="0" w:beforeAutospacing="0" w:after="0" w:afterAutospacing="0"/>
              <w:ind w:left="0" w:right="0"/>
              <w:rPr>
                <w:rFonts w:hint="default" w:ascii="Times New Roman" w:hAnsi="Times New Roman" w:eastAsia="宋体"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洗车废水</w:t>
            </w:r>
          </w:p>
        </w:tc>
        <w:tc>
          <w:tcPr>
            <w:tcW w:w="1628" w:type="dxa"/>
            <w:noWrap w:val="0"/>
            <w:vAlign w:val="center"/>
          </w:tcPr>
          <w:p w14:paraId="15CC5561">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lang w:val="en-US"/>
              </w:rPr>
            </w:pPr>
            <w:r>
              <w:rPr>
                <w:rFonts w:hint="default" w:ascii="Times New Roman" w:hAnsi="Times New Roman" w:cs="Times New Roman"/>
                <w:caps w:val="0"/>
                <w:color w:val="auto"/>
                <w:spacing w:val="0"/>
                <w:position w:val="0"/>
                <w:highlight w:val="none"/>
                <w:lang w:val="en-US" w:eastAsia="zh-CN"/>
              </w:rPr>
              <w:t>pH、</w:t>
            </w:r>
            <w:r>
              <w:rPr>
                <w:rFonts w:hint="default" w:ascii="Times New Roman" w:hAnsi="Times New Roman" w:cs="Times New Roman"/>
                <w:caps w:val="0"/>
                <w:color w:val="auto"/>
                <w:spacing w:val="0"/>
                <w:position w:val="0"/>
                <w:highlight w:val="none"/>
              </w:rPr>
              <w:t>COD</w:t>
            </w:r>
            <w:r>
              <w:rPr>
                <w:rFonts w:hint="default" w:ascii="Times New Roman" w:hAnsi="Times New Roman" w:eastAsia="宋体" w:cs="Times New Roman"/>
                <w:caps w:val="0"/>
                <w:color w:val="auto"/>
                <w:spacing w:val="0"/>
                <w:position w:val="0"/>
                <w:highlight w:val="none"/>
                <w:vertAlign w:val="subscript"/>
                <w:lang w:val="en-US" w:eastAsia="zh-CN"/>
              </w:rPr>
              <w:t>C</w:t>
            </w:r>
            <w:r>
              <w:rPr>
                <w:rFonts w:hint="default" w:ascii="Times New Roman" w:hAnsi="Times New Roman" w:cs="Times New Roman"/>
                <w:caps w:val="0"/>
                <w:color w:val="auto"/>
                <w:spacing w:val="0"/>
                <w:position w:val="0"/>
                <w:highlight w:val="none"/>
                <w:vertAlign w:val="subscript"/>
              </w:rPr>
              <w:t>r</w:t>
            </w:r>
            <w:r>
              <w:rPr>
                <w:rFonts w:hint="default" w:ascii="Times New Roman" w:hAnsi="Times New Roman" w:cs="Times New Roman"/>
                <w:caps w:val="0"/>
                <w:color w:val="auto"/>
                <w:spacing w:val="0"/>
                <w:position w:val="0"/>
                <w:highlight w:val="none"/>
                <w:lang w:val="en-US" w:eastAsia="zh-CN"/>
              </w:rPr>
              <w:t>、SS、氨氮、铊、铍、</w:t>
            </w:r>
            <w:r>
              <w:rPr>
                <w:rFonts w:hint="default" w:ascii="Times New Roman" w:hAnsi="Times New Roman" w:eastAsia="宋体" w:cs="Times New Roman"/>
                <w:caps w:val="0"/>
                <w:color w:val="auto"/>
                <w:spacing w:val="0"/>
                <w:kern w:val="2"/>
                <w:position w:val="0"/>
                <w:sz w:val="21"/>
                <w:szCs w:val="21"/>
                <w:highlight w:val="none"/>
                <w:lang w:val="en-US" w:eastAsia="zh-CN" w:bidi="ar-SA"/>
              </w:rPr>
              <w:t>氟化物</w:t>
            </w:r>
            <w:r>
              <w:rPr>
                <w:rFonts w:hint="default" w:ascii="Times New Roman" w:hAnsi="Times New Roman" w:cs="Times New Roman"/>
                <w:caps w:val="0"/>
                <w:color w:val="auto"/>
                <w:spacing w:val="0"/>
                <w:position w:val="0"/>
                <w:highlight w:val="none"/>
                <w:lang w:val="en-US" w:eastAsia="zh-CN"/>
              </w:rPr>
              <w:t>等</w:t>
            </w:r>
          </w:p>
        </w:tc>
        <w:tc>
          <w:tcPr>
            <w:tcW w:w="1856" w:type="dxa"/>
            <w:noWrap w:val="0"/>
            <w:vAlign w:val="center"/>
          </w:tcPr>
          <w:p w14:paraId="18AAD70A">
            <w:pPr>
              <w:pStyle w:val="81"/>
              <w:keepNext w:val="0"/>
              <w:keepLines w:val="0"/>
              <w:suppressLineNumbers w:val="0"/>
              <w:spacing w:before="0" w:beforeAutospacing="0" w:after="0" w:afterAutospacing="0"/>
              <w:ind w:left="0" w:right="0"/>
              <w:rPr>
                <w:rFonts w:hint="default" w:ascii="Times New Roman" w:hAnsi="Times New Roman" w:eastAsia="宋体" w:cs="Times New Roman"/>
                <w:caps w:val="0"/>
                <w:color w:val="auto"/>
                <w:spacing w:val="0"/>
                <w:position w:val="0"/>
                <w:highlight w:val="none"/>
                <w:lang w:val="en-US" w:eastAsia="zh-CN" w:bidi="ar"/>
              </w:rPr>
            </w:pPr>
            <w:r>
              <w:rPr>
                <w:rFonts w:hint="default" w:ascii="Times New Roman" w:hAnsi="Times New Roman" w:cs="Times New Roman"/>
                <w:caps w:val="0"/>
                <w:color w:val="auto"/>
                <w:spacing w:val="0"/>
                <w:position w:val="0"/>
                <w:highlight w:val="none"/>
                <w:lang w:bidi="ar"/>
              </w:rPr>
              <w:t>经</w:t>
            </w:r>
            <w:r>
              <w:rPr>
                <w:rFonts w:hint="default" w:ascii="Times New Roman" w:hAnsi="Times New Roman" w:cs="Times New Roman"/>
                <w:caps w:val="0"/>
                <w:color w:val="auto"/>
                <w:spacing w:val="0"/>
                <w:position w:val="0"/>
                <w:highlight w:val="none"/>
                <w:lang w:val="en-US" w:eastAsia="zh-CN" w:bidi="ar"/>
              </w:rPr>
              <w:t>1#沉淀池</w:t>
            </w:r>
            <w:r>
              <w:rPr>
                <w:rFonts w:hint="default" w:ascii="Times New Roman" w:hAnsi="Times New Roman" w:cs="Times New Roman"/>
                <w:caps w:val="0"/>
                <w:color w:val="auto"/>
                <w:spacing w:val="0"/>
                <w:position w:val="0"/>
                <w:highlight w:val="none"/>
                <w:lang w:bidi="ar"/>
              </w:rPr>
              <w:t>（</w:t>
            </w:r>
            <w:r>
              <w:rPr>
                <w:rFonts w:hint="default" w:ascii="Times New Roman" w:hAnsi="Times New Roman" w:cs="Times New Roman"/>
                <w:caps w:val="0"/>
                <w:color w:val="auto"/>
                <w:spacing w:val="0"/>
                <w:position w:val="0"/>
                <w:highlight w:val="none"/>
                <w:lang w:val="en-US" w:eastAsia="zh-CN" w:bidi="ar"/>
              </w:rPr>
              <w:t>30</w:t>
            </w:r>
            <w:r>
              <w:rPr>
                <w:rFonts w:hint="default" w:ascii="Times New Roman" w:hAnsi="Times New Roman" w:cs="Times New Roman"/>
                <w:caps w:val="0"/>
                <w:color w:val="auto"/>
                <w:spacing w:val="0"/>
                <w:position w:val="0"/>
                <w:highlight w:val="none"/>
                <w:lang w:bidi="ar"/>
              </w:rPr>
              <w:t>m</w:t>
            </w:r>
            <w:r>
              <w:rPr>
                <w:rFonts w:hint="default" w:ascii="Times New Roman" w:hAnsi="Times New Roman" w:cs="Times New Roman"/>
                <w:caps w:val="0"/>
                <w:color w:val="auto"/>
                <w:spacing w:val="0"/>
                <w:position w:val="0"/>
                <w:highlight w:val="none"/>
                <w:vertAlign w:val="superscript"/>
                <w:lang w:val="en-US" w:eastAsia="zh-CN" w:bidi="ar"/>
              </w:rPr>
              <w:t>3</w:t>
            </w:r>
            <w:r>
              <w:rPr>
                <w:rFonts w:hint="default" w:ascii="Times New Roman" w:hAnsi="Times New Roman" w:cs="Times New Roman"/>
                <w:caps w:val="0"/>
                <w:color w:val="auto"/>
                <w:spacing w:val="0"/>
                <w:position w:val="0"/>
                <w:highlight w:val="none"/>
                <w:lang w:bidi="ar"/>
              </w:rPr>
              <w:t>）收集后，</w:t>
            </w:r>
            <w:r>
              <w:rPr>
                <w:rFonts w:hint="default" w:ascii="Times New Roman" w:hAnsi="Times New Roman" w:cs="Times New Roman"/>
                <w:caps w:val="0"/>
                <w:color w:val="auto"/>
                <w:spacing w:val="0"/>
                <w:position w:val="0"/>
                <w:highlight w:val="none"/>
                <w:lang w:val="en-US" w:eastAsia="zh-CN" w:bidi="ar"/>
              </w:rPr>
              <w:t>经氧化+絮凝沉淀处理后</w:t>
            </w:r>
            <w:r>
              <w:rPr>
                <w:rFonts w:hint="default" w:ascii="Times New Roman" w:hAnsi="Times New Roman" w:cs="Times New Roman"/>
                <w:caps w:val="0"/>
                <w:color w:val="auto"/>
                <w:spacing w:val="0"/>
                <w:position w:val="0"/>
                <w:highlight w:val="none"/>
                <w:lang w:bidi="ar"/>
              </w:rPr>
              <w:t>回用于</w:t>
            </w:r>
            <w:r>
              <w:rPr>
                <w:rFonts w:hint="default" w:ascii="Times New Roman" w:hAnsi="Times New Roman" w:cs="Times New Roman"/>
                <w:caps w:val="0"/>
                <w:color w:val="auto"/>
                <w:spacing w:val="0"/>
                <w:position w:val="0"/>
                <w:highlight w:val="none"/>
                <w:lang w:val="en-US" w:eastAsia="zh-CN" w:bidi="ar"/>
              </w:rPr>
              <w:t>搅拌用水</w:t>
            </w:r>
          </w:p>
        </w:tc>
        <w:tc>
          <w:tcPr>
            <w:tcW w:w="2919" w:type="dxa"/>
            <w:vMerge w:val="restart"/>
            <w:tcBorders>
              <w:top w:val="single" w:color="auto" w:sz="4" w:space="0"/>
            </w:tcBorders>
            <w:noWrap w:val="0"/>
            <w:vAlign w:val="center"/>
          </w:tcPr>
          <w:p w14:paraId="0C317B5E">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bidi="ar"/>
              </w:rPr>
            </w:pPr>
            <w:r>
              <w:rPr>
                <w:rFonts w:hint="default" w:ascii="Times New Roman" w:hAnsi="Times New Roman" w:cs="Times New Roman"/>
                <w:caps w:val="0"/>
                <w:color w:val="auto"/>
                <w:spacing w:val="0"/>
                <w:position w:val="0"/>
                <w:highlight w:val="none"/>
                <w:lang w:eastAsia="zh-CN"/>
              </w:rPr>
              <w:t>执行</w:t>
            </w:r>
            <w:r>
              <w:rPr>
                <w:rFonts w:hint="default" w:ascii="Times New Roman" w:hAnsi="Times New Roman" w:eastAsia="宋体" w:cs="Times New Roman"/>
                <w:caps w:val="0"/>
                <w:color w:val="auto"/>
                <w:spacing w:val="0"/>
                <w:position w:val="0"/>
                <w:highlight w:val="none"/>
                <w:lang w:eastAsia="zh-CN"/>
              </w:rPr>
              <w:t>《城市污水再生利用工业用水水质》（GB/T19923-2024）中洗涤水标准</w:t>
            </w:r>
            <w:r>
              <w:rPr>
                <w:rFonts w:hint="default" w:ascii="Times New Roman" w:hAnsi="Times New Roman" w:cs="Times New Roman"/>
                <w:caps w:val="0"/>
                <w:color w:val="auto"/>
                <w:spacing w:val="0"/>
                <w:position w:val="0"/>
                <w:highlight w:val="none"/>
                <w:lang w:eastAsia="zh-CN"/>
              </w:rPr>
              <w:t>、</w:t>
            </w:r>
            <w:r>
              <w:rPr>
                <w:rFonts w:hint="eastAsia" w:cs="Times New Roman"/>
                <w:caps w:val="0"/>
                <w:color w:val="auto"/>
                <w:spacing w:val="0"/>
                <w:position w:val="0"/>
                <w:highlight w:val="none"/>
                <w:lang w:eastAsia="zh-CN"/>
              </w:rPr>
              <w:t>《无机化学工业污染物排放标准》（GB31573-2015）修改单</w:t>
            </w:r>
            <w:r>
              <w:rPr>
                <w:rFonts w:hint="default" w:ascii="Times New Roman" w:hAnsi="Times New Roman" w:cs="Times New Roman"/>
                <w:caps w:val="0"/>
                <w:color w:val="auto"/>
                <w:spacing w:val="0"/>
                <w:position w:val="0"/>
                <w:highlight w:val="none"/>
              </w:rPr>
              <w:t>和《工业废水铊污染物排放标准》（DB36/1149-2019）</w:t>
            </w:r>
            <w:r>
              <w:rPr>
                <w:rFonts w:hint="default" w:ascii="Times New Roman" w:hAnsi="Times New Roman" w:cs="Times New Roman"/>
                <w:caps w:val="0"/>
                <w:color w:val="auto"/>
                <w:spacing w:val="0"/>
                <w:position w:val="0"/>
                <w:highlight w:val="none"/>
                <w:lang w:eastAsia="zh-CN"/>
              </w:rPr>
              <w:t>标准中的较严值</w:t>
            </w:r>
          </w:p>
        </w:tc>
      </w:tr>
      <w:tr w14:paraId="26507503">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40" w:hRule="atLeast"/>
          <w:jc w:val="center"/>
        </w:trPr>
        <w:tc>
          <w:tcPr>
            <w:tcW w:w="1213" w:type="dxa"/>
            <w:vMerge w:val="continue"/>
            <w:noWrap w:val="0"/>
            <w:vAlign w:val="center"/>
          </w:tcPr>
          <w:p w14:paraId="15E22247">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p>
        </w:tc>
        <w:tc>
          <w:tcPr>
            <w:tcW w:w="1517" w:type="dxa"/>
            <w:noWrap w:val="0"/>
            <w:vAlign w:val="center"/>
          </w:tcPr>
          <w:p w14:paraId="4F522073">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设备清洗废水水</w:t>
            </w:r>
          </w:p>
        </w:tc>
        <w:tc>
          <w:tcPr>
            <w:tcW w:w="1628" w:type="dxa"/>
            <w:noWrap w:val="0"/>
            <w:vAlign w:val="center"/>
          </w:tcPr>
          <w:p w14:paraId="4B141A88">
            <w:pPr>
              <w:pStyle w:val="81"/>
              <w:keepNext w:val="0"/>
              <w:keepLines w:val="0"/>
              <w:suppressLineNumbers w:val="0"/>
              <w:spacing w:before="0" w:beforeAutospacing="0" w:after="0" w:afterAutospacing="0"/>
              <w:ind w:left="0" w:right="0"/>
              <w:rPr>
                <w:rFonts w:hint="default" w:ascii="Times New Roman" w:hAnsi="Times New Roman" w:eastAsia="宋体"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SS等</w:t>
            </w:r>
          </w:p>
        </w:tc>
        <w:tc>
          <w:tcPr>
            <w:tcW w:w="1856" w:type="dxa"/>
            <w:noWrap w:val="0"/>
            <w:vAlign w:val="center"/>
          </w:tcPr>
          <w:p w14:paraId="68BD0111">
            <w:pPr>
              <w:pStyle w:val="81"/>
              <w:keepNext w:val="0"/>
              <w:keepLines w:val="0"/>
              <w:suppressLineNumbers w:val="0"/>
              <w:spacing w:before="0" w:beforeAutospacing="0" w:after="0" w:afterAutospacing="0"/>
              <w:ind w:left="0" w:right="0"/>
              <w:rPr>
                <w:rFonts w:hint="default" w:ascii="Times New Roman" w:hAnsi="Times New Roman" w:eastAsia="宋体" w:cs="Times New Roman"/>
                <w:caps w:val="0"/>
                <w:color w:val="auto"/>
                <w:spacing w:val="0"/>
                <w:position w:val="0"/>
                <w:highlight w:val="none"/>
                <w:lang w:val="en-US" w:eastAsia="zh-CN" w:bidi="ar"/>
              </w:rPr>
            </w:pPr>
            <w:r>
              <w:rPr>
                <w:rFonts w:hint="default" w:ascii="Times New Roman" w:hAnsi="Times New Roman" w:cs="Times New Roman"/>
                <w:caps w:val="0"/>
                <w:color w:val="auto"/>
                <w:spacing w:val="0"/>
                <w:position w:val="0"/>
                <w:highlight w:val="none"/>
                <w:lang w:bidi="ar"/>
              </w:rPr>
              <w:t>经</w:t>
            </w:r>
            <w:r>
              <w:rPr>
                <w:rFonts w:hint="default" w:ascii="Times New Roman" w:hAnsi="Times New Roman" w:cs="Times New Roman"/>
                <w:caps w:val="0"/>
                <w:color w:val="auto"/>
                <w:spacing w:val="0"/>
                <w:position w:val="0"/>
                <w:highlight w:val="none"/>
                <w:lang w:val="en-US" w:eastAsia="zh-CN" w:bidi="ar"/>
              </w:rPr>
              <w:t>2#沉淀池</w:t>
            </w:r>
            <w:r>
              <w:rPr>
                <w:rFonts w:hint="default" w:ascii="Times New Roman" w:hAnsi="Times New Roman" w:cs="Times New Roman"/>
                <w:caps w:val="0"/>
                <w:color w:val="auto"/>
                <w:spacing w:val="0"/>
                <w:position w:val="0"/>
                <w:highlight w:val="none"/>
                <w:lang w:bidi="ar"/>
              </w:rPr>
              <w:t>（</w:t>
            </w:r>
            <w:r>
              <w:rPr>
                <w:rFonts w:hint="default" w:ascii="Times New Roman" w:hAnsi="Times New Roman" w:cs="Times New Roman"/>
                <w:caps w:val="0"/>
                <w:color w:val="auto"/>
                <w:spacing w:val="0"/>
                <w:position w:val="0"/>
                <w:highlight w:val="none"/>
                <w:lang w:val="en-US" w:eastAsia="zh-CN" w:bidi="ar"/>
              </w:rPr>
              <w:t>10</w:t>
            </w:r>
            <w:r>
              <w:rPr>
                <w:rFonts w:hint="default" w:ascii="Times New Roman" w:hAnsi="Times New Roman" w:cs="Times New Roman"/>
                <w:caps w:val="0"/>
                <w:color w:val="auto"/>
                <w:spacing w:val="0"/>
                <w:position w:val="0"/>
                <w:highlight w:val="none"/>
                <w:lang w:bidi="ar"/>
              </w:rPr>
              <w:t>m</w:t>
            </w:r>
            <w:r>
              <w:rPr>
                <w:rFonts w:hint="default" w:ascii="Times New Roman" w:hAnsi="Times New Roman" w:cs="Times New Roman"/>
                <w:caps w:val="0"/>
                <w:color w:val="auto"/>
                <w:spacing w:val="0"/>
                <w:position w:val="0"/>
                <w:highlight w:val="none"/>
                <w:vertAlign w:val="superscript"/>
                <w:lang w:val="en-US" w:eastAsia="zh-CN" w:bidi="ar"/>
              </w:rPr>
              <w:t>3</w:t>
            </w:r>
            <w:r>
              <w:rPr>
                <w:rFonts w:hint="default" w:ascii="Times New Roman" w:hAnsi="Times New Roman" w:cs="Times New Roman"/>
                <w:caps w:val="0"/>
                <w:color w:val="auto"/>
                <w:spacing w:val="0"/>
                <w:position w:val="0"/>
                <w:highlight w:val="none"/>
                <w:lang w:bidi="ar"/>
              </w:rPr>
              <w:t>）收集后，</w:t>
            </w:r>
            <w:r>
              <w:rPr>
                <w:rFonts w:hint="default" w:ascii="Times New Roman" w:hAnsi="Times New Roman" w:cs="Times New Roman"/>
                <w:caps w:val="0"/>
                <w:color w:val="auto"/>
                <w:spacing w:val="0"/>
                <w:position w:val="0"/>
                <w:highlight w:val="none"/>
                <w:lang w:val="en-US" w:eastAsia="zh-CN" w:bidi="ar"/>
              </w:rPr>
              <w:t>经氧化+絮凝沉淀处理后</w:t>
            </w:r>
            <w:r>
              <w:rPr>
                <w:rFonts w:hint="default" w:ascii="Times New Roman" w:hAnsi="Times New Roman" w:cs="Times New Roman"/>
                <w:caps w:val="0"/>
                <w:color w:val="auto"/>
                <w:spacing w:val="0"/>
                <w:position w:val="0"/>
                <w:highlight w:val="none"/>
                <w:lang w:bidi="ar"/>
              </w:rPr>
              <w:t>回用于</w:t>
            </w:r>
            <w:r>
              <w:rPr>
                <w:rFonts w:hint="default" w:ascii="Times New Roman" w:hAnsi="Times New Roman" w:cs="Times New Roman"/>
                <w:caps w:val="0"/>
                <w:color w:val="auto"/>
                <w:spacing w:val="0"/>
                <w:position w:val="0"/>
                <w:highlight w:val="none"/>
                <w:lang w:val="en-US" w:eastAsia="zh-CN" w:bidi="ar"/>
              </w:rPr>
              <w:t>设备清洗用水</w:t>
            </w:r>
          </w:p>
        </w:tc>
        <w:tc>
          <w:tcPr>
            <w:tcW w:w="2919" w:type="dxa"/>
            <w:vMerge w:val="continue"/>
            <w:noWrap w:val="0"/>
            <w:vAlign w:val="center"/>
          </w:tcPr>
          <w:p w14:paraId="4AFB3356">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lang w:val="en-US" w:eastAsia="zh-CN" w:bidi="ar"/>
              </w:rPr>
            </w:pPr>
          </w:p>
        </w:tc>
      </w:tr>
      <w:tr w14:paraId="24A1B197">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40" w:hRule="atLeast"/>
          <w:jc w:val="center"/>
        </w:trPr>
        <w:tc>
          <w:tcPr>
            <w:tcW w:w="1213" w:type="dxa"/>
            <w:vMerge w:val="continue"/>
            <w:noWrap w:val="0"/>
            <w:vAlign w:val="center"/>
          </w:tcPr>
          <w:p w14:paraId="742E3F1E">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p>
        </w:tc>
        <w:tc>
          <w:tcPr>
            <w:tcW w:w="1517" w:type="dxa"/>
            <w:shd w:val="clear" w:color="auto" w:fill="auto"/>
            <w:noWrap w:val="0"/>
            <w:vAlign w:val="center"/>
          </w:tcPr>
          <w:p w14:paraId="580F68E1">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ascii="Times New Roman" w:hAnsi="Times New Roman" w:cs="Times New Roman"/>
                <w:caps w:val="0"/>
                <w:color w:val="auto"/>
                <w:spacing w:val="0"/>
                <w:position w:val="0"/>
                <w:highlight w:val="none"/>
                <w:lang w:val="en-US" w:eastAsia="zh-CN"/>
              </w:rPr>
              <w:t>养护废水</w:t>
            </w:r>
          </w:p>
        </w:tc>
        <w:tc>
          <w:tcPr>
            <w:tcW w:w="1628" w:type="dxa"/>
            <w:shd w:val="clear" w:color="auto" w:fill="auto"/>
            <w:noWrap w:val="0"/>
            <w:vAlign w:val="center"/>
          </w:tcPr>
          <w:p w14:paraId="42DC9725">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ascii="Times New Roman" w:hAnsi="Times New Roman" w:cs="Times New Roman"/>
                <w:caps w:val="0"/>
                <w:color w:val="auto"/>
                <w:spacing w:val="0"/>
                <w:position w:val="0"/>
                <w:highlight w:val="none"/>
                <w:lang w:val="en-US" w:eastAsia="zh-CN"/>
              </w:rPr>
              <w:t>SS等</w:t>
            </w:r>
          </w:p>
        </w:tc>
        <w:tc>
          <w:tcPr>
            <w:tcW w:w="1856" w:type="dxa"/>
            <w:shd w:val="clear" w:color="auto" w:fill="auto"/>
            <w:noWrap w:val="0"/>
            <w:vAlign w:val="center"/>
          </w:tcPr>
          <w:p w14:paraId="5E69DF43">
            <w:pPr>
              <w:pStyle w:val="81"/>
              <w:keepNext w:val="0"/>
              <w:keepLines w:val="0"/>
              <w:suppressLineNumbers w:val="0"/>
              <w:spacing w:before="0" w:beforeAutospacing="0" w:after="0" w:afterAutospacing="0"/>
              <w:ind w:left="0" w:leftChars="0" w:right="0" w:rightChars="0" w:firstLine="0" w:firstLineChars="0"/>
              <w:rPr>
                <w:rFonts w:hint="default" w:ascii="Times New Roman" w:hAnsi="Times New Roman" w:cs="Times New Roman"/>
                <w:caps w:val="0"/>
                <w:color w:val="auto"/>
                <w:spacing w:val="0"/>
                <w:position w:val="0"/>
                <w:highlight w:val="none"/>
                <w:lang w:val="en-US" w:bidi="ar"/>
              </w:rPr>
            </w:pPr>
            <w:r>
              <w:rPr>
                <w:rFonts w:hint="default" w:ascii="Times New Roman" w:hAnsi="Times New Roman" w:cs="Times New Roman"/>
                <w:caps w:val="0"/>
                <w:color w:val="auto"/>
                <w:spacing w:val="0"/>
                <w:position w:val="0"/>
                <w:highlight w:val="none"/>
                <w:lang w:bidi="ar"/>
              </w:rPr>
              <w:t>经</w:t>
            </w:r>
            <w:r>
              <w:rPr>
                <w:rFonts w:hint="default" w:ascii="Times New Roman" w:hAnsi="Times New Roman" w:cs="Times New Roman"/>
                <w:caps w:val="0"/>
                <w:color w:val="auto"/>
                <w:spacing w:val="0"/>
                <w:position w:val="0"/>
                <w:highlight w:val="none"/>
                <w:lang w:val="en-US" w:eastAsia="zh-CN" w:bidi="ar"/>
              </w:rPr>
              <w:t>3#沉淀池</w:t>
            </w:r>
            <w:r>
              <w:rPr>
                <w:rFonts w:hint="default" w:ascii="Times New Roman" w:hAnsi="Times New Roman" w:cs="Times New Roman"/>
                <w:caps w:val="0"/>
                <w:color w:val="auto"/>
                <w:spacing w:val="0"/>
                <w:position w:val="0"/>
                <w:highlight w:val="none"/>
                <w:lang w:bidi="ar"/>
              </w:rPr>
              <w:t>（</w:t>
            </w:r>
            <w:r>
              <w:rPr>
                <w:rFonts w:hint="default" w:ascii="Times New Roman" w:hAnsi="Times New Roman" w:cs="Times New Roman"/>
                <w:caps w:val="0"/>
                <w:color w:val="auto"/>
                <w:spacing w:val="0"/>
                <w:position w:val="0"/>
                <w:highlight w:val="none"/>
                <w:lang w:val="en-US" w:eastAsia="zh-CN" w:bidi="ar"/>
              </w:rPr>
              <w:t>10</w:t>
            </w:r>
            <w:r>
              <w:rPr>
                <w:rFonts w:hint="default" w:ascii="Times New Roman" w:hAnsi="Times New Roman" w:cs="Times New Roman"/>
                <w:caps w:val="0"/>
                <w:color w:val="auto"/>
                <w:spacing w:val="0"/>
                <w:position w:val="0"/>
                <w:highlight w:val="none"/>
                <w:lang w:bidi="ar"/>
              </w:rPr>
              <w:t>m</w:t>
            </w:r>
            <w:r>
              <w:rPr>
                <w:rFonts w:hint="default" w:ascii="Times New Roman" w:hAnsi="Times New Roman" w:cs="Times New Roman"/>
                <w:caps w:val="0"/>
                <w:color w:val="auto"/>
                <w:spacing w:val="0"/>
                <w:position w:val="0"/>
                <w:highlight w:val="none"/>
                <w:vertAlign w:val="superscript"/>
                <w:lang w:val="en-US" w:eastAsia="zh-CN" w:bidi="ar"/>
              </w:rPr>
              <w:t>3</w:t>
            </w:r>
            <w:r>
              <w:rPr>
                <w:rFonts w:hint="default" w:ascii="Times New Roman" w:hAnsi="Times New Roman" w:cs="Times New Roman"/>
                <w:caps w:val="0"/>
                <w:color w:val="auto"/>
                <w:spacing w:val="0"/>
                <w:position w:val="0"/>
                <w:highlight w:val="none"/>
                <w:lang w:bidi="ar"/>
              </w:rPr>
              <w:t>）收集后，</w:t>
            </w:r>
            <w:r>
              <w:rPr>
                <w:rFonts w:hint="default" w:ascii="Times New Roman" w:hAnsi="Times New Roman" w:cs="Times New Roman"/>
                <w:caps w:val="0"/>
                <w:color w:val="auto"/>
                <w:spacing w:val="0"/>
                <w:position w:val="0"/>
                <w:highlight w:val="none"/>
                <w:lang w:val="en-US" w:eastAsia="zh-CN" w:bidi="ar"/>
              </w:rPr>
              <w:t>经氧化+絮凝沉淀处理后</w:t>
            </w:r>
            <w:r>
              <w:rPr>
                <w:rFonts w:hint="default" w:ascii="Times New Roman" w:hAnsi="Times New Roman" w:cs="Times New Roman"/>
                <w:caps w:val="0"/>
                <w:color w:val="auto"/>
                <w:spacing w:val="0"/>
                <w:position w:val="0"/>
                <w:highlight w:val="none"/>
                <w:lang w:bidi="ar"/>
              </w:rPr>
              <w:t>回用于</w:t>
            </w:r>
            <w:r>
              <w:rPr>
                <w:rFonts w:hint="default" w:ascii="Times New Roman" w:hAnsi="Times New Roman" w:cs="Times New Roman"/>
                <w:caps w:val="0"/>
                <w:color w:val="auto"/>
                <w:spacing w:val="0"/>
                <w:position w:val="0"/>
                <w:highlight w:val="none"/>
                <w:lang w:val="en-US" w:eastAsia="zh-CN" w:bidi="ar"/>
              </w:rPr>
              <w:t>养护用水</w:t>
            </w:r>
          </w:p>
        </w:tc>
        <w:tc>
          <w:tcPr>
            <w:tcW w:w="2919" w:type="dxa"/>
            <w:vMerge w:val="continue"/>
            <w:shd w:val="clear" w:color="auto" w:fill="auto"/>
            <w:noWrap w:val="0"/>
            <w:vAlign w:val="center"/>
          </w:tcPr>
          <w:p w14:paraId="1ADD2E81">
            <w:pPr>
              <w:pStyle w:val="81"/>
              <w:keepNext w:val="0"/>
              <w:keepLines w:val="0"/>
              <w:suppressLineNumbers w:val="0"/>
              <w:spacing w:before="0" w:beforeAutospacing="0" w:after="0" w:afterAutospacing="0"/>
              <w:ind w:left="0" w:leftChars="0" w:right="0" w:rightChars="0" w:firstLine="0" w:firstLineChars="0"/>
              <w:rPr>
                <w:rFonts w:hint="default" w:ascii="Times New Roman" w:hAnsi="Times New Roman" w:cs="Times New Roman"/>
                <w:caps w:val="0"/>
                <w:color w:val="auto"/>
                <w:spacing w:val="0"/>
                <w:position w:val="0"/>
                <w:highlight w:val="none"/>
                <w:lang w:val="en-US" w:eastAsia="zh-CN" w:bidi="ar"/>
              </w:rPr>
            </w:pPr>
          </w:p>
        </w:tc>
      </w:tr>
      <w:tr w14:paraId="3F461DE0">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40" w:hRule="atLeast"/>
          <w:jc w:val="center"/>
        </w:trPr>
        <w:tc>
          <w:tcPr>
            <w:tcW w:w="1213" w:type="dxa"/>
            <w:vMerge w:val="continue"/>
            <w:noWrap w:val="0"/>
            <w:vAlign w:val="center"/>
          </w:tcPr>
          <w:p w14:paraId="6570DBEF">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p>
        </w:tc>
        <w:tc>
          <w:tcPr>
            <w:tcW w:w="1517" w:type="dxa"/>
            <w:shd w:val="clear" w:color="auto" w:fill="auto"/>
            <w:noWrap w:val="0"/>
            <w:vAlign w:val="center"/>
          </w:tcPr>
          <w:p w14:paraId="5B5260CD">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ascii="Times New Roman" w:hAnsi="Times New Roman" w:cs="Times New Roman"/>
                <w:caps w:val="0"/>
                <w:color w:val="auto"/>
                <w:spacing w:val="0"/>
                <w:position w:val="0"/>
                <w:highlight w:val="none"/>
                <w:lang w:val="en-US" w:eastAsia="zh-CN"/>
              </w:rPr>
              <w:t>初期雨水</w:t>
            </w:r>
          </w:p>
        </w:tc>
        <w:tc>
          <w:tcPr>
            <w:tcW w:w="1628" w:type="dxa"/>
            <w:shd w:val="clear" w:color="auto" w:fill="auto"/>
            <w:noWrap w:val="0"/>
            <w:vAlign w:val="center"/>
          </w:tcPr>
          <w:p w14:paraId="7D4EB924">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default" w:ascii="Times New Roman" w:hAnsi="Times New Roman" w:cs="Times New Roman"/>
                <w:caps w:val="0"/>
                <w:color w:val="auto"/>
                <w:spacing w:val="0"/>
                <w:position w:val="0"/>
                <w:highlight w:val="none"/>
                <w:lang w:val="en-US" w:eastAsia="zh-CN"/>
              </w:rPr>
              <w:t>pH、</w:t>
            </w:r>
            <w:r>
              <w:rPr>
                <w:rFonts w:hint="default" w:ascii="Times New Roman" w:hAnsi="Times New Roman" w:cs="Times New Roman"/>
                <w:caps w:val="0"/>
                <w:color w:val="auto"/>
                <w:spacing w:val="0"/>
                <w:position w:val="0"/>
                <w:highlight w:val="none"/>
              </w:rPr>
              <w:t>COD</w:t>
            </w:r>
            <w:r>
              <w:rPr>
                <w:rFonts w:hint="default" w:ascii="Times New Roman" w:hAnsi="Times New Roman" w:eastAsia="宋体" w:cs="Times New Roman"/>
                <w:caps w:val="0"/>
                <w:color w:val="auto"/>
                <w:spacing w:val="0"/>
                <w:position w:val="0"/>
                <w:highlight w:val="none"/>
                <w:vertAlign w:val="subscript"/>
                <w:lang w:val="en-US" w:eastAsia="zh-CN"/>
              </w:rPr>
              <w:t>C</w:t>
            </w:r>
            <w:r>
              <w:rPr>
                <w:rFonts w:hint="default" w:ascii="Times New Roman" w:hAnsi="Times New Roman" w:cs="Times New Roman"/>
                <w:caps w:val="0"/>
                <w:color w:val="auto"/>
                <w:spacing w:val="0"/>
                <w:position w:val="0"/>
                <w:highlight w:val="none"/>
                <w:vertAlign w:val="subscript"/>
              </w:rPr>
              <w:t>r</w:t>
            </w:r>
            <w:r>
              <w:rPr>
                <w:rFonts w:hint="default" w:ascii="Times New Roman" w:hAnsi="Times New Roman" w:cs="Times New Roman"/>
                <w:caps w:val="0"/>
                <w:color w:val="auto"/>
                <w:spacing w:val="0"/>
                <w:position w:val="0"/>
                <w:highlight w:val="none"/>
                <w:lang w:val="en-US" w:eastAsia="zh-CN"/>
              </w:rPr>
              <w:t>、SS、氨氮、铊、铍、</w:t>
            </w:r>
            <w:r>
              <w:rPr>
                <w:rFonts w:hint="default" w:ascii="Times New Roman" w:hAnsi="Times New Roman" w:eastAsia="宋体" w:cs="Times New Roman"/>
                <w:caps w:val="0"/>
                <w:color w:val="auto"/>
                <w:spacing w:val="0"/>
                <w:kern w:val="2"/>
                <w:position w:val="0"/>
                <w:sz w:val="21"/>
                <w:szCs w:val="21"/>
                <w:highlight w:val="none"/>
                <w:lang w:val="en-US" w:eastAsia="zh-CN" w:bidi="ar-SA"/>
              </w:rPr>
              <w:t>氟化物</w:t>
            </w:r>
            <w:r>
              <w:rPr>
                <w:rFonts w:hint="default" w:ascii="Times New Roman" w:hAnsi="Times New Roman" w:cs="Times New Roman"/>
                <w:caps w:val="0"/>
                <w:color w:val="auto"/>
                <w:spacing w:val="0"/>
                <w:position w:val="0"/>
                <w:highlight w:val="none"/>
                <w:lang w:val="en-US" w:eastAsia="zh-CN"/>
              </w:rPr>
              <w:t>等</w:t>
            </w:r>
          </w:p>
        </w:tc>
        <w:tc>
          <w:tcPr>
            <w:tcW w:w="1856" w:type="dxa"/>
            <w:shd w:val="clear" w:color="auto" w:fill="auto"/>
            <w:noWrap w:val="0"/>
            <w:vAlign w:val="center"/>
          </w:tcPr>
          <w:p w14:paraId="6A8EFAF8">
            <w:pPr>
              <w:pStyle w:val="8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aps w:val="0"/>
                <w:snapToGrid w:val="0"/>
                <w:color w:val="auto"/>
                <w:spacing w:val="0"/>
                <w:kern w:val="0"/>
                <w:position w:val="0"/>
                <w:sz w:val="21"/>
                <w:szCs w:val="21"/>
                <w:highlight w:val="none"/>
                <w:lang w:val="en-US" w:eastAsia="zh-CN" w:bidi="ar"/>
              </w:rPr>
            </w:pPr>
            <w:r>
              <w:rPr>
                <w:rFonts w:hint="default" w:ascii="Times New Roman" w:hAnsi="Times New Roman" w:cs="Times New Roman"/>
                <w:caps w:val="0"/>
                <w:color w:val="auto"/>
                <w:spacing w:val="0"/>
                <w:position w:val="0"/>
                <w:highlight w:val="none"/>
                <w:lang w:bidi="ar"/>
              </w:rPr>
              <w:t>经</w:t>
            </w:r>
            <w:r>
              <w:rPr>
                <w:rFonts w:hint="default" w:ascii="Times New Roman" w:hAnsi="Times New Roman" w:cs="Times New Roman"/>
                <w:caps w:val="0"/>
                <w:color w:val="auto"/>
                <w:spacing w:val="0"/>
                <w:position w:val="0"/>
                <w:highlight w:val="none"/>
                <w:lang w:val="en-US" w:eastAsia="zh-CN" w:bidi="ar"/>
              </w:rPr>
              <w:t>初期雨水池</w:t>
            </w:r>
            <w:r>
              <w:rPr>
                <w:rFonts w:hint="default" w:ascii="Times New Roman" w:hAnsi="Times New Roman" w:cs="Times New Roman"/>
                <w:caps w:val="0"/>
                <w:color w:val="auto"/>
                <w:spacing w:val="0"/>
                <w:position w:val="0"/>
                <w:highlight w:val="none"/>
                <w:lang w:bidi="ar"/>
              </w:rPr>
              <w:t>（</w:t>
            </w:r>
            <w:r>
              <w:rPr>
                <w:rFonts w:hint="default" w:ascii="Times New Roman" w:hAnsi="Times New Roman" w:cs="Times New Roman"/>
                <w:caps w:val="0"/>
                <w:color w:val="auto"/>
                <w:spacing w:val="0"/>
                <w:position w:val="0"/>
                <w:highlight w:val="none"/>
                <w:lang w:val="en-US" w:eastAsia="zh-CN" w:bidi="ar"/>
              </w:rPr>
              <w:t>700</w:t>
            </w:r>
            <w:r>
              <w:rPr>
                <w:rFonts w:hint="default" w:ascii="Times New Roman" w:hAnsi="Times New Roman" w:cs="Times New Roman"/>
                <w:caps w:val="0"/>
                <w:color w:val="auto"/>
                <w:spacing w:val="0"/>
                <w:position w:val="0"/>
                <w:highlight w:val="none"/>
                <w:lang w:bidi="ar"/>
              </w:rPr>
              <w:t>m</w:t>
            </w:r>
            <w:r>
              <w:rPr>
                <w:rFonts w:hint="default" w:ascii="Times New Roman" w:hAnsi="Times New Roman" w:cs="Times New Roman"/>
                <w:caps w:val="0"/>
                <w:color w:val="auto"/>
                <w:spacing w:val="0"/>
                <w:position w:val="0"/>
                <w:highlight w:val="none"/>
                <w:vertAlign w:val="superscript"/>
                <w:lang w:val="en-US" w:eastAsia="zh-CN" w:bidi="ar"/>
              </w:rPr>
              <w:t>3</w:t>
            </w:r>
            <w:r>
              <w:rPr>
                <w:rFonts w:hint="default" w:ascii="Times New Roman" w:hAnsi="Times New Roman" w:cs="Times New Roman"/>
                <w:caps w:val="0"/>
                <w:color w:val="auto"/>
                <w:spacing w:val="0"/>
                <w:position w:val="0"/>
                <w:highlight w:val="none"/>
                <w:lang w:bidi="ar"/>
              </w:rPr>
              <w:t>）收集后，</w:t>
            </w:r>
            <w:r>
              <w:rPr>
                <w:rFonts w:hint="default" w:ascii="Times New Roman" w:hAnsi="Times New Roman" w:cs="Times New Roman"/>
                <w:caps w:val="0"/>
                <w:color w:val="auto"/>
                <w:spacing w:val="0"/>
                <w:position w:val="0"/>
                <w:highlight w:val="none"/>
                <w:lang w:val="en-US" w:eastAsia="zh-CN" w:bidi="ar"/>
              </w:rPr>
              <w:t>经氧化+絮凝沉淀处理后</w:t>
            </w:r>
            <w:r>
              <w:rPr>
                <w:rStyle w:val="31"/>
                <w:rFonts w:hint="default" w:ascii="Times New Roman" w:hAnsi="Times New Roman" w:cs="Times New Roman"/>
                <w:caps w:val="0"/>
                <w:color w:val="auto"/>
                <w:spacing w:val="0"/>
                <w:position w:val="0"/>
                <w:highlight w:val="none"/>
              </w:rPr>
              <w:t>回用于</w:t>
            </w:r>
            <w:r>
              <w:rPr>
                <w:rStyle w:val="31"/>
                <w:rFonts w:hint="default" w:ascii="Times New Roman" w:hAnsi="Times New Roman" w:cs="Times New Roman"/>
                <w:caps w:val="0"/>
                <w:color w:val="auto"/>
                <w:spacing w:val="0"/>
                <w:position w:val="0"/>
                <w:highlight w:val="none"/>
                <w:lang w:val="en-US" w:eastAsia="zh-CN"/>
              </w:rPr>
              <w:t>搅拌</w:t>
            </w:r>
            <w:r>
              <w:rPr>
                <w:rStyle w:val="31"/>
                <w:rFonts w:hint="default" w:ascii="Times New Roman" w:hAnsi="Times New Roman" w:cs="Times New Roman"/>
                <w:caps w:val="0"/>
                <w:color w:val="auto"/>
                <w:spacing w:val="0"/>
                <w:position w:val="0"/>
                <w:highlight w:val="none"/>
              </w:rPr>
              <w:t>用水</w:t>
            </w:r>
            <w:r>
              <w:rPr>
                <w:rStyle w:val="31"/>
                <w:rFonts w:hint="default" w:ascii="Times New Roman" w:hAnsi="Times New Roman" w:cs="Times New Roman"/>
                <w:caps w:val="0"/>
                <w:color w:val="auto"/>
                <w:spacing w:val="0"/>
                <w:position w:val="0"/>
                <w:highlight w:val="none"/>
                <w:lang w:val="en-US" w:eastAsia="zh-CN"/>
              </w:rPr>
              <w:t>和降尘用水</w:t>
            </w:r>
          </w:p>
        </w:tc>
        <w:tc>
          <w:tcPr>
            <w:tcW w:w="2919" w:type="dxa"/>
            <w:shd w:val="clear" w:color="auto" w:fill="auto"/>
            <w:noWrap w:val="0"/>
            <w:vAlign w:val="center"/>
          </w:tcPr>
          <w:p w14:paraId="2D2886EE">
            <w:pPr>
              <w:pStyle w:val="81"/>
              <w:keepNext w:val="0"/>
              <w:keepLines w:val="0"/>
              <w:suppressLineNumbers w:val="0"/>
              <w:spacing w:before="0" w:beforeAutospacing="0" w:after="0" w:afterAutospacing="0"/>
              <w:ind w:left="0" w:leftChars="0" w:right="0" w:rightChars="0" w:firstLine="0" w:firstLineChars="0"/>
              <w:rPr>
                <w:rFonts w:hint="default" w:ascii="Times New Roman" w:hAnsi="Times New Roman" w:cs="Times New Roman"/>
                <w:caps w:val="0"/>
                <w:color w:val="auto"/>
                <w:spacing w:val="0"/>
                <w:position w:val="0"/>
                <w:highlight w:val="none"/>
                <w:lang w:val="en-US" w:eastAsia="zh-CN" w:bidi="ar"/>
              </w:rPr>
            </w:pPr>
            <w:r>
              <w:rPr>
                <w:rFonts w:hint="default" w:ascii="Times New Roman" w:hAnsi="Times New Roman" w:eastAsia="宋体" w:cs="Times New Roman"/>
                <w:caps w:val="0"/>
                <w:color w:val="auto"/>
                <w:spacing w:val="0"/>
                <w:position w:val="0"/>
                <w:highlight w:val="none"/>
                <w:lang w:eastAsia="zh-CN"/>
              </w:rPr>
              <w:t>《城市污水再生利用工业用水水质》（GB/T19923-2024）、</w:t>
            </w:r>
            <w:r>
              <w:rPr>
                <w:rFonts w:hint="eastAsia" w:cs="Times New Roman"/>
                <w:caps w:val="0"/>
                <w:color w:val="auto"/>
                <w:spacing w:val="0"/>
                <w:position w:val="0"/>
                <w:highlight w:val="none"/>
                <w:lang w:eastAsia="zh-CN"/>
              </w:rPr>
              <w:t>《无机化学工业污染物排放标准》（GB31573-2015）修改单</w:t>
            </w:r>
            <w:r>
              <w:rPr>
                <w:rFonts w:hint="default" w:ascii="Times New Roman" w:hAnsi="Times New Roman" w:eastAsia="宋体" w:cs="Times New Roman"/>
                <w:caps w:val="0"/>
                <w:color w:val="auto"/>
                <w:spacing w:val="0"/>
                <w:position w:val="0"/>
                <w:highlight w:val="none"/>
                <w:lang w:eastAsia="zh-CN"/>
              </w:rPr>
              <w:t>、</w:t>
            </w:r>
            <w:r>
              <w:rPr>
                <w:rFonts w:hint="default" w:ascii="Times New Roman" w:hAnsi="Times New Roman" w:eastAsia="宋体" w:cs="Times New Roman"/>
                <w:caps w:val="0"/>
                <w:color w:val="auto"/>
                <w:spacing w:val="0"/>
                <w:position w:val="0"/>
                <w:highlight w:val="none"/>
              </w:rPr>
              <w:t>《工业废水铊污染物排放标准》（DB36/1149-2019）</w:t>
            </w:r>
          </w:p>
        </w:tc>
      </w:tr>
      <w:tr w14:paraId="7145F20E">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40" w:hRule="atLeast"/>
          <w:jc w:val="center"/>
        </w:trPr>
        <w:tc>
          <w:tcPr>
            <w:tcW w:w="1213" w:type="dxa"/>
            <w:vMerge w:val="continue"/>
            <w:noWrap w:val="0"/>
            <w:vAlign w:val="center"/>
          </w:tcPr>
          <w:p w14:paraId="56A901A5">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p>
        </w:tc>
        <w:tc>
          <w:tcPr>
            <w:tcW w:w="1517" w:type="dxa"/>
            <w:shd w:val="clear" w:color="auto" w:fill="auto"/>
            <w:noWrap w:val="0"/>
            <w:vAlign w:val="center"/>
          </w:tcPr>
          <w:p w14:paraId="5C2DF1BE">
            <w:pPr>
              <w:pStyle w:val="8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aps w:val="0"/>
                <w:snapToGrid w:val="0"/>
                <w:color w:val="auto"/>
                <w:spacing w:val="0"/>
                <w:kern w:val="0"/>
                <w:position w:val="0"/>
                <w:sz w:val="21"/>
                <w:szCs w:val="21"/>
                <w:highlight w:val="none"/>
                <w:lang w:val="en-US" w:eastAsia="zh-CN" w:bidi="ar-SA"/>
              </w:rPr>
            </w:pPr>
            <w:r>
              <w:rPr>
                <w:rFonts w:hint="default" w:ascii="Times New Roman" w:hAnsi="Times New Roman" w:cs="Times New Roman"/>
                <w:caps w:val="0"/>
                <w:color w:val="auto"/>
                <w:spacing w:val="0"/>
                <w:position w:val="0"/>
                <w:highlight w:val="none"/>
              </w:rPr>
              <w:t>生活污水</w:t>
            </w:r>
          </w:p>
        </w:tc>
        <w:tc>
          <w:tcPr>
            <w:tcW w:w="1628" w:type="dxa"/>
            <w:shd w:val="clear" w:color="auto" w:fill="auto"/>
            <w:noWrap w:val="0"/>
            <w:vAlign w:val="center"/>
          </w:tcPr>
          <w:p w14:paraId="45DB6A8E">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pH、SS、COD</w:t>
            </w:r>
            <w:r>
              <w:rPr>
                <w:rFonts w:hint="default" w:ascii="Times New Roman" w:hAnsi="Times New Roman" w:cs="Times New Roman"/>
                <w:caps w:val="0"/>
                <w:color w:val="auto"/>
                <w:spacing w:val="0"/>
                <w:position w:val="0"/>
                <w:highlight w:val="none"/>
                <w:vertAlign w:val="subscript"/>
              </w:rPr>
              <w:t>Cr</w:t>
            </w:r>
          </w:p>
          <w:p w14:paraId="2E82F800">
            <w:pPr>
              <w:pStyle w:val="8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aps w:val="0"/>
                <w:snapToGrid w:val="0"/>
                <w:color w:val="auto"/>
                <w:spacing w:val="0"/>
                <w:kern w:val="0"/>
                <w:position w:val="0"/>
                <w:sz w:val="21"/>
                <w:szCs w:val="21"/>
                <w:highlight w:val="none"/>
                <w:lang w:val="en-US" w:eastAsia="zh-CN" w:bidi="ar-SA"/>
              </w:rPr>
            </w:pPr>
            <w:r>
              <w:rPr>
                <w:rFonts w:hint="default" w:ascii="Times New Roman" w:hAnsi="Times New Roman" w:cs="Times New Roman"/>
                <w:caps w:val="0"/>
                <w:color w:val="auto"/>
                <w:spacing w:val="0"/>
                <w:position w:val="0"/>
                <w:highlight w:val="none"/>
              </w:rPr>
              <w:t>BOD</w:t>
            </w:r>
            <w:r>
              <w:rPr>
                <w:rFonts w:hint="default" w:ascii="Times New Roman" w:hAnsi="Times New Roman" w:cs="Times New Roman"/>
                <w:caps w:val="0"/>
                <w:color w:val="auto"/>
                <w:spacing w:val="0"/>
                <w:position w:val="0"/>
                <w:highlight w:val="none"/>
                <w:vertAlign w:val="subscript"/>
              </w:rPr>
              <w:t>5</w:t>
            </w:r>
            <w:r>
              <w:rPr>
                <w:rFonts w:hint="default" w:ascii="Times New Roman" w:hAnsi="Times New Roman" w:cs="Times New Roman"/>
                <w:caps w:val="0"/>
                <w:color w:val="auto"/>
                <w:spacing w:val="0"/>
                <w:position w:val="0"/>
                <w:highlight w:val="none"/>
              </w:rPr>
              <w:t>、NH</w:t>
            </w:r>
            <w:r>
              <w:rPr>
                <w:rFonts w:hint="default" w:ascii="Times New Roman" w:hAnsi="Times New Roman" w:cs="Times New Roman"/>
                <w:caps w:val="0"/>
                <w:color w:val="auto"/>
                <w:spacing w:val="0"/>
                <w:position w:val="0"/>
                <w:highlight w:val="none"/>
                <w:vertAlign w:val="subscript"/>
              </w:rPr>
              <w:t>3</w:t>
            </w:r>
            <w:r>
              <w:rPr>
                <w:rFonts w:hint="default" w:ascii="Times New Roman" w:hAnsi="Times New Roman" w:cs="Times New Roman"/>
                <w:caps w:val="0"/>
                <w:color w:val="auto"/>
                <w:spacing w:val="0"/>
                <w:position w:val="0"/>
                <w:highlight w:val="none"/>
              </w:rPr>
              <w:t>-N、</w:t>
            </w:r>
            <w:r>
              <w:rPr>
                <w:rFonts w:hint="default" w:ascii="Times New Roman" w:hAnsi="Times New Roman" w:cs="Times New Roman"/>
                <w:caps w:val="0"/>
                <w:color w:val="auto"/>
                <w:spacing w:val="0"/>
                <w:position w:val="0"/>
                <w:highlight w:val="none"/>
                <w:lang w:val="en-US" w:eastAsia="zh-CN"/>
              </w:rPr>
              <w:t>TN、TP</w:t>
            </w:r>
          </w:p>
        </w:tc>
        <w:tc>
          <w:tcPr>
            <w:tcW w:w="1856" w:type="dxa"/>
            <w:shd w:val="clear" w:color="auto" w:fill="auto"/>
            <w:noWrap w:val="0"/>
            <w:vAlign w:val="center"/>
          </w:tcPr>
          <w:p w14:paraId="6ADAB47C">
            <w:pPr>
              <w:pStyle w:val="8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aps w:val="0"/>
                <w:snapToGrid w:val="0"/>
                <w:color w:val="auto"/>
                <w:spacing w:val="0"/>
                <w:kern w:val="0"/>
                <w:position w:val="0"/>
                <w:sz w:val="21"/>
                <w:szCs w:val="21"/>
                <w:highlight w:val="none"/>
                <w:lang w:val="en-US" w:eastAsia="zh-CN" w:bidi="ar-SA"/>
              </w:rPr>
            </w:pPr>
            <w:r>
              <w:rPr>
                <w:rFonts w:hint="default" w:ascii="Times New Roman" w:hAnsi="Times New Roman" w:cs="Times New Roman"/>
                <w:caps w:val="0"/>
                <w:color w:val="auto"/>
                <w:spacing w:val="0"/>
                <w:position w:val="0"/>
                <w:highlight w:val="none"/>
                <w:lang w:bidi="ar"/>
              </w:rPr>
              <w:t>经化粪池</w:t>
            </w:r>
            <w:r>
              <w:rPr>
                <w:rFonts w:hint="default" w:ascii="Times New Roman" w:hAnsi="Times New Roman" w:cs="Times New Roman"/>
                <w:caps w:val="0"/>
                <w:color w:val="auto"/>
                <w:spacing w:val="0"/>
                <w:position w:val="0"/>
                <w:highlight w:val="none"/>
                <w:lang w:eastAsia="zh-CN" w:bidi="ar"/>
              </w:rPr>
              <w:t>（</w:t>
            </w:r>
            <w:r>
              <w:rPr>
                <w:rFonts w:hint="default" w:ascii="Times New Roman" w:hAnsi="Times New Roman" w:cs="Times New Roman"/>
                <w:caps w:val="0"/>
                <w:color w:val="auto"/>
                <w:spacing w:val="0"/>
                <w:position w:val="0"/>
                <w:highlight w:val="none"/>
                <w:lang w:val="en-US" w:eastAsia="zh-CN" w:bidi="ar"/>
              </w:rPr>
              <w:t>2t/d</w:t>
            </w:r>
            <w:r>
              <w:rPr>
                <w:rFonts w:hint="default" w:ascii="Times New Roman" w:hAnsi="Times New Roman" w:cs="Times New Roman"/>
                <w:caps w:val="0"/>
                <w:color w:val="auto"/>
                <w:spacing w:val="0"/>
                <w:position w:val="0"/>
                <w:highlight w:val="none"/>
                <w:lang w:eastAsia="zh-CN" w:bidi="ar"/>
              </w:rPr>
              <w:t>）</w:t>
            </w:r>
            <w:r>
              <w:rPr>
                <w:rFonts w:hint="default" w:ascii="Times New Roman" w:hAnsi="Times New Roman" w:cs="Times New Roman"/>
                <w:caps w:val="0"/>
                <w:color w:val="auto"/>
                <w:spacing w:val="0"/>
                <w:position w:val="0"/>
                <w:highlight w:val="none"/>
                <w:lang w:bidi="ar"/>
              </w:rPr>
              <w:t>处理后</w:t>
            </w:r>
            <w:r>
              <w:rPr>
                <w:rFonts w:hint="default" w:ascii="Times New Roman" w:hAnsi="Times New Roman" w:cs="Times New Roman"/>
                <w:caps w:val="0"/>
                <w:color w:val="auto"/>
                <w:spacing w:val="0"/>
                <w:position w:val="0"/>
                <w:highlight w:val="none"/>
                <w:lang w:val="en-US" w:eastAsia="zh-CN" w:bidi="ar"/>
              </w:rPr>
              <w:t>用于林地灌溉，雨水期暂存废水暂存池</w:t>
            </w:r>
          </w:p>
        </w:tc>
        <w:tc>
          <w:tcPr>
            <w:tcW w:w="2919" w:type="dxa"/>
            <w:tcBorders>
              <w:top w:val="single" w:color="auto" w:sz="4" w:space="0"/>
            </w:tcBorders>
            <w:shd w:val="clear" w:color="auto" w:fill="auto"/>
            <w:noWrap w:val="0"/>
            <w:vAlign w:val="center"/>
          </w:tcPr>
          <w:p w14:paraId="41BED917">
            <w:pPr>
              <w:pStyle w:val="8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aps w:val="0"/>
                <w:snapToGrid w:val="0"/>
                <w:color w:val="auto"/>
                <w:spacing w:val="0"/>
                <w:kern w:val="0"/>
                <w:position w:val="0"/>
                <w:sz w:val="21"/>
                <w:szCs w:val="21"/>
                <w:highlight w:val="none"/>
                <w:lang w:val="en-US" w:eastAsia="zh-CN" w:bidi="ar-SA"/>
              </w:rPr>
            </w:pPr>
            <w:r>
              <w:rPr>
                <w:rFonts w:hint="default" w:ascii="Times New Roman" w:hAnsi="Times New Roman" w:eastAsia="宋体" w:cs="Times New Roman"/>
                <w:caps w:val="0"/>
                <w:color w:val="auto"/>
                <w:spacing w:val="0"/>
                <w:position w:val="0"/>
                <w:highlight w:val="none"/>
                <w:lang w:val="en-US" w:eastAsia="zh-CN"/>
              </w:rPr>
              <w:t>《农田灌溉水质标准》（GB5084-2021）</w:t>
            </w:r>
          </w:p>
        </w:tc>
      </w:tr>
      <w:tr w14:paraId="71CD4B95">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40" w:hRule="atLeast"/>
          <w:jc w:val="center"/>
        </w:trPr>
        <w:tc>
          <w:tcPr>
            <w:tcW w:w="1213" w:type="dxa"/>
            <w:vMerge w:val="continue"/>
            <w:noWrap w:val="0"/>
            <w:vAlign w:val="center"/>
          </w:tcPr>
          <w:p w14:paraId="6F675A14">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p>
        </w:tc>
        <w:tc>
          <w:tcPr>
            <w:tcW w:w="1517" w:type="dxa"/>
            <w:shd w:val="clear" w:color="auto" w:fill="auto"/>
            <w:noWrap w:val="0"/>
            <w:vAlign w:val="center"/>
          </w:tcPr>
          <w:p w14:paraId="724C9757">
            <w:pPr>
              <w:pStyle w:val="8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aps w:val="0"/>
                <w:snapToGrid w:val="0"/>
                <w:color w:val="auto"/>
                <w:spacing w:val="0"/>
                <w:kern w:val="0"/>
                <w:position w:val="0"/>
                <w:sz w:val="21"/>
                <w:szCs w:val="21"/>
                <w:highlight w:val="none"/>
                <w:lang w:val="en-US" w:eastAsia="zh-CN" w:bidi="ar-SA"/>
              </w:rPr>
            </w:pPr>
            <w:r>
              <w:rPr>
                <w:rFonts w:hint="default" w:ascii="Times New Roman" w:hAnsi="Times New Roman" w:cs="Times New Roman"/>
                <w:caps w:val="0"/>
                <w:color w:val="auto"/>
                <w:spacing w:val="0"/>
                <w:position w:val="0"/>
                <w:highlight w:val="none"/>
                <w:lang w:val="en-US" w:eastAsia="zh-CN"/>
              </w:rPr>
              <w:t>渗滤液</w:t>
            </w:r>
          </w:p>
        </w:tc>
        <w:tc>
          <w:tcPr>
            <w:tcW w:w="1628" w:type="dxa"/>
            <w:shd w:val="clear" w:color="auto" w:fill="auto"/>
            <w:noWrap w:val="0"/>
            <w:vAlign w:val="center"/>
          </w:tcPr>
          <w:p w14:paraId="20217515">
            <w:pPr>
              <w:pStyle w:val="8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aps w:val="0"/>
                <w:snapToGrid w:val="0"/>
                <w:color w:val="auto"/>
                <w:spacing w:val="0"/>
                <w:kern w:val="0"/>
                <w:position w:val="0"/>
                <w:sz w:val="21"/>
                <w:szCs w:val="21"/>
                <w:highlight w:val="none"/>
                <w:lang w:val="en-US" w:eastAsia="zh-CN" w:bidi="ar-SA"/>
              </w:rPr>
            </w:pPr>
            <w:r>
              <w:rPr>
                <w:rFonts w:hint="default" w:ascii="Times New Roman" w:hAnsi="Times New Roman" w:cs="Times New Roman"/>
                <w:caps w:val="0"/>
                <w:color w:val="auto"/>
                <w:spacing w:val="0"/>
                <w:position w:val="0"/>
                <w:highlight w:val="none"/>
                <w:lang w:val="en-US" w:eastAsia="zh-CN"/>
              </w:rPr>
              <w:t>SS、总铊、总氟</w:t>
            </w:r>
          </w:p>
        </w:tc>
        <w:tc>
          <w:tcPr>
            <w:tcW w:w="1856" w:type="dxa"/>
            <w:shd w:val="clear" w:color="auto" w:fill="auto"/>
            <w:noWrap w:val="0"/>
            <w:vAlign w:val="center"/>
          </w:tcPr>
          <w:p w14:paraId="54C31FDE">
            <w:pPr>
              <w:pStyle w:val="8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aps w:val="0"/>
                <w:snapToGrid w:val="0"/>
                <w:color w:val="auto"/>
                <w:spacing w:val="0"/>
                <w:kern w:val="0"/>
                <w:position w:val="0"/>
                <w:sz w:val="21"/>
                <w:szCs w:val="21"/>
                <w:highlight w:val="none"/>
                <w:lang w:val="en-US" w:eastAsia="zh-CN" w:bidi="ar"/>
              </w:rPr>
            </w:pPr>
            <w:r>
              <w:rPr>
                <w:rFonts w:hint="default" w:ascii="Times New Roman" w:hAnsi="Times New Roman" w:cs="Times New Roman"/>
                <w:caps w:val="0"/>
                <w:color w:val="auto"/>
                <w:spacing w:val="0"/>
                <w:position w:val="0"/>
                <w:highlight w:val="none"/>
                <w:lang w:bidi="ar"/>
              </w:rPr>
              <w:t>经渗滤液池（1</w:t>
            </w:r>
            <w:r>
              <w:rPr>
                <w:rFonts w:hint="default" w:ascii="Times New Roman" w:hAnsi="Times New Roman" w:cs="Times New Roman"/>
                <w:caps w:val="0"/>
                <w:color w:val="auto"/>
                <w:spacing w:val="0"/>
                <w:position w:val="0"/>
                <w:highlight w:val="none"/>
                <w:lang w:val="en-US" w:eastAsia="zh-CN" w:bidi="ar"/>
              </w:rPr>
              <w:t>5</w:t>
            </w:r>
            <w:r>
              <w:rPr>
                <w:rFonts w:hint="default" w:ascii="Times New Roman" w:hAnsi="Times New Roman" w:cs="Times New Roman"/>
                <w:caps w:val="0"/>
                <w:color w:val="auto"/>
                <w:spacing w:val="0"/>
                <w:position w:val="0"/>
                <w:highlight w:val="none"/>
                <w:lang w:bidi="ar"/>
              </w:rPr>
              <w:t>m³）收集后，回用于</w:t>
            </w:r>
            <w:r>
              <w:rPr>
                <w:rFonts w:hint="default" w:ascii="Times New Roman" w:hAnsi="Times New Roman" w:cs="Times New Roman"/>
                <w:caps w:val="0"/>
                <w:color w:val="auto"/>
                <w:spacing w:val="0"/>
                <w:position w:val="0"/>
                <w:highlight w:val="none"/>
                <w:lang w:val="en-US" w:eastAsia="zh-CN" w:bidi="ar"/>
              </w:rPr>
              <w:t>搅拌工序</w:t>
            </w:r>
          </w:p>
        </w:tc>
        <w:tc>
          <w:tcPr>
            <w:tcW w:w="2919" w:type="dxa"/>
            <w:tcBorders>
              <w:top w:val="single" w:color="auto" w:sz="4" w:space="0"/>
            </w:tcBorders>
            <w:shd w:val="clear" w:color="auto" w:fill="auto"/>
            <w:noWrap w:val="0"/>
            <w:vAlign w:val="center"/>
          </w:tcPr>
          <w:p w14:paraId="77FCC959">
            <w:pPr>
              <w:pStyle w:val="81"/>
              <w:keepNext w:val="0"/>
              <w:keepLines w:val="0"/>
              <w:suppressLineNumbers w:val="0"/>
              <w:spacing w:before="0" w:beforeAutospacing="0" w:after="0" w:afterAutospacing="0"/>
              <w:ind w:left="0" w:leftChars="0" w:right="0" w:rightChars="0" w:firstLine="0" w:firstLineChars="0"/>
              <w:rPr>
                <w:rFonts w:hint="default" w:ascii="Times New Roman" w:hAnsi="Times New Roman" w:eastAsia="宋体" w:cs="Times New Roman"/>
                <w:caps w:val="0"/>
                <w:snapToGrid w:val="0"/>
                <w:color w:val="auto"/>
                <w:spacing w:val="0"/>
                <w:kern w:val="0"/>
                <w:position w:val="0"/>
                <w:sz w:val="21"/>
                <w:szCs w:val="21"/>
                <w:highlight w:val="none"/>
                <w:lang w:val="en-US" w:eastAsia="zh-CN" w:bidi="ar"/>
              </w:rPr>
            </w:pPr>
            <w:r>
              <w:rPr>
                <w:rFonts w:hint="default" w:ascii="Times New Roman" w:hAnsi="Times New Roman" w:cs="Times New Roman"/>
                <w:caps w:val="0"/>
                <w:color w:val="auto"/>
                <w:spacing w:val="0"/>
                <w:position w:val="0"/>
                <w:highlight w:val="none"/>
                <w:lang w:val="en-US" w:eastAsia="zh-CN" w:bidi="ar"/>
              </w:rPr>
              <w:t>/</w:t>
            </w:r>
          </w:p>
        </w:tc>
      </w:tr>
      <w:tr w14:paraId="2CECBFB7">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40" w:hRule="atLeast"/>
          <w:jc w:val="center"/>
        </w:trPr>
        <w:tc>
          <w:tcPr>
            <w:tcW w:w="1213" w:type="dxa"/>
            <w:vMerge w:val="continue"/>
            <w:noWrap w:val="0"/>
            <w:vAlign w:val="center"/>
          </w:tcPr>
          <w:p w14:paraId="03C3C50B">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p>
        </w:tc>
        <w:tc>
          <w:tcPr>
            <w:tcW w:w="1517" w:type="dxa"/>
            <w:shd w:val="clear" w:color="auto" w:fill="auto"/>
            <w:noWrap w:val="0"/>
            <w:vAlign w:val="center"/>
          </w:tcPr>
          <w:p w14:paraId="5958AFA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后期雨水</w:t>
            </w:r>
          </w:p>
        </w:tc>
        <w:tc>
          <w:tcPr>
            <w:tcW w:w="1628" w:type="dxa"/>
            <w:shd w:val="clear" w:color="auto" w:fill="auto"/>
            <w:noWrap w:val="0"/>
            <w:vAlign w:val="center"/>
          </w:tcPr>
          <w:p w14:paraId="36456F0A">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SS等</w:t>
            </w:r>
          </w:p>
        </w:tc>
        <w:tc>
          <w:tcPr>
            <w:tcW w:w="1856" w:type="dxa"/>
            <w:shd w:val="clear" w:color="auto" w:fill="auto"/>
            <w:noWrap w:val="0"/>
            <w:vAlign w:val="center"/>
          </w:tcPr>
          <w:p w14:paraId="1C454FFB">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lang w:val="en-US" w:eastAsia="zh-CN"/>
              </w:rPr>
              <w:t>后期雨水排口安装氟化物、铊在线监测装置</w:t>
            </w:r>
          </w:p>
        </w:tc>
        <w:tc>
          <w:tcPr>
            <w:tcW w:w="2919" w:type="dxa"/>
            <w:tcBorders>
              <w:top w:val="single" w:color="auto" w:sz="4" w:space="0"/>
            </w:tcBorders>
            <w:shd w:val="clear" w:color="auto" w:fill="auto"/>
            <w:noWrap w:val="0"/>
            <w:vAlign w:val="center"/>
          </w:tcPr>
          <w:p w14:paraId="3307B6E6">
            <w:pPr>
              <w:pStyle w:val="28"/>
              <w:keepNext w:val="0"/>
              <w:keepLines w:val="0"/>
              <w:suppressLineNumbers w:val="0"/>
              <w:bidi w:val="0"/>
              <w:spacing w:beforeAutospacing="0" w:afterAutospacing="0"/>
              <w:ind w:left="0" w:right="0"/>
              <w:rPr>
                <w:rFonts w:hint="default" w:ascii="Times New Roman" w:hAnsi="Times New Roman" w:cs="Times New Roman"/>
                <w:caps w:val="0"/>
                <w:color w:val="auto"/>
                <w:spacing w:val="0"/>
                <w:position w:val="0"/>
                <w:highlight w:val="none"/>
                <w:lang w:val="en-US" w:eastAsia="zh-CN"/>
              </w:rPr>
            </w:pPr>
            <w:r>
              <w:rPr>
                <w:rFonts w:hint="default" w:ascii="Times New Roman" w:hAnsi="Times New Roman" w:cs="Times New Roman"/>
                <w:caps w:val="0"/>
                <w:color w:val="auto"/>
                <w:spacing w:val="0"/>
                <w:position w:val="0"/>
                <w:highlight w:val="none"/>
              </w:rPr>
              <w:t>铊预警限值浓度为</w:t>
            </w:r>
            <w:r>
              <w:rPr>
                <w:rFonts w:hint="default" w:ascii="Times New Roman" w:hAnsi="Times New Roman" w:cs="Times New Roman"/>
                <w:caps w:val="0"/>
                <w:color w:val="auto"/>
                <w:spacing w:val="0"/>
                <w:position w:val="0"/>
                <w:highlight w:val="none"/>
                <w:lang w:val="en-US" w:eastAsia="zh-CN"/>
              </w:rPr>
              <w:t>5</w:t>
            </w:r>
            <w:r>
              <w:rPr>
                <w:rFonts w:hint="default" w:ascii="Times New Roman" w:hAnsi="Times New Roman" w:cs="Times New Roman"/>
                <w:caps w:val="0"/>
                <w:color w:val="auto"/>
                <w:spacing w:val="0"/>
                <w:position w:val="0"/>
                <w:highlight w:val="none"/>
              </w:rPr>
              <w:t>μg/L（参照《工业废水铊污染物排放标准》（DB36/1149-2019）标准排放限值），氟化物预警限值浓度为2mg/L（参照</w:t>
            </w:r>
            <w:r>
              <w:rPr>
                <w:rFonts w:hint="eastAsia" w:cs="Times New Roman"/>
                <w:caps w:val="0"/>
                <w:color w:val="auto"/>
                <w:spacing w:val="0"/>
                <w:position w:val="0"/>
                <w:highlight w:val="none"/>
                <w:lang w:eastAsia="zh-CN"/>
              </w:rPr>
              <w:t>《无机化学工业污染物排放标准》（GB31573-2015）修改单</w:t>
            </w:r>
            <w:r>
              <w:rPr>
                <w:rFonts w:hint="default" w:ascii="Times New Roman" w:hAnsi="Times New Roman" w:cs="Times New Roman"/>
                <w:caps w:val="0"/>
                <w:color w:val="auto"/>
                <w:spacing w:val="0"/>
                <w:position w:val="0"/>
                <w:highlight w:val="none"/>
              </w:rPr>
              <w:t>的水污染物排放限值）</w:t>
            </w:r>
          </w:p>
        </w:tc>
      </w:tr>
      <w:tr w14:paraId="566D8A85">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40" w:hRule="atLeast"/>
          <w:jc w:val="center"/>
        </w:trPr>
        <w:tc>
          <w:tcPr>
            <w:tcW w:w="1213" w:type="dxa"/>
            <w:tcBorders>
              <w:top w:val="single" w:color="000000" w:sz="8" w:space="0"/>
              <w:bottom w:val="single" w:color="auto" w:sz="4" w:space="0"/>
            </w:tcBorders>
            <w:noWrap w:val="0"/>
            <w:vAlign w:val="center"/>
          </w:tcPr>
          <w:p w14:paraId="398D7E8C">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声环境</w:t>
            </w:r>
          </w:p>
        </w:tc>
        <w:tc>
          <w:tcPr>
            <w:tcW w:w="1517" w:type="dxa"/>
            <w:tcBorders>
              <w:bottom w:val="single" w:color="auto" w:sz="4" w:space="0"/>
            </w:tcBorders>
            <w:noWrap w:val="0"/>
            <w:vAlign w:val="center"/>
          </w:tcPr>
          <w:p w14:paraId="3BF1A315">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生产设备、环保风机</w:t>
            </w:r>
          </w:p>
        </w:tc>
        <w:tc>
          <w:tcPr>
            <w:tcW w:w="1628" w:type="dxa"/>
            <w:tcBorders>
              <w:bottom w:val="single" w:color="auto" w:sz="4" w:space="0"/>
            </w:tcBorders>
            <w:noWrap w:val="0"/>
            <w:vAlign w:val="center"/>
          </w:tcPr>
          <w:p w14:paraId="0793CEA9">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等效连续A声级</w:t>
            </w:r>
          </w:p>
        </w:tc>
        <w:tc>
          <w:tcPr>
            <w:tcW w:w="1856" w:type="dxa"/>
            <w:tcBorders>
              <w:bottom w:val="single" w:color="auto" w:sz="4" w:space="0"/>
            </w:tcBorders>
            <w:noWrap w:val="0"/>
            <w:vAlign w:val="center"/>
          </w:tcPr>
          <w:p w14:paraId="09BF5AAF">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建筑隔声、合理布局</w:t>
            </w:r>
          </w:p>
        </w:tc>
        <w:tc>
          <w:tcPr>
            <w:tcW w:w="2919" w:type="dxa"/>
            <w:tcBorders>
              <w:bottom w:val="single" w:color="auto" w:sz="4" w:space="0"/>
            </w:tcBorders>
            <w:noWrap w:val="0"/>
            <w:vAlign w:val="center"/>
          </w:tcPr>
          <w:p w14:paraId="737F291D">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《工业企业厂界环境噪声排放标准》（GB12348-2008）</w:t>
            </w:r>
            <w:r>
              <w:rPr>
                <w:rFonts w:hint="default" w:ascii="Times New Roman" w:hAnsi="Times New Roman" w:cs="Times New Roman"/>
                <w:caps w:val="0"/>
                <w:color w:val="auto"/>
                <w:spacing w:val="0"/>
                <w:position w:val="0"/>
                <w:highlight w:val="none"/>
                <w:lang w:val="en-US" w:eastAsia="zh-CN"/>
              </w:rPr>
              <w:t>2</w:t>
            </w:r>
            <w:r>
              <w:rPr>
                <w:rFonts w:hint="default" w:ascii="Times New Roman" w:hAnsi="Times New Roman" w:cs="Times New Roman"/>
                <w:caps w:val="0"/>
                <w:color w:val="auto"/>
                <w:spacing w:val="0"/>
                <w:position w:val="0"/>
                <w:highlight w:val="none"/>
              </w:rPr>
              <w:t>类标准</w:t>
            </w:r>
          </w:p>
        </w:tc>
      </w:tr>
      <w:tr w14:paraId="757360D0">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97" w:hRule="atLeast"/>
          <w:jc w:val="center"/>
        </w:trPr>
        <w:tc>
          <w:tcPr>
            <w:tcW w:w="1213" w:type="dxa"/>
            <w:tcBorders>
              <w:top w:val="single" w:color="auto" w:sz="4" w:space="0"/>
              <w:left w:val="single" w:color="auto" w:sz="4" w:space="0"/>
              <w:bottom w:val="single" w:color="auto" w:sz="4" w:space="0"/>
              <w:right w:val="single" w:color="auto" w:sz="4" w:space="0"/>
            </w:tcBorders>
            <w:noWrap w:val="0"/>
            <w:vAlign w:val="center"/>
          </w:tcPr>
          <w:p w14:paraId="4A7DC873">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电磁辐射</w:t>
            </w:r>
          </w:p>
        </w:tc>
        <w:tc>
          <w:tcPr>
            <w:tcW w:w="7920" w:type="dxa"/>
            <w:gridSpan w:val="4"/>
            <w:tcBorders>
              <w:top w:val="single" w:color="auto" w:sz="4" w:space="0"/>
              <w:left w:val="single" w:color="auto" w:sz="4" w:space="0"/>
              <w:bottom w:val="single" w:color="auto" w:sz="4" w:space="0"/>
              <w:right w:val="single" w:color="auto" w:sz="4" w:space="0"/>
            </w:tcBorders>
            <w:noWrap w:val="0"/>
            <w:vAlign w:val="center"/>
          </w:tcPr>
          <w:p w14:paraId="253391E8">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无</w:t>
            </w:r>
          </w:p>
        </w:tc>
      </w:tr>
      <w:tr w14:paraId="261A66E1">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97" w:hRule="atLeast"/>
          <w:jc w:val="center"/>
        </w:trPr>
        <w:tc>
          <w:tcPr>
            <w:tcW w:w="1213" w:type="dxa"/>
            <w:tcBorders>
              <w:top w:val="single" w:color="auto" w:sz="4" w:space="0"/>
              <w:left w:val="single" w:color="auto" w:sz="4" w:space="0"/>
              <w:bottom w:val="single" w:color="auto" w:sz="4" w:space="0"/>
              <w:right w:val="single" w:color="auto" w:sz="4" w:space="0"/>
            </w:tcBorders>
            <w:noWrap w:val="0"/>
            <w:vAlign w:val="center"/>
          </w:tcPr>
          <w:p w14:paraId="04A056A9">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固体废物</w:t>
            </w:r>
          </w:p>
        </w:tc>
        <w:tc>
          <w:tcPr>
            <w:tcW w:w="7920" w:type="dxa"/>
            <w:gridSpan w:val="4"/>
            <w:tcBorders>
              <w:top w:val="single" w:color="auto" w:sz="4" w:space="0"/>
              <w:left w:val="single" w:color="auto" w:sz="4" w:space="0"/>
              <w:bottom w:val="single" w:color="auto" w:sz="4" w:space="0"/>
              <w:right w:val="single" w:color="auto" w:sz="4" w:space="0"/>
            </w:tcBorders>
            <w:noWrap w:val="0"/>
            <w:vAlign w:val="center"/>
          </w:tcPr>
          <w:p w14:paraId="178E1D56">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生活垃圾统一收集后环卫部门定期清运，</w:t>
            </w:r>
            <w:r>
              <w:rPr>
                <w:rFonts w:hint="default" w:ascii="Times New Roman" w:hAnsi="Times New Roman" w:cs="Times New Roman"/>
                <w:caps w:val="0"/>
                <w:color w:val="auto"/>
                <w:spacing w:val="0"/>
                <w:position w:val="0"/>
                <w:highlight w:val="none"/>
                <w:lang w:val="en-US" w:eastAsia="zh-CN"/>
              </w:rPr>
              <w:t>沉淀沉渣、收集粉尘回用于生产，</w:t>
            </w:r>
            <w:r>
              <w:rPr>
                <w:rFonts w:hint="default" w:ascii="Times New Roman" w:hAnsi="Times New Roman" w:cs="Times New Roman"/>
                <w:caps w:val="0"/>
                <w:color w:val="auto"/>
                <w:spacing w:val="0"/>
                <w:position w:val="0"/>
                <w:highlight w:val="none"/>
              </w:rPr>
              <w:t>废包装材袋、废布袋外售综合利用，</w:t>
            </w:r>
            <w:r>
              <w:rPr>
                <w:rFonts w:hint="default" w:ascii="Times New Roman" w:hAnsi="Times New Roman" w:cs="Times New Roman"/>
                <w:caps w:val="0"/>
                <w:color w:val="auto"/>
                <w:spacing w:val="0"/>
                <w:position w:val="0"/>
                <w:highlight w:val="none"/>
                <w:lang w:val="en-US" w:eastAsia="zh-CN"/>
              </w:rPr>
              <w:t>不合格品进入锂冶炼剩余物填埋场填埋，</w:t>
            </w:r>
            <w:r>
              <w:rPr>
                <w:rFonts w:hint="default" w:ascii="Times New Roman" w:hAnsi="Times New Roman" w:cs="Times New Roman"/>
                <w:caps w:val="0"/>
                <w:color w:val="auto"/>
                <w:spacing w:val="0"/>
                <w:position w:val="0"/>
                <w:highlight w:val="none"/>
              </w:rPr>
              <w:t>废润滑油、废润滑油桶</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rPr>
              <w:t>废含油抹布及手套暂存危废</w:t>
            </w:r>
            <w:r>
              <w:rPr>
                <w:rFonts w:hint="default" w:ascii="Times New Roman" w:hAnsi="Times New Roman" w:cs="Times New Roman"/>
                <w:caps w:val="0"/>
                <w:color w:val="auto"/>
                <w:spacing w:val="0"/>
                <w:position w:val="0"/>
                <w:highlight w:val="none"/>
                <w:lang w:val="en-US" w:eastAsia="zh-CN"/>
              </w:rPr>
              <w:t>暂存间</w:t>
            </w:r>
            <w:r>
              <w:rPr>
                <w:rFonts w:hint="default" w:ascii="Times New Roman" w:hAnsi="Times New Roman" w:cs="Times New Roman"/>
                <w:caps w:val="0"/>
                <w:color w:val="auto"/>
                <w:spacing w:val="0"/>
                <w:position w:val="0"/>
                <w:highlight w:val="none"/>
              </w:rPr>
              <w:t>，</w:t>
            </w:r>
            <w:r>
              <w:rPr>
                <w:rFonts w:hint="default" w:ascii="Times New Roman" w:hAnsi="Times New Roman" w:cs="Times New Roman"/>
                <w:caps w:val="0"/>
                <w:color w:val="auto"/>
                <w:spacing w:val="0"/>
                <w:position w:val="0"/>
                <w:highlight w:val="none"/>
                <w:lang w:val="en-US" w:eastAsia="zh-CN"/>
              </w:rPr>
              <w:t>一般固废暂存间</w:t>
            </w:r>
            <w:r>
              <w:rPr>
                <w:rFonts w:hint="default" w:ascii="Times New Roman" w:hAnsi="Times New Roman" w:cs="Times New Roman"/>
                <w:caps w:val="0"/>
                <w:color w:val="auto"/>
                <w:spacing w:val="0"/>
                <w:position w:val="0"/>
                <w:highlight w:val="none"/>
              </w:rPr>
              <w:t>面积为</w:t>
            </w:r>
            <w:r>
              <w:rPr>
                <w:rFonts w:hint="default" w:ascii="Times New Roman" w:hAnsi="Times New Roman" w:cs="Times New Roman"/>
                <w:caps w:val="0"/>
                <w:color w:val="auto"/>
                <w:spacing w:val="0"/>
                <w:position w:val="0"/>
                <w:highlight w:val="none"/>
                <w:lang w:val="en-US" w:eastAsia="zh-CN"/>
              </w:rPr>
              <w:t>50</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2</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rPr>
              <w:t>危废间面积为</w:t>
            </w:r>
            <w:r>
              <w:rPr>
                <w:rFonts w:hint="default" w:ascii="Times New Roman" w:hAnsi="Times New Roman" w:cs="Times New Roman"/>
                <w:caps w:val="0"/>
                <w:color w:val="auto"/>
                <w:spacing w:val="0"/>
                <w:position w:val="0"/>
                <w:highlight w:val="none"/>
                <w:lang w:val="en-US" w:eastAsia="zh-CN"/>
              </w:rPr>
              <w:t>10</w:t>
            </w:r>
            <w:r>
              <w:rPr>
                <w:rFonts w:hint="default" w:ascii="Times New Roman" w:hAnsi="Times New Roman" w:cs="Times New Roman"/>
                <w:caps w:val="0"/>
                <w:color w:val="auto"/>
                <w:spacing w:val="0"/>
                <w:position w:val="0"/>
                <w:highlight w:val="none"/>
              </w:rPr>
              <w:t>m</w:t>
            </w:r>
            <w:r>
              <w:rPr>
                <w:rFonts w:hint="default" w:ascii="Times New Roman" w:hAnsi="Times New Roman" w:cs="Times New Roman"/>
                <w:caps w:val="0"/>
                <w:color w:val="auto"/>
                <w:spacing w:val="0"/>
                <w:position w:val="0"/>
                <w:highlight w:val="none"/>
                <w:vertAlign w:val="superscript"/>
              </w:rPr>
              <w:t>2</w:t>
            </w:r>
            <w:r>
              <w:rPr>
                <w:rFonts w:hint="default" w:ascii="Times New Roman" w:hAnsi="Times New Roman" w:cs="Times New Roman"/>
                <w:caps w:val="0"/>
                <w:color w:val="auto"/>
                <w:spacing w:val="0"/>
                <w:position w:val="0"/>
                <w:highlight w:val="none"/>
              </w:rPr>
              <w:t>。</w:t>
            </w:r>
          </w:p>
        </w:tc>
      </w:tr>
      <w:tr w14:paraId="73ABCE1D">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926" w:hRule="atLeast"/>
          <w:jc w:val="center"/>
        </w:trPr>
        <w:tc>
          <w:tcPr>
            <w:tcW w:w="1213" w:type="dxa"/>
            <w:tcBorders>
              <w:top w:val="single" w:color="auto" w:sz="4" w:space="0"/>
              <w:left w:val="single" w:color="auto" w:sz="4" w:space="0"/>
              <w:bottom w:val="single" w:color="auto" w:sz="4" w:space="0"/>
              <w:right w:val="single" w:color="auto" w:sz="4" w:space="0"/>
            </w:tcBorders>
            <w:noWrap w:val="0"/>
            <w:vAlign w:val="center"/>
          </w:tcPr>
          <w:p w14:paraId="258A8F5A">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土壤及地下水污染防治措施</w:t>
            </w:r>
          </w:p>
        </w:tc>
        <w:tc>
          <w:tcPr>
            <w:tcW w:w="7920" w:type="dxa"/>
            <w:gridSpan w:val="4"/>
            <w:tcBorders>
              <w:top w:val="single" w:color="auto" w:sz="4" w:space="0"/>
              <w:left w:val="single" w:color="auto" w:sz="4" w:space="0"/>
              <w:bottom w:val="single" w:color="auto" w:sz="4" w:space="0"/>
              <w:right w:val="single" w:color="auto" w:sz="4" w:space="0"/>
            </w:tcBorders>
            <w:noWrap w:val="0"/>
            <w:vAlign w:val="center"/>
          </w:tcPr>
          <w:p w14:paraId="610885B7">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按源头控制、分区防渗要求做好防护措施。</w:t>
            </w:r>
            <w:r>
              <w:rPr>
                <w:rFonts w:hint="default" w:ascii="Times New Roman" w:hAnsi="Times New Roman" w:cs="Times New Roman"/>
                <w:caps w:val="0"/>
                <w:color w:val="auto"/>
                <w:spacing w:val="0"/>
                <w:position w:val="0"/>
                <w:highlight w:val="none"/>
                <w:lang w:bidi="ar"/>
              </w:rPr>
              <w:t>设置分区防渗：</w:t>
            </w:r>
            <w:r>
              <w:rPr>
                <w:rFonts w:hint="default" w:ascii="Times New Roman" w:hAnsi="Times New Roman" w:cs="Times New Roman"/>
                <w:caps w:val="0"/>
                <w:color w:val="auto"/>
                <w:spacing w:val="0"/>
                <w:position w:val="0"/>
                <w:highlight w:val="none"/>
                <w:lang w:val="en-US" w:eastAsia="zh-CN"/>
              </w:rPr>
              <w:t>沉淀池、初期雨水池、锂渣仓库、</w:t>
            </w:r>
            <w:r>
              <w:rPr>
                <w:rFonts w:hint="default" w:ascii="Times New Roman" w:hAnsi="Times New Roman" w:cs="Times New Roman"/>
                <w:caps w:val="0"/>
                <w:color w:val="auto"/>
                <w:spacing w:val="0"/>
                <w:position w:val="0"/>
                <w:highlight w:val="none"/>
              </w:rPr>
              <w:t>危废暂存间</w:t>
            </w:r>
            <w:r>
              <w:rPr>
                <w:rFonts w:hint="default" w:ascii="Times New Roman" w:hAnsi="Times New Roman" w:cs="Times New Roman"/>
                <w:caps w:val="0"/>
                <w:color w:val="auto"/>
                <w:spacing w:val="0"/>
                <w:position w:val="0"/>
                <w:highlight w:val="none"/>
                <w:lang w:bidi="ar"/>
              </w:rPr>
              <w:t>为重点防渗区，</w:t>
            </w:r>
            <w:r>
              <w:rPr>
                <w:rFonts w:hint="default" w:ascii="Times New Roman" w:hAnsi="Times New Roman" w:cs="Times New Roman"/>
                <w:caps w:val="0"/>
                <w:color w:val="auto"/>
                <w:spacing w:val="0"/>
                <w:position w:val="0"/>
                <w:highlight w:val="none"/>
              </w:rPr>
              <w:t>一般固废暂存间、仓库</w:t>
            </w:r>
            <w:r>
              <w:rPr>
                <w:rFonts w:hint="default" w:ascii="Times New Roman" w:hAnsi="Times New Roman" w:cs="Times New Roman"/>
                <w:caps w:val="0"/>
                <w:color w:val="auto"/>
                <w:spacing w:val="0"/>
                <w:position w:val="0"/>
                <w:highlight w:val="none"/>
                <w:lang w:eastAsia="zh-CN"/>
              </w:rPr>
              <w:t>、</w:t>
            </w:r>
            <w:r>
              <w:rPr>
                <w:rFonts w:hint="default" w:ascii="Times New Roman" w:hAnsi="Times New Roman" w:cs="Times New Roman"/>
                <w:caps w:val="0"/>
                <w:color w:val="auto"/>
                <w:spacing w:val="0"/>
                <w:position w:val="0"/>
                <w:highlight w:val="none"/>
              </w:rPr>
              <w:t>化粪池、生产区</w:t>
            </w:r>
            <w:r>
              <w:rPr>
                <w:rFonts w:hint="default" w:ascii="Times New Roman" w:hAnsi="Times New Roman" w:cs="Times New Roman"/>
                <w:caps w:val="0"/>
                <w:color w:val="auto"/>
                <w:spacing w:val="0"/>
                <w:position w:val="0"/>
                <w:highlight w:val="none"/>
                <w:lang w:bidi="ar"/>
              </w:rPr>
              <w:t>为一般防渗区；其他区域为简单防渗区</w:t>
            </w:r>
          </w:p>
        </w:tc>
      </w:tr>
      <w:tr w14:paraId="52076E04">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97" w:hRule="atLeast"/>
          <w:jc w:val="center"/>
        </w:trPr>
        <w:tc>
          <w:tcPr>
            <w:tcW w:w="1213" w:type="dxa"/>
            <w:tcBorders>
              <w:top w:val="single" w:color="auto" w:sz="4" w:space="0"/>
              <w:left w:val="single" w:color="auto" w:sz="4" w:space="0"/>
              <w:bottom w:val="single" w:color="auto" w:sz="4" w:space="0"/>
              <w:right w:val="single" w:color="auto" w:sz="4" w:space="0"/>
            </w:tcBorders>
            <w:noWrap w:val="0"/>
            <w:vAlign w:val="center"/>
          </w:tcPr>
          <w:p w14:paraId="555E0F3A">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生态保护措施</w:t>
            </w:r>
          </w:p>
        </w:tc>
        <w:tc>
          <w:tcPr>
            <w:tcW w:w="7920" w:type="dxa"/>
            <w:gridSpan w:val="4"/>
            <w:tcBorders>
              <w:top w:val="single" w:color="auto" w:sz="4" w:space="0"/>
              <w:left w:val="single" w:color="auto" w:sz="4" w:space="0"/>
              <w:bottom w:val="single" w:color="auto" w:sz="4" w:space="0"/>
              <w:right w:val="single" w:color="auto" w:sz="4" w:space="0"/>
            </w:tcBorders>
            <w:noWrap w:val="0"/>
            <w:vAlign w:val="center"/>
          </w:tcPr>
          <w:p w14:paraId="427A6C34">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w:t>
            </w:r>
          </w:p>
        </w:tc>
      </w:tr>
      <w:tr w14:paraId="0DA703EC">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680" w:hRule="atLeast"/>
          <w:jc w:val="center"/>
        </w:trPr>
        <w:tc>
          <w:tcPr>
            <w:tcW w:w="1213" w:type="dxa"/>
            <w:tcBorders>
              <w:top w:val="single" w:color="auto" w:sz="4" w:space="0"/>
              <w:left w:val="single" w:color="auto" w:sz="4" w:space="0"/>
              <w:bottom w:val="single" w:color="auto" w:sz="4" w:space="0"/>
              <w:right w:val="single" w:color="auto" w:sz="4" w:space="0"/>
            </w:tcBorders>
            <w:noWrap w:val="0"/>
            <w:vAlign w:val="center"/>
          </w:tcPr>
          <w:p w14:paraId="5299F9D7">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环境风险</w:t>
            </w:r>
          </w:p>
          <w:p w14:paraId="56908BB7">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防范措施</w:t>
            </w:r>
          </w:p>
        </w:tc>
        <w:tc>
          <w:tcPr>
            <w:tcW w:w="7920" w:type="dxa"/>
            <w:gridSpan w:val="4"/>
            <w:tcBorders>
              <w:top w:val="single" w:color="auto" w:sz="4" w:space="0"/>
              <w:left w:val="single" w:color="auto" w:sz="4" w:space="0"/>
              <w:bottom w:val="single" w:color="auto" w:sz="4" w:space="0"/>
              <w:right w:val="single" w:color="auto" w:sz="4" w:space="0"/>
            </w:tcBorders>
            <w:noWrap w:val="0"/>
            <w:vAlign w:val="center"/>
          </w:tcPr>
          <w:p w14:paraId="6DD94D7B">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lang w:bidi="ar"/>
              </w:rPr>
              <w:t>制定管理措施，有效防范风险事故的发生，配备的事故应急设施、材料能保证有效的事故应急，降低事故环境风险</w:t>
            </w:r>
          </w:p>
        </w:tc>
      </w:tr>
      <w:tr w14:paraId="5B0AE14E">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97" w:hRule="atLeast"/>
          <w:jc w:val="center"/>
        </w:trPr>
        <w:tc>
          <w:tcPr>
            <w:tcW w:w="1213" w:type="dxa"/>
            <w:tcBorders>
              <w:top w:val="single" w:color="auto" w:sz="4" w:space="0"/>
            </w:tcBorders>
            <w:noWrap w:val="0"/>
            <w:vAlign w:val="center"/>
          </w:tcPr>
          <w:p w14:paraId="73718EDC">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其他环境</w:t>
            </w:r>
          </w:p>
          <w:p w14:paraId="4E047DCD">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r>
              <w:rPr>
                <w:rFonts w:hint="default" w:ascii="Times New Roman" w:hAnsi="Times New Roman" w:cs="Times New Roman"/>
                <w:caps w:val="0"/>
                <w:color w:val="auto"/>
                <w:spacing w:val="0"/>
                <w:position w:val="0"/>
                <w:highlight w:val="none"/>
              </w:rPr>
              <w:t>管理要求</w:t>
            </w:r>
          </w:p>
        </w:tc>
        <w:tc>
          <w:tcPr>
            <w:tcW w:w="7920" w:type="dxa"/>
            <w:gridSpan w:val="4"/>
            <w:tcBorders>
              <w:top w:val="single" w:color="auto" w:sz="4" w:space="0"/>
            </w:tcBorders>
            <w:noWrap w:val="0"/>
            <w:vAlign w:val="center"/>
          </w:tcPr>
          <w:p w14:paraId="27434E59">
            <w:pPr>
              <w:pStyle w:val="81"/>
              <w:keepNext w:val="0"/>
              <w:keepLines w:val="0"/>
              <w:suppressLineNumbers w:val="0"/>
              <w:spacing w:before="0" w:beforeAutospacing="0" w:after="0" w:afterAutospacing="0"/>
              <w:ind w:left="0" w:right="0"/>
              <w:jc w:val="left"/>
              <w:rPr>
                <w:rFonts w:hint="default" w:ascii="Times New Roman" w:hAnsi="Times New Roman" w:cs="Times New Roman"/>
                <w:caps w:val="0"/>
                <w:color w:val="auto"/>
                <w:spacing w:val="0"/>
                <w:position w:val="0"/>
                <w:highlight w:val="none"/>
                <w:lang w:bidi="ar"/>
              </w:rPr>
            </w:pPr>
            <w:r>
              <w:rPr>
                <w:rFonts w:hint="default" w:ascii="Times New Roman" w:hAnsi="Times New Roman" w:cs="Times New Roman"/>
                <w:caps w:val="0"/>
                <w:color w:val="auto"/>
                <w:spacing w:val="0"/>
                <w:position w:val="0"/>
                <w:highlight w:val="none"/>
                <w:lang w:bidi="ar"/>
              </w:rPr>
              <w:t>（1）根据排污许可证申请与核发技术规范等文件规定的要求建立完善的环境管理制度、台账制度，设立专门环境管理机构，建立完善的环境监测制度，加强各项环保措施的运行管理，确保各项污染物稳定达标排放。</w:t>
            </w:r>
          </w:p>
          <w:p w14:paraId="1E1EAF4D">
            <w:pPr>
              <w:pStyle w:val="81"/>
              <w:keepNext w:val="0"/>
              <w:keepLines w:val="0"/>
              <w:suppressLineNumbers w:val="0"/>
              <w:spacing w:before="0" w:beforeAutospacing="0" w:after="0" w:afterAutospacing="0"/>
              <w:ind w:left="0" w:right="0"/>
              <w:jc w:val="left"/>
              <w:rPr>
                <w:rFonts w:hint="default" w:ascii="Times New Roman" w:hAnsi="Times New Roman" w:cs="Times New Roman"/>
                <w:caps w:val="0"/>
                <w:color w:val="auto"/>
                <w:spacing w:val="0"/>
                <w:position w:val="0"/>
                <w:highlight w:val="none"/>
                <w:lang w:bidi="ar"/>
              </w:rPr>
            </w:pPr>
            <w:r>
              <w:rPr>
                <w:rFonts w:hint="default" w:ascii="Times New Roman" w:hAnsi="Times New Roman" w:cs="Times New Roman"/>
                <w:caps w:val="0"/>
                <w:color w:val="auto"/>
                <w:spacing w:val="0"/>
                <w:position w:val="0"/>
                <w:highlight w:val="none"/>
                <w:lang w:bidi="ar"/>
              </w:rPr>
              <w:t>（2）根据《排污许可管理条例》，项目建成后及时申领排污许可证；</w:t>
            </w:r>
          </w:p>
          <w:p w14:paraId="678B1C3A">
            <w:pPr>
              <w:pStyle w:val="81"/>
              <w:keepNext w:val="0"/>
              <w:keepLines w:val="0"/>
              <w:suppressLineNumbers w:val="0"/>
              <w:spacing w:before="0" w:beforeAutospacing="0" w:after="0" w:afterAutospacing="0"/>
              <w:ind w:left="0" w:right="0"/>
              <w:jc w:val="left"/>
              <w:rPr>
                <w:rFonts w:hint="default" w:ascii="Times New Roman" w:hAnsi="Times New Roman" w:cs="Times New Roman"/>
                <w:caps w:val="0"/>
                <w:color w:val="auto"/>
                <w:spacing w:val="0"/>
                <w:position w:val="0"/>
                <w:highlight w:val="none"/>
                <w:lang w:bidi="ar"/>
              </w:rPr>
            </w:pPr>
            <w:r>
              <w:rPr>
                <w:rFonts w:hint="default" w:ascii="Times New Roman" w:hAnsi="Times New Roman" w:cs="Times New Roman"/>
                <w:caps w:val="0"/>
                <w:color w:val="auto"/>
                <w:spacing w:val="0"/>
                <w:position w:val="0"/>
                <w:highlight w:val="none"/>
                <w:lang w:bidi="ar"/>
              </w:rPr>
              <w:t>（3）按照环境监测计划对项目废气</w:t>
            </w:r>
            <w:r>
              <w:rPr>
                <w:rFonts w:hint="default" w:ascii="Times New Roman" w:hAnsi="Times New Roman" w:cs="Times New Roman"/>
                <w:caps w:val="0"/>
                <w:color w:val="auto"/>
                <w:spacing w:val="0"/>
                <w:position w:val="0"/>
                <w:highlight w:val="none"/>
                <w:lang w:eastAsia="zh-CN" w:bidi="ar"/>
              </w:rPr>
              <w:t>、</w:t>
            </w:r>
            <w:r>
              <w:rPr>
                <w:rFonts w:hint="default" w:ascii="Times New Roman" w:hAnsi="Times New Roman" w:cs="Times New Roman"/>
                <w:caps w:val="0"/>
                <w:color w:val="auto"/>
                <w:spacing w:val="0"/>
                <w:position w:val="0"/>
                <w:highlight w:val="none"/>
                <w:lang w:val="en-US" w:eastAsia="zh-CN" w:bidi="ar"/>
              </w:rPr>
              <w:t>废水、</w:t>
            </w:r>
            <w:r>
              <w:rPr>
                <w:rFonts w:hint="default" w:ascii="Times New Roman" w:hAnsi="Times New Roman" w:cs="Times New Roman"/>
                <w:caps w:val="0"/>
                <w:color w:val="auto"/>
                <w:spacing w:val="0"/>
                <w:position w:val="0"/>
                <w:highlight w:val="none"/>
                <w:lang w:bidi="ar"/>
              </w:rPr>
              <w:t>厂界噪声等定期进行监测；</w:t>
            </w:r>
          </w:p>
          <w:p w14:paraId="602A455C">
            <w:pPr>
              <w:pStyle w:val="81"/>
              <w:keepNext w:val="0"/>
              <w:keepLines w:val="0"/>
              <w:suppressLineNumbers w:val="0"/>
              <w:spacing w:before="0" w:beforeAutospacing="0" w:after="0" w:afterAutospacing="0"/>
              <w:ind w:left="0" w:right="0"/>
              <w:jc w:val="left"/>
              <w:rPr>
                <w:rFonts w:hint="default" w:ascii="Times New Roman" w:hAnsi="Times New Roman" w:cs="Times New Roman"/>
                <w:caps w:val="0"/>
                <w:color w:val="auto"/>
                <w:spacing w:val="0"/>
                <w:position w:val="0"/>
                <w:highlight w:val="none"/>
                <w:lang w:bidi="ar"/>
              </w:rPr>
            </w:pPr>
            <w:r>
              <w:rPr>
                <w:rFonts w:hint="default" w:ascii="Times New Roman" w:hAnsi="Times New Roman" w:cs="Times New Roman"/>
                <w:caps w:val="0"/>
                <w:color w:val="auto"/>
                <w:spacing w:val="0"/>
                <w:position w:val="0"/>
                <w:highlight w:val="none"/>
                <w:lang w:bidi="ar"/>
              </w:rPr>
              <w:t>（4）依照《建设项目环境保护管理条例》《建设项目竣工环境保护验收暂行办法》</w:t>
            </w:r>
          </w:p>
          <w:p w14:paraId="26AFCC90">
            <w:pPr>
              <w:pStyle w:val="81"/>
              <w:keepNext w:val="0"/>
              <w:keepLines w:val="0"/>
              <w:suppressLineNumbers w:val="0"/>
              <w:spacing w:before="0" w:beforeAutospacing="0" w:after="0" w:afterAutospacing="0"/>
              <w:ind w:left="0" w:right="0"/>
              <w:jc w:val="left"/>
              <w:rPr>
                <w:rFonts w:hint="default" w:ascii="Times New Roman" w:hAnsi="Times New Roman" w:cs="Times New Roman"/>
                <w:caps w:val="0"/>
                <w:color w:val="auto"/>
                <w:spacing w:val="0"/>
                <w:position w:val="0"/>
                <w:highlight w:val="none"/>
                <w:lang w:bidi="ar"/>
              </w:rPr>
            </w:pPr>
            <w:r>
              <w:rPr>
                <w:rFonts w:hint="default" w:ascii="Times New Roman" w:hAnsi="Times New Roman" w:cs="Times New Roman"/>
                <w:caps w:val="0"/>
                <w:color w:val="auto"/>
                <w:spacing w:val="0"/>
                <w:position w:val="0"/>
                <w:highlight w:val="none"/>
                <w:lang w:bidi="ar"/>
              </w:rPr>
              <w:t>的相关要求，尽快完成竣工环保验收。</w:t>
            </w:r>
          </w:p>
          <w:p w14:paraId="093C7A93">
            <w:pPr>
              <w:pStyle w:val="81"/>
              <w:keepNext w:val="0"/>
              <w:keepLines w:val="0"/>
              <w:suppressLineNumbers w:val="0"/>
              <w:spacing w:before="0" w:beforeAutospacing="0" w:after="0" w:afterAutospacing="0"/>
              <w:ind w:left="0" w:right="0"/>
              <w:jc w:val="left"/>
              <w:rPr>
                <w:rFonts w:hint="default" w:ascii="Times New Roman" w:hAnsi="Times New Roman" w:cs="Times New Roman"/>
                <w:caps w:val="0"/>
                <w:color w:val="auto"/>
                <w:spacing w:val="0"/>
                <w:position w:val="0"/>
                <w:highlight w:val="none"/>
                <w:lang w:bidi="ar"/>
              </w:rPr>
            </w:pPr>
            <w:r>
              <w:rPr>
                <w:rFonts w:hint="default" w:ascii="Times New Roman" w:hAnsi="Times New Roman" w:cs="Times New Roman"/>
                <w:caps w:val="0"/>
                <w:color w:val="auto"/>
                <w:spacing w:val="0"/>
                <w:position w:val="0"/>
                <w:highlight w:val="none"/>
                <w:lang w:bidi="ar"/>
              </w:rPr>
              <w:t>（5）建设单位应在排污口处设立较明显的环境保护图形标志牌，其上应注明主要排放污染物的名称。排污口标志牌由国家环保部统一定点监制，标志牌设置应符合GB15562.1-1995、GB15562.2-1995《环境保护图形标志》相关规定。</w:t>
            </w:r>
          </w:p>
          <w:p w14:paraId="6F5D9E77">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p>
          <w:p w14:paraId="11F73FC6">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p>
          <w:p w14:paraId="44220D91">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p>
          <w:p w14:paraId="409A1E5B">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p>
          <w:p w14:paraId="054F16D6">
            <w:pPr>
              <w:pStyle w:val="81"/>
              <w:keepNext w:val="0"/>
              <w:keepLines w:val="0"/>
              <w:suppressLineNumbers w:val="0"/>
              <w:spacing w:before="0" w:beforeAutospacing="0" w:after="0" w:afterAutospacing="0"/>
              <w:ind w:left="0" w:right="0"/>
              <w:rPr>
                <w:rFonts w:hint="default" w:ascii="Times New Roman" w:hAnsi="Times New Roman" w:cs="Times New Roman"/>
                <w:caps w:val="0"/>
                <w:color w:val="auto"/>
                <w:spacing w:val="0"/>
                <w:position w:val="0"/>
                <w:highlight w:val="none"/>
              </w:rPr>
            </w:pPr>
          </w:p>
        </w:tc>
      </w:tr>
    </w:tbl>
    <w:p w14:paraId="4B57C0FB">
      <w:pPr>
        <w:pStyle w:val="74"/>
        <w:bidi w:val="0"/>
        <w:ind w:left="0" w:leftChars="0" w:firstLine="0" w:firstLineChars="0"/>
        <w:rPr>
          <w:rFonts w:hint="eastAsia"/>
          <w:caps w:val="0"/>
          <w:color w:val="auto"/>
          <w:spacing w:val="0"/>
          <w:position w:val="0"/>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FD40D9D">
      <w:pPr>
        <w:pStyle w:val="20"/>
        <w:spacing w:before="0" w:beforeAutospacing="0" w:after="0" w:afterAutospacing="0"/>
        <w:ind w:firstLine="480"/>
        <w:jc w:val="center"/>
        <w:outlineLvl w:val="0"/>
        <w:rPr>
          <w:rFonts w:ascii="黑体" w:hAnsi="黑体" w:eastAsia="黑体"/>
          <w:caps w:val="0"/>
          <w:snapToGrid w:val="0"/>
          <w:color w:val="auto"/>
          <w:spacing w:val="0"/>
          <w:position w:val="0"/>
          <w:sz w:val="30"/>
          <w:szCs w:val="30"/>
          <w:highlight w:val="none"/>
        </w:rPr>
      </w:pPr>
      <w:bookmarkStart w:id="81" w:name="_Toc13023"/>
      <w:bookmarkStart w:id="82" w:name="_Toc26445"/>
      <w:bookmarkStart w:id="83" w:name="_Toc31057"/>
      <w:r>
        <w:rPr>
          <w:rFonts w:hint="eastAsia" w:ascii="黑体" w:hAnsi="黑体" w:eastAsia="黑体"/>
          <w:caps w:val="0"/>
          <w:snapToGrid w:val="0"/>
          <w:color w:val="auto"/>
          <w:spacing w:val="0"/>
          <w:position w:val="0"/>
          <w:sz w:val="30"/>
          <w:szCs w:val="30"/>
          <w:highlight w:val="none"/>
        </w:rPr>
        <w:t>六、结论</w:t>
      </w:r>
      <w:bookmarkEnd w:id="81"/>
      <w:bookmarkEnd w:id="82"/>
      <w:bookmarkEnd w:id="83"/>
    </w:p>
    <w:tbl>
      <w:tblPr>
        <w:tblStyle w:val="23"/>
        <w:tblW w:w="913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133"/>
      </w:tblGrid>
      <w:tr w14:paraId="0C025F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5000" w:type="pct"/>
            <w:noWrap w:val="0"/>
            <w:vAlign w:val="center"/>
          </w:tcPr>
          <w:p w14:paraId="248E1288">
            <w:pPr>
              <w:keepNext w:val="0"/>
              <w:keepLines w:val="0"/>
              <w:suppressLineNumbers w:val="0"/>
              <w:autoSpaceDE w:val="0"/>
              <w:autoSpaceDN w:val="0"/>
              <w:spacing w:before="0" w:beforeAutospacing="0" w:after="0" w:afterAutospacing="0"/>
              <w:ind w:left="0" w:right="0" w:firstLine="480"/>
              <w:rPr>
                <w:rFonts w:hint="default"/>
                <w:b/>
                <w:caps w:val="0"/>
                <w:color w:val="auto"/>
                <w:spacing w:val="0"/>
                <w:kern w:val="0"/>
                <w:position w:val="0"/>
                <w:highlight w:val="none"/>
              </w:rPr>
            </w:pPr>
            <w:r>
              <w:rPr>
                <w:rFonts w:hint="default"/>
                <w:caps w:val="0"/>
                <w:color w:val="auto"/>
                <w:spacing w:val="0"/>
                <w:kern w:val="0"/>
                <w:position w:val="0"/>
                <w:highlight w:val="none"/>
              </w:rPr>
              <w:t>综上所述，该项目符合国家产业政策，选址合理。只要保证在营运期间加强设备检修及维护，确保各环保处理设施稳定运行，可做到对周边环境基本无影响。同时，建设单位应按照环境保护的原则，认真执行“三同时”政策，落实各项污染防治措施，并切实保证污染治理设施正常稳定的运行，在此基础上，本项目的环境影响可得到有效控制。从环境保护的角度来看，本项目建设是可行的。</w:t>
            </w:r>
          </w:p>
          <w:p w14:paraId="0D28C056">
            <w:pPr>
              <w:keepNext w:val="0"/>
              <w:keepLines w:val="0"/>
              <w:suppressLineNumbers w:val="0"/>
              <w:spacing w:before="0" w:beforeAutospacing="0" w:after="0" w:afterAutospacing="0"/>
              <w:ind w:left="0" w:right="0" w:firstLine="361"/>
              <w:rPr>
                <w:rFonts w:hint="default"/>
                <w:b/>
                <w:caps w:val="0"/>
                <w:color w:val="auto"/>
                <w:spacing w:val="0"/>
                <w:kern w:val="0"/>
                <w:position w:val="0"/>
                <w:sz w:val="18"/>
                <w:szCs w:val="18"/>
                <w:highlight w:val="none"/>
              </w:rPr>
            </w:pPr>
            <w:r>
              <w:rPr>
                <w:rFonts w:hint="default"/>
                <w:b/>
                <w:caps w:val="0"/>
                <w:color w:val="auto"/>
                <w:spacing w:val="0"/>
                <w:kern w:val="0"/>
                <w:position w:val="0"/>
                <w:sz w:val="18"/>
                <w:szCs w:val="18"/>
                <w:highlight w:val="none"/>
              </w:rPr>
              <w:t>注：项目基础资料均由建设单位提供，并对其准确性和有效性负责。建设单位未来如需增加本报告表所涉及之外的污染源或对其功能进行调整，则应按要求向有关环保部门进行申报，并按污染控制目标采取相应的污染治理措施。</w:t>
            </w:r>
          </w:p>
          <w:p w14:paraId="4E445513">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p>
          <w:p w14:paraId="25221BEF">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p>
          <w:p w14:paraId="7D436AFD">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p>
          <w:p w14:paraId="085A935F">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p>
          <w:p w14:paraId="1F6877D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p>
          <w:p w14:paraId="5CE52AD6">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p>
          <w:p w14:paraId="4ECAA6DF">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p>
          <w:p w14:paraId="59C541B1">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p>
          <w:p w14:paraId="0333D07C">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p>
          <w:p w14:paraId="52A7B739">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p>
          <w:p w14:paraId="6A68ED53">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p>
          <w:p w14:paraId="7E567354">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p>
          <w:p w14:paraId="01398C32">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p>
          <w:p w14:paraId="2BBCF6B5">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p>
          <w:p w14:paraId="4EBA1768">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p>
          <w:p w14:paraId="3288796D">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p>
          <w:p w14:paraId="02F65A38">
            <w:pPr>
              <w:pStyle w:val="74"/>
              <w:keepNext w:val="0"/>
              <w:keepLines w:val="0"/>
              <w:suppressLineNumbers w:val="0"/>
              <w:bidi w:val="0"/>
              <w:spacing w:before="0" w:beforeAutospacing="0" w:after="0" w:afterAutospacing="0"/>
              <w:ind w:left="0" w:right="0"/>
              <w:rPr>
                <w:rFonts w:hint="default"/>
                <w:caps w:val="0"/>
                <w:color w:val="auto"/>
                <w:spacing w:val="0"/>
                <w:position w:val="0"/>
                <w:highlight w:val="none"/>
              </w:rPr>
            </w:pPr>
          </w:p>
          <w:p w14:paraId="2C599BAE">
            <w:pPr>
              <w:keepNext w:val="0"/>
              <w:keepLines w:val="0"/>
              <w:suppressLineNumbers w:val="0"/>
              <w:spacing w:before="0" w:beforeAutospacing="0" w:after="0" w:afterAutospacing="0"/>
              <w:ind w:left="0" w:right="0" w:firstLine="480"/>
              <w:rPr>
                <w:rFonts w:hint="default" w:ascii="宋体" w:cs="宋体"/>
                <w:caps w:val="0"/>
                <w:color w:val="auto"/>
                <w:spacing w:val="0"/>
                <w:kern w:val="0"/>
                <w:position w:val="0"/>
                <w:highlight w:val="none"/>
              </w:rPr>
            </w:pPr>
          </w:p>
        </w:tc>
      </w:tr>
    </w:tbl>
    <w:p w14:paraId="4B02855A">
      <w:pPr>
        <w:pStyle w:val="74"/>
        <w:bidi w:val="0"/>
        <w:ind w:left="0" w:leftChars="0" w:firstLine="0" w:firstLineChars="0"/>
        <w:rPr>
          <w:rFonts w:hint="eastAsia"/>
          <w:caps w:val="0"/>
          <w:color w:val="auto"/>
          <w:spacing w:val="0"/>
          <w:position w:val="0"/>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F4F788B">
      <w:pPr>
        <w:pStyle w:val="20"/>
        <w:spacing w:before="0" w:beforeAutospacing="0" w:after="0" w:afterAutospacing="0"/>
        <w:ind w:firstLine="640"/>
        <w:outlineLvl w:val="0"/>
        <w:rPr>
          <w:rFonts w:hint="eastAsia" w:ascii="黑体" w:hAnsi="黑体" w:eastAsia="黑体"/>
          <w:caps w:val="0"/>
          <w:snapToGrid w:val="0"/>
          <w:color w:val="auto"/>
          <w:spacing w:val="0"/>
          <w:position w:val="0"/>
          <w:sz w:val="32"/>
          <w:szCs w:val="32"/>
          <w:highlight w:val="none"/>
          <w:lang w:eastAsia="zh-CN"/>
        </w:rPr>
      </w:pPr>
      <w:bookmarkStart w:id="84" w:name="_Toc28628"/>
      <w:bookmarkStart w:id="85" w:name="_Toc4403"/>
      <w:bookmarkStart w:id="86" w:name="_Toc28304"/>
      <w:r>
        <w:rPr>
          <w:rFonts w:hint="eastAsia" w:ascii="黑体" w:hAnsi="黑体" w:eastAsia="黑体"/>
          <w:caps w:val="0"/>
          <w:snapToGrid w:val="0"/>
          <w:color w:val="auto"/>
          <w:spacing w:val="0"/>
          <w:position w:val="0"/>
          <w:sz w:val="32"/>
          <w:szCs w:val="32"/>
          <w:highlight w:val="none"/>
        </w:rPr>
        <w:t>附表</w:t>
      </w:r>
      <w:bookmarkEnd w:id="84"/>
      <w:r>
        <w:rPr>
          <w:rFonts w:hint="eastAsia" w:ascii="黑体" w:hAnsi="黑体" w:eastAsia="黑体"/>
          <w:caps w:val="0"/>
          <w:snapToGrid w:val="0"/>
          <w:color w:val="auto"/>
          <w:spacing w:val="0"/>
          <w:position w:val="0"/>
          <w:sz w:val="32"/>
          <w:szCs w:val="32"/>
          <w:highlight w:val="none"/>
          <w:lang w:eastAsia="zh-CN"/>
        </w:rPr>
        <w:t>：</w:t>
      </w:r>
      <w:bookmarkEnd w:id="85"/>
      <w:bookmarkEnd w:id="86"/>
    </w:p>
    <w:p w14:paraId="2F88C15C">
      <w:pPr>
        <w:pStyle w:val="20"/>
        <w:spacing w:before="0" w:beforeAutospacing="0" w:after="0" w:afterAutospacing="0"/>
        <w:ind w:firstLine="560"/>
        <w:jc w:val="center"/>
        <w:outlineLvl w:val="0"/>
        <w:rPr>
          <w:rFonts w:ascii="方正小标宋_GBK" w:hAnsi="黑体" w:eastAsia="方正小标宋_GBK"/>
          <w:caps w:val="0"/>
          <w:snapToGrid w:val="0"/>
          <w:color w:val="auto"/>
          <w:spacing w:val="0"/>
          <w:position w:val="0"/>
          <w:sz w:val="28"/>
          <w:szCs w:val="28"/>
          <w:highlight w:val="none"/>
        </w:rPr>
      </w:pPr>
      <w:bookmarkStart w:id="87" w:name="_Toc3446"/>
      <w:bookmarkStart w:id="88" w:name="_Toc29141"/>
      <w:bookmarkStart w:id="89" w:name="_Toc14333"/>
      <w:r>
        <w:rPr>
          <w:rFonts w:hint="eastAsia" w:ascii="方正小标宋_GBK" w:hAnsi="黑体" w:eastAsia="方正小标宋_GBK"/>
          <w:caps w:val="0"/>
          <w:snapToGrid w:val="0"/>
          <w:color w:val="auto"/>
          <w:spacing w:val="0"/>
          <w:position w:val="0"/>
          <w:sz w:val="28"/>
          <w:szCs w:val="28"/>
          <w:highlight w:val="none"/>
        </w:rPr>
        <w:t>建设项目污染物排放量汇总表</w:t>
      </w:r>
      <w:bookmarkEnd w:id="87"/>
      <w:r>
        <w:rPr>
          <w:rFonts w:hint="eastAsia" w:ascii="方正小标宋_GBK" w:hAnsi="黑体" w:eastAsia="方正小标宋_GBK"/>
          <w:caps w:val="0"/>
          <w:snapToGrid w:val="0"/>
          <w:color w:val="auto"/>
          <w:spacing w:val="0"/>
          <w:position w:val="0"/>
          <w:sz w:val="28"/>
          <w:szCs w:val="28"/>
          <w:highlight w:val="none"/>
        </w:rPr>
        <w:t>单位：（t/a）</w:t>
      </w:r>
      <w:bookmarkEnd w:id="88"/>
      <w:bookmarkEnd w:id="89"/>
    </w:p>
    <w:tbl>
      <w:tblPr>
        <w:tblStyle w:val="23"/>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12"/>
        <w:gridCol w:w="2305"/>
        <w:gridCol w:w="1632"/>
        <w:gridCol w:w="1281"/>
        <w:gridCol w:w="1374"/>
        <w:gridCol w:w="1421"/>
        <w:gridCol w:w="1632"/>
        <w:gridCol w:w="1581"/>
        <w:gridCol w:w="1154"/>
      </w:tblGrid>
      <w:tr w14:paraId="7C9DE3E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noWrap w:val="0"/>
            <w:tcMar>
              <w:left w:w="28" w:type="dxa"/>
              <w:right w:w="28" w:type="dxa"/>
            </w:tcMar>
            <w:vAlign w:val="center"/>
          </w:tcPr>
          <w:p w14:paraId="69DF991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mc:AlternateContent>
                <mc:Choice Requires="wps">
                  <w:drawing>
                    <wp:anchor distT="0" distB="0" distL="114300" distR="114300" simplePos="0" relativeHeight="251661312" behindDoc="0" locked="0" layoutInCell="1" allowOverlap="1">
                      <wp:simplePos x="0" y="0"/>
                      <wp:positionH relativeFrom="column">
                        <wp:posOffset>-28575</wp:posOffset>
                      </wp:positionH>
                      <wp:positionV relativeFrom="paragraph">
                        <wp:posOffset>3810</wp:posOffset>
                      </wp:positionV>
                      <wp:extent cx="708025" cy="510540"/>
                      <wp:effectExtent l="2540" t="3810" r="13335" b="19050"/>
                      <wp:wrapNone/>
                      <wp:docPr id="23" name="直接连接符 23"/>
                      <wp:cNvGraphicFramePr/>
                      <a:graphic xmlns:a="http://schemas.openxmlformats.org/drawingml/2006/main">
                        <a:graphicData uri="http://schemas.microsoft.com/office/word/2010/wordprocessingShape">
                          <wps:wsp>
                            <wps:cNvCnPr/>
                            <wps:spPr>
                              <a:xfrm>
                                <a:off x="0" y="0"/>
                                <a:ext cx="708025" cy="51054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25pt;margin-top:0.3pt;height:40.2pt;width:55.75pt;z-index:251661312;mso-width-relative:page;mso-height-relative:page;" filled="f" stroked="t" coordsize="21600,21600" o:gfxdata="UEsDBAoAAAAAAIdO4kAAAAAAAAAAAAAAAAAEAAAAZHJzL1BLAwQUAAAACACHTuJA6ZvlvtQAAAAG&#10;AQAADwAAAGRycy9kb3ducmV2LnhtbE2PzU7DMBCE70i8g7VIXKrWToFShWx6AHLjQgFx3cZLEhGv&#10;09j9gafHPZXjaEYz3xSro+vVnsfQeUHIZgYUS+1tJw3C+1s1XYIKkcRS74URfjjAqry8KCi3/iCv&#10;vF/HRqUSCTkhtDEOudahbtlRmPmBJXlffnQUkxwbbUc6pHLX67kxC+2ok7TQ0sCPLdff651DCNUH&#10;b6vfST0xnzeN5/n26eWZEK+vMvMAKvIxnsNwwk/oUCamjd+JDapHmN7epSTCAtTJNffp2QZhmRnQ&#10;ZaH/45d/UEsDBBQAAAAIAIdO4kCs4yeo+gEAAOoDAAAOAAAAZHJzL2Uyb0RvYy54bWytU82O0zAQ&#10;viPxDpbvNGmhsBs13cOW5YKgEuwDTB0nseQ/edymfQleAIkbnDhy521YHoOxU7qwXHogB2fsGX8z&#10;3+eZxdXeaLaTAZWzNZ9OSs6kFa5Rtqv57fubJxecYQTbgHZW1vwgkV8tHz9aDL6SM9c73cjACMRi&#10;Nfia9zH6qihQ9NIATpyXlpytCwYibUNXNAEGQje6mJXl82JwofHBCYlIp6vRyY+I4RxA17ZKyJUT&#10;WyNtHFGD1BCJEvbKI1/mattWivi2bVFGpmtOTGNeKQnZm7QWywVUXQDfK3EsAc4p4QEnA8pS0hPU&#10;CiKwbVD/QBklgkPXxolwphiJZEWIxbR8oM27HrzMXEhq9CfR8f/Bije7dWCqqfnsKWcWDL343cdv&#10;Pz58/vn9E613X78w8pBMg8eKoq/tOhx36Nchcd63waQ/sWH7LO3hJK3cRybo8EV5Uc7mnAlyzafl&#10;/FmWvri/7APGV9IZloyaa2UTc6hg9xojJaTQ3yHpWFs21PxynjGB2rCl5yd444kK2i7fRadVc6O0&#10;TjcwdJtrHdgOUivkL9Ei3L/CUpIVYD/GZdfYJL2E5qVtWDx40sjSbPBUgpENZ1rSKCWLAKGKoPQ5&#10;kZRaW6ogKTtqmayNaw70JFsfVNeTEtNcZfJQC+R6j+2aeuzPfUa6H9Hl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mb5b7UAAAABgEAAA8AAAAAAAAAAQAgAAAAIgAAAGRycy9kb3ducmV2LnhtbFBL&#10;AQIUABQAAAAIAIdO4kCs4yeo+gEAAOoDAAAOAAAAAAAAAAEAIAAAACMBAABkcnMvZTJvRG9jLnht&#10;bFBLBQYAAAAABgAGAFkBAACPBQAAAAA=&#10;">
                      <v:fill on="f" focussize="0,0"/>
                      <v:stroke color="#000000" joinstyle="round"/>
                      <v:imagedata o:title=""/>
                      <o:lock v:ext="edit" aspectratio="f"/>
                    </v:line>
                  </w:pict>
                </mc:Fallback>
              </mc:AlternateContent>
            </w:r>
            <w:r>
              <w:rPr>
                <w:rFonts w:hint="eastAsia"/>
                <w:caps w:val="0"/>
                <w:color w:val="auto"/>
                <w:spacing w:val="0"/>
                <w:position w:val="0"/>
                <w:highlight w:val="none"/>
              </w:rPr>
              <w:t xml:space="preserve"> </w:t>
            </w:r>
            <w:r>
              <w:rPr>
                <w:rFonts w:hint="default"/>
                <w:caps w:val="0"/>
                <w:color w:val="auto"/>
                <w:spacing w:val="0"/>
                <w:position w:val="0"/>
                <w:highlight w:val="none"/>
              </w:rPr>
              <w:t xml:space="preserve">   项目</w:t>
            </w:r>
          </w:p>
          <w:p w14:paraId="67566A49">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p w14:paraId="102FA68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分类</w:t>
            </w:r>
          </w:p>
        </w:tc>
        <w:tc>
          <w:tcPr>
            <w:tcW w:w="2305" w:type="dxa"/>
            <w:noWrap w:val="0"/>
            <w:tcMar>
              <w:left w:w="28" w:type="dxa"/>
              <w:right w:w="28" w:type="dxa"/>
            </w:tcMar>
            <w:vAlign w:val="center"/>
          </w:tcPr>
          <w:p w14:paraId="4FCB8505">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污染物名称</w:t>
            </w:r>
          </w:p>
        </w:tc>
        <w:tc>
          <w:tcPr>
            <w:tcW w:w="1632" w:type="dxa"/>
            <w:noWrap w:val="0"/>
            <w:tcMar>
              <w:left w:w="28" w:type="dxa"/>
              <w:right w:w="28" w:type="dxa"/>
            </w:tcMar>
            <w:vAlign w:val="center"/>
          </w:tcPr>
          <w:p w14:paraId="042BC7D9">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现有工程排放量（固体废物产生量）</w:t>
            </w:r>
            <w:r>
              <w:rPr>
                <w:rFonts w:hint="default"/>
                <w:caps w:val="0"/>
                <w:color w:val="auto"/>
                <w:spacing w:val="0"/>
                <w:position w:val="0"/>
                <w:highlight w:val="none"/>
              </w:rPr>
              <w:fldChar w:fldCharType="begin"/>
            </w:r>
            <w:r>
              <w:rPr>
                <w:rFonts w:hint="default"/>
                <w:caps w:val="0"/>
                <w:color w:val="auto"/>
                <w:spacing w:val="0"/>
                <w:position w:val="0"/>
                <w:highlight w:val="none"/>
              </w:rPr>
              <w:instrText xml:space="preserve"> = 1 \* GB3 \* MERGEFORMAT </w:instrText>
            </w:r>
            <w:r>
              <w:rPr>
                <w:rFonts w:hint="default"/>
                <w:caps w:val="0"/>
                <w:color w:val="auto"/>
                <w:spacing w:val="0"/>
                <w:position w:val="0"/>
                <w:highlight w:val="none"/>
              </w:rPr>
              <w:fldChar w:fldCharType="separate"/>
            </w:r>
            <w:r>
              <w:rPr>
                <w:rFonts w:hint="eastAsia"/>
                <w:caps w:val="0"/>
                <w:color w:val="auto"/>
                <w:spacing w:val="0"/>
                <w:position w:val="0"/>
                <w:highlight w:val="none"/>
              </w:rPr>
              <w:t>①</w:t>
            </w:r>
            <w:r>
              <w:rPr>
                <w:rFonts w:hint="default"/>
                <w:caps w:val="0"/>
                <w:color w:val="auto"/>
                <w:spacing w:val="0"/>
                <w:position w:val="0"/>
                <w:highlight w:val="none"/>
              </w:rPr>
              <w:fldChar w:fldCharType="end"/>
            </w:r>
          </w:p>
        </w:tc>
        <w:tc>
          <w:tcPr>
            <w:tcW w:w="1281" w:type="dxa"/>
            <w:noWrap w:val="0"/>
            <w:tcMar>
              <w:left w:w="28" w:type="dxa"/>
              <w:right w:w="28" w:type="dxa"/>
            </w:tcMar>
            <w:vAlign w:val="center"/>
          </w:tcPr>
          <w:p w14:paraId="4585E6C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现有工程许可排放量</w:t>
            </w:r>
            <w:r>
              <w:rPr>
                <w:rFonts w:hint="default"/>
                <w:caps w:val="0"/>
                <w:color w:val="auto"/>
                <w:spacing w:val="0"/>
                <w:position w:val="0"/>
                <w:highlight w:val="none"/>
              </w:rPr>
              <w:fldChar w:fldCharType="begin"/>
            </w:r>
            <w:r>
              <w:rPr>
                <w:rFonts w:hint="default"/>
                <w:caps w:val="0"/>
                <w:color w:val="auto"/>
                <w:spacing w:val="0"/>
                <w:position w:val="0"/>
                <w:highlight w:val="none"/>
              </w:rPr>
              <w:instrText xml:space="preserve"> = 2 \* GB3 \* MERGEFORMAT </w:instrText>
            </w:r>
            <w:r>
              <w:rPr>
                <w:rFonts w:hint="default"/>
                <w:caps w:val="0"/>
                <w:color w:val="auto"/>
                <w:spacing w:val="0"/>
                <w:position w:val="0"/>
                <w:highlight w:val="none"/>
              </w:rPr>
              <w:fldChar w:fldCharType="separate"/>
            </w:r>
            <w:r>
              <w:rPr>
                <w:rFonts w:hint="eastAsia"/>
                <w:caps w:val="0"/>
                <w:color w:val="auto"/>
                <w:spacing w:val="0"/>
                <w:position w:val="0"/>
                <w:highlight w:val="none"/>
              </w:rPr>
              <w:t>②</w:t>
            </w:r>
            <w:r>
              <w:rPr>
                <w:rFonts w:hint="default"/>
                <w:caps w:val="0"/>
                <w:color w:val="auto"/>
                <w:spacing w:val="0"/>
                <w:position w:val="0"/>
                <w:highlight w:val="none"/>
              </w:rPr>
              <w:fldChar w:fldCharType="end"/>
            </w:r>
          </w:p>
        </w:tc>
        <w:tc>
          <w:tcPr>
            <w:tcW w:w="1374" w:type="dxa"/>
            <w:noWrap w:val="0"/>
            <w:tcMar>
              <w:left w:w="28" w:type="dxa"/>
              <w:right w:w="28" w:type="dxa"/>
            </w:tcMar>
            <w:vAlign w:val="center"/>
          </w:tcPr>
          <w:p w14:paraId="27F2A9B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在建工程排放量（固体废物产生量）</w:t>
            </w:r>
            <w:r>
              <w:rPr>
                <w:rFonts w:hint="default"/>
                <w:caps w:val="0"/>
                <w:color w:val="auto"/>
                <w:spacing w:val="0"/>
                <w:position w:val="0"/>
                <w:highlight w:val="none"/>
              </w:rPr>
              <w:fldChar w:fldCharType="begin"/>
            </w:r>
            <w:r>
              <w:rPr>
                <w:rFonts w:hint="default"/>
                <w:caps w:val="0"/>
                <w:color w:val="auto"/>
                <w:spacing w:val="0"/>
                <w:position w:val="0"/>
                <w:highlight w:val="none"/>
              </w:rPr>
              <w:instrText xml:space="preserve"> = 3 \* GB3 \* MERGEFORMAT </w:instrText>
            </w:r>
            <w:r>
              <w:rPr>
                <w:rFonts w:hint="default"/>
                <w:caps w:val="0"/>
                <w:color w:val="auto"/>
                <w:spacing w:val="0"/>
                <w:position w:val="0"/>
                <w:highlight w:val="none"/>
              </w:rPr>
              <w:fldChar w:fldCharType="separate"/>
            </w:r>
            <w:r>
              <w:rPr>
                <w:rFonts w:hint="eastAsia"/>
                <w:caps w:val="0"/>
                <w:color w:val="auto"/>
                <w:spacing w:val="0"/>
                <w:position w:val="0"/>
                <w:highlight w:val="none"/>
              </w:rPr>
              <w:t>③</w:t>
            </w:r>
            <w:r>
              <w:rPr>
                <w:rFonts w:hint="default"/>
                <w:caps w:val="0"/>
                <w:color w:val="auto"/>
                <w:spacing w:val="0"/>
                <w:position w:val="0"/>
                <w:highlight w:val="none"/>
              </w:rPr>
              <w:fldChar w:fldCharType="end"/>
            </w:r>
          </w:p>
        </w:tc>
        <w:tc>
          <w:tcPr>
            <w:tcW w:w="1421" w:type="dxa"/>
            <w:noWrap w:val="0"/>
            <w:tcMar>
              <w:left w:w="28" w:type="dxa"/>
              <w:right w:w="28" w:type="dxa"/>
            </w:tcMar>
            <w:vAlign w:val="center"/>
          </w:tcPr>
          <w:p w14:paraId="2DF845D0">
            <w:pPr>
              <w:pStyle w:val="28"/>
              <w:keepNext w:val="0"/>
              <w:keepLines w:val="0"/>
              <w:suppressLineNumbers w:val="0"/>
              <w:bidi w:val="0"/>
              <w:spacing w:beforeAutospacing="0" w:afterAutospacing="0"/>
              <w:ind w:left="0" w:right="0"/>
              <w:rPr>
                <w:rFonts w:hint="eastAsia" w:eastAsia="宋体"/>
                <w:caps w:val="0"/>
                <w:color w:val="auto"/>
                <w:spacing w:val="0"/>
                <w:position w:val="0"/>
                <w:highlight w:val="none"/>
                <w:lang w:eastAsia="zh-CN"/>
              </w:rPr>
            </w:pPr>
            <w:r>
              <w:rPr>
                <w:rFonts w:hint="default"/>
                <w:caps w:val="0"/>
                <w:color w:val="auto"/>
                <w:spacing w:val="0"/>
                <w:position w:val="0"/>
                <w:highlight w:val="none"/>
              </w:rPr>
              <w:t>本项目排放量（固体废物产生量）</w:t>
            </w:r>
            <w:r>
              <w:rPr>
                <w:rFonts w:hint="default"/>
                <w:caps w:val="0"/>
                <w:color w:val="auto"/>
                <w:spacing w:val="0"/>
                <w:position w:val="0"/>
                <w:highlight w:val="none"/>
              </w:rPr>
              <w:fldChar w:fldCharType="begin"/>
            </w:r>
            <w:r>
              <w:rPr>
                <w:rFonts w:hint="default"/>
                <w:caps w:val="0"/>
                <w:color w:val="auto"/>
                <w:spacing w:val="0"/>
                <w:position w:val="0"/>
                <w:highlight w:val="none"/>
              </w:rPr>
              <w:instrText xml:space="preserve"> = 4 \* GB3 \* MERGEFORMAT </w:instrText>
            </w:r>
            <w:r>
              <w:rPr>
                <w:rFonts w:hint="default"/>
                <w:caps w:val="0"/>
                <w:color w:val="auto"/>
                <w:spacing w:val="0"/>
                <w:position w:val="0"/>
                <w:highlight w:val="none"/>
              </w:rPr>
              <w:fldChar w:fldCharType="separate"/>
            </w:r>
            <w:r>
              <w:rPr>
                <w:rFonts w:hint="eastAsia"/>
                <w:caps w:val="0"/>
                <w:color w:val="auto"/>
                <w:spacing w:val="0"/>
                <w:position w:val="0"/>
                <w:highlight w:val="none"/>
              </w:rPr>
              <w:t>④</w:t>
            </w:r>
            <w:r>
              <w:rPr>
                <w:rFonts w:hint="default"/>
                <w:caps w:val="0"/>
                <w:color w:val="auto"/>
                <w:spacing w:val="0"/>
                <w:position w:val="0"/>
                <w:highlight w:val="none"/>
              </w:rPr>
              <w:fldChar w:fldCharType="end"/>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t/a</w:t>
            </w:r>
            <w:r>
              <w:rPr>
                <w:rFonts w:hint="eastAsia"/>
                <w:caps w:val="0"/>
                <w:color w:val="auto"/>
                <w:spacing w:val="0"/>
                <w:position w:val="0"/>
                <w:highlight w:val="none"/>
                <w:lang w:eastAsia="zh-CN"/>
              </w:rPr>
              <w:t>）</w:t>
            </w:r>
          </w:p>
        </w:tc>
        <w:tc>
          <w:tcPr>
            <w:tcW w:w="1632" w:type="dxa"/>
            <w:noWrap w:val="0"/>
            <w:tcMar>
              <w:left w:w="28" w:type="dxa"/>
              <w:right w:w="28" w:type="dxa"/>
            </w:tcMar>
            <w:vAlign w:val="center"/>
          </w:tcPr>
          <w:p w14:paraId="2F8DA91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以新带老削减量</w:t>
            </w:r>
          </w:p>
          <w:p w14:paraId="512D4E9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（新建项目不填）</w:t>
            </w:r>
            <w:r>
              <w:rPr>
                <w:rFonts w:hint="default"/>
                <w:caps w:val="0"/>
                <w:color w:val="auto"/>
                <w:spacing w:val="0"/>
                <w:position w:val="0"/>
                <w:highlight w:val="none"/>
              </w:rPr>
              <w:fldChar w:fldCharType="begin"/>
            </w:r>
            <w:r>
              <w:rPr>
                <w:rFonts w:hint="default"/>
                <w:caps w:val="0"/>
                <w:color w:val="auto"/>
                <w:spacing w:val="0"/>
                <w:position w:val="0"/>
                <w:highlight w:val="none"/>
              </w:rPr>
              <w:instrText xml:space="preserve"> = 5 \* GB3 \* MERGEFORMAT </w:instrText>
            </w:r>
            <w:r>
              <w:rPr>
                <w:rFonts w:hint="default"/>
                <w:caps w:val="0"/>
                <w:color w:val="auto"/>
                <w:spacing w:val="0"/>
                <w:position w:val="0"/>
                <w:highlight w:val="none"/>
              </w:rPr>
              <w:fldChar w:fldCharType="separate"/>
            </w:r>
            <w:r>
              <w:rPr>
                <w:rFonts w:hint="eastAsia"/>
                <w:caps w:val="0"/>
                <w:color w:val="auto"/>
                <w:spacing w:val="0"/>
                <w:position w:val="0"/>
                <w:highlight w:val="none"/>
              </w:rPr>
              <w:t>⑤</w:t>
            </w:r>
            <w:r>
              <w:rPr>
                <w:rFonts w:hint="default"/>
                <w:caps w:val="0"/>
                <w:color w:val="auto"/>
                <w:spacing w:val="0"/>
                <w:position w:val="0"/>
                <w:highlight w:val="none"/>
              </w:rPr>
              <w:fldChar w:fldCharType="end"/>
            </w:r>
          </w:p>
        </w:tc>
        <w:tc>
          <w:tcPr>
            <w:tcW w:w="1581" w:type="dxa"/>
            <w:noWrap w:val="0"/>
            <w:tcMar>
              <w:left w:w="28" w:type="dxa"/>
              <w:right w:w="28" w:type="dxa"/>
            </w:tcMar>
            <w:vAlign w:val="center"/>
          </w:tcPr>
          <w:p w14:paraId="0C78A0E2">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本项目建成后全厂排放量（固体废物产生量）</w:t>
            </w:r>
            <w:r>
              <w:rPr>
                <w:rFonts w:hint="default"/>
                <w:caps w:val="0"/>
                <w:color w:val="auto"/>
                <w:spacing w:val="0"/>
                <w:position w:val="0"/>
                <w:highlight w:val="none"/>
              </w:rPr>
              <w:fldChar w:fldCharType="begin"/>
            </w:r>
            <w:r>
              <w:rPr>
                <w:rFonts w:hint="default"/>
                <w:caps w:val="0"/>
                <w:color w:val="auto"/>
                <w:spacing w:val="0"/>
                <w:position w:val="0"/>
                <w:highlight w:val="none"/>
              </w:rPr>
              <w:instrText xml:space="preserve"> = 6 \* GB3 \* MERGEFORMAT </w:instrText>
            </w:r>
            <w:r>
              <w:rPr>
                <w:rFonts w:hint="default"/>
                <w:caps w:val="0"/>
                <w:color w:val="auto"/>
                <w:spacing w:val="0"/>
                <w:position w:val="0"/>
                <w:highlight w:val="none"/>
              </w:rPr>
              <w:fldChar w:fldCharType="separate"/>
            </w:r>
            <w:r>
              <w:rPr>
                <w:rFonts w:hint="eastAsia"/>
                <w:caps w:val="0"/>
                <w:color w:val="auto"/>
                <w:spacing w:val="0"/>
                <w:position w:val="0"/>
                <w:highlight w:val="none"/>
              </w:rPr>
              <w:t>⑥</w:t>
            </w:r>
            <w:r>
              <w:rPr>
                <w:rFonts w:hint="default"/>
                <w:caps w:val="0"/>
                <w:color w:val="auto"/>
                <w:spacing w:val="0"/>
                <w:position w:val="0"/>
                <w:highlight w:val="none"/>
              </w:rPr>
              <w:fldChar w:fldCharType="end"/>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t/a</w:t>
            </w:r>
            <w:r>
              <w:rPr>
                <w:rFonts w:hint="eastAsia"/>
                <w:caps w:val="0"/>
                <w:color w:val="auto"/>
                <w:spacing w:val="0"/>
                <w:position w:val="0"/>
                <w:highlight w:val="none"/>
                <w:lang w:eastAsia="zh-CN"/>
              </w:rPr>
              <w:t>）</w:t>
            </w:r>
          </w:p>
        </w:tc>
        <w:tc>
          <w:tcPr>
            <w:tcW w:w="1154" w:type="dxa"/>
            <w:noWrap w:val="0"/>
            <w:tcMar>
              <w:left w:w="28" w:type="dxa"/>
              <w:right w:w="28" w:type="dxa"/>
            </w:tcMar>
            <w:vAlign w:val="center"/>
          </w:tcPr>
          <w:p w14:paraId="5B0C543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变化量</w:t>
            </w:r>
          </w:p>
          <w:p w14:paraId="67DBCFF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fldChar w:fldCharType="begin"/>
            </w:r>
            <w:r>
              <w:rPr>
                <w:rFonts w:hint="default"/>
                <w:caps w:val="0"/>
                <w:color w:val="auto"/>
                <w:spacing w:val="0"/>
                <w:position w:val="0"/>
                <w:highlight w:val="none"/>
              </w:rPr>
              <w:instrText xml:space="preserve"> = 7 \* GB3 \* MERGEFORMAT </w:instrText>
            </w:r>
            <w:r>
              <w:rPr>
                <w:rFonts w:hint="default"/>
                <w:caps w:val="0"/>
                <w:color w:val="auto"/>
                <w:spacing w:val="0"/>
                <w:position w:val="0"/>
                <w:highlight w:val="none"/>
              </w:rPr>
              <w:fldChar w:fldCharType="separate"/>
            </w:r>
            <w:r>
              <w:rPr>
                <w:rFonts w:hint="eastAsia"/>
                <w:caps w:val="0"/>
                <w:color w:val="auto"/>
                <w:spacing w:val="0"/>
                <w:position w:val="0"/>
                <w:highlight w:val="none"/>
              </w:rPr>
              <w:t>⑦</w:t>
            </w:r>
            <w:r>
              <w:rPr>
                <w:rFonts w:hint="default"/>
                <w:caps w:val="0"/>
                <w:color w:val="auto"/>
                <w:spacing w:val="0"/>
                <w:position w:val="0"/>
                <w:highlight w:val="none"/>
              </w:rPr>
              <w:fldChar w:fldCharType="end"/>
            </w:r>
            <w:r>
              <w:rPr>
                <w:rFonts w:hint="eastAsia"/>
                <w:caps w:val="0"/>
                <w:color w:val="auto"/>
                <w:spacing w:val="0"/>
                <w:position w:val="0"/>
                <w:highlight w:val="none"/>
                <w:lang w:eastAsia="zh-CN"/>
              </w:rPr>
              <w:t>（</w:t>
            </w:r>
            <w:r>
              <w:rPr>
                <w:rFonts w:hint="eastAsia"/>
                <w:caps w:val="0"/>
                <w:color w:val="auto"/>
                <w:spacing w:val="0"/>
                <w:position w:val="0"/>
                <w:highlight w:val="none"/>
                <w:lang w:val="en-US" w:eastAsia="zh-CN"/>
              </w:rPr>
              <w:t>t/a</w:t>
            </w:r>
            <w:r>
              <w:rPr>
                <w:rFonts w:hint="eastAsia"/>
                <w:caps w:val="0"/>
                <w:color w:val="auto"/>
                <w:spacing w:val="0"/>
                <w:position w:val="0"/>
                <w:highlight w:val="none"/>
                <w:lang w:eastAsia="zh-CN"/>
              </w:rPr>
              <w:t>）</w:t>
            </w:r>
          </w:p>
        </w:tc>
      </w:tr>
      <w:tr w14:paraId="20D180D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112" w:type="dxa"/>
            <w:vMerge w:val="restart"/>
            <w:noWrap w:val="0"/>
            <w:vAlign w:val="center"/>
          </w:tcPr>
          <w:p w14:paraId="22EF03F1">
            <w:pPr>
              <w:pStyle w:val="28"/>
              <w:keepNext w:val="0"/>
              <w:keepLines w:val="0"/>
              <w:suppressLineNumbers w:val="0"/>
              <w:bidi w:val="0"/>
              <w:spacing w:beforeAutospacing="0" w:afterAutospacing="0"/>
              <w:ind w:left="0" w:right="0"/>
              <w:rPr>
                <w:rFonts w:hint="default"/>
                <w:caps w:val="0"/>
                <w:color w:val="auto"/>
                <w:spacing w:val="0"/>
                <w:position w:val="0"/>
                <w:highlight w:val="none"/>
              </w:rPr>
            </w:pPr>
            <w:bookmarkStart w:id="90" w:name="OLE_LINK10" w:colFirst="7" w:colLast="7"/>
            <w:r>
              <w:rPr>
                <w:rFonts w:hint="default"/>
                <w:caps w:val="0"/>
                <w:color w:val="auto"/>
                <w:spacing w:val="0"/>
                <w:position w:val="0"/>
                <w:highlight w:val="none"/>
              </w:rPr>
              <w:t>废气</w:t>
            </w:r>
          </w:p>
        </w:tc>
        <w:tc>
          <w:tcPr>
            <w:tcW w:w="2305" w:type="dxa"/>
            <w:tcBorders>
              <w:bottom w:val="single" w:color="auto" w:sz="4" w:space="0"/>
            </w:tcBorders>
            <w:noWrap w:val="0"/>
            <w:vAlign w:val="center"/>
          </w:tcPr>
          <w:p w14:paraId="1E39DF2E">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rPr>
              <w:t>颗粒物</w:t>
            </w:r>
          </w:p>
        </w:tc>
        <w:tc>
          <w:tcPr>
            <w:tcW w:w="1632" w:type="dxa"/>
            <w:tcBorders>
              <w:bottom w:val="single" w:color="auto" w:sz="4" w:space="0"/>
            </w:tcBorders>
            <w:noWrap w:val="0"/>
            <w:vAlign w:val="center"/>
          </w:tcPr>
          <w:p w14:paraId="53C4C90E">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81" w:type="dxa"/>
            <w:tcBorders>
              <w:bottom w:val="single" w:color="auto" w:sz="4" w:space="0"/>
            </w:tcBorders>
            <w:noWrap w:val="0"/>
            <w:vAlign w:val="center"/>
          </w:tcPr>
          <w:p w14:paraId="261D0598">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374" w:type="dxa"/>
            <w:tcBorders>
              <w:bottom w:val="single" w:color="auto" w:sz="4" w:space="0"/>
            </w:tcBorders>
            <w:noWrap w:val="0"/>
            <w:vAlign w:val="center"/>
          </w:tcPr>
          <w:p w14:paraId="176058A7">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421" w:type="dxa"/>
            <w:tcBorders>
              <w:bottom w:val="single" w:color="auto" w:sz="4" w:space="0"/>
            </w:tcBorders>
            <w:shd w:val="clear" w:color="auto" w:fill="auto"/>
            <w:noWrap w:val="0"/>
            <w:vAlign w:val="center"/>
          </w:tcPr>
          <w:p w14:paraId="57C2312C">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0.741</w:t>
            </w:r>
          </w:p>
        </w:tc>
        <w:tc>
          <w:tcPr>
            <w:tcW w:w="1632" w:type="dxa"/>
            <w:tcBorders>
              <w:bottom w:val="single" w:color="auto" w:sz="4" w:space="0"/>
            </w:tcBorders>
            <w:noWrap w:val="0"/>
            <w:vAlign w:val="center"/>
          </w:tcPr>
          <w:p w14:paraId="682A3186">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581" w:type="dxa"/>
            <w:tcBorders>
              <w:bottom w:val="single" w:color="auto" w:sz="4" w:space="0"/>
            </w:tcBorders>
            <w:shd w:val="clear" w:color="auto" w:fill="auto"/>
            <w:noWrap w:val="0"/>
            <w:vAlign w:val="center"/>
          </w:tcPr>
          <w:p w14:paraId="04B4FB2B">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0.741</w:t>
            </w:r>
          </w:p>
        </w:tc>
        <w:tc>
          <w:tcPr>
            <w:tcW w:w="1154" w:type="dxa"/>
            <w:tcBorders>
              <w:bottom w:val="single" w:color="auto" w:sz="4" w:space="0"/>
            </w:tcBorders>
            <w:shd w:val="clear" w:color="auto" w:fill="auto"/>
            <w:noWrap w:val="0"/>
            <w:vAlign w:val="center"/>
          </w:tcPr>
          <w:p w14:paraId="089B777A">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+0.741</w:t>
            </w:r>
          </w:p>
        </w:tc>
      </w:tr>
      <w:tr w14:paraId="1607AB4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112" w:type="dxa"/>
            <w:vMerge w:val="continue"/>
            <w:noWrap w:val="0"/>
            <w:vAlign w:val="center"/>
          </w:tcPr>
          <w:p w14:paraId="0A03C072">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2305" w:type="dxa"/>
            <w:tcBorders>
              <w:bottom w:val="single" w:color="auto" w:sz="4" w:space="0"/>
            </w:tcBorders>
            <w:noWrap w:val="0"/>
            <w:vAlign w:val="center"/>
          </w:tcPr>
          <w:p w14:paraId="28838713">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铊及其化合物</w:t>
            </w:r>
          </w:p>
        </w:tc>
        <w:tc>
          <w:tcPr>
            <w:tcW w:w="1632" w:type="dxa"/>
            <w:tcBorders>
              <w:bottom w:val="single" w:color="auto" w:sz="4" w:space="0"/>
            </w:tcBorders>
            <w:noWrap w:val="0"/>
            <w:vAlign w:val="center"/>
          </w:tcPr>
          <w:p w14:paraId="40EAEFC9">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81" w:type="dxa"/>
            <w:tcBorders>
              <w:bottom w:val="single" w:color="auto" w:sz="4" w:space="0"/>
            </w:tcBorders>
            <w:noWrap w:val="0"/>
            <w:vAlign w:val="center"/>
          </w:tcPr>
          <w:p w14:paraId="7B1C71DF">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374" w:type="dxa"/>
            <w:tcBorders>
              <w:bottom w:val="single" w:color="auto" w:sz="4" w:space="0"/>
            </w:tcBorders>
            <w:noWrap w:val="0"/>
            <w:vAlign w:val="center"/>
          </w:tcPr>
          <w:p w14:paraId="1D8D9E52">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421" w:type="dxa"/>
            <w:tcBorders>
              <w:bottom w:val="single" w:color="auto" w:sz="4" w:space="0"/>
            </w:tcBorders>
            <w:shd w:val="clear" w:color="auto" w:fill="auto"/>
            <w:noWrap w:val="0"/>
            <w:vAlign w:val="center"/>
          </w:tcPr>
          <w:p w14:paraId="29C0B13A">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0.000005505</w:t>
            </w:r>
          </w:p>
        </w:tc>
        <w:tc>
          <w:tcPr>
            <w:tcW w:w="1632" w:type="dxa"/>
            <w:tcBorders>
              <w:bottom w:val="single" w:color="auto" w:sz="4" w:space="0"/>
            </w:tcBorders>
            <w:noWrap w:val="0"/>
            <w:vAlign w:val="center"/>
          </w:tcPr>
          <w:p w14:paraId="0540A265">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581" w:type="dxa"/>
            <w:tcBorders>
              <w:bottom w:val="single" w:color="auto" w:sz="4" w:space="0"/>
            </w:tcBorders>
            <w:shd w:val="clear" w:color="auto" w:fill="auto"/>
            <w:noWrap w:val="0"/>
            <w:vAlign w:val="center"/>
          </w:tcPr>
          <w:p w14:paraId="1232AA8B">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0.000005505</w:t>
            </w:r>
          </w:p>
        </w:tc>
        <w:tc>
          <w:tcPr>
            <w:tcW w:w="1154" w:type="dxa"/>
            <w:tcBorders>
              <w:bottom w:val="single" w:color="auto" w:sz="4" w:space="0"/>
            </w:tcBorders>
            <w:shd w:val="clear" w:color="auto" w:fill="auto"/>
            <w:noWrap w:val="0"/>
            <w:vAlign w:val="center"/>
          </w:tcPr>
          <w:p w14:paraId="2B69C1E2">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+0.000005505</w:t>
            </w:r>
          </w:p>
        </w:tc>
      </w:tr>
      <w:tr w14:paraId="7C0BF4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112" w:type="dxa"/>
            <w:vMerge w:val="continue"/>
            <w:noWrap w:val="0"/>
            <w:vAlign w:val="center"/>
          </w:tcPr>
          <w:p w14:paraId="019215B6">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2305" w:type="dxa"/>
            <w:tcBorders>
              <w:bottom w:val="single" w:color="auto" w:sz="4" w:space="0"/>
            </w:tcBorders>
            <w:noWrap w:val="0"/>
            <w:vAlign w:val="center"/>
          </w:tcPr>
          <w:p w14:paraId="3617F14A">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铍及其化合物</w:t>
            </w:r>
          </w:p>
        </w:tc>
        <w:tc>
          <w:tcPr>
            <w:tcW w:w="1632" w:type="dxa"/>
            <w:tcBorders>
              <w:bottom w:val="single" w:color="auto" w:sz="4" w:space="0"/>
            </w:tcBorders>
            <w:noWrap w:val="0"/>
            <w:vAlign w:val="center"/>
          </w:tcPr>
          <w:p w14:paraId="03CD4C86">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81" w:type="dxa"/>
            <w:tcBorders>
              <w:bottom w:val="single" w:color="auto" w:sz="4" w:space="0"/>
            </w:tcBorders>
            <w:noWrap w:val="0"/>
            <w:vAlign w:val="center"/>
          </w:tcPr>
          <w:p w14:paraId="50989155">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374" w:type="dxa"/>
            <w:tcBorders>
              <w:bottom w:val="single" w:color="auto" w:sz="4" w:space="0"/>
            </w:tcBorders>
            <w:noWrap w:val="0"/>
            <w:vAlign w:val="center"/>
          </w:tcPr>
          <w:p w14:paraId="41C69C29">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421" w:type="dxa"/>
            <w:tcBorders>
              <w:bottom w:val="single" w:color="auto" w:sz="4" w:space="0"/>
            </w:tcBorders>
            <w:shd w:val="clear" w:color="auto" w:fill="auto"/>
            <w:noWrap w:val="0"/>
            <w:vAlign w:val="center"/>
          </w:tcPr>
          <w:p w14:paraId="494FBD99">
            <w:pPr>
              <w:pStyle w:val="28"/>
              <w:keepNext w:val="0"/>
              <w:keepLines w:val="0"/>
              <w:suppressLineNumbers w:val="0"/>
              <w:bidi w:val="0"/>
              <w:spacing w:beforeAutospacing="0" w:afterAutospacing="0"/>
              <w:ind w:left="0" w:right="0"/>
              <w:rPr>
                <w:rFonts w:hint="eastAsia"/>
                <w:caps w:val="0"/>
                <w:color w:val="auto"/>
                <w:spacing w:val="0"/>
                <w:position w:val="0"/>
                <w:highlight w:val="none"/>
                <w:lang w:val="en-US" w:eastAsia="zh-CN"/>
              </w:rPr>
            </w:pPr>
            <w:r>
              <w:rPr>
                <w:rFonts w:hint="eastAsia"/>
                <w:caps w:val="0"/>
                <w:color w:val="auto"/>
                <w:spacing w:val="0"/>
                <w:position w:val="0"/>
                <w:highlight w:val="none"/>
                <w:lang w:val="en-US" w:eastAsia="zh-CN"/>
              </w:rPr>
              <w:t>0.00003081</w:t>
            </w:r>
          </w:p>
        </w:tc>
        <w:tc>
          <w:tcPr>
            <w:tcW w:w="1632" w:type="dxa"/>
            <w:tcBorders>
              <w:bottom w:val="single" w:color="auto" w:sz="4" w:space="0"/>
            </w:tcBorders>
            <w:noWrap w:val="0"/>
            <w:vAlign w:val="center"/>
          </w:tcPr>
          <w:p w14:paraId="323A09F1">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581" w:type="dxa"/>
            <w:tcBorders>
              <w:bottom w:val="single" w:color="auto" w:sz="4" w:space="0"/>
            </w:tcBorders>
            <w:shd w:val="clear" w:color="auto" w:fill="auto"/>
            <w:noWrap w:val="0"/>
            <w:vAlign w:val="center"/>
          </w:tcPr>
          <w:p w14:paraId="3AC2AF9C">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0.00003081</w:t>
            </w:r>
          </w:p>
        </w:tc>
        <w:tc>
          <w:tcPr>
            <w:tcW w:w="1154" w:type="dxa"/>
            <w:tcBorders>
              <w:bottom w:val="single" w:color="auto" w:sz="4" w:space="0"/>
            </w:tcBorders>
            <w:shd w:val="clear" w:color="auto" w:fill="auto"/>
            <w:noWrap w:val="0"/>
            <w:vAlign w:val="center"/>
          </w:tcPr>
          <w:p w14:paraId="6ED31932">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+0.00003081</w:t>
            </w:r>
          </w:p>
        </w:tc>
      </w:tr>
      <w:tr w14:paraId="767AA31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112" w:type="dxa"/>
            <w:vMerge w:val="continue"/>
            <w:noWrap w:val="0"/>
            <w:vAlign w:val="center"/>
          </w:tcPr>
          <w:p w14:paraId="7DB7999C">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2305" w:type="dxa"/>
            <w:tcBorders>
              <w:bottom w:val="single" w:color="auto" w:sz="4" w:space="0"/>
            </w:tcBorders>
            <w:noWrap w:val="0"/>
            <w:vAlign w:val="center"/>
          </w:tcPr>
          <w:p w14:paraId="2CADE6D3">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氟化物</w:t>
            </w:r>
          </w:p>
        </w:tc>
        <w:tc>
          <w:tcPr>
            <w:tcW w:w="1632" w:type="dxa"/>
            <w:tcBorders>
              <w:bottom w:val="single" w:color="auto" w:sz="4" w:space="0"/>
            </w:tcBorders>
            <w:noWrap w:val="0"/>
            <w:vAlign w:val="center"/>
          </w:tcPr>
          <w:p w14:paraId="530A1307">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81" w:type="dxa"/>
            <w:tcBorders>
              <w:bottom w:val="single" w:color="auto" w:sz="4" w:space="0"/>
            </w:tcBorders>
            <w:noWrap w:val="0"/>
            <w:vAlign w:val="center"/>
          </w:tcPr>
          <w:p w14:paraId="0E511676">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374" w:type="dxa"/>
            <w:tcBorders>
              <w:bottom w:val="single" w:color="auto" w:sz="4" w:space="0"/>
            </w:tcBorders>
            <w:noWrap w:val="0"/>
            <w:vAlign w:val="center"/>
          </w:tcPr>
          <w:p w14:paraId="239B94ED">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421" w:type="dxa"/>
            <w:tcBorders>
              <w:bottom w:val="single" w:color="auto" w:sz="4" w:space="0"/>
            </w:tcBorders>
            <w:shd w:val="clear" w:color="auto" w:fill="auto"/>
            <w:noWrap w:val="0"/>
            <w:vAlign w:val="center"/>
          </w:tcPr>
          <w:p w14:paraId="0D372303">
            <w:pPr>
              <w:pStyle w:val="28"/>
              <w:keepNext w:val="0"/>
              <w:keepLines w:val="0"/>
              <w:suppressLineNumbers w:val="0"/>
              <w:bidi w:val="0"/>
              <w:spacing w:beforeAutospacing="0" w:afterAutospacing="0"/>
              <w:ind w:left="0" w:right="0"/>
              <w:rPr>
                <w:rFonts w:hint="default"/>
                <w:caps w:val="0"/>
                <w:color w:val="auto"/>
                <w:spacing w:val="0"/>
                <w:position w:val="0"/>
                <w:highlight w:val="none"/>
                <w:lang w:val="en-US" w:eastAsia="zh-CN"/>
              </w:rPr>
            </w:pPr>
            <w:r>
              <w:rPr>
                <w:rFonts w:hint="eastAsia"/>
                <w:caps w:val="0"/>
                <w:color w:val="auto"/>
                <w:spacing w:val="0"/>
                <w:position w:val="0"/>
                <w:highlight w:val="none"/>
                <w:lang w:val="en-US" w:eastAsia="zh-CN"/>
              </w:rPr>
              <w:t>0.00846</w:t>
            </w:r>
          </w:p>
        </w:tc>
        <w:tc>
          <w:tcPr>
            <w:tcW w:w="1632" w:type="dxa"/>
            <w:tcBorders>
              <w:bottom w:val="single" w:color="auto" w:sz="4" w:space="0"/>
            </w:tcBorders>
            <w:noWrap w:val="0"/>
            <w:vAlign w:val="center"/>
          </w:tcPr>
          <w:p w14:paraId="6E669EDE">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581" w:type="dxa"/>
            <w:tcBorders>
              <w:bottom w:val="single" w:color="auto" w:sz="4" w:space="0"/>
            </w:tcBorders>
            <w:shd w:val="clear" w:color="auto" w:fill="auto"/>
            <w:noWrap w:val="0"/>
            <w:vAlign w:val="center"/>
          </w:tcPr>
          <w:p w14:paraId="017EED17">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0.00846</w:t>
            </w:r>
          </w:p>
        </w:tc>
        <w:tc>
          <w:tcPr>
            <w:tcW w:w="1154" w:type="dxa"/>
            <w:tcBorders>
              <w:bottom w:val="single" w:color="auto" w:sz="4" w:space="0"/>
            </w:tcBorders>
            <w:shd w:val="clear" w:color="auto" w:fill="auto"/>
            <w:noWrap w:val="0"/>
            <w:vAlign w:val="center"/>
          </w:tcPr>
          <w:p w14:paraId="5E2C5713">
            <w:pPr>
              <w:pStyle w:val="28"/>
              <w:keepNext w:val="0"/>
              <w:keepLines w:val="0"/>
              <w:suppressLineNumbers w:val="0"/>
              <w:bidi w:val="0"/>
              <w:spacing w:beforeAutospacing="0" w:afterAutospacing="0"/>
              <w:ind w:left="0" w:right="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+0.00846</w:t>
            </w:r>
          </w:p>
        </w:tc>
      </w:tr>
      <w:tr w14:paraId="353E304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12" w:type="dxa"/>
            <w:vMerge w:val="restart"/>
            <w:noWrap w:val="0"/>
            <w:vAlign w:val="center"/>
          </w:tcPr>
          <w:p w14:paraId="3C90858B">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废水</w:t>
            </w:r>
          </w:p>
        </w:tc>
        <w:tc>
          <w:tcPr>
            <w:tcW w:w="2305" w:type="dxa"/>
            <w:noWrap w:val="0"/>
            <w:vAlign w:val="center"/>
          </w:tcPr>
          <w:p w14:paraId="6811E001">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COD</w:t>
            </w:r>
            <w:r>
              <w:rPr>
                <w:rFonts w:hint="eastAsia"/>
                <w:caps w:val="0"/>
                <w:color w:val="auto"/>
                <w:spacing w:val="0"/>
                <w:position w:val="0"/>
                <w:highlight w:val="none"/>
                <w:vertAlign w:val="subscript"/>
                <w:lang w:val="en-US" w:eastAsia="zh-CN"/>
              </w:rPr>
              <w:t>C</w:t>
            </w:r>
            <w:r>
              <w:rPr>
                <w:rFonts w:hint="default"/>
                <w:caps w:val="0"/>
                <w:color w:val="auto"/>
                <w:spacing w:val="0"/>
                <w:position w:val="0"/>
                <w:highlight w:val="none"/>
                <w:vertAlign w:val="subscript"/>
              </w:rPr>
              <w:t>r</w:t>
            </w:r>
          </w:p>
        </w:tc>
        <w:tc>
          <w:tcPr>
            <w:tcW w:w="1632" w:type="dxa"/>
            <w:shd w:val="clear" w:color="auto" w:fill="auto"/>
            <w:noWrap w:val="0"/>
            <w:vAlign w:val="center"/>
          </w:tcPr>
          <w:p w14:paraId="4C83041B">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p>
        </w:tc>
        <w:tc>
          <w:tcPr>
            <w:tcW w:w="1281" w:type="dxa"/>
            <w:noWrap w:val="0"/>
            <w:vAlign w:val="center"/>
          </w:tcPr>
          <w:p w14:paraId="24CD6490">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374" w:type="dxa"/>
            <w:noWrap w:val="0"/>
            <w:vAlign w:val="center"/>
          </w:tcPr>
          <w:p w14:paraId="3388B2DE">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421" w:type="dxa"/>
            <w:shd w:val="clear" w:color="auto" w:fill="auto"/>
            <w:noWrap w:val="0"/>
            <w:vAlign w:val="center"/>
          </w:tcPr>
          <w:p w14:paraId="00F2D0D1">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w:t>
            </w:r>
          </w:p>
        </w:tc>
        <w:tc>
          <w:tcPr>
            <w:tcW w:w="1632" w:type="dxa"/>
            <w:noWrap w:val="0"/>
            <w:vAlign w:val="center"/>
          </w:tcPr>
          <w:p w14:paraId="6912F773">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581" w:type="dxa"/>
            <w:shd w:val="clear" w:color="auto" w:fill="auto"/>
            <w:noWrap w:val="0"/>
            <w:vAlign w:val="center"/>
          </w:tcPr>
          <w:p w14:paraId="25BBAB06">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w:t>
            </w:r>
          </w:p>
        </w:tc>
        <w:tc>
          <w:tcPr>
            <w:tcW w:w="1154" w:type="dxa"/>
            <w:shd w:val="clear" w:color="auto" w:fill="auto"/>
            <w:noWrap w:val="0"/>
            <w:vAlign w:val="center"/>
          </w:tcPr>
          <w:p w14:paraId="378DF7C1">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w:t>
            </w:r>
          </w:p>
        </w:tc>
      </w:tr>
      <w:tr w14:paraId="78C27F8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12" w:type="dxa"/>
            <w:vMerge w:val="continue"/>
            <w:noWrap w:val="0"/>
            <w:vAlign w:val="center"/>
          </w:tcPr>
          <w:p w14:paraId="7A7B9824">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2305" w:type="dxa"/>
            <w:noWrap w:val="0"/>
            <w:vAlign w:val="center"/>
          </w:tcPr>
          <w:p w14:paraId="0CC47677">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BOD</w:t>
            </w:r>
            <w:r>
              <w:rPr>
                <w:rFonts w:hint="eastAsia"/>
                <w:caps w:val="0"/>
                <w:color w:val="auto"/>
                <w:spacing w:val="0"/>
                <w:position w:val="0"/>
                <w:highlight w:val="none"/>
                <w:vertAlign w:val="subscript"/>
              </w:rPr>
              <w:t>5</w:t>
            </w:r>
          </w:p>
        </w:tc>
        <w:tc>
          <w:tcPr>
            <w:tcW w:w="1632" w:type="dxa"/>
            <w:shd w:val="clear" w:color="auto" w:fill="auto"/>
            <w:noWrap w:val="0"/>
            <w:vAlign w:val="center"/>
          </w:tcPr>
          <w:p w14:paraId="0985882F">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p>
        </w:tc>
        <w:tc>
          <w:tcPr>
            <w:tcW w:w="1281" w:type="dxa"/>
            <w:noWrap w:val="0"/>
            <w:vAlign w:val="center"/>
          </w:tcPr>
          <w:p w14:paraId="7524C7AE">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374" w:type="dxa"/>
            <w:noWrap w:val="0"/>
            <w:vAlign w:val="center"/>
          </w:tcPr>
          <w:p w14:paraId="027542A4">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421" w:type="dxa"/>
            <w:shd w:val="clear" w:color="auto" w:fill="auto"/>
            <w:noWrap w:val="0"/>
            <w:vAlign w:val="center"/>
          </w:tcPr>
          <w:p w14:paraId="55275DD9">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w:t>
            </w:r>
          </w:p>
        </w:tc>
        <w:tc>
          <w:tcPr>
            <w:tcW w:w="1632" w:type="dxa"/>
            <w:noWrap w:val="0"/>
            <w:vAlign w:val="center"/>
          </w:tcPr>
          <w:p w14:paraId="00F15C88">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581" w:type="dxa"/>
            <w:shd w:val="clear" w:color="auto" w:fill="auto"/>
            <w:noWrap w:val="0"/>
            <w:vAlign w:val="center"/>
          </w:tcPr>
          <w:p w14:paraId="389A2B9F">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w:t>
            </w:r>
          </w:p>
        </w:tc>
        <w:tc>
          <w:tcPr>
            <w:tcW w:w="1154" w:type="dxa"/>
            <w:shd w:val="clear" w:color="auto" w:fill="auto"/>
            <w:noWrap w:val="0"/>
            <w:vAlign w:val="center"/>
          </w:tcPr>
          <w:p w14:paraId="5C27C2D7">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w:t>
            </w:r>
          </w:p>
        </w:tc>
      </w:tr>
      <w:tr w14:paraId="3705C57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12" w:type="dxa"/>
            <w:vMerge w:val="continue"/>
            <w:noWrap w:val="0"/>
            <w:vAlign w:val="center"/>
          </w:tcPr>
          <w:p w14:paraId="0A2AAEA5">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2305" w:type="dxa"/>
            <w:noWrap w:val="0"/>
            <w:vAlign w:val="center"/>
          </w:tcPr>
          <w:p w14:paraId="50AD38C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SS</w:t>
            </w:r>
          </w:p>
        </w:tc>
        <w:tc>
          <w:tcPr>
            <w:tcW w:w="1632" w:type="dxa"/>
            <w:shd w:val="clear" w:color="auto" w:fill="auto"/>
            <w:noWrap w:val="0"/>
            <w:vAlign w:val="center"/>
          </w:tcPr>
          <w:p w14:paraId="0588BB67">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p>
        </w:tc>
        <w:tc>
          <w:tcPr>
            <w:tcW w:w="1281" w:type="dxa"/>
            <w:noWrap w:val="0"/>
            <w:vAlign w:val="center"/>
          </w:tcPr>
          <w:p w14:paraId="4E6BB6C7">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374" w:type="dxa"/>
            <w:noWrap w:val="0"/>
            <w:vAlign w:val="center"/>
          </w:tcPr>
          <w:p w14:paraId="53D7F9BA">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421" w:type="dxa"/>
            <w:shd w:val="clear" w:color="auto" w:fill="auto"/>
            <w:noWrap w:val="0"/>
            <w:vAlign w:val="center"/>
          </w:tcPr>
          <w:p w14:paraId="5B8A4AC9">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w:t>
            </w:r>
          </w:p>
        </w:tc>
        <w:tc>
          <w:tcPr>
            <w:tcW w:w="1632" w:type="dxa"/>
            <w:noWrap w:val="0"/>
            <w:vAlign w:val="center"/>
          </w:tcPr>
          <w:p w14:paraId="67DE3BDB">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581" w:type="dxa"/>
            <w:shd w:val="clear" w:color="auto" w:fill="auto"/>
            <w:noWrap w:val="0"/>
            <w:vAlign w:val="center"/>
          </w:tcPr>
          <w:p w14:paraId="64006E7B">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w:t>
            </w:r>
          </w:p>
        </w:tc>
        <w:tc>
          <w:tcPr>
            <w:tcW w:w="1154" w:type="dxa"/>
            <w:shd w:val="clear" w:color="auto" w:fill="auto"/>
            <w:noWrap w:val="0"/>
            <w:vAlign w:val="center"/>
          </w:tcPr>
          <w:p w14:paraId="67CF4E98">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w:t>
            </w:r>
          </w:p>
        </w:tc>
      </w:tr>
      <w:tr w14:paraId="665F04E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12" w:type="dxa"/>
            <w:vMerge w:val="continue"/>
            <w:noWrap w:val="0"/>
            <w:vAlign w:val="center"/>
          </w:tcPr>
          <w:p w14:paraId="69831087">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2305" w:type="dxa"/>
            <w:noWrap w:val="0"/>
            <w:vAlign w:val="center"/>
          </w:tcPr>
          <w:p w14:paraId="6C235B8F">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NH</w:t>
            </w:r>
            <w:r>
              <w:rPr>
                <w:rFonts w:hint="eastAsia"/>
                <w:caps w:val="0"/>
                <w:color w:val="auto"/>
                <w:spacing w:val="0"/>
                <w:position w:val="0"/>
                <w:highlight w:val="none"/>
                <w:vertAlign w:val="subscript"/>
              </w:rPr>
              <w:t>3</w:t>
            </w:r>
            <w:r>
              <w:rPr>
                <w:rFonts w:hint="eastAsia"/>
                <w:caps w:val="0"/>
                <w:color w:val="auto"/>
                <w:spacing w:val="0"/>
                <w:position w:val="0"/>
                <w:highlight w:val="none"/>
              </w:rPr>
              <w:t>-N</w:t>
            </w:r>
          </w:p>
        </w:tc>
        <w:tc>
          <w:tcPr>
            <w:tcW w:w="1632" w:type="dxa"/>
            <w:shd w:val="clear" w:color="auto" w:fill="auto"/>
            <w:noWrap w:val="0"/>
            <w:vAlign w:val="center"/>
          </w:tcPr>
          <w:p w14:paraId="296A20C2">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p>
        </w:tc>
        <w:tc>
          <w:tcPr>
            <w:tcW w:w="1281" w:type="dxa"/>
            <w:noWrap w:val="0"/>
            <w:vAlign w:val="center"/>
          </w:tcPr>
          <w:p w14:paraId="18BA07C2">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374" w:type="dxa"/>
            <w:noWrap w:val="0"/>
            <w:vAlign w:val="center"/>
          </w:tcPr>
          <w:p w14:paraId="3B6BFA2B">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421" w:type="dxa"/>
            <w:shd w:val="clear" w:color="auto" w:fill="auto"/>
            <w:noWrap w:val="0"/>
            <w:vAlign w:val="center"/>
          </w:tcPr>
          <w:p w14:paraId="3A15B6AD">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w:t>
            </w:r>
          </w:p>
        </w:tc>
        <w:tc>
          <w:tcPr>
            <w:tcW w:w="1632" w:type="dxa"/>
            <w:noWrap w:val="0"/>
            <w:vAlign w:val="center"/>
          </w:tcPr>
          <w:p w14:paraId="3041D734">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581" w:type="dxa"/>
            <w:shd w:val="clear" w:color="auto" w:fill="auto"/>
            <w:noWrap w:val="0"/>
            <w:vAlign w:val="center"/>
          </w:tcPr>
          <w:p w14:paraId="2CA409C0">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w:t>
            </w:r>
          </w:p>
        </w:tc>
        <w:tc>
          <w:tcPr>
            <w:tcW w:w="1154" w:type="dxa"/>
            <w:shd w:val="clear" w:color="auto" w:fill="auto"/>
            <w:noWrap w:val="0"/>
            <w:vAlign w:val="center"/>
          </w:tcPr>
          <w:p w14:paraId="60DB8F60">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w:t>
            </w:r>
          </w:p>
        </w:tc>
      </w:tr>
      <w:tr w14:paraId="5CA2AD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12" w:type="dxa"/>
            <w:vMerge w:val="continue"/>
            <w:noWrap w:val="0"/>
            <w:vAlign w:val="center"/>
          </w:tcPr>
          <w:p w14:paraId="68652314">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2305" w:type="dxa"/>
            <w:noWrap w:val="0"/>
            <w:vAlign w:val="center"/>
          </w:tcPr>
          <w:p w14:paraId="75DF6984">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ascii="Times New Roman" w:eastAsia="宋体"/>
                <w:caps w:val="0"/>
                <w:color w:val="auto"/>
                <w:spacing w:val="0"/>
                <w:position w:val="0"/>
                <w:highlight w:val="none"/>
                <w:lang w:val="en-US" w:eastAsia="zh-CN"/>
              </w:rPr>
              <w:t>TN</w:t>
            </w:r>
          </w:p>
        </w:tc>
        <w:tc>
          <w:tcPr>
            <w:tcW w:w="1632" w:type="dxa"/>
            <w:shd w:val="clear" w:color="auto" w:fill="auto"/>
            <w:noWrap w:val="0"/>
            <w:vAlign w:val="center"/>
          </w:tcPr>
          <w:p w14:paraId="7AA75684">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p>
        </w:tc>
        <w:tc>
          <w:tcPr>
            <w:tcW w:w="1281" w:type="dxa"/>
            <w:noWrap w:val="0"/>
            <w:vAlign w:val="center"/>
          </w:tcPr>
          <w:p w14:paraId="68C3AF23">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374" w:type="dxa"/>
            <w:noWrap w:val="0"/>
            <w:vAlign w:val="center"/>
          </w:tcPr>
          <w:p w14:paraId="73734037">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421" w:type="dxa"/>
            <w:noWrap w:val="0"/>
            <w:vAlign w:val="center"/>
          </w:tcPr>
          <w:p w14:paraId="29CEF2CB">
            <w:pPr>
              <w:pStyle w:val="28"/>
              <w:keepNext w:val="0"/>
              <w:keepLines w:val="0"/>
              <w:suppressLineNumbers w:val="0"/>
              <w:bidi w:val="0"/>
              <w:spacing w:beforeAutospacing="0" w:afterAutospacing="0"/>
              <w:ind w:left="0" w:leftChars="0" w:right="0" w:rightChars="0"/>
              <w:rPr>
                <w:rFonts w:hint="default"/>
                <w:caps w:val="0"/>
                <w:color w:val="auto"/>
                <w:spacing w:val="0"/>
                <w:position w:val="0"/>
                <w:highlight w:val="none"/>
              </w:rPr>
            </w:pPr>
            <w:r>
              <w:rPr>
                <w:rFonts w:hint="eastAsia"/>
                <w:caps w:val="0"/>
                <w:color w:val="auto"/>
                <w:spacing w:val="0"/>
                <w:position w:val="0"/>
                <w:highlight w:val="none"/>
                <w:lang w:val="en-US" w:eastAsia="zh-CN"/>
              </w:rPr>
              <w:t>0</w:t>
            </w:r>
          </w:p>
        </w:tc>
        <w:tc>
          <w:tcPr>
            <w:tcW w:w="1632" w:type="dxa"/>
            <w:noWrap w:val="0"/>
            <w:vAlign w:val="center"/>
          </w:tcPr>
          <w:p w14:paraId="02943777">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581" w:type="dxa"/>
            <w:shd w:val="clear" w:color="auto" w:fill="auto"/>
            <w:noWrap w:val="0"/>
            <w:vAlign w:val="center"/>
          </w:tcPr>
          <w:p w14:paraId="62917A28">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w:t>
            </w:r>
          </w:p>
        </w:tc>
        <w:tc>
          <w:tcPr>
            <w:tcW w:w="1154" w:type="dxa"/>
            <w:shd w:val="clear" w:color="auto" w:fill="auto"/>
            <w:noWrap w:val="0"/>
            <w:vAlign w:val="center"/>
          </w:tcPr>
          <w:p w14:paraId="0A4AC7A3">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w:t>
            </w:r>
          </w:p>
        </w:tc>
      </w:tr>
      <w:tr w14:paraId="409E30C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12" w:type="dxa"/>
            <w:vMerge w:val="continue"/>
            <w:noWrap w:val="0"/>
            <w:vAlign w:val="center"/>
          </w:tcPr>
          <w:p w14:paraId="15487C54">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2305" w:type="dxa"/>
            <w:shd w:val="clear" w:color="auto" w:fill="auto"/>
            <w:noWrap w:val="0"/>
            <w:vAlign w:val="center"/>
          </w:tcPr>
          <w:p w14:paraId="75970F4C">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rPr>
              <w:t>T</w:t>
            </w:r>
            <w:r>
              <w:rPr>
                <w:rFonts w:hint="default"/>
                <w:caps w:val="0"/>
                <w:color w:val="auto"/>
                <w:spacing w:val="0"/>
                <w:position w:val="0"/>
                <w:highlight w:val="none"/>
              </w:rPr>
              <w:t>P</w:t>
            </w:r>
          </w:p>
        </w:tc>
        <w:tc>
          <w:tcPr>
            <w:tcW w:w="1632" w:type="dxa"/>
            <w:shd w:val="clear" w:color="auto" w:fill="auto"/>
            <w:noWrap w:val="0"/>
            <w:vAlign w:val="center"/>
          </w:tcPr>
          <w:p w14:paraId="4625FFC7">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p>
        </w:tc>
        <w:tc>
          <w:tcPr>
            <w:tcW w:w="1281" w:type="dxa"/>
            <w:shd w:val="clear" w:color="auto" w:fill="auto"/>
            <w:noWrap w:val="0"/>
            <w:vAlign w:val="center"/>
          </w:tcPr>
          <w:p w14:paraId="3AD802D7">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p>
        </w:tc>
        <w:tc>
          <w:tcPr>
            <w:tcW w:w="1374" w:type="dxa"/>
            <w:shd w:val="clear" w:color="auto" w:fill="auto"/>
            <w:noWrap w:val="0"/>
            <w:vAlign w:val="center"/>
          </w:tcPr>
          <w:p w14:paraId="3C7D4716">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p>
        </w:tc>
        <w:tc>
          <w:tcPr>
            <w:tcW w:w="1421" w:type="dxa"/>
            <w:shd w:val="clear" w:color="auto" w:fill="auto"/>
            <w:noWrap w:val="0"/>
            <w:vAlign w:val="center"/>
          </w:tcPr>
          <w:p w14:paraId="72084BCB">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w:t>
            </w:r>
          </w:p>
        </w:tc>
        <w:tc>
          <w:tcPr>
            <w:tcW w:w="1632" w:type="dxa"/>
            <w:shd w:val="clear" w:color="auto" w:fill="auto"/>
            <w:noWrap w:val="0"/>
            <w:vAlign w:val="center"/>
          </w:tcPr>
          <w:p w14:paraId="6F11020F">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p>
        </w:tc>
        <w:tc>
          <w:tcPr>
            <w:tcW w:w="1581" w:type="dxa"/>
            <w:shd w:val="clear" w:color="auto" w:fill="auto"/>
            <w:noWrap w:val="0"/>
            <w:vAlign w:val="center"/>
          </w:tcPr>
          <w:p w14:paraId="3FB2626B">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w:t>
            </w:r>
          </w:p>
        </w:tc>
        <w:tc>
          <w:tcPr>
            <w:tcW w:w="1154" w:type="dxa"/>
            <w:shd w:val="clear" w:color="auto" w:fill="auto"/>
            <w:noWrap w:val="0"/>
            <w:vAlign w:val="center"/>
          </w:tcPr>
          <w:p w14:paraId="51584725">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w:t>
            </w:r>
          </w:p>
        </w:tc>
      </w:tr>
      <w:bookmarkEnd w:id="90"/>
      <w:tr w14:paraId="443AF5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12" w:type="dxa"/>
            <w:vMerge w:val="restart"/>
            <w:noWrap w:val="0"/>
            <w:vAlign w:val="center"/>
          </w:tcPr>
          <w:p w14:paraId="2A41F200">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一般工业</w:t>
            </w:r>
          </w:p>
          <w:p w14:paraId="45BF924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固体废物</w:t>
            </w:r>
          </w:p>
        </w:tc>
        <w:tc>
          <w:tcPr>
            <w:tcW w:w="2305" w:type="dxa"/>
            <w:noWrap w:val="0"/>
            <w:vAlign w:val="center"/>
          </w:tcPr>
          <w:p w14:paraId="12748CF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废布袋</w:t>
            </w:r>
          </w:p>
        </w:tc>
        <w:tc>
          <w:tcPr>
            <w:tcW w:w="1632" w:type="dxa"/>
            <w:noWrap w:val="0"/>
            <w:vAlign w:val="center"/>
          </w:tcPr>
          <w:p w14:paraId="6C96CF0F">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281" w:type="dxa"/>
            <w:noWrap w:val="0"/>
            <w:vAlign w:val="center"/>
          </w:tcPr>
          <w:p w14:paraId="1BBDA308">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374" w:type="dxa"/>
            <w:noWrap w:val="0"/>
            <w:vAlign w:val="center"/>
          </w:tcPr>
          <w:p w14:paraId="500F22AC">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421" w:type="dxa"/>
            <w:noWrap w:val="0"/>
            <w:vAlign w:val="center"/>
          </w:tcPr>
          <w:p w14:paraId="1C784C6B">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0.02</w:t>
            </w:r>
          </w:p>
        </w:tc>
        <w:tc>
          <w:tcPr>
            <w:tcW w:w="1632" w:type="dxa"/>
            <w:noWrap w:val="0"/>
            <w:vAlign w:val="center"/>
          </w:tcPr>
          <w:p w14:paraId="2B0D9161">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581" w:type="dxa"/>
            <w:shd w:val="clear" w:color="auto" w:fill="auto"/>
            <w:noWrap w:val="0"/>
            <w:vAlign w:val="center"/>
          </w:tcPr>
          <w:p w14:paraId="378D58C2">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0.02</w:t>
            </w:r>
          </w:p>
        </w:tc>
        <w:tc>
          <w:tcPr>
            <w:tcW w:w="1154" w:type="dxa"/>
            <w:shd w:val="clear" w:color="auto" w:fill="auto"/>
            <w:noWrap w:val="0"/>
            <w:vAlign w:val="center"/>
          </w:tcPr>
          <w:p w14:paraId="54C150FD">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+0.02</w:t>
            </w:r>
          </w:p>
        </w:tc>
      </w:tr>
      <w:tr w14:paraId="3CA13B5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12" w:type="dxa"/>
            <w:vMerge w:val="continue"/>
            <w:noWrap w:val="0"/>
            <w:vAlign w:val="center"/>
          </w:tcPr>
          <w:p w14:paraId="2392168B">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2305" w:type="dxa"/>
            <w:tcBorders>
              <w:bottom w:val="single" w:color="auto" w:sz="4" w:space="0"/>
            </w:tcBorders>
            <w:noWrap w:val="0"/>
            <w:vAlign w:val="center"/>
          </w:tcPr>
          <w:p w14:paraId="3143F746">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s="Times New Roman"/>
                <w:caps w:val="0"/>
                <w:color w:val="auto"/>
                <w:spacing w:val="0"/>
                <w:position w:val="0"/>
                <w:highlight w:val="none"/>
                <w:lang w:val="en-US" w:eastAsia="zh-CN"/>
              </w:rPr>
              <w:t>不合格品</w:t>
            </w:r>
          </w:p>
        </w:tc>
        <w:tc>
          <w:tcPr>
            <w:tcW w:w="1632" w:type="dxa"/>
            <w:noWrap w:val="0"/>
            <w:vAlign w:val="center"/>
          </w:tcPr>
          <w:p w14:paraId="3FEF72FB">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81" w:type="dxa"/>
            <w:noWrap w:val="0"/>
            <w:vAlign w:val="center"/>
          </w:tcPr>
          <w:p w14:paraId="1B9A3A5C">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374" w:type="dxa"/>
            <w:noWrap w:val="0"/>
            <w:vAlign w:val="center"/>
          </w:tcPr>
          <w:p w14:paraId="22E1EF07">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421" w:type="dxa"/>
            <w:noWrap w:val="0"/>
            <w:vAlign w:val="center"/>
          </w:tcPr>
          <w:p w14:paraId="22ECF4FF">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5</w:t>
            </w:r>
          </w:p>
        </w:tc>
        <w:tc>
          <w:tcPr>
            <w:tcW w:w="1632" w:type="dxa"/>
            <w:noWrap w:val="0"/>
            <w:vAlign w:val="center"/>
          </w:tcPr>
          <w:p w14:paraId="13A6DFBB">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581" w:type="dxa"/>
            <w:shd w:val="clear" w:color="auto" w:fill="auto"/>
            <w:noWrap w:val="0"/>
            <w:vAlign w:val="center"/>
          </w:tcPr>
          <w:p w14:paraId="742AFECD">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5</w:t>
            </w:r>
          </w:p>
        </w:tc>
        <w:tc>
          <w:tcPr>
            <w:tcW w:w="1154" w:type="dxa"/>
            <w:shd w:val="clear" w:color="auto" w:fill="auto"/>
            <w:noWrap w:val="0"/>
            <w:vAlign w:val="center"/>
          </w:tcPr>
          <w:p w14:paraId="1713DFBB">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+5</w:t>
            </w:r>
          </w:p>
        </w:tc>
      </w:tr>
      <w:tr w14:paraId="1DF47C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12" w:type="dxa"/>
            <w:vMerge w:val="continue"/>
            <w:noWrap w:val="0"/>
            <w:vAlign w:val="center"/>
          </w:tcPr>
          <w:p w14:paraId="5175AF42">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2305" w:type="dxa"/>
            <w:tcBorders>
              <w:bottom w:val="single" w:color="auto" w:sz="4" w:space="0"/>
            </w:tcBorders>
            <w:noWrap w:val="0"/>
            <w:vAlign w:val="center"/>
          </w:tcPr>
          <w:p w14:paraId="763437BB">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s="Times New Roman"/>
                <w:caps w:val="0"/>
                <w:color w:val="auto"/>
                <w:spacing w:val="0"/>
                <w:position w:val="0"/>
                <w:highlight w:val="none"/>
                <w:lang w:val="en-US" w:eastAsia="zh-CN"/>
              </w:rPr>
              <w:t>收集粉尘</w:t>
            </w:r>
          </w:p>
        </w:tc>
        <w:tc>
          <w:tcPr>
            <w:tcW w:w="1632" w:type="dxa"/>
            <w:noWrap w:val="0"/>
            <w:vAlign w:val="center"/>
          </w:tcPr>
          <w:p w14:paraId="5EBBADDA">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81" w:type="dxa"/>
            <w:noWrap w:val="0"/>
            <w:vAlign w:val="center"/>
          </w:tcPr>
          <w:p w14:paraId="5EDB6AD5">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374" w:type="dxa"/>
            <w:noWrap w:val="0"/>
            <w:vAlign w:val="center"/>
          </w:tcPr>
          <w:p w14:paraId="6A2FDF49">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421" w:type="dxa"/>
            <w:noWrap w:val="0"/>
            <w:vAlign w:val="center"/>
          </w:tcPr>
          <w:p w14:paraId="139CBF09">
            <w:pPr>
              <w:pStyle w:val="28"/>
              <w:keepNext w:val="0"/>
              <w:keepLines w:val="0"/>
              <w:suppressLineNumbers w:val="0"/>
              <w:bidi w:val="0"/>
              <w:spacing w:beforeAutospacing="0" w:afterAutospacing="0"/>
              <w:ind w:left="0" w:leftChars="0" w:right="0" w:rightChars="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34.35</w:t>
            </w:r>
          </w:p>
        </w:tc>
        <w:tc>
          <w:tcPr>
            <w:tcW w:w="1632" w:type="dxa"/>
            <w:noWrap w:val="0"/>
            <w:vAlign w:val="center"/>
          </w:tcPr>
          <w:p w14:paraId="16E9A218">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581" w:type="dxa"/>
            <w:shd w:val="clear" w:color="auto" w:fill="auto"/>
            <w:noWrap w:val="0"/>
            <w:vAlign w:val="center"/>
          </w:tcPr>
          <w:p w14:paraId="18A96B9E">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34.35</w:t>
            </w:r>
          </w:p>
        </w:tc>
        <w:tc>
          <w:tcPr>
            <w:tcW w:w="1154" w:type="dxa"/>
            <w:shd w:val="clear" w:color="auto" w:fill="auto"/>
            <w:noWrap w:val="0"/>
            <w:vAlign w:val="center"/>
          </w:tcPr>
          <w:p w14:paraId="48B88BF5">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+34.35</w:t>
            </w:r>
          </w:p>
        </w:tc>
      </w:tr>
      <w:tr w14:paraId="4A3E918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12" w:type="dxa"/>
            <w:vMerge w:val="continue"/>
            <w:noWrap w:val="0"/>
            <w:vAlign w:val="center"/>
          </w:tcPr>
          <w:p w14:paraId="5B2ACEF4">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2305" w:type="dxa"/>
            <w:tcBorders>
              <w:bottom w:val="single" w:color="auto" w:sz="4" w:space="0"/>
            </w:tcBorders>
            <w:noWrap w:val="0"/>
            <w:vAlign w:val="center"/>
          </w:tcPr>
          <w:p w14:paraId="3123CDAB">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rPr>
              <w:t>沉淀沉渣</w:t>
            </w:r>
          </w:p>
        </w:tc>
        <w:tc>
          <w:tcPr>
            <w:tcW w:w="1632" w:type="dxa"/>
            <w:noWrap w:val="0"/>
            <w:vAlign w:val="center"/>
          </w:tcPr>
          <w:p w14:paraId="7291D788">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81" w:type="dxa"/>
            <w:noWrap w:val="0"/>
            <w:vAlign w:val="center"/>
          </w:tcPr>
          <w:p w14:paraId="3DCCAE79">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374" w:type="dxa"/>
            <w:noWrap w:val="0"/>
            <w:vAlign w:val="center"/>
          </w:tcPr>
          <w:p w14:paraId="6749EB4B">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421" w:type="dxa"/>
            <w:noWrap w:val="0"/>
            <w:vAlign w:val="center"/>
          </w:tcPr>
          <w:p w14:paraId="5C4EA755">
            <w:pPr>
              <w:pStyle w:val="28"/>
              <w:keepNext w:val="0"/>
              <w:keepLines w:val="0"/>
              <w:suppressLineNumbers w:val="0"/>
              <w:bidi w:val="0"/>
              <w:spacing w:beforeAutospacing="0" w:afterAutospacing="0"/>
              <w:ind w:left="0" w:leftChars="0" w:right="0" w:rightChars="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4.9</w:t>
            </w:r>
          </w:p>
        </w:tc>
        <w:tc>
          <w:tcPr>
            <w:tcW w:w="1632" w:type="dxa"/>
            <w:noWrap w:val="0"/>
            <w:vAlign w:val="center"/>
          </w:tcPr>
          <w:p w14:paraId="5336CC38">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581" w:type="dxa"/>
            <w:shd w:val="clear" w:color="auto" w:fill="auto"/>
            <w:noWrap w:val="0"/>
            <w:vAlign w:val="center"/>
          </w:tcPr>
          <w:p w14:paraId="71BC8DDC">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4.9</w:t>
            </w:r>
          </w:p>
        </w:tc>
        <w:tc>
          <w:tcPr>
            <w:tcW w:w="1154" w:type="dxa"/>
            <w:shd w:val="clear" w:color="auto" w:fill="auto"/>
            <w:noWrap w:val="0"/>
            <w:vAlign w:val="center"/>
          </w:tcPr>
          <w:p w14:paraId="28EAE620">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+4.9</w:t>
            </w:r>
          </w:p>
        </w:tc>
      </w:tr>
      <w:tr w14:paraId="75AAB28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12" w:type="dxa"/>
            <w:vMerge w:val="continue"/>
            <w:noWrap w:val="0"/>
            <w:vAlign w:val="center"/>
          </w:tcPr>
          <w:p w14:paraId="759DA1A1">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2305" w:type="dxa"/>
            <w:tcBorders>
              <w:bottom w:val="single" w:color="auto" w:sz="4" w:space="0"/>
            </w:tcBorders>
            <w:noWrap w:val="0"/>
            <w:vAlign w:val="center"/>
          </w:tcPr>
          <w:p w14:paraId="148A8376">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废包装材料</w:t>
            </w:r>
          </w:p>
        </w:tc>
        <w:tc>
          <w:tcPr>
            <w:tcW w:w="1632" w:type="dxa"/>
            <w:noWrap w:val="0"/>
            <w:vAlign w:val="center"/>
          </w:tcPr>
          <w:p w14:paraId="08F25584">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81" w:type="dxa"/>
            <w:noWrap w:val="0"/>
            <w:vAlign w:val="center"/>
          </w:tcPr>
          <w:p w14:paraId="4BDC9BE6">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374" w:type="dxa"/>
            <w:noWrap w:val="0"/>
            <w:vAlign w:val="center"/>
          </w:tcPr>
          <w:p w14:paraId="44E8A901">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421" w:type="dxa"/>
            <w:noWrap w:val="0"/>
            <w:vAlign w:val="center"/>
          </w:tcPr>
          <w:p w14:paraId="193F0D5E">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0.5</w:t>
            </w:r>
          </w:p>
        </w:tc>
        <w:tc>
          <w:tcPr>
            <w:tcW w:w="1632" w:type="dxa"/>
            <w:noWrap w:val="0"/>
            <w:vAlign w:val="center"/>
          </w:tcPr>
          <w:p w14:paraId="747F7D30">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581" w:type="dxa"/>
            <w:shd w:val="clear" w:color="auto" w:fill="auto"/>
            <w:noWrap w:val="0"/>
            <w:vAlign w:val="center"/>
          </w:tcPr>
          <w:p w14:paraId="6DAB1D3B">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0.5</w:t>
            </w:r>
          </w:p>
        </w:tc>
        <w:tc>
          <w:tcPr>
            <w:tcW w:w="1154" w:type="dxa"/>
            <w:shd w:val="clear" w:color="auto" w:fill="auto"/>
            <w:noWrap w:val="0"/>
            <w:vAlign w:val="center"/>
          </w:tcPr>
          <w:p w14:paraId="4D14A2F8">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+0.5</w:t>
            </w:r>
          </w:p>
        </w:tc>
      </w:tr>
      <w:tr w14:paraId="71CFA4C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12" w:type="dxa"/>
            <w:vMerge w:val="continue"/>
            <w:tcBorders>
              <w:bottom w:val="single" w:color="auto" w:sz="4" w:space="0"/>
            </w:tcBorders>
            <w:noWrap w:val="0"/>
            <w:vAlign w:val="center"/>
          </w:tcPr>
          <w:p w14:paraId="71025AB5">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2305" w:type="dxa"/>
            <w:tcBorders>
              <w:top w:val="single" w:color="auto" w:sz="4" w:space="0"/>
            </w:tcBorders>
            <w:noWrap w:val="0"/>
            <w:vAlign w:val="center"/>
          </w:tcPr>
          <w:p w14:paraId="3ADC6FAE">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生活垃圾</w:t>
            </w:r>
          </w:p>
        </w:tc>
        <w:tc>
          <w:tcPr>
            <w:tcW w:w="1632" w:type="dxa"/>
            <w:noWrap w:val="0"/>
            <w:vAlign w:val="center"/>
          </w:tcPr>
          <w:p w14:paraId="6333C602">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81" w:type="dxa"/>
            <w:noWrap w:val="0"/>
            <w:vAlign w:val="center"/>
          </w:tcPr>
          <w:p w14:paraId="10C1C6D1">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374" w:type="dxa"/>
            <w:noWrap w:val="0"/>
            <w:vAlign w:val="center"/>
          </w:tcPr>
          <w:p w14:paraId="436C573F">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421" w:type="dxa"/>
            <w:noWrap w:val="0"/>
            <w:vAlign w:val="center"/>
          </w:tcPr>
          <w:p w14:paraId="012E6CA3">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3</w:t>
            </w:r>
          </w:p>
        </w:tc>
        <w:tc>
          <w:tcPr>
            <w:tcW w:w="1632" w:type="dxa"/>
            <w:noWrap w:val="0"/>
            <w:vAlign w:val="center"/>
          </w:tcPr>
          <w:p w14:paraId="74212F66">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581" w:type="dxa"/>
            <w:shd w:val="clear" w:color="auto" w:fill="auto"/>
            <w:noWrap w:val="0"/>
            <w:vAlign w:val="center"/>
          </w:tcPr>
          <w:p w14:paraId="494DD104">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3</w:t>
            </w:r>
          </w:p>
        </w:tc>
        <w:tc>
          <w:tcPr>
            <w:tcW w:w="1154" w:type="dxa"/>
            <w:shd w:val="clear" w:color="auto" w:fill="auto"/>
            <w:noWrap w:val="0"/>
            <w:vAlign w:val="center"/>
          </w:tcPr>
          <w:p w14:paraId="68CCA8FE">
            <w:pPr>
              <w:pStyle w:val="28"/>
              <w:keepNext w:val="0"/>
              <w:keepLines w:val="0"/>
              <w:suppressLineNumbers w:val="0"/>
              <w:bidi w:val="0"/>
              <w:spacing w:beforeAutospacing="0" w:afterAutospacing="0"/>
              <w:ind w:left="0" w:leftChars="0" w:right="0" w:rightChars="0"/>
              <w:rPr>
                <w:rFonts w:hint="default"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+3</w:t>
            </w:r>
          </w:p>
        </w:tc>
      </w:tr>
      <w:tr w14:paraId="134536B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12" w:type="dxa"/>
            <w:vMerge w:val="restart"/>
            <w:tcBorders>
              <w:top w:val="single" w:color="auto" w:sz="4" w:space="0"/>
            </w:tcBorders>
            <w:noWrap w:val="0"/>
            <w:vAlign w:val="center"/>
          </w:tcPr>
          <w:p w14:paraId="49151F03">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default"/>
                <w:caps w:val="0"/>
                <w:color w:val="auto"/>
                <w:spacing w:val="0"/>
                <w:position w:val="0"/>
                <w:highlight w:val="none"/>
              </w:rPr>
              <w:t>危险废物</w:t>
            </w:r>
          </w:p>
        </w:tc>
        <w:tc>
          <w:tcPr>
            <w:tcW w:w="2305" w:type="dxa"/>
            <w:noWrap w:val="0"/>
            <w:vAlign w:val="center"/>
          </w:tcPr>
          <w:p w14:paraId="26B8C3B8">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废润滑油</w:t>
            </w:r>
          </w:p>
        </w:tc>
        <w:tc>
          <w:tcPr>
            <w:tcW w:w="1632" w:type="dxa"/>
            <w:noWrap w:val="0"/>
            <w:vAlign w:val="center"/>
          </w:tcPr>
          <w:p w14:paraId="16B7A536">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281" w:type="dxa"/>
            <w:noWrap w:val="0"/>
            <w:vAlign w:val="center"/>
          </w:tcPr>
          <w:p w14:paraId="3A67F7A8">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374" w:type="dxa"/>
            <w:noWrap w:val="0"/>
            <w:vAlign w:val="center"/>
          </w:tcPr>
          <w:p w14:paraId="6D9BBCBD">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421" w:type="dxa"/>
            <w:noWrap w:val="0"/>
            <w:vAlign w:val="center"/>
          </w:tcPr>
          <w:p w14:paraId="43ECDBDD">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0.4</w:t>
            </w:r>
          </w:p>
        </w:tc>
        <w:tc>
          <w:tcPr>
            <w:tcW w:w="1632" w:type="dxa"/>
            <w:noWrap w:val="0"/>
            <w:vAlign w:val="center"/>
          </w:tcPr>
          <w:p w14:paraId="665F4E4C">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581" w:type="dxa"/>
            <w:shd w:val="clear" w:color="auto" w:fill="auto"/>
            <w:noWrap w:val="0"/>
            <w:vAlign w:val="center"/>
          </w:tcPr>
          <w:p w14:paraId="35E5879B">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0.4</w:t>
            </w:r>
          </w:p>
        </w:tc>
        <w:tc>
          <w:tcPr>
            <w:tcW w:w="1154" w:type="dxa"/>
            <w:shd w:val="clear" w:color="auto" w:fill="auto"/>
            <w:noWrap w:val="0"/>
            <w:vAlign w:val="center"/>
          </w:tcPr>
          <w:p w14:paraId="525B0793">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+0.4</w:t>
            </w:r>
          </w:p>
        </w:tc>
      </w:tr>
      <w:tr w14:paraId="3BA22A7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12" w:type="dxa"/>
            <w:vMerge w:val="continue"/>
            <w:tcBorders>
              <w:top w:val="single" w:color="auto" w:sz="4" w:space="0"/>
              <w:bottom w:val="single" w:color="auto" w:sz="4" w:space="0"/>
            </w:tcBorders>
            <w:noWrap w:val="0"/>
            <w:vAlign w:val="center"/>
          </w:tcPr>
          <w:p w14:paraId="7C95EAF7">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2305" w:type="dxa"/>
            <w:noWrap w:val="0"/>
            <w:vAlign w:val="center"/>
          </w:tcPr>
          <w:p w14:paraId="3B20167D">
            <w:pPr>
              <w:pStyle w:val="28"/>
              <w:keepNext w:val="0"/>
              <w:keepLines w:val="0"/>
              <w:suppressLineNumbers w:val="0"/>
              <w:bidi w:val="0"/>
              <w:spacing w:beforeAutospacing="0" w:afterAutospacing="0"/>
              <w:ind w:left="0" w:right="0"/>
              <w:rPr>
                <w:rFonts w:hint="default"/>
                <w:caps w:val="0"/>
                <w:color w:val="auto"/>
                <w:spacing w:val="0"/>
                <w:position w:val="0"/>
                <w:highlight w:val="none"/>
              </w:rPr>
            </w:pPr>
            <w:r>
              <w:rPr>
                <w:rFonts w:hint="eastAsia"/>
                <w:caps w:val="0"/>
                <w:color w:val="auto"/>
                <w:spacing w:val="0"/>
                <w:position w:val="0"/>
                <w:highlight w:val="none"/>
              </w:rPr>
              <w:t>废润滑油桶</w:t>
            </w:r>
          </w:p>
        </w:tc>
        <w:tc>
          <w:tcPr>
            <w:tcW w:w="1632" w:type="dxa"/>
            <w:noWrap w:val="0"/>
            <w:vAlign w:val="center"/>
          </w:tcPr>
          <w:p w14:paraId="6CA26967">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281" w:type="dxa"/>
            <w:noWrap w:val="0"/>
            <w:vAlign w:val="center"/>
          </w:tcPr>
          <w:p w14:paraId="650A53AF">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374" w:type="dxa"/>
            <w:noWrap w:val="0"/>
            <w:vAlign w:val="center"/>
          </w:tcPr>
          <w:p w14:paraId="13883386">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421" w:type="dxa"/>
            <w:noWrap w:val="0"/>
            <w:vAlign w:val="center"/>
          </w:tcPr>
          <w:p w14:paraId="6F93A8D5">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0.02</w:t>
            </w:r>
          </w:p>
        </w:tc>
        <w:tc>
          <w:tcPr>
            <w:tcW w:w="1632" w:type="dxa"/>
            <w:noWrap w:val="0"/>
            <w:vAlign w:val="center"/>
          </w:tcPr>
          <w:p w14:paraId="45EEC1B9">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581" w:type="dxa"/>
            <w:shd w:val="clear" w:color="auto" w:fill="auto"/>
            <w:noWrap w:val="0"/>
            <w:vAlign w:val="center"/>
          </w:tcPr>
          <w:p w14:paraId="60700916">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0.02</w:t>
            </w:r>
          </w:p>
        </w:tc>
        <w:tc>
          <w:tcPr>
            <w:tcW w:w="1154" w:type="dxa"/>
            <w:shd w:val="clear" w:color="auto" w:fill="auto"/>
            <w:noWrap w:val="0"/>
            <w:vAlign w:val="center"/>
          </w:tcPr>
          <w:p w14:paraId="14AAAE01">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+0.02</w:t>
            </w:r>
          </w:p>
        </w:tc>
      </w:tr>
      <w:tr w14:paraId="5C3B2F8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1112" w:type="dxa"/>
            <w:vMerge w:val="continue"/>
            <w:tcBorders>
              <w:top w:val="single" w:color="auto" w:sz="4" w:space="0"/>
              <w:bottom w:val="single" w:color="auto" w:sz="4" w:space="0"/>
            </w:tcBorders>
            <w:noWrap w:val="0"/>
            <w:vAlign w:val="center"/>
          </w:tcPr>
          <w:p w14:paraId="782B2567">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2305" w:type="dxa"/>
            <w:noWrap w:val="0"/>
            <w:vAlign w:val="center"/>
          </w:tcPr>
          <w:p w14:paraId="6F0996A5">
            <w:pPr>
              <w:pStyle w:val="28"/>
              <w:keepNext w:val="0"/>
              <w:keepLines w:val="0"/>
              <w:suppressLineNumbers w:val="0"/>
              <w:bidi w:val="0"/>
              <w:spacing w:beforeAutospacing="0" w:afterAutospacing="0"/>
              <w:ind w:left="0" w:right="0"/>
              <w:rPr>
                <w:rFonts w:hint="eastAsia"/>
                <w:caps w:val="0"/>
                <w:color w:val="auto"/>
                <w:spacing w:val="0"/>
                <w:position w:val="0"/>
                <w:highlight w:val="none"/>
              </w:rPr>
            </w:pPr>
            <w:r>
              <w:rPr>
                <w:rFonts w:hint="eastAsia"/>
                <w:caps w:val="0"/>
                <w:color w:val="auto"/>
                <w:spacing w:val="0"/>
                <w:position w:val="0"/>
                <w:highlight w:val="none"/>
              </w:rPr>
              <w:t>废含油抹布及手套</w:t>
            </w:r>
          </w:p>
        </w:tc>
        <w:tc>
          <w:tcPr>
            <w:tcW w:w="1632" w:type="dxa"/>
            <w:noWrap w:val="0"/>
            <w:vAlign w:val="center"/>
          </w:tcPr>
          <w:p w14:paraId="46C8DC96">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281" w:type="dxa"/>
            <w:noWrap w:val="0"/>
            <w:vAlign w:val="center"/>
          </w:tcPr>
          <w:p w14:paraId="228A993D">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374" w:type="dxa"/>
            <w:noWrap w:val="0"/>
            <w:vAlign w:val="center"/>
          </w:tcPr>
          <w:p w14:paraId="289548E7">
            <w:pPr>
              <w:pStyle w:val="28"/>
              <w:keepNext w:val="0"/>
              <w:keepLines w:val="0"/>
              <w:suppressLineNumbers w:val="0"/>
              <w:bidi w:val="0"/>
              <w:spacing w:beforeAutospacing="0" w:afterAutospacing="0"/>
              <w:ind w:left="0" w:right="0"/>
              <w:rPr>
                <w:rFonts w:hint="eastAsia"/>
                <w:caps w:val="0"/>
                <w:color w:val="auto"/>
                <w:spacing w:val="0"/>
                <w:position w:val="0"/>
                <w:highlight w:val="none"/>
              </w:rPr>
            </w:pPr>
          </w:p>
        </w:tc>
        <w:tc>
          <w:tcPr>
            <w:tcW w:w="1421" w:type="dxa"/>
            <w:noWrap w:val="0"/>
            <w:vAlign w:val="center"/>
          </w:tcPr>
          <w:p w14:paraId="2E14C787">
            <w:pPr>
              <w:pStyle w:val="28"/>
              <w:keepNext w:val="0"/>
              <w:keepLines w:val="0"/>
              <w:suppressLineNumbers w:val="0"/>
              <w:bidi w:val="0"/>
              <w:spacing w:beforeAutospacing="0" w:afterAutospacing="0"/>
              <w:ind w:left="0" w:right="0"/>
              <w:rPr>
                <w:rFonts w:hint="default" w:eastAsia="宋体"/>
                <w:caps w:val="0"/>
                <w:color w:val="auto"/>
                <w:spacing w:val="0"/>
                <w:position w:val="0"/>
                <w:highlight w:val="none"/>
                <w:lang w:val="en-US" w:eastAsia="zh-CN"/>
              </w:rPr>
            </w:pPr>
            <w:r>
              <w:rPr>
                <w:rFonts w:hint="eastAsia"/>
                <w:caps w:val="0"/>
                <w:color w:val="auto"/>
                <w:spacing w:val="0"/>
                <w:position w:val="0"/>
                <w:highlight w:val="none"/>
                <w:lang w:val="en-US" w:eastAsia="zh-CN"/>
              </w:rPr>
              <w:t>0.01</w:t>
            </w:r>
          </w:p>
        </w:tc>
        <w:tc>
          <w:tcPr>
            <w:tcW w:w="1632" w:type="dxa"/>
            <w:noWrap w:val="0"/>
            <w:vAlign w:val="center"/>
          </w:tcPr>
          <w:p w14:paraId="2D402219">
            <w:pPr>
              <w:pStyle w:val="28"/>
              <w:keepNext w:val="0"/>
              <w:keepLines w:val="0"/>
              <w:suppressLineNumbers w:val="0"/>
              <w:bidi w:val="0"/>
              <w:spacing w:beforeAutospacing="0" w:afterAutospacing="0"/>
              <w:ind w:left="0" w:right="0"/>
              <w:rPr>
                <w:rFonts w:hint="default"/>
                <w:caps w:val="0"/>
                <w:color w:val="auto"/>
                <w:spacing w:val="0"/>
                <w:position w:val="0"/>
                <w:highlight w:val="none"/>
              </w:rPr>
            </w:pPr>
          </w:p>
        </w:tc>
        <w:tc>
          <w:tcPr>
            <w:tcW w:w="1581" w:type="dxa"/>
            <w:shd w:val="clear" w:color="auto" w:fill="auto"/>
            <w:noWrap w:val="0"/>
            <w:vAlign w:val="center"/>
          </w:tcPr>
          <w:p w14:paraId="35DCEF62">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0.01</w:t>
            </w:r>
          </w:p>
        </w:tc>
        <w:tc>
          <w:tcPr>
            <w:tcW w:w="1154" w:type="dxa"/>
            <w:shd w:val="clear" w:color="auto" w:fill="auto"/>
            <w:noWrap w:val="0"/>
            <w:vAlign w:val="center"/>
          </w:tcPr>
          <w:p w14:paraId="42C4F216">
            <w:pPr>
              <w:pStyle w:val="28"/>
              <w:keepNext w:val="0"/>
              <w:keepLines w:val="0"/>
              <w:suppressLineNumbers w:val="0"/>
              <w:bidi w:val="0"/>
              <w:spacing w:beforeAutospacing="0" w:afterAutospacing="0"/>
              <w:ind w:left="0" w:leftChars="0" w:right="0" w:rightChars="0"/>
              <w:rPr>
                <w:rFonts w:hint="eastAsia" w:ascii="Times New Roman" w:hAnsi="Times New Roman" w:eastAsia="宋体" w:cs="Times New Roman"/>
                <w:caps w:val="0"/>
                <w:color w:val="auto"/>
                <w:spacing w:val="0"/>
                <w:kern w:val="2"/>
                <w:position w:val="0"/>
                <w:sz w:val="21"/>
                <w:szCs w:val="21"/>
                <w:highlight w:val="none"/>
                <w:lang w:val="en-US" w:eastAsia="zh-CN" w:bidi="ar-SA"/>
              </w:rPr>
            </w:pPr>
            <w:r>
              <w:rPr>
                <w:rFonts w:hint="eastAsia"/>
                <w:caps w:val="0"/>
                <w:color w:val="auto"/>
                <w:spacing w:val="0"/>
                <w:position w:val="0"/>
                <w:highlight w:val="none"/>
                <w:lang w:val="en-US" w:eastAsia="zh-CN"/>
              </w:rPr>
              <w:t>+0.01</w:t>
            </w:r>
          </w:p>
        </w:tc>
      </w:tr>
    </w:tbl>
    <w:p w14:paraId="1EB0533C">
      <w:pPr>
        <w:pStyle w:val="43"/>
        <w:spacing w:beforeLines="0" w:afterLines="0" w:line="260" w:lineRule="auto"/>
        <w:ind w:firstLine="480"/>
        <w:jc w:val="left"/>
        <w:rPr>
          <w:rFonts w:hAnsi="宋体"/>
          <w:caps w:val="0"/>
          <w:snapToGrid w:val="0"/>
          <w:color w:val="auto"/>
          <w:spacing w:val="0"/>
          <w:position w:val="0"/>
          <w:szCs w:val="21"/>
          <w:highlight w:val="none"/>
        </w:rPr>
      </w:pPr>
      <w:r>
        <w:rPr>
          <w:rFonts w:hAnsi="宋体"/>
          <w:caps w:val="0"/>
          <w:snapToGrid w:val="0"/>
          <w:color w:val="auto"/>
          <w:spacing w:val="0"/>
          <w:position w:val="0"/>
          <w:szCs w:val="21"/>
          <w:highlight w:val="none"/>
        </w:rPr>
        <w:t>注：</w:t>
      </w:r>
      <w:r>
        <w:rPr>
          <w:rFonts w:hAnsi="宋体"/>
          <w:caps w:val="0"/>
          <w:snapToGrid w:val="0"/>
          <w:color w:val="auto"/>
          <w:spacing w:val="0"/>
          <w:position w:val="0"/>
          <w:szCs w:val="21"/>
          <w:highlight w:val="none"/>
        </w:rPr>
        <w:fldChar w:fldCharType="begin"/>
      </w:r>
      <w:r>
        <w:rPr>
          <w:rFonts w:hAnsi="宋体"/>
          <w:caps w:val="0"/>
          <w:snapToGrid w:val="0"/>
          <w:color w:val="auto"/>
          <w:spacing w:val="0"/>
          <w:position w:val="0"/>
          <w:szCs w:val="21"/>
          <w:highlight w:val="none"/>
        </w:rPr>
        <w:instrText xml:space="preserve"> = 6 \* GB3 \* MERGEFORMAT </w:instrText>
      </w:r>
      <w:r>
        <w:rPr>
          <w:rFonts w:hAnsi="宋体"/>
          <w:caps w:val="0"/>
          <w:snapToGrid w:val="0"/>
          <w:color w:val="auto"/>
          <w:spacing w:val="0"/>
          <w:position w:val="0"/>
          <w:szCs w:val="21"/>
          <w:highlight w:val="none"/>
        </w:rPr>
        <w:fldChar w:fldCharType="separate"/>
      </w:r>
      <w:r>
        <w:rPr>
          <w:rFonts w:hAnsi="宋体"/>
          <w:caps w:val="0"/>
          <w:color w:val="auto"/>
          <w:spacing w:val="0"/>
          <w:position w:val="0"/>
          <w:szCs w:val="21"/>
          <w:highlight w:val="none"/>
        </w:rPr>
        <w:t>⑥</w:t>
      </w:r>
      <w:r>
        <w:rPr>
          <w:rFonts w:hAnsi="宋体"/>
          <w:caps w:val="0"/>
          <w:snapToGrid w:val="0"/>
          <w:color w:val="auto"/>
          <w:spacing w:val="0"/>
          <w:position w:val="0"/>
          <w:szCs w:val="21"/>
          <w:highlight w:val="none"/>
        </w:rPr>
        <w:fldChar w:fldCharType="end"/>
      </w:r>
      <w:r>
        <w:rPr>
          <w:rFonts w:hAnsi="宋体"/>
          <w:caps w:val="0"/>
          <w:snapToGrid w:val="0"/>
          <w:color w:val="auto"/>
          <w:spacing w:val="0"/>
          <w:position w:val="0"/>
          <w:szCs w:val="21"/>
          <w:highlight w:val="none"/>
        </w:rPr>
        <w:t>=</w:t>
      </w:r>
      <w:r>
        <w:rPr>
          <w:rFonts w:hAnsi="宋体"/>
          <w:caps w:val="0"/>
          <w:snapToGrid w:val="0"/>
          <w:color w:val="auto"/>
          <w:spacing w:val="0"/>
          <w:position w:val="0"/>
          <w:szCs w:val="21"/>
          <w:highlight w:val="none"/>
        </w:rPr>
        <w:fldChar w:fldCharType="begin"/>
      </w:r>
      <w:r>
        <w:rPr>
          <w:rFonts w:hAnsi="宋体"/>
          <w:caps w:val="0"/>
          <w:snapToGrid w:val="0"/>
          <w:color w:val="auto"/>
          <w:spacing w:val="0"/>
          <w:position w:val="0"/>
          <w:szCs w:val="21"/>
          <w:highlight w:val="none"/>
        </w:rPr>
        <w:instrText xml:space="preserve"> = 1 \* GB3 \* MERGEFORMAT </w:instrText>
      </w:r>
      <w:r>
        <w:rPr>
          <w:rFonts w:hAnsi="宋体"/>
          <w:caps w:val="0"/>
          <w:snapToGrid w:val="0"/>
          <w:color w:val="auto"/>
          <w:spacing w:val="0"/>
          <w:position w:val="0"/>
          <w:szCs w:val="21"/>
          <w:highlight w:val="none"/>
        </w:rPr>
        <w:fldChar w:fldCharType="separate"/>
      </w:r>
      <w:r>
        <w:rPr>
          <w:rFonts w:hAnsi="宋体"/>
          <w:caps w:val="0"/>
          <w:color w:val="auto"/>
          <w:spacing w:val="0"/>
          <w:position w:val="0"/>
          <w:szCs w:val="21"/>
          <w:highlight w:val="none"/>
        </w:rPr>
        <w:t>①</w:t>
      </w:r>
      <w:r>
        <w:rPr>
          <w:rFonts w:hAnsi="宋体"/>
          <w:caps w:val="0"/>
          <w:snapToGrid w:val="0"/>
          <w:color w:val="auto"/>
          <w:spacing w:val="0"/>
          <w:position w:val="0"/>
          <w:szCs w:val="21"/>
          <w:highlight w:val="none"/>
        </w:rPr>
        <w:fldChar w:fldCharType="end"/>
      </w:r>
      <w:r>
        <w:rPr>
          <w:rFonts w:hAnsi="宋体"/>
          <w:caps w:val="0"/>
          <w:snapToGrid w:val="0"/>
          <w:color w:val="auto"/>
          <w:spacing w:val="0"/>
          <w:position w:val="0"/>
          <w:szCs w:val="21"/>
          <w:highlight w:val="none"/>
        </w:rPr>
        <w:t>+</w:t>
      </w:r>
      <w:r>
        <w:rPr>
          <w:rFonts w:hAnsi="宋体"/>
          <w:caps w:val="0"/>
          <w:snapToGrid w:val="0"/>
          <w:color w:val="auto"/>
          <w:spacing w:val="0"/>
          <w:position w:val="0"/>
          <w:szCs w:val="21"/>
          <w:highlight w:val="none"/>
        </w:rPr>
        <w:fldChar w:fldCharType="begin"/>
      </w:r>
      <w:r>
        <w:rPr>
          <w:rFonts w:hAnsi="宋体"/>
          <w:caps w:val="0"/>
          <w:snapToGrid w:val="0"/>
          <w:color w:val="auto"/>
          <w:spacing w:val="0"/>
          <w:position w:val="0"/>
          <w:szCs w:val="21"/>
          <w:highlight w:val="none"/>
        </w:rPr>
        <w:instrText xml:space="preserve"> = 3 \* GB3 \* MERGEFORMAT </w:instrText>
      </w:r>
      <w:r>
        <w:rPr>
          <w:rFonts w:hAnsi="宋体"/>
          <w:caps w:val="0"/>
          <w:snapToGrid w:val="0"/>
          <w:color w:val="auto"/>
          <w:spacing w:val="0"/>
          <w:position w:val="0"/>
          <w:szCs w:val="21"/>
          <w:highlight w:val="none"/>
        </w:rPr>
        <w:fldChar w:fldCharType="separate"/>
      </w:r>
      <w:r>
        <w:rPr>
          <w:rFonts w:hAnsi="宋体"/>
          <w:caps w:val="0"/>
          <w:color w:val="auto"/>
          <w:spacing w:val="0"/>
          <w:position w:val="0"/>
          <w:szCs w:val="21"/>
          <w:highlight w:val="none"/>
        </w:rPr>
        <w:t>③</w:t>
      </w:r>
      <w:r>
        <w:rPr>
          <w:rFonts w:hAnsi="宋体"/>
          <w:caps w:val="0"/>
          <w:snapToGrid w:val="0"/>
          <w:color w:val="auto"/>
          <w:spacing w:val="0"/>
          <w:position w:val="0"/>
          <w:szCs w:val="21"/>
          <w:highlight w:val="none"/>
        </w:rPr>
        <w:fldChar w:fldCharType="end"/>
      </w:r>
      <w:r>
        <w:rPr>
          <w:rFonts w:hAnsi="宋体"/>
          <w:caps w:val="0"/>
          <w:snapToGrid w:val="0"/>
          <w:color w:val="auto"/>
          <w:spacing w:val="0"/>
          <w:position w:val="0"/>
          <w:szCs w:val="21"/>
          <w:highlight w:val="none"/>
        </w:rPr>
        <w:t>+</w:t>
      </w:r>
      <w:r>
        <w:rPr>
          <w:rFonts w:hAnsi="宋体"/>
          <w:caps w:val="0"/>
          <w:snapToGrid w:val="0"/>
          <w:color w:val="auto"/>
          <w:spacing w:val="0"/>
          <w:position w:val="0"/>
          <w:szCs w:val="21"/>
          <w:highlight w:val="none"/>
        </w:rPr>
        <w:fldChar w:fldCharType="begin"/>
      </w:r>
      <w:r>
        <w:rPr>
          <w:rFonts w:hAnsi="宋体"/>
          <w:caps w:val="0"/>
          <w:snapToGrid w:val="0"/>
          <w:color w:val="auto"/>
          <w:spacing w:val="0"/>
          <w:position w:val="0"/>
          <w:szCs w:val="21"/>
          <w:highlight w:val="none"/>
        </w:rPr>
        <w:instrText xml:space="preserve"> = 4 \* GB3 \* MERGEFORMAT </w:instrText>
      </w:r>
      <w:r>
        <w:rPr>
          <w:rFonts w:hAnsi="宋体"/>
          <w:caps w:val="0"/>
          <w:snapToGrid w:val="0"/>
          <w:color w:val="auto"/>
          <w:spacing w:val="0"/>
          <w:position w:val="0"/>
          <w:szCs w:val="21"/>
          <w:highlight w:val="none"/>
        </w:rPr>
        <w:fldChar w:fldCharType="separate"/>
      </w:r>
      <w:r>
        <w:rPr>
          <w:rFonts w:hAnsi="宋体"/>
          <w:caps w:val="0"/>
          <w:color w:val="auto"/>
          <w:spacing w:val="0"/>
          <w:position w:val="0"/>
          <w:szCs w:val="21"/>
          <w:highlight w:val="none"/>
        </w:rPr>
        <w:t>④</w:t>
      </w:r>
      <w:r>
        <w:rPr>
          <w:rFonts w:hAnsi="宋体"/>
          <w:caps w:val="0"/>
          <w:snapToGrid w:val="0"/>
          <w:color w:val="auto"/>
          <w:spacing w:val="0"/>
          <w:position w:val="0"/>
          <w:szCs w:val="21"/>
          <w:highlight w:val="none"/>
        </w:rPr>
        <w:fldChar w:fldCharType="end"/>
      </w:r>
      <w:r>
        <w:rPr>
          <w:rFonts w:hAnsi="宋体"/>
          <w:caps w:val="0"/>
          <w:snapToGrid w:val="0"/>
          <w:color w:val="auto"/>
          <w:spacing w:val="0"/>
          <w:position w:val="0"/>
          <w:szCs w:val="21"/>
          <w:highlight w:val="none"/>
        </w:rPr>
        <w:t>-</w:t>
      </w:r>
      <w:r>
        <w:rPr>
          <w:rFonts w:hAnsi="宋体"/>
          <w:caps w:val="0"/>
          <w:snapToGrid w:val="0"/>
          <w:color w:val="auto"/>
          <w:spacing w:val="0"/>
          <w:position w:val="0"/>
          <w:szCs w:val="21"/>
          <w:highlight w:val="none"/>
        </w:rPr>
        <w:fldChar w:fldCharType="begin"/>
      </w:r>
      <w:r>
        <w:rPr>
          <w:rFonts w:hAnsi="宋体"/>
          <w:caps w:val="0"/>
          <w:snapToGrid w:val="0"/>
          <w:color w:val="auto"/>
          <w:spacing w:val="0"/>
          <w:position w:val="0"/>
          <w:szCs w:val="21"/>
          <w:highlight w:val="none"/>
        </w:rPr>
        <w:instrText xml:space="preserve"> = 5 \* GB3 \* MERGEFORMAT </w:instrText>
      </w:r>
      <w:r>
        <w:rPr>
          <w:rFonts w:hAnsi="宋体"/>
          <w:caps w:val="0"/>
          <w:snapToGrid w:val="0"/>
          <w:color w:val="auto"/>
          <w:spacing w:val="0"/>
          <w:position w:val="0"/>
          <w:szCs w:val="21"/>
          <w:highlight w:val="none"/>
        </w:rPr>
        <w:fldChar w:fldCharType="separate"/>
      </w:r>
      <w:r>
        <w:rPr>
          <w:rFonts w:hAnsi="宋体"/>
          <w:caps w:val="0"/>
          <w:color w:val="auto"/>
          <w:spacing w:val="0"/>
          <w:position w:val="0"/>
          <w:szCs w:val="21"/>
          <w:highlight w:val="none"/>
        </w:rPr>
        <w:t>⑤</w:t>
      </w:r>
      <w:r>
        <w:rPr>
          <w:rFonts w:hAnsi="宋体"/>
          <w:caps w:val="0"/>
          <w:snapToGrid w:val="0"/>
          <w:color w:val="auto"/>
          <w:spacing w:val="0"/>
          <w:position w:val="0"/>
          <w:szCs w:val="21"/>
          <w:highlight w:val="none"/>
        </w:rPr>
        <w:fldChar w:fldCharType="end"/>
      </w:r>
      <w:r>
        <w:rPr>
          <w:rFonts w:hAnsi="宋体"/>
          <w:caps w:val="0"/>
          <w:snapToGrid w:val="0"/>
          <w:color w:val="auto"/>
          <w:spacing w:val="0"/>
          <w:position w:val="0"/>
          <w:szCs w:val="21"/>
          <w:highlight w:val="none"/>
        </w:rPr>
        <w:t>；</w:t>
      </w:r>
      <w:r>
        <w:rPr>
          <w:rFonts w:hAnsi="宋体"/>
          <w:caps w:val="0"/>
          <w:snapToGrid w:val="0"/>
          <w:color w:val="auto"/>
          <w:spacing w:val="0"/>
          <w:position w:val="0"/>
          <w:szCs w:val="21"/>
          <w:highlight w:val="none"/>
        </w:rPr>
        <w:fldChar w:fldCharType="begin"/>
      </w:r>
      <w:r>
        <w:rPr>
          <w:rFonts w:hAnsi="宋体"/>
          <w:caps w:val="0"/>
          <w:snapToGrid w:val="0"/>
          <w:color w:val="auto"/>
          <w:spacing w:val="0"/>
          <w:position w:val="0"/>
          <w:szCs w:val="21"/>
          <w:highlight w:val="none"/>
        </w:rPr>
        <w:instrText xml:space="preserve"> = 7 \* GB3 \* MERGEFORMAT </w:instrText>
      </w:r>
      <w:r>
        <w:rPr>
          <w:rFonts w:hAnsi="宋体"/>
          <w:caps w:val="0"/>
          <w:snapToGrid w:val="0"/>
          <w:color w:val="auto"/>
          <w:spacing w:val="0"/>
          <w:position w:val="0"/>
          <w:szCs w:val="21"/>
          <w:highlight w:val="none"/>
        </w:rPr>
        <w:fldChar w:fldCharType="separate"/>
      </w:r>
      <w:r>
        <w:rPr>
          <w:rFonts w:hAnsi="宋体"/>
          <w:caps w:val="0"/>
          <w:color w:val="auto"/>
          <w:spacing w:val="0"/>
          <w:position w:val="0"/>
          <w:szCs w:val="21"/>
          <w:highlight w:val="none"/>
        </w:rPr>
        <w:t>⑦</w:t>
      </w:r>
      <w:r>
        <w:rPr>
          <w:rFonts w:hAnsi="宋体"/>
          <w:caps w:val="0"/>
          <w:snapToGrid w:val="0"/>
          <w:color w:val="auto"/>
          <w:spacing w:val="0"/>
          <w:position w:val="0"/>
          <w:szCs w:val="21"/>
          <w:highlight w:val="none"/>
        </w:rPr>
        <w:fldChar w:fldCharType="end"/>
      </w:r>
      <w:r>
        <w:rPr>
          <w:rFonts w:hAnsi="宋体"/>
          <w:caps w:val="0"/>
          <w:snapToGrid w:val="0"/>
          <w:color w:val="auto"/>
          <w:spacing w:val="0"/>
          <w:position w:val="0"/>
          <w:szCs w:val="21"/>
          <w:highlight w:val="none"/>
        </w:rPr>
        <w:t>=</w:t>
      </w:r>
      <w:r>
        <w:rPr>
          <w:rFonts w:hAnsi="宋体"/>
          <w:caps w:val="0"/>
          <w:snapToGrid w:val="0"/>
          <w:color w:val="auto"/>
          <w:spacing w:val="0"/>
          <w:position w:val="0"/>
          <w:szCs w:val="21"/>
          <w:highlight w:val="none"/>
        </w:rPr>
        <w:fldChar w:fldCharType="begin"/>
      </w:r>
      <w:r>
        <w:rPr>
          <w:rFonts w:hAnsi="宋体"/>
          <w:caps w:val="0"/>
          <w:snapToGrid w:val="0"/>
          <w:color w:val="auto"/>
          <w:spacing w:val="0"/>
          <w:position w:val="0"/>
          <w:szCs w:val="21"/>
          <w:highlight w:val="none"/>
        </w:rPr>
        <w:instrText xml:space="preserve"> = 6 \* GB3 \* MERGEFORMAT </w:instrText>
      </w:r>
      <w:r>
        <w:rPr>
          <w:rFonts w:hAnsi="宋体"/>
          <w:caps w:val="0"/>
          <w:snapToGrid w:val="0"/>
          <w:color w:val="auto"/>
          <w:spacing w:val="0"/>
          <w:position w:val="0"/>
          <w:szCs w:val="21"/>
          <w:highlight w:val="none"/>
        </w:rPr>
        <w:fldChar w:fldCharType="separate"/>
      </w:r>
      <w:r>
        <w:rPr>
          <w:rFonts w:hAnsi="宋体"/>
          <w:caps w:val="0"/>
          <w:color w:val="auto"/>
          <w:spacing w:val="0"/>
          <w:position w:val="0"/>
          <w:szCs w:val="21"/>
          <w:highlight w:val="none"/>
        </w:rPr>
        <w:t>⑥</w:t>
      </w:r>
      <w:r>
        <w:rPr>
          <w:rFonts w:hAnsi="宋体"/>
          <w:caps w:val="0"/>
          <w:snapToGrid w:val="0"/>
          <w:color w:val="auto"/>
          <w:spacing w:val="0"/>
          <w:position w:val="0"/>
          <w:szCs w:val="21"/>
          <w:highlight w:val="none"/>
        </w:rPr>
        <w:fldChar w:fldCharType="end"/>
      </w:r>
      <w:r>
        <w:rPr>
          <w:rFonts w:hAnsi="宋体"/>
          <w:caps w:val="0"/>
          <w:snapToGrid w:val="0"/>
          <w:color w:val="auto"/>
          <w:spacing w:val="0"/>
          <w:position w:val="0"/>
          <w:szCs w:val="21"/>
          <w:highlight w:val="none"/>
        </w:rPr>
        <w:t>-</w:t>
      </w:r>
      <w:r>
        <w:rPr>
          <w:rFonts w:hAnsi="宋体"/>
          <w:caps w:val="0"/>
          <w:snapToGrid w:val="0"/>
          <w:color w:val="auto"/>
          <w:spacing w:val="0"/>
          <w:position w:val="0"/>
          <w:szCs w:val="21"/>
          <w:highlight w:val="none"/>
        </w:rPr>
        <w:fldChar w:fldCharType="begin"/>
      </w:r>
      <w:r>
        <w:rPr>
          <w:rFonts w:hAnsi="宋体"/>
          <w:caps w:val="0"/>
          <w:snapToGrid w:val="0"/>
          <w:color w:val="auto"/>
          <w:spacing w:val="0"/>
          <w:position w:val="0"/>
          <w:szCs w:val="21"/>
          <w:highlight w:val="none"/>
        </w:rPr>
        <w:instrText xml:space="preserve"> = 1 \* GB3 \* MERGEFORMAT </w:instrText>
      </w:r>
      <w:r>
        <w:rPr>
          <w:rFonts w:hAnsi="宋体"/>
          <w:caps w:val="0"/>
          <w:snapToGrid w:val="0"/>
          <w:color w:val="auto"/>
          <w:spacing w:val="0"/>
          <w:position w:val="0"/>
          <w:szCs w:val="21"/>
          <w:highlight w:val="none"/>
        </w:rPr>
        <w:fldChar w:fldCharType="separate"/>
      </w:r>
      <w:r>
        <w:rPr>
          <w:rFonts w:hAnsi="宋体"/>
          <w:caps w:val="0"/>
          <w:color w:val="auto"/>
          <w:spacing w:val="0"/>
          <w:position w:val="0"/>
          <w:szCs w:val="21"/>
          <w:highlight w:val="none"/>
        </w:rPr>
        <w:t>①</w:t>
      </w:r>
      <w:r>
        <w:rPr>
          <w:rFonts w:hAnsi="宋体"/>
          <w:caps w:val="0"/>
          <w:snapToGrid w:val="0"/>
          <w:color w:val="auto"/>
          <w:spacing w:val="0"/>
          <w:position w:val="0"/>
          <w:szCs w:val="21"/>
          <w:highlight w:val="none"/>
        </w:rPr>
        <w:fldChar w:fldCharType="end"/>
      </w:r>
    </w:p>
    <w:p w14:paraId="6E8F9F94">
      <w:pPr>
        <w:pStyle w:val="74"/>
        <w:bidi w:val="0"/>
        <w:ind w:left="0" w:leftChars="0" w:firstLine="0" w:firstLineChars="0"/>
        <w:rPr>
          <w:rFonts w:hint="eastAsia"/>
          <w:caps w:val="0"/>
          <w:color w:val="auto"/>
          <w:spacing w:val="0"/>
          <w:position w:val="0"/>
          <w:highlight w:val="none"/>
        </w:rPr>
      </w:pPr>
    </w:p>
    <w:sectPr>
      <w:footerReference r:id="rId8" w:type="default"/>
      <w:pgSz w:w="16838" w:h="11906" w:orient="landscape"/>
      <w:pgMar w:top="1531" w:right="1701" w:bottom="1531" w:left="1701" w:header="851" w:footer="851" w:gutter="0"/>
      <w:pgBorders>
        <w:top w:val="none" w:sz="0" w:space="0"/>
        <w:left w:val="none" w:sz="0" w:space="0"/>
        <w:bottom w:val="none" w:sz="0" w:space="0"/>
        <w:right w:val="none" w:sz="0" w:space="0"/>
      </w:pgBorders>
      <w:pgNumType w:fmt="decimal"/>
      <w:cols w:space="720" w:num="1"/>
      <w:docGrid w:linePitch="312" w:charSpace="0"/>
    </w:sectPr>
  </w:body>
</w:document>
</file>

<file path=word/customizations.xml><?xml version="1.0" encoding="utf-8"?>
<wne:tcg xmlns:r="http://schemas.openxmlformats.org/officeDocument/2006/relationships" xmlns:wne="http://schemas.microsoft.com/office/word/2006/wordml">
  <wne:keymaps>
    <wne:keymap wne:kcmPrimary="0453">
      <wne:acd wne:acdName="acd0"/>
    </wne:keymap>
  </wne:keymaps>
  <wne:acds>
    <wne:acd wne:argValue="AgAxADEAMQAxAGiIhVGHZVdb" wne:acdName="acd0"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0"/>
    <w:family w:val="auto"/>
    <w:pitch w:val="default"/>
    <w:sig w:usb0="00000000" w:usb1="00000000" w:usb2="00000009" w:usb3="00000000" w:csb0="400001FF" w:csb1="FFFF0000"/>
  </w:font>
  <w:font w:name="宋体">
    <w:altName w:val="方正书宋_GBK"/>
    <w:panose1 w:val="02010600030101010101"/>
    <w:charset w:val="81"/>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等线 Light">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Arial Unicode MS">
    <w:altName w:val="DejaVu Sans"/>
    <w:panose1 w:val="020B0604020202020204"/>
    <w:charset w:val="86"/>
    <w:family w:val="auto"/>
    <w:pitch w:val="default"/>
    <w:sig w:usb0="00000000" w:usb1="00000000" w:usb2="0000003F" w:usb3="00000000" w:csb0="603F01FF" w:csb1="FFFF0000"/>
  </w:font>
  <w:font w:name="楷体">
    <w:altName w:val="方正楷体_GBK"/>
    <w:panose1 w:val="02010609060101010101"/>
    <w:charset w:val="86"/>
    <w:family w:val="auto"/>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Wingdings 2">
    <w:altName w:val="MathJax_Vector"/>
    <w:panose1 w:val="05020102010507070707"/>
    <w:charset w:val="02"/>
    <w:family w:val="auto"/>
    <w:pitch w:val="default"/>
    <w:sig w:usb0="00000000" w:usb1="00000000" w:usb2="00000000" w:usb3="00000000" w:csb0="80000000" w:csb1="00000000"/>
  </w:font>
  <w:font w:name="MathJax_Vector">
    <w:panose1 w:val="02000603000000000000"/>
    <w:charset w:val="00"/>
    <w:family w:val="auto"/>
    <w:pitch w:val="default"/>
    <w:sig w:usb0="00000001" w:usb1="00000020" w:usb2="00000000" w:usb3="00000000" w:csb0="00000001" w:csb1="00000000"/>
  </w:font>
  <w:font w:name="Cambria Math">
    <w:altName w:val="DejaVu Math TeX Gyre"/>
    <w:panose1 w:val="02040503050406030204"/>
    <w:charset w:val="00"/>
    <w:family w:val="roman"/>
    <w:pitch w:val="default"/>
    <w:sig w:usb0="00000000" w:usb1="00000000" w:usb2="02000000" w:usb3="00000000" w:csb0="2000019F" w:csb1="00000000"/>
  </w:font>
  <w:font w:name="DejaVu Math TeX Gyre">
    <w:panose1 w:val="02000503000000000000"/>
    <w:charset w:val="00"/>
    <w:family w:val="auto"/>
    <w:pitch w:val="default"/>
    <w:sig w:usb0="A10000EF" w:usb1="4201F9EE" w:usb2="02000000" w:usb3="00000000" w:csb0="60000193" w:csb1="0DD40000"/>
  </w:font>
  <w:font w:name="方正小标宋_GBK">
    <w:panose1 w:val="02000000000000000000"/>
    <w:charset w:val="86"/>
    <w:family w:val="script"/>
    <w:pitch w:val="default"/>
    <w:sig w:usb0="00000001" w:usb1="08000000" w:usb2="00000000" w:usb3="00000000" w:csb0="00040000" w:csb1="00000000"/>
  </w:font>
  <w:font w:name="Liberation Serif">
    <w:panose1 w:val="02020603050405020304"/>
    <w:charset w:val="00"/>
    <w:family w:val="auto"/>
    <w:pitch w:val="default"/>
    <w:sig w:usb0="A00002AF" w:usb1="500078FB" w:usb2="00000000" w:usb3="00000000" w:csb0="6000009F" w:csb1="DFD7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29918C">
    <w:pPr>
      <w:pStyle w:val="14"/>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0FBD7">
    <w:pPr>
      <w:pStyle w:val="14"/>
      <w:framePr w:wrap="around" w:vAnchor="text" w:hAnchor="margin" w:xAlign="center" w:y="1"/>
      <w:rPr>
        <w:rStyle w:val="27"/>
      </w:rPr>
    </w:pPr>
    <w:r>
      <w:fldChar w:fldCharType="begin"/>
    </w:r>
    <w:r>
      <w:rPr>
        <w:rStyle w:val="27"/>
      </w:rPr>
      <w:instrText xml:space="preserve">PAGE  </w:instrText>
    </w:r>
    <w:r>
      <w:fldChar w:fldCharType="end"/>
    </w:r>
  </w:p>
  <w:p w14:paraId="6C654B53">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D9DCEB">
    <w:pPr>
      <w:pStyle w:val="14"/>
      <w:ind w:right="360" w:firstLine="360"/>
      <w:jc w:val="center"/>
      <w:rPr>
        <w:rFonts w:hint="eastAsia"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92DE4C">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ApX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QxDCNip9/fD//&#10;/H3+9Y3gDALVLswR9+AQGZt3tkHbDOcBh4l3U3qdvmBE4AfW6SKvaCLh6dJsOpuN4eLwDRvgZ0/X&#10;nQ/xvbCaJCOnHvVrZWXHbYhd6BCSshm7kUq1NVSG1Dm9vno7bi9cPABXBjkSie6xyYrNrumZ7Wxx&#10;AjFvu94Ijm8kkm9ZiPfMoxnwYIxLvMNSKosktrcoqaz/+q/zFI8awUtJjebKqcEsUaI+GNQOgHEw&#10;/GDsBsMc9K1Ft04who63Ji74qAaz9FZ/wQytUg64mOHIlNM4mLexa3DMIBerVRt0cF7uq+4COs+x&#10;uDUPjqc0ScjgVocIMVuNk0CdKr1u6L22Sv2cpOb+c99GPf0bl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MClfjICAABjBAAADgAAAAAAAAABACAAAAAfAQAAZHJzL2Uyb0RvYy54bWxQSwUG&#10;AAAAAAYABgBZAQAAwwUAAAAA&#10;">
              <v:fill on="f" focussize="0,0"/>
              <v:stroke on="f" weight="0.5pt"/>
              <v:imagedata o:title=""/>
              <o:lock v:ext="edit" aspectratio="f"/>
              <v:textbox inset="0mm,0mm,0mm,0mm" style="mso-fit-shape-to-text:t;">
                <w:txbxContent>
                  <w:p w14:paraId="6B92DE4C">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DC8A0D">
    <w:pPr>
      <w:pStyle w:val="14"/>
      <w:ind w:right="360"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66658E">
                          <w:pPr>
                            <w:pStyle w:val="14"/>
                          </w:pPr>
                          <w:r>
                            <w:fldChar w:fldCharType="begin"/>
                          </w:r>
                          <w:r>
                            <w:instrText xml:space="preserve"> PAGE  \* MERGEFORMAT </w:instrText>
                          </w:r>
                          <w:r>
                            <w:fldChar w:fldCharType="separate"/>
                          </w:r>
                          <w:r>
                            <w:t>107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JoMpEzAgAAYw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9GpCiWEaHT//+H7+&#10;+fv86xvBGQSqXZgj7sEhMjbvbIOxGc4DDhPvpvQ6fcGIwA95Txd5RRMJT5dm09lsDBeHb9gAP3u6&#10;7nyI74XVJBk59ehfKys7bkPsQoeQlM3YjVSq7aEypM7p9dXbcXvh4gG4MsiRSHTFJis2u6ZntrPF&#10;CcS87WYjOL6RSL5lId4zj2FAwXgu8Q5LqSyS2N6ipLL+67/OUzx6BC8lNYYrpwZviRL1waB3AIyD&#10;4QdjNxjmoG8tphXtQC2tiQs+qsEsvdVf8IZWKQdczHBkymkczNvYDTjeIBerVRt0cF7uq+4CJs+x&#10;uDUPjqc0ScjgVocIMVuNk0CdKr1umL22S/07ScP9576N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JoMpEzAgAAYwQAAA4AAAAAAAAAAQAgAAAAHwEAAGRycy9lMm9Eb2MueG1sUEsF&#10;BgAAAAAGAAYAWQEAAMQFAAAAAA==&#10;">
              <v:fill on="f" focussize="0,0"/>
              <v:stroke on="f" weight="0.5pt"/>
              <v:imagedata o:title=""/>
              <o:lock v:ext="edit" aspectratio="f"/>
              <v:textbox inset="0mm,0mm,0mm,0mm" style="mso-fit-shape-to-text:t;">
                <w:txbxContent>
                  <w:p w14:paraId="0766658E">
                    <w:pPr>
                      <w:pStyle w:val="14"/>
                    </w:pPr>
                    <w:r>
                      <w:fldChar w:fldCharType="begin"/>
                    </w:r>
                    <w:r>
                      <w:instrText xml:space="preserve"> PAGE  \* MERGEFORMAT </w:instrText>
                    </w:r>
                    <w:r>
                      <w:fldChar w:fldCharType="separate"/>
                    </w:r>
                    <w:r>
                      <w:t>107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085A06"/>
    <w:multiLevelType w:val="singleLevel"/>
    <w:tmpl w:val="B5085A06"/>
    <w:lvl w:ilvl="0" w:tentative="0">
      <w:start w:val="4"/>
      <w:numFmt w:val="chineseCounting"/>
      <w:suff w:val="nothing"/>
      <w:lvlText w:val="%1、"/>
      <w:lvlJc w:val="left"/>
      <w:rPr>
        <w:rFonts w:hint="eastAsia"/>
      </w:rPr>
    </w:lvl>
  </w:abstractNum>
  <w:abstractNum w:abstractNumId="1">
    <w:nsid w:val="BAD27AC9"/>
    <w:multiLevelType w:val="singleLevel"/>
    <w:tmpl w:val="BAD27AC9"/>
    <w:lvl w:ilvl="0" w:tentative="0">
      <w:start w:val="1"/>
      <w:numFmt w:val="decimal"/>
      <w:lvlText w:val="表4-%1"/>
      <w:lvlJc w:val="left"/>
      <w:pPr>
        <w:tabs>
          <w:tab w:val="left" w:pos="420"/>
        </w:tabs>
        <w:ind w:left="425" w:hanging="425"/>
      </w:pPr>
      <w:rPr>
        <w:rFonts w:hint="default" w:ascii="Times New Roman" w:hAnsi="Times New Roman" w:eastAsia="Times New Roman" w:cs="Times New Roman"/>
        <w:sz w:val="24"/>
        <w:szCs w:val="24"/>
      </w:rPr>
    </w:lvl>
  </w:abstractNum>
  <w:abstractNum w:abstractNumId="2">
    <w:nsid w:val="C060902A"/>
    <w:multiLevelType w:val="singleLevel"/>
    <w:tmpl w:val="C060902A"/>
    <w:lvl w:ilvl="0" w:tentative="0">
      <w:start w:val="2"/>
      <w:numFmt w:val="decimal"/>
      <w:suff w:val="nothing"/>
      <w:lvlText w:val="%1、"/>
      <w:lvlJc w:val="left"/>
    </w:lvl>
  </w:abstractNum>
  <w:abstractNum w:abstractNumId="3">
    <w:nsid w:val="C0F64EB5"/>
    <w:multiLevelType w:val="singleLevel"/>
    <w:tmpl w:val="C0F64EB5"/>
    <w:lvl w:ilvl="0" w:tentative="0">
      <w:start w:val="1"/>
      <w:numFmt w:val="decimal"/>
      <w:lvlText w:val="表2-%1"/>
      <w:lvlJc w:val="left"/>
      <w:pPr>
        <w:tabs>
          <w:tab w:val="left" w:pos="420"/>
        </w:tabs>
        <w:ind w:left="0" w:firstLine="420"/>
      </w:pPr>
      <w:rPr>
        <w:rFonts w:hint="default" w:ascii="Times New Roman" w:hAnsi="Times New Roman" w:eastAsia="宋体" w:cs="Times New Roman"/>
        <w:sz w:val="24"/>
        <w:szCs w:val="24"/>
      </w:rPr>
    </w:lvl>
  </w:abstractNum>
  <w:abstractNum w:abstractNumId="4">
    <w:nsid w:val="CB8A551B"/>
    <w:multiLevelType w:val="multilevel"/>
    <w:tmpl w:val="CB8A551B"/>
    <w:lvl w:ilvl="0" w:tentative="0">
      <w:start w:val="1"/>
      <w:numFmt w:val="chineseCounting"/>
      <w:suff w:val="space"/>
      <w:lvlText w:val="%1、"/>
      <w:lvlJc w:val="left"/>
      <w:pPr>
        <w:tabs>
          <w:tab w:val="left" w:pos="0"/>
        </w:tabs>
        <w:ind w:left="0" w:firstLine="0"/>
      </w:pPr>
      <w:rPr>
        <w:rFonts w:hint="eastAsia" w:ascii="Times New Roman" w:hAnsi="Times New Roman" w:eastAsia="宋体" w:cs="宋体"/>
        <w:b/>
        <w:bCs w:val="0"/>
        <w:i w:val="0"/>
        <w:iCs w:val="0"/>
        <w:caps w:val="0"/>
        <w:smallCaps w:val="0"/>
        <w:strike w:val="0"/>
        <w:dstrike w:val="0"/>
        <w:vanish w:val="0"/>
        <w:spacing w:val="0"/>
        <w:position w:val="0"/>
        <w:u w:val="none"/>
        <w:vertAlign w:val="baseline"/>
      </w:rPr>
    </w:lvl>
    <w:lvl w:ilvl="1" w:tentative="0">
      <w:start w:val="1"/>
      <w:numFmt w:val="decimal"/>
      <w:isLgl/>
      <w:suff w:val="space"/>
      <w:lvlText w:val="%1.%2"/>
      <w:lvlJc w:val="left"/>
      <w:pPr>
        <w:tabs>
          <w:tab w:val="left" w:pos="420"/>
        </w:tabs>
        <w:ind w:left="567" w:hanging="567"/>
      </w:pPr>
      <w:rPr>
        <w:rFonts w:hint="eastAsia" w:ascii="宋体" w:hAnsi="宋体" w:eastAsia="宋体" w:cs="宋体"/>
        <w:i w:val="0"/>
        <w:iCs w:val="0"/>
        <w:caps w:val="0"/>
        <w:smallCaps w:val="0"/>
        <w:strike w:val="0"/>
        <w:dstrike w:val="0"/>
        <w:vanish w:val="0"/>
        <w:color w:val="000000"/>
        <w:spacing w:val="0"/>
        <w:position w:val="0"/>
        <w:u w:val="none"/>
        <w:vertAlign w:val="baseline"/>
      </w:rPr>
    </w:lvl>
    <w:lvl w:ilvl="2" w:tentative="0">
      <w:start w:val="1"/>
      <w:numFmt w:val="decimal"/>
      <w:isLgl/>
      <w:suff w:val="space"/>
      <w:lvlText w:val="%1.%2.%3"/>
      <w:lvlJc w:val="left"/>
      <w:pPr>
        <w:ind w:left="567" w:hanging="567"/>
      </w:pPr>
      <w:rPr>
        <w:rFonts w:hint="eastAsia" w:ascii="宋体" w:hAnsi="宋体" w:eastAsia="宋体" w:cs="宋体"/>
      </w:rPr>
    </w:lvl>
    <w:lvl w:ilvl="3" w:tentative="0">
      <w:start w:val="1"/>
      <w:numFmt w:val="decimal"/>
      <w:isLgl/>
      <w:suff w:val="space"/>
      <w:lvlText w:val="%1.%2.%3.%4"/>
      <w:lvlJc w:val="left"/>
      <w:pPr>
        <w:ind w:left="567" w:hanging="567"/>
      </w:pPr>
      <w:rPr>
        <w:rFonts w:hint="eastAsia" w:ascii="宋体" w:hAnsi="宋体" w:eastAsia="宋体" w:cs="宋体"/>
        <w:b/>
        <w:bCs w:val="0"/>
        <w:i w:val="0"/>
        <w:iCs w:val="0"/>
        <w:caps w:val="0"/>
        <w:smallCaps w:val="0"/>
        <w:strike w:val="0"/>
        <w:dstrike w:val="0"/>
        <w:vanish w:val="0"/>
        <w:color w:val="000000"/>
        <w:spacing w:val="0"/>
        <w:position w:val="0"/>
        <w:u w:val="none"/>
        <w:vertAlign w:val="baseline"/>
      </w:rPr>
    </w:lvl>
    <w:lvl w:ilvl="4" w:tentative="0">
      <w:start w:val="1"/>
      <w:numFmt w:val="decimal"/>
      <w:isLgl/>
      <w:suff w:val="space"/>
      <w:lvlText w:val="%1.%2.%3.%4.%5"/>
      <w:lvlJc w:val="left"/>
      <w:pPr>
        <w:ind w:left="1134" w:hanging="567"/>
      </w:pPr>
      <w:rPr>
        <w:rFonts w:hint="eastAsia" w:ascii="宋体" w:hAnsi="宋体" w:eastAsia="宋体" w:cs="宋体"/>
      </w:rPr>
    </w:lvl>
    <w:lvl w:ilvl="5" w:tentative="0">
      <w:start w:val="1"/>
      <w:numFmt w:val="decimal"/>
      <w:lvlRestart w:val="1"/>
      <w:pStyle w:val="84"/>
      <w:isLgl/>
      <w:suff w:val="space"/>
      <w:lvlText w:val="表%1-%6"/>
      <w:lvlJc w:val="center"/>
      <w:pPr>
        <w:tabs>
          <w:tab w:val="left" w:pos="0"/>
        </w:tabs>
        <w:ind w:left="0" w:firstLine="0"/>
      </w:pPr>
      <w:rPr>
        <w:rFonts w:hint="eastAsia" w:ascii="Times New Roman" w:hAnsi="Times New Roman" w:eastAsia="宋体" w:cs="Times New Roman"/>
        <w:b/>
        <w:bCs w:val="0"/>
        <w:i w:val="0"/>
        <w:iCs w:val="0"/>
        <w:caps w:val="0"/>
        <w:smallCaps w:val="0"/>
        <w:strike w:val="0"/>
        <w:dstrike w:val="0"/>
        <w:vanish w:val="0"/>
        <w:color w:val="000000"/>
        <w:spacing w:val="0"/>
        <w:position w:val="0"/>
        <w:sz w:val="21"/>
        <w:szCs w:val="21"/>
        <w:u w:val="none"/>
        <w:vertAlign w:val="baseline"/>
      </w:rPr>
    </w:lvl>
    <w:lvl w:ilvl="6" w:tentative="0">
      <w:start w:val="1"/>
      <w:numFmt w:val="decimal"/>
      <w:lvlRestart w:val="1"/>
      <w:isLgl/>
      <w:suff w:val="space"/>
      <w:lvlText w:val="图%1.%2-%7"/>
      <w:lvlJc w:val="center"/>
      <w:pPr>
        <w:ind w:left="0" w:firstLine="0"/>
      </w:pPr>
      <w:rPr>
        <w:rFonts w:hint="eastAsia" w:ascii="宋体" w:hAnsi="宋体" w:eastAsia="宋体" w:cs="宋体"/>
        <w:b/>
        <w:bCs w:val="0"/>
        <w:i w:val="0"/>
        <w:iCs w:val="0"/>
        <w:caps w:val="0"/>
        <w:smallCaps w:val="0"/>
        <w:strike w:val="0"/>
        <w:dstrike w:val="0"/>
        <w:vanish w:val="0"/>
        <w:color w:val="000000"/>
        <w:spacing w:val="0"/>
        <w:position w:val="0"/>
        <w:u w:val="none"/>
        <w:vertAlign w:val="baseline"/>
      </w:rPr>
    </w:lvl>
    <w:lvl w:ilvl="7" w:tentative="0">
      <w:start w:val="1"/>
      <w:numFmt w:val="none"/>
      <w:lvlRestart w:val="2"/>
      <w:isLgl/>
      <w:suff w:val="nothing"/>
      <w:lvlText w:val=""/>
      <w:lvlJc w:val="left"/>
      <w:pPr>
        <w:ind w:left="283" w:firstLine="0"/>
      </w:pPr>
      <w:rPr>
        <w:rFonts w:hint="eastAsia" w:cs="仿宋_GB2312"/>
        <w:b w:val="0"/>
        <w:bCs w:val="0"/>
        <w:i w:val="0"/>
        <w:iCs w:val="0"/>
        <w:caps w:val="0"/>
        <w:smallCaps w:val="0"/>
        <w:strike w:val="0"/>
        <w:dstrike w:val="0"/>
        <w:vanish w:val="0"/>
        <w:color w:val="000000"/>
        <w:spacing w:val="0"/>
        <w:position w:val="0"/>
        <w:u w:val="none"/>
        <w:vertAlign w:val="baseline"/>
      </w:rPr>
    </w:lvl>
    <w:lvl w:ilvl="8" w:tentative="0">
      <w:start w:val="1"/>
      <w:numFmt w:val="none"/>
      <w:isLgl/>
      <w:lvlText w:val=""/>
      <w:lvlJc w:val="left"/>
      <w:pPr>
        <w:ind w:left="1559" w:hanging="1559"/>
      </w:pPr>
      <w:rPr>
        <w:rFonts w:hint="eastAsia"/>
      </w:rPr>
    </w:lvl>
  </w:abstractNum>
  <w:abstractNum w:abstractNumId="5">
    <w:nsid w:val="36970A70"/>
    <w:multiLevelType w:val="multilevel"/>
    <w:tmpl w:val="36970A70"/>
    <w:lvl w:ilvl="0" w:tentative="0">
      <w:start w:val="1"/>
      <w:numFmt w:val="decimal"/>
      <w:pStyle w:val="82"/>
      <w:lvlText w:val="表%1 "/>
      <w:lvlJc w:val="left"/>
      <w:pPr>
        <w:ind w:left="3680" w:hanging="420"/>
      </w:pPr>
      <w:rPr>
        <w:rFonts w:hint="default" w:ascii="Times New Roman" w:hAnsi="Times New Roman" w:cs="Times New Roman"/>
        <w:b w:val="0"/>
        <w:bCs w:val="0"/>
        <w:i w:val="0"/>
        <w:iCs w:val="0"/>
        <w:caps w:val="0"/>
        <w:smallCaps w:val="0"/>
        <w:strike w:val="0"/>
        <w:dstrike w:val="0"/>
        <w:vanish w:val="0"/>
        <w:color w:val="000000"/>
        <w:spacing w:val="0"/>
        <w:position w:val="0"/>
        <w:u w:val="none"/>
        <w:vertAlign w:val="baseli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417C13E2"/>
    <w:multiLevelType w:val="singleLevel"/>
    <w:tmpl w:val="417C13E2"/>
    <w:lvl w:ilvl="0" w:tentative="0">
      <w:start w:val="1"/>
      <w:numFmt w:val="decimal"/>
      <w:lvlText w:val="表3-%1"/>
      <w:lvlJc w:val="left"/>
      <w:pPr>
        <w:tabs>
          <w:tab w:val="left" w:pos="420"/>
        </w:tabs>
        <w:ind w:left="0" w:firstLine="420"/>
      </w:pPr>
      <w:rPr>
        <w:rFonts w:hint="default" w:ascii="Times New Roman" w:hAnsi="Times New Roman" w:eastAsia="宋体" w:cs="Times New Roman"/>
        <w:sz w:val="24"/>
        <w:szCs w:val="24"/>
      </w:rPr>
    </w:lvl>
  </w:abstractNum>
  <w:num w:numId="1">
    <w:abstractNumId w:val="5"/>
  </w:num>
  <w:num w:numId="2">
    <w:abstractNumId w:val="4"/>
  </w:num>
  <w:num w:numId="3">
    <w:abstractNumId w:val="2"/>
  </w:num>
  <w:num w:numId="4">
    <w:abstractNumId w:val="3"/>
  </w:num>
  <w:num w:numId="5">
    <w:abstractNumId w:val="6"/>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1B39FA"/>
    <w:rsid w:val="00076791"/>
    <w:rsid w:val="00135135"/>
    <w:rsid w:val="004277C9"/>
    <w:rsid w:val="00473031"/>
    <w:rsid w:val="00640557"/>
    <w:rsid w:val="00757B9E"/>
    <w:rsid w:val="0078768E"/>
    <w:rsid w:val="007D0F25"/>
    <w:rsid w:val="008B32D6"/>
    <w:rsid w:val="00A437D3"/>
    <w:rsid w:val="00B561ED"/>
    <w:rsid w:val="00BA3803"/>
    <w:rsid w:val="00D64002"/>
    <w:rsid w:val="00DF7D37"/>
    <w:rsid w:val="00F620E2"/>
    <w:rsid w:val="00F705B3"/>
    <w:rsid w:val="010827C0"/>
    <w:rsid w:val="011D2710"/>
    <w:rsid w:val="012E79FA"/>
    <w:rsid w:val="0136108C"/>
    <w:rsid w:val="013C06BC"/>
    <w:rsid w:val="0160084E"/>
    <w:rsid w:val="017A7263"/>
    <w:rsid w:val="01A3073B"/>
    <w:rsid w:val="01A93FA3"/>
    <w:rsid w:val="01AE15BA"/>
    <w:rsid w:val="01D7173D"/>
    <w:rsid w:val="01DB6104"/>
    <w:rsid w:val="02313F99"/>
    <w:rsid w:val="02317AF5"/>
    <w:rsid w:val="027F2F56"/>
    <w:rsid w:val="028B5457"/>
    <w:rsid w:val="02AD7AC3"/>
    <w:rsid w:val="02BE185D"/>
    <w:rsid w:val="02BE582C"/>
    <w:rsid w:val="02C57FE3"/>
    <w:rsid w:val="02CE011D"/>
    <w:rsid w:val="02EE3C38"/>
    <w:rsid w:val="02F84BAB"/>
    <w:rsid w:val="03162A63"/>
    <w:rsid w:val="031637ED"/>
    <w:rsid w:val="031C07A5"/>
    <w:rsid w:val="03253AFD"/>
    <w:rsid w:val="033A0B8B"/>
    <w:rsid w:val="035E700F"/>
    <w:rsid w:val="038F0F77"/>
    <w:rsid w:val="03936CB9"/>
    <w:rsid w:val="03993BA4"/>
    <w:rsid w:val="039A0CDF"/>
    <w:rsid w:val="039D18E6"/>
    <w:rsid w:val="03B41B21"/>
    <w:rsid w:val="03BC4BD4"/>
    <w:rsid w:val="03EA7E28"/>
    <w:rsid w:val="03F1578E"/>
    <w:rsid w:val="03F37758"/>
    <w:rsid w:val="03F4702C"/>
    <w:rsid w:val="04090D29"/>
    <w:rsid w:val="040E79E3"/>
    <w:rsid w:val="041E2451"/>
    <w:rsid w:val="04425FE9"/>
    <w:rsid w:val="0451614A"/>
    <w:rsid w:val="04795999"/>
    <w:rsid w:val="047A5783"/>
    <w:rsid w:val="04801CC7"/>
    <w:rsid w:val="04874344"/>
    <w:rsid w:val="048A6A6A"/>
    <w:rsid w:val="048C0506"/>
    <w:rsid w:val="0490338C"/>
    <w:rsid w:val="04903689"/>
    <w:rsid w:val="04AB1DE0"/>
    <w:rsid w:val="04AC701F"/>
    <w:rsid w:val="04AC7736"/>
    <w:rsid w:val="04C0022C"/>
    <w:rsid w:val="04C31E27"/>
    <w:rsid w:val="04C335CE"/>
    <w:rsid w:val="04C80BE4"/>
    <w:rsid w:val="050F035E"/>
    <w:rsid w:val="0516342C"/>
    <w:rsid w:val="05393890"/>
    <w:rsid w:val="0543026B"/>
    <w:rsid w:val="054B365B"/>
    <w:rsid w:val="054E4CF3"/>
    <w:rsid w:val="055E085F"/>
    <w:rsid w:val="0560489D"/>
    <w:rsid w:val="05707EF4"/>
    <w:rsid w:val="057B562E"/>
    <w:rsid w:val="05962A91"/>
    <w:rsid w:val="05A351AD"/>
    <w:rsid w:val="06113EC5"/>
    <w:rsid w:val="061340E1"/>
    <w:rsid w:val="06175254"/>
    <w:rsid w:val="063D5DAE"/>
    <w:rsid w:val="06532730"/>
    <w:rsid w:val="065467ED"/>
    <w:rsid w:val="06606BFB"/>
    <w:rsid w:val="0673214A"/>
    <w:rsid w:val="06AB6FEC"/>
    <w:rsid w:val="06B34F7C"/>
    <w:rsid w:val="06C929F2"/>
    <w:rsid w:val="06CF7A92"/>
    <w:rsid w:val="06D3561E"/>
    <w:rsid w:val="06E72E78"/>
    <w:rsid w:val="072B7208"/>
    <w:rsid w:val="076602B1"/>
    <w:rsid w:val="076F5347"/>
    <w:rsid w:val="07743210"/>
    <w:rsid w:val="07794418"/>
    <w:rsid w:val="077E1A2E"/>
    <w:rsid w:val="079052BE"/>
    <w:rsid w:val="07A10E4E"/>
    <w:rsid w:val="07A46156"/>
    <w:rsid w:val="07AF6AAA"/>
    <w:rsid w:val="07C95D62"/>
    <w:rsid w:val="07E61381"/>
    <w:rsid w:val="07EF46DA"/>
    <w:rsid w:val="08002443"/>
    <w:rsid w:val="080F08D8"/>
    <w:rsid w:val="08253086"/>
    <w:rsid w:val="083139D3"/>
    <w:rsid w:val="08324A39"/>
    <w:rsid w:val="083F680F"/>
    <w:rsid w:val="08574D94"/>
    <w:rsid w:val="0858227F"/>
    <w:rsid w:val="085D1644"/>
    <w:rsid w:val="08670714"/>
    <w:rsid w:val="08687FE8"/>
    <w:rsid w:val="08716E9D"/>
    <w:rsid w:val="087B4212"/>
    <w:rsid w:val="088458B2"/>
    <w:rsid w:val="08856DEC"/>
    <w:rsid w:val="08872B64"/>
    <w:rsid w:val="088A61B1"/>
    <w:rsid w:val="08962DA7"/>
    <w:rsid w:val="08980420"/>
    <w:rsid w:val="089E49B5"/>
    <w:rsid w:val="08A72F68"/>
    <w:rsid w:val="08C86477"/>
    <w:rsid w:val="08C90A87"/>
    <w:rsid w:val="08C96CD9"/>
    <w:rsid w:val="08D00E36"/>
    <w:rsid w:val="08F66058"/>
    <w:rsid w:val="08F875BE"/>
    <w:rsid w:val="09044B9E"/>
    <w:rsid w:val="09124EC1"/>
    <w:rsid w:val="093920B1"/>
    <w:rsid w:val="094648A7"/>
    <w:rsid w:val="09476961"/>
    <w:rsid w:val="095567BF"/>
    <w:rsid w:val="097F5A20"/>
    <w:rsid w:val="098B0432"/>
    <w:rsid w:val="098E11E0"/>
    <w:rsid w:val="099B68C7"/>
    <w:rsid w:val="099C619C"/>
    <w:rsid w:val="09A67019"/>
    <w:rsid w:val="09B63701"/>
    <w:rsid w:val="09B94F9F"/>
    <w:rsid w:val="09BB51C1"/>
    <w:rsid w:val="09D74664"/>
    <w:rsid w:val="09E162A4"/>
    <w:rsid w:val="0A014251"/>
    <w:rsid w:val="0A2543E3"/>
    <w:rsid w:val="0A2763AD"/>
    <w:rsid w:val="0A3C70D8"/>
    <w:rsid w:val="0A430D19"/>
    <w:rsid w:val="0A5C1147"/>
    <w:rsid w:val="0A60541B"/>
    <w:rsid w:val="0A8B33E3"/>
    <w:rsid w:val="0A9B48BA"/>
    <w:rsid w:val="0AA01CBB"/>
    <w:rsid w:val="0AAA2912"/>
    <w:rsid w:val="0ABB7EB7"/>
    <w:rsid w:val="0ABF0B90"/>
    <w:rsid w:val="0AC47DDC"/>
    <w:rsid w:val="0AD94540"/>
    <w:rsid w:val="0B09160F"/>
    <w:rsid w:val="0B226B74"/>
    <w:rsid w:val="0B2A0461"/>
    <w:rsid w:val="0B48482D"/>
    <w:rsid w:val="0B512FB6"/>
    <w:rsid w:val="0B6251C3"/>
    <w:rsid w:val="0B776EC0"/>
    <w:rsid w:val="0B8C1261"/>
    <w:rsid w:val="0BA46483"/>
    <w:rsid w:val="0BAE0408"/>
    <w:rsid w:val="0BD240F7"/>
    <w:rsid w:val="0BED2CDE"/>
    <w:rsid w:val="0BF42AA3"/>
    <w:rsid w:val="0C1F2706"/>
    <w:rsid w:val="0C281F69"/>
    <w:rsid w:val="0C452B1A"/>
    <w:rsid w:val="0C6956DA"/>
    <w:rsid w:val="0C7E7DDA"/>
    <w:rsid w:val="0C886EAB"/>
    <w:rsid w:val="0C9B273A"/>
    <w:rsid w:val="0CAA5073"/>
    <w:rsid w:val="0CC31C91"/>
    <w:rsid w:val="0CC51EAD"/>
    <w:rsid w:val="0CE9152F"/>
    <w:rsid w:val="0D1D75F3"/>
    <w:rsid w:val="0D2B7F62"/>
    <w:rsid w:val="0D2C7836"/>
    <w:rsid w:val="0D3D37F2"/>
    <w:rsid w:val="0D531267"/>
    <w:rsid w:val="0D5605EF"/>
    <w:rsid w:val="0D584ACF"/>
    <w:rsid w:val="0D674D12"/>
    <w:rsid w:val="0D701E19"/>
    <w:rsid w:val="0D7B06C2"/>
    <w:rsid w:val="0D817B82"/>
    <w:rsid w:val="0DA25D4B"/>
    <w:rsid w:val="0DA45CC7"/>
    <w:rsid w:val="0DD8176C"/>
    <w:rsid w:val="0DFD0975"/>
    <w:rsid w:val="0E2B2817"/>
    <w:rsid w:val="0E2B3F92"/>
    <w:rsid w:val="0E3015A8"/>
    <w:rsid w:val="0E407A3D"/>
    <w:rsid w:val="0E470192"/>
    <w:rsid w:val="0E4D3F08"/>
    <w:rsid w:val="0E511C4A"/>
    <w:rsid w:val="0E5D4333"/>
    <w:rsid w:val="0E74112A"/>
    <w:rsid w:val="0E7771D7"/>
    <w:rsid w:val="0E785E9A"/>
    <w:rsid w:val="0E795140"/>
    <w:rsid w:val="0E912047"/>
    <w:rsid w:val="0EA16002"/>
    <w:rsid w:val="0EAD49A7"/>
    <w:rsid w:val="0ED87C76"/>
    <w:rsid w:val="0EE4281A"/>
    <w:rsid w:val="0EED1247"/>
    <w:rsid w:val="0EEE140B"/>
    <w:rsid w:val="0EF552DA"/>
    <w:rsid w:val="0EFE5203"/>
    <w:rsid w:val="0F0C791F"/>
    <w:rsid w:val="0F2F1860"/>
    <w:rsid w:val="0F372E00"/>
    <w:rsid w:val="0F436172"/>
    <w:rsid w:val="0F563291"/>
    <w:rsid w:val="0F7658A1"/>
    <w:rsid w:val="0F781A43"/>
    <w:rsid w:val="0F8F2CA6"/>
    <w:rsid w:val="0F9242C9"/>
    <w:rsid w:val="0F931DEF"/>
    <w:rsid w:val="0F9A5255"/>
    <w:rsid w:val="0FAC6704"/>
    <w:rsid w:val="0FC93A62"/>
    <w:rsid w:val="0FDD12BC"/>
    <w:rsid w:val="0FED14FF"/>
    <w:rsid w:val="10266540"/>
    <w:rsid w:val="10282537"/>
    <w:rsid w:val="102B3DB5"/>
    <w:rsid w:val="10305890"/>
    <w:rsid w:val="104B091B"/>
    <w:rsid w:val="105552F6"/>
    <w:rsid w:val="10563548"/>
    <w:rsid w:val="105C48D7"/>
    <w:rsid w:val="10664B5E"/>
    <w:rsid w:val="106B68C8"/>
    <w:rsid w:val="107B371A"/>
    <w:rsid w:val="10802373"/>
    <w:rsid w:val="10AD5132"/>
    <w:rsid w:val="10C7057C"/>
    <w:rsid w:val="10CA5CE4"/>
    <w:rsid w:val="10DD77C5"/>
    <w:rsid w:val="10E87F18"/>
    <w:rsid w:val="10EE1DD4"/>
    <w:rsid w:val="10F16DCD"/>
    <w:rsid w:val="10FC08AB"/>
    <w:rsid w:val="11025B9B"/>
    <w:rsid w:val="1109680C"/>
    <w:rsid w:val="110D7FF4"/>
    <w:rsid w:val="112C42A9"/>
    <w:rsid w:val="11360C84"/>
    <w:rsid w:val="11365128"/>
    <w:rsid w:val="1140695B"/>
    <w:rsid w:val="11551A52"/>
    <w:rsid w:val="115A456C"/>
    <w:rsid w:val="115B06EA"/>
    <w:rsid w:val="115B0FB9"/>
    <w:rsid w:val="11671785"/>
    <w:rsid w:val="11691059"/>
    <w:rsid w:val="118045F5"/>
    <w:rsid w:val="11812847"/>
    <w:rsid w:val="118934A9"/>
    <w:rsid w:val="11963E18"/>
    <w:rsid w:val="11984DEC"/>
    <w:rsid w:val="11987B90"/>
    <w:rsid w:val="119A56B6"/>
    <w:rsid w:val="11A37BF8"/>
    <w:rsid w:val="11CB1CF2"/>
    <w:rsid w:val="11D861DF"/>
    <w:rsid w:val="11DD7ADE"/>
    <w:rsid w:val="11E20E0C"/>
    <w:rsid w:val="11EC4876"/>
    <w:rsid w:val="11F56D91"/>
    <w:rsid w:val="11F72B09"/>
    <w:rsid w:val="11FF57E0"/>
    <w:rsid w:val="1202325C"/>
    <w:rsid w:val="120F0221"/>
    <w:rsid w:val="121B783C"/>
    <w:rsid w:val="125910CE"/>
    <w:rsid w:val="126B1F8B"/>
    <w:rsid w:val="127317A1"/>
    <w:rsid w:val="12771554"/>
    <w:rsid w:val="12891287"/>
    <w:rsid w:val="128D6FC9"/>
    <w:rsid w:val="12D81D45"/>
    <w:rsid w:val="12E7492B"/>
    <w:rsid w:val="131F1A87"/>
    <w:rsid w:val="132316DC"/>
    <w:rsid w:val="132E1986"/>
    <w:rsid w:val="139F5206"/>
    <w:rsid w:val="13A97E33"/>
    <w:rsid w:val="13C36177"/>
    <w:rsid w:val="13D92A72"/>
    <w:rsid w:val="13F54E26"/>
    <w:rsid w:val="13F60B9E"/>
    <w:rsid w:val="13FA5B20"/>
    <w:rsid w:val="13FA68E0"/>
    <w:rsid w:val="140C2170"/>
    <w:rsid w:val="140C5DFC"/>
    <w:rsid w:val="140E5EE8"/>
    <w:rsid w:val="141A2ADF"/>
    <w:rsid w:val="142D60AA"/>
    <w:rsid w:val="143C6364"/>
    <w:rsid w:val="14414227"/>
    <w:rsid w:val="14423DE3"/>
    <w:rsid w:val="14467430"/>
    <w:rsid w:val="145E0C1D"/>
    <w:rsid w:val="14613537"/>
    <w:rsid w:val="14757D15"/>
    <w:rsid w:val="147E306D"/>
    <w:rsid w:val="14847F58"/>
    <w:rsid w:val="14863CD0"/>
    <w:rsid w:val="14983A03"/>
    <w:rsid w:val="14B051F1"/>
    <w:rsid w:val="14B36158"/>
    <w:rsid w:val="14BB5EB3"/>
    <w:rsid w:val="14D0319D"/>
    <w:rsid w:val="14DC5FE6"/>
    <w:rsid w:val="14DC7D94"/>
    <w:rsid w:val="14DF0DB5"/>
    <w:rsid w:val="14E32355"/>
    <w:rsid w:val="14EB5483"/>
    <w:rsid w:val="14EC447B"/>
    <w:rsid w:val="14EF7AC7"/>
    <w:rsid w:val="14F63574"/>
    <w:rsid w:val="15082937"/>
    <w:rsid w:val="151E215B"/>
    <w:rsid w:val="154F0566"/>
    <w:rsid w:val="15531C8B"/>
    <w:rsid w:val="155838BF"/>
    <w:rsid w:val="1568787A"/>
    <w:rsid w:val="157C12DA"/>
    <w:rsid w:val="157E7260"/>
    <w:rsid w:val="158F171D"/>
    <w:rsid w:val="159B19FD"/>
    <w:rsid w:val="159E329B"/>
    <w:rsid w:val="15B35A11"/>
    <w:rsid w:val="15C2342E"/>
    <w:rsid w:val="15CC7E09"/>
    <w:rsid w:val="15D476DF"/>
    <w:rsid w:val="15ED6EB7"/>
    <w:rsid w:val="15FA2BC8"/>
    <w:rsid w:val="15FA6724"/>
    <w:rsid w:val="16016036"/>
    <w:rsid w:val="16041350"/>
    <w:rsid w:val="16084742"/>
    <w:rsid w:val="16145ECE"/>
    <w:rsid w:val="161641F9"/>
    <w:rsid w:val="162723E1"/>
    <w:rsid w:val="16312655"/>
    <w:rsid w:val="163C4F8E"/>
    <w:rsid w:val="1666025D"/>
    <w:rsid w:val="166A38C9"/>
    <w:rsid w:val="167F7E45"/>
    <w:rsid w:val="168D57EA"/>
    <w:rsid w:val="16A93786"/>
    <w:rsid w:val="16B32D77"/>
    <w:rsid w:val="16BF796D"/>
    <w:rsid w:val="16C805D0"/>
    <w:rsid w:val="16CC1E75"/>
    <w:rsid w:val="16CE195E"/>
    <w:rsid w:val="16EB42BE"/>
    <w:rsid w:val="16F05C47"/>
    <w:rsid w:val="16F245DB"/>
    <w:rsid w:val="17150479"/>
    <w:rsid w:val="171750B3"/>
    <w:rsid w:val="17215F32"/>
    <w:rsid w:val="172C3E6B"/>
    <w:rsid w:val="1743234C"/>
    <w:rsid w:val="17457EE8"/>
    <w:rsid w:val="17514A69"/>
    <w:rsid w:val="17591B70"/>
    <w:rsid w:val="1777139E"/>
    <w:rsid w:val="178833B6"/>
    <w:rsid w:val="179E3A27"/>
    <w:rsid w:val="179F64A3"/>
    <w:rsid w:val="17A607B9"/>
    <w:rsid w:val="17AF353E"/>
    <w:rsid w:val="17B648CC"/>
    <w:rsid w:val="17C27715"/>
    <w:rsid w:val="17D86F39"/>
    <w:rsid w:val="17E07B9B"/>
    <w:rsid w:val="17EA27C8"/>
    <w:rsid w:val="17F13EFA"/>
    <w:rsid w:val="17F43647"/>
    <w:rsid w:val="180715CC"/>
    <w:rsid w:val="18137F71"/>
    <w:rsid w:val="182B350C"/>
    <w:rsid w:val="182C2DE0"/>
    <w:rsid w:val="183B471B"/>
    <w:rsid w:val="1844012A"/>
    <w:rsid w:val="184B14B9"/>
    <w:rsid w:val="1870214D"/>
    <w:rsid w:val="18761375"/>
    <w:rsid w:val="188A6C13"/>
    <w:rsid w:val="188C387F"/>
    <w:rsid w:val="188D1AD1"/>
    <w:rsid w:val="18B711B2"/>
    <w:rsid w:val="18C809B6"/>
    <w:rsid w:val="18DF1DBE"/>
    <w:rsid w:val="18F57676"/>
    <w:rsid w:val="190F698A"/>
    <w:rsid w:val="19197D1B"/>
    <w:rsid w:val="19404D95"/>
    <w:rsid w:val="19466124"/>
    <w:rsid w:val="19470B8B"/>
    <w:rsid w:val="194D1260"/>
    <w:rsid w:val="196F11D7"/>
    <w:rsid w:val="196F7429"/>
    <w:rsid w:val="197E766C"/>
    <w:rsid w:val="199571A7"/>
    <w:rsid w:val="199B021E"/>
    <w:rsid w:val="199E57CD"/>
    <w:rsid w:val="19A76BC3"/>
    <w:rsid w:val="19DF45AE"/>
    <w:rsid w:val="19E00326"/>
    <w:rsid w:val="1A004525"/>
    <w:rsid w:val="1A143B2C"/>
    <w:rsid w:val="1A18361C"/>
    <w:rsid w:val="1A1F0E4F"/>
    <w:rsid w:val="1A231FC1"/>
    <w:rsid w:val="1A2E2E40"/>
    <w:rsid w:val="1A390616"/>
    <w:rsid w:val="1A3D7527"/>
    <w:rsid w:val="1A42329E"/>
    <w:rsid w:val="1A46462D"/>
    <w:rsid w:val="1A4C59BC"/>
    <w:rsid w:val="1A5A3133"/>
    <w:rsid w:val="1A8A3DEE"/>
    <w:rsid w:val="1A9458B9"/>
    <w:rsid w:val="1A9D6217"/>
    <w:rsid w:val="1AAB623F"/>
    <w:rsid w:val="1AAD527B"/>
    <w:rsid w:val="1AB62E35"/>
    <w:rsid w:val="1AB711EB"/>
    <w:rsid w:val="1ABC044C"/>
    <w:rsid w:val="1ACD2659"/>
    <w:rsid w:val="1AD96E52"/>
    <w:rsid w:val="1ADB29A0"/>
    <w:rsid w:val="1ADD03C2"/>
    <w:rsid w:val="1AFE48C4"/>
    <w:rsid w:val="1B27473A"/>
    <w:rsid w:val="1B304996"/>
    <w:rsid w:val="1B334486"/>
    <w:rsid w:val="1B351FAC"/>
    <w:rsid w:val="1B5C578B"/>
    <w:rsid w:val="1B762CF0"/>
    <w:rsid w:val="1B776A68"/>
    <w:rsid w:val="1B80591D"/>
    <w:rsid w:val="1B860A5A"/>
    <w:rsid w:val="1B8D2C3F"/>
    <w:rsid w:val="1BB34C01"/>
    <w:rsid w:val="1C136791"/>
    <w:rsid w:val="1C217434"/>
    <w:rsid w:val="1C295FB5"/>
    <w:rsid w:val="1C2F10F1"/>
    <w:rsid w:val="1C316C17"/>
    <w:rsid w:val="1C420E24"/>
    <w:rsid w:val="1C4306F9"/>
    <w:rsid w:val="1C485D0F"/>
    <w:rsid w:val="1C5C3B8C"/>
    <w:rsid w:val="1C5D147A"/>
    <w:rsid w:val="1C67088B"/>
    <w:rsid w:val="1C744D56"/>
    <w:rsid w:val="1C744EE3"/>
    <w:rsid w:val="1C7D00AF"/>
    <w:rsid w:val="1C827473"/>
    <w:rsid w:val="1C850D11"/>
    <w:rsid w:val="1CA218C3"/>
    <w:rsid w:val="1CA95859"/>
    <w:rsid w:val="1CBF6A46"/>
    <w:rsid w:val="1CC40435"/>
    <w:rsid w:val="1CC61A56"/>
    <w:rsid w:val="1CDD7FF4"/>
    <w:rsid w:val="1CE43C8A"/>
    <w:rsid w:val="1CE67A02"/>
    <w:rsid w:val="1CEC5C03"/>
    <w:rsid w:val="1CEE2D5A"/>
    <w:rsid w:val="1CF10B92"/>
    <w:rsid w:val="1D047E88"/>
    <w:rsid w:val="1D0A2C83"/>
    <w:rsid w:val="1D20134B"/>
    <w:rsid w:val="1D24677C"/>
    <w:rsid w:val="1D497F91"/>
    <w:rsid w:val="1D4D24F3"/>
    <w:rsid w:val="1D5111FE"/>
    <w:rsid w:val="1D67554C"/>
    <w:rsid w:val="1D76522A"/>
    <w:rsid w:val="1D9143EC"/>
    <w:rsid w:val="1DAB47A7"/>
    <w:rsid w:val="1DC15D79"/>
    <w:rsid w:val="1DC8425E"/>
    <w:rsid w:val="1DD957B9"/>
    <w:rsid w:val="1DF47EFC"/>
    <w:rsid w:val="1E1B2666"/>
    <w:rsid w:val="1E1B39FA"/>
    <w:rsid w:val="1E2F15A8"/>
    <w:rsid w:val="1E4C7F89"/>
    <w:rsid w:val="1E681F2F"/>
    <w:rsid w:val="1E6F24FC"/>
    <w:rsid w:val="1E8A260F"/>
    <w:rsid w:val="1E944404"/>
    <w:rsid w:val="1E9D2342"/>
    <w:rsid w:val="1EC91389"/>
    <w:rsid w:val="1ECE699F"/>
    <w:rsid w:val="1ED157A5"/>
    <w:rsid w:val="1ED3045A"/>
    <w:rsid w:val="1ED33FB6"/>
    <w:rsid w:val="1EDF295B"/>
    <w:rsid w:val="1EED121D"/>
    <w:rsid w:val="1EF3668B"/>
    <w:rsid w:val="1EF74C48"/>
    <w:rsid w:val="1F0B7BF4"/>
    <w:rsid w:val="1F0E3240"/>
    <w:rsid w:val="1F226CEB"/>
    <w:rsid w:val="1F50506D"/>
    <w:rsid w:val="1F513E14"/>
    <w:rsid w:val="1F58270D"/>
    <w:rsid w:val="1F5D724A"/>
    <w:rsid w:val="1F5F30C4"/>
    <w:rsid w:val="1F5F550C"/>
    <w:rsid w:val="1F6E1F30"/>
    <w:rsid w:val="1F7D3F22"/>
    <w:rsid w:val="1F7E4C34"/>
    <w:rsid w:val="1F8507F5"/>
    <w:rsid w:val="1F903C55"/>
    <w:rsid w:val="1F941997"/>
    <w:rsid w:val="1F971487"/>
    <w:rsid w:val="1FAA7DBE"/>
    <w:rsid w:val="1FAE057F"/>
    <w:rsid w:val="1FD60202"/>
    <w:rsid w:val="1FD71884"/>
    <w:rsid w:val="1FDC7DEF"/>
    <w:rsid w:val="1FDE7F6F"/>
    <w:rsid w:val="1FDF56B7"/>
    <w:rsid w:val="20082AB7"/>
    <w:rsid w:val="201941FD"/>
    <w:rsid w:val="201B3E66"/>
    <w:rsid w:val="202D1F13"/>
    <w:rsid w:val="20307F5E"/>
    <w:rsid w:val="20315438"/>
    <w:rsid w:val="2048214B"/>
    <w:rsid w:val="205E1FA5"/>
    <w:rsid w:val="206511DF"/>
    <w:rsid w:val="206E7A43"/>
    <w:rsid w:val="207E61A3"/>
    <w:rsid w:val="20825C93"/>
    <w:rsid w:val="208C08C0"/>
    <w:rsid w:val="20924AF0"/>
    <w:rsid w:val="209B0B03"/>
    <w:rsid w:val="20A0436C"/>
    <w:rsid w:val="20AE6A88"/>
    <w:rsid w:val="20B56069"/>
    <w:rsid w:val="20BD316F"/>
    <w:rsid w:val="20DE4D4E"/>
    <w:rsid w:val="20F962C3"/>
    <w:rsid w:val="210303E4"/>
    <w:rsid w:val="21035A46"/>
    <w:rsid w:val="21091A1E"/>
    <w:rsid w:val="21254871"/>
    <w:rsid w:val="21262AC3"/>
    <w:rsid w:val="212B00D9"/>
    <w:rsid w:val="2134365C"/>
    <w:rsid w:val="21383383"/>
    <w:rsid w:val="213A031C"/>
    <w:rsid w:val="213A47C0"/>
    <w:rsid w:val="213D7E0C"/>
    <w:rsid w:val="214178FD"/>
    <w:rsid w:val="21442F49"/>
    <w:rsid w:val="21564CC5"/>
    <w:rsid w:val="21570ECE"/>
    <w:rsid w:val="215D225D"/>
    <w:rsid w:val="21635AC5"/>
    <w:rsid w:val="21751354"/>
    <w:rsid w:val="2179144A"/>
    <w:rsid w:val="21817CF9"/>
    <w:rsid w:val="2197751D"/>
    <w:rsid w:val="21A223BE"/>
    <w:rsid w:val="21BE719F"/>
    <w:rsid w:val="21E12EE9"/>
    <w:rsid w:val="21E14C3C"/>
    <w:rsid w:val="21E169EA"/>
    <w:rsid w:val="21E85FCA"/>
    <w:rsid w:val="21F01157"/>
    <w:rsid w:val="21FF7B7F"/>
    <w:rsid w:val="2201708C"/>
    <w:rsid w:val="22105521"/>
    <w:rsid w:val="22360EA4"/>
    <w:rsid w:val="22631AF5"/>
    <w:rsid w:val="22762396"/>
    <w:rsid w:val="22767B2E"/>
    <w:rsid w:val="227930C6"/>
    <w:rsid w:val="22813D29"/>
    <w:rsid w:val="229661A2"/>
    <w:rsid w:val="22972D6A"/>
    <w:rsid w:val="2297354C"/>
    <w:rsid w:val="22C51B93"/>
    <w:rsid w:val="22C56B3B"/>
    <w:rsid w:val="22CE1645"/>
    <w:rsid w:val="22D402FC"/>
    <w:rsid w:val="22D71F89"/>
    <w:rsid w:val="22EE2E34"/>
    <w:rsid w:val="22EE5862"/>
    <w:rsid w:val="22FF35CB"/>
    <w:rsid w:val="23056BE4"/>
    <w:rsid w:val="2318643B"/>
    <w:rsid w:val="23201794"/>
    <w:rsid w:val="233A4603"/>
    <w:rsid w:val="233A65B6"/>
    <w:rsid w:val="23A32805"/>
    <w:rsid w:val="23AE66CF"/>
    <w:rsid w:val="23BF71FF"/>
    <w:rsid w:val="23C14D25"/>
    <w:rsid w:val="23E3039C"/>
    <w:rsid w:val="23E46C65"/>
    <w:rsid w:val="24350515"/>
    <w:rsid w:val="24392B0D"/>
    <w:rsid w:val="244C65AD"/>
    <w:rsid w:val="24612064"/>
    <w:rsid w:val="246833F2"/>
    <w:rsid w:val="246D27B7"/>
    <w:rsid w:val="247A75E9"/>
    <w:rsid w:val="247B526A"/>
    <w:rsid w:val="248865C2"/>
    <w:rsid w:val="249F150A"/>
    <w:rsid w:val="24A00DDE"/>
    <w:rsid w:val="24A5262B"/>
    <w:rsid w:val="24D4317A"/>
    <w:rsid w:val="24EC4023"/>
    <w:rsid w:val="24EE17FE"/>
    <w:rsid w:val="24FD7FDE"/>
    <w:rsid w:val="250824DF"/>
    <w:rsid w:val="25090731"/>
    <w:rsid w:val="25145328"/>
    <w:rsid w:val="251E4C9E"/>
    <w:rsid w:val="2536529E"/>
    <w:rsid w:val="253B27E5"/>
    <w:rsid w:val="2543433B"/>
    <w:rsid w:val="25453733"/>
    <w:rsid w:val="254E5A36"/>
    <w:rsid w:val="254E75C1"/>
    <w:rsid w:val="25586BA8"/>
    <w:rsid w:val="25697422"/>
    <w:rsid w:val="25B52667"/>
    <w:rsid w:val="25C66622"/>
    <w:rsid w:val="25C92017"/>
    <w:rsid w:val="25D0124F"/>
    <w:rsid w:val="25E81A23"/>
    <w:rsid w:val="25EE5A8E"/>
    <w:rsid w:val="25F807A6"/>
    <w:rsid w:val="2604714B"/>
    <w:rsid w:val="260B04D9"/>
    <w:rsid w:val="262256BF"/>
    <w:rsid w:val="2629786D"/>
    <w:rsid w:val="26346D9F"/>
    <w:rsid w:val="264E120C"/>
    <w:rsid w:val="26773DC1"/>
    <w:rsid w:val="26844491"/>
    <w:rsid w:val="26BE294D"/>
    <w:rsid w:val="26EE3321"/>
    <w:rsid w:val="26F027EE"/>
    <w:rsid w:val="2702368A"/>
    <w:rsid w:val="270311B0"/>
    <w:rsid w:val="270D0281"/>
    <w:rsid w:val="270F7B55"/>
    <w:rsid w:val="271218FB"/>
    <w:rsid w:val="27133AE9"/>
    <w:rsid w:val="271909D4"/>
    <w:rsid w:val="27196C26"/>
    <w:rsid w:val="271B0BF0"/>
    <w:rsid w:val="2734580E"/>
    <w:rsid w:val="27627995"/>
    <w:rsid w:val="27662D25"/>
    <w:rsid w:val="27684462"/>
    <w:rsid w:val="277D0F28"/>
    <w:rsid w:val="277E119E"/>
    <w:rsid w:val="27A03689"/>
    <w:rsid w:val="27A504B9"/>
    <w:rsid w:val="27D112AE"/>
    <w:rsid w:val="27EC60E8"/>
    <w:rsid w:val="27F51441"/>
    <w:rsid w:val="27FA0805"/>
    <w:rsid w:val="27FC3775"/>
    <w:rsid w:val="280136B2"/>
    <w:rsid w:val="282C063D"/>
    <w:rsid w:val="283D06F2"/>
    <w:rsid w:val="2849353B"/>
    <w:rsid w:val="284D4DD9"/>
    <w:rsid w:val="285C326E"/>
    <w:rsid w:val="28616AD6"/>
    <w:rsid w:val="28767CDC"/>
    <w:rsid w:val="28956780"/>
    <w:rsid w:val="289C222B"/>
    <w:rsid w:val="28AB7D51"/>
    <w:rsid w:val="28AF339E"/>
    <w:rsid w:val="28B5314E"/>
    <w:rsid w:val="28BB2C12"/>
    <w:rsid w:val="28C013B8"/>
    <w:rsid w:val="28C055AB"/>
    <w:rsid w:val="28C11F57"/>
    <w:rsid w:val="28CF57EE"/>
    <w:rsid w:val="28D70B46"/>
    <w:rsid w:val="28EE37C1"/>
    <w:rsid w:val="28EF40E2"/>
    <w:rsid w:val="28F07F5E"/>
    <w:rsid w:val="28F24E95"/>
    <w:rsid w:val="28FE4325"/>
    <w:rsid w:val="2903193C"/>
    <w:rsid w:val="290A574F"/>
    <w:rsid w:val="29120F69"/>
    <w:rsid w:val="291222D3"/>
    <w:rsid w:val="291C47AB"/>
    <w:rsid w:val="292D2375"/>
    <w:rsid w:val="29332221"/>
    <w:rsid w:val="29373393"/>
    <w:rsid w:val="29412447"/>
    <w:rsid w:val="29437879"/>
    <w:rsid w:val="294A30C6"/>
    <w:rsid w:val="295217CA"/>
    <w:rsid w:val="2959155B"/>
    <w:rsid w:val="296A5517"/>
    <w:rsid w:val="296C74E1"/>
    <w:rsid w:val="2984482A"/>
    <w:rsid w:val="2996455E"/>
    <w:rsid w:val="299B7DC6"/>
    <w:rsid w:val="29A9603F"/>
    <w:rsid w:val="29C235A5"/>
    <w:rsid w:val="29C9386D"/>
    <w:rsid w:val="29CE5AA6"/>
    <w:rsid w:val="29D12FF5"/>
    <w:rsid w:val="29D3655E"/>
    <w:rsid w:val="29D55086"/>
    <w:rsid w:val="29D62BAC"/>
    <w:rsid w:val="29D6626A"/>
    <w:rsid w:val="29E05655"/>
    <w:rsid w:val="29E11C7D"/>
    <w:rsid w:val="29FA0F90"/>
    <w:rsid w:val="29FB3D33"/>
    <w:rsid w:val="2A17569E"/>
    <w:rsid w:val="2A3C6EB3"/>
    <w:rsid w:val="2A5266D7"/>
    <w:rsid w:val="2A6D6041"/>
    <w:rsid w:val="2A6E5785"/>
    <w:rsid w:val="2A77613D"/>
    <w:rsid w:val="2A81612B"/>
    <w:rsid w:val="2A8C37E9"/>
    <w:rsid w:val="2A8F072F"/>
    <w:rsid w:val="2A9A007E"/>
    <w:rsid w:val="2AB24F59"/>
    <w:rsid w:val="2AC31382"/>
    <w:rsid w:val="2B035C23"/>
    <w:rsid w:val="2B0A5203"/>
    <w:rsid w:val="2B282726"/>
    <w:rsid w:val="2B326508"/>
    <w:rsid w:val="2B373B1E"/>
    <w:rsid w:val="2B3E30FF"/>
    <w:rsid w:val="2B45448D"/>
    <w:rsid w:val="2B577D1D"/>
    <w:rsid w:val="2B5A778C"/>
    <w:rsid w:val="2B620B9B"/>
    <w:rsid w:val="2B7E52A9"/>
    <w:rsid w:val="2B7F799F"/>
    <w:rsid w:val="2B8354F2"/>
    <w:rsid w:val="2B836D64"/>
    <w:rsid w:val="2B866FDE"/>
    <w:rsid w:val="2B8962E2"/>
    <w:rsid w:val="2B956461"/>
    <w:rsid w:val="2BA74800"/>
    <w:rsid w:val="2BA90283"/>
    <w:rsid w:val="2BAE2033"/>
    <w:rsid w:val="2BC51EC5"/>
    <w:rsid w:val="2BCC24B9"/>
    <w:rsid w:val="2BDD0222"/>
    <w:rsid w:val="2BE21CDC"/>
    <w:rsid w:val="2BE315B0"/>
    <w:rsid w:val="2BE42462"/>
    <w:rsid w:val="2BE735BA"/>
    <w:rsid w:val="2BEE541D"/>
    <w:rsid w:val="2BF37A45"/>
    <w:rsid w:val="2BFF071B"/>
    <w:rsid w:val="2C163734"/>
    <w:rsid w:val="2C2422F5"/>
    <w:rsid w:val="2C293467"/>
    <w:rsid w:val="2C34400B"/>
    <w:rsid w:val="2C732934"/>
    <w:rsid w:val="2C820DC9"/>
    <w:rsid w:val="2C8965FC"/>
    <w:rsid w:val="2CAB57ED"/>
    <w:rsid w:val="2CF0667B"/>
    <w:rsid w:val="2D001CDF"/>
    <w:rsid w:val="2D1759B5"/>
    <w:rsid w:val="2D19172E"/>
    <w:rsid w:val="2D1E4F96"/>
    <w:rsid w:val="2D4F514F"/>
    <w:rsid w:val="2D5C3496"/>
    <w:rsid w:val="2D602A06"/>
    <w:rsid w:val="2D7C3A6A"/>
    <w:rsid w:val="2D8A262B"/>
    <w:rsid w:val="2DA2135E"/>
    <w:rsid w:val="2DB74208"/>
    <w:rsid w:val="2DBB0A37"/>
    <w:rsid w:val="2DCF214E"/>
    <w:rsid w:val="2E426687"/>
    <w:rsid w:val="2E5A19F4"/>
    <w:rsid w:val="2E6B4A1E"/>
    <w:rsid w:val="2E876B6B"/>
    <w:rsid w:val="2E8B6854"/>
    <w:rsid w:val="2E8B77F8"/>
    <w:rsid w:val="2E8C4181"/>
    <w:rsid w:val="2EBF4557"/>
    <w:rsid w:val="2ED753FC"/>
    <w:rsid w:val="2ED87AE7"/>
    <w:rsid w:val="2EDD678B"/>
    <w:rsid w:val="2EE45D6B"/>
    <w:rsid w:val="2EF835C5"/>
    <w:rsid w:val="2F032695"/>
    <w:rsid w:val="2F1523C9"/>
    <w:rsid w:val="2F1D79A9"/>
    <w:rsid w:val="2F2B399A"/>
    <w:rsid w:val="2F2B5748"/>
    <w:rsid w:val="2F430CE4"/>
    <w:rsid w:val="2F452CAE"/>
    <w:rsid w:val="2F45590C"/>
    <w:rsid w:val="2F4A2072"/>
    <w:rsid w:val="2F603644"/>
    <w:rsid w:val="2F6824F8"/>
    <w:rsid w:val="2F6D3FB3"/>
    <w:rsid w:val="2F7C0313"/>
    <w:rsid w:val="2FB1665C"/>
    <w:rsid w:val="2FD61B58"/>
    <w:rsid w:val="2FDE6C5E"/>
    <w:rsid w:val="2FEA5603"/>
    <w:rsid w:val="2FF95F12"/>
    <w:rsid w:val="3015041B"/>
    <w:rsid w:val="301A05A3"/>
    <w:rsid w:val="30274161"/>
    <w:rsid w:val="302F6703"/>
    <w:rsid w:val="303F594F"/>
    <w:rsid w:val="30403A98"/>
    <w:rsid w:val="30590093"/>
    <w:rsid w:val="30703D5A"/>
    <w:rsid w:val="308B2FB8"/>
    <w:rsid w:val="308E5F8F"/>
    <w:rsid w:val="309B540B"/>
    <w:rsid w:val="30AC4667"/>
    <w:rsid w:val="30E81B43"/>
    <w:rsid w:val="30E93565"/>
    <w:rsid w:val="30FD043D"/>
    <w:rsid w:val="31093867"/>
    <w:rsid w:val="310D15A9"/>
    <w:rsid w:val="310E0E7D"/>
    <w:rsid w:val="311C7A3E"/>
    <w:rsid w:val="312132A7"/>
    <w:rsid w:val="3138414C"/>
    <w:rsid w:val="31435E6F"/>
    <w:rsid w:val="31443E8C"/>
    <w:rsid w:val="315522B2"/>
    <w:rsid w:val="31572824"/>
    <w:rsid w:val="3159659D"/>
    <w:rsid w:val="31691618"/>
    <w:rsid w:val="316D3DF6"/>
    <w:rsid w:val="31B859B9"/>
    <w:rsid w:val="31CA1248"/>
    <w:rsid w:val="31DD71CE"/>
    <w:rsid w:val="31DE2F46"/>
    <w:rsid w:val="31EA18EB"/>
    <w:rsid w:val="32146967"/>
    <w:rsid w:val="321C75CA"/>
    <w:rsid w:val="322F72FD"/>
    <w:rsid w:val="324C448C"/>
    <w:rsid w:val="325F576F"/>
    <w:rsid w:val="326D5DDC"/>
    <w:rsid w:val="328624F4"/>
    <w:rsid w:val="328A6450"/>
    <w:rsid w:val="328A6C2A"/>
    <w:rsid w:val="328F5FEE"/>
    <w:rsid w:val="32A30753"/>
    <w:rsid w:val="32A36F3E"/>
    <w:rsid w:val="32A41A99"/>
    <w:rsid w:val="32B759A1"/>
    <w:rsid w:val="32D80268"/>
    <w:rsid w:val="32E97DF4"/>
    <w:rsid w:val="33011FBF"/>
    <w:rsid w:val="33264BA4"/>
    <w:rsid w:val="332819AF"/>
    <w:rsid w:val="332E3636"/>
    <w:rsid w:val="33462B51"/>
    <w:rsid w:val="33585B94"/>
    <w:rsid w:val="335A2AA0"/>
    <w:rsid w:val="335C2374"/>
    <w:rsid w:val="33923FE8"/>
    <w:rsid w:val="339C3EBC"/>
    <w:rsid w:val="33C45B35"/>
    <w:rsid w:val="33CB2D20"/>
    <w:rsid w:val="33D12D62"/>
    <w:rsid w:val="33EB78D5"/>
    <w:rsid w:val="33F64577"/>
    <w:rsid w:val="34054394"/>
    <w:rsid w:val="34136315"/>
    <w:rsid w:val="3426374D"/>
    <w:rsid w:val="342B6971"/>
    <w:rsid w:val="342F24F6"/>
    <w:rsid w:val="34321327"/>
    <w:rsid w:val="344F0136"/>
    <w:rsid w:val="345612C7"/>
    <w:rsid w:val="345E036E"/>
    <w:rsid w:val="34652D42"/>
    <w:rsid w:val="346C65E7"/>
    <w:rsid w:val="346F4329"/>
    <w:rsid w:val="347F27BE"/>
    <w:rsid w:val="34CE1050"/>
    <w:rsid w:val="34DB19BE"/>
    <w:rsid w:val="34F5482E"/>
    <w:rsid w:val="352B64A2"/>
    <w:rsid w:val="35305866"/>
    <w:rsid w:val="353C420B"/>
    <w:rsid w:val="35400B5E"/>
    <w:rsid w:val="35487054"/>
    <w:rsid w:val="35507AD8"/>
    <w:rsid w:val="356A2E86"/>
    <w:rsid w:val="35773495"/>
    <w:rsid w:val="357C6CFE"/>
    <w:rsid w:val="358160C2"/>
    <w:rsid w:val="3589141A"/>
    <w:rsid w:val="358B5193"/>
    <w:rsid w:val="359009FB"/>
    <w:rsid w:val="35B423F0"/>
    <w:rsid w:val="35D72D4F"/>
    <w:rsid w:val="35DE52C2"/>
    <w:rsid w:val="35DF103A"/>
    <w:rsid w:val="35E52AF5"/>
    <w:rsid w:val="360B0081"/>
    <w:rsid w:val="361A48B6"/>
    <w:rsid w:val="362829E1"/>
    <w:rsid w:val="362A675A"/>
    <w:rsid w:val="362D1DA6"/>
    <w:rsid w:val="363045D4"/>
    <w:rsid w:val="36356EAC"/>
    <w:rsid w:val="366C6D72"/>
    <w:rsid w:val="369462C9"/>
    <w:rsid w:val="36A209E6"/>
    <w:rsid w:val="36AA33F6"/>
    <w:rsid w:val="36B349A1"/>
    <w:rsid w:val="36B9188B"/>
    <w:rsid w:val="36C56482"/>
    <w:rsid w:val="36D42162"/>
    <w:rsid w:val="36E665EF"/>
    <w:rsid w:val="36EE7787"/>
    <w:rsid w:val="36F17277"/>
    <w:rsid w:val="36F34D9D"/>
    <w:rsid w:val="36F62AE0"/>
    <w:rsid w:val="3729700D"/>
    <w:rsid w:val="372A05B9"/>
    <w:rsid w:val="373A6E70"/>
    <w:rsid w:val="373C1EC0"/>
    <w:rsid w:val="374A68A5"/>
    <w:rsid w:val="375515B4"/>
    <w:rsid w:val="375D490D"/>
    <w:rsid w:val="376D2DA2"/>
    <w:rsid w:val="377D0B0B"/>
    <w:rsid w:val="378620B5"/>
    <w:rsid w:val="37953B5B"/>
    <w:rsid w:val="37A97B52"/>
    <w:rsid w:val="37B6349C"/>
    <w:rsid w:val="37C003A8"/>
    <w:rsid w:val="37D83F93"/>
    <w:rsid w:val="3811655F"/>
    <w:rsid w:val="383C3143"/>
    <w:rsid w:val="38407654"/>
    <w:rsid w:val="384D2BD3"/>
    <w:rsid w:val="384D4981"/>
    <w:rsid w:val="38686BC5"/>
    <w:rsid w:val="387E2D8D"/>
    <w:rsid w:val="387E532F"/>
    <w:rsid w:val="388F6676"/>
    <w:rsid w:val="389A1267"/>
    <w:rsid w:val="38A00F55"/>
    <w:rsid w:val="38AC5B4C"/>
    <w:rsid w:val="38CC7FAC"/>
    <w:rsid w:val="38D66725"/>
    <w:rsid w:val="38DF7CCF"/>
    <w:rsid w:val="390570E6"/>
    <w:rsid w:val="39072D82"/>
    <w:rsid w:val="390908A8"/>
    <w:rsid w:val="390C0398"/>
    <w:rsid w:val="391E49EA"/>
    <w:rsid w:val="39201A7E"/>
    <w:rsid w:val="392462B9"/>
    <w:rsid w:val="39331DC9"/>
    <w:rsid w:val="39396CB4"/>
    <w:rsid w:val="39410733"/>
    <w:rsid w:val="39472B23"/>
    <w:rsid w:val="39496958"/>
    <w:rsid w:val="394E09B1"/>
    <w:rsid w:val="395444FA"/>
    <w:rsid w:val="396850A0"/>
    <w:rsid w:val="39904B26"/>
    <w:rsid w:val="399C2458"/>
    <w:rsid w:val="39A64349"/>
    <w:rsid w:val="39B8474B"/>
    <w:rsid w:val="39C80763"/>
    <w:rsid w:val="39DC07CC"/>
    <w:rsid w:val="39E76710"/>
    <w:rsid w:val="39F0038E"/>
    <w:rsid w:val="39F2063F"/>
    <w:rsid w:val="39FF0D34"/>
    <w:rsid w:val="3A044E6C"/>
    <w:rsid w:val="3A064DE8"/>
    <w:rsid w:val="3A0D261A"/>
    <w:rsid w:val="3A1C0AAF"/>
    <w:rsid w:val="3A231E3E"/>
    <w:rsid w:val="3A2E433E"/>
    <w:rsid w:val="3A2F07E2"/>
    <w:rsid w:val="3A4122C4"/>
    <w:rsid w:val="3A5169AB"/>
    <w:rsid w:val="3A8B353F"/>
    <w:rsid w:val="3A95616C"/>
    <w:rsid w:val="3A9B5E78"/>
    <w:rsid w:val="3A9C5CEB"/>
    <w:rsid w:val="3AA7481D"/>
    <w:rsid w:val="3AB807D8"/>
    <w:rsid w:val="3AB900AC"/>
    <w:rsid w:val="3ABE3914"/>
    <w:rsid w:val="3ADC2868"/>
    <w:rsid w:val="3AF64E5C"/>
    <w:rsid w:val="3AFD268F"/>
    <w:rsid w:val="3AFD61EB"/>
    <w:rsid w:val="3B0C28D2"/>
    <w:rsid w:val="3B366613"/>
    <w:rsid w:val="3B381919"/>
    <w:rsid w:val="3B4E4C98"/>
    <w:rsid w:val="3B506C62"/>
    <w:rsid w:val="3B561D9F"/>
    <w:rsid w:val="3B5725EA"/>
    <w:rsid w:val="3B5847E9"/>
    <w:rsid w:val="3B5B5607"/>
    <w:rsid w:val="3B5D137F"/>
    <w:rsid w:val="3B5F6EA5"/>
    <w:rsid w:val="3B6F4C0F"/>
    <w:rsid w:val="3B7641EF"/>
    <w:rsid w:val="3B7C7A57"/>
    <w:rsid w:val="3B81045E"/>
    <w:rsid w:val="3B894E1E"/>
    <w:rsid w:val="3B8C75C1"/>
    <w:rsid w:val="3B9052B1"/>
    <w:rsid w:val="3B95432B"/>
    <w:rsid w:val="3B954675"/>
    <w:rsid w:val="3B9C70EC"/>
    <w:rsid w:val="3BBA2AA9"/>
    <w:rsid w:val="3BC136BC"/>
    <w:rsid w:val="3BC96A15"/>
    <w:rsid w:val="3BE376CF"/>
    <w:rsid w:val="3BE7515F"/>
    <w:rsid w:val="3BF34A1D"/>
    <w:rsid w:val="3C1D2287"/>
    <w:rsid w:val="3C215F09"/>
    <w:rsid w:val="3C28373B"/>
    <w:rsid w:val="3C604984"/>
    <w:rsid w:val="3C65673D"/>
    <w:rsid w:val="3C7249B6"/>
    <w:rsid w:val="3C746980"/>
    <w:rsid w:val="3C920BB5"/>
    <w:rsid w:val="3C97441D"/>
    <w:rsid w:val="3C9E05D8"/>
    <w:rsid w:val="3CA01012"/>
    <w:rsid w:val="3CA01523"/>
    <w:rsid w:val="3CA43E5C"/>
    <w:rsid w:val="3CB60D47"/>
    <w:rsid w:val="3CB90837"/>
    <w:rsid w:val="3CC03974"/>
    <w:rsid w:val="3CFA1996"/>
    <w:rsid w:val="3D034824"/>
    <w:rsid w:val="3D1D51DD"/>
    <w:rsid w:val="3D2A703F"/>
    <w:rsid w:val="3D344362"/>
    <w:rsid w:val="3D393726"/>
    <w:rsid w:val="3D4A148F"/>
    <w:rsid w:val="3D567704"/>
    <w:rsid w:val="3D605E5D"/>
    <w:rsid w:val="3D6307DC"/>
    <w:rsid w:val="3D766728"/>
    <w:rsid w:val="3D78424E"/>
    <w:rsid w:val="3D995F73"/>
    <w:rsid w:val="3DA4074B"/>
    <w:rsid w:val="3DA71EC3"/>
    <w:rsid w:val="3DBE142F"/>
    <w:rsid w:val="3DC1368C"/>
    <w:rsid w:val="3DC810EA"/>
    <w:rsid w:val="3DC90D6A"/>
    <w:rsid w:val="3DD516A1"/>
    <w:rsid w:val="3DD54D90"/>
    <w:rsid w:val="3DE540C9"/>
    <w:rsid w:val="3DF96E3A"/>
    <w:rsid w:val="3DFF1CF6"/>
    <w:rsid w:val="3E045AE2"/>
    <w:rsid w:val="3E1A3557"/>
    <w:rsid w:val="3E3A0996"/>
    <w:rsid w:val="3E5500EC"/>
    <w:rsid w:val="3E5F0F6A"/>
    <w:rsid w:val="3E630A5B"/>
    <w:rsid w:val="3E671B6E"/>
    <w:rsid w:val="3E9055C8"/>
    <w:rsid w:val="3EA12549"/>
    <w:rsid w:val="3EAD1CD6"/>
    <w:rsid w:val="3EB406A8"/>
    <w:rsid w:val="3EB412B6"/>
    <w:rsid w:val="3EB968B6"/>
    <w:rsid w:val="3EC84097"/>
    <w:rsid w:val="3EDC080D"/>
    <w:rsid w:val="3EE37DED"/>
    <w:rsid w:val="3EE85404"/>
    <w:rsid w:val="3EF916E2"/>
    <w:rsid w:val="3F0264C5"/>
    <w:rsid w:val="3F037F8F"/>
    <w:rsid w:val="3F165ACD"/>
    <w:rsid w:val="3F1838B5"/>
    <w:rsid w:val="3F4050D9"/>
    <w:rsid w:val="3F4940F4"/>
    <w:rsid w:val="3F502BFA"/>
    <w:rsid w:val="3F514D57"/>
    <w:rsid w:val="3F527034"/>
    <w:rsid w:val="3F5860E5"/>
    <w:rsid w:val="3F6C0C0E"/>
    <w:rsid w:val="3F7171A7"/>
    <w:rsid w:val="3F966C0E"/>
    <w:rsid w:val="3F9B06C8"/>
    <w:rsid w:val="3FA0183A"/>
    <w:rsid w:val="3FA05CDE"/>
    <w:rsid w:val="3FA70E1B"/>
    <w:rsid w:val="3FB377C0"/>
    <w:rsid w:val="3FC61FCB"/>
    <w:rsid w:val="3FCC39CD"/>
    <w:rsid w:val="3FD832AA"/>
    <w:rsid w:val="3FDF2363"/>
    <w:rsid w:val="3FEB6F5A"/>
    <w:rsid w:val="3FFC1296"/>
    <w:rsid w:val="40026051"/>
    <w:rsid w:val="4012098A"/>
    <w:rsid w:val="40191C22"/>
    <w:rsid w:val="40307062"/>
    <w:rsid w:val="40354679"/>
    <w:rsid w:val="403D2262"/>
    <w:rsid w:val="40676D01"/>
    <w:rsid w:val="406E00C4"/>
    <w:rsid w:val="40786313"/>
    <w:rsid w:val="407A02DD"/>
    <w:rsid w:val="408E3D89"/>
    <w:rsid w:val="409A272E"/>
    <w:rsid w:val="409C790E"/>
    <w:rsid w:val="40CE2F1F"/>
    <w:rsid w:val="40D6427E"/>
    <w:rsid w:val="40E37C31"/>
    <w:rsid w:val="4108086F"/>
    <w:rsid w:val="410858E9"/>
    <w:rsid w:val="412406AA"/>
    <w:rsid w:val="41406E31"/>
    <w:rsid w:val="414803DC"/>
    <w:rsid w:val="4151103E"/>
    <w:rsid w:val="415D1A21"/>
    <w:rsid w:val="417279D1"/>
    <w:rsid w:val="4182744A"/>
    <w:rsid w:val="41847666"/>
    <w:rsid w:val="418B7E6D"/>
    <w:rsid w:val="41902824"/>
    <w:rsid w:val="419378A9"/>
    <w:rsid w:val="41962EF5"/>
    <w:rsid w:val="41C537DA"/>
    <w:rsid w:val="41C95079"/>
    <w:rsid w:val="41CE0543"/>
    <w:rsid w:val="41CE369A"/>
    <w:rsid w:val="41D66391"/>
    <w:rsid w:val="41D81760"/>
    <w:rsid w:val="41EC5C9A"/>
    <w:rsid w:val="41F15C61"/>
    <w:rsid w:val="4205007B"/>
    <w:rsid w:val="421107CE"/>
    <w:rsid w:val="42156510"/>
    <w:rsid w:val="4235270E"/>
    <w:rsid w:val="42424887"/>
    <w:rsid w:val="42462B6D"/>
    <w:rsid w:val="4254662F"/>
    <w:rsid w:val="42554B5E"/>
    <w:rsid w:val="42613AF4"/>
    <w:rsid w:val="427A6373"/>
    <w:rsid w:val="42B07FE6"/>
    <w:rsid w:val="42B45D29"/>
    <w:rsid w:val="42B702D9"/>
    <w:rsid w:val="42BC2E2F"/>
    <w:rsid w:val="42C13FA2"/>
    <w:rsid w:val="42C35F6C"/>
    <w:rsid w:val="42C66C41"/>
    <w:rsid w:val="42CB4E20"/>
    <w:rsid w:val="42D20E8E"/>
    <w:rsid w:val="42D95797"/>
    <w:rsid w:val="42DE2DA6"/>
    <w:rsid w:val="42F73E67"/>
    <w:rsid w:val="42F9198D"/>
    <w:rsid w:val="43075F59"/>
    <w:rsid w:val="43212240"/>
    <w:rsid w:val="43212B30"/>
    <w:rsid w:val="434846C3"/>
    <w:rsid w:val="43675BC8"/>
    <w:rsid w:val="43686B13"/>
    <w:rsid w:val="436A63E7"/>
    <w:rsid w:val="43860D47"/>
    <w:rsid w:val="439478BC"/>
    <w:rsid w:val="4396542E"/>
    <w:rsid w:val="43A713E9"/>
    <w:rsid w:val="43B75827"/>
    <w:rsid w:val="43B92ECB"/>
    <w:rsid w:val="43C13208"/>
    <w:rsid w:val="43CD6976"/>
    <w:rsid w:val="43CF0940"/>
    <w:rsid w:val="43DF63AB"/>
    <w:rsid w:val="43FC44AD"/>
    <w:rsid w:val="441427F7"/>
    <w:rsid w:val="441A7E0D"/>
    <w:rsid w:val="44390A70"/>
    <w:rsid w:val="4447497A"/>
    <w:rsid w:val="444F55DD"/>
    <w:rsid w:val="44557097"/>
    <w:rsid w:val="44564BBE"/>
    <w:rsid w:val="446C618F"/>
    <w:rsid w:val="446E0159"/>
    <w:rsid w:val="44937BC0"/>
    <w:rsid w:val="44AA3C64"/>
    <w:rsid w:val="44C2005E"/>
    <w:rsid w:val="44C766E4"/>
    <w:rsid w:val="44C935E1"/>
    <w:rsid w:val="44E26451"/>
    <w:rsid w:val="44EC561F"/>
    <w:rsid w:val="44F05012"/>
    <w:rsid w:val="44F075FD"/>
    <w:rsid w:val="44FD0CFE"/>
    <w:rsid w:val="45062140"/>
    <w:rsid w:val="451C7BB5"/>
    <w:rsid w:val="45415272"/>
    <w:rsid w:val="456450B8"/>
    <w:rsid w:val="45A62C2E"/>
    <w:rsid w:val="45AC0035"/>
    <w:rsid w:val="45B46040"/>
    <w:rsid w:val="45B83A6E"/>
    <w:rsid w:val="45BB0696"/>
    <w:rsid w:val="45CC116E"/>
    <w:rsid w:val="45E30755"/>
    <w:rsid w:val="46042B88"/>
    <w:rsid w:val="46104F68"/>
    <w:rsid w:val="46127566"/>
    <w:rsid w:val="461E47A9"/>
    <w:rsid w:val="461F5BAF"/>
    <w:rsid w:val="462431C5"/>
    <w:rsid w:val="46276812"/>
    <w:rsid w:val="463B22BD"/>
    <w:rsid w:val="463D6035"/>
    <w:rsid w:val="466F1F67"/>
    <w:rsid w:val="46706C69"/>
    <w:rsid w:val="467A2DE5"/>
    <w:rsid w:val="4690085B"/>
    <w:rsid w:val="46963997"/>
    <w:rsid w:val="469B0FAE"/>
    <w:rsid w:val="469B6438"/>
    <w:rsid w:val="46A33662"/>
    <w:rsid w:val="46B1432D"/>
    <w:rsid w:val="46BF6A4A"/>
    <w:rsid w:val="46C87FF5"/>
    <w:rsid w:val="46DA1AD6"/>
    <w:rsid w:val="46E26BDC"/>
    <w:rsid w:val="46EB783F"/>
    <w:rsid w:val="47022DDB"/>
    <w:rsid w:val="470566F4"/>
    <w:rsid w:val="470D1EAB"/>
    <w:rsid w:val="470F1C3F"/>
    <w:rsid w:val="472D42FC"/>
    <w:rsid w:val="473531B0"/>
    <w:rsid w:val="47777325"/>
    <w:rsid w:val="478657BA"/>
    <w:rsid w:val="47953AA9"/>
    <w:rsid w:val="479A3013"/>
    <w:rsid w:val="47A25306"/>
    <w:rsid w:val="47AD0F98"/>
    <w:rsid w:val="47BB1907"/>
    <w:rsid w:val="47C440FC"/>
    <w:rsid w:val="47D471F9"/>
    <w:rsid w:val="47E744AA"/>
    <w:rsid w:val="47F40975"/>
    <w:rsid w:val="47FB1D04"/>
    <w:rsid w:val="48052D08"/>
    <w:rsid w:val="480B174B"/>
    <w:rsid w:val="480C3F11"/>
    <w:rsid w:val="480C4F12"/>
    <w:rsid w:val="482A0151"/>
    <w:rsid w:val="482C6361"/>
    <w:rsid w:val="48384D06"/>
    <w:rsid w:val="483D231C"/>
    <w:rsid w:val="48425B85"/>
    <w:rsid w:val="484A17DC"/>
    <w:rsid w:val="48783354"/>
    <w:rsid w:val="487A531F"/>
    <w:rsid w:val="487B35EF"/>
    <w:rsid w:val="489A151D"/>
    <w:rsid w:val="489F24E0"/>
    <w:rsid w:val="48A57EC2"/>
    <w:rsid w:val="48A759E8"/>
    <w:rsid w:val="48AD4924"/>
    <w:rsid w:val="48B65B6A"/>
    <w:rsid w:val="48B85E47"/>
    <w:rsid w:val="48BF2D31"/>
    <w:rsid w:val="48C7608A"/>
    <w:rsid w:val="48C91E02"/>
    <w:rsid w:val="48DF6083"/>
    <w:rsid w:val="48F17F9F"/>
    <w:rsid w:val="48FE6E78"/>
    <w:rsid w:val="4901159C"/>
    <w:rsid w:val="490848D6"/>
    <w:rsid w:val="490966A2"/>
    <w:rsid w:val="49115557"/>
    <w:rsid w:val="492D2391"/>
    <w:rsid w:val="4932003B"/>
    <w:rsid w:val="493D00FA"/>
    <w:rsid w:val="494D6B4F"/>
    <w:rsid w:val="495D254A"/>
    <w:rsid w:val="495F2766"/>
    <w:rsid w:val="497A73F4"/>
    <w:rsid w:val="49843F7B"/>
    <w:rsid w:val="499A0251"/>
    <w:rsid w:val="49AB603B"/>
    <w:rsid w:val="49AB775A"/>
    <w:rsid w:val="49C820BA"/>
    <w:rsid w:val="49DF11B1"/>
    <w:rsid w:val="49FC2711"/>
    <w:rsid w:val="4A1568FE"/>
    <w:rsid w:val="4A253068"/>
    <w:rsid w:val="4A2A4B22"/>
    <w:rsid w:val="4A391C37"/>
    <w:rsid w:val="4A4C4A99"/>
    <w:rsid w:val="4A712751"/>
    <w:rsid w:val="4A8E6E5F"/>
    <w:rsid w:val="4A9621B8"/>
    <w:rsid w:val="4A9D6986"/>
    <w:rsid w:val="4AAC5537"/>
    <w:rsid w:val="4AB03279"/>
    <w:rsid w:val="4AE72472"/>
    <w:rsid w:val="4AEA5EE3"/>
    <w:rsid w:val="4B0C5FAB"/>
    <w:rsid w:val="4B115364"/>
    <w:rsid w:val="4B125CE2"/>
    <w:rsid w:val="4B1B26BD"/>
    <w:rsid w:val="4B1D6F30"/>
    <w:rsid w:val="4B1E2B9D"/>
    <w:rsid w:val="4B2652EA"/>
    <w:rsid w:val="4B3043BA"/>
    <w:rsid w:val="4B337A07"/>
    <w:rsid w:val="4B344B67"/>
    <w:rsid w:val="4B5A31E5"/>
    <w:rsid w:val="4B5D0491"/>
    <w:rsid w:val="4B9C6C85"/>
    <w:rsid w:val="4BA83F51"/>
    <w:rsid w:val="4BE93B94"/>
    <w:rsid w:val="4C001C76"/>
    <w:rsid w:val="4C0B0F4F"/>
    <w:rsid w:val="4C141988"/>
    <w:rsid w:val="4C1C66ED"/>
    <w:rsid w:val="4C2061DD"/>
    <w:rsid w:val="4C3E46A8"/>
    <w:rsid w:val="4C43522A"/>
    <w:rsid w:val="4C4A42B7"/>
    <w:rsid w:val="4C4F0870"/>
    <w:rsid w:val="4C5C2F8D"/>
    <w:rsid w:val="4C6A76CD"/>
    <w:rsid w:val="4C6B24D1"/>
    <w:rsid w:val="4C9A06F0"/>
    <w:rsid w:val="4C9E5354"/>
    <w:rsid w:val="4CB212A9"/>
    <w:rsid w:val="4CB571EA"/>
    <w:rsid w:val="4CBB7CB4"/>
    <w:rsid w:val="4CC2070E"/>
    <w:rsid w:val="4CDD40CE"/>
    <w:rsid w:val="4CED4949"/>
    <w:rsid w:val="4CEF3B10"/>
    <w:rsid w:val="4CFB6302"/>
    <w:rsid w:val="4D1B0752"/>
    <w:rsid w:val="4D2B4E39"/>
    <w:rsid w:val="4D4759EB"/>
    <w:rsid w:val="4D541D52"/>
    <w:rsid w:val="4D6C7200"/>
    <w:rsid w:val="4D702828"/>
    <w:rsid w:val="4D752558"/>
    <w:rsid w:val="4D807DB7"/>
    <w:rsid w:val="4D907392"/>
    <w:rsid w:val="4DBC3274"/>
    <w:rsid w:val="4DCA6198"/>
    <w:rsid w:val="4DD11D11"/>
    <w:rsid w:val="4DE60D60"/>
    <w:rsid w:val="4DFA480C"/>
    <w:rsid w:val="4E07119F"/>
    <w:rsid w:val="4E08517B"/>
    <w:rsid w:val="4E1103A0"/>
    <w:rsid w:val="4E160E1B"/>
    <w:rsid w:val="4E1B3100"/>
    <w:rsid w:val="4E1B4E0F"/>
    <w:rsid w:val="4E233D62"/>
    <w:rsid w:val="4E3C4E24"/>
    <w:rsid w:val="4E3F7DE0"/>
    <w:rsid w:val="4E824879"/>
    <w:rsid w:val="4ED70257"/>
    <w:rsid w:val="4EDA4E1D"/>
    <w:rsid w:val="4EF61477"/>
    <w:rsid w:val="4F0A0A7E"/>
    <w:rsid w:val="4F1418FD"/>
    <w:rsid w:val="4F2E6E63"/>
    <w:rsid w:val="4F367AC5"/>
    <w:rsid w:val="4F3C4E43"/>
    <w:rsid w:val="4F4E3061"/>
    <w:rsid w:val="4F560168"/>
    <w:rsid w:val="4F5D32A4"/>
    <w:rsid w:val="4F6E54B1"/>
    <w:rsid w:val="4F7071EF"/>
    <w:rsid w:val="4F81165B"/>
    <w:rsid w:val="4F9F3ABC"/>
    <w:rsid w:val="4FAE3B00"/>
    <w:rsid w:val="4FB05ACA"/>
    <w:rsid w:val="4FB21842"/>
    <w:rsid w:val="4FC74BC1"/>
    <w:rsid w:val="4FD6164A"/>
    <w:rsid w:val="4FDA48F5"/>
    <w:rsid w:val="4FE70DC0"/>
    <w:rsid w:val="50025BF9"/>
    <w:rsid w:val="500876B4"/>
    <w:rsid w:val="500D6A78"/>
    <w:rsid w:val="500F0A42"/>
    <w:rsid w:val="50203E3B"/>
    <w:rsid w:val="50212524"/>
    <w:rsid w:val="50371D47"/>
    <w:rsid w:val="504812C4"/>
    <w:rsid w:val="504B57F2"/>
    <w:rsid w:val="5052092F"/>
    <w:rsid w:val="505563DC"/>
    <w:rsid w:val="505C355C"/>
    <w:rsid w:val="506A5C79"/>
    <w:rsid w:val="506D5769"/>
    <w:rsid w:val="508605D9"/>
    <w:rsid w:val="508B3E41"/>
    <w:rsid w:val="508D5E0B"/>
    <w:rsid w:val="50AD394D"/>
    <w:rsid w:val="50B60EBE"/>
    <w:rsid w:val="50C03AEB"/>
    <w:rsid w:val="50C17863"/>
    <w:rsid w:val="50C7131D"/>
    <w:rsid w:val="50CA4969"/>
    <w:rsid w:val="50DB3A34"/>
    <w:rsid w:val="510421EE"/>
    <w:rsid w:val="510460CD"/>
    <w:rsid w:val="513444D8"/>
    <w:rsid w:val="514F30C0"/>
    <w:rsid w:val="51541AB1"/>
    <w:rsid w:val="516923D4"/>
    <w:rsid w:val="51733EAB"/>
    <w:rsid w:val="51984B0C"/>
    <w:rsid w:val="51BE40D2"/>
    <w:rsid w:val="51BF3DA2"/>
    <w:rsid w:val="51C413B8"/>
    <w:rsid w:val="51D05FAF"/>
    <w:rsid w:val="51D615F6"/>
    <w:rsid w:val="51ED6B61"/>
    <w:rsid w:val="51FA74D0"/>
    <w:rsid w:val="52040CA1"/>
    <w:rsid w:val="5246536A"/>
    <w:rsid w:val="527252B8"/>
    <w:rsid w:val="5281374D"/>
    <w:rsid w:val="52860D64"/>
    <w:rsid w:val="528A2602"/>
    <w:rsid w:val="52A92354"/>
    <w:rsid w:val="52AF3E17"/>
    <w:rsid w:val="52BF7DD2"/>
    <w:rsid w:val="52DE294E"/>
    <w:rsid w:val="52E34394"/>
    <w:rsid w:val="52F21F55"/>
    <w:rsid w:val="52F757BE"/>
    <w:rsid w:val="530323D9"/>
    <w:rsid w:val="532277F7"/>
    <w:rsid w:val="53253ACD"/>
    <w:rsid w:val="532A5B93"/>
    <w:rsid w:val="5334256E"/>
    <w:rsid w:val="533A056A"/>
    <w:rsid w:val="534A39D1"/>
    <w:rsid w:val="535449BE"/>
    <w:rsid w:val="535F4EF9"/>
    <w:rsid w:val="536761A4"/>
    <w:rsid w:val="53807561"/>
    <w:rsid w:val="5385101B"/>
    <w:rsid w:val="539E0D4B"/>
    <w:rsid w:val="539E42B0"/>
    <w:rsid w:val="53B35B89"/>
    <w:rsid w:val="53E144A4"/>
    <w:rsid w:val="540264B2"/>
    <w:rsid w:val="540C7047"/>
    <w:rsid w:val="541128AF"/>
    <w:rsid w:val="54183C3E"/>
    <w:rsid w:val="542A07E4"/>
    <w:rsid w:val="54324CFF"/>
    <w:rsid w:val="5435497A"/>
    <w:rsid w:val="54387E3C"/>
    <w:rsid w:val="543A3BB4"/>
    <w:rsid w:val="54527524"/>
    <w:rsid w:val="54532EC8"/>
    <w:rsid w:val="5458228C"/>
    <w:rsid w:val="5474391D"/>
    <w:rsid w:val="547831B7"/>
    <w:rsid w:val="549F610D"/>
    <w:rsid w:val="54A61249"/>
    <w:rsid w:val="54C16083"/>
    <w:rsid w:val="54C3004D"/>
    <w:rsid w:val="54CA13DC"/>
    <w:rsid w:val="54D35ECB"/>
    <w:rsid w:val="550D12C8"/>
    <w:rsid w:val="55132319"/>
    <w:rsid w:val="55291B4D"/>
    <w:rsid w:val="553E5926"/>
    <w:rsid w:val="55620D75"/>
    <w:rsid w:val="55652EB2"/>
    <w:rsid w:val="55717AA9"/>
    <w:rsid w:val="55735652"/>
    <w:rsid w:val="557D7931"/>
    <w:rsid w:val="55A55431"/>
    <w:rsid w:val="55D60C2C"/>
    <w:rsid w:val="55D82BE1"/>
    <w:rsid w:val="55DA73FC"/>
    <w:rsid w:val="55DB3175"/>
    <w:rsid w:val="55DC7658"/>
    <w:rsid w:val="55DF2C65"/>
    <w:rsid w:val="56073D33"/>
    <w:rsid w:val="56097CE2"/>
    <w:rsid w:val="561641AD"/>
    <w:rsid w:val="56250239"/>
    <w:rsid w:val="562E599A"/>
    <w:rsid w:val="564402EF"/>
    <w:rsid w:val="56505911"/>
    <w:rsid w:val="56576C9F"/>
    <w:rsid w:val="565D3B8A"/>
    <w:rsid w:val="56617B1E"/>
    <w:rsid w:val="566273F2"/>
    <w:rsid w:val="56725252"/>
    <w:rsid w:val="56757125"/>
    <w:rsid w:val="56B62346"/>
    <w:rsid w:val="56FB3ACE"/>
    <w:rsid w:val="5705494D"/>
    <w:rsid w:val="570B7A8A"/>
    <w:rsid w:val="571526B6"/>
    <w:rsid w:val="57272B15"/>
    <w:rsid w:val="573174F0"/>
    <w:rsid w:val="574134AB"/>
    <w:rsid w:val="574F3E1A"/>
    <w:rsid w:val="575651A9"/>
    <w:rsid w:val="575D5981"/>
    <w:rsid w:val="575D6537"/>
    <w:rsid w:val="57623B4D"/>
    <w:rsid w:val="57664C0A"/>
    <w:rsid w:val="576D42A0"/>
    <w:rsid w:val="577675F9"/>
    <w:rsid w:val="578735B4"/>
    <w:rsid w:val="57875362"/>
    <w:rsid w:val="5789732C"/>
    <w:rsid w:val="57931D8B"/>
    <w:rsid w:val="57B43C7D"/>
    <w:rsid w:val="57C40364"/>
    <w:rsid w:val="57D8375C"/>
    <w:rsid w:val="57EC3417"/>
    <w:rsid w:val="58016AE1"/>
    <w:rsid w:val="580F5357"/>
    <w:rsid w:val="58146B79"/>
    <w:rsid w:val="58225931"/>
    <w:rsid w:val="582462F3"/>
    <w:rsid w:val="58496ABB"/>
    <w:rsid w:val="584B45E2"/>
    <w:rsid w:val="58515970"/>
    <w:rsid w:val="585B059D"/>
    <w:rsid w:val="58690F0C"/>
    <w:rsid w:val="58704048"/>
    <w:rsid w:val="58726012"/>
    <w:rsid w:val="587C29ED"/>
    <w:rsid w:val="5881560A"/>
    <w:rsid w:val="58831FCD"/>
    <w:rsid w:val="588B0E82"/>
    <w:rsid w:val="588E2720"/>
    <w:rsid w:val="58937D37"/>
    <w:rsid w:val="589C308F"/>
    <w:rsid w:val="58A935DF"/>
    <w:rsid w:val="58B42919"/>
    <w:rsid w:val="58F702C5"/>
    <w:rsid w:val="59172716"/>
    <w:rsid w:val="59396B30"/>
    <w:rsid w:val="595E0345"/>
    <w:rsid w:val="596B480F"/>
    <w:rsid w:val="597C6A1D"/>
    <w:rsid w:val="59853B23"/>
    <w:rsid w:val="59965D30"/>
    <w:rsid w:val="59B63CDD"/>
    <w:rsid w:val="59BD0EF5"/>
    <w:rsid w:val="59C12681"/>
    <w:rsid w:val="5A1530F9"/>
    <w:rsid w:val="5A1D5B0A"/>
    <w:rsid w:val="5A250E62"/>
    <w:rsid w:val="5A256ADE"/>
    <w:rsid w:val="5A364E1D"/>
    <w:rsid w:val="5A376192"/>
    <w:rsid w:val="5A4532B2"/>
    <w:rsid w:val="5A581238"/>
    <w:rsid w:val="5A7F4A16"/>
    <w:rsid w:val="5A7F67C4"/>
    <w:rsid w:val="5A90452E"/>
    <w:rsid w:val="5AA04A12"/>
    <w:rsid w:val="5AB75F5E"/>
    <w:rsid w:val="5AE14D89"/>
    <w:rsid w:val="5AE605F2"/>
    <w:rsid w:val="5AE900E2"/>
    <w:rsid w:val="5AEE74A6"/>
    <w:rsid w:val="5AF0321E"/>
    <w:rsid w:val="5AF32D0E"/>
    <w:rsid w:val="5AF8090C"/>
    <w:rsid w:val="5B092532"/>
    <w:rsid w:val="5B215ACE"/>
    <w:rsid w:val="5B4377F2"/>
    <w:rsid w:val="5B61411C"/>
    <w:rsid w:val="5B8B2F47"/>
    <w:rsid w:val="5BB47799"/>
    <w:rsid w:val="5BC43B46"/>
    <w:rsid w:val="5BD963A8"/>
    <w:rsid w:val="5BE508A9"/>
    <w:rsid w:val="5BF25068"/>
    <w:rsid w:val="5BF925A6"/>
    <w:rsid w:val="5C0276AD"/>
    <w:rsid w:val="5C05719D"/>
    <w:rsid w:val="5C2313D1"/>
    <w:rsid w:val="5C4557EC"/>
    <w:rsid w:val="5C474011"/>
    <w:rsid w:val="5C4E46A0"/>
    <w:rsid w:val="5C651D4C"/>
    <w:rsid w:val="5C7F2AAC"/>
    <w:rsid w:val="5C813653"/>
    <w:rsid w:val="5C875E04"/>
    <w:rsid w:val="5C905CA4"/>
    <w:rsid w:val="5C9D73D6"/>
    <w:rsid w:val="5CA2378B"/>
    <w:rsid w:val="5CAE3391"/>
    <w:rsid w:val="5CB63FF4"/>
    <w:rsid w:val="5CBF734C"/>
    <w:rsid w:val="5CC051CE"/>
    <w:rsid w:val="5CC974E3"/>
    <w:rsid w:val="5CCE7744"/>
    <w:rsid w:val="5CD1185B"/>
    <w:rsid w:val="5CDA4186"/>
    <w:rsid w:val="5CE366FE"/>
    <w:rsid w:val="5D052FE7"/>
    <w:rsid w:val="5D0D6309"/>
    <w:rsid w:val="5D216C29"/>
    <w:rsid w:val="5D363A5E"/>
    <w:rsid w:val="5D514C25"/>
    <w:rsid w:val="5D5E0913"/>
    <w:rsid w:val="5D7874FB"/>
    <w:rsid w:val="5D972330"/>
    <w:rsid w:val="5DA16A52"/>
    <w:rsid w:val="5DB449D7"/>
    <w:rsid w:val="5DB744C7"/>
    <w:rsid w:val="5DBA1A7C"/>
    <w:rsid w:val="5DD05545"/>
    <w:rsid w:val="5DD07337"/>
    <w:rsid w:val="5DF179D9"/>
    <w:rsid w:val="5DF80C6D"/>
    <w:rsid w:val="5E06344E"/>
    <w:rsid w:val="5E082F75"/>
    <w:rsid w:val="5E191167"/>
    <w:rsid w:val="5E3873B6"/>
    <w:rsid w:val="5E3D49CC"/>
    <w:rsid w:val="5E457D25"/>
    <w:rsid w:val="5E5D0BCB"/>
    <w:rsid w:val="5E604706"/>
    <w:rsid w:val="5E60690D"/>
    <w:rsid w:val="5E671A49"/>
    <w:rsid w:val="5E8922C5"/>
    <w:rsid w:val="5E9D546B"/>
    <w:rsid w:val="5EA902B4"/>
    <w:rsid w:val="5EB97A0B"/>
    <w:rsid w:val="5EC734CA"/>
    <w:rsid w:val="5EC96260"/>
    <w:rsid w:val="5ECE1AC8"/>
    <w:rsid w:val="5ED52E57"/>
    <w:rsid w:val="5EF57055"/>
    <w:rsid w:val="5F1328E1"/>
    <w:rsid w:val="5F245B8C"/>
    <w:rsid w:val="5F2913F5"/>
    <w:rsid w:val="5F2E2567"/>
    <w:rsid w:val="5F2E35DE"/>
    <w:rsid w:val="5F323C87"/>
    <w:rsid w:val="5F36446E"/>
    <w:rsid w:val="5F622211"/>
    <w:rsid w:val="5F7638D8"/>
    <w:rsid w:val="5F7C1524"/>
    <w:rsid w:val="5F887EC9"/>
    <w:rsid w:val="5F8B3350"/>
    <w:rsid w:val="5F8D3732"/>
    <w:rsid w:val="5F93061C"/>
    <w:rsid w:val="5FA8056B"/>
    <w:rsid w:val="5FBF7663"/>
    <w:rsid w:val="5FCB78B7"/>
    <w:rsid w:val="5FCF49FC"/>
    <w:rsid w:val="5FD70E51"/>
    <w:rsid w:val="5FD924D3"/>
    <w:rsid w:val="5FE86BBA"/>
    <w:rsid w:val="5FEB1832"/>
    <w:rsid w:val="5FF4730D"/>
    <w:rsid w:val="600862CC"/>
    <w:rsid w:val="60123C37"/>
    <w:rsid w:val="60276582"/>
    <w:rsid w:val="602F6597"/>
    <w:rsid w:val="60420252"/>
    <w:rsid w:val="6042451C"/>
    <w:rsid w:val="604C124A"/>
    <w:rsid w:val="604D7C8C"/>
    <w:rsid w:val="605A7EA2"/>
    <w:rsid w:val="608A7C71"/>
    <w:rsid w:val="60A14985"/>
    <w:rsid w:val="60B13450"/>
    <w:rsid w:val="60BB2ED0"/>
    <w:rsid w:val="60C95281"/>
    <w:rsid w:val="60CA3B5B"/>
    <w:rsid w:val="60D61108"/>
    <w:rsid w:val="60E05979"/>
    <w:rsid w:val="60ED1182"/>
    <w:rsid w:val="60FD0443"/>
    <w:rsid w:val="610A7BD3"/>
    <w:rsid w:val="611A5FC9"/>
    <w:rsid w:val="611D0AE5"/>
    <w:rsid w:val="612105D5"/>
    <w:rsid w:val="613025C6"/>
    <w:rsid w:val="61396DD0"/>
    <w:rsid w:val="61406582"/>
    <w:rsid w:val="61475B62"/>
    <w:rsid w:val="61477910"/>
    <w:rsid w:val="6151253D"/>
    <w:rsid w:val="615C586D"/>
    <w:rsid w:val="615F4C5A"/>
    <w:rsid w:val="61695AD8"/>
    <w:rsid w:val="616C4DE5"/>
    <w:rsid w:val="6171498D"/>
    <w:rsid w:val="617C3A5E"/>
    <w:rsid w:val="618943CD"/>
    <w:rsid w:val="619F416F"/>
    <w:rsid w:val="61AC733C"/>
    <w:rsid w:val="61D94A0C"/>
    <w:rsid w:val="61E41603"/>
    <w:rsid w:val="61E6537B"/>
    <w:rsid w:val="61F77588"/>
    <w:rsid w:val="62165C60"/>
    <w:rsid w:val="621872A1"/>
    <w:rsid w:val="622639C9"/>
    <w:rsid w:val="62375BD7"/>
    <w:rsid w:val="62570027"/>
    <w:rsid w:val="625751FF"/>
    <w:rsid w:val="625E3532"/>
    <w:rsid w:val="626A3683"/>
    <w:rsid w:val="62791D4B"/>
    <w:rsid w:val="628C5F22"/>
    <w:rsid w:val="6290252A"/>
    <w:rsid w:val="629F21F1"/>
    <w:rsid w:val="62A0377C"/>
    <w:rsid w:val="62B62F9F"/>
    <w:rsid w:val="62B80AC5"/>
    <w:rsid w:val="62C1241C"/>
    <w:rsid w:val="62C83A1C"/>
    <w:rsid w:val="62D376AD"/>
    <w:rsid w:val="62D653F0"/>
    <w:rsid w:val="62DE1443"/>
    <w:rsid w:val="62E0626E"/>
    <w:rsid w:val="62EB27E2"/>
    <w:rsid w:val="62FB4E56"/>
    <w:rsid w:val="63163A3E"/>
    <w:rsid w:val="632B573B"/>
    <w:rsid w:val="633F11E7"/>
    <w:rsid w:val="63464323"/>
    <w:rsid w:val="635F7193"/>
    <w:rsid w:val="63666773"/>
    <w:rsid w:val="636C629A"/>
    <w:rsid w:val="637A12C2"/>
    <w:rsid w:val="638D7B34"/>
    <w:rsid w:val="639826A5"/>
    <w:rsid w:val="639C03E7"/>
    <w:rsid w:val="639F3A33"/>
    <w:rsid w:val="63B23767"/>
    <w:rsid w:val="63BD210C"/>
    <w:rsid w:val="63C974DF"/>
    <w:rsid w:val="63EB0A27"/>
    <w:rsid w:val="63F0603D"/>
    <w:rsid w:val="63F549F8"/>
    <w:rsid w:val="63F7386F"/>
    <w:rsid w:val="64267CB1"/>
    <w:rsid w:val="642E704C"/>
    <w:rsid w:val="642F645F"/>
    <w:rsid w:val="64305CB5"/>
    <w:rsid w:val="644974D8"/>
    <w:rsid w:val="644F5459"/>
    <w:rsid w:val="645C36D2"/>
    <w:rsid w:val="645E569D"/>
    <w:rsid w:val="6477050C"/>
    <w:rsid w:val="64952F1D"/>
    <w:rsid w:val="64A70DF2"/>
    <w:rsid w:val="64A86918"/>
    <w:rsid w:val="64B21544"/>
    <w:rsid w:val="64B4350F"/>
    <w:rsid w:val="64C50777"/>
    <w:rsid w:val="64CF0A13"/>
    <w:rsid w:val="64D4770D"/>
    <w:rsid w:val="64E11B0D"/>
    <w:rsid w:val="650A75D2"/>
    <w:rsid w:val="651B2C0F"/>
    <w:rsid w:val="65206DF6"/>
    <w:rsid w:val="652924B9"/>
    <w:rsid w:val="6536434F"/>
    <w:rsid w:val="654900FB"/>
    <w:rsid w:val="654E0609"/>
    <w:rsid w:val="65501489"/>
    <w:rsid w:val="65530F79"/>
    <w:rsid w:val="655D3BA6"/>
    <w:rsid w:val="656A1E1F"/>
    <w:rsid w:val="657D1B52"/>
    <w:rsid w:val="659836EC"/>
    <w:rsid w:val="65A4015C"/>
    <w:rsid w:val="65A6289E"/>
    <w:rsid w:val="65AA44C4"/>
    <w:rsid w:val="65B221E6"/>
    <w:rsid w:val="65B561A8"/>
    <w:rsid w:val="65BF660F"/>
    <w:rsid w:val="65D966CF"/>
    <w:rsid w:val="65DA6FA5"/>
    <w:rsid w:val="65EF1956"/>
    <w:rsid w:val="662B18D3"/>
    <w:rsid w:val="662E729C"/>
    <w:rsid w:val="663A0636"/>
    <w:rsid w:val="663B7950"/>
    <w:rsid w:val="664408C2"/>
    <w:rsid w:val="665203CB"/>
    <w:rsid w:val="66546D57"/>
    <w:rsid w:val="665E72B8"/>
    <w:rsid w:val="666176C6"/>
    <w:rsid w:val="667322A4"/>
    <w:rsid w:val="667831F6"/>
    <w:rsid w:val="667A56DA"/>
    <w:rsid w:val="66A852F5"/>
    <w:rsid w:val="66BE68C6"/>
    <w:rsid w:val="66CD2666"/>
    <w:rsid w:val="66CD6B09"/>
    <w:rsid w:val="66CE3047"/>
    <w:rsid w:val="66E142AB"/>
    <w:rsid w:val="66E77BCB"/>
    <w:rsid w:val="66EF4CD2"/>
    <w:rsid w:val="67140294"/>
    <w:rsid w:val="671D35ED"/>
    <w:rsid w:val="672C3830"/>
    <w:rsid w:val="674072DB"/>
    <w:rsid w:val="674E7C4A"/>
    <w:rsid w:val="67584625"/>
    <w:rsid w:val="677B47B7"/>
    <w:rsid w:val="679C6C08"/>
    <w:rsid w:val="67A37521"/>
    <w:rsid w:val="67A4621A"/>
    <w:rsid w:val="67A474A4"/>
    <w:rsid w:val="67A75BB6"/>
    <w:rsid w:val="67B850C4"/>
    <w:rsid w:val="67C05B1A"/>
    <w:rsid w:val="67CD5013"/>
    <w:rsid w:val="67DE470E"/>
    <w:rsid w:val="67F56318"/>
    <w:rsid w:val="67FA56DC"/>
    <w:rsid w:val="680E1188"/>
    <w:rsid w:val="681F5143"/>
    <w:rsid w:val="682E182A"/>
    <w:rsid w:val="68356310"/>
    <w:rsid w:val="6864524C"/>
    <w:rsid w:val="686E4F90"/>
    <w:rsid w:val="6874556F"/>
    <w:rsid w:val="687C07E7"/>
    <w:rsid w:val="68923B67"/>
    <w:rsid w:val="689B6EBF"/>
    <w:rsid w:val="68AA0BDE"/>
    <w:rsid w:val="68BA0A96"/>
    <w:rsid w:val="68C0661E"/>
    <w:rsid w:val="68CF4DBB"/>
    <w:rsid w:val="68D91796"/>
    <w:rsid w:val="68DC1286"/>
    <w:rsid w:val="691F4FA3"/>
    <w:rsid w:val="692534D8"/>
    <w:rsid w:val="692A0243"/>
    <w:rsid w:val="692C7B17"/>
    <w:rsid w:val="694D7A8E"/>
    <w:rsid w:val="69521FDD"/>
    <w:rsid w:val="6958404F"/>
    <w:rsid w:val="699E31BE"/>
    <w:rsid w:val="699E5C54"/>
    <w:rsid w:val="69A73642"/>
    <w:rsid w:val="69AA1A66"/>
    <w:rsid w:val="69C935B8"/>
    <w:rsid w:val="69D74BAD"/>
    <w:rsid w:val="6A0779D8"/>
    <w:rsid w:val="6A222CC8"/>
    <w:rsid w:val="6A246A40"/>
    <w:rsid w:val="6A266C5C"/>
    <w:rsid w:val="6A2B230C"/>
    <w:rsid w:val="6A2F784C"/>
    <w:rsid w:val="6A3A2708"/>
    <w:rsid w:val="6A5C267E"/>
    <w:rsid w:val="6A5E63F6"/>
    <w:rsid w:val="6A6424BD"/>
    <w:rsid w:val="6A723C50"/>
    <w:rsid w:val="6ABE6E95"/>
    <w:rsid w:val="6AC87FE6"/>
    <w:rsid w:val="6ACA6984"/>
    <w:rsid w:val="6AD20B92"/>
    <w:rsid w:val="6AD94673"/>
    <w:rsid w:val="6ADC0CC5"/>
    <w:rsid w:val="6AED777A"/>
    <w:rsid w:val="6AF64881"/>
    <w:rsid w:val="6B032BD7"/>
    <w:rsid w:val="6B0D193D"/>
    <w:rsid w:val="6B1A3CA8"/>
    <w:rsid w:val="6B1B7E43"/>
    <w:rsid w:val="6B39651C"/>
    <w:rsid w:val="6B57393D"/>
    <w:rsid w:val="6B5A0B7F"/>
    <w:rsid w:val="6B5B4551"/>
    <w:rsid w:val="6B621F16"/>
    <w:rsid w:val="6B6F58E0"/>
    <w:rsid w:val="6B92354B"/>
    <w:rsid w:val="6BA918F3"/>
    <w:rsid w:val="6BB169FA"/>
    <w:rsid w:val="6BB65DBE"/>
    <w:rsid w:val="6BDB75D3"/>
    <w:rsid w:val="6C2C42D2"/>
    <w:rsid w:val="6C3311BD"/>
    <w:rsid w:val="6C4038DA"/>
    <w:rsid w:val="6C5D5536"/>
    <w:rsid w:val="6C5E0930"/>
    <w:rsid w:val="6C5E2742"/>
    <w:rsid w:val="6C663340"/>
    <w:rsid w:val="6C875DE6"/>
    <w:rsid w:val="6C8B2DA7"/>
    <w:rsid w:val="6CA426C9"/>
    <w:rsid w:val="6CBD4F2A"/>
    <w:rsid w:val="6CBE317C"/>
    <w:rsid w:val="6CE81FA7"/>
    <w:rsid w:val="6CF05300"/>
    <w:rsid w:val="6D056FFD"/>
    <w:rsid w:val="6D1159A2"/>
    <w:rsid w:val="6D162FB8"/>
    <w:rsid w:val="6D205895"/>
    <w:rsid w:val="6D2C27DC"/>
    <w:rsid w:val="6D395D20"/>
    <w:rsid w:val="6D48513C"/>
    <w:rsid w:val="6D756624"/>
    <w:rsid w:val="6D885538"/>
    <w:rsid w:val="6D8D0DA1"/>
    <w:rsid w:val="6D9B526C"/>
    <w:rsid w:val="6DA560EA"/>
    <w:rsid w:val="6DB037F2"/>
    <w:rsid w:val="6DB4632D"/>
    <w:rsid w:val="6DCA5B51"/>
    <w:rsid w:val="6DD0411C"/>
    <w:rsid w:val="6DD469CF"/>
    <w:rsid w:val="6DE85FD7"/>
    <w:rsid w:val="6E0A419F"/>
    <w:rsid w:val="6E0B4071"/>
    <w:rsid w:val="6E0F17B6"/>
    <w:rsid w:val="6E153270"/>
    <w:rsid w:val="6E162B44"/>
    <w:rsid w:val="6E1F7C4B"/>
    <w:rsid w:val="6E274D51"/>
    <w:rsid w:val="6E37015C"/>
    <w:rsid w:val="6E4F6056"/>
    <w:rsid w:val="6E5D0773"/>
    <w:rsid w:val="6E600263"/>
    <w:rsid w:val="6E657628"/>
    <w:rsid w:val="6E662DA3"/>
    <w:rsid w:val="6E847687"/>
    <w:rsid w:val="6E9F0D8B"/>
    <w:rsid w:val="6ED616E4"/>
    <w:rsid w:val="6EDC287C"/>
    <w:rsid w:val="6F141779"/>
    <w:rsid w:val="6F1C23DC"/>
    <w:rsid w:val="6F2A2D4B"/>
    <w:rsid w:val="6F3911E0"/>
    <w:rsid w:val="6F3F5890"/>
    <w:rsid w:val="6F435BBB"/>
    <w:rsid w:val="6F4A592B"/>
    <w:rsid w:val="6F6873CF"/>
    <w:rsid w:val="6F6A1399"/>
    <w:rsid w:val="6F8D6E36"/>
    <w:rsid w:val="6F990372"/>
    <w:rsid w:val="6FA7614A"/>
    <w:rsid w:val="6FA94D33"/>
    <w:rsid w:val="6FAE004D"/>
    <w:rsid w:val="6FC77D73"/>
    <w:rsid w:val="6FD9737C"/>
    <w:rsid w:val="6FDD600F"/>
    <w:rsid w:val="6FFD3FBC"/>
    <w:rsid w:val="700328C3"/>
    <w:rsid w:val="70073025"/>
    <w:rsid w:val="700E2A65"/>
    <w:rsid w:val="70182BA3"/>
    <w:rsid w:val="70187047"/>
    <w:rsid w:val="701B2694"/>
    <w:rsid w:val="701C75B8"/>
    <w:rsid w:val="7056191E"/>
    <w:rsid w:val="70840239"/>
    <w:rsid w:val="70854950"/>
    <w:rsid w:val="70952446"/>
    <w:rsid w:val="70BF07BB"/>
    <w:rsid w:val="70C94FA3"/>
    <w:rsid w:val="70D77694"/>
    <w:rsid w:val="71105F71"/>
    <w:rsid w:val="711C66C3"/>
    <w:rsid w:val="712465C0"/>
    <w:rsid w:val="71306613"/>
    <w:rsid w:val="714F6A99"/>
    <w:rsid w:val="7166670A"/>
    <w:rsid w:val="7185070D"/>
    <w:rsid w:val="71902C0D"/>
    <w:rsid w:val="71997D14"/>
    <w:rsid w:val="719B7F30"/>
    <w:rsid w:val="719E532A"/>
    <w:rsid w:val="71AD7C63"/>
    <w:rsid w:val="71D92806"/>
    <w:rsid w:val="71E52F59"/>
    <w:rsid w:val="71EF3DD8"/>
    <w:rsid w:val="71F87130"/>
    <w:rsid w:val="71FE401B"/>
    <w:rsid w:val="71FF0242"/>
    <w:rsid w:val="720D15DB"/>
    <w:rsid w:val="720D425E"/>
    <w:rsid w:val="72213E66"/>
    <w:rsid w:val="723637B5"/>
    <w:rsid w:val="72440855"/>
    <w:rsid w:val="72457E9C"/>
    <w:rsid w:val="72780A82"/>
    <w:rsid w:val="728269FA"/>
    <w:rsid w:val="72952BD1"/>
    <w:rsid w:val="72970386"/>
    <w:rsid w:val="72A921D9"/>
    <w:rsid w:val="72BF30ED"/>
    <w:rsid w:val="72C2329A"/>
    <w:rsid w:val="72CE1C3F"/>
    <w:rsid w:val="72D57833"/>
    <w:rsid w:val="72F0605A"/>
    <w:rsid w:val="72F24638"/>
    <w:rsid w:val="72F83160"/>
    <w:rsid w:val="72FC20FC"/>
    <w:rsid w:val="72FF44EF"/>
    <w:rsid w:val="730A284C"/>
    <w:rsid w:val="7329331A"/>
    <w:rsid w:val="7363394A"/>
    <w:rsid w:val="73683E42"/>
    <w:rsid w:val="736B3932"/>
    <w:rsid w:val="736B56E0"/>
    <w:rsid w:val="73781BAB"/>
    <w:rsid w:val="737C169B"/>
    <w:rsid w:val="737F118B"/>
    <w:rsid w:val="738E13CF"/>
    <w:rsid w:val="73937A05"/>
    <w:rsid w:val="739822F7"/>
    <w:rsid w:val="73A11102"/>
    <w:rsid w:val="73A96978"/>
    <w:rsid w:val="73AB1CF8"/>
    <w:rsid w:val="73C406FD"/>
    <w:rsid w:val="73C66DBA"/>
    <w:rsid w:val="73E21E46"/>
    <w:rsid w:val="73E55492"/>
    <w:rsid w:val="73EF4563"/>
    <w:rsid w:val="73F456D6"/>
    <w:rsid w:val="73F90F3E"/>
    <w:rsid w:val="741B0EB4"/>
    <w:rsid w:val="74273CFD"/>
    <w:rsid w:val="742C4C1E"/>
    <w:rsid w:val="742D0BE7"/>
    <w:rsid w:val="742D5592"/>
    <w:rsid w:val="74341F76"/>
    <w:rsid w:val="74AB354D"/>
    <w:rsid w:val="74AE7F7A"/>
    <w:rsid w:val="74B3733F"/>
    <w:rsid w:val="74B530B7"/>
    <w:rsid w:val="74B65081"/>
    <w:rsid w:val="74B82BA7"/>
    <w:rsid w:val="74BB4445"/>
    <w:rsid w:val="74BF3F35"/>
    <w:rsid w:val="74C50E20"/>
    <w:rsid w:val="74D361B6"/>
    <w:rsid w:val="74E514C2"/>
    <w:rsid w:val="74E97204"/>
    <w:rsid w:val="74EB69B4"/>
    <w:rsid w:val="75045F47"/>
    <w:rsid w:val="751A7EE5"/>
    <w:rsid w:val="75271A80"/>
    <w:rsid w:val="752B3379"/>
    <w:rsid w:val="753541F8"/>
    <w:rsid w:val="755F1275"/>
    <w:rsid w:val="757545C0"/>
    <w:rsid w:val="7579692F"/>
    <w:rsid w:val="758142C0"/>
    <w:rsid w:val="759233F8"/>
    <w:rsid w:val="75A629FF"/>
    <w:rsid w:val="75B23A9A"/>
    <w:rsid w:val="75B710B1"/>
    <w:rsid w:val="75B82733"/>
    <w:rsid w:val="75CB4B5C"/>
    <w:rsid w:val="75D752AF"/>
    <w:rsid w:val="75D91027"/>
    <w:rsid w:val="75E74553"/>
    <w:rsid w:val="75EB2B08"/>
    <w:rsid w:val="75F61BD9"/>
    <w:rsid w:val="7614205F"/>
    <w:rsid w:val="7625601A"/>
    <w:rsid w:val="762E43CA"/>
    <w:rsid w:val="7638547C"/>
    <w:rsid w:val="76432944"/>
    <w:rsid w:val="764B5DA3"/>
    <w:rsid w:val="765E32DA"/>
    <w:rsid w:val="765F224D"/>
    <w:rsid w:val="768216BE"/>
    <w:rsid w:val="7691545E"/>
    <w:rsid w:val="76944F4E"/>
    <w:rsid w:val="76A63920"/>
    <w:rsid w:val="76BE1FCB"/>
    <w:rsid w:val="76E00193"/>
    <w:rsid w:val="76EA1941"/>
    <w:rsid w:val="77004391"/>
    <w:rsid w:val="770B7C5E"/>
    <w:rsid w:val="772A4F3B"/>
    <w:rsid w:val="773329B9"/>
    <w:rsid w:val="77464FA3"/>
    <w:rsid w:val="774921DC"/>
    <w:rsid w:val="77512E3F"/>
    <w:rsid w:val="775C1F10"/>
    <w:rsid w:val="77606A9B"/>
    <w:rsid w:val="77844FC2"/>
    <w:rsid w:val="778623A6"/>
    <w:rsid w:val="778D031B"/>
    <w:rsid w:val="77925931"/>
    <w:rsid w:val="77A35F59"/>
    <w:rsid w:val="77A6318B"/>
    <w:rsid w:val="77AE203F"/>
    <w:rsid w:val="77B230C1"/>
    <w:rsid w:val="77CF26E1"/>
    <w:rsid w:val="77E37F3B"/>
    <w:rsid w:val="78063C29"/>
    <w:rsid w:val="781166C5"/>
    <w:rsid w:val="78175E36"/>
    <w:rsid w:val="783C2CCF"/>
    <w:rsid w:val="78511348"/>
    <w:rsid w:val="787B4617"/>
    <w:rsid w:val="788D3F5E"/>
    <w:rsid w:val="789E20B4"/>
    <w:rsid w:val="78AA6CAB"/>
    <w:rsid w:val="78AB0D85"/>
    <w:rsid w:val="78CF7DD8"/>
    <w:rsid w:val="78D930EC"/>
    <w:rsid w:val="78DA7590"/>
    <w:rsid w:val="78F41CD4"/>
    <w:rsid w:val="7900255B"/>
    <w:rsid w:val="790463BB"/>
    <w:rsid w:val="790A7749"/>
    <w:rsid w:val="79112886"/>
    <w:rsid w:val="791D4BEC"/>
    <w:rsid w:val="79404F19"/>
    <w:rsid w:val="79435553"/>
    <w:rsid w:val="79442C5B"/>
    <w:rsid w:val="794B5DE2"/>
    <w:rsid w:val="794E5888"/>
    <w:rsid w:val="795A5511"/>
    <w:rsid w:val="795D5ACB"/>
    <w:rsid w:val="795F1843"/>
    <w:rsid w:val="796706F8"/>
    <w:rsid w:val="79682BBD"/>
    <w:rsid w:val="796E5F2A"/>
    <w:rsid w:val="798E2128"/>
    <w:rsid w:val="79A67472"/>
    <w:rsid w:val="79AE4579"/>
    <w:rsid w:val="79B002F1"/>
    <w:rsid w:val="79B44528"/>
    <w:rsid w:val="79B546B0"/>
    <w:rsid w:val="79C421B0"/>
    <w:rsid w:val="79CE69C9"/>
    <w:rsid w:val="79D56340"/>
    <w:rsid w:val="79E07F17"/>
    <w:rsid w:val="79EE7B1E"/>
    <w:rsid w:val="79F3642F"/>
    <w:rsid w:val="79FE105C"/>
    <w:rsid w:val="7A0423EA"/>
    <w:rsid w:val="7A044199"/>
    <w:rsid w:val="7A0D57EA"/>
    <w:rsid w:val="7A150154"/>
    <w:rsid w:val="7A1C7E08"/>
    <w:rsid w:val="7A1E525A"/>
    <w:rsid w:val="7A293BFF"/>
    <w:rsid w:val="7A37624F"/>
    <w:rsid w:val="7A5E5F9F"/>
    <w:rsid w:val="7A682979"/>
    <w:rsid w:val="7A8317A9"/>
    <w:rsid w:val="7A993117"/>
    <w:rsid w:val="7AC202DC"/>
    <w:rsid w:val="7AC35E88"/>
    <w:rsid w:val="7AEF6BF7"/>
    <w:rsid w:val="7AFD1314"/>
    <w:rsid w:val="7B0A32EB"/>
    <w:rsid w:val="7B17528C"/>
    <w:rsid w:val="7B2E5971"/>
    <w:rsid w:val="7B2F4DDF"/>
    <w:rsid w:val="7B6C0247"/>
    <w:rsid w:val="7B9A6CF9"/>
    <w:rsid w:val="7B9C495B"/>
    <w:rsid w:val="7BC9569A"/>
    <w:rsid w:val="7BE14791"/>
    <w:rsid w:val="7BFF10BB"/>
    <w:rsid w:val="7C306C27"/>
    <w:rsid w:val="7C583E35"/>
    <w:rsid w:val="7C684EB3"/>
    <w:rsid w:val="7C6A0C2B"/>
    <w:rsid w:val="7C794DC9"/>
    <w:rsid w:val="7C884CA5"/>
    <w:rsid w:val="7C9061B7"/>
    <w:rsid w:val="7C991510"/>
    <w:rsid w:val="7C9B5288"/>
    <w:rsid w:val="7C9E6B26"/>
    <w:rsid w:val="7CB00608"/>
    <w:rsid w:val="7CB4634A"/>
    <w:rsid w:val="7CB63E70"/>
    <w:rsid w:val="7CBB269B"/>
    <w:rsid w:val="7CC36CEE"/>
    <w:rsid w:val="7CD12A58"/>
    <w:rsid w:val="7CDC3642"/>
    <w:rsid w:val="7CF84488"/>
    <w:rsid w:val="7CFB1883"/>
    <w:rsid w:val="7D0050EB"/>
    <w:rsid w:val="7D4F6073"/>
    <w:rsid w:val="7D52346D"/>
    <w:rsid w:val="7D843E8E"/>
    <w:rsid w:val="7D8A2C07"/>
    <w:rsid w:val="7D950078"/>
    <w:rsid w:val="7D9D6DDE"/>
    <w:rsid w:val="7DA755C3"/>
    <w:rsid w:val="7DA93EBE"/>
    <w:rsid w:val="7DAE2D99"/>
    <w:rsid w:val="7DC91981"/>
    <w:rsid w:val="7DD66F00"/>
    <w:rsid w:val="7DE642E1"/>
    <w:rsid w:val="7DE71E07"/>
    <w:rsid w:val="7DE95B7F"/>
    <w:rsid w:val="7DEC51A7"/>
    <w:rsid w:val="7DFA753A"/>
    <w:rsid w:val="7DFD162B"/>
    <w:rsid w:val="7E064983"/>
    <w:rsid w:val="7E086B45"/>
    <w:rsid w:val="7E2117BD"/>
    <w:rsid w:val="7E2D1F10"/>
    <w:rsid w:val="7E2E35BA"/>
    <w:rsid w:val="7E461224"/>
    <w:rsid w:val="7E6873EC"/>
    <w:rsid w:val="7E713588"/>
    <w:rsid w:val="7E733883"/>
    <w:rsid w:val="7E896C87"/>
    <w:rsid w:val="7E933D3D"/>
    <w:rsid w:val="7EC3036F"/>
    <w:rsid w:val="7ED05532"/>
    <w:rsid w:val="7ED93E46"/>
    <w:rsid w:val="7EDC1B88"/>
    <w:rsid w:val="7EF96296"/>
    <w:rsid w:val="7F0013D2"/>
    <w:rsid w:val="7F1C34EC"/>
    <w:rsid w:val="7F280929"/>
    <w:rsid w:val="7F2E5979"/>
    <w:rsid w:val="7F4A24AE"/>
    <w:rsid w:val="7F572FBC"/>
    <w:rsid w:val="7F963AE5"/>
    <w:rsid w:val="7F986465"/>
    <w:rsid w:val="7F9B559F"/>
    <w:rsid w:val="7FA45D79"/>
    <w:rsid w:val="7FA51F7A"/>
    <w:rsid w:val="7FAD6C39"/>
    <w:rsid w:val="7FB57F93"/>
    <w:rsid w:val="7FBF5AB3"/>
    <w:rsid w:val="7FE70E93"/>
    <w:rsid w:val="7FE74340"/>
    <w:rsid w:val="7FFC23FC"/>
    <w:rsid w:val="FD75BF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Times New Roman" w:hAnsi="Times New Roman" w:eastAsia="宋体" w:cstheme="minorBidi"/>
      <w:kern w:val="2"/>
      <w:sz w:val="24"/>
      <w:szCs w:val="24"/>
      <w:lang w:val="en-US" w:eastAsia="zh-CN" w:bidi="ar-SA"/>
    </w:rPr>
  </w:style>
  <w:style w:type="paragraph" w:styleId="2">
    <w:name w:val="heading 1"/>
    <w:basedOn w:val="1"/>
    <w:next w:val="1"/>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qFormat/>
    <w:uiPriority w:val="0"/>
    <w:pPr>
      <w:keepNext/>
      <w:keepLines/>
      <w:spacing w:before="260" w:after="260" w:line="416" w:lineRule="auto"/>
      <w:outlineLvl w:val="1"/>
    </w:pPr>
    <w:rPr>
      <w:rFonts w:ascii="Arial" w:hAnsi="Arial" w:eastAsia="黑体"/>
      <w:b/>
      <w:sz w:val="32"/>
    </w:rPr>
  </w:style>
  <w:style w:type="paragraph" w:styleId="4">
    <w:name w:val="heading 4"/>
    <w:basedOn w:val="1"/>
    <w:next w:val="1"/>
    <w:qFormat/>
    <w:uiPriority w:val="0"/>
    <w:pPr>
      <w:keepNext/>
      <w:keepLines/>
      <w:spacing w:before="280" w:after="290" w:line="376" w:lineRule="auto"/>
      <w:outlineLvl w:val="3"/>
    </w:pPr>
    <w:rPr>
      <w:rFonts w:ascii="等线 Light" w:hAnsi="等线 Light" w:eastAsia="等线 Light"/>
      <w:b/>
      <w:bCs/>
      <w:sz w:val="28"/>
      <w:szCs w:val="28"/>
    </w:rPr>
  </w:style>
  <w:style w:type="character" w:default="1" w:styleId="25">
    <w:name w:val="Default Paragraph Font"/>
    <w:semiHidden/>
    <w:qFormat/>
    <w:uiPriority w:val="0"/>
  </w:style>
  <w:style w:type="table" w:default="1" w:styleId="23">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toc 7"/>
    <w:basedOn w:val="1"/>
    <w:next w:val="1"/>
    <w:qFormat/>
    <w:uiPriority w:val="39"/>
    <w:pPr>
      <w:spacing w:line="240" w:lineRule="auto"/>
      <w:ind w:firstLine="0" w:firstLineChars="0"/>
      <w:jc w:val="center"/>
    </w:pPr>
    <w:rPr>
      <w:sz w:val="21"/>
    </w:rPr>
  </w:style>
  <w:style w:type="paragraph" w:styleId="6">
    <w:name w:val="Normal Indent"/>
    <w:basedOn w:val="1"/>
    <w:qFormat/>
    <w:uiPriority w:val="0"/>
    <w:pPr>
      <w:ind w:firstLine="420"/>
    </w:pPr>
  </w:style>
  <w:style w:type="paragraph" w:styleId="7">
    <w:name w:val="caption"/>
    <w:basedOn w:val="1"/>
    <w:next w:val="1"/>
    <w:qFormat/>
    <w:uiPriority w:val="0"/>
    <w:pPr>
      <w:spacing w:line="360" w:lineRule="auto"/>
      <w:jc w:val="center"/>
    </w:pPr>
    <w:rPr>
      <w:rFonts w:ascii="Times New Roman" w:hAnsi="Times New Roman" w:eastAsia="宋体" w:cs="Times New Roman"/>
      <w:b/>
      <w:szCs w:val="21"/>
    </w:rPr>
  </w:style>
  <w:style w:type="paragraph" w:styleId="8">
    <w:name w:val="annotation text"/>
    <w:basedOn w:val="1"/>
    <w:qFormat/>
    <w:uiPriority w:val="0"/>
    <w:pPr>
      <w:jc w:val="left"/>
    </w:pPr>
  </w:style>
  <w:style w:type="paragraph" w:styleId="9">
    <w:name w:val="Body Text"/>
    <w:basedOn w:val="1"/>
    <w:next w:val="1"/>
    <w:qFormat/>
    <w:uiPriority w:val="99"/>
    <w:pPr>
      <w:widowControl/>
      <w:snapToGrid w:val="0"/>
      <w:spacing w:before="60" w:after="160" w:line="259" w:lineRule="auto"/>
      <w:ind w:right="113"/>
    </w:pPr>
    <w:rPr>
      <w:kern w:val="0"/>
      <w:sz w:val="18"/>
      <w:szCs w:val="20"/>
    </w:rPr>
  </w:style>
  <w:style w:type="paragraph" w:styleId="10">
    <w:name w:val="Body Text Indent"/>
    <w:basedOn w:val="1"/>
    <w:next w:val="1"/>
    <w:qFormat/>
    <w:uiPriority w:val="0"/>
    <w:pPr>
      <w:spacing w:after="120"/>
      <w:ind w:left="420" w:leftChars="200"/>
    </w:pPr>
    <w:rPr>
      <w:kern w:val="0"/>
      <w:sz w:val="24"/>
      <w:szCs w:val="20"/>
    </w:rPr>
  </w:style>
  <w:style w:type="paragraph" w:styleId="11">
    <w:name w:val="Block Text"/>
    <w:basedOn w:val="1"/>
    <w:next w:val="1"/>
    <w:qFormat/>
    <w:uiPriority w:val="0"/>
    <w:pPr>
      <w:adjustRightInd w:val="0"/>
      <w:spacing w:line="500" w:lineRule="exact"/>
      <w:ind w:left="54" w:right="113"/>
      <w:textAlignment w:val="baseline"/>
    </w:pPr>
    <w:rPr>
      <w:rFonts w:ascii="楷体_GB2312" w:eastAsia="楷体_GB2312"/>
      <w:kern w:val="0"/>
      <w:sz w:val="28"/>
      <w:szCs w:val="20"/>
    </w:rPr>
  </w:style>
  <w:style w:type="paragraph" w:styleId="12">
    <w:name w:val="Plain Text"/>
    <w:basedOn w:val="1"/>
    <w:next w:val="13"/>
    <w:qFormat/>
    <w:uiPriority w:val="99"/>
    <w:rPr>
      <w:rFonts w:ascii="宋体" w:hAnsi="Courier New"/>
      <w:szCs w:val="20"/>
    </w:rPr>
  </w:style>
  <w:style w:type="paragraph" w:customStyle="1" w:styleId="13">
    <w:name w:val="正本"/>
    <w:basedOn w:val="1"/>
    <w:unhideWhenUsed/>
    <w:qFormat/>
    <w:uiPriority w:val="0"/>
    <w:pPr>
      <w:adjustRightInd w:val="0"/>
      <w:snapToGrid w:val="0"/>
      <w:spacing w:beforeLines="0" w:afterLines="0" w:line="360" w:lineRule="auto"/>
      <w:ind w:firstLine="200" w:firstLineChars="200"/>
    </w:pPr>
    <w:rPr>
      <w:rFonts w:hint="eastAsia" w:ascii="宋体" w:hAnsi="Times New Roman" w:eastAsia="宋体"/>
      <w:sz w:val="24"/>
      <w:szCs w:val="24"/>
    </w:rPr>
  </w:style>
  <w:style w:type="paragraph" w:styleId="14">
    <w:name w:val="footer"/>
    <w:basedOn w:val="1"/>
    <w:qFormat/>
    <w:uiPriority w:val="99"/>
    <w:pPr>
      <w:tabs>
        <w:tab w:val="center" w:pos="4153"/>
        <w:tab w:val="right" w:pos="8306"/>
      </w:tabs>
      <w:snapToGrid w:val="0"/>
      <w:jc w:val="left"/>
    </w:pPr>
    <w:rPr>
      <w:kern w:val="0"/>
      <w:sz w:val="18"/>
      <w:szCs w:val="20"/>
    </w:rPr>
  </w:style>
  <w:style w:type="paragraph" w:styleId="15">
    <w:name w:val="header"/>
    <w:basedOn w:val="1"/>
    <w:next w:val="16"/>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16">
    <w:name w:val="样式5"/>
    <w:basedOn w:val="17"/>
    <w:qFormat/>
    <w:uiPriority w:val="0"/>
    <w:pPr>
      <w:autoSpaceDE w:val="0"/>
      <w:autoSpaceDN w:val="0"/>
      <w:adjustRightInd w:val="0"/>
      <w:spacing w:line="340" w:lineRule="exact"/>
      <w:jc w:val="center"/>
    </w:pPr>
    <w:rPr>
      <w:rFonts w:ascii="Times New Roman" w:hAnsi="Times New Roman"/>
      <w:bCs/>
      <w:kern w:val="0"/>
      <w:sz w:val="24"/>
      <w:szCs w:val="20"/>
    </w:rPr>
  </w:style>
  <w:style w:type="paragraph" w:customStyle="1" w:styleId="17">
    <w:name w:val="font5"/>
    <w:basedOn w:val="1"/>
    <w:qFormat/>
    <w:uiPriority w:val="0"/>
    <w:pPr>
      <w:widowControl/>
      <w:adjustRightInd w:val="0"/>
      <w:snapToGrid w:val="0"/>
      <w:spacing w:before="100" w:beforeAutospacing="1" w:after="100" w:afterAutospacing="1" w:line="520" w:lineRule="atLeast"/>
      <w:jc w:val="left"/>
    </w:pPr>
    <w:rPr>
      <w:rFonts w:hint="eastAsia" w:ascii="宋体" w:hAnsi="宋体" w:cs="Arial Unicode MS"/>
      <w:kern w:val="0"/>
      <w:sz w:val="18"/>
      <w:szCs w:val="18"/>
    </w:rPr>
  </w:style>
  <w:style w:type="paragraph" w:styleId="18">
    <w:name w:val="toc 1"/>
    <w:basedOn w:val="1"/>
    <w:next w:val="1"/>
    <w:qFormat/>
    <w:uiPriority w:val="0"/>
  </w:style>
  <w:style w:type="paragraph" w:styleId="19">
    <w:name w:val="toc 2"/>
    <w:next w:val="1"/>
    <w:unhideWhenUsed/>
    <w:qFormat/>
    <w:uiPriority w:val="39"/>
    <w:pPr>
      <w:widowControl w:val="0"/>
      <w:ind w:left="420" w:leftChars="200"/>
      <w:jc w:val="both"/>
    </w:pPr>
    <w:rPr>
      <w:rFonts w:ascii="Calibri" w:hAnsi="Calibri" w:eastAsia="宋体" w:cs="Times New Roman"/>
      <w:kern w:val="2"/>
      <w:sz w:val="21"/>
      <w:szCs w:val="24"/>
      <w:lang w:val="en-US" w:eastAsia="zh-CN" w:bidi="ar-SA"/>
    </w:rPr>
  </w:style>
  <w:style w:type="paragraph" w:styleId="20">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21">
    <w:name w:val="Body Text First Indent"/>
    <w:basedOn w:val="9"/>
    <w:next w:val="1"/>
    <w:qFormat/>
    <w:uiPriority w:val="0"/>
    <w:pPr>
      <w:widowControl w:val="0"/>
      <w:adjustRightInd w:val="0"/>
      <w:snapToGrid w:val="0"/>
      <w:spacing w:after="120" w:line="360" w:lineRule="auto"/>
      <w:ind w:firstLine="420" w:firstLineChars="100"/>
      <w:jc w:val="both"/>
    </w:pPr>
    <w:rPr>
      <w:rFonts w:ascii="Times New Roman" w:hAnsi="Times New Roman" w:eastAsia="宋体" w:cs="Times New Roman"/>
      <w:kern w:val="2"/>
      <w:sz w:val="24"/>
      <w:lang w:val="zh-CN" w:eastAsia="zh-CN" w:bidi="ar-SA"/>
    </w:rPr>
  </w:style>
  <w:style w:type="paragraph" w:styleId="22">
    <w:name w:val="Body Text First Indent 2"/>
    <w:basedOn w:val="10"/>
    <w:next w:val="1"/>
    <w:qFormat/>
    <w:uiPriority w:val="0"/>
    <w:pPr>
      <w:widowControl/>
      <w:snapToGrid/>
      <w:spacing w:after="120" w:line="240" w:lineRule="auto"/>
      <w:ind w:left="420" w:leftChars="200" w:firstLine="420"/>
      <w:jc w:val="left"/>
    </w:pPr>
    <w:rPr>
      <w:kern w:val="0"/>
      <w:sz w:val="28"/>
      <w:szCs w:val="20"/>
    </w:rPr>
  </w:style>
  <w:style w:type="table" w:styleId="24">
    <w:name w:val="Table Grid"/>
    <w:basedOn w:val="23"/>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qFormat/>
    <w:uiPriority w:val="0"/>
    <w:rPr>
      <w:b/>
    </w:rPr>
  </w:style>
  <w:style w:type="character" w:styleId="27">
    <w:name w:val="page number"/>
    <w:basedOn w:val="25"/>
    <w:qFormat/>
    <w:uiPriority w:val="0"/>
  </w:style>
  <w:style w:type="paragraph" w:customStyle="1" w:styleId="28">
    <w:name w:val="1111表格文字"/>
    <w:basedOn w:val="29"/>
    <w:link w:val="31"/>
    <w:qFormat/>
    <w:uiPriority w:val="0"/>
    <w:pPr>
      <w:autoSpaceDE w:val="0"/>
      <w:textAlignment w:val="center"/>
    </w:pPr>
    <w:rPr>
      <w:rFonts w:ascii="Times New Roman" w:hAnsi="Times New Roman" w:eastAsia="宋体"/>
    </w:rPr>
  </w:style>
  <w:style w:type="paragraph" w:customStyle="1" w:styleId="29">
    <w:name w:val="D图表"/>
    <w:basedOn w:val="30"/>
    <w:autoRedefine/>
    <w:qFormat/>
    <w:uiPriority w:val="0"/>
    <w:pPr>
      <w:adjustRightInd w:val="0"/>
      <w:snapToGrid w:val="0"/>
      <w:spacing w:after="0" w:line="240" w:lineRule="auto"/>
    </w:pPr>
    <w:rPr>
      <w:rFonts w:ascii="Times New Roman" w:hAnsi="Times New Roman" w:eastAsia="宋体"/>
    </w:rPr>
  </w:style>
  <w:style w:type="paragraph" w:customStyle="1" w:styleId="30">
    <w:name w:val="图表"/>
    <w:autoRedefine/>
    <w:semiHidden/>
    <w:qFormat/>
    <w:uiPriority w:val="0"/>
    <w:pPr>
      <w:widowControl w:val="0"/>
      <w:spacing w:before="120" w:after="120"/>
      <w:jc w:val="center"/>
    </w:pPr>
    <w:rPr>
      <w:rFonts w:ascii="Times New Roman" w:hAnsi="Times New Roman" w:eastAsia="宋体" w:cs="Times New Roman"/>
      <w:kern w:val="2"/>
      <w:sz w:val="21"/>
      <w:szCs w:val="21"/>
      <w:lang w:val="en-US" w:eastAsia="zh-CN" w:bidi="ar-SA"/>
    </w:rPr>
  </w:style>
  <w:style w:type="character" w:customStyle="1" w:styleId="31">
    <w:name w:val="1111表格文字 Char"/>
    <w:link w:val="28"/>
    <w:qFormat/>
    <w:uiPriority w:val="0"/>
    <w:rPr>
      <w:rFonts w:ascii="Times New Roman" w:hAnsi="Times New Roman" w:eastAsia="宋体" w:cs="Times New Roman"/>
      <w:kern w:val="2"/>
      <w:sz w:val="21"/>
      <w:szCs w:val="21"/>
      <w:lang w:val="en-US" w:eastAsia="zh-CN" w:bidi="ar-SA"/>
    </w:rPr>
  </w:style>
  <w:style w:type="paragraph" w:customStyle="1" w:styleId="32">
    <w:name w:val="Default"/>
    <w:basedOn w:val="33"/>
    <w:qFormat/>
    <w:uiPriority w:val="0"/>
    <w:pPr>
      <w:autoSpaceDE w:val="0"/>
      <w:autoSpaceDN w:val="0"/>
      <w:adjustRightInd w:val="0"/>
    </w:pPr>
    <w:rPr>
      <w:rFonts w:ascii="宋体" w:cs="宋体"/>
      <w:sz w:val="24"/>
    </w:rPr>
  </w:style>
  <w:style w:type="paragraph" w:customStyle="1" w:styleId="33">
    <w:name w:val="批注文字1"/>
    <w:qFormat/>
    <w:uiPriority w:val="0"/>
    <w:pPr>
      <w:widowControl w:val="0"/>
    </w:pPr>
    <w:rPr>
      <w:rFonts w:ascii="Times New Roman" w:hAnsi="Times New Roman" w:eastAsia="Times New Roman" w:cs="Times New Roman"/>
      <w:color w:val="000000"/>
      <w:kern w:val="2"/>
      <w:sz w:val="21"/>
      <w:szCs w:val="24"/>
      <w:lang w:val="en-US" w:eastAsia="zh-CN" w:bidi="ar-SA"/>
    </w:rPr>
  </w:style>
  <w:style w:type="paragraph" w:customStyle="1" w:styleId="34">
    <w:name w:val="样式35"/>
    <w:next w:val="35"/>
    <w:unhideWhenUsed/>
    <w:qFormat/>
    <w:uiPriority w:val="0"/>
    <w:pPr>
      <w:widowControl w:val="0"/>
      <w:adjustRightInd w:val="0"/>
      <w:spacing w:line="312" w:lineRule="auto"/>
      <w:ind w:firstLine="567"/>
      <w:jc w:val="both"/>
    </w:pPr>
    <w:rPr>
      <w:rFonts w:hint="eastAsia" w:ascii="宋体" w:hAnsi="Calibri" w:eastAsia="宋体" w:cs="Times New Roman"/>
      <w:kern w:val="0"/>
      <w:sz w:val="28"/>
      <w:szCs w:val="20"/>
      <w:lang w:val="en-US" w:eastAsia="zh-CN" w:bidi="ar-SA"/>
    </w:rPr>
  </w:style>
  <w:style w:type="paragraph" w:customStyle="1" w:styleId="35">
    <w:name w:val="font6"/>
    <w:next w:val="19"/>
    <w:unhideWhenUsed/>
    <w:qFormat/>
    <w:uiPriority w:val="0"/>
    <w:pPr>
      <w:widowControl/>
      <w:spacing w:before="100" w:beforeAutospacing="1" w:after="100" w:afterAutospacing="1"/>
      <w:jc w:val="left"/>
    </w:pPr>
    <w:rPr>
      <w:rFonts w:hint="eastAsia" w:ascii="宋体" w:hAnsi="宋体" w:eastAsia="宋体" w:cs="Times New Roman"/>
      <w:b/>
      <w:kern w:val="0"/>
      <w:sz w:val="28"/>
      <w:szCs w:val="28"/>
      <w:lang w:val="en-US" w:eastAsia="zh-CN" w:bidi="ar-SA"/>
    </w:rPr>
  </w:style>
  <w:style w:type="paragraph" w:customStyle="1" w:styleId="36">
    <w:name w:val="a-文本缩2"/>
    <w:next w:val="1"/>
    <w:qFormat/>
    <w:uiPriority w:val="0"/>
    <w:pPr>
      <w:spacing w:line="360" w:lineRule="auto"/>
      <w:ind w:left="200" w:firstLine="4296"/>
      <w:jc w:val="both"/>
    </w:pPr>
    <w:rPr>
      <w:rFonts w:ascii="Times New Roman" w:hAnsi="Times New Roman" w:eastAsia="宋体" w:cs="Times New Roman"/>
      <w:lang w:val="en-US" w:eastAsia="zh-CN" w:bidi="ar-SA"/>
    </w:rPr>
  </w:style>
  <w:style w:type="paragraph" w:customStyle="1" w:styleId="37">
    <w:name w:val="表内字体"/>
    <w:basedOn w:val="1"/>
    <w:qFormat/>
    <w:uiPriority w:val="0"/>
    <w:pPr>
      <w:spacing w:line="240" w:lineRule="auto"/>
      <w:ind w:firstLine="0" w:firstLineChars="0"/>
      <w:jc w:val="center"/>
    </w:pPr>
    <w:rPr>
      <w:sz w:val="21"/>
      <w:szCs w:val="21"/>
    </w:rPr>
  </w:style>
  <w:style w:type="paragraph" w:customStyle="1" w:styleId="38">
    <w:name w:val="样式 正文文本缩进 + 行距: 1.5 倍行距"/>
    <w:basedOn w:val="10"/>
    <w:qFormat/>
    <w:uiPriority w:val="0"/>
    <w:pPr>
      <w:snapToGrid/>
      <w:spacing w:before="0" w:after="120" w:line="360" w:lineRule="auto"/>
      <w:ind w:left="90" w:leftChars="32" w:firstLine="560" w:firstLineChars="200"/>
    </w:pPr>
    <w:rPr>
      <w:rFonts w:ascii="Times New Roman" w:eastAsia="宋体" w:cs="宋体"/>
    </w:rPr>
  </w:style>
  <w:style w:type="paragraph" w:customStyle="1" w:styleId="39">
    <w:name w:val="表头ck"/>
    <w:qFormat/>
    <w:uiPriority w:val="0"/>
    <w:pPr>
      <w:widowControl w:val="0"/>
      <w:autoSpaceDE/>
      <w:autoSpaceDN/>
      <w:adjustRightInd/>
      <w:jc w:val="center"/>
    </w:pPr>
    <w:rPr>
      <w:rFonts w:ascii="Times New Roman" w:hAnsi="Times New Roman" w:eastAsia="宋体" w:cs="宋体"/>
      <w:b/>
      <w:color w:val="000000"/>
      <w:sz w:val="24"/>
      <w:szCs w:val="24"/>
      <w:lang w:val="en-US" w:eastAsia="zh-CN" w:bidi="ar-SA"/>
    </w:rPr>
  </w:style>
  <w:style w:type="paragraph" w:customStyle="1" w:styleId="40">
    <w:name w:val="A表内"/>
    <w:basedOn w:val="1"/>
    <w:qFormat/>
    <w:uiPriority w:val="0"/>
    <w:pPr>
      <w:spacing w:line="240" w:lineRule="auto"/>
      <w:ind w:firstLine="0" w:firstLineChars="0"/>
      <w:jc w:val="center"/>
    </w:pPr>
    <w:rPr>
      <w:rFonts w:ascii="Times New Roman" w:hAnsi="Times New Roman" w:eastAsia="宋体" w:cs="宋体"/>
      <w:sz w:val="21"/>
      <w:szCs w:val="20"/>
    </w:rPr>
  </w:style>
  <w:style w:type="paragraph" w:customStyle="1" w:styleId="41">
    <w:name w:val="正文123"/>
    <w:basedOn w:val="1"/>
    <w:next w:val="12"/>
    <w:qFormat/>
    <w:uiPriority w:val="0"/>
    <w:pPr>
      <w:snapToGrid/>
      <w:spacing w:line="360" w:lineRule="auto"/>
      <w:ind w:firstLine="480" w:firstLineChars="200"/>
    </w:pPr>
    <w:rPr>
      <w:rFonts w:ascii="Times New Roman" w:hAnsi="Times New Roman" w:eastAsia="宋体"/>
      <w:sz w:val="24"/>
    </w:rPr>
  </w:style>
  <w:style w:type="paragraph" w:customStyle="1" w:styleId="42">
    <w:name w:val="W  正文"/>
    <w:basedOn w:val="1"/>
    <w:qFormat/>
    <w:uiPriority w:val="0"/>
    <w:pPr>
      <w:snapToGrid/>
      <w:spacing w:line="360" w:lineRule="auto"/>
      <w:ind w:firstLine="480" w:firstLineChars="200"/>
    </w:pPr>
    <w:rPr>
      <w:rFonts w:ascii="Times New Roman" w:hAnsi="Times New Roman" w:eastAsia="宋体" w:cs="Times New Roman"/>
      <w:sz w:val="24"/>
    </w:rPr>
  </w:style>
  <w:style w:type="paragraph" w:customStyle="1" w:styleId="43">
    <w:name w:val="表格"/>
    <w:basedOn w:val="44"/>
    <w:next w:val="1"/>
    <w:qFormat/>
    <w:uiPriority w:val="0"/>
    <w:pPr>
      <w:adjustRightInd w:val="0"/>
      <w:snapToGrid w:val="0"/>
      <w:spacing w:beforeLines="10" w:afterLines="10" w:line="259" w:lineRule="auto"/>
      <w:jc w:val="center"/>
    </w:pPr>
    <w:rPr>
      <w:rFonts w:ascii="宋体"/>
      <w:kern w:val="0"/>
      <w:szCs w:val="20"/>
    </w:rPr>
  </w:style>
  <w:style w:type="paragraph" w:customStyle="1" w:styleId="44">
    <w:name w:val="表格内表格正文"/>
    <w:basedOn w:val="1"/>
    <w:unhideWhenUsed/>
    <w:qFormat/>
    <w:uiPriority w:val="0"/>
    <w:pPr>
      <w:jc w:val="center"/>
    </w:pPr>
    <w:rPr>
      <w:rFonts w:hint="eastAsia"/>
      <w:szCs w:val="21"/>
    </w:rPr>
  </w:style>
  <w:style w:type="paragraph" w:customStyle="1" w:styleId="45">
    <w:name w:val="表格内容"/>
    <w:basedOn w:val="46"/>
    <w:next w:val="1"/>
    <w:qFormat/>
    <w:uiPriority w:val="0"/>
    <w:pPr>
      <w:adjustRightInd w:val="0"/>
      <w:spacing w:line="400" w:lineRule="atLeast"/>
      <w:jc w:val="center"/>
    </w:pPr>
    <w:rPr>
      <w:kern w:val="0"/>
      <w:sz w:val="24"/>
      <w:szCs w:val="20"/>
    </w:rPr>
  </w:style>
  <w:style w:type="paragraph" w:customStyle="1" w:styleId="46">
    <w:name w:val="表格标题"/>
    <w:basedOn w:val="1"/>
    <w:next w:val="1"/>
    <w:qFormat/>
    <w:uiPriority w:val="0"/>
    <w:pPr>
      <w:autoSpaceDE w:val="0"/>
      <w:autoSpaceDN w:val="0"/>
      <w:adjustRightInd w:val="0"/>
      <w:spacing w:beforeLines="50" w:afterLines="50"/>
      <w:jc w:val="center"/>
    </w:pPr>
    <w:rPr>
      <w:rFonts w:ascii="黑体" w:eastAsia="黑体"/>
      <w:color w:val="000000"/>
      <w:kern w:val="0"/>
      <w:sz w:val="28"/>
      <w:szCs w:val="28"/>
    </w:rPr>
  </w:style>
  <w:style w:type="paragraph" w:customStyle="1" w:styleId="47">
    <w:name w:val="ck的表格内容"/>
    <w:basedOn w:val="1"/>
    <w:qFormat/>
    <w:uiPriority w:val="0"/>
    <w:pPr>
      <w:overflowPunct w:val="0"/>
      <w:adjustRightInd w:val="0"/>
      <w:spacing w:line="240" w:lineRule="auto"/>
      <w:ind w:firstLine="0" w:firstLineChars="0"/>
      <w:jc w:val="center"/>
      <w:textAlignment w:val="baseline"/>
    </w:pPr>
    <w:rPr>
      <w:rFonts w:ascii="Times New Roman" w:hAnsi="Times New Roman" w:eastAsia="宋体" w:cs="Times New Roman"/>
      <w:sz w:val="21"/>
      <w:szCs w:val="20"/>
    </w:rPr>
  </w:style>
  <w:style w:type="paragraph" w:customStyle="1" w:styleId="48">
    <w:name w:val="样式 小四 行距: 1.5 倍行距"/>
    <w:basedOn w:val="1"/>
    <w:qFormat/>
    <w:uiPriority w:val="0"/>
    <w:pPr>
      <w:ind w:firstLine="480"/>
    </w:pPr>
    <w:rPr>
      <w:rFonts w:cs="宋体"/>
      <w:szCs w:val="24"/>
    </w:rPr>
  </w:style>
  <w:style w:type="paragraph" w:customStyle="1" w:styleId="49">
    <w:name w:val="a正文"/>
    <w:basedOn w:val="1"/>
    <w:autoRedefine/>
    <w:qFormat/>
    <w:uiPriority w:val="0"/>
    <w:pPr>
      <w:spacing w:line="360" w:lineRule="auto"/>
      <w:ind w:firstLine="480" w:firstLineChars="200"/>
      <w:jc w:val="left"/>
    </w:pPr>
    <w:rPr>
      <w:bCs/>
      <w:snapToGrid w:val="0"/>
      <w:color w:val="ED0000"/>
      <w:sz w:val="24"/>
    </w:rPr>
  </w:style>
  <w:style w:type="paragraph" w:customStyle="1" w:styleId="50">
    <w:name w:val="表内文字"/>
    <w:basedOn w:val="1"/>
    <w:link w:val="114"/>
    <w:autoRedefine/>
    <w:qFormat/>
    <w:uiPriority w:val="0"/>
    <w:pPr>
      <w:widowControl/>
      <w:spacing w:line="240" w:lineRule="auto"/>
      <w:ind w:firstLine="0" w:firstLineChars="0"/>
      <w:jc w:val="left"/>
    </w:pPr>
    <w:rPr>
      <w:rFonts w:cs="宋体"/>
      <w:color w:val="000000"/>
      <w:kern w:val="0"/>
      <w:sz w:val="21"/>
      <w:szCs w:val="21"/>
    </w:rPr>
  </w:style>
  <w:style w:type="paragraph" w:customStyle="1" w:styleId="51">
    <w:name w:val="表头、图名"/>
    <w:basedOn w:val="52"/>
    <w:autoRedefine/>
    <w:qFormat/>
    <w:uiPriority w:val="0"/>
    <w:pPr>
      <w:widowControl w:val="0"/>
      <w:ind w:firstLine="62"/>
      <w:jc w:val="center"/>
    </w:pPr>
    <w:rPr>
      <w:rFonts w:cstheme="minorBidi"/>
      <w:b/>
      <w:sz w:val="24"/>
      <w:szCs w:val="22"/>
    </w:rPr>
  </w:style>
  <w:style w:type="paragraph" w:customStyle="1" w:styleId="52">
    <w:name w:val="正文1"/>
    <w:autoRedefine/>
    <w:qFormat/>
    <w:uiPriority w:val="0"/>
    <w:pPr>
      <w:jc w:val="both"/>
    </w:pPr>
    <w:rPr>
      <w:rFonts w:ascii="Times New Roman" w:hAnsi="Times New Roman" w:eastAsia="宋体" w:cs="Times New Roman"/>
      <w:kern w:val="2"/>
      <w:sz w:val="21"/>
      <w:szCs w:val="21"/>
      <w:lang w:val="en-US" w:eastAsia="zh-CN" w:bidi="ar-SA"/>
    </w:rPr>
  </w:style>
  <w:style w:type="paragraph" w:customStyle="1" w:styleId="53">
    <w:name w:val="标题一"/>
    <w:basedOn w:val="1"/>
    <w:autoRedefine/>
    <w:qFormat/>
    <w:uiPriority w:val="0"/>
    <w:pPr>
      <w:spacing w:line="360" w:lineRule="auto"/>
      <w:ind w:firstLine="200" w:firstLineChars="200"/>
      <w:outlineLvl w:val="0"/>
    </w:pPr>
    <w:rPr>
      <w:b/>
      <w:sz w:val="24"/>
    </w:rPr>
  </w:style>
  <w:style w:type="paragraph" w:customStyle="1" w:styleId="54">
    <w:name w:val="正文样式2"/>
    <w:basedOn w:val="1"/>
    <w:autoRedefine/>
    <w:qFormat/>
    <w:uiPriority w:val="0"/>
    <w:pPr>
      <w:spacing w:line="360" w:lineRule="auto"/>
      <w:ind w:firstLine="480" w:firstLineChars="200"/>
    </w:pPr>
    <w:rPr>
      <w:color w:val="000000"/>
      <w:sz w:val="24"/>
    </w:rPr>
  </w:style>
  <w:style w:type="paragraph" w:customStyle="1" w:styleId="55">
    <w:name w:val="表头格式"/>
    <w:basedOn w:val="56"/>
    <w:autoRedefine/>
    <w:qFormat/>
    <w:uiPriority w:val="0"/>
    <w:pPr>
      <w:adjustRightInd w:val="0"/>
      <w:snapToGrid w:val="0"/>
      <w:spacing w:line="240" w:lineRule="auto"/>
      <w:ind w:firstLine="0" w:firstLineChars="0"/>
      <w:jc w:val="center"/>
      <w:outlineLvl w:val="9"/>
    </w:pPr>
    <w:rPr>
      <w:color w:val="000000" w:themeColor="text1"/>
      <w14:textFill>
        <w14:solidFill>
          <w14:schemeClr w14:val="tx1"/>
        </w14:solidFill>
      </w14:textFill>
    </w:rPr>
  </w:style>
  <w:style w:type="paragraph" w:customStyle="1" w:styleId="56">
    <w:name w:val="四级标题"/>
    <w:basedOn w:val="57"/>
    <w:autoRedefine/>
    <w:qFormat/>
    <w:uiPriority w:val="0"/>
    <w:pPr>
      <w:spacing w:before="0" w:after="0"/>
      <w:outlineLvl w:val="3"/>
    </w:pPr>
  </w:style>
  <w:style w:type="paragraph" w:customStyle="1" w:styleId="57">
    <w:name w:val="三级标题"/>
    <w:basedOn w:val="58"/>
    <w:autoRedefine/>
    <w:qFormat/>
    <w:uiPriority w:val="0"/>
    <w:pPr>
      <w:spacing w:before="60" w:after="60"/>
      <w:outlineLvl w:val="2"/>
    </w:pPr>
    <w:rPr>
      <w:sz w:val="24"/>
    </w:rPr>
  </w:style>
  <w:style w:type="paragraph" w:customStyle="1" w:styleId="58">
    <w:name w:val="二级标题"/>
    <w:basedOn w:val="54"/>
    <w:autoRedefine/>
    <w:qFormat/>
    <w:uiPriority w:val="0"/>
    <w:pPr>
      <w:spacing w:before="120" w:after="120"/>
      <w:ind w:firstLine="0" w:firstLineChars="0"/>
      <w:outlineLvl w:val="1"/>
    </w:pPr>
    <w:rPr>
      <w:rFonts w:ascii="宋体" w:hAnsi="宋体"/>
      <w:b/>
      <w:sz w:val="28"/>
    </w:rPr>
  </w:style>
  <w:style w:type="paragraph" w:customStyle="1" w:styleId="59">
    <w:name w:val="正文小四"/>
    <w:basedOn w:val="1"/>
    <w:autoRedefine/>
    <w:qFormat/>
    <w:uiPriority w:val="0"/>
    <w:pPr>
      <w:spacing w:line="460" w:lineRule="exact"/>
      <w:ind w:firstLine="600" w:firstLineChars="200"/>
    </w:pPr>
    <w:rPr>
      <w:rFonts w:ascii="宋体" w:hAnsi="宋体"/>
      <w:spacing w:val="30"/>
      <w:kern w:val="24"/>
      <w:sz w:val="24"/>
      <w:szCs w:val="20"/>
    </w:rPr>
  </w:style>
  <w:style w:type="paragraph" w:customStyle="1" w:styleId="60">
    <w:name w:val="表内 文字"/>
    <w:basedOn w:val="1"/>
    <w:next w:val="1"/>
    <w:qFormat/>
    <w:uiPriority w:val="0"/>
    <w:pPr>
      <w:jc w:val="center"/>
    </w:pPr>
    <w:rPr>
      <w:sz w:val="18"/>
      <w:szCs w:val="22"/>
      <w:lang w:val="zh-CN" w:eastAsia="zh-CN"/>
    </w:rPr>
  </w:style>
  <w:style w:type="paragraph" w:customStyle="1" w:styleId="61">
    <w:name w:val="正 文"/>
    <w:basedOn w:val="1"/>
    <w:qFormat/>
    <w:uiPriority w:val="0"/>
    <w:pPr>
      <w:spacing w:line="360" w:lineRule="auto"/>
      <w:ind w:firstLine="200" w:firstLineChars="200"/>
    </w:pPr>
    <w:rPr>
      <w:sz w:val="24"/>
      <w:szCs w:val="22"/>
      <w:lang w:val="zh-CN" w:eastAsia="zh-CN"/>
    </w:rPr>
  </w:style>
  <w:style w:type="paragraph" w:customStyle="1" w:styleId="62">
    <w:name w:val="正文(首行缩进)"/>
    <w:basedOn w:val="1"/>
    <w:qFormat/>
    <w:uiPriority w:val="0"/>
    <w:pPr>
      <w:spacing w:line="360" w:lineRule="auto"/>
      <w:ind w:firstLine="510"/>
    </w:pPr>
    <w:rPr>
      <w:rFonts w:ascii="宋体" w:hAnsi="宋体"/>
      <w:kern w:val="0"/>
      <w:sz w:val="24"/>
      <w:szCs w:val="20"/>
    </w:rPr>
  </w:style>
  <w:style w:type="paragraph" w:customStyle="1" w:styleId="63">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64">
    <w:name w:val="冠恒"/>
    <w:basedOn w:val="1"/>
    <w:autoRedefine/>
    <w:qFormat/>
    <w:uiPriority w:val="0"/>
    <w:pPr>
      <w:spacing w:line="360" w:lineRule="auto"/>
      <w:ind w:firstLine="720" w:firstLineChars="200"/>
    </w:pPr>
    <w:rPr>
      <w:rFonts w:ascii="Times New Roman" w:hAnsi="Times New Roman" w:eastAsia="宋体"/>
      <w:sz w:val="24"/>
    </w:rPr>
  </w:style>
  <w:style w:type="paragraph" w:customStyle="1" w:styleId="65">
    <w:name w:val="表内文本"/>
    <w:basedOn w:val="1"/>
    <w:autoRedefine/>
    <w:qFormat/>
    <w:uiPriority w:val="0"/>
    <w:pPr>
      <w:spacing w:line="240" w:lineRule="auto"/>
      <w:ind w:firstLine="0" w:firstLineChars="0"/>
      <w:jc w:val="center"/>
    </w:pPr>
    <w:rPr>
      <w:color w:val="000000" w:themeColor="text1"/>
      <w:sz w:val="21"/>
      <w:szCs w:val="52"/>
      <w14:textFill>
        <w14:solidFill>
          <w14:schemeClr w14:val="tx1"/>
        </w14:solidFill>
      </w14:textFill>
    </w:rPr>
  </w:style>
  <w:style w:type="paragraph" w:customStyle="1" w:styleId="66">
    <w:name w:val="表内格式223"/>
    <w:basedOn w:val="1"/>
    <w:link w:val="69"/>
    <w:autoRedefine/>
    <w:qFormat/>
    <w:uiPriority w:val="0"/>
    <w:pPr>
      <w:widowControl/>
      <w:jc w:val="center"/>
      <w:textAlignment w:val="center"/>
    </w:pPr>
    <w:rPr>
      <w:rFonts w:ascii="Times New Roman" w:hAnsi="Times New Roman"/>
      <w:color w:val="000000"/>
      <w:kern w:val="0"/>
      <w:szCs w:val="21"/>
      <w:u w:val="none"/>
      <w:lang w:bidi="ar"/>
    </w:rPr>
  </w:style>
  <w:style w:type="paragraph" w:customStyle="1" w:styleId="67">
    <w:name w:val="表格文字-能评"/>
    <w:basedOn w:val="1"/>
    <w:autoRedefine/>
    <w:qFormat/>
    <w:uiPriority w:val="0"/>
    <w:pPr>
      <w:spacing w:line="240" w:lineRule="auto"/>
      <w:ind w:firstLine="0" w:firstLineChars="0"/>
      <w:jc w:val="center"/>
    </w:pPr>
    <w:rPr>
      <w:rFonts w:eastAsia="楷体"/>
      <w:sz w:val="24"/>
    </w:rPr>
  </w:style>
  <w:style w:type="paragraph" w:customStyle="1" w:styleId="68">
    <w:name w:val="李正文"/>
    <w:basedOn w:val="1"/>
    <w:autoRedefine/>
    <w:qFormat/>
    <w:uiPriority w:val="0"/>
    <w:pPr>
      <w:spacing w:line="360" w:lineRule="auto"/>
      <w:ind w:firstLine="720" w:firstLineChars="200"/>
    </w:pPr>
    <w:rPr>
      <w:rFonts w:ascii="Times New Roman" w:hAnsi="Times New Roman" w:eastAsia="宋体"/>
      <w:sz w:val="24"/>
    </w:rPr>
  </w:style>
  <w:style w:type="character" w:customStyle="1" w:styleId="69">
    <w:name w:val="表内格式223 Char"/>
    <w:link w:val="66"/>
    <w:qFormat/>
    <w:uiPriority w:val="0"/>
    <w:rPr>
      <w:rFonts w:ascii="Times New Roman" w:hAnsi="Times New Roman"/>
      <w:color w:val="000000"/>
      <w:kern w:val="0"/>
      <w:szCs w:val="21"/>
      <w:u w:val="none"/>
      <w:lang w:bidi="ar"/>
    </w:rPr>
  </w:style>
  <w:style w:type="paragraph" w:customStyle="1" w:styleId="70">
    <w:name w:val="D正文"/>
    <w:basedOn w:val="71"/>
    <w:autoRedefine/>
    <w:qFormat/>
    <w:uiPriority w:val="0"/>
    <w:pPr>
      <w:spacing w:line="360" w:lineRule="auto"/>
      <w:ind w:firstLine="480"/>
      <w:jc w:val="both"/>
    </w:pPr>
    <w:rPr>
      <w:rFonts w:hAnsi="宋体"/>
      <w:kern w:val="2"/>
      <w:szCs w:val="24"/>
    </w:rPr>
  </w:style>
  <w:style w:type="paragraph" w:customStyle="1" w:styleId="71">
    <w:name w:val="正文对的"/>
    <w:basedOn w:val="12"/>
    <w:autoRedefine/>
    <w:qFormat/>
    <w:uiPriority w:val="0"/>
    <w:pPr>
      <w:spacing w:line="500" w:lineRule="exact"/>
      <w:ind w:firstLine="200" w:firstLineChars="200"/>
    </w:pPr>
    <w:rPr>
      <w:rFonts w:hAnsi="宋体"/>
      <w:kern w:val="2"/>
      <w:sz w:val="24"/>
      <w:szCs w:val="24"/>
    </w:rPr>
  </w:style>
  <w:style w:type="paragraph" w:customStyle="1" w:styleId="72">
    <w:name w:val="Default1"/>
    <w:basedOn w:val="73"/>
    <w:next w:val="1"/>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73">
    <w:name w:val="Normal_14_0"/>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74">
    <w:name w:val="!!!11"/>
    <w:basedOn w:val="1"/>
    <w:link w:val="78"/>
    <w:qFormat/>
    <w:uiPriority w:val="0"/>
    <w:pPr>
      <w:jc w:val="both"/>
    </w:pPr>
    <w:rPr>
      <w:rFonts w:ascii="Times New Roman" w:hAnsi="Times New Roman" w:eastAsia="宋体" w:cs="Times New Roman"/>
      <w:bCs/>
      <w:color w:val="auto"/>
    </w:rPr>
  </w:style>
  <w:style w:type="paragraph" w:customStyle="1" w:styleId="75">
    <w:name w:val="111表头"/>
    <w:basedOn w:val="1"/>
    <w:link w:val="79"/>
    <w:qFormat/>
    <w:uiPriority w:val="0"/>
    <w:pPr>
      <w:spacing w:line="240" w:lineRule="auto"/>
      <w:ind w:firstLine="0" w:firstLineChars="0"/>
      <w:jc w:val="center"/>
    </w:pPr>
    <w:rPr>
      <w:rFonts w:ascii="Times New Roman" w:hAnsi="Times New Roman" w:cs="Times New Roman"/>
      <w:b/>
      <w:bCs/>
      <w:color w:val="auto"/>
    </w:rPr>
  </w:style>
  <w:style w:type="paragraph" w:customStyle="1" w:styleId="76">
    <w:name w:val="!正文"/>
    <w:basedOn w:val="1"/>
    <w:qFormat/>
    <w:uiPriority w:val="0"/>
    <w:pPr>
      <w:adjustRightInd w:val="0"/>
      <w:snapToGrid w:val="0"/>
      <w:spacing w:line="360" w:lineRule="auto"/>
      <w:ind w:firstLine="200" w:firstLineChars="200"/>
    </w:pPr>
    <w:rPr>
      <w:sz w:val="24"/>
      <w:szCs w:val="21"/>
    </w:rPr>
  </w:style>
  <w:style w:type="paragraph" w:customStyle="1" w:styleId="77">
    <w:name w:val="B4"/>
    <w:basedOn w:val="1"/>
    <w:qFormat/>
    <w:uiPriority w:val="0"/>
    <w:pPr>
      <w:spacing w:line="640" w:lineRule="exact"/>
      <w:ind w:firstLine="560" w:firstLineChars="200"/>
    </w:pPr>
    <w:rPr>
      <w:rFonts w:ascii="仿宋_GB2312" w:hAnsi="黑体" w:eastAsia="仿宋_GB2312"/>
      <w:sz w:val="28"/>
    </w:rPr>
  </w:style>
  <w:style w:type="character" w:customStyle="1" w:styleId="78">
    <w:name w:val="!!!11 Char"/>
    <w:link w:val="74"/>
    <w:qFormat/>
    <w:uiPriority w:val="0"/>
    <w:rPr>
      <w:rFonts w:ascii="Times New Roman" w:hAnsi="Times New Roman" w:eastAsia="宋体" w:cs="Times New Roman"/>
      <w:bCs/>
      <w:color w:val="auto"/>
    </w:rPr>
  </w:style>
  <w:style w:type="character" w:customStyle="1" w:styleId="79">
    <w:name w:val="111表头 Char"/>
    <w:link w:val="75"/>
    <w:qFormat/>
    <w:uiPriority w:val="0"/>
    <w:rPr>
      <w:rFonts w:ascii="Times New Roman" w:hAnsi="Times New Roman" w:cs="Times New Roman"/>
      <w:b/>
      <w:bCs/>
      <w:color w:val="auto"/>
    </w:rPr>
  </w:style>
  <w:style w:type="paragraph" w:customStyle="1" w:styleId="80">
    <w:name w:val="【】表头"/>
    <w:basedOn w:val="1"/>
    <w:next w:val="76"/>
    <w:qFormat/>
    <w:uiPriority w:val="0"/>
    <w:pPr>
      <w:framePr w:wrap="notBeside" w:vAnchor="text" w:hAnchor="text" w:y="1"/>
      <w:adjustRightInd/>
      <w:snapToGrid/>
      <w:spacing w:line="240" w:lineRule="auto"/>
      <w:ind w:firstLine="0" w:firstLineChars="0"/>
      <w:jc w:val="center"/>
    </w:pPr>
    <w:rPr>
      <w:rFonts w:ascii="Times New Roman" w:hAnsi="Times New Roman" w:eastAsia="宋体" w:cs="宋体"/>
      <w:b/>
      <w:sz w:val="24"/>
      <w:szCs w:val="24"/>
    </w:rPr>
  </w:style>
  <w:style w:type="paragraph" w:customStyle="1" w:styleId="81">
    <w:name w:val="！表格内容"/>
    <w:basedOn w:val="1"/>
    <w:next w:val="1"/>
    <w:qFormat/>
    <w:uiPriority w:val="0"/>
    <w:pPr>
      <w:kinsoku w:val="0"/>
      <w:overflowPunct w:val="0"/>
      <w:adjustRightInd/>
      <w:snapToGrid/>
      <w:spacing w:line="240" w:lineRule="auto"/>
      <w:ind w:firstLine="0" w:firstLineChars="0"/>
      <w:jc w:val="center"/>
    </w:pPr>
    <w:rPr>
      <w:snapToGrid w:val="0"/>
      <w:kern w:val="0"/>
      <w:sz w:val="21"/>
      <w:szCs w:val="21"/>
    </w:rPr>
  </w:style>
  <w:style w:type="paragraph" w:customStyle="1" w:styleId="82">
    <w:name w:val="lh-表题--报告表"/>
    <w:basedOn w:val="1"/>
    <w:qFormat/>
    <w:uiPriority w:val="0"/>
    <w:pPr>
      <w:keepNext/>
      <w:widowControl/>
      <w:numPr>
        <w:ilvl w:val="0"/>
        <w:numId w:val="1"/>
      </w:numPr>
      <w:spacing w:before="50" w:beforeLines="50"/>
      <w:ind w:left="0" w:firstLine="0"/>
      <w:jc w:val="center"/>
    </w:pPr>
    <w:rPr>
      <w:snapToGrid w:val="0"/>
      <w:kern w:val="0"/>
      <w:sz w:val="24"/>
      <w:szCs w:val="21"/>
    </w:rPr>
  </w:style>
  <w:style w:type="paragraph" w:customStyle="1" w:styleId="83">
    <w:name w:val="！！！正文"/>
    <w:basedOn w:val="1"/>
    <w:link w:val="89"/>
    <w:qFormat/>
    <w:uiPriority w:val="0"/>
    <w:pPr>
      <w:adjustRightInd/>
      <w:snapToGrid/>
      <w:ind w:firstLine="200"/>
    </w:pPr>
    <w:rPr>
      <w:kern w:val="0"/>
    </w:rPr>
  </w:style>
  <w:style w:type="paragraph" w:customStyle="1" w:styleId="84">
    <w:name w:val="02 表格自动编号"/>
    <w:basedOn w:val="1"/>
    <w:qFormat/>
    <w:uiPriority w:val="0"/>
    <w:pPr>
      <w:numPr>
        <w:ilvl w:val="5"/>
        <w:numId w:val="2"/>
      </w:numPr>
      <w:adjustRightInd/>
      <w:snapToGrid/>
      <w:ind w:firstLineChars="0"/>
      <w:jc w:val="center"/>
    </w:pPr>
    <w:rPr>
      <w:b/>
      <w:sz w:val="21"/>
    </w:rPr>
  </w:style>
  <w:style w:type="paragraph" w:customStyle="1" w:styleId="85">
    <w:name w:val="正本文字"/>
    <w:basedOn w:val="1"/>
    <w:qFormat/>
    <w:uiPriority w:val="0"/>
    <w:pPr>
      <w:adjustRightInd w:val="0"/>
      <w:snapToGrid w:val="0"/>
      <w:spacing w:line="360" w:lineRule="auto"/>
      <w:ind w:firstLine="200" w:firstLineChars="200"/>
      <w:jc w:val="left"/>
    </w:pPr>
    <w:rPr>
      <w:rFonts w:cs="宋体"/>
      <w:kern w:val="18"/>
      <w:sz w:val="24"/>
    </w:rPr>
  </w:style>
  <w:style w:type="paragraph" w:customStyle="1" w:styleId="86">
    <w:name w:val="【】正文"/>
    <w:basedOn w:val="87"/>
    <w:qFormat/>
    <w:uiPriority w:val="0"/>
    <w:pPr>
      <w:adjustRightInd w:val="0"/>
      <w:snapToGrid w:val="0"/>
      <w:spacing w:line="360" w:lineRule="auto"/>
    </w:pPr>
    <w:rPr>
      <w:rFonts w:ascii="Times New Roman" w:hAnsi="Times New Roman" w:eastAsia="宋体"/>
      <w:snapToGrid w:val="0"/>
      <w:kern w:val="0"/>
      <w:szCs w:val="24"/>
      <w:lang w:val="en-US"/>
    </w:rPr>
  </w:style>
  <w:style w:type="paragraph" w:customStyle="1" w:styleId="87">
    <w:name w:val="A0正文"/>
    <w:basedOn w:val="1"/>
    <w:qFormat/>
    <w:uiPriority w:val="0"/>
    <w:pPr>
      <w:adjustRightInd/>
      <w:snapToGrid/>
      <w:spacing w:line="560" w:lineRule="exact"/>
      <w:ind w:firstLine="200"/>
    </w:pPr>
    <w:rPr>
      <w:rFonts w:cs="宋体"/>
      <w:szCs w:val="20"/>
      <w:lang w:val="zh-CN"/>
    </w:rPr>
  </w:style>
  <w:style w:type="paragraph" w:customStyle="1" w:styleId="88">
    <w:name w:val="B表头"/>
    <w:basedOn w:val="1"/>
    <w:qFormat/>
    <w:uiPriority w:val="0"/>
    <w:pPr>
      <w:spacing w:line="240" w:lineRule="auto"/>
      <w:ind w:firstLine="0" w:firstLineChars="0"/>
      <w:jc w:val="center"/>
    </w:pPr>
    <w:rPr>
      <w:b/>
      <w:kern w:val="0"/>
      <w:sz w:val="21"/>
    </w:rPr>
  </w:style>
  <w:style w:type="character" w:customStyle="1" w:styleId="89">
    <w:name w:val="！！！正文 字符"/>
    <w:link w:val="83"/>
    <w:qFormat/>
    <w:uiPriority w:val="0"/>
    <w:rPr>
      <w:kern w:val="0"/>
    </w:rPr>
  </w:style>
  <w:style w:type="paragraph" w:customStyle="1" w:styleId="90">
    <w:name w:val="aa正文"/>
    <w:basedOn w:val="1"/>
    <w:qFormat/>
    <w:uiPriority w:val="0"/>
    <w:pPr>
      <w:snapToGrid w:val="0"/>
      <w:spacing w:line="360" w:lineRule="auto"/>
      <w:ind w:firstLine="200" w:firstLineChars="200"/>
    </w:pPr>
    <w:rPr>
      <w:sz w:val="24"/>
    </w:rPr>
  </w:style>
  <w:style w:type="paragraph" w:customStyle="1" w:styleId="91">
    <w:name w:val="a表格"/>
    <w:next w:val="21"/>
    <w:qFormat/>
    <w:uiPriority w:val="0"/>
    <w:pPr>
      <w:jc w:val="center"/>
    </w:pPr>
    <w:rPr>
      <w:rFonts w:ascii="Times New Roman" w:hAnsi="Times New Roman" w:eastAsia="宋体" w:cs="Times New Roman"/>
      <w:sz w:val="21"/>
      <w:szCs w:val="24"/>
      <w:lang w:val="en-US" w:eastAsia="zh-CN" w:bidi="ar-SA"/>
    </w:rPr>
  </w:style>
  <w:style w:type="paragraph" w:customStyle="1" w:styleId="92">
    <w:name w:val="表格正文"/>
    <w:next w:val="1"/>
    <w:qFormat/>
    <w:uiPriority w:val="0"/>
    <w:pPr>
      <w:jc w:val="center"/>
    </w:pPr>
    <w:rPr>
      <w:rFonts w:ascii="Times New Roman" w:hAnsi="Times New Roman" w:eastAsia="宋体" w:cs="Times New Roman"/>
      <w:sz w:val="21"/>
      <w:szCs w:val="21"/>
      <w:lang w:val="en-US" w:eastAsia="zh-CN" w:bidi="ar-SA"/>
    </w:rPr>
  </w:style>
  <w:style w:type="table" w:customStyle="1" w:styleId="93">
    <w:name w:val="Table Normal"/>
    <w:semiHidden/>
    <w:unhideWhenUsed/>
    <w:qFormat/>
    <w:uiPriority w:val="0"/>
    <w:tblPr>
      <w:tblCellMar>
        <w:top w:w="0" w:type="dxa"/>
        <w:left w:w="0" w:type="dxa"/>
        <w:bottom w:w="0" w:type="dxa"/>
        <w:right w:w="0" w:type="dxa"/>
      </w:tblCellMar>
    </w:tblPr>
  </w:style>
  <w:style w:type="paragraph" w:customStyle="1" w:styleId="94">
    <w:name w:val="Table Text"/>
    <w:basedOn w:val="1"/>
    <w:semiHidden/>
    <w:qFormat/>
    <w:uiPriority w:val="0"/>
    <w:rPr>
      <w:rFonts w:ascii="宋体" w:hAnsi="宋体" w:eastAsia="宋体" w:cs="宋体"/>
      <w:sz w:val="24"/>
      <w:szCs w:val="24"/>
      <w:lang w:val="en-US" w:eastAsia="en-US" w:bidi="ar-SA"/>
    </w:rPr>
  </w:style>
  <w:style w:type="paragraph" w:customStyle="1" w:styleId="95">
    <w:name w:val="B表内"/>
    <w:basedOn w:val="96"/>
    <w:qFormat/>
    <w:uiPriority w:val="0"/>
    <w:pPr>
      <w:spacing w:line="360" w:lineRule="exact"/>
      <w:ind w:firstLine="0" w:firstLineChars="0"/>
      <w:jc w:val="center"/>
    </w:pPr>
    <w:rPr>
      <w:rFonts w:cs="宋体"/>
      <w:sz w:val="21"/>
      <w:szCs w:val="21"/>
    </w:rPr>
  </w:style>
  <w:style w:type="paragraph" w:customStyle="1" w:styleId="96">
    <w:name w:val="B正文"/>
    <w:basedOn w:val="1"/>
    <w:qFormat/>
    <w:uiPriority w:val="0"/>
    <w:pPr>
      <w:spacing w:line="360" w:lineRule="auto"/>
      <w:ind w:firstLine="200" w:firstLineChars="200"/>
    </w:pPr>
    <w:rPr>
      <w:kern w:val="0"/>
      <w:sz w:val="24"/>
    </w:rPr>
  </w:style>
  <w:style w:type="paragraph" w:customStyle="1" w:styleId="97">
    <w:name w:val="表内zzzz"/>
    <w:basedOn w:val="1"/>
    <w:qFormat/>
    <w:uiPriority w:val="0"/>
    <w:pPr>
      <w:widowControl/>
      <w:adjustRightInd/>
      <w:spacing w:line="360" w:lineRule="exact"/>
      <w:ind w:firstLine="0" w:firstLineChars="0"/>
      <w:jc w:val="center"/>
    </w:pPr>
    <w:rPr>
      <w:rFonts w:ascii="Times New Roman" w:hAnsi="Times New Roman"/>
      <w:color w:val="000000"/>
      <w:sz w:val="21"/>
      <w:szCs w:val="21"/>
      <w:lang w:bidi="en-US"/>
    </w:rPr>
  </w:style>
  <w:style w:type="paragraph" w:customStyle="1" w:styleId="98">
    <w:name w:val="正文2"/>
    <w:basedOn w:val="1"/>
    <w:qFormat/>
    <w:uiPriority w:val="0"/>
    <w:pPr>
      <w:adjustRightInd w:val="0"/>
      <w:spacing w:line="360" w:lineRule="auto"/>
      <w:ind w:firstLine="480" w:firstLineChars="200"/>
      <w:textAlignment w:val="baseline"/>
    </w:pPr>
    <w:rPr>
      <w:rFonts w:ascii="宋体" w:hAnsi="宋体" w:eastAsia="宋体" w:cs="宋体"/>
      <w:kern w:val="21"/>
      <w:sz w:val="24"/>
      <w:szCs w:val="24"/>
      <w:lang w:val="en-US" w:eastAsia="zh-CN" w:bidi="ar-SA"/>
    </w:rPr>
  </w:style>
  <w:style w:type="paragraph" w:customStyle="1" w:styleId="99">
    <w:name w:val="表头"/>
    <w:basedOn w:val="100"/>
    <w:next w:val="1"/>
    <w:qFormat/>
    <w:uiPriority w:val="0"/>
    <w:pPr>
      <w:snapToGrid w:val="0"/>
      <w:spacing w:after="0"/>
      <w:jc w:val="center"/>
      <w:textAlignment w:val="baseline"/>
    </w:pPr>
    <w:rPr>
      <w:rFonts w:ascii="Times New Roman" w:hAnsi="Times New Roman"/>
      <w:b/>
      <w:sz w:val="24"/>
      <w:szCs w:val="24"/>
    </w:rPr>
  </w:style>
  <w:style w:type="paragraph" w:customStyle="1" w:styleId="100">
    <w:name w:val="表格五号1"/>
    <w:basedOn w:val="1"/>
    <w:qFormat/>
    <w:uiPriority w:val="0"/>
    <w:pPr>
      <w:spacing w:line="240" w:lineRule="auto"/>
      <w:ind w:firstLine="0"/>
      <w:jc w:val="center"/>
      <w:textAlignment w:val="center"/>
    </w:pPr>
    <w:rPr>
      <w:rFonts w:ascii="Times New Roman" w:hAnsi="Times New Roman" w:eastAsia="宋体"/>
      <w:spacing w:val="6"/>
      <w:sz w:val="21"/>
      <w:szCs w:val="21"/>
    </w:rPr>
  </w:style>
  <w:style w:type="character" w:customStyle="1" w:styleId="101">
    <w:name w:val="font41"/>
    <w:basedOn w:val="25"/>
    <w:qFormat/>
    <w:uiPriority w:val="0"/>
    <w:rPr>
      <w:rFonts w:hint="default" w:ascii="Times New Roman" w:hAnsi="Times New Roman" w:cs="Times New Roman"/>
      <w:b/>
      <w:bCs/>
      <w:color w:val="000000"/>
      <w:sz w:val="21"/>
      <w:szCs w:val="21"/>
      <w:u w:val="none"/>
    </w:rPr>
  </w:style>
  <w:style w:type="character" w:customStyle="1" w:styleId="102">
    <w:name w:val="font11"/>
    <w:basedOn w:val="25"/>
    <w:qFormat/>
    <w:uiPriority w:val="0"/>
    <w:rPr>
      <w:rFonts w:hint="eastAsia" w:ascii="宋体" w:hAnsi="宋体" w:eastAsia="宋体" w:cs="宋体"/>
      <w:b/>
      <w:bCs/>
      <w:color w:val="000000"/>
      <w:sz w:val="21"/>
      <w:szCs w:val="21"/>
      <w:u w:val="none"/>
    </w:rPr>
  </w:style>
  <w:style w:type="character" w:customStyle="1" w:styleId="103">
    <w:name w:val="font31"/>
    <w:basedOn w:val="25"/>
    <w:qFormat/>
    <w:uiPriority w:val="0"/>
    <w:rPr>
      <w:rFonts w:hint="eastAsia" w:ascii="楷体" w:hAnsi="楷体" w:eastAsia="楷体" w:cs="楷体"/>
      <w:color w:val="000000"/>
      <w:sz w:val="20"/>
      <w:szCs w:val="20"/>
      <w:u w:val="none"/>
    </w:rPr>
  </w:style>
  <w:style w:type="character" w:customStyle="1" w:styleId="104">
    <w:name w:val="font21"/>
    <w:basedOn w:val="25"/>
    <w:qFormat/>
    <w:uiPriority w:val="0"/>
    <w:rPr>
      <w:rFonts w:hint="default" w:ascii="Times New Roman" w:hAnsi="Times New Roman" w:cs="Times New Roman"/>
      <w:b/>
      <w:bCs/>
      <w:color w:val="000000"/>
      <w:sz w:val="20"/>
      <w:szCs w:val="20"/>
      <w:u w:val="none"/>
    </w:rPr>
  </w:style>
  <w:style w:type="paragraph" w:customStyle="1" w:styleId="105">
    <w:name w:val="07F表格文字"/>
    <w:basedOn w:val="106"/>
    <w:next w:val="106"/>
    <w:qFormat/>
    <w:uiPriority w:val="0"/>
    <w:pPr>
      <w:jc w:val="center"/>
    </w:pPr>
    <w:rPr>
      <w:rFonts w:eastAsia="宋体"/>
    </w:rPr>
  </w:style>
  <w:style w:type="paragraph" w:customStyle="1" w:styleId="106">
    <w:name w:val="08F表格批注"/>
    <w:basedOn w:val="1"/>
    <w:next w:val="1"/>
    <w:qFormat/>
    <w:uiPriority w:val="0"/>
    <w:pPr>
      <w:jc w:val="left"/>
    </w:pPr>
    <w:rPr>
      <w:rFonts w:ascii="Times New Roman" w:hAnsi="Times New Roman" w:eastAsia="宋体"/>
      <w:szCs w:val="21"/>
    </w:rPr>
  </w:style>
  <w:style w:type="paragraph" w:customStyle="1" w:styleId="107">
    <w:name w:val="表格内文本-居中"/>
    <w:basedOn w:val="1"/>
    <w:qFormat/>
    <w:uiPriority w:val="0"/>
    <w:pPr>
      <w:spacing w:line="360" w:lineRule="exact"/>
      <w:ind w:firstLine="0" w:firstLineChars="0"/>
      <w:jc w:val="center"/>
    </w:pPr>
    <w:rPr>
      <w:color w:val="auto"/>
      <w:sz w:val="21"/>
    </w:rPr>
  </w:style>
  <w:style w:type="paragraph" w:customStyle="1" w:styleId="108">
    <w:name w:val="报告表正文"/>
    <w:basedOn w:val="1"/>
    <w:qFormat/>
    <w:uiPriority w:val="0"/>
    <w:pPr>
      <w:adjustRightInd w:val="0"/>
      <w:spacing w:line="312" w:lineRule="auto"/>
      <w:ind w:left="113" w:right="113" w:firstLine="482"/>
      <w:jc w:val="left"/>
      <w:textAlignment w:val="baseline"/>
    </w:pPr>
    <w:rPr>
      <w:kern w:val="0"/>
      <w:sz w:val="24"/>
      <w:szCs w:val="20"/>
    </w:rPr>
  </w:style>
  <w:style w:type="paragraph" w:customStyle="1" w:styleId="109">
    <w:name w:val="表格格式"/>
    <w:basedOn w:val="2"/>
    <w:autoRedefine/>
    <w:qFormat/>
    <w:uiPriority w:val="0"/>
    <w:pPr>
      <w:spacing w:before="0" w:after="0" w:line="360" w:lineRule="auto"/>
      <w:jc w:val="center"/>
      <w:outlineLvl w:val="9"/>
    </w:pPr>
    <w:rPr>
      <w:rFonts w:eastAsia="宋体"/>
      <w:color w:val="auto"/>
      <w:sz w:val="24"/>
      <w:szCs w:val="20"/>
    </w:rPr>
  </w:style>
  <w:style w:type="paragraph" w:customStyle="1" w:styleId="110">
    <w:name w:val="表格2025.4.30"/>
    <w:basedOn w:val="53"/>
    <w:autoRedefine/>
    <w:qFormat/>
    <w:uiPriority w:val="0"/>
    <w:pPr>
      <w:spacing w:line="240" w:lineRule="auto"/>
      <w:ind w:firstLine="0" w:firstLineChars="0"/>
      <w:jc w:val="center"/>
    </w:pPr>
    <w:rPr>
      <w:b w:val="0"/>
      <w:color w:val="FF0000"/>
      <w:sz w:val="21"/>
    </w:rPr>
  </w:style>
  <w:style w:type="paragraph" w:customStyle="1" w:styleId="111">
    <w:name w:val="1111表内文字"/>
    <w:basedOn w:val="1"/>
    <w:link w:val="115"/>
    <w:qFormat/>
    <w:uiPriority w:val="0"/>
    <w:pPr>
      <w:spacing w:line="240" w:lineRule="auto"/>
      <w:ind w:firstLine="0" w:firstLineChars="0"/>
      <w:jc w:val="center"/>
    </w:pPr>
    <w:rPr>
      <w:rFonts w:hint="eastAsia" w:ascii="Times New Roman" w:hAnsi="Times New Roman" w:eastAsia="宋体" w:cs="Times New Roman"/>
      <w:color w:val="auto"/>
      <w:sz w:val="21"/>
      <w:szCs w:val="21"/>
    </w:rPr>
  </w:style>
  <w:style w:type="paragraph" w:customStyle="1" w:styleId="112">
    <w:name w:val="ZH表格内字体"/>
    <w:basedOn w:val="1"/>
    <w:qFormat/>
    <w:uiPriority w:val="0"/>
    <w:pPr>
      <w:jc w:val="center"/>
    </w:pPr>
    <w:rPr>
      <w:rFonts w:eastAsia="Times New Roman"/>
      <w:sz w:val="21"/>
      <w:szCs w:val="21"/>
    </w:rPr>
  </w:style>
  <w:style w:type="paragraph" w:customStyle="1" w:styleId="113">
    <w:name w:val="a表头"/>
    <w:basedOn w:val="1"/>
    <w:qFormat/>
    <w:uiPriority w:val="0"/>
    <w:pPr>
      <w:widowControl/>
      <w:snapToGrid w:val="0"/>
      <w:jc w:val="center"/>
    </w:pPr>
    <w:rPr>
      <w:b/>
      <w:color w:val="000000"/>
      <w:kern w:val="0"/>
      <w:szCs w:val="21"/>
      <w:lang w:val="zh-CN"/>
    </w:rPr>
  </w:style>
  <w:style w:type="character" w:customStyle="1" w:styleId="114">
    <w:name w:val="表内文字 Char"/>
    <w:link w:val="50"/>
    <w:qFormat/>
    <w:uiPriority w:val="0"/>
    <w:rPr>
      <w:rFonts w:cs="宋体"/>
      <w:color w:val="000000"/>
      <w:kern w:val="0"/>
      <w:sz w:val="21"/>
      <w:szCs w:val="21"/>
    </w:rPr>
  </w:style>
  <w:style w:type="character" w:customStyle="1" w:styleId="115">
    <w:name w:val="1111表内文字 Char"/>
    <w:link w:val="111"/>
    <w:qFormat/>
    <w:uiPriority w:val="0"/>
    <w:rPr>
      <w:rFonts w:hint="eastAsia" w:ascii="Times New Roman" w:hAnsi="Times New Roman" w:eastAsia="宋体" w:cs="Times New Roman"/>
      <w:color w:val="auto"/>
      <w:sz w:val="21"/>
      <w:szCs w:val="21"/>
    </w:rPr>
  </w:style>
  <w:style w:type="character" w:customStyle="1" w:styleId="116">
    <w:name w:val="font51"/>
    <w:basedOn w:val="25"/>
    <w:qFormat/>
    <w:uiPriority w:val="0"/>
    <w:rPr>
      <w:rFonts w:hint="default" w:ascii="Times New Roman" w:hAnsi="Times New Roman" w:cs="Times New Roman"/>
      <w:b/>
      <w:bCs/>
      <w:color w:val="000000"/>
      <w:sz w:val="21"/>
      <w:szCs w:val="21"/>
      <w:u w:val="none"/>
      <w:vertAlign w:val="superscript"/>
    </w:rPr>
  </w:style>
  <w:style w:type="character" w:customStyle="1" w:styleId="117">
    <w:name w:val="font61"/>
    <w:basedOn w:val="25"/>
    <w:qFormat/>
    <w:uiPriority w:val="0"/>
    <w:rPr>
      <w:rFonts w:hint="default" w:ascii="Times New Roman" w:hAnsi="Times New Roman" w:cs="Times New Roman"/>
      <w:b/>
      <w:bCs/>
      <w:color w:val="000000"/>
      <w:sz w:val="21"/>
      <w:szCs w:val="21"/>
      <w:u w:val="none"/>
      <w:vertAlign w:val="superscript"/>
    </w:rPr>
  </w:style>
  <w:style w:type="character" w:customStyle="1" w:styleId="118">
    <w:name w:val="font71"/>
    <w:basedOn w:val="25"/>
    <w:qFormat/>
    <w:uiPriority w:val="0"/>
    <w:rPr>
      <w:rFonts w:hint="default" w:ascii="Times New Roman" w:hAnsi="Times New Roman" w:cs="Times New Roman"/>
      <w:color w:val="000000"/>
      <w:sz w:val="21"/>
      <w:szCs w:val="21"/>
      <w:u w:val="none"/>
      <w:vertAlign w:val="subscript"/>
    </w:rPr>
  </w:style>
  <w:style w:type="character" w:customStyle="1" w:styleId="119">
    <w:name w:val="font81"/>
    <w:basedOn w:val="25"/>
    <w:qFormat/>
    <w:uiPriority w:val="0"/>
    <w:rPr>
      <w:rFonts w:hint="default" w:ascii="Times New Roman" w:hAnsi="Times New Roman" w:cs="Times New Roman"/>
      <w:color w:val="000000"/>
      <w:sz w:val="24"/>
      <w:szCs w:val="24"/>
      <w:u w:val="none"/>
      <w:vertAlign w:val="subscript"/>
    </w:rPr>
  </w:style>
  <w:style w:type="paragraph" w:customStyle="1" w:styleId="120">
    <w:name w:val="正文  2025.4.30"/>
    <w:basedOn w:val="1"/>
    <w:autoRedefine/>
    <w:qFormat/>
    <w:uiPriority w:val="0"/>
    <w:pPr>
      <w:adjustRightInd w:val="0"/>
      <w:snapToGrid w:val="0"/>
      <w:spacing w:line="360" w:lineRule="auto"/>
      <w:ind w:firstLine="480" w:firstLineChars="200"/>
    </w:pPr>
    <w:rPr>
      <w:color w:val="EE0000"/>
      <w:sz w:val="24"/>
    </w:rPr>
  </w:style>
  <w:style w:type="table" w:customStyle="1" w:styleId="121">
    <w:name w:val="TableGrid"/>
    <w:qFormat/>
    <w:uiPriority w:val="0"/>
    <w:pPr>
      <w:spacing w:after="0" w:line="240" w:lineRule="auto"/>
    </w:p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0" Type="http://schemas.openxmlformats.org/officeDocument/2006/relationships/fontTable" Target="fontTable.xml"/><Relationship Id="rId4" Type="http://schemas.openxmlformats.org/officeDocument/2006/relationships/endnotes" Target="endnotes.xml"/><Relationship Id="rId39" Type="http://schemas.microsoft.com/office/2006/relationships/keyMapCustomizations" Target="customizations.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image" Target="media/image26.jpeg"/><Relationship Id="rId35" Type="http://schemas.openxmlformats.org/officeDocument/2006/relationships/image" Target="media/image25.jpeg"/><Relationship Id="rId34" Type="http://schemas.openxmlformats.org/officeDocument/2006/relationships/image" Target="media/image24.jpeg"/><Relationship Id="rId33" Type="http://schemas.openxmlformats.org/officeDocument/2006/relationships/image" Target="media/image23.jpeg"/><Relationship Id="rId32" Type="http://schemas.openxmlformats.org/officeDocument/2006/relationships/image" Target="media/image22.jpeg"/><Relationship Id="rId31" Type="http://schemas.openxmlformats.org/officeDocument/2006/relationships/image" Target="media/image21.jpeg"/><Relationship Id="rId30" Type="http://schemas.openxmlformats.org/officeDocument/2006/relationships/image" Target="media/image20.jpeg"/><Relationship Id="rId3" Type="http://schemas.openxmlformats.org/officeDocument/2006/relationships/footnotes" Target="footnotes.xml"/><Relationship Id="rId29" Type="http://schemas.openxmlformats.org/officeDocument/2006/relationships/image" Target="media/image19.jpeg"/><Relationship Id="rId28" Type="http://schemas.openxmlformats.org/officeDocument/2006/relationships/image" Target="media/image18.jpeg"/><Relationship Id="rId27" Type="http://schemas.openxmlformats.org/officeDocument/2006/relationships/image" Target="media/image17.wmf"/><Relationship Id="rId26" Type="http://schemas.openxmlformats.org/officeDocument/2006/relationships/oleObject" Target="embeddings/oleObject1.bin"/><Relationship Id="rId25" Type="http://schemas.openxmlformats.org/officeDocument/2006/relationships/image" Target="media/image16.png"/><Relationship Id="rId24" Type="http://schemas.openxmlformats.org/officeDocument/2006/relationships/image" Target="media/image15.png"/><Relationship Id="rId23" Type="http://schemas.openxmlformats.org/officeDocument/2006/relationships/image" Target="media/image14.svg"/><Relationship Id="rId22" Type="http://schemas.openxmlformats.org/officeDocument/2006/relationships/image" Target="media/image13.png"/><Relationship Id="rId21" Type="http://schemas.openxmlformats.org/officeDocument/2006/relationships/image" Target="media/image12.jpeg"/><Relationship Id="rId20" Type="http://schemas.openxmlformats.org/officeDocument/2006/relationships/image" Target="media/image11.jpe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wmf"/><Relationship Id="rId15" Type="http://schemas.openxmlformats.org/officeDocument/2006/relationships/image" Target="media/image6.wmf"/><Relationship Id="rId14" Type="http://schemas.openxmlformats.org/officeDocument/2006/relationships/image" Target="media/image5.png"/><Relationship Id="rId13" Type="http://schemas.openxmlformats.org/officeDocument/2006/relationships/image" Target="media/image4.jpe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184</Pages>
  <Words>45408</Words>
  <Characters>46798</Characters>
  <Lines>1</Lines>
  <Paragraphs>1</Paragraphs>
  <TotalTime>4</TotalTime>
  <ScaleCrop>false</ScaleCrop>
  <LinksUpToDate>false</LinksUpToDate>
  <CharactersWithSpaces>46956</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2025-05-07T14:40:00Z</dcterms:created>
  <dc:creator>潇潇雨</dc:creator>
  <cp:lastModifiedBy>小愤青菜</cp:lastModifiedBy>
  <dcterms:modified xsi:type="dcterms:W3CDTF">2026-01-04T13:57:41Z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A90B849BE32247D094469E12DB83ED08_13</vt:lpwstr>
  </property>
  <property fmtid="{D5CDD505-2E9C-101B-9397-08002B2CF9AE}" pid="4" name="KSOTemplateDocerSaveRecord">
    <vt:lpwstr>eyJoZGlkIjoiNGRmN2FlNGE2NzUzYThhNWEzMDMwNTg3OTRiM2JlYzgiLCJ1c2VySWQiOiIxNzA4MzIxMzU5In0=</vt:lpwstr>
  </property>
</Properties>
</file>